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B19EDFB">
      <w:pPr>
        <w:pStyle w:val="2"/>
        <w:sectPr>
          <w:headerReference r:id="rId5" w:type="default"/>
          <w:footerReference r:id="rId6" w:type="default"/>
          <w:endnotePr>
            <w:numFmt w:val="decimal"/>
          </w:endnotePr>
          <w:pgSz w:w="23811" w:h="16838" w:orient="landscape"/>
          <w:pgMar w:top="1418" w:right="1134" w:bottom="1418" w:left="1701" w:header="851" w:footer="992" w:gutter="0"/>
          <w:pgNumType w:start="1"/>
          <w:cols w:space="720" w:num="1" w:sep="1"/>
          <w:docGrid w:linePitch="381" w:charSpace="0"/>
        </w:sectPr>
      </w:pPr>
      <w:bookmarkStart w:id="0" w:name="_Hlk109226100"/>
      <w:bookmarkEnd w:id="0"/>
      <w:bookmarkStart w:id="1" w:name="_Toc109226955"/>
      <w:bookmarkStart w:id="2" w:name="_Toc21218"/>
      <w:bookmarkStart w:id="3" w:name="_Toc109224175"/>
      <w:r>
        <w:rPr>
          <w:rFonts w:hint="eastAsia"/>
        </w:rPr>
        <w:t>设计说明</w:t>
      </w:r>
      <w:bookmarkEnd w:id="1"/>
      <w:bookmarkEnd w:id="2"/>
      <w:bookmarkEnd w:id="3"/>
    </w:p>
    <w:p w14:paraId="354DBBF5">
      <w:pPr>
        <w:pStyle w:val="3"/>
        <w:rPr>
          <w:color w:val="auto"/>
        </w:rPr>
      </w:pPr>
      <w:bookmarkStart w:id="4" w:name="_Toc11635"/>
      <w:bookmarkStart w:id="5" w:name="_Toc9108"/>
      <w:r>
        <w:rPr>
          <w:rFonts w:hint="eastAsia"/>
          <w:color w:val="auto"/>
          <w:lang w:eastAsia="zh-CN"/>
        </w:rPr>
        <w:t>项目概况</w:t>
      </w:r>
      <w:bookmarkEnd w:id="4"/>
      <w:bookmarkEnd w:id="5"/>
    </w:p>
    <w:p w14:paraId="5FE4322E">
      <w:pPr>
        <w:pStyle w:val="71"/>
        <w:rPr>
          <w:rFonts w:hint="eastAsia"/>
          <w:color w:val="auto"/>
          <w:lang w:eastAsia="zh-CN"/>
        </w:rPr>
      </w:pPr>
      <w:r>
        <w:rPr>
          <w:rFonts w:hint="eastAsia"/>
          <w:color w:val="auto"/>
        </w:rPr>
        <w:t>本次改造仅针对开元世家B区（安置房）</w:t>
      </w:r>
      <w:r>
        <w:rPr>
          <w:rFonts w:hint="eastAsia"/>
          <w:color w:val="auto"/>
          <w:lang w:eastAsia="zh-CN"/>
        </w:rPr>
        <w:t>；</w:t>
      </w:r>
    </w:p>
    <w:p w14:paraId="5544E520">
      <w:pPr>
        <w:pStyle w:val="71"/>
        <w:rPr>
          <w:rFonts w:hint="eastAsia"/>
          <w:color w:val="auto"/>
          <w:lang w:eastAsia="zh-CN"/>
        </w:rPr>
      </w:pPr>
      <w:r>
        <w:rPr>
          <w:rFonts w:hint="eastAsia"/>
          <w:b/>
          <w:bCs/>
          <w:color w:val="auto"/>
          <w:lang w:eastAsia="zh-CN"/>
        </w:rPr>
        <w:t>项目位置：</w:t>
      </w:r>
      <w:r>
        <w:rPr>
          <w:rFonts w:hint="eastAsia"/>
          <w:color w:val="auto"/>
          <w:lang w:eastAsia="zh-CN"/>
        </w:rPr>
        <w:t>开元世家B区位于高邮市通湖路南侧，平安路东侧，捍海路西侧，众乐园路北侧。</w:t>
      </w:r>
    </w:p>
    <w:p w14:paraId="33F969F7">
      <w:pPr>
        <w:pStyle w:val="71"/>
        <w:ind w:left="0" w:leftChars="0" w:firstLine="0" w:firstLineChars="0"/>
        <w:rPr>
          <w:rFonts w:hint="eastAsia"/>
          <w:color w:val="auto"/>
          <w:lang w:eastAsia="zh-CN"/>
        </w:rPr>
      </w:pPr>
      <w:r>
        <w:rPr>
          <w:rFonts w:hint="eastAsia"/>
          <w:color w:val="auto"/>
          <w:lang w:eastAsia="zh-CN"/>
        </w:rPr>
        <w:t>B区安置房共有4栋楼，均为高层（12-19层），约410户。</w:t>
      </w:r>
    </w:p>
    <w:p w14:paraId="26CFBEA4">
      <w:pPr>
        <w:pStyle w:val="71"/>
        <w:rPr>
          <w:rFonts w:hint="eastAsia"/>
          <w:color w:val="auto"/>
          <w:lang w:eastAsia="zh-CN"/>
        </w:rPr>
      </w:pPr>
      <w:r>
        <w:rPr>
          <w:rFonts w:hint="eastAsia"/>
          <w:b/>
          <w:bCs/>
          <w:color w:val="auto"/>
          <w:lang w:eastAsia="zh-CN"/>
        </w:rPr>
        <w:t>现状情况：</w:t>
      </w:r>
      <w:r>
        <w:rPr>
          <w:rFonts w:hint="eastAsia"/>
          <w:color w:val="auto"/>
          <w:lang w:eastAsia="zh-CN"/>
        </w:rPr>
        <w:t>小区现状道路为沥青+水泥路面，宽3-5m；小区现状路面及植草砖车位均出现破损情况。</w:t>
      </w:r>
    </w:p>
    <w:p w14:paraId="327461CE">
      <w:pPr>
        <w:pStyle w:val="71"/>
        <w:rPr>
          <w:rFonts w:hint="eastAsia" w:eastAsia="宋体"/>
          <w:color w:val="auto"/>
          <w:lang w:eastAsia="zh-CN"/>
        </w:rPr>
      </w:pPr>
      <w:r>
        <w:rPr>
          <w:rFonts w:hint="eastAsia"/>
          <w:b/>
          <w:bCs/>
          <w:color w:val="auto"/>
        </w:rPr>
        <w:t>整治规模：</w:t>
      </w:r>
      <w:r>
        <w:rPr>
          <w:rFonts w:hint="eastAsia"/>
          <w:color w:val="auto"/>
        </w:rPr>
        <w:t>小区改造范围面积约34.2亩</w:t>
      </w:r>
      <w:r>
        <w:rPr>
          <w:rFonts w:hint="eastAsia"/>
          <w:color w:val="auto"/>
          <w:lang w:eastAsia="zh-CN"/>
        </w:rPr>
        <w:t>；</w:t>
      </w:r>
    </w:p>
    <w:p w14:paraId="0021A9A1">
      <w:pPr>
        <w:pStyle w:val="71"/>
        <w:rPr>
          <w:rFonts w:hint="eastAsia"/>
          <w:color w:val="auto"/>
          <w:lang w:eastAsia="zh-CN"/>
        </w:rPr>
      </w:pPr>
      <w:r>
        <w:rPr>
          <w:rFonts w:hint="eastAsia"/>
          <w:b/>
          <w:bCs/>
          <w:color w:val="auto"/>
        </w:rPr>
        <w:t>整治内容</w:t>
      </w:r>
      <w:r>
        <w:rPr>
          <w:rFonts w:hint="eastAsia"/>
          <w:b/>
          <w:bCs/>
          <w:color w:val="auto"/>
          <w:lang w:eastAsia="zh-CN"/>
        </w:rPr>
        <w:t>：</w:t>
      </w:r>
      <w:r>
        <w:rPr>
          <w:rFonts w:hint="eastAsia"/>
          <w:color w:val="auto"/>
        </w:rPr>
        <w:t>包含道路停车、排水管网、场地绿化及附属设施、建筑修缮这几个方面</w:t>
      </w:r>
      <w:r>
        <w:rPr>
          <w:rFonts w:hint="eastAsia"/>
          <w:color w:val="auto"/>
          <w:lang w:eastAsia="zh-CN"/>
        </w:rPr>
        <w:t>。</w:t>
      </w:r>
    </w:p>
    <w:p w14:paraId="3947774B">
      <w:pPr>
        <w:pStyle w:val="71"/>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lang w:eastAsia="zh-CN"/>
        </w:rPr>
      </w:pPr>
      <w:r>
        <w:rPr>
          <w:rFonts w:hint="eastAsia"/>
          <w:color w:val="auto"/>
          <w:lang w:eastAsia="zh-CN"/>
        </w:rPr>
        <w:t>（1）道路停车：小区西门出入口重新规划；将小区原水泥砼路面加铺沥青砼面层，部分道路进行梳理拓宽；增加机动车停车位，并将B区内所有植草砖停车位改为模压混凝土；新建非机动车棚。</w:t>
      </w:r>
      <w:r>
        <w:rPr>
          <w:rFonts w:hint="eastAsia"/>
          <w:color w:val="auto"/>
          <w:lang w:eastAsia="zh-CN"/>
        </w:rPr>
        <w:br w:type="textWrapping"/>
      </w:r>
      <w:r>
        <w:rPr>
          <w:rFonts w:hint="eastAsia"/>
          <w:color w:val="auto"/>
          <w:lang w:val="en-US" w:eastAsia="zh-CN"/>
        </w:rPr>
        <w:t xml:space="preserve">        </w:t>
      </w:r>
      <w:r>
        <w:rPr>
          <w:rFonts w:hint="eastAsia"/>
          <w:color w:val="auto"/>
          <w:lang w:eastAsia="zh-CN"/>
        </w:rPr>
        <w:t>（2）排水管网：将小区内雨污水管道进行清淤疏通，检查井重建及化粪池清掏。</w:t>
      </w:r>
    </w:p>
    <w:p w14:paraId="2BDD49E9">
      <w:pPr>
        <w:pStyle w:val="71"/>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lang w:eastAsia="zh-CN"/>
        </w:rPr>
      </w:pPr>
      <w:r>
        <w:rPr>
          <w:rFonts w:hint="eastAsia"/>
          <w:color w:val="auto"/>
          <w:lang w:eastAsia="zh-CN"/>
        </w:rPr>
        <w:t>（3）场地绿化及附属设施：将小区内乔木进行修剪，对于绿化内裸土及边角部位进行绿化提升；幼儿园围栏东侧区域降土；#3、#4东西向增加一排花池；#1、#2增加两排晾衣架；活动场地内廊架修缮并增加盖顶，场地内铺装更换。</w:t>
      </w:r>
    </w:p>
    <w:p w14:paraId="618F0211">
      <w:pPr>
        <w:pStyle w:val="71"/>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lang w:eastAsia="zh-CN"/>
        </w:rPr>
      </w:pPr>
      <w:r>
        <w:rPr>
          <w:rFonts w:hint="eastAsia"/>
          <w:color w:val="auto"/>
          <w:lang w:eastAsia="zh-CN"/>
        </w:rPr>
        <w:t>（4）建筑修缮：将#1、#2、#3屋顶进行防水处理；飘窗山墙楼道零星部位防水处理；小区最东侧车库加坡顶、山墙加高、顶面做防水处理；</w:t>
      </w:r>
    </w:p>
    <w:p w14:paraId="15ABF8D8">
      <w:pPr>
        <w:pStyle w:val="71"/>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auto"/>
          <w:lang w:eastAsia="zh-CN"/>
        </w:rPr>
      </w:pPr>
      <w:r>
        <w:rPr>
          <w:rFonts w:hint="eastAsia"/>
          <w:color w:val="auto"/>
          <w:lang w:eastAsia="zh-CN"/>
        </w:rPr>
        <w:drawing>
          <wp:inline distT="0" distB="0" distL="114300" distR="114300">
            <wp:extent cx="4621530" cy="3269615"/>
            <wp:effectExtent l="0" t="0" r="7620" b="6985"/>
            <wp:docPr id="36" name="图片 3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2"/>
                    <pic:cNvPicPr>
                      <a:picLocks noChangeAspect="1"/>
                    </pic:cNvPicPr>
                  </pic:nvPicPr>
                  <pic:blipFill>
                    <a:blip r:embed="rId12"/>
                    <a:stretch>
                      <a:fillRect/>
                    </a:stretch>
                  </pic:blipFill>
                  <pic:spPr>
                    <a:xfrm>
                      <a:off x="0" y="0"/>
                      <a:ext cx="4621530" cy="3269615"/>
                    </a:xfrm>
                    <a:prstGeom prst="rect">
                      <a:avLst/>
                    </a:prstGeom>
                  </pic:spPr>
                </pic:pic>
              </a:graphicData>
            </a:graphic>
          </wp:inline>
        </w:drawing>
      </w:r>
    </w:p>
    <w:p w14:paraId="1D59C830">
      <w:pPr>
        <w:pStyle w:val="71"/>
        <w:jc w:val="center"/>
        <w:rPr>
          <w:rFonts w:hint="eastAsia"/>
          <w:color w:val="auto"/>
          <w:lang w:eastAsia="zh-CN"/>
        </w:rPr>
      </w:pPr>
      <w:r>
        <w:rPr>
          <w:rFonts w:hint="eastAsia"/>
          <w:color w:val="auto"/>
          <w:lang w:eastAsia="zh-CN"/>
        </w:rPr>
        <w:drawing>
          <wp:inline distT="0" distB="0" distL="114300" distR="114300">
            <wp:extent cx="5471795" cy="5415280"/>
            <wp:effectExtent l="0" t="0" r="14605" b="13970"/>
            <wp:docPr id="33" name="图片 3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1"/>
                    <pic:cNvPicPr>
                      <a:picLocks noChangeAspect="1"/>
                    </pic:cNvPicPr>
                  </pic:nvPicPr>
                  <pic:blipFill>
                    <a:blip r:embed="rId13"/>
                    <a:stretch>
                      <a:fillRect/>
                    </a:stretch>
                  </pic:blipFill>
                  <pic:spPr>
                    <a:xfrm>
                      <a:off x="0" y="0"/>
                      <a:ext cx="5471795" cy="5415280"/>
                    </a:xfrm>
                    <a:prstGeom prst="rect">
                      <a:avLst/>
                    </a:prstGeom>
                  </pic:spPr>
                </pic:pic>
              </a:graphicData>
            </a:graphic>
          </wp:inline>
        </w:drawing>
      </w:r>
    </w:p>
    <w:p w14:paraId="1038A64B">
      <w:pPr>
        <w:pStyle w:val="3"/>
        <w:rPr>
          <w:color w:val="auto"/>
          <w:highlight w:val="none"/>
        </w:rPr>
      </w:pPr>
      <w:bookmarkStart w:id="6" w:name="_Toc109224181"/>
      <w:bookmarkStart w:id="7" w:name="_Toc14890"/>
      <w:bookmarkStart w:id="8" w:name="_Toc109226977"/>
      <w:r>
        <w:rPr>
          <w:rFonts w:hint="eastAsia"/>
          <w:color w:val="auto"/>
          <w:highlight w:val="none"/>
        </w:rPr>
        <w:t>设计说明</w:t>
      </w:r>
      <w:bookmarkEnd w:id="6"/>
      <w:bookmarkEnd w:id="7"/>
      <w:bookmarkEnd w:id="8"/>
    </w:p>
    <w:p w14:paraId="1FE93073">
      <w:pPr>
        <w:pStyle w:val="4"/>
        <w:rPr>
          <w:color w:val="auto"/>
          <w:highlight w:val="none"/>
        </w:rPr>
      </w:pPr>
      <w:bookmarkStart w:id="9" w:name="_Toc14076"/>
      <w:bookmarkStart w:id="10" w:name="_Toc109226978"/>
      <w:r>
        <w:rPr>
          <w:rFonts w:hint="eastAsia"/>
          <w:color w:val="auto"/>
          <w:highlight w:val="none"/>
        </w:rPr>
        <w:t>道路工程设计说明</w:t>
      </w:r>
      <w:bookmarkEnd w:id="9"/>
      <w:bookmarkEnd w:id="10"/>
    </w:p>
    <w:p w14:paraId="1CA1B233">
      <w:pPr>
        <w:pStyle w:val="5"/>
        <w:rPr>
          <w:color w:val="auto"/>
          <w:highlight w:val="none"/>
        </w:rPr>
      </w:pPr>
      <w:r>
        <w:rPr>
          <w:color w:val="auto"/>
          <w:highlight w:val="none"/>
        </w:rPr>
        <w:t>设计</w:t>
      </w:r>
      <w:r>
        <w:rPr>
          <w:rFonts w:hint="eastAsia"/>
          <w:color w:val="auto"/>
          <w:highlight w:val="none"/>
        </w:rPr>
        <w:t>概况</w:t>
      </w:r>
    </w:p>
    <w:p w14:paraId="023E1351">
      <w:pPr>
        <w:pStyle w:val="71"/>
        <w:rPr>
          <w:rFonts w:hint="eastAsia" w:eastAsia="宋体"/>
          <w:color w:val="auto"/>
          <w:highlight w:val="none"/>
          <w:lang w:eastAsia="zh-CN"/>
        </w:rPr>
      </w:pPr>
      <w:r>
        <w:rPr>
          <w:rFonts w:hint="eastAsia"/>
          <w:color w:val="auto"/>
          <w:highlight w:val="none"/>
        </w:rPr>
        <w:t>本次</w:t>
      </w:r>
      <w:r>
        <w:rPr>
          <w:rFonts w:hint="eastAsia"/>
          <w:color w:val="auto"/>
          <w:highlight w:val="none"/>
          <w:lang w:eastAsia="zh-CN"/>
        </w:rPr>
        <w:t>改造</w:t>
      </w:r>
      <w:r>
        <w:rPr>
          <w:rFonts w:hint="eastAsia"/>
          <w:color w:val="auto"/>
          <w:highlight w:val="none"/>
        </w:rPr>
        <w:t>废除部分绿化，新建机动车位及非机车棚；现状沥青路面刨除重新摊铺（混凝土面层保留</w:t>
      </w:r>
      <w:r>
        <w:rPr>
          <w:rFonts w:hint="eastAsia"/>
          <w:color w:val="auto"/>
          <w:highlight w:val="none"/>
          <w:lang w:eastAsia="zh-CN"/>
        </w:rPr>
        <w:t>）；</w:t>
      </w:r>
      <w:r>
        <w:rPr>
          <w:rFonts w:hint="eastAsia"/>
          <w:color w:val="auto"/>
          <w:highlight w:val="none"/>
        </w:rPr>
        <w:t>面包砖道路改建沥青道路，部分道路拓宽</w:t>
      </w:r>
      <w:r>
        <w:rPr>
          <w:rFonts w:hint="eastAsia"/>
          <w:color w:val="auto"/>
          <w:highlight w:val="none"/>
          <w:lang w:eastAsia="zh-CN"/>
        </w:rPr>
        <w:t>；</w:t>
      </w:r>
      <w:r>
        <w:rPr>
          <w:rFonts w:hint="eastAsia"/>
          <w:color w:val="auto"/>
          <w:highlight w:val="none"/>
        </w:rPr>
        <w:t>植草砖停车位改建模压混凝土停车位</w:t>
      </w:r>
      <w:r>
        <w:rPr>
          <w:rFonts w:hint="eastAsia"/>
          <w:color w:val="auto"/>
          <w:highlight w:val="none"/>
          <w:lang w:eastAsia="zh-CN"/>
        </w:rPr>
        <w:t>；</w:t>
      </w:r>
      <w:r>
        <w:rPr>
          <w:rFonts w:hint="eastAsia"/>
          <w:color w:val="auto"/>
          <w:highlight w:val="none"/>
        </w:rPr>
        <w:t>小区东南侧混凝土路面凿除重建</w:t>
      </w:r>
      <w:r>
        <w:rPr>
          <w:rFonts w:hint="eastAsia"/>
          <w:color w:val="auto"/>
          <w:highlight w:val="none"/>
          <w:lang w:eastAsia="zh-CN"/>
        </w:rPr>
        <w:t>。</w:t>
      </w:r>
    </w:p>
    <w:p w14:paraId="70F55660">
      <w:pPr>
        <w:pStyle w:val="71"/>
        <w:ind w:firstLine="482"/>
        <w:rPr>
          <w:b/>
          <w:bCs/>
          <w:color w:val="auto"/>
          <w:highlight w:val="none"/>
        </w:rPr>
      </w:pPr>
      <w:r>
        <w:rPr>
          <w:rFonts w:hint="eastAsia"/>
          <w:b/>
          <w:bCs/>
          <w:color w:val="auto"/>
          <w:highlight w:val="none"/>
        </w:rPr>
        <w:t>1</w:t>
      </w:r>
      <w:r>
        <w:rPr>
          <w:b/>
          <w:bCs/>
          <w:color w:val="auto"/>
          <w:highlight w:val="none"/>
        </w:rPr>
        <w:t>.</w:t>
      </w:r>
      <w:r>
        <w:rPr>
          <w:rFonts w:hint="eastAsia"/>
          <w:b/>
          <w:bCs/>
          <w:color w:val="auto"/>
          <w:highlight w:val="none"/>
        </w:rPr>
        <w:t>平面设计：</w:t>
      </w:r>
    </w:p>
    <w:p w14:paraId="653FC7A1">
      <w:pPr>
        <w:pStyle w:val="71"/>
        <w:rPr>
          <w:color w:val="auto"/>
          <w:highlight w:val="none"/>
        </w:rPr>
      </w:pPr>
      <w:r>
        <w:rPr>
          <w:rFonts w:hint="eastAsia"/>
          <w:color w:val="auto"/>
          <w:highlight w:val="none"/>
        </w:rPr>
        <w:t>新建道路、停车场平面依据现状主体建筑，同时根据实际情况进行绿植布置。</w:t>
      </w:r>
    </w:p>
    <w:p w14:paraId="21B3BFE5">
      <w:pPr>
        <w:pStyle w:val="71"/>
        <w:ind w:firstLine="482"/>
        <w:rPr>
          <w:b/>
          <w:bCs/>
          <w:color w:val="auto"/>
          <w:highlight w:val="none"/>
        </w:rPr>
      </w:pPr>
      <w:r>
        <w:rPr>
          <w:rFonts w:hint="eastAsia"/>
          <w:b/>
          <w:bCs/>
          <w:color w:val="auto"/>
          <w:highlight w:val="none"/>
        </w:rPr>
        <w:t>2纵断面设计：</w:t>
      </w:r>
    </w:p>
    <w:p w14:paraId="69916DB6">
      <w:pPr>
        <w:pStyle w:val="71"/>
        <w:rPr>
          <w:color w:val="auto"/>
          <w:highlight w:val="none"/>
        </w:rPr>
      </w:pPr>
      <w:r>
        <w:rPr>
          <w:rFonts w:hint="eastAsia"/>
          <w:color w:val="auto"/>
          <w:highlight w:val="none"/>
        </w:rPr>
        <w:t>纵断面设计应结合实际场地高程、总体走势、排水要求。</w:t>
      </w:r>
    </w:p>
    <w:p w14:paraId="19821D23">
      <w:pPr>
        <w:pStyle w:val="71"/>
        <w:rPr>
          <w:color w:val="auto"/>
          <w:highlight w:val="none"/>
        </w:rPr>
      </w:pPr>
      <w:r>
        <w:rPr>
          <w:rFonts w:hint="eastAsia"/>
          <w:color w:val="auto"/>
          <w:highlight w:val="none"/>
        </w:rPr>
        <w:t>对于小区道路可布置纵坡便于排水，对于新建停车位可排向主路，雨水顺坡排至现状或新建雨水蓖。</w:t>
      </w:r>
    </w:p>
    <w:p w14:paraId="7A53C273">
      <w:pPr>
        <w:pStyle w:val="71"/>
        <w:ind w:firstLine="482"/>
        <w:rPr>
          <w:b/>
          <w:bCs/>
          <w:color w:val="auto"/>
          <w:highlight w:val="none"/>
        </w:rPr>
      </w:pPr>
      <w:r>
        <w:rPr>
          <w:rFonts w:hint="eastAsia"/>
          <w:b/>
          <w:bCs/>
          <w:color w:val="auto"/>
          <w:highlight w:val="none"/>
        </w:rPr>
        <w:t>3</w:t>
      </w:r>
      <w:r>
        <w:rPr>
          <w:b/>
          <w:bCs/>
          <w:color w:val="auto"/>
          <w:highlight w:val="none"/>
        </w:rPr>
        <w:t>.</w:t>
      </w:r>
      <w:r>
        <w:rPr>
          <w:rFonts w:hint="eastAsia"/>
          <w:b/>
          <w:bCs/>
          <w:color w:val="auto"/>
          <w:highlight w:val="none"/>
        </w:rPr>
        <w:t>横断面设计：</w:t>
      </w:r>
    </w:p>
    <w:p w14:paraId="707CFF45">
      <w:pPr>
        <w:pStyle w:val="71"/>
        <w:rPr>
          <w:color w:val="auto"/>
          <w:highlight w:val="none"/>
        </w:rPr>
      </w:pPr>
      <w:r>
        <w:rPr>
          <w:rFonts w:hint="eastAsia"/>
          <w:color w:val="auto"/>
          <w:highlight w:val="none"/>
        </w:rPr>
        <w:t>对于新建小区道路可布置1</w:t>
      </w:r>
      <w:r>
        <w:rPr>
          <w:color w:val="auto"/>
          <w:highlight w:val="none"/>
        </w:rPr>
        <w:t>.5%</w:t>
      </w:r>
      <w:r>
        <w:rPr>
          <w:rFonts w:hint="eastAsia"/>
          <w:color w:val="auto"/>
          <w:highlight w:val="none"/>
        </w:rPr>
        <w:t>的横坡向两侧雨水蓖排水，新建停车位可设置1.5%横坡排向主路。</w:t>
      </w:r>
    </w:p>
    <w:p w14:paraId="5F929842">
      <w:pPr>
        <w:pStyle w:val="5"/>
        <w:rPr>
          <w:color w:val="auto"/>
          <w:highlight w:val="none"/>
        </w:rPr>
      </w:pPr>
      <w:r>
        <w:rPr>
          <w:rFonts w:hint="eastAsia"/>
          <w:color w:val="auto"/>
          <w:highlight w:val="none"/>
        </w:rPr>
        <w:t>设计依据</w:t>
      </w:r>
    </w:p>
    <w:p w14:paraId="01F8C022">
      <w:pPr>
        <w:pStyle w:val="71"/>
        <w:rPr>
          <w:color w:val="auto"/>
          <w:highlight w:val="none"/>
        </w:rPr>
      </w:pPr>
      <w:r>
        <w:rPr>
          <w:rFonts w:hint="eastAsia"/>
          <w:color w:val="auto"/>
          <w:highlight w:val="none"/>
        </w:rPr>
        <w:t xml:space="preserve"> </w:t>
      </w:r>
      <w:r>
        <w:rPr>
          <w:rFonts w:hint="eastAsia"/>
          <w:color w:val="auto"/>
          <w:highlight w:val="none"/>
          <w:lang w:val="en-US" w:eastAsia="zh-CN"/>
        </w:rPr>
        <w:t>1</w:t>
      </w:r>
      <w:r>
        <w:rPr>
          <w:rFonts w:hint="eastAsia"/>
          <w:color w:val="auto"/>
          <w:highlight w:val="none"/>
        </w:rPr>
        <w:t>、《城市道路工程设计规范》（CJJ 37-2012）</w:t>
      </w:r>
    </w:p>
    <w:p w14:paraId="3EEF8024">
      <w:pPr>
        <w:pStyle w:val="71"/>
        <w:rPr>
          <w:color w:val="auto"/>
          <w:highlight w:val="none"/>
        </w:rPr>
      </w:pPr>
      <w:r>
        <w:rPr>
          <w:rFonts w:hint="eastAsia"/>
          <w:color w:val="auto"/>
          <w:highlight w:val="none"/>
        </w:rPr>
        <w:t xml:space="preserve"> </w:t>
      </w:r>
      <w:r>
        <w:rPr>
          <w:rFonts w:hint="eastAsia"/>
          <w:color w:val="auto"/>
          <w:highlight w:val="none"/>
          <w:lang w:val="en-US" w:eastAsia="zh-CN"/>
        </w:rPr>
        <w:t>2</w:t>
      </w:r>
      <w:r>
        <w:rPr>
          <w:rFonts w:hint="eastAsia"/>
          <w:color w:val="auto"/>
          <w:highlight w:val="none"/>
        </w:rPr>
        <w:t>、《城镇道路路面设计规范》（CJJ169-2012）</w:t>
      </w:r>
    </w:p>
    <w:p w14:paraId="0513A9DE">
      <w:pPr>
        <w:pStyle w:val="71"/>
        <w:rPr>
          <w:color w:val="auto"/>
          <w:highlight w:val="none"/>
        </w:rPr>
      </w:pPr>
      <w:r>
        <w:rPr>
          <w:rFonts w:hint="eastAsia"/>
          <w:color w:val="auto"/>
          <w:highlight w:val="none"/>
        </w:rPr>
        <w:t xml:space="preserve"> </w:t>
      </w:r>
      <w:r>
        <w:rPr>
          <w:rFonts w:hint="eastAsia"/>
          <w:color w:val="auto"/>
          <w:highlight w:val="none"/>
          <w:lang w:val="en-US" w:eastAsia="zh-CN"/>
        </w:rPr>
        <w:t>3</w:t>
      </w:r>
      <w:r>
        <w:rPr>
          <w:rFonts w:hint="eastAsia"/>
          <w:color w:val="auto"/>
          <w:highlight w:val="none"/>
        </w:rPr>
        <w:t>、《城市道路路基设计规范》（CJJ 194—2013）</w:t>
      </w:r>
    </w:p>
    <w:p w14:paraId="5E686A63">
      <w:pPr>
        <w:pStyle w:val="71"/>
        <w:rPr>
          <w:color w:val="auto"/>
          <w:highlight w:val="none"/>
        </w:rPr>
      </w:pPr>
      <w:r>
        <w:rPr>
          <w:rFonts w:hint="eastAsia"/>
          <w:color w:val="auto"/>
          <w:highlight w:val="none"/>
          <w:lang w:val="en-US" w:eastAsia="zh-CN"/>
        </w:rPr>
        <w:t>4</w:t>
      </w:r>
      <w:r>
        <w:rPr>
          <w:rFonts w:hint="eastAsia"/>
          <w:color w:val="auto"/>
          <w:highlight w:val="none"/>
        </w:rPr>
        <w:t>、《城镇道路工程施工与质量验收规范》（CJJ 1-2008）</w:t>
      </w:r>
    </w:p>
    <w:p w14:paraId="66C62F67">
      <w:pPr>
        <w:pStyle w:val="71"/>
        <w:rPr>
          <w:color w:val="auto"/>
          <w:highlight w:val="none"/>
        </w:rPr>
      </w:pPr>
      <w:r>
        <w:rPr>
          <w:rFonts w:hint="eastAsia"/>
          <w:color w:val="auto"/>
          <w:highlight w:val="none"/>
          <w:lang w:val="en-US" w:eastAsia="zh-CN"/>
        </w:rPr>
        <w:t>5</w:t>
      </w:r>
      <w:r>
        <w:rPr>
          <w:rFonts w:hint="eastAsia"/>
          <w:color w:val="auto"/>
          <w:highlight w:val="none"/>
        </w:rPr>
        <w:t>、《江苏省城市建设指南与范例》（城市道路篇）</w:t>
      </w:r>
    </w:p>
    <w:p w14:paraId="5C1581A5">
      <w:pPr>
        <w:pStyle w:val="71"/>
        <w:rPr>
          <w:color w:val="auto"/>
          <w:highlight w:val="none"/>
        </w:rPr>
      </w:pPr>
      <w:r>
        <w:rPr>
          <w:rFonts w:hint="eastAsia"/>
          <w:color w:val="auto"/>
          <w:highlight w:val="none"/>
          <w:lang w:val="en-US" w:eastAsia="zh-CN"/>
        </w:rPr>
        <w:t>6</w:t>
      </w:r>
      <w:r>
        <w:rPr>
          <w:rFonts w:hint="eastAsia"/>
          <w:color w:val="auto"/>
          <w:highlight w:val="none"/>
        </w:rPr>
        <w:t>、《公路沥青路面施工技术规范》（JTG F40-2004）</w:t>
      </w:r>
    </w:p>
    <w:p w14:paraId="37FD19D4">
      <w:pPr>
        <w:pStyle w:val="71"/>
        <w:rPr>
          <w:rFonts w:hint="eastAsia"/>
          <w:color w:val="auto"/>
          <w:highlight w:val="none"/>
        </w:rPr>
      </w:pPr>
      <w:r>
        <w:rPr>
          <w:rFonts w:hint="eastAsia"/>
          <w:color w:val="auto"/>
          <w:highlight w:val="none"/>
          <w:lang w:val="en-US" w:eastAsia="zh-CN"/>
        </w:rPr>
        <w:t>7</w:t>
      </w:r>
      <w:r>
        <w:rPr>
          <w:rFonts w:hint="eastAsia"/>
          <w:color w:val="auto"/>
          <w:highlight w:val="none"/>
        </w:rPr>
        <w:t>、《公路水泥混凝土路面设计规范》(JTG D40—2011)</w:t>
      </w:r>
    </w:p>
    <w:p w14:paraId="130C38EF">
      <w:pPr>
        <w:pStyle w:val="71"/>
        <w:rPr>
          <w:rFonts w:hint="eastAsia"/>
          <w:color w:val="auto"/>
          <w:highlight w:val="none"/>
        </w:rPr>
      </w:pPr>
      <w:r>
        <w:rPr>
          <w:rFonts w:hint="eastAsia"/>
          <w:color w:val="auto"/>
          <w:highlight w:val="none"/>
          <w:lang w:val="en-US" w:eastAsia="zh-CN"/>
        </w:rPr>
        <w:t>8、</w:t>
      </w:r>
      <w:r>
        <w:rPr>
          <w:rFonts w:hint="eastAsia"/>
          <w:color w:val="auto"/>
          <w:highlight w:val="none"/>
        </w:rPr>
        <w:t>《混凝土结构通用规范》GB565008-2021</w:t>
      </w:r>
    </w:p>
    <w:p w14:paraId="52C01F1A">
      <w:pPr>
        <w:pStyle w:val="71"/>
        <w:rPr>
          <w:rFonts w:hint="eastAsia"/>
          <w:color w:val="auto"/>
          <w:highlight w:val="none"/>
        </w:rPr>
      </w:pPr>
      <w:r>
        <w:rPr>
          <w:rFonts w:hint="eastAsia"/>
          <w:color w:val="auto"/>
          <w:highlight w:val="none"/>
          <w:lang w:val="en-US" w:eastAsia="zh-CN"/>
        </w:rPr>
        <w:t>9、</w:t>
      </w:r>
      <w:r>
        <w:rPr>
          <w:rFonts w:hint="eastAsia"/>
          <w:color w:val="auto"/>
          <w:highlight w:val="none"/>
        </w:rPr>
        <w:t>《混凝土结构设计规范》GB 50010-2010（2015年版）</w:t>
      </w:r>
    </w:p>
    <w:p w14:paraId="700862B2">
      <w:pPr>
        <w:pStyle w:val="5"/>
        <w:rPr>
          <w:color w:val="auto"/>
          <w:highlight w:val="none"/>
        </w:rPr>
      </w:pPr>
      <w:r>
        <w:rPr>
          <w:rFonts w:hint="eastAsia"/>
          <w:color w:val="auto"/>
          <w:highlight w:val="none"/>
        </w:rPr>
        <w:t>结构层</w:t>
      </w:r>
    </w:p>
    <w:p w14:paraId="70600A33">
      <w:pPr>
        <w:pStyle w:val="71"/>
        <w:ind w:firstLine="482"/>
        <w:rPr>
          <w:b/>
          <w:bCs/>
          <w:color w:val="auto"/>
          <w:highlight w:val="none"/>
        </w:rPr>
      </w:pPr>
      <w:r>
        <w:rPr>
          <w:rFonts w:hint="eastAsia"/>
          <w:b/>
          <w:bCs/>
          <w:color w:val="auto"/>
          <w:highlight w:val="none"/>
        </w:rPr>
        <w:t>1</w:t>
      </w:r>
      <w:r>
        <w:rPr>
          <w:b/>
          <w:bCs/>
          <w:color w:val="auto"/>
          <w:highlight w:val="none"/>
        </w:rPr>
        <w:t>.</w:t>
      </w:r>
      <w:r>
        <w:rPr>
          <w:rFonts w:hint="eastAsia"/>
          <w:b/>
          <w:bCs/>
          <w:color w:val="auto"/>
          <w:highlight w:val="none"/>
        </w:rPr>
        <w:t>新建沥青道路结构层</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3"/>
        <w:gridCol w:w="6173"/>
      </w:tblGrid>
      <w:tr w14:paraId="3C406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1534F8B8">
            <w:pPr>
              <w:pStyle w:val="77"/>
              <w:rPr>
                <w:color w:val="auto"/>
                <w:highlight w:val="none"/>
              </w:rPr>
            </w:pPr>
            <w:r>
              <w:rPr>
                <w:rFonts w:hint="eastAsia"/>
                <w:color w:val="auto"/>
                <w:highlight w:val="none"/>
              </w:rPr>
              <w:t>序号</w:t>
            </w:r>
          </w:p>
        </w:tc>
        <w:tc>
          <w:tcPr>
            <w:tcW w:w="6173" w:type="dxa"/>
            <w:vAlign w:val="center"/>
          </w:tcPr>
          <w:p w14:paraId="2C365AA6">
            <w:pPr>
              <w:pStyle w:val="77"/>
              <w:rPr>
                <w:color w:val="auto"/>
                <w:highlight w:val="none"/>
              </w:rPr>
            </w:pPr>
            <w:r>
              <w:rPr>
                <w:rFonts w:hint="eastAsia"/>
                <w:color w:val="auto"/>
                <w:highlight w:val="none"/>
              </w:rPr>
              <w:t>材料</w:t>
            </w:r>
          </w:p>
        </w:tc>
      </w:tr>
      <w:tr w14:paraId="77211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0DDAE09E">
            <w:pPr>
              <w:pStyle w:val="77"/>
              <w:rPr>
                <w:color w:val="auto"/>
                <w:highlight w:val="none"/>
              </w:rPr>
            </w:pPr>
            <w:r>
              <w:rPr>
                <w:rFonts w:hint="eastAsia"/>
                <w:color w:val="auto"/>
                <w:highlight w:val="none"/>
              </w:rPr>
              <w:t>1</w:t>
            </w:r>
          </w:p>
        </w:tc>
        <w:tc>
          <w:tcPr>
            <w:tcW w:w="6173" w:type="dxa"/>
            <w:vAlign w:val="center"/>
          </w:tcPr>
          <w:p w14:paraId="20E7C945">
            <w:pPr>
              <w:pStyle w:val="77"/>
              <w:rPr>
                <w:color w:val="auto"/>
                <w:highlight w:val="none"/>
              </w:rPr>
            </w:pPr>
            <w:r>
              <w:rPr>
                <w:rFonts w:hint="eastAsia"/>
                <w:color w:val="auto"/>
                <w:highlight w:val="none"/>
              </w:rPr>
              <w:t>5cm</w:t>
            </w:r>
            <w:r>
              <w:rPr>
                <w:color w:val="auto"/>
                <w:highlight w:val="none"/>
              </w:rPr>
              <w:t xml:space="preserve"> AC-13C</w:t>
            </w:r>
            <w:r>
              <w:rPr>
                <w:rFonts w:hint="eastAsia"/>
                <w:color w:val="auto"/>
                <w:highlight w:val="none"/>
              </w:rPr>
              <w:t>细粒式沥青砼</w:t>
            </w:r>
          </w:p>
        </w:tc>
      </w:tr>
      <w:tr w14:paraId="2E83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4B1EB081">
            <w:pPr>
              <w:pStyle w:val="77"/>
              <w:rPr>
                <w:color w:val="auto"/>
                <w:highlight w:val="none"/>
              </w:rPr>
            </w:pPr>
            <w:r>
              <w:rPr>
                <w:rFonts w:hint="eastAsia"/>
                <w:color w:val="auto"/>
                <w:highlight w:val="none"/>
              </w:rPr>
              <w:t>2</w:t>
            </w:r>
          </w:p>
        </w:tc>
        <w:tc>
          <w:tcPr>
            <w:tcW w:w="6173" w:type="dxa"/>
            <w:vAlign w:val="center"/>
          </w:tcPr>
          <w:p w14:paraId="736616C2">
            <w:pPr>
              <w:pStyle w:val="77"/>
              <w:rPr>
                <w:color w:val="auto"/>
                <w:highlight w:val="none"/>
              </w:rPr>
            </w:pPr>
            <w:r>
              <w:rPr>
                <w:rFonts w:hint="eastAsia"/>
                <w:color w:val="auto"/>
                <w:highlight w:val="none"/>
              </w:rPr>
              <w:t>粘层油</w:t>
            </w:r>
          </w:p>
        </w:tc>
      </w:tr>
      <w:tr w14:paraId="3EF4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18D1B3CB">
            <w:pPr>
              <w:pStyle w:val="77"/>
              <w:rPr>
                <w:color w:val="auto"/>
                <w:highlight w:val="none"/>
              </w:rPr>
            </w:pPr>
            <w:r>
              <w:rPr>
                <w:rFonts w:hint="eastAsia"/>
                <w:color w:val="auto"/>
                <w:highlight w:val="none"/>
              </w:rPr>
              <w:t>3</w:t>
            </w:r>
          </w:p>
        </w:tc>
        <w:tc>
          <w:tcPr>
            <w:tcW w:w="6173" w:type="dxa"/>
            <w:vAlign w:val="center"/>
          </w:tcPr>
          <w:p w14:paraId="3FEB3F9F">
            <w:pPr>
              <w:pStyle w:val="77"/>
              <w:rPr>
                <w:color w:val="auto"/>
                <w:highlight w:val="none"/>
              </w:rPr>
            </w:pPr>
            <w:r>
              <w:rPr>
                <w:rFonts w:hint="eastAsia"/>
                <w:color w:val="auto"/>
                <w:highlight w:val="none"/>
              </w:rPr>
              <w:t>15cm C</w:t>
            </w:r>
            <w:r>
              <w:rPr>
                <w:rFonts w:hint="eastAsia"/>
                <w:color w:val="auto"/>
                <w:highlight w:val="none"/>
                <w:lang w:val="en-US" w:eastAsia="zh-CN"/>
              </w:rPr>
              <w:t>25</w:t>
            </w:r>
            <w:r>
              <w:rPr>
                <w:rFonts w:hint="eastAsia"/>
                <w:color w:val="auto"/>
                <w:highlight w:val="none"/>
              </w:rPr>
              <w:t>水泥砼</w:t>
            </w:r>
          </w:p>
        </w:tc>
      </w:tr>
      <w:tr w14:paraId="326FE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7D6F1D77">
            <w:pPr>
              <w:pStyle w:val="77"/>
              <w:rPr>
                <w:color w:val="auto"/>
                <w:highlight w:val="none"/>
              </w:rPr>
            </w:pPr>
            <w:r>
              <w:rPr>
                <w:rFonts w:hint="eastAsia"/>
                <w:color w:val="auto"/>
                <w:highlight w:val="none"/>
              </w:rPr>
              <w:t>4</w:t>
            </w:r>
          </w:p>
        </w:tc>
        <w:tc>
          <w:tcPr>
            <w:tcW w:w="6173" w:type="dxa"/>
            <w:vAlign w:val="center"/>
          </w:tcPr>
          <w:p w14:paraId="2ACA6ACC">
            <w:pPr>
              <w:pStyle w:val="77"/>
              <w:rPr>
                <w:color w:val="auto"/>
                <w:highlight w:val="none"/>
              </w:rPr>
            </w:pPr>
            <w:r>
              <w:rPr>
                <w:rFonts w:hint="eastAsia"/>
                <w:color w:val="auto"/>
                <w:highlight w:val="none"/>
                <w:lang w:val="en-US" w:eastAsia="zh-CN"/>
              </w:rPr>
              <w:t>15</w:t>
            </w:r>
            <w:r>
              <w:rPr>
                <w:rFonts w:hint="eastAsia"/>
                <w:color w:val="auto"/>
                <w:highlight w:val="none"/>
              </w:rPr>
              <w:t xml:space="preserve">cm </w:t>
            </w:r>
            <w:r>
              <w:rPr>
                <w:rFonts w:hint="eastAsia"/>
                <w:color w:val="auto"/>
                <w:highlight w:val="none"/>
                <w:lang w:val="en-US" w:eastAsia="zh-CN"/>
              </w:rPr>
              <w:t>8</w:t>
            </w:r>
            <w:r>
              <w:rPr>
                <w:rFonts w:hint="eastAsia"/>
                <w:color w:val="auto"/>
                <w:highlight w:val="none"/>
              </w:rPr>
              <w:t>%水泥土</w:t>
            </w:r>
          </w:p>
        </w:tc>
      </w:tr>
      <w:tr w14:paraId="575B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67EB37A5">
            <w:pPr>
              <w:pStyle w:val="77"/>
              <w:rPr>
                <w:color w:val="auto"/>
                <w:highlight w:val="none"/>
              </w:rPr>
            </w:pPr>
            <w:r>
              <w:rPr>
                <w:rFonts w:hint="eastAsia"/>
                <w:color w:val="auto"/>
                <w:highlight w:val="none"/>
              </w:rPr>
              <w:t>5</w:t>
            </w:r>
          </w:p>
        </w:tc>
        <w:tc>
          <w:tcPr>
            <w:tcW w:w="6173" w:type="dxa"/>
            <w:vAlign w:val="center"/>
          </w:tcPr>
          <w:p w14:paraId="45C2A5B5">
            <w:pPr>
              <w:pStyle w:val="77"/>
              <w:rPr>
                <w:color w:val="auto"/>
                <w:highlight w:val="none"/>
              </w:rPr>
            </w:pPr>
            <w:r>
              <w:rPr>
                <w:rFonts w:hint="eastAsia"/>
                <w:color w:val="auto"/>
                <w:highlight w:val="none"/>
                <w:lang w:val="en-US" w:eastAsia="zh-CN"/>
              </w:rPr>
              <w:t>15</w:t>
            </w:r>
            <w:r>
              <w:rPr>
                <w:rFonts w:hint="eastAsia"/>
                <w:color w:val="auto"/>
                <w:highlight w:val="none"/>
              </w:rPr>
              <w:t>cm 原槽翻松掺6%水泥(压实度≥89%)</w:t>
            </w:r>
          </w:p>
        </w:tc>
      </w:tr>
    </w:tbl>
    <w:p w14:paraId="1BCD8E2C">
      <w:pPr>
        <w:pStyle w:val="71"/>
        <w:ind w:firstLine="482"/>
        <w:rPr>
          <w:b/>
          <w:bCs/>
          <w:color w:val="auto"/>
          <w:highlight w:val="none"/>
        </w:rPr>
      </w:pPr>
      <w:r>
        <w:rPr>
          <w:rFonts w:hint="eastAsia"/>
          <w:b/>
          <w:bCs/>
          <w:color w:val="auto"/>
          <w:highlight w:val="none"/>
        </w:rPr>
        <w:t>2</w:t>
      </w:r>
      <w:r>
        <w:rPr>
          <w:b/>
          <w:bCs/>
          <w:color w:val="auto"/>
          <w:highlight w:val="none"/>
        </w:rPr>
        <w:t>.</w:t>
      </w:r>
      <w:r>
        <w:rPr>
          <w:rFonts w:hint="eastAsia"/>
          <w:b/>
          <w:bCs/>
          <w:color w:val="auto"/>
          <w:highlight w:val="none"/>
          <w:lang w:eastAsia="zh-CN"/>
        </w:rPr>
        <w:t>新建水泥路</w:t>
      </w:r>
      <w:r>
        <w:rPr>
          <w:rFonts w:hint="eastAsia"/>
          <w:b/>
          <w:bCs/>
          <w:color w:val="auto"/>
          <w:highlight w:val="none"/>
        </w:rPr>
        <w:t>结构层</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3"/>
        <w:gridCol w:w="6173"/>
      </w:tblGrid>
      <w:tr w14:paraId="3FC9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1A69795B">
            <w:pPr>
              <w:pStyle w:val="77"/>
              <w:rPr>
                <w:color w:val="auto"/>
                <w:highlight w:val="none"/>
              </w:rPr>
            </w:pPr>
            <w:r>
              <w:rPr>
                <w:rFonts w:hint="eastAsia"/>
                <w:color w:val="auto"/>
                <w:highlight w:val="none"/>
              </w:rPr>
              <w:t>序号</w:t>
            </w:r>
          </w:p>
        </w:tc>
        <w:tc>
          <w:tcPr>
            <w:tcW w:w="6173" w:type="dxa"/>
            <w:vAlign w:val="center"/>
          </w:tcPr>
          <w:p w14:paraId="5B615367">
            <w:pPr>
              <w:pStyle w:val="77"/>
              <w:rPr>
                <w:color w:val="auto"/>
                <w:highlight w:val="none"/>
              </w:rPr>
            </w:pPr>
            <w:r>
              <w:rPr>
                <w:rFonts w:hint="eastAsia"/>
                <w:color w:val="auto"/>
                <w:highlight w:val="none"/>
              </w:rPr>
              <w:t>材料</w:t>
            </w:r>
          </w:p>
        </w:tc>
      </w:tr>
      <w:tr w14:paraId="25BF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2D156EF6">
            <w:pPr>
              <w:pStyle w:val="77"/>
              <w:rPr>
                <w:color w:val="auto"/>
                <w:highlight w:val="none"/>
              </w:rPr>
            </w:pPr>
            <w:r>
              <w:rPr>
                <w:rFonts w:hint="eastAsia"/>
                <w:color w:val="auto"/>
                <w:highlight w:val="none"/>
              </w:rPr>
              <w:t>1</w:t>
            </w:r>
          </w:p>
        </w:tc>
        <w:tc>
          <w:tcPr>
            <w:tcW w:w="6173" w:type="dxa"/>
            <w:vAlign w:val="center"/>
          </w:tcPr>
          <w:p w14:paraId="2A4EA291">
            <w:pPr>
              <w:pStyle w:val="77"/>
              <w:rPr>
                <w:color w:val="auto"/>
                <w:highlight w:val="none"/>
              </w:rPr>
            </w:pPr>
            <w:r>
              <w:rPr>
                <w:rFonts w:hint="eastAsia"/>
                <w:color w:val="auto"/>
                <w:highlight w:val="none"/>
              </w:rPr>
              <w:t>10cm C25砼（模压印花处理）</w:t>
            </w:r>
          </w:p>
        </w:tc>
      </w:tr>
      <w:tr w14:paraId="5E28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3BF6F003">
            <w:pPr>
              <w:pStyle w:val="77"/>
              <w:rPr>
                <w:color w:val="auto"/>
                <w:highlight w:val="none"/>
              </w:rPr>
            </w:pPr>
            <w:r>
              <w:rPr>
                <w:rFonts w:hint="eastAsia"/>
                <w:color w:val="auto"/>
                <w:highlight w:val="none"/>
              </w:rPr>
              <w:t>2</w:t>
            </w:r>
          </w:p>
        </w:tc>
        <w:tc>
          <w:tcPr>
            <w:tcW w:w="6173" w:type="dxa"/>
            <w:vAlign w:val="center"/>
          </w:tcPr>
          <w:p w14:paraId="0B6288D9">
            <w:pPr>
              <w:pStyle w:val="77"/>
              <w:rPr>
                <w:color w:val="auto"/>
                <w:highlight w:val="none"/>
              </w:rPr>
            </w:pPr>
            <w:r>
              <w:rPr>
                <w:rFonts w:hint="eastAsia"/>
                <w:color w:val="auto"/>
                <w:highlight w:val="none"/>
              </w:rPr>
              <w:t>15cm 原槽翻松掺6%水泥</w:t>
            </w:r>
          </w:p>
        </w:tc>
      </w:tr>
    </w:tbl>
    <w:p w14:paraId="1EA99088">
      <w:pPr>
        <w:pStyle w:val="71"/>
        <w:ind w:firstLine="482"/>
        <w:rPr>
          <w:rFonts w:hint="eastAsia" w:eastAsia="宋体"/>
          <w:b/>
          <w:bCs/>
          <w:color w:val="auto"/>
          <w:highlight w:val="none"/>
          <w:lang w:eastAsia="zh-CN"/>
        </w:rPr>
      </w:pPr>
      <w:r>
        <w:rPr>
          <w:rFonts w:hint="eastAsia"/>
          <w:b/>
          <w:bCs/>
          <w:color w:val="auto"/>
          <w:highlight w:val="none"/>
        </w:rPr>
        <w:t>3</w:t>
      </w:r>
      <w:r>
        <w:rPr>
          <w:b/>
          <w:bCs/>
          <w:color w:val="auto"/>
          <w:highlight w:val="none"/>
        </w:rPr>
        <w:t>.</w:t>
      </w:r>
      <w:r>
        <w:rPr>
          <w:rFonts w:hint="eastAsia"/>
          <w:b/>
          <w:bCs/>
          <w:color w:val="auto"/>
          <w:highlight w:val="none"/>
          <w:lang w:eastAsia="zh-CN"/>
        </w:rPr>
        <w:t>新建模压混凝土车位</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3"/>
        <w:gridCol w:w="6173"/>
      </w:tblGrid>
      <w:tr w14:paraId="1715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051BE367">
            <w:pPr>
              <w:pStyle w:val="77"/>
              <w:ind w:left="0" w:leftChars="0" w:firstLine="0" w:firstLineChars="0"/>
              <w:rPr>
                <w:color w:val="auto"/>
                <w:highlight w:val="none"/>
              </w:rPr>
            </w:pPr>
            <w:r>
              <w:rPr>
                <w:rFonts w:hint="eastAsia"/>
                <w:color w:val="auto"/>
              </w:rPr>
              <w:t>序号</w:t>
            </w:r>
          </w:p>
        </w:tc>
        <w:tc>
          <w:tcPr>
            <w:tcW w:w="6173" w:type="dxa"/>
            <w:vAlign w:val="center"/>
          </w:tcPr>
          <w:p w14:paraId="19EF9434">
            <w:pPr>
              <w:pStyle w:val="77"/>
              <w:ind w:left="0" w:leftChars="0" w:firstLine="0" w:firstLineChars="0"/>
              <w:rPr>
                <w:color w:val="auto"/>
                <w:highlight w:val="none"/>
              </w:rPr>
            </w:pPr>
            <w:r>
              <w:rPr>
                <w:rFonts w:hint="eastAsia"/>
                <w:color w:val="auto"/>
              </w:rPr>
              <w:t>材料</w:t>
            </w:r>
          </w:p>
        </w:tc>
      </w:tr>
      <w:tr w14:paraId="633C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258602FC">
            <w:pPr>
              <w:pStyle w:val="77"/>
              <w:ind w:left="0" w:leftChars="0" w:firstLine="0" w:firstLineChars="0"/>
              <w:rPr>
                <w:color w:val="auto"/>
                <w:highlight w:val="none"/>
              </w:rPr>
            </w:pPr>
            <w:r>
              <w:rPr>
                <w:rFonts w:hint="eastAsia"/>
                <w:color w:val="auto"/>
              </w:rPr>
              <w:t>1</w:t>
            </w:r>
          </w:p>
        </w:tc>
        <w:tc>
          <w:tcPr>
            <w:tcW w:w="6173" w:type="dxa"/>
            <w:vAlign w:val="center"/>
          </w:tcPr>
          <w:p w14:paraId="212D55AA">
            <w:pPr>
              <w:pStyle w:val="77"/>
              <w:ind w:left="0" w:leftChars="0" w:firstLine="0" w:firstLineChars="0"/>
              <w:rPr>
                <w:color w:val="auto"/>
                <w:highlight w:val="none"/>
              </w:rPr>
            </w:pPr>
            <w:r>
              <w:rPr>
                <w:rFonts w:hint="eastAsia"/>
                <w:color w:val="auto"/>
              </w:rPr>
              <w:t>18cm C30水泥砼（模压混凝土）</w:t>
            </w:r>
          </w:p>
        </w:tc>
      </w:tr>
      <w:tr w14:paraId="41EE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157BBD1F">
            <w:pPr>
              <w:pStyle w:val="77"/>
              <w:ind w:left="0" w:leftChars="0" w:firstLine="0" w:firstLineChars="0"/>
              <w:rPr>
                <w:color w:val="auto"/>
                <w:highlight w:val="none"/>
              </w:rPr>
            </w:pPr>
            <w:r>
              <w:rPr>
                <w:rFonts w:hint="eastAsia"/>
                <w:color w:val="auto"/>
              </w:rPr>
              <w:t>2</w:t>
            </w:r>
          </w:p>
        </w:tc>
        <w:tc>
          <w:tcPr>
            <w:tcW w:w="6173" w:type="dxa"/>
            <w:vAlign w:val="center"/>
          </w:tcPr>
          <w:p w14:paraId="471313DF">
            <w:pPr>
              <w:pStyle w:val="77"/>
              <w:ind w:left="0" w:leftChars="0" w:firstLine="0" w:firstLineChars="0"/>
              <w:rPr>
                <w:color w:val="auto"/>
                <w:highlight w:val="none"/>
              </w:rPr>
            </w:pPr>
            <w:r>
              <w:rPr>
                <w:rFonts w:hint="eastAsia"/>
                <w:color w:val="auto"/>
              </w:rPr>
              <w:t>15cm 8%水泥土(压实度≥92%)</w:t>
            </w:r>
          </w:p>
        </w:tc>
      </w:tr>
      <w:tr w14:paraId="72ED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114174D9">
            <w:pPr>
              <w:pStyle w:val="77"/>
              <w:ind w:left="0" w:leftChars="0" w:firstLine="0" w:firstLineChars="0"/>
              <w:rPr>
                <w:rFonts w:hint="eastAsia"/>
                <w:color w:val="auto"/>
                <w:highlight w:val="none"/>
              </w:rPr>
            </w:pPr>
            <w:r>
              <w:rPr>
                <w:rFonts w:hint="eastAsia"/>
                <w:color w:val="auto"/>
                <w:lang w:val="en-US" w:eastAsia="zh-CN"/>
              </w:rPr>
              <w:t>3</w:t>
            </w:r>
          </w:p>
        </w:tc>
        <w:tc>
          <w:tcPr>
            <w:tcW w:w="6173" w:type="dxa"/>
            <w:vAlign w:val="center"/>
          </w:tcPr>
          <w:p w14:paraId="12A62F3D">
            <w:pPr>
              <w:pStyle w:val="77"/>
              <w:ind w:left="0" w:leftChars="0" w:firstLine="0" w:firstLineChars="0"/>
              <w:rPr>
                <w:rFonts w:hint="eastAsia"/>
                <w:color w:val="auto"/>
                <w:highlight w:val="none"/>
              </w:rPr>
            </w:pPr>
            <w:r>
              <w:rPr>
                <w:rFonts w:hint="eastAsia"/>
                <w:color w:val="auto"/>
              </w:rPr>
              <w:t>15cm 原槽翻松掺6%水泥土(压实度≥89%)</w:t>
            </w:r>
          </w:p>
        </w:tc>
      </w:tr>
    </w:tbl>
    <w:p w14:paraId="06B82BD6">
      <w:pPr>
        <w:pStyle w:val="71"/>
        <w:ind w:firstLine="482"/>
        <w:rPr>
          <w:rFonts w:hint="eastAsia" w:eastAsia="宋体"/>
          <w:b/>
          <w:bCs/>
          <w:color w:val="auto"/>
          <w:highlight w:val="none"/>
          <w:lang w:eastAsia="zh-CN"/>
        </w:rPr>
      </w:pPr>
      <w:r>
        <w:rPr>
          <w:rFonts w:hint="eastAsia"/>
          <w:b/>
          <w:bCs/>
          <w:color w:val="auto"/>
          <w:highlight w:val="none"/>
          <w:lang w:val="en-US" w:eastAsia="zh-CN"/>
        </w:rPr>
        <w:t>4</w:t>
      </w:r>
      <w:r>
        <w:rPr>
          <w:b/>
          <w:bCs/>
          <w:color w:val="auto"/>
          <w:highlight w:val="none"/>
        </w:rPr>
        <w:t>.</w:t>
      </w:r>
      <w:r>
        <w:rPr>
          <w:rFonts w:hint="eastAsia"/>
          <w:b/>
          <w:bCs/>
          <w:color w:val="auto"/>
          <w:highlight w:val="none"/>
        </w:rPr>
        <w:t>现状现状沥青路面</w:t>
      </w:r>
      <w:r>
        <w:rPr>
          <w:rFonts w:hint="eastAsia"/>
          <w:b/>
          <w:bCs/>
          <w:color w:val="auto"/>
          <w:highlight w:val="none"/>
          <w:lang w:eastAsia="zh-CN"/>
        </w:rPr>
        <w:t>刨除重新摊铺结构层</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3"/>
        <w:gridCol w:w="6173"/>
      </w:tblGrid>
      <w:tr w14:paraId="299C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2C2518B8">
            <w:pPr>
              <w:pStyle w:val="77"/>
              <w:ind w:left="0" w:leftChars="0" w:firstLine="0" w:firstLineChars="0"/>
              <w:rPr>
                <w:color w:val="auto"/>
                <w:highlight w:val="none"/>
              </w:rPr>
            </w:pPr>
            <w:r>
              <w:rPr>
                <w:rFonts w:hint="eastAsia"/>
                <w:color w:val="auto"/>
              </w:rPr>
              <w:t>序号</w:t>
            </w:r>
          </w:p>
        </w:tc>
        <w:tc>
          <w:tcPr>
            <w:tcW w:w="6173" w:type="dxa"/>
            <w:vAlign w:val="center"/>
          </w:tcPr>
          <w:p w14:paraId="4993B4EA">
            <w:pPr>
              <w:pStyle w:val="77"/>
              <w:ind w:left="0" w:leftChars="0" w:firstLine="0" w:firstLineChars="0"/>
              <w:rPr>
                <w:color w:val="auto"/>
                <w:highlight w:val="none"/>
              </w:rPr>
            </w:pPr>
            <w:r>
              <w:rPr>
                <w:rFonts w:hint="eastAsia"/>
                <w:color w:val="auto"/>
              </w:rPr>
              <w:t>材料</w:t>
            </w:r>
          </w:p>
        </w:tc>
      </w:tr>
      <w:tr w14:paraId="7460D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45055D47">
            <w:pPr>
              <w:pStyle w:val="77"/>
              <w:ind w:left="0" w:leftChars="0" w:firstLine="0" w:firstLineChars="0"/>
              <w:rPr>
                <w:color w:val="auto"/>
                <w:highlight w:val="none"/>
              </w:rPr>
            </w:pPr>
            <w:r>
              <w:rPr>
                <w:rFonts w:hint="eastAsia"/>
                <w:color w:val="auto"/>
              </w:rPr>
              <w:t>1</w:t>
            </w:r>
          </w:p>
        </w:tc>
        <w:tc>
          <w:tcPr>
            <w:tcW w:w="6173" w:type="dxa"/>
            <w:vAlign w:val="center"/>
          </w:tcPr>
          <w:p w14:paraId="6A6B589D">
            <w:pPr>
              <w:pStyle w:val="77"/>
              <w:ind w:left="0" w:leftChars="0" w:firstLine="0" w:firstLineChars="0"/>
              <w:rPr>
                <w:color w:val="auto"/>
                <w:highlight w:val="none"/>
              </w:rPr>
            </w:pPr>
            <w:r>
              <w:rPr>
                <w:rFonts w:hint="eastAsia"/>
                <w:color w:val="auto"/>
              </w:rPr>
              <w:t>5cm AC-13C细粒式沥青砼</w:t>
            </w:r>
          </w:p>
        </w:tc>
      </w:tr>
      <w:tr w14:paraId="7FF8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70F736F2">
            <w:pPr>
              <w:pStyle w:val="77"/>
              <w:ind w:left="0" w:leftChars="0" w:firstLine="0" w:firstLineChars="0"/>
              <w:rPr>
                <w:color w:val="auto"/>
                <w:highlight w:val="none"/>
              </w:rPr>
            </w:pPr>
            <w:r>
              <w:rPr>
                <w:rFonts w:hint="eastAsia"/>
                <w:color w:val="auto"/>
              </w:rPr>
              <w:t>2</w:t>
            </w:r>
          </w:p>
        </w:tc>
        <w:tc>
          <w:tcPr>
            <w:tcW w:w="6173" w:type="dxa"/>
            <w:vAlign w:val="center"/>
          </w:tcPr>
          <w:p w14:paraId="67D228A6">
            <w:pPr>
              <w:pStyle w:val="77"/>
              <w:ind w:left="0" w:leftChars="0" w:firstLine="0" w:firstLineChars="0"/>
              <w:rPr>
                <w:color w:val="auto"/>
                <w:highlight w:val="none"/>
              </w:rPr>
            </w:pPr>
            <w:r>
              <w:rPr>
                <w:rFonts w:hint="eastAsia"/>
                <w:color w:val="auto"/>
              </w:rPr>
              <w:t>聚酯玻纤非织造土工布</w:t>
            </w:r>
          </w:p>
        </w:tc>
      </w:tr>
      <w:tr w14:paraId="77A3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0A0A59EE">
            <w:pPr>
              <w:pStyle w:val="77"/>
              <w:ind w:left="0" w:leftChars="0" w:firstLine="0" w:firstLineChars="0"/>
              <w:rPr>
                <w:rFonts w:hint="eastAsia"/>
                <w:color w:val="auto"/>
                <w:highlight w:val="none"/>
              </w:rPr>
            </w:pPr>
            <w:r>
              <w:rPr>
                <w:rFonts w:hint="eastAsia"/>
                <w:color w:val="auto"/>
                <w:lang w:val="en-US" w:eastAsia="zh-CN"/>
              </w:rPr>
              <w:t>3</w:t>
            </w:r>
          </w:p>
        </w:tc>
        <w:tc>
          <w:tcPr>
            <w:tcW w:w="6173" w:type="dxa"/>
            <w:vAlign w:val="center"/>
          </w:tcPr>
          <w:p w14:paraId="280378DD">
            <w:pPr>
              <w:pStyle w:val="77"/>
              <w:ind w:left="0" w:leftChars="0" w:firstLine="0" w:firstLineChars="0"/>
              <w:rPr>
                <w:rFonts w:hint="eastAsia"/>
                <w:color w:val="auto"/>
                <w:highlight w:val="none"/>
              </w:rPr>
            </w:pPr>
            <w:r>
              <w:rPr>
                <w:rFonts w:hint="eastAsia"/>
                <w:color w:val="auto"/>
              </w:rPr>
              <w:t>沥青粘层</w:t>
            </w:r>
          </w:p>
        </w:tc>
      </w:tr>
      <w:tr w14:paraId="5319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72ED5D79">
            <w:pPr>
              <w:pStyle w:val="77"/>
              <w:ind w:left="0" w:leftChars="0" w:firstLine="0" w:firstLineChars="0"/>
              <w:rPr>
                <w:rFonts w:hint="eastAsia"/>
                <w:color w:val="auto"/>
                <w:highlight w:val="none"/>
              </w:rPr>
            </w:pPr>
            <w:r>
              <w:rPr>
                <w:rFonts w:hint="eastAsia"/>
                <w:color w:val="auto"/>
                <w:lang w:val="en-US" w:eastAsia="zh-CN"/>
              </w:rPr>
              <w:t>4</w:t>
            </w:r>
          </w:p>
        </w:tc>
        <w:tc>
          <w:tcPr>
            <w:tcW w:w="6173" w:type="dxa"/>
            <w:vAlign w:val="center"/>
          </w:tcPr>
          <w:p w14:paraId="2A5D75B6">
            <w:pPr>
              <w:pStyle w:val="77"/>
              <w:ind w:left="0" w:leftChars="0" w:firstLine="0" w:firstLineChars="0"/>
              <w:rPr>
                <w:rFonts w:hint="eastAsia"/>
                <w:color w:val="auto"/>
                <w:highlight w:val="none"/>
              </w:rPr>
            </w:pPr>
            <w:r>
              <w:rPr>
                <w:rFonts w:hint="eastAsia"/>
                <w:color w:val="auto"/>
              </w:rPr>
              <w:t>现状沥青路面刨除后的水泥面层</w:t>
            </w:r>
          </w:p>
        </w:tc>
      </w:tr>
    </w:tbl>
    <w:p w14:paraId="306701A8">
      <w:pPr>
        <w:pStyle w:val="5"/>
        <w:rPr>
          <w:color w:val="auto"/>
          <w:highlight w:val="none"/>
        </w:rPr>
      </w:pPr>
      <w:r>
        <w:rPr>
          <w:rFonts w:hint="eastAsia"/>
          <w:color w:val="auto"/>
          <w:highlight w:val="none"/>
        </w:rPr>
        <w:t>沥青混凝土用料</w:t>
      </w:r>
    </w:p>
    <w:p w14:paraId="538DBBFC">
      <w:pPr>
        <w:pStyle w:val="71"/>
        <w:ind w:firstLine="482"/>
        <w:rPr>
          <w:b/>
          <w:bCs/>
          <w:color w:val="auto"/>
          <w:highlight w:val="none"/>
        </w:rPr>
      </w:pPr>
      <w:r>
        <w:rPr>
          <w:rFonts w:hint="eastAsia"/>
          <w:b/>
          <w:bCs/>
          <w:color w:val="auto"/>
          <w:highlight w:val="none"/>
        </w:rPr>
        <w:t>1</w:t>
      </w:r>
      <w:r>
        <w:rPr>
          <w:b/>
          <w:bCs/>
          <w:color w:val="auto"/>
          <w:highlight w:val="none"/>
        </w:rPr>
        <w:t>.</w:t>
      </w:r>
      <w:r>
        <w:rPr>
          <w:rFonts w:hint="eastAsia"/>
          <w:b/>
          <w:bCs/>
          <w:color w:val="auto"/>
          <w:highlight w:val="none"/>
        </w:rPr>
        <w:t>石油沥青</w:t>
      </w:r>
    </w:p>
    <w:p w14:paraId="727A6510">
      <w:pPr>
        <w:pStyle w:val="71"/>
        <w:rPr>
          <w:color w:val="auto"/>
          <w:highlight w:val="none"/>
        </w:rPr>
      </w:pPr>
      <w:r>
        <w:rPr>
          <w:rFonts w:hint="eastAsia"/>
          <w:color w:val="auto"/>
          <w:highlight w:val="none"/>
        </w:rPr>
        <w:t>小区车道表面层 AC-13C 沥青采用优质道路石油沥青，标号为 70 号 A 级，各项指标应符合《城镇道路工程施工与质量验收规范》（CJJ 1-2008）表 8.1.7-1“道路石油沥青的主要技术要求”的规定。</w:t>
      </w:r>
    </w:p>
    <w:p w14:paraId="66ECC5CA">
      <w:pPr>
        <w:pStyle w:val="71"/>
        <w:ind w:firstLine="482"/>
        <w:rPr>
          <w:b/>
          <w:bCs/>
          <w:color w:val="auto"/>
          <w:highlight w:val="none"/>
        </w:rPr>
      </w:pPr>
      <w:r>
        <w:rPr>
          <w:rFonts w:hint="eastAsia"/>
          <w:b/>
          <w:bCs/>
          <w:color w:val="auto"/>
          <w:highlight w:val="none"/>
        </w:rPr>
        <w:t>2</w:t>
      </w:r>
      <w:r>
        <w:rPr>
          <w:b/>
          <w:bCs/>
          <w:color w:val="auto"/>
          <w:highlight w:val="none"/>
        </w:rPr>
        <w:t>.</w:t>
      </w:r>
      <w:r>
        <w:rPr>
          <w:rFonts w:hint="eastAsia"/>
          <w:b/>
          <w:bCs/>
          <w:color w:val="auto"/>
          <w:highlight w:val="none"/>
        </w:rPr>
        <w:t>乳化沥青</w:t>
      </w:r>
    </w:p>
    <w:p w14:paraId="78DF4A4E">
      <w:pPr>
        <w:pStyle w:val="71"/>
        <w:rPr>
          <w:color w:val="auto"/>
          <w:highlight w:val="none"/>
        </w:rPr>
      </w:pPr>
      <w:r>
        <w:rPr>
          <w:rFonts w:hint="eastAsia"/>
          <w:color w:val="auto"/>
          <w:highlight w:val="none"/>
        </w:rPr>
        <w:t>沥青粘层油（PC-3）采用优质乳化沥青，各项指标应符合《城镇道路工程施工与质量验收规范》（CJJ 1-2008）表 8.1.7-2“道路用乳化沥青技术要求”的规定。</w:t>
      </w:r>
    </w:p>
    <w:p w14:paraId="423F824A">
      <w:pPr>
        <w:pStyle w:val="71"/>
        <w:ind w:firstLine="482"/>
        <w:rPr>
          <w:b/>
          <w:bCs/>
          <w:color w:val="auto"/>
          <w:highlight w:val="none"/>
        </w:rPr>
      </w:pPr>
      <w:r>
        <w:rPr>
          <w:rFonts w:hint="eastAsia"/>
          <w:b/>
          <w:bCs/>
          <w:color w:val="auto"/>
          <w:highlight w:val="none"/>
        </w:rPr>
        <w:t>3</w:t>
      </w:r>
      <w:r>
        <w:rPr>
          <w:b/>
          <w:bCs/>
          <w:color w:val="auto"/>
          <w:highlight w:val="none"/>
        </w:rPr>
        <w:t>.</w:t>
      </w:r>
      <w:r>
        <w:rPr>
          <w:rFonts w:hint="eastAsia"/>
          <w:b/>
          <w:bCs/>
          <w:color w:val="auto"/>
          <w:highlight w:val="none"/>
        </w:rPr>
        <w:t>粗集料</w:t>
      </w:r>
    </w:p>
    <w:p w14:paraId="09FE159D">
      <w:pPr>
        <w:pStyle w:val="71"/>
        <w:rPr>
          <w:color w:val="auto"/>
          <w:highlight w:val="none"/>
        </w:rPr>
      </w:pPr>
      <w:r>
        <w:rPr>
          <w:rFonts w:hint="eastAsia"/>
          <w:color w:val="auto"/>
          <w:highlight w:val="none"/>
        </w:rPr>
        <w:t>沥青层用粗集料包括碎石、破碎砾石、筛选砾石等。粗集料应该洁净、干燥、表面粗糙，质量应符合下表的规定。当单一规格集料的质量指标达不到表中要求，而按照集料配合比计算的质量指标符合要求时，工程上允许使用。对受热易变质的集料，宜采用经拌和机烘干后的集料进行检验。粗集料对沥青的粘附性，城市快速路、主干路应大于或等于 4 级；次干路及以下道路应大于或等于 3 级。粗集料应具有一定的破碎面颗粒含量，具有 1 个破碎面宜大于 90%，2 个及以上的宜大于 80%。</w:t>
      </w:r>
    </w:p>
    <w:p w14:paraId="32BB7CAF">
      <w:pPr>
        <w:pStyle w:val="71"/>
        <w:rPr>
          <w:color w:val="auto"/>
          <w:highlight w:val="none"/>
        </w:rPr>
      </w:pPr>
      <w:r>
        <w:rPr>
          <w:rFonts w:hint="eastAsia"/>
          <w:color w:val="auto"/>
          <w:highlight w:val="none"/>
        </w:rPr>
        <w:t>AC-13C 粗集料采用石灰岩材料，其技术要求应符合《城镇道路工程施工与质量验收规范》（CJJ 1-2008）表 8.1.7-6“沥青混合料用质量技术要求”的规定。</w:t>
      </w:r>
    </w:p>
    <w:p w14:paraId="15B93809">
      <w:pPr>
        <w:pStyle w:val="71"/>
        <w:ind w:firstLine="482"/>
        <w:rPr>
          <w:b/>
          <w:bCs/>
          <w:color w:val="auto"/>
          <w:highlight w:val="none"/>
        </w:rPr>
      </w:pPr>
      <w:r>
        <w:rPr>
          <w:rFonts w:hint="eastAsia"/>
          <w:b/>
          <w:bCs/>
          <w:color w:val="auto"/>
          <w:highlight w:val="none"/>
        </w:rPr>
        <w:t>4</w:t>
      </w:r>
      <w:r>
        <w:rPr>
          <w:b/>
          <w:bCs/>
          <w:color w:val="auto"/>
          <w:highlight w:val="none"/>
        </w:rPr>
        <w:t>.</w:t>
      </w:r>
      <w:r>
        <w:rPr>
          <w:rFonts w:hint="eastAsia"/>
          <w:b/>
          <w:bCs/>
          <w:color w:val="auto"/>
          <w:highlight w:val="none"/>
        </w:rPr>
        <w:t>细集料</w:t>
      </w:r>
    </w:p>
    <w:p w14:paraId="636922DD">
      <w:pPr>
        <w:pStyle w:val="71"/>
        <w:rPr>
          <w:color w:val="auto"/>
          <w:highlight w:val="none"/>
        </w:rPr>
      </w:pPr>
      <w:r>
        <w:rPr>
          <w:rFonts w:hint="eastAsia"/>
          <w:color w:val="auto"/>
          <w:highlight w:val="none"/>
        </w:rPr>
        <w:t>AC-13C、细集料采用石灰岩石料。细集料应该洁净、干燥、无风化、无杂质，并有适当的颗粒级配，天然砂以小于 0.075mm 含量的百分数表示，石屑和机制砂以砂当量（适用于 0～4.75mm）或亚甲蓝值（适用于 0～2.36mm 或者 0～0.15mm）表示，其技术要求应符合《城镇道路工程施工与质量验收规范》（CJJ 1-2008）表 8.1.7-8“细集料质量要求”的规定。</w:t>
      </w:r>
    </w:p>
    <w:p w14:paraId="58AA56BE">
      <w:pPr>
        <w:pStyle w:val="71"/>
        <w:ind w:firstLine="482"/>
        <w:rPr>
          <w:b/>
          <w:bCs/>
          <w:color w:val="auto"/>
          <w:highlight w:val="none"/>
        </w:rPr>
      </w:pPr>
      <w:r>
        <w:rPr>
          <w:b/>
          <w:bCs/>
          <w:color w:val="auto"/>
          <w:highlight w:val="none"/>
        </w:rPr>
        <w:t>5.</w:t>
      </w:r>
      <w:r>
        <w:rPr>
          <w:rFonts w:hint="eastAsia"/>
          <w:b/>
          <w:bCs/>
          <w:color w:val="auto"/>
          <w:highlight w:val="none"/>
        </w:rPr>
        <w:t>填料</w:t>
      </w:r>
    </w:p>
    <w:p w14:paraId="51D93055">
      <w:pPr>
        <w:pStyle w:val="71"/>
        <w:rPr>
          <w:color w:val="auto"/>
          <w:highlight w:val="none"/>
        </w:rPr>
      </w:pPr>
      <w:r>
        <w:rPr>
          <w:rFonts w:hint="eastAsia"/>
          <w:color w:val="auto"/>
          <w:highlight w:val="none"/>
        </w:rPr>
        <w:t>AC-13C 必须采用石灰岩或岩浆岩中的强基性岩石等憎水性石料经磨细得到的矿粉，原石料中的泥土杂质应除净。矿粉应干燥、洁净，能自由地从矿粉仓流出，其质量应符合下表技术要求，回收粉尘不得再利用。其技术要求应符合《城镇道路工程施工与质量验收规范》（CJJ 1-2008）表 8.1.7-8“细集料质量要求”的规定。</w:t>
      </w:r>
    </w:p>
    <w:p w14:paraId="25F6F02E">
      <w:pPr>
        <w:pStyle w:val="5"/>
        <w:rPr>
          <w:color w:val="auto"/>
          <w:highlight w:val="none"/>
        </w:rPr>
      </w:pPr>
      <w:r>
        <w:rPr>
          <w:rFonts w:hint="eastAsia"/>
          <w:color w:val="auto"/>
          <w:highlight w:val="none"/>
        </w:rPr>
        <w:t>水泥混凝土用料</w:t>
      </w:r>
    </w:p>
    <w:p w14:paraId="0CE7F0A8">
      <w:pPr>
        <w:pStyle w:val="71"/>
        <w:rPr>
          <w:color w:val="auto"/>
          <w:highlight w:val="none"/>
        </w:rPr>
      </w:pPr>
      <w:r>
        <w:rPr>
          <w:rFonts w:hint="eastAsia"/>
          <w:color w:val="auto"/>
          <w:highlight w:val="none"/>
        </w:rPr>
        <w:t>水泥混凝土的强度以 28d 龄期的弯拉强度控制。本项目场地的水泥混凝土面层弯拉强度标准值不应低于 4.0Mpa。</w:t>
      </w:r>
    </w:p>
    <w:p w14:paraId="07EC4031">
      <w:pPr>
        <w:pStyle w:val="71"/>
        <w:ind w:firstLine="482"/>
        <w:rPr>
          <w:b/>
          <w:bCs/>
          <w:color w:val="auto"/>
          <w:highlight w:val="none"/>
        </w:rPr>
      </w:pPr>
      <w:r>
        <w:rPr>
          <w:rFonts w:hint="eastAsia"/>
          <w:b/>
          <w:bCs/>
          <w:color w:val="auto"/>
          <w:highlight w:val="none"/>
        </w:rPr>
        <w:t>1</w:t>
      </w:r>
      <w:r>
        <w:rPr>
          <w:b/>
          <w:bCs/>
          <w:color w:val="auto"/>
          <w:highlight w:val="none"/>
        </w:rPr>
        <w:t>.</w:t>
      </w:r>
      <w:r>
        <w:rPr>
          <w:rFonts w:hint="eastAsia"/>
          <w:b/>
          <w:bCs/>
          <w:color w:val="auto"/>
          <w:highlight w:val="none"/>
        </w:rPr>
        <w:t>水泥</w:t>
      </w:r>
    </w:p>
    <w:p w14:paraId="42221ED9">
      <w:pPr>
        <w:pStyle w:val="71"/>
        <w:rPr>
          <w:color w:val="auto"/>
          <w:highlight w:val="none"/>
        </w:rPr>
      </w:pPr>
      <w:r>
        <w:rPr>
          <w:rFonts w:hint="eastAsia"/>
          <w:color w:val="auto"/>
          <w:highlight w:val="none"/>
        </w:rPr>
        <w:t>水泥采用普通硅酸盐水泥。水泥的物理性能和化学成分应符合《通用硅酸盐水泥标准》（GB 175-2007）的规定。</w:t>
      </w:r>
    </w:p>
    <w:p w14:paraId="6A98AD77">
      <w:pPr>
        <w:pStyle w:val="71"/>
        <w:rPr>
          <w:color w:val="auto"/>
          <w:highlight w:val="none"/>
        </w:rPr>
      </w:pPr>
      <w:r>
        <w:rPr>
          <w:rFonts w:hint="eastAsia"/>
          <w:color w:val="auto"/>
          <w:highlight w:val="none"/>
        </w:rPr>
        <w:t>本工程水泥建议采用强度等级 32.5 级以上的普通硅酸盐水泥，最小单位水泥用量应不低于 305kg/m³。</w:t>
      </w:r>
    </w:p>
    <w:p w14:paraId="4F8EAB27">
      <w:pPr>
        <w:pStyle w:val="71"/>
        <w:ind w:firstLine="482"/>
        <w:rPr>
          <w:b/>
          <w:bCs/>
          <w:color w:val="auto"/>
          <w:highlight w:val="none"/>
        </w:rPr>
      </w:pPr>
      <w:r>
        <w:rPr>
          <w:rFonts w:hint="eastAsia"/>
          <w:b/>
          <w:bCs/>
          <w:color w:val="auto"/>
          <w:highlight w:val="none"/>
        </w:rPr>
        <w:t>2</w:t>
      </w:r>
      <w:r>
        <w:rPr>
          <w:b/>
          <w:bCs/>
          <w:color w:val="auto"/>
          <w:highlight w:val="none"/>
        </w:rPr>
        <w:t>.</w:t>
      </w:r>
      <w:r>
        <w:rPr>
          <w:rFonts w:hint="eastAsia"/>
          <w:b/>
          <w:bCs/>
          <w:color w:val="auto"/>
          <w:highlight w:val="none"/>
        </w:rPr>
        <w:t>细集料</w:t>
      </w:r>
    </w:p>
    <w:p w14:paraId="18FCBA97">
      <w:pPr>
        <w:pStyle w:val="71"/>
        <w:rPr>
          <w:color w:val="auto"/>
          <w:highlight w:val="none"/>
        </w:rPr>
      </w:pPr>
      <w:r>
        <w:rPr>
          <w:rFonts w:hint="eastAsia"/>
          <w:color w:val="auto"/>
          <w:highlight w:val="none"/>
        </w:rPr>
        <w:t>细集料宜采用天然砂、机制砂或混合砂。其质地应坚硬、耐久、洁净，并具有良好级配，细度模数在 2.5 以上。硅质砂或石英砂的含量不应低于 25%。</w:t>
      </w:r>
    </w:p>
    <w:p w14:paraId="2F499B00">
      <w:pPr>
        <w:pStyle w:val="71"/>
        <w:ind w:firstLine="482"/>
        <w:rPr>
          <w:b/>
          <w:bCs/>
          <w:color w:val="auto"/>
          <w:highlight w:val="none"/>
        </w:rPr>
      </w:pPr>
      <w:r>
        <w:rPr>
          <w:rFonts w:hint="eastAsia"/>
          <w:b/>
          <w:bCs/>
          <w:color w:val="auto"/>
          <w:highlight w:val="none"/>
        </w:rPr>
        <w:t>3</w:t>
      </w:r>
      <w:r>
        <w:rPr>
          <w:b/>
          <w:bCs/>
          <w:color w:val="auto"/>
          <w:highlight w:val="none"/>
        </w:rPr>
        <w:t>.</w:t>
      </w:r>
      <w:r>
        <w:rPr>
          <w:rFonts w:hint="eastAsia"/>
          <w:b/>
          <w:bCs/>
          <w:color w:val="auto"/>
          <w:highlight w:val="none"/>
        </w:rPr>
        <w:t>粗集料</w:t>
      </w:r>
    </w:p>
    <w:p w14:paraId="728CE5B1">
      <w:pPr>
        <w:pStyle w:val="71"/>
        <w:rPr>
          <w:color w:val="auto"/>
          <w:highlight w:val="none"/>
        </w:rPr>
      </w:pPr>
      <w:r>
        <w:rPr>
          <w:rFonts w:hint="eastAsia"/>
          <w:color w:val="auto"/>
          <w:highlight w:val="none"/>
        </w:rPr>
        <w:t>粗集料可采用碎石、碎卵石和卵石，其质地应坚硬、耐久、洁净，并具有良好级配。集料公称最大粒径不应大于 31.5mm。</w:t>
      </w:r>
    </w:p>
    <w:p w14:paraId="245EC0A6">
      <w:pPr>
        <w:pStyle w:val="71"/>
        <w:ind w:firstLine="482"/>
        <w:rPr>
          <w:b/>
          <w:bCs/>
          <w:color w:val="auto"/>
          <w:highlight w:val="none"/>
        </w:rPr>
      </w:pPr>
      <w:r>
        <w:rPr>
          <w:b/>
          <w:bCs/>
          <w:color w:val="auto"/>
          <w:highlight w:val="none"/>
        </w:rPr>
        <w:t>4.</w:t>
      </w:r>
      <w:r>
        <w:rPr>
          <w:rFonts w:hint="eastAsia"/>
          <w:b/>
          <w:bCs/>
          <w:color w:val="auto"/>
          <w:highlight w:val="none"/>
        </w:rPr>
        <w:t>水</w:t>
      </w:r>
    </w:p>
    <w:p w14:paraId="533FD258">
      <w:pPr>
        <w:pStyle w:val="71"/>
        <w:rPr>
          <w:color w:val="auto"/>
          <w:highlight w:val="none"/>
        </w:rPr>
      </w:pPr>
      <w:r>
        <w:rPr>
          <w:rFonts w:hint="eastAsia"/>
          <w:color w:val="auto"/>
          <w:highlight w:val="none"/>
        </w:rPr>
        <w:t>清洗集料、拌和混凝土及养护用水应清洁，不应含有影响混凝土质量的油、酸、碱、盐类、有机物等，宜采用饮用水。使用非饮用水时须经过化验，且硫酸盐（以三氧化硫计）含量不超过 2700mg/L、含盐量不得超过 5000mg/L、PH 值不得小于 4。</w:t>
      </w:r>
    </w:p>
    <w:p w14:paraId="7DFCB140">
      <w:pPr>
        <w:pStyle w:val="5"/>
        <w:rPr>
          <w:color w:val="auto"/>
          <w:highlight w:val="none"/>
        </w:rPr>
      </w:pPr>
      <w:bookmarkStart w:id="11" w:name="_Hlk169766664"/>
      <w:r>
        <w:rPr>
          <w:rFonts w:hint="eastAsia"/>
          <w:color w:val="auto"/>
          <w:highlight w:val="none"/>
        </w:rPr>
        <w:t>水泥土用料</w:t>
      </w:r>
    </w:p>
    <w:p w14:paraId="5566ACBF">
      <w:pPr>
        <w:pStyle w:val="71"/>
        <w:rPr>
          <w:color w:val="auto"/>
          <w:highlight w:val="none"/>
        </w:rPr>
      </w:pPr>
      <w:r>
        <w:rPr>
          <w:rFonts w:hint="eastAsia"/>
          <w:color w:val="auto"/>
          <w:highlight w:val="none"/>
        </w:rPr>
        <w:t>水泥采用普通硅酸盐水泥。水泥的物理性能和化学成分应符合《通用硅酸盐水泥标准》（GB 175-2007）的规定。本工程水泥建议采用强度等级 32.5 级以上的普通硅酸盐水泥。土选用塑性指数为 10-15 的粘性土，土中土块的最大尺寸不应大于 15mm，有机质含量不大于 10%。</w:t>
      </w:r>
    </w:p>
    <w:p w14:paraId="51958E25">
      <w:pPr>
        <w:pStyle w:val="5"/>
        <w:rPr>
          <w:color w:val="auto"/>
          <w:highlight w:val="none"/>
        </w:rPr>
      </w:pPr>
      <w:r>
        <w:rPr>
          <w:rFonts w:hint="eastAsia"/>
          <w:color w:val="auto"/>
          <w:highlight w:val="none"/>
        </w:rPr>
        <w:t>路缘石</w:t>
      </w:r>
    </w:p>
    <w:p w14:paraId="164EA799">
      <w:pPr>
        <w:pStyle w:val="71"/>
        <w:rPr>
          <w:color w:val="auto"/>
          <w:highlight w:val="none"/>
        </w:rPr>
      </w:pPr>
      <w:r>
        <w:rPr>
          <w:rFonts w:hint="eastAsia"/>
          <w:color w:val="auto"/>
          <w:highlight w:val="none"/>
        </w:rPr>
        <w:t>本项目路缘石主要为侧石采用砼预制、石材。混凝土路缘石应进行成品随机抽样检查。直线型路缘石抗折强度应达到 Cf5.0（平均值 5MPa，单块最小值 4MPa）。曲线型及不适合做抗折强度试验的路缘石应做抗压强度试验，其强度应达到 Cc35 的标准（平均值 35MPa，单块最小值 28MPa）。吸水率不大于 7%。</w:t>
      </w:r>
    </w:p>
    <w:bookmarkEnd w:id="11"/>
    <w:p w14:paraId="70B318F2">
      <w:pPr>
        <w:pStyle w:val="5"/>
        <w:rPr>
          <w:color w:val="auto"/>
          <w:highlight w:val="none"/>
        </w:rPr>
      </w:pPr>
      <w:r>
        <w:rPr>
          <w:rFonts w:hint="eastAsia"/>
          <w:color w:val="auto"/>
          <w:highlight w:val="none"/>
        </w:rPr>
        <w:t>施工注意事项</w:t>
      </w:r>
    </w:p>
    <w:p w14:paraId="64F84F99">
      <w:pPr>
        <w:pStyle w:val="71"/>
        <w:ind w:firstLine="482"/>
        <w:rPr>
          <w:b/>
          <w:bCs/>
          <w:color w:val="auto"/>
          <w:highlight w:val="none"/>
        </w:rPr>
      </w:pPr>
      <w:bookmarkStart w:id="12" w:name="_Hlk169766733"/>
      <w:r>
        <w:rPr>
          <w:rFonts w:hint="eastAsia"/>
          <w:b/>
          <w:bCs/>
          <w:color w:val="auto"/>
          <w:highlight w:val="none"/>
        </w:rPr>
        <w:t>1</w:t>
      </w:r>
      <w:r>
        <w:rPr>
          <w:b/>
          <w:bCs/>
          <w:color w:val="auto"/>
          <w:highlight w:val="none"/>
        </w:rPr>
        <w:t>.</w:t>
      </w:r>
      <w:r>
        <w:rPr>
          <w:rFonts w:hint="eastAsia"/>
          <w:b/>
          <w:bCs/>
          <w:color w:val="auto"/>
          <w:highlight w:val="none"/>
        </w:rPr>
        <w:t>路基施工前路基质量检测</w:t>
      </w:r>
    </w:p>
    <w:p w14:paraId="4DD7B478">
      <w:pPr>
        <w:pStyle w:val="71"/>
        <w:rPr>
          <w:color w:val="auto"/>
          <w:highlight w:val="none"/>
        </w:rPr>
      </w:pPr>
      <w:r>
        <w:rPr>
          <w:rFonts w:hint="eastAsia"/>
          <w:color w:val="auto"/>
          <w:highlight w:val="none"/>
        </w:rPr>
        <w:t>基层施工前，应按规范对路基的强度、平整度进行全面检查，满足规范及设计要求后，才能进 行路面基层的施工。对不能满足的工点，应找出范围进行局部处理。</w:t>
      </w:r>
    </w:p>
    <w:p w14:paraId="53C69230">
      <w:pPr>
        <w:pStyle w:val="71"/>
        <w:ind w:firstLine="482"/>
        <w:rPr>
          <w:b/>
          <w:bCs/>
          <w:color w:val="auto"/>
          <w:highlight w:val="none"/>
        </w:rPr>
      </w:pPr>
      <w:r>
        <w:rPr>
          <w:rFonts w:hint="eastAsia"/>
          <w:b/>
          <w:bCs/>
          <w:color w:val="auto"/>
          <w:highlight w:val="none"/>
        </w:rPr>
        <w:t>2</w:t>
      </w:r>
      <w:r>
        <w:rPr>
          <w:b/>
          <w:bCs/>
          <w:color w:val="auto"/>
          <w:highlight w:val="none"/>
        </w:rPr>
        <w:t>.</w:t>
      </w:r>
      <w:r>
        <w:rPr>
          <w:rFonts w:hint="eastAsia"/>
          <w:b/>
          <w:bCs/>
          <w:color w:val="auto"/>
          <w:highlight w:val="none"/>
        </w:rPr>
        <w:t>水泥土基层施工要求</w:t>
      </w:r>
    </w:p>
    <w:p w14:paraId="5AF8B8CD">
      <w:pPr>
        <w:pStyle w:val="71"/>
        <w:rPr>
          <w:color w:val="auto"/>
          <w:highlight w:val="none"/>
        </w:rPr>
      </w:pPr>
      <w:r>
        <w:rPr>
          <w:rFonts w:hint="eastAsia"/>
          <w:color w:val="auto"/>
          <w:highlight w:val="none"/>
        </w:rPr>
        <w:t>（1）使用材料必需符合有关规范和设计要求，水泥的贮藏应保证不受天气影响。</w:t>
      </w:r>
    </w:p>
    <w:p w14:paraId="48CD18CF">
      <w:pPr>
        <w:pStyle w:val="71"/>
        <w:rPr>
          <w:color w:val="auto"/>
          <w:highlight w:val="none"/>
        </w:rPr>
      </w:pPr>
      <w:r>
        <w:rPr>
          <w:rFonts w:hint="eastAsia"/>
          <w:color w:val="auto"/>
          <w:highlight w:val="none"/>
        </w:rPr>
        <w:t>（2）考虑施工时可能出现的各种情况，允许水泥掺量高 1%-2%。施工时的含水量可略高于重型击实试验确定的最佳含水量，并适当增加水化作用所需的水。</w:t>
      </w:r>
    </w:p>
    <w:p w14:paraId="7981C4AC">
      <w:pPr>
        <w:pStyle w:val="71"/>
        <w:rPr>
          <w:color w:val="auto"/>
          <w:highlight w:val="none"/>
        </w:rPr>
      </w:pPr>
      <w:r>
        <w:rPr>
          <w:rFonts w:hint="eastAsia"/>
          <w:color w:val="auto"/>
          <w:highlight w:val="none"/>
        </w:rPr>
        <w:t>（3）一般情况下，水泥土工程不应安排在雨季施工，如在雨季施工，应采取相应有效措施。</w:t>
      </w:r>
    </w:p>
    <w:p w14:paraId="389D4303">
      <w:pPr>
        <w:pStyle w:val="71"/>
        <w:rPr>
          <w:color w:val="auto"/>
          <w:highlight w:val="none"/>
        </w:rPr>
      </w:pPr>
      <w:r>
        <w:rPr>
          <w:rFonts w:hint="eastAsia"/>
          <w:color w:val="auto"/>
          <w:highlight w:val="none"/>
        </w:rPr>
        <w:t>（4）水泥土底基层的碾压应采用 18-20T 的光轮压路机。水泥土底基层的压实度必须达到规范规定的重型标准 95%以上，其路拱横坡应与路面一致。</w:t>
      </w:r>
    </w:p>
    <w:p w14:paraId="6FD6BA51">
      <w:pPr>
        <w:pStyle w:val="71"/>
        <w:ind w:firstLine="482"/>
        <w:rPr>
          <w:b/>
          <w:bCs/>
          <w:color w:val="auto"/>
          <w:highlight w:val="none"/>
        </w:rPr>
      </w:pPr>
      <w:r>
        <w:rPr>
          <w:rFonts w:hint="eastAsia"/>
          <w:b/>
          <w:bCs/>
          <w:color w:val="auto"/>
          <w:highlight w:val="none"/>
        </w:rPr>
        <w:t>3</w:t>
      </w:r>
      <w:r>
        <w:rPr>
          <w:b/>
          <w:bCs/>
          <w:color w:val="auto"/>
          <w:highlight w:val="none"/>
        </w:rPr>
        <w:t>.</w:t>
      </w:r>
      <w:r>
        <w:rPr>
          <w:rFonts w:hint="eastAsia"/>
          <w:b/>
          <w:bCs/>
          <w:color w:val="auto"/>
          <w:highlight w:val="none"/>
        </w:rPr>
        <w:t>水泥混凝土面层施工要求</w:t>
      </w:r>
    </w:p>
    <w:p w14:paraId="3D5DF006">
      <w:pPr>
        <w:pStyle w:val="71"/>
        <w:rPr>
          <w:color w:val="auto"/>
          <w:highlight w:val="none"/>
        </w:rPr>
      </w:pPr>
      <w:r>
        <w:rPr>
          <w:rFonts w:hint="eastAsia"/>
          <w:color w:val="auto"/>
          <w:highlight w:val="none"/>
        </w:rPr>
        <w:t>（</w:t>
      </w:r>
      <w:r>
        <w:rPr>
          <w:color w:val="auto"/>
          <w:highlight w:val="none"/>
        </w:rPr>
        <w:t>1</w:t>
      </w:r>
      <w:r>
        <w:rPr>
          <w:rFonts w:hint="eastAsia"/>
          <w:color w:val="auto"/>
          <w:highlight w:val="none"/>
        </w:rPr>
        <w:t>）混凝土的配合比应根据试验和计算确定，保证设计强度、耐磨、耐久及拌和物和易性要求。</w:t>
      </w:r>
    </w:p>
    <w:p w14:paraId="0F6190C7">
      <w:pPr>
        <w:pStyle w:val="71"/>
        <w:rPr>
          <w:color w:val="auto"/>
          <w:highlight w:val="none"/>
        </w:rPr>
      </w:pPr>
      <w:r>
        <w:rPr>
          <w:rFonts w:hint="eastAsia"/>
          <w:color w:val="auto"/>
          <w:highlight w:val="none"/>
        </w:rPr>
        <w:t>（</w:t>
      </w:r>
      <w:r>
        <w:rPr>
          <w:color w:val="auto"/>
          <w:highlight w:val="none"/>
        </w:rPr>
        <w:t>2</w:t>
      </w:r>
      <w:r>
        <w:rPr>
          <w:rFonts w:hint="eastAsia"/>
          <w:color w:val="auto"/>
          <w:highlight w:val="none"/>
        </w:rPr>
        <w:t>）水泥砼面板板角边缘设补强钢筋，除施工缝设置传力杆外，其他均采用假缝形式。整个场地不设胀缝。</w:t>
      </w:r>
    </w:p>
    <w:p w14:paraId="2CFBEA4D">
      <w:pPr>
        <w:pStyle w:val="71"/>
        <w:rPr>
          <w:color w:val="auto"/>
          <w:highlight w:val="none"/>
        </w:rPr>
      </w:pPr>
      <w:r>
        <w:rPr>
          <w:rFonts w:hint="eastAsia"/>
          <w:color w:val="auto"/>
          <w:highlight w:val="none"/>
        </w:rPr>
        <w:t>（</w:t>
      </w:r>
      <w:r>
        <w:rPr>
          <w:color w:val="auto"/>
          <w:highlight w:val="none"/>
        </w:rPr>
        <w:t>3</w:t>
      </w:r>
      <w:r>
        <w:rPr>
          <w:rFonts w:hint="eastAsia"/>
          <w:color w:val="auto"/>
          <w:highlight w:val="none"/>
        </w:rPr>
        <w:t>）混凝土的水灰比可按经验数值选用或按公式计算确定。</w:t>
      </w:r>
    </w:p>
    <w:p w14:paraId="72BA2B97">
      <w:pPr>
        <w:pStyle w:val="71"/>
        <w:rPr>
          <w:color w:val="auto"/>
          <w:highlight w:val="none"/>
        </w:rPr>
      </w:pPr>
      <w:r>
        <w:rPr>
          <w:rFonts w:hint="eastAsia"/>
          <w:color w:val="auto"/>
          <w:highlight w:val="none"/>
        </w:rPr>
        <w:t>（</w:t>
      </w:r>
      <w:r>
        <w:rPr>
          <w:color w:val="auto"/>
          <w:highlight w:val="none"/>
        </w:rPr>
        <w:t>4</w:t>
      </w:r>
      <w:r>
        <w:rPr>
          <w:rFonts w:hint="eastAsia"/>
          <w:color w:val="auto"/>
          <w:highlight w:val="none"/>
        </w:rPr>
        <w:t>）混凝土的水泥用量，应根据选用的水灰比和单位用水量计算，混凝土的砂率按碎石和砂的用量、种类、规格及混凝土的水灰比确定。</w:t>
      </w:r>
    </w:p>
    <w:p w14:paraId="6B272801">
      <w:pPr>
        <w:pStyle w:val="71"/>
        <w:rPr>
          <w:color w:val="auto"/>
          <w:highlight w:val="none"/>
        </w:rPr>
      </w:pPr>
      <w:r>
        <w:rPr>
          <w:rFonts w:hint="eastAsia"/>
          <w:color w:val="auto"/>
          <w:highlight w:val="none"/>
        </w:rPr>
        <w:t>（</w:t>
      </w:r>
      <w:r>
        <w:rPr>
          <w:color w:val="auto"/>
          <w:highlight w:val="none"/>
        </w:rPr>
        <w:t>5</w:t>
      </w:r>
      <w:r>
        <w:rPr>
          <w:rFonts w:hint="eastAsia"/>
          <w:color w:val="auto"/>
          <w:highlight w:val="none"/>
        </w:rPr>
        <w:t>）混凝土必须采用机拌，进入拌和的砂石料及散装水泥必须过秤，严格控制加水量。</w:t>
      </w:r>
    </w:p>
    <w:p w14:paraId="48B971F6">
      <w:pPr>
        <w:pStyle w:val="71"/>
        <w:rPr>
          <w:color w:val="auto"/>
          <w:highlight w:val="none"/>
        </w:rPr>
      </w:pPr>
      <w:r>
        <w:rPr>
          <w:rFonts w:hint="eastAsia"/>
          <w:color w:val="auto"/>
          <w:highlight w:val="none"/>
        </w:rPr>
        <w:t>（</w:t>
      </w:r>
      <w:r>
        <w:rPr>
          <w:color w:val="auto"/>
          <w:highlight w:val="none"/>
        </w:rPr>
        <w:t>6</w:t>
      </w:r>
      <w:r>
        <w:rPr>
          <w:rFonts w:hint="eastAsia"/>
          <w:color w:val="auto"/>
          <w:highlight w:val="none"/>
        </w:rPr>
        <w:t>）混凝土拌合物的运输，宜采用自卸汽车运输，其装运不应漏浆，并防止离析。</w:t>
      </w:r>
    </w:p>
    <w:p w14:paraId="2D3E2379">
      <w:pPr>
        <w:pStyle w:val="71"/>
        <w:ind w:firstLine="482"/>
        <w:rPr>
          <w:b/>
          <w:bCs/>
          <w:color w:val="auto"/>
          <w:highlight w:val="none"/>
        </w:rPr>
      </w:pPr>
      <w:r>
        <w:rPr>
          <w:rFonts w:hint="eastAsia"/>
          <w:b/>
          <w:bCs/>
          <w:color w:val="auto"/>
          <w:highlight w:val="none"/>
        </w:rPr>
        <w:t>4</w:t>
      </w:r>
      <w:r>
        <w:rPr>
          <w:b/>
          <w:bCs/>
          <w:color w:val="auto"/>
          <w:highlight w:val="none"/>
        </w:rPr>
        <w:t>.</w:t>
      </w:r>
      <w:r>
        <w:rPr>
          <w:rFonts w:hint="eastAsia"/>
          <w:b/>
          <w:bCs/>
          <w:color w:val="auto"/>
          <w:highlight w:val="none"/>
        </w:rPr>
        <w:t>沥青混凝土面层施工要求</w:t>
      </w:r>
    </w:p>
    <w:p w14:paraId="758639CC">
      <w:pPr>
        <w:pStyle w:val="71"/>
        <w:rPr>
          <w:color w:val="auto"/>
          <w:highlight w:val="none"/>
        </w:rPr>
      </w:pPr>
      <w:r>
        <w:rPr>
          <w:rFonts w:hint="eastAsia"/>
          <w:color w:val="auto"/>
          <w:highlight w:val="none"/>
        </w:rPr>
        <w:t>（</w:t>
      </w:r>
      <w:r>
        <w:rPr>
          <w:color w:val="auto"/>
          <w:highlight w:val="none"/>
        </w:rPr>
        <w:t>1</w:t>
      </w:r>
      <w:r>
        <w:rPr>
          <w:rFonts w:hint="eastAsia"/>
          <w:color w:val="auto"/>
          <w:highlight w:val="none"/>
        </w:rPr>
        <w:t>）沥青砼面层施工前应对各种材料进行调查和配合比设计，配合比设计按照“目标配合比→生产配合比→生产配合比验证”的步骤进行，经选定的材料和确定的配合比在施工过程中不得随意变更。</w:t>
      </w:r>
    </w:p>
    <w:p w14:paraId="0DE814F8">
      <w:pPr>
        <w:pStyle w:val="71"/>
        <w:rPr>
          <w:color w:val="auto"/>
          <w:highlight w:val="none"/>
        </w:rPr>
      </w:pPr>
      <w:r>
        <w:rPr>
          <w:rFonts w:hint="eastAsia"/>
          <w:color w:val="auto"/>
          <w:highlight w:val="none"/>
        </w:rPr>
        <w:t>（</w:t>
      </w:r>
      <w:r>
        <w:rPr>
          <w:color w:val="auto"/>
          <w:highlight w:val="none"/>
        </w:rPr>
        <w:t>2</w:t>
      </w:r>
      <w:r>
        <w:rPr>
          <w:rFonts w:hint="eastAsia"/>
          <w:color w:val="auto"/>
          <w:highlight w:val="none"/>
        </w:rPr>
        <w:t>）沥青混合料在拌和、运输、摊铺、碾压的全过程中应严格控制温度，各环节的温度控制应按照《公路沥青路面施工技术规范（JTGF40-2004）》严格执行，施工中应随时检查。沥青混合料拌和应均匀，以保证所有颗粒全部裹覆沥青结合料。沥青混合料的运输应采用较大吨位的自卸汽车，车厢应保持清洁，箱顶应有覆盖措施，做好混合料在运输中的保温工作。</w:t>
      </w:r>
    </w:p>
    <w:p w14:paraId="66BB1A02">
      <w:pPr>
        <w:pStyle w:val="71"/>
        <w:rPr>
          <w:color w:val="auto"/>
          <w:highlight w:val="none"/>
        </w:rPr>
      </w:pPr>
      <w:r>
        <w:rPr>
          <w:rFonts w:hint="eastAsia"/>
          <w:color w:val="auto"/>
          <w:highlight w:val="none"/>
        </w:rPr>
        <w:t>（3）沥青混合料最好采用两台以上摊铺机成梯队作业进行联合摊铺。混合料松铺系数应由试验确定。摊铺中应随时检查层厚、路拱、横坡，摊铺速度应结合拌和机产量、运输能力、施工机械配套情况确定，摊铺过程不得中途停顿。应选择合理的碾压机械及碾压步骤，以达到最佳的压实效果，碾压按初压、复压、终压三个阶段进行，压路机的碾压速度、碾压方向、碾压次序均应符合规范要求，压路机不得随意停顿。</w:t>
      </w:r>
    </w:p>
    <w:p w14:paraId="48F39AC2">
      <w:pPr>
        <w:pStyle w:val="71"/>
        <w:rPr>
          <w:color w:val="auto"/>
          <w:highlight w:val="none"/>
        </w:rPr>
      </w:pPr>
      <w:r>
        <w:rPr>
          <w:rFonts w:hint="eastAsia"/>
          <w:color w:val="auto"/>
          <w:highlight w:val="none"/>
        </w:rPr>
        <w:t>（4）沥青面层施工中应尽量避免纵向冷接缝，采用两台摊铺机联合摊铺时应采用热接缝，在前面摊铺的混合料留下 10-20cm 宽暂不碾压，与后铺部分一起跨缝碾压以消除纵向缝迹，同时应注意前后摊铺机之间的距离和碾压的节奏，保证先摊预留未压部分混合料的温度。横向施工缝应采用平接缝，切缝宜选在混合料尚未完全冷却前进行，注意接缝处的碾压步骤，压路机应横向从已有路面开始逐渐向新铺路面移动，每一遍错过新铺路面 15-20cm，直至全部落在新铺路面上，再改为纵向碾压。</w:t>
      </w:r>
    </w:p>
    <w:p w14:paraId="34082533">
      <w:pPr>
        <w:pStyle w:val="71"/>
        <w:rPr>
          <w:color w:val="auto"/>
          <w:highlight w:val="none"/>
        </w:rPr>
      </w:pPr>
      <w:r>
        <w:rPr>
          <w:rFonts w:hint="eastAsia"/>
          <w:color w:val="auto"/>
          <w:highlight w:val="none"/>
        </w:rPr>
        <w:t>（5）沥青面层上、下层争取连续施工，如出现层间施工间隔较长，下层有污染时，在摊铺上层前应清洁表面后浇洒粘层沥青。尚未冷却的沥青路面上不得停放任何机具设备和车辆，禁止交通通行。</w:t>
      </w:r>
    </w:p>
    <w:p w14:paraId="7289D6C0">
      <w:pPr>
        <w:pStyle w:val="71"/>
        <w:rPr>
          <w:color w:val="auto"/>
          <w:highlight w:val="none"/>
        </w:rPr>
      </w:pPr>
      <w:r>
        <w:rPr>
          <w:rFonts w:hint="eastAsia"/>
          <w:color w:val="auto"/>
          <w:highlight w:val="none"/>
        </w:rPr>
        <w:t>（6）当摊铺时遇雨或下层潮湿时，严禁进行摊铺工作，对已摊铺而未压实就遭雨淋水泡的沥青混合料应全部铲除。</w:t>
      </w:r>
    </w:p>
    <w:p w14:paraId="14202C26">
      <w:pPr>
        <w:pStyle w:val="71"/>
        <w:rPr>
          <w:color w:val="auto"/>
          <w:highlight w:val="none"/>
        </w:rPr>
      </w:pPr>
      <w:r>
        <w:rPr>
          <w:rFonts w:hint="eastAsia"/>
          <w:color w:val="auto"/>
          <w:highlight w:val="none"/>
        </w:rPr>
        <w:t>（7）在侧平石、雨水进水口、检查井等局部应用刷子进行人工涂刷粘层沥青。粘层沥青采用与面层所使用的种类、标号相同的石油沥青经乳化制成。</w:t>
      </w:r>
    </w:p>
    <w:p w14:paraId="10151B37">
      <w:pPr>
        <w:pStyle w:val="71"/>
        <w:ind w:firstLine="482"/>
        <w:rPr>
          <w:b/>
          <w:bCs/>
          <w:color w:val="auto"/>
          <w:highlight w:val="none"/>
        </w:rPr>
      </w:pPr>
      <w:r>
        <w:rPr>
          <w:rFonts w:hint="eastAsia"/>
          <w:b/>
          <w:bCs/>
          <w:color w:val="auto"/>
          <w:highlight w:val="none"/>
        </w:rPr>
        <w:t>5</w:t>
      </w:r>
      <w:r>
        <w:rPr>
          <w:b/>
          <w:bCs/>
          <w:color w:val="auto"/>
          <w:highlight w:val="none"/>
        </w:rPr>
        <w:t>.</w:t>
      </w:r>
      <w:r>
        <w:rPr>
          <w:rFonts w:hint="eastAsia"/>
          <w:b/>
          <w:bCs/>
          <w:color w:val="auto"/>
          <w:highlight w:val="none"/>
        </w:rPr>
        <w:t>路缘石</w:t>
      </w:r>
    </w:p>
    <w:p w14:paraId="7FD705CC">
      <w:pPr>
        <w:pStyle w:val="71"/>
        <w:rPr>
          <w:color w:val="auto"/>
          <w:highlight w:val="none"/>
        </w:rPr>
      </w:pPr>
      <w:r>
        <w:rPr>
          <w:rFonts w:hint="eastAsia"/>
          <w:color w:val="auto"/>
          <w:highlight w:val="none"/>
        </w:rPr>
        <w:t>（1）路缘石基座与路缘石排砌应结合进行，随拌随用。</w:t>
      </w:r>
    </w:p>
    <w:p w14:paraId="77066E19">
      <w:pPr>
        <w:pStyle w:val="71"/>
        <w:rPr>
          <w:color w:val="auto"/>
          <w:highlight w:val="none"/>
        </w:rPr>
      </w:pPr>
      <w:r>
        <w:rPr>
          <w:rFonts w:hint="eastAsia"/>
          <w:color w:val="auto"/>
          <w:highlight w:val="none"/>
        </w:rPr>
        <w:t>（2）侧石施工应根据侧石平面位置和顶面标高，放样依次排砌。</w:t>
      </w:r>
    </w:p>
    <w:p w14:paraId="317906E3">
      <w:pPr>
        <w:pStyle w:val="71"/>
        <w:rPr>
          <w:color w:val="auto"/>
          <w:highlight w:val="none"/>
        </w:rPr>
      </w:pPr>
      <w:r>
        <w:rPr>
          <w:rFonts w:hint="eastAsia"/>
          <w:color w:val="auto"/>
          <w:highlight w:val="none"/>
        </w:rPr>
        <w:t>（3）路缘石灌缝用水泥砂浆抗压强度不应小于 10MPa。灌缝必须饱满嵌实，侧石勾缝为凹缝，深度为 0.5cm；平石勾缝为平缝。</w:t>
      </w:r>
    </w:p>
    <w:p w14:paraId="0B0A1320">
      <w:pPr>
        <w:pStyle w:val="71"/>
        <w:rPr>
          <w:color w:val="auto"/>
          <w:highlight w:val="none"/>
        </w:rPr>
      </w:pPr>
      <w:r>
        <w:rPr>
          <w:rFonts w:hint="eastAsia"/>
          <w:color w:val="auto"/>
          <w:highlight w:val="none"/>
        </w:rPr>
        <w:t>（4）新砌路缘石应加强防护，接缝湿治养护不应少于 3d，冬季应注意防冻。</w:t>
      </w:r>
    </w:p>
    <w:p w14:paraId="6A3D2070">
      <w:pPr>
        <w:pStyle w:val="71"/>
        <w:rPr>
          <w:color w:val="auto"/>
          <w:highlight w:val="none"/>
        </w:rPr>
      </w:pPr>
      <w:r>
        <w:rPr>
          <w:rFonts w:hint="eastAsia"/>
          <w:color w:val="auto"/>
          <w:highlight w:val="none"/>
        </w:rPr>
        <w:t>（5）路缘石必须在沥青面层施工前安装完毕。路缘石埋置后应将回填材料压实或采取保护措施，防止面层施工时变形。严禁在各层沥青面层铺筑后再开挖面层埋设路缘石。</w:t>
      </w:r>
    </w:p>
    <w:p w14:paraId="4912BE3C">
      <w:pPr>
        <w:pStyle w:val="71"/>
        <w:ind w:firstLine="482"/>
        <w:rPr>
          <w:b/>
          <w:bCs/>
          <w:color w:val="auto"/>
          <w:highlight w:val="none"/>
        </w:rPr>
      </w:pPr>
      <w:r>
        <w:rPr>
          <w:rFonts w:hint="eastAsia"/>
          <w:b/>
          <w:bCs/>
          <w:color w:val="auto"/>
          <w:highlight w:val="none"/>
        </w:rPr>
        <w:t>6</w:t>
      </w:r>
      <w:r>
        <w:rPr>
          <w:b/>
          <w:bCs/>
          <w:color w:val="auto"/>
          <w:highlight w:val="none"/>
        </w:rPr>
        <w:t>.</w:t>
      </w:r>
      <w:r>
        <w:rPr>
          <w:rFonts w:hint="eastAsia"/>
          <w:b/>
          <w:bCs/>
          <w:color w:val="auto"/>
          <w:highlight w:val="none"/>
        </w:rPr>
        <w:t>水泥砼路面接缝</w:t>
      </w:r>
    </w:p>
    <w:p w14:paraId="1749BFBE">
      <w:pPr>
        <w:pStyle w:val="71"/>
        <w:rPr>
          <w:color w:val="auto"/>
          <w:highlight w:val="none"/>
        </w:rPr>
      </w:pPr>
      <w:r>
        <w:rPr>
          <w:rFonts w:hint="eastAsia"/>
          <w:color w:val="auto"/>
          <w:highlight w:val="none"/>
        </w:rPr>
        <w:t>（1）横缝包括缩缝、胀缝和施工缝。</w:t>
      </w:r>
    </w:p>
    <w:p w14:paraId="524A6A60">
      <w:pPr>
        <w:pStyle w:val="71"/>
        <w:rPr>
          <w:color w:val="auto"/>
          <w:highlight w:val="none"/>
        </w:rPr>
      </w:pPr>
      <w:r>
        <w:rPr>
          <w:rFonts w:hint="eastAsia"/>
          <w:color w:val="auto"/>
          <w:highlight w:val="none"/>
        </w:rPr>
        <w:t>（2）横向缩缝采用假缝形式，顶部锯切宽 3～8mm，深 40～50mm 的槽口，并灌塞填缝料（沥青砂胶）。</w:t>
      </w:r>
    </w:p>
    <w:p w14:paraId="0BDFD8F2">
      <w:pPr>
        <w:pStyle w:val="71"/>
        <w:rPr>
          <w:color w:val="auto"/>
          <w:highlight w:val="none"/>
        </w:rPr>
      </w:pPr>
      <w:r>
        <w:rPr>
          <w:rFonts w:hint="eastAsia"/>
          <w:color w:val="auto"/>
          <w:highlight w:val="none"/>
        </w:rPr>
        <w:t>（3）在临近构筑物处或与其它道路相交处设置胀缝。</w:t>
      </w:r>
    </w:p>
    <w:p w14:paraId="2A150FB4">
      <w:pPr>
        <w:pStyle w:val="71"/>
        <w:rPr>
          <w:color w:val="auto"/>
          <w:highlight w:val="none"/>
        </w:rPr>
      </w:pPr>
      <w:r>
        <w:rPr>
          <w:rFonts w:hint="eastAsia"/>
          <w:color w:val="auto"/>
          <w:highlight w:val="none"/>
        </w:rPr>
        <w:t>（4）水泥混凝土路面每日施工结束或因其它原因中断施工时必须设横向施工缝。设在横向缩缝处的横向施工缝采用设传力杆的平缝形式；设在胀缝处的横向施工缝，其构造与胀缝相同；横向施工缝应尽量设在横向缩缝或胀缝位置处。</w:t>
      </w:r>
    </w:p>
    <w:p w14:paraId="2747EA7A">
      <w:pPr>
        <w:pStyle w:val="71"/>
        <w:rPr>
          <w:color w:val="auto"/>
          <w:highlight w:val="none"/>
        </w:rPr>
      </w:pPr>
      <w:r>
        <w:rPr>
          <w:rFonts w:hint="eastAsia"/>
          <w:color w:val="auto"/>
          <w:highlight w:val="none"/>
        </w:rPr>
        <w:t>（5）纵向施工缝采用平缝，上部锯切宽 3～8mm，深 40～50mm 的槽口，并灌塞填缝料。</w:t>
      </w:r>
    </w:p>
    <w:bookmarkEnd w:id="12"/>
    <w:p w14:paraId="3546FD96">
      <w:pPr>
        <w:pStyle w:val="4"/>
        <w:rPr>
          <w:color w:val="auto"/>
          <w:highlight w:val="none"/>
        </w:rPr>
      </w:pPr>
      <w:bookmarkStart w:id="13" w:name="_Toc109226979"/>
      <w:bookmarkStart w:id="14" w:name="_Toc1278"/>
      <w:r>
        <w:rPr>
          <w:rFonts w:hint="eastAsia"/>
          <w:color w:val="auto"/>
          <w:highlight w:val="none"/>
        </w:rPr>
        <w:t>排水工程设计说明</w:t>
      </w:r>
      <w:bookmarkEnd w:id="13"/>
      <w:bookmarkEnd w:id="14"/>
    </w:p>
    <w:p w14:paraId="194EFF54">
      <w:pPr>
        <w:pStyle w:val="5"/>
        <w:rPr>
          <w:color w:val="auto"/>
          <w:highlight w:val="none"/>
        </w:rPr>
      </w:pPr>
      <w:r>
        <w:rPr>
          <w:rFonts w:hint="eastAsia"/>
          <w:color w:val="auto"/>
          <w:highlight w:val="none"/>
        </w:rPr>
        <w:t>设计概况</w:t>
      </w:r>
    </w:p>
    <w:p w14:paraId="0F332BE0">
      <w:pPr>
        <w:pStyle w:val="71"/>
        <w:ind w:firstLine="482"/>
        <w:rPr>
          <w:b/>
          <w:bCs/>
          <w:color w:val="auto"/>
        </w:rPr>
      </w:pPr>
      <w:r>
        <w:rPr>
          <w:rFonts w:hint="eastAsia"/>
          <w:b/>
          <w:bCs/>
          <w:color w:val="auto"/>
        </w:rPr>
        <w:t>1</w:t>
      </w:r>
      <w:r>
        <w:rPr>
          <w:b/>
          <w:bCs/>
          <w:color w:val="auto"/>
        </w:rPr>
        <w:t>.</w:t>
      </w:r>
      <w:r>
        <w:rPr>
          <w:rFonts w:hint="eastAsia"/>
          <w:b/>
          <w:bCs/>
          <w:color w:val="auto"/>
        </w:rPr>
        <w:t>雨水管网</w:t>
      </w:r>
    </w:p>
    <w:p w14:paraId="3926E80C">
      <w:pPr>
        <w:pStyle w:val="71"/>
        <w:rPr>
          <w:color w:val="auto"/>
        </w:rPr>
      </w:pPr>
      <w:r>
        <w:rPr>
          <w:rFonts w:hint="eastAsia"/>
          <w:color w:val="auto"/>
        </w:rPr>
        <w:t>①新建道路及停车位附属雨水设施：</w:t>
      </w:r>
    </w:p>
    <w:p w14:paraId="24A0ECA0">
      <w:pPr>
        <w:pStyle w:val="71"/>
        <w:rPr>
          <w:color w:val="auto"/>
        </w:rPr>
      </w:pPr>
      <w:r>
        <w:rPr>
          <w:rFonts w:hint="eastAsia"/>
          <w:color w:val="auto"/>
        </w:rPr>
        <w:t>新建道路及停车位范围内新建雨水蓖就近接入小区内部现状雨水检查井，施工图中雨水口位置仅为示意,施工时可结合场地最低点调整。</w:t>
      </w:r>
    </w:p>
    <w:p w14:paraId="4CA28EEA">
      <w:pPr>
        <w:pStyle w:val="71"/>
        <w:rPr>
          <w:color w:val="auto"/>
        </w:rPr>
      </w:pPr>
      <w:r>
        <w:rPr>
          <w:rFonts w:hint="eastAsia"/>
          <w:color w:val="auto"/>
        </w:rPr>
        <w:t>②小区现状雨水主管道重建：</w:t>
      </w:r>
    </w:p>
    <w:p w14:paraId="13518A37">
      <w:pPr>
        <w:pStyle w:val="71"/>
        <w:rPr>
          <w:color w:val="auto"/>
        </w:rPr>
      </w:pPr>
      <w:r>
        <w:rPr>
          <w:rFonts w:hint="eastAsia" w:ascii="宋体"/>
          <w:color w:val="auto"/>
          <w:szCs w:val="24"/>
        </w:rPr>
        <w:t>小区雨水主管网整体重建；</w:t>
      </w:r>
      <w:r>
        <w:rPr>
          <w:rFonts w:hint="eastAsia"/>
          <w:color w:val="auto"/>
        </w:rPr>
        <w:t>除施工图中标注保留，其余地下雨水管网挖除重建；建筑立管维持现状。</w:t>
      </w:r>
    </w:p>
    <w:p w14:paraId="3A302657">
      <w:pPr>
        <w:pStyle w:val="71"/>
        <w:rPr>
          <w:color w:val="auto"/>
        </w:rPr>
      </w:pPr>
      <w:r>
        <w:rPr>
          <w:rFonts w:hint="eastAsia"/>
          <w:color w:val="auto"/>
        </w:rPr>
        <w:t>③小区现状雨水管道增补：</w:t>
      </w:r>
    </w:p>
    <w:p w14:paraId="643BA095">
      <w:pPr>
        <w:pStyle w:val="71"/>
        <w:rPr>
          <w:color w:val="auto"/>
        </w:rPr>
      </w:pPr>
      <w:r>
        <w:rPr>
          <w:rFonts w:hint="eastAsia"/>
          <w:color w:val="auto"/>
        </w:rPr>
        <w:t>部分小区楼栋周边雨水管道排水不畅，可增加雨水箅连接至小区雨水主管道。</w:t>
      </w:r>
    </w:p>
    <w:p w14:paraId="5E8C712F">
      <w:pPr>
        <w:pStyle w:val="71"/>
        <w:ind w:firstLine="482"/>
        <w:rPr>
          <w:b/>
          <w:bCs/>
          <w:color w:val="auto"/>
        </w:rPr>
      </w:pPr>
      <w:r>
        <w:rPr>
          <w:rFonts w:hint="eastAsia"/>
          <w:b/>
          <w:bCs/>
          <w:color w:val="auto"/>
        </w:rPr>
        <w:t>2</w:t>
      </w:r>
      <w:r>
        <w:rPr>
          <w:b/>
          <w:bCs/>
          <w:color w:val="auto"/>
        </w:rPr>
        <w:t>.</w:t>
      </w:r>
      <w:r>
        <w:rPr>
          <w:rFonts w:hint="eastAsia"/>
          <w:b/>
          <w:bCs/>
          <w:color w:val="auto"/>
        </w:rPr>
        <w:t>污水管网</w:t>
      </w:r>
    </w:p>
    <w:p w14:paraId="4CDEF7FB">
      <w:pPr>
        <w:pStyle w:val="71"/>
        <w:rPr>
          <w:color w:val="auto"/>
        </w:rPr>
      </w:pPr>
      <w:r>
        <w:rPr>
          <w:rFonts w:hint="eastAsia"/>
          <w:color w:val="auto"/>
        </w:rPr>
        <w:t>小区污水主管网整体重建；除施工图中标注保留，其余地下污水管网挖除重建，现状化粪池保留；沿街商业设置预处理设施。</w:t>
      </w:r>
    </w:p>
    <w:p w14:paraId="09B539D8">
      <w:pPr>
        <w:pStyle w:val="71"/>
        <w:ind w:firstLine="482"/>
        <w:rPr>
          <w:rFonts w:hint="eastAsia"/>
          <w:b/>
          <w:bCs/>
          <w:color w:val="auto"/>
        </w:rPr>
      </w:pPr>
      <w:r>
        <w:rPr>
          <w:rFonts w:hint="eastAsia"/>
          <w:b/>
          <w:bCs/>
          <w:color w:val="auto"/>
        </w:rPr>
        <w:t>3.排水立管</w:t>
      </w:r>
    </w:p>
    <w:p w14:paraId="1D6934EF">
      <w:pPr>
        <w:pStyle w:val="71"/>
        <w:rPr>
          <w:color w:val="auto"/>
        </w:rPr>
      </w:pPr>
      <w:r>
        <w:rPr>
          <w:rFonts w:hint="eastAsia"/>
          <w:color w:val="auto"/>
        </w:rPr>
        <w:t>①现状良好立管维持现状；</w:t>
      </w:r>
    </w:p>
    <w:p w14:paraId="743A5561">
      <w:pPr>
        <w:pStyle w:val="71"/>
        <w:rPr>
          <w:rFonts w:hint="eastAsia"/>
          <w:color w:val="auto"/>
        </w:rPr>
      </w:pPr>
      <w:r>
        <w:rPr>
          <w:rFonts w:hint="eastAsia"/>
          <w:color w:val="auto"/>
        </w:rPr>
        <w:t>②楼栋北侧改造内容：</w:t>
      </w:r>
    </w:p>
    <w:p w14:paraId="7CEA5B74">
      <w:pPr>
        <w:pStyle w:val="71"/>
        <w:rPr>
          <w:rFonts w:hint="eastAsia"/>
          <w:color w:val="auto"/>
        </w:rPr>
      </w:pPr>
      <w:r>
        <w:rPr>
          <w:rFonts w:hint="eastAsia"/>
          <w:color w:val="auto"/>
        </w:rPr>
        <w:t>楼北侧不增加雨水立管，楼北侧少量楼上住户私接管道至雨水立管的，在接入雨水立管前截断，新增污水立管，把住户私接污水接至污水检查井；</w:t>
      </w:r>
    </w:p>
    <w:p w14:paraId="41871E87">
      <w:pPr>
        <w:pStyle w:val="71"/>
        <w:rPr>
          <w:color w:val="auto"/>
        </w:rPr>
      </w:pPr>
      <w:r>
        <w:rPr>
          <w:rFonts w:hint="eastAsia"/>
          <w:color w:val="auto"/>
        </w:rPr>
        <w:t>无混接的原雨水立管接至雨水检查井；有混接的雨水立管经过改建（新增污水管，把住户私接管切换接至污水管网）后，此雨水立管仍然接至雨水检查井。</w:t>
      </w:r>
    </w:p>
    <w:p w14:paraId="362913C5">
      <w:pPr>
        <w:pStyle w:val="71"/>
        <w:rPr>
          <w:color w:val="auto"/>
        </w:rPr>
      </w:pPr>
      <w:r>
        <w:rPr>
          <w:rFonts w:hint="eastAsia"/>
          <w:color w:val="auto"/>
        </w:rPr>
        <w:t>③楼栋南侧改造内容：</w:t>
      </w:r>
    </w:p>
    <w:p w14:paraId="60E83ADD">
      <w:pPr>
        <w:pStyle w:val="71"/>
        <w:rPr>
          <w:color w:val="auto"/>
        </w:rPr>
      </w:pPr>
      <w:r>
        <w:rPr>
          <w:rFonts w:hint="eastAsia"/>
          <w:color w:val="auto"/>
        </w:rPr>
        <w:t>原混接阳台废水至雨水立管的改为废水立管，新增dn110雨水立管。</w:t>
      </w:r>
    </w:p>
    <w:p w14:paraId="4827295E">
      <w:pPr>
        <w:pStyle w:val="71"/>
        <w:rPr>
          <w:color w:val="auto"/>
        </w:rPr>
      </w:pPr>
      <w:r>
        <w:rPr>
          <w:rFonts w:hint="eastAsia"/>
          <w:color w:val="auto"/>
        </w:rPr>
        <w:t>新增雨水立管落地后新增雨水出户管与雨水井衔接，雨水最后排入南侧现状/新建雨水主管；新建污水出户管，现状废水立管与之衔接，经过水封井后排入南侧新建污水主管。</w:t>
      </w:r>
    </w:p>
    <w:p w14:paraId="10CFDCDE">
      <w:pPr>
        <w:pStyle w:val="5"/>
        <w:rPr>
          <w:color w:val="auto"/>
          <w:highlight w:val="none"/>
        </w:rPr>
      </w:pPr>
      <w:r>
        <w:rPr>
          <w:rFonts w:hint="eastAsia"/>
          <w:color w:val="auto"/>
          <w:highlight w:val="none"/>
        </w:rPr>
        <w:t>设计依据</w:t>
      </w:r>
    </w:p>
    <w:p w14:paraId="6843423C">
      <w:pPr>
        <w:pStyle w:val="71"/>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《城乡排水工程项目规范》GB55027-2022</w:t>
      </w:r>
    </w:p>
    <w:p w14:paraId="7750D514">
      <w:pPr>
        <w:pStyle w:val="71"/>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《室外排水设计标准》GB 50014-2021</w:t>
      </w:r>
    </w:p>
    <w:p w14:paraId="730B65EF">
      <w:pPr>
        <w:pStyle w:val="71"/>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《建筑给水排水制图标准》 GB/T 50106-2010</w:t>
      </w:r>
    </w:p>
    <w:p w14:paraId="175283D4">
      <w:pPr>
        <w:pStyle w:val="71"/>
        <w:rPr>
          <w:color w:val="auto"/>
          <w:highlight w:val="none"/>
        </w:rPr>
      </w:pPr>
      <w:r>
        <w:rPr>
          <w:rFonts w:hint="eastAsia"/>
          <w:color w:val="auto"/>
          <w:highlight w:val="none"/>
        </w:rPr>
        <w:t>(4)</w:t>
      </w:r>
      <w:r>
        <w:rPr>
          <w:rFonts w:hint="eastAsia"/>
          <w:color w:val="auto"/>
          <w:highlight w:val="none"/>
        </w:rPr>
        <w:tab/>
      </w:r>
      <w:r>
        <w:rPr>
          <w:rFonts w:hint="eastAsia"/>
          <w:color w:val="auto"/>
          <w:highlight w:val="none"/>
        </w:rPr>
        <w:t xml:space="preserve">《建筑给水排水设计标准》 GB50015-2019 </w:t>
      </w:r>
    </w:p>
    <w:p w14:paraId="5398152F">
      <w:pPr>
        <w:pStyle w:val="71"/>
        <w:rPr>
          <w:color w:val="auto"/>
          <w:highlight w:val="none"/>
        </w:rPr>
      </w:pPr>
      <w:r>
        <w:rPr>
          <w:rFonts w:hint="eastAsia"/>
          <w:color w:val="auto"/>
          <w:highlight w:val="none"/>
        </w:rPr>
        <w:t>(5)</w:t>
      </w:r>
      <w:r>
        <w:rPr>
          <w:rFonts w:hint="eastAsia"/>
          <w:color w:val="auto"/>
          <w:highlight w:val="none"/>
        </w:rPr>
        <w:tab/>
      </w:r>
      <w:r>
        <w:rPr>
          <w:rFonts w:hint="eastAsia"/>
          <w:color w:val="auto"/>
          <w:highlight w:val="none"/>
        </w:rPr>
        <w:t>《建筑与市政工程抗震通用规范》 GB55002-2021</w:t>
      </w:r>
    </w:p>
    <w:p w14:paraId="0C719C9F">
      <w:pPr>
        <w:pStyle w:val="71"/>
        <w:rPr>
          <w:color w:val="auto"/>
          <w:highlight w:val="none"/>
        </w:rPr>
      </w:pPr>
      <w:r>
        <w:rPr>
          <w:rFonts w:hint="eastAsia"/>
          <w:color w:val="auto"/>
          <w:highlight w:val="none"/>
        </w:rPr>
        <w:t>(6)</w:t>
      </w:r>
      <w:r>
        <w:rPr>
          <w:rFonts w:hint="eastAsia"/>
          <w:color w:val="auto"/>
          <w:highlight w:val="none"/>
        </w:rPr>
        <w:tab/>
      </w:r>
      <w:r>
        <w:rPr>
          <w:rFonts w:hint="eastAsia"/>
          <w:color w:val="auto"/>
          <w:highlight w:val="none"/>
        </w:rPr>
        <w:t>《建筑与市政地基基础通用规范》GB55003-2021</w:t>
      </w:r>
    </w:p>
    <w:p w14:paraId="7D922C7E">
      <w:pPr>
        <w:pStyle w:val="71"/>
        <w:rPr>
          <w:color w:val="auto"/>
          <w:highlight w:val="none"/>
        </w:rPr>
      </w:pPr>
      <w:r>
        <w:rPr>
          <w:rFonts w:hint="eastAsia"/>
          <w:color w:val="auto"/>
          <w:highlight w:val="none"/>
        </w:rPr>
        <w:t>(7)</w:t>
      </w:r>
      <w:r>
        <w:rPr>
          <w:rFonts w:hint="eastAsia"/>
          <w:color w:val="auto"/>
          <w:highlight w:val="none"/>
        </w:rPr>
        <w:tab/>
      </w:r>
      <w:r>
        <w:rPr>
          <w:rFonts w:hint="eastAsia"/>
          <w:color w:val="auto"/>
          <w:highlight w:val="none"/>
        </w:rPr>
        <w:t>《城市道路交通工程项目规范》GB 55011-2021</w:t>
      </w:r>
    </w:p>
    <w:p w14:paraId="6BC1C878">
      <w:pPr>
        <w:pStyle w:val="71"/>
        <w:rPr>
          <w:color w:val="auto"/>
          <w:highlight w:val="none"/>
        </w:rPr>
      </w:pPr>
      <w:r>
        <w:rPr>
          <w:rFonts w:hint="eastAsia"/>
          <w:color w:val="auto"/>
          <w:highlight w:val="none"/>
        </w:rPr>
        <w:t>(8)</w:t>
      </w:r>
      <w:r>
        <w:rPr>
          <w:rFonts w:hint="eastAsia"/>
          <w:color w:val="auto"/>
          <w:highlight w:val="none"/>
        </w:rPr>
        <w:tab/>
      </w:r>
      <w:r>
        <w:rPr>
          <w:rFonts w:hint="eastAsia"/>
          <w:color w:val="auto"/>
          <w:highlight w:val="none"/>
        </w:rPr>
        <w:t>《建筑与市政工程无障碍通用规范》GB 55019-2021</w:t>
      </w:r>
    </w:p>
    <w:p w14:paraId="0434969D">
      <w:pPr>
        <w:pStyle w:val="71"/>
        <w:rPr>
          <w:color w:val="auto"/>
          <w:highlight w:val="none"/>
        </w:rPr>
      </w:pPr>
      <w:r>
        <w:rPr>
          <w:rFonts w:hint="eastAsia"/>
          <w:color w:val="auto"/>
          <w:highlight w:val="none"/>
        </w:rPr>
        <w:t>(9)</w:t>
      </w:r>
      <w:r>
        <w:rPr>
          <w:rFonts w:hint="eastAsia"/>
          <w:color w:val="auto"/>
          <w:highlight w:val="none"/>
        </w:rPr>
        <w:tab/>
      </w:r>
      <w:r>
        <w:rPr>
          <w:rFonts w:hint="eastAsia"/>
          <w:color w:val="auto"/>
          <w:highlight w:val="none"/>
        </w:rPr>
        <w:t>《建筑与市政工程防水通用规范》 GB55030-2022</w:t>
      </w:r>
    </w:p>
    <w:p w14:paraId="7082B19D">
      <w:pPr>
        <w:pStyle w:val="71"/>
        <w:rPr>
          <w:color w:val="auto"/>
          <w:highlight w:val="none"/>
        </w:rPr>
      </w:pPr>
      <w:r>
        <w:rPr>
          <w:rFonts w:hint="eastAsia"/>
          <w:color w:val="auto"/>
          <w:highlight w:val="none"/>
        </w:rPr>
        <w:t>(10)</w:t>
      </w:r>
      <w:r>
        <w:rPr>
          <w:rFonts w:hint="eastAsia"/>
          <w:color w:val="auto"/>
          <w:highlight w:val="none"/>
        </w:rPr>
        <w:tab/>
      </w:r>
      <w:r>
        <w:rPr>
          <w:rFonts w:hint="eastAsia"/>
          <w:color w:val="auto"/>
          <w:highlight w:val="none"/>
        </w:rPr>
        <w:t>《混凝土结构通用规范》GB565008-2021</w:t>
      </w:r>
    </w:p>
    <w:p w14:paraId="60E4D728">
      <w:pPr>
        <w:pStyle w:val="71"/>
        <w:rPr>
          <w:color w:val="auto"/>
          <w:highlight w:val="none"/>
        </w:rPr>
      </w:pPr>
      <w:r>
        <w:rPr>
          <w:rFonts w:hint="eastAsia"/>
          <w:color w:val="auto"/>
          <w:highlight w:val="none"/>
        </w:rPr>
        <w:t>(11)</w:t>
      </w:r>
      <w:r>
        <w:rPr>
          <w:rFonts w:hint="eastAsia"/>
          <w:color w:val="auto"/>
          <w:highlight w:val="none"/>
        </w:rPr>
        <w:tab/>
      </w:r>
      <w:r>
        <w:rPr>
          <w:rFonts w:hint="eastAsia"/>
          <w:color w:val="auto"/>
          <w:highlight w:val="none"/>
        </w:rPr>
        <w:t>《城镇内涝防治技术规范》 GB51222-2017</w:t>
      </w:r>
    </w:p>
    <w:p w14:paraId="461F14F0">
      <w:pPr>
        <w:pStyle w:val="71"/>
        <w:rPr>
          <w:color w:val="auto"/>
          <w:highlight w:val="none"/>
        </w:rPr>
      </w:pPr>
      <w:r>
        <w:rPr>
          <w:rFonts w:hint="eastAsia"/>
          <w:color w:val="auto"/>
          <w:highlight w:val="none"/>
        </w:rPr>
        <w:t>(12)</w:t>
      </w:r>
      <w:r>
        <w:rPr>
          <w:rFonts w:hint="eastAsia"/>
          <w:color w:val="auto"/>
          <w:highlight w:val="none"/>
        </w:rPr>
        <w:tab/>
      </w:r>
      <w:r>
        <w:rPr>
          <w:rFonts w:hint="eastAsia"/>
          <w:color w:val="auto"/>
          <w:highlight w:val="none"/>
        </w:rPr>
        <w:t>《给水排水工程管道结构设计规范》GB 50332-2002</w:t>
      </w:r>
    </w:p>
    <w:p w14:paraId="31731B3F">
      <w:pPr>
        <w:pStyle w:val="71"/>
        <w:rPr>
          <w:color w:val="auto"/>
          <w:highlight w:val="none"/>
        </w:rPr>
      </w:pPr>
      <w:r>
        <w:rPr>
          <w:rFonts w:hint="eastAsia"/>
          <w:color w:val="auto"/>
          <w:highlight w:val="none"/>
        </w:rPr>
        <w:t>(13)</w:t>
      </w:r>
      <w:r>
        <w:rPr>
          <w:rFonts w:hint="eastAsia"/>
          <w:color w:val="auto"/>
          <w:highlight w:val="none"/>
        </w:rPr>
        <w:tab/>
      </w:r>
      <w:r>
        <w:rPr>
          <w:rFonts w:hint="eastAsia"/>
          <w:color w:val="auto"/>
          <w:highlight w:val="none"/>
        </w:rPr>
        <w:t>《给水排水工程埋地预制混凝土圆形管管道结构设计规范》CECS 143:2002</w:t>
      </w:r>
    </w:p>
    <w:p w14:paraId="27E9147C">
      <w:pPr>
        <w:pStyle w:val="71"/>
        <w:rPr>
          <w:color w:val="auto"/>
          <w:highlight w:val="none"/>
        </w:rPr>
      </w:pPr>
      <w:r>
        <w:rPr>
          <w:rFonts w:hint="eastAsia"/>
          <w:color w:val="auto"/>
          <w:highlight w:val="none"/>
        </w:rPr>
        <w:t>(14)</w:t>
      </w:r>
      <w:r>
        <w:rPr>
          <w:rFonts w:hint="eastAsia"/>
          <w:color w:val="auto"/>
          <w:highlight w:val="none"/>
        </w:rPr>
        <w:tab/>
      </w:r>
      <w:r>
        <w:rPr>
          <w:rFonts w:hint="eastAsia"/>
          <w:color w:val="auto"/>
          <w:highlight w:val="none"/>
        </w:rPr>
        <w:t>《给水排水工程构筑物结构设计规范》GB 50069-2002</w:t>
      </w:r>
    </w:p>
    <w:p w14:paraId="33C38F4C">
      <w:pPr>
        <w:pStyle w:val="71"/>
        <w:rPr>
          <w:color w:val="auto"/>
          <w:highlight w:val="none"/>
        </w:rPr>
      </w:pPr>
      <w:r>
        <w:rPr>
          <w:rFonts w:hint="eastAsia"/>
          <w:color w:val="auto"/>
          <w:highlight w:val="none"/>
        </w:rPr>
        <w:t>(15)</w:t>
      </w:r>
      <w:r>
        <w:rPr>
          <w:rFonts w:hint="eastAsia"/>
          <w:color w:val="auto"/>
          <w:highlight w:val="none"/>
        </w:rPr>
        <w:tab/>
      </w:r>
      <w:r>
        <w:rPr>
          <w:rFonts w:hint="eastAsia"/>
          <w:color w:val="auto"/>
          <w:highlight w:val="none"/>
        </w:rPr>
        <w:t>《混凝土结构设计规范》GB 50010-2010（2015年版）</w:t>
      </w:r>
    </w:p>
    <w:p w14:paraId="705D1D90">
      <w:pPr>
        <w:pStyle w:val="71"/>
        <w:rPr>
          <w:color w:val="auto"/>
          <w:highlight w:val="none"/>
        </w:rPr>
      </w:pPr>
      <w:r>
        <w:rPr>
          <w:rFonts w:hint="eastAsia"/>
          <w:color w:val="auto"/>
          <w:highlight w:val="none"/>
        </w:rPr>
        <w:t>(16)</w:t>
      </w:r>
      <w:r>
        <w:rPr>
          <w:rFonts w:hint="eastAsia"/>
          <w:color w:val="auto"/>
          <w:highlight w:val="none"/>
        </w:rPr>
        <w:tab/>
      </w:r>
      <w:r>
        <w:rPr>
          <w:rFonts w:hint="eastAsia"/>
          <w:color w:val="auto"/>
          <w:highlight w:val="none"/>
        </w:rPr>
        <w:t>《砌体结构设计规范》GB 50003-2011</w:t>
      </w:r>
    </w:p>
    <w:p w14:paraId="3F441E0A">
      <w:pPr>
        <w:pStyle w:val="71"/>
        <w:rPr>
          <w:color w:val="auto"/>
          <w:highlight w:val="none"/>
        </w:rPr>
      </w:pPr>
      <w:r>
        <w:rPr>
          <w:rFonts w:hint="eastAsia"/>
          <w:color w:val="auto"/>
          <w:highlight w:val="none"/>
        </w:rPr>
        <w:t>(17)</w:t>
      </w:r>
      <w:r>
        <w:rPr>
          <w:rFonts w:hint="eastAsia"/>
          <w:color w:val="auto"/>
          <w:highlight w:val="none"/>
        </w:rPr>
        <w:tab/>
      </w:r>
      <w:r>
        <w:rPr>
          <w:rFonts w:hint="eastAsia"/>
          <w:color w:val="auto"/>
          <w:highlight w:val="none"/>
        </w:rPr>
        <w:t>《建筑地基基础设计规范》GB 50007-2011</w:t>
      </w:r>
    </w:p>
    <w:p w14:paraId="334141DF">
      <w:pPr>
        <w:pStyle w:val="71"/>
        <w:rPr>
          <w:color w:val="auto"/>
          <w:highlight w:val="none"/>
        </w:rPr>
      </w:pPr>
      <w:r>
        <w:rPr>
          <w:rFonts w:hint="eastAsia"/>
          <w:color w:val="auto"/>
          <w:highlight w:val="none"/>
        </w:rPr>
        <w:t>(18)</w:t>
      </w:r>
      <w:r>
        <w:rPr>
          <w:rFonts w:hint="eastAsia"/>
          <w:color w:val="auto"/>
          <w:highlight w:val="none"/>
        </w:rPr>
        <w:tab/>
      </w:r>
      <w:r>
        <w:rPr>
          <w:rFonts w:hint="eastAsia"/>
          <w:color w:val="auto"/>
          <w:highlight w:val="none"/>
        </w:rPr>
        <w:t>《室外给水排水和燃气热力工程抗震设计规范》 GB50032-2003</w:t>
      </w:r>
    </w:p>
    <w:p w14:paraId="6988D27D">
      <w:pPr>
        <w:pStyle w:val="71"/>
        <w:rPr>
          <w:color w:val="auto"/>
          <w:highlight w:val="none"/>
        </w:rPr>
      </w:pPr>
      <w:r>
        <w:rPr>
          <w:rFonts w:hint="eastAsia"/>
          <w:color w:val="auto"/>
          <w:highlight w:val="none"/>
        </w:rPr>
        <w:t>(19)</w:t>
      </w:r>
      <w:r>
        <w:rPr>
          <w:rFonts w:hint="eastAsia"/>
          <w:color w:val="auto"/>
          <w:highlight w:val="none"/>
        </w:rPr>
        <w:tab/>
      </w:r>
      <w:r>
        <w:rPr>
          <w:rFonts w:hint="eastAsia"/>
          <w:color w:val="auto"/>
          <w:highlight w:val="none"/>
        </w:rPr>
        <w:t>《给水排水管道工程施工及验收规范》GB 50268-2008</w:t>
      </w:r>
    </w:p>
    <w:p w14:paraId="40FFF461">
      <w:pPr>
        <w:pStyle w:val="71"/>
        <w:rPr>
          <w:color w:val="auto"/>
          <w:highlight w:val="none"/>
        </w:rPr>
      </w:pPr>
      <w:r>
        <w:rPr>
          <w:rFonts w:hint="eastAsia"/>
          <w:color w:val="auto"/>
          <w:highlight w:val="none"/>
        </w:rPr>
        <w:t>(20)</w:t>
      </w:r>
      <w:r>
        <w:rPr>
          <w:rFonts w:hint="eastAsia"/>
          <w:color w:val="auto"/>
          <w:highlight w:val="none"/>
        </w:rPr>
        <w:tab/>
      </w:r>
      <w:r>
        <w:rPr>
          <w:rFonts w:hint="eastAsia"/>
          <w:color w:val="auto"/>
          <w:highlight w:val="none"/>
        </w:rPr>
        <w:t>《给水排水构筑物施工及验收规范》GB 50141-2008</w:t>
      </w:r>
    </w:p>
    <w:p w14:paraId="364F0774">
      <w:pPr>
        <w:pStyle w:val="71"/>
        <w:rPr>
          <w:color w:val="auto"/>
          <w:highlight w:val="none"/>
        </w:rPr>
      </w:pPr>
      <w:r>
        <w:rPr>
          <w:rFonts w:hint="eastAsia"/>
          <w:color w:val="auto"/>
          <w:highlight w:val="none"/>
        </w:rPr>
        <w:t>(21)</w:t>
      </w:r>
      <w:r>
        <w:rPr>
          <w:rFonts w:hint="eastAsia"/>
          <w:color w:val="auto"/>
          <w:highlight w:val="none"/>
        </w:rPr>
        <w:tab/>
      </w:r>
      <w:r>
        <w:rPr>
          <w:rFonts w:hint="eastAsia"/>
          <w:color w:val="auto"/>
          <w:highlight w:val="none"/>
        </w:rPr>
        <w:t>《埋地聚乙烯排水管管道工程技术规程》CECS164：2004；</w:t>
      </w:r>
    </w:p>
    <w:p w14:paraId="10DDBB4B">
      <w:pPr>
        <w:pStyle w:val="71"/>
        <w:rPr>
          <w:color w:val="auto"/>
          <w:highlight w:val="none"/>
        </w:rPr>
      </w:pPr>
      <w:r>
        <w:rPr>
          <w:rFonts w:hint="eastAsia"/>
          <w:color w:val="auto"/>
          <w:highlight w:val="none"/>
        </w:rPr>
        <w:t>(22)</w:t>
      </w:r>
      <w:r>
        <w:rPr>
          <w:rFonts w:hint="eastAsia"/>
          <w:color w:val="auto"/>
          <w:highlight w:val="none"/>
        </w:rPr>
        <w:tab/>
      </w:r>
      <w:r>
        <w:rPr>
          <w:rFonts w:hint="eastAsia"/>
          <w:color w:val="auto"/>
          <w:highlight w:val="none"/>
        </w:rPr>
        <w:t>《市政排水管道工程及附属设施》06MS 201-1,06MS 201-2,06MS 201-3</w:t>
      </w:r>
    </w:p>
    <w:p w14:paraId="2566F108">
      <w:pPr>
        <w:pStyle w:val="71"/>
        <w:rPr>
          <w:color w:val="auto"/>
          <w:highlight w:val="none"/>
        </w:rPr>
      </w:pPr>
      <w:r>
        <w:rPr>
          <w:rFonts w:hint="eastAsia"/>
          <w:color w:val="auto"/>
          <w:highlight w:val="none"/>
        </w:rPr>
        <w:t>(23)</w:t>
      </w:r>
      <w:r>
        <w:rPr>
          <w:rFonts w:hint="eastAsia"/>
          <w:color w:val="auto"/>
          <w:highlight w:val="none"/>
        </w:rPr>
        <w:tab/>
      </w:r>
      <w:r>
        <w:rPr>
          <w:rFonts w:hint="eastAsia"/>
          <w:color w:val="auto"/>
          <w:highlight w:val="none"/>
        </w:rPr>
        <w:t>《江苏省给水排水图集》苏S01-2021</w:t>
      </w:r>
    </w:p>
    <w:p w14:paraId="79399000">
      <w:pPr>
        <w:pStyle w:val="71"/>
        <w:rPr>
          <w:color w:val="auto"/>
          <w:highlight w:val="none"/>
        </w:rPr>
      </w:pPr>
      <w:r>
        <w:rPr>
          <w:rFonts w:hint="eastAsia"/>
          <w:color w:val="auto"/>
          <w:highlight w:val="none"/>
        </w:rPr>
        <w:t>(24)</w:t>
      </w:r>
      <w:r>
        <w:rPr>
          <w:rFonts w:hint="eastAsia"/>
          <w:color w:val="auto"/>
          <w:highlight w:val="none"/>
        </w:rPr>
        <w:tab/>
      </w:r>
      <w:r>
        <w:rPr>
          <w:rFonts w:hint="eastAsia"/>
          <w:color w:val="auto"/>
          <w:highlight w:val="none"/>
        </w:rPr>
        <w:t>《钢筋混凝土及砖砌排水检查井》 20S515</w:t>
      </w:r>
    </w:p>
    <w:p w14:paraId="305656DF">
      <w:pPr>
        <w:pStyle w:val="71"/>
        <w:rPr>
          <w:color w:val="auto"/>
          <w:highlight w:val="none"/>
        </w:rPr>
      </w:pPr>
      <w:r>
        <w:rPr>
          <w:rFonts w:hint="eastAsia"/>
          <w:color w:val="auto"/>
          <w:highlight w:val="none"/>
        </w:rPr>
        <w:t>(25)</w:t>
      </w:r>
      <w:r>
        <w:rPr>
          <w:rFonts w:hint="eastAsia"/>
          <w:color w:val="auto"/>
          <w:highlight w:val="none"/>
        </w:rPr>
        <w:tab/>
      </w:r>
      <w:r>
        <w:rPr>
          <w:rFonts w:hint="eastAsia"/>
          <w:color w:val="auto"/>
          <w:highlight w:val="none"/>
        </w:rPr>
        <w:t>《混凝土和钢筋混凝土排水管》GB/T 11836-2009</w:t>
      </w:r>
    </w:p>
    <w:p w14:paraId="7B4F810D">
      <w:pPr>
        <w:pStyle w:val="71"/>
        <w:rPr>
          <w:color w:val="auto"/>
          <w:highlight w:val="none"/>
        </w:rPr>
      </w:pPr>
      <w:r>
        <w:rPr>
          <w:rFonts w:hint="eastAsia"/>
          <w:color w:val="auto"/>
          <w:highlight w:val="none"/>
        </w:rPr>
        <w:t>(26)</w:t>
      </w:r>
      <w:r>
        <w:rPr>
          <w:rFonts w:hint="eastAsia"/>
          <w:color w:val="auto"/>
          <w:highlight w:val="none"/>
        </w:rPr>
        <w:tab/>
      </w:r>
      <w:r>
        <w:rPr>
          <w:rFonts w:hint="eastAsia"/>
          <w:color w:val="auto"/>
          <w:highlight w:val="none"/>
        </w:rPr>
        <w:t>《非开挖工程用聚乙烯管》 CJ/T 358-2019</w:t>
      </w:r>
    </w:p>
    <w:p w14:paraId="3416B9F9">
      <w:pPr>
        <w:pStyle w:val="71"/>
        <w:rPr>
          <w:color w:val="auto"/>
          <w:highlight w:val="none"/>
        </w:rPr>
      </w:pPr>
      <w:r>
        <w:rPr>
          <w:rFonts w:hint="eastAsia"/>
          <w:color w:val="auto"/>
          <w:highlight w:val="none"/>
        </w:rPr>
        <w:t>(27)</w:t>
      </w:r>
      <w:r>
        <w:rPr>
          <w:rFonts w:hint="eastAsia"/>
          <w:color w:val="auto"/>
          <w:highlight w:val="none"/>
        </w:rPr>
        <w:tab/>
      </w:r>
      <w:r>
        <w:rPr>
          <w:rFonts w:hint="eastAsia"/>
          <w:color w:val="auto"/>
          <w:highlight w:val="none"/>
        </w:rPr>
        <w:t>《埋地塑料排水管道工程技术规程》 CJJ143-2010</w:t>
      </w:r>
    </w:p>
    <w:p w14:paraId="66E94ECF">
      <w:pPr>
        <w:pStyle w:val="71"/>
        <w:rPr>
          <w:color w:val="auto"/>
          <w:highlight w:val="none"/>
        </w:rPr>
      </w:pPr>
      <w:r>
        <w:rPr>
          <w:rFonts w:hint="eastAsia"/>
          <w:color w:val="auto"/>
          <w:highlight w:val="none"/>
        </w:rPr>
        <w:t>(28)</w:t>
      </w:r>
      <w:r>
        <w:rPr>
          <w:rFonts w:hint="eastAsia"/>
          <w:color w:val="auto"/>
          <w:highlight w:val="none"/>
        </w:rPr>
        <w:tab/>
      </w:r>
      <w:r>
        <w:rPr>
          <w:rFonts w:hint="eastAsia"/>
          <w:color w:val="auto"/>
          <w:highlight w:val="none"/>
        </w:rPr>
        <w:t>《检查井盖》GB/T 23858-2009</w:t>
      </w:r>
    </w:p>
    <w:p w14:paraId="1F8154BC">
      <w:pPr>
        <w:pStyle w:val="71"/>
        <w:rPr>
          <w:color w:val="auto"/>
          <w:highlight w:val="none"/>
        </w:rPr>
      </w:pPr>
      <w:r>
        <w:rPr>
          <w:rFonts w:hint="eastAsia"/>
          <w:color w:val="auto"/>
          <w:highlight w:val="none"/>
        </w:rPr>
        <w:t>(29)</w:t>
      </w:r>
      <w:r>
        <w:rPr>
          <w:rFonts w:hint="eastAsia"/>
          <w:color w:val="auto"/>
          <w:highlight w:val="none"/>
        </w:rPr>
        <w:tab/>
      </w:r>
      <w:r>
        <w:rPr>
          <w:rFonts w:hint="eastAsia"/>
          <w:color w:val="auto"/>
          <w:highlight w:val="none"/>
        </w:rPr>
        <w:t>《铸铁检查井盖》CJ/T 511-2017</w:t>
      </w:r>
    </w:p>
    <w:p w14:paraId="3F9C7B9A">
      <w:pPr>
        <w:pStyle w:val="71"/>
        <w:rPr>
          <w:color w:val="auto"/>
          <w:highlight w:val="none"/>
        </w:rPr>
      </w:pPr>
      <w:r>
        <w:rPr>
          <w:rFonts w:hint="eastAsia"/>
          <w:color w:val="auto"/>
          <w:highlight w:val="none"/>
        </w:rPr>
        <w:t>(30)</w:t>
      </w:r>
      <w:r>
        <w:rPr>
          <w:rFonts w:hint="eastAsia"/>
          <w:color w:val="auto"/>
          <w:highlight w:val="none"/>
        </w:rPr>
        <w:tab/>
      </w:r>
      <w:r>
        <w:rPr>
          <w:rFonts w:hint="eastAsia"/>
          <w:color w:val="auto"/>
          <w:highlight w:val="none"/>
        </w:rPr>
        <w:t>《单层、双侧井盖及踏步》14S501-2017</w:t>
      </w:r>
    </w:p>
    <w:p w14:paraId="713E8B79">
      <w:pPr>
        <w:pStyle w:val="71"/>
        <w:rPr>
          <w:color w:val="auto"/>
          <w:highlight w:val="none"/>
        </w:rPr>
      </w:pPr>
      <w:r>
        <w:rPr>
          <w:rFonts w:hint="eastAsia"/>
          <w:color w:val="auto"/>
          <w:highlight w:val="none"/>
        </w:rPr>
        <w:t>(31)</w:t>
      </w:r>
      <w:r>
        <w:rPr>
          <w:rFonts w:hint="eastAsia"/>
          <w:color w:val="auto"/>
          <w:highlight w:val="none"/>
        </w:rPr>
        <w:tab/>
      </w:r>
      <w:r>
        <w:rPr>
          <w:rFonts w:hint="eastAsia"/>
          <w:color w:val="auto"/>
          <w:highlight w:val="none"/>
        </w:rPr>
        <w:t>《雨水口》16S518</w:t>
      </w:r>
    </w:p>
    <w:p w14:paraId="07799A92">
      <w:pPr>
        <w:pStyle w:val="71"/>
        <w:rPr>
          <w:color w:val="auto"/>
          <w:highlight w:val="none"/>
        </w:rPr>
      </w:pPr>
      <w:r>
        <w:rPr>
          <w:rFonts w:hint="eastAsia"/>
          <w:color w:val="auto"/>
          <w:highlight w:val="none"/>
        </w:rPr>
        <w:t>(32)</w:t>
      </w:r>
      <w:r>
        <w:rPr>
          <w:rFonts w:hint="eastAsia"/>
          <w:color w:val="auto"/>
          <w:highlight w:val="none"/>
        </w:rPr>
        <w:tab/>
      </w:r>
      <w:r>
        <w:rPr>
          <w:rFonts w:hint="eastAsia"/>
          <w:color w:val="auto"/>
          <w:highlight w:val="none"/>
        </w:rPr>
        <w:t>《危险性较大的分部分项工程安全管理规定》住建部第37号令</w:t>
      </w:r>
    </w:p>
    <w:p w14:paraId="5F2B7F05">
      <w:pPr>
        <w:pStyle w:val="71"/>
        <w:rPr>
          <w:color w:val="auto"/>
          <w:highlight w:val="none"/>
        </w:rPr>
      </w:pPr>
      <w:r>
        <w:rPr>
          <w:rFonts w:hint="eastAsia"/>
          <w:color w:val="auto"/>
          <w:highlight w:val="none"/>
        </w:rPr>
        <w:t>(33)</w:t>
      </w:r>
      <w:r>
        <w:rPr>
          <w:rFonts w:hint="eastAsia"/>
          <w:color w:val="auto"/>
          <w:highlight w:val="none"/>
        </w:rPr>
        <w:tab/>
      </w:r>
      <w:r>
        <w:rPr>
          <w:rFonts w:hint="eastAsia"/>
          <w:color w:val="auto"/>
          <w:highlight w:val="none"/>
        </w:rPr>
        <w:t>《江苏省城镇污水处理提质增效 系列工作指南（试行）》苏建城〔2021〕45 号</w:t>
      </w:r>
    </w:p>
    <w:p w14:paraId="22B4D48F">
      <w:pPr>
        <w:pStyle w:val="71"/>
        <w:rPr>
          <w:color w:val="auto"/>
          <w:highlight w:val="none"/>
        </w:rPr>
      </w:pPr>
      <w:r>
        <w:rPr>
          <w:rFonts w:hint="eastAsia"/>
          <w:color w:val="auto"/>
          <w:highlight w:val="none"/>
        </w:rPr>
        <w:t>(34)</w:t>
      </w:r>
      <w:r>
        <w:rPr>
          <w:rFonts w:hint="eastAsia"/>
          <w:color w:val="auto"/>
          <w:highlight w:val="none"/>
        </w:rPr>
        <w:tab/>
      </w:r>
      <w:r>
        <w:rPr>
          <w:rFonts w:hint="eastAsia"/>
          <w:color w:val="auto"/>
          <w:highlight w:val="none"/>
        </w:rPr>
        <w:t>《江苏省城镇污水处理提质增效精准攻坚“333”行动方案》</w:t>
      </w:r>
    </w:p>
    <w:p w14:paraId="0E4B4174">
      <w:pPr>
        <w:pStyle w:val="71"/>
        <w:rPr>
          <w:color w:val="auto"/>
          <w:highlight w:val="none"/>
        </w:rPr>
      </w:pPr>
      <w:r>
        <w:rPr>
          <w:rFonts w:hint="eastAsia"/>
          <w:color w:val="auto"/>
          <w:highlight w:val="none"/>
        </w:rPr>
        <w:t>(35)</w:t>
      </w:r>
      <w:r>
        <w:rPr>
          <w:rFonts w:hint="eastAsia"/>
          <w:color w:val="auto"/>
          <w:highlight w:val="none"/>
        </w:rPr>
        <w:tab/>
      </w:r>
      <w:r>
        <w:rPr>
          <w:rFonts w:hint="eastAsia"/>
          <w:color w:val="auto"/>
          <w:highlight w:val="none"/>
        </w:rPr>
        <w:t>《高邮市城镇污水处理提质增效及精准攻坚“333”行动方案》</w:t>
      </w:r>
    </w:p>
    <w:p w14:paraId="781AA7E6">
      <w:pPr>
        <w:pStyle w:val="71"/>
        <w:rPr>
          <w:color w:val="auto"/>
          <w:highlight w:val="none"/>
        </w:rPr>
      </w:pPr>
      <w:r>
        <w:rPr>
          <w:rFonts w:hint="eastAsia"/>
          <w:color w:val="auto"/>
          <w:highlight w:val="none"/>
        </w:rPr>
        <w:t>(36)</w:t>
      </w:r>
      <w:r>
        <w:rPr>
          <w:rFonts w:hint="eastAsia"/>
          <w:color w:val="auto"/>
          <w:highlight w:val="none"/>
        </w:rPr>
        <w:tab/>
      </w:r>
      <w:r>
        <w:rPr>
          <w:rFonts w:hint="eastAsia"/>
          <w:color w:val="auto"/>
          <w:highlight w:val="none"/>
        </w:rPr>
        <w:t>排水规划等相关资料；</w:t>
      </w:r>
    </w:p>
    <w:p w14:paraId="50336A53">
      <w:pPr>
        <w:pStyle w:val="71"/>
        <w:rPr>
          <w:color w:val="auto"/>
          <w:highlight w:val="none"/>
        </w:rPr>
      </w:pPr>
      <w:r>
        <w:rPr>
          <w:rFonts w:hint="eastAsia"/>
          <w:color w:val="auto"/>
          <w:highlight w:val="none"/>
        </w:rPr>
        <w:t>(37)</w:t>
      </w:r>
      <w:r>
        <w:rPr>
          <w:rFonts w:hint="eastAsia"/>
          <w:color w:val="auto"/>
          <w:highlight w:val="none"/>
        </w:rPr>
        <w:tab/>
      </w:r>
      <w:r>
        <w:rPr>
          <w:rFonts w:hint="eastAsia"/>
          <w:color w:val="auto"/>
          <w:highlight w:val="none"/>
        </w:rPr>
        <w:t>修测地形图及测量单位提供的管线测量平面图；</w:t>
      </w:r>
    </w:p>
    <w:p w14:paraId="204028AD">
      <w:pPr>
        <w:pStyle w:val="5"/>
        <w:rPr>
          <w:color w:val="auto"/>
          <w:highlight w:val="none"/>
        </w:rPr>
      </w:pPr>
      <w:r>
        <w:rPr>
          <w:rFonts w:hint="eastAsia"/>
          <w:color w:val="auto"/>
          <w:highlight w:val="none"/>
        </w:rPr>
        <w:t>管材及接口</w:t>
      </w:r>
    </w:p>
    <w:p w14:paraId="5673DA06">
      <w:pPr>
        <w:pStyle w:val="71"/>
        <w:numPr>
          <w:ilvl w:val="0"/>
          <w:numId w:val="5"/>
        </w:numPr>
        <w:rPr>
          <w:rFonts w:hint="eastAsia"/>
          <w:color w:val="auto"/>
          <w:highlight w:val="none"/>
        </w:rPr>
      </w:pPr>
      <w:r>
        <w:rPr>
          <w:rFonts w:hint="eastAsia"/>
          <w:color w:val="auto"/>
          <w:highlight w:val="none"/>
        </w:rPr>
        <w:t>雨水：本工程小区内新建管径小于d600雨水管管材采用PE实壁排水管，热熔焊接，管道规格为:PE100级,SDR21系列，环刚度≥8KN/㎡，环柔性(压缩50%)，内壁应圆滑，无反向弯曲，无破裂，氧化诱导时间&gt;20min (试验温变200℃)。</w:t>
      </w:r>
    </w:p>
    <w:p w14:paraId="75420E7C">
      <w:pPr>
        <w:pStyle w:val="71"/>
        <w:numPr>
          <w:ilvl w:val="0"/>
          <w:numId w:val="5"/>
        </w:numPr>
        <w:rPr>
          <w:color w:val="auto"/>
          <w:highlight w:val="none"/>
        </w:rPr>
      </w:pPr>
      <w:r>
        <w:rPr>
          <w:rFonts w:hint="eastAsia"/>
          <w:color w:val="auto"/>
        </w:rPr>
        <w:t>新建管径大于</w:t>
      </w:r>
      <w:r>
        <w:rPr>
          <w:color w:val="auto"/>
        </w:rPr>
        <w:t>d600</w:t>
      </w:r>
      <w:r>
        <w:rPr>
          <w:rFonts w:hint="eastAsia"/>
          <w:color w:val="auto"/>
        </w:rPr>
        <w:t>雨水管管材均采用采用Ⅱ级钢筋混凝土管，接口采用承插式橡胶圈接口。管材需符合《混凝土和钢筋混凝土排水管》（</w:t>
      </w:r>
      <w:r>
        <w:rPr>
          <w:color w:val="auto"/>
        </w:rPr>
        <w:t>GB/T 11836-2009</w:t>
      </w:r>
      <w:r>
        <w:rPr>
          <w:rFonts w:hint="eastAsia"/>
          <w:color w:val="auto"/>
        </w:rPr>
        <w:t>）管材标准相应要求。钢筋砼管承插式接口的橡胶圈性能应符合国家标准《橡胶密封件给排水管及污水管道用接口密封圈材料规范》（</w:t>
      </w:r>
      <w:r>
        <w:rPr>
          <w:color w:val="auto"/>
        </w:rPr>
        <w:t>GB/T21873-2008</w:t>
      </w:r>
      <w:r>
        <w:rPr>
          <w:rFonts w:hint="eastAsia"/>
          <w:color w:val="auto"/>
        </w:rPr>
        <w:t>）中的规定。橡胶圈的邵氏硬度宜采用</w:t>
      </w:r>
      <w:r>
        <w:rPr>
          <w:color w:val="auto"/>
        </w:rPr>
        <w:t>50</w:t>
      </w:r>
      <w:r>
        <w:rPr>
          <w:rFonts w:hint="eastAsia"/>
          <w:color w:val="auto"/>
        </w:rPr>
        <w:t>，伸长率应大于</w:t>
      </w:r>
      <w:r>
        <w:rPr>
          <w:color w:val="auto"/>
        </w:rPr>
        <w:t>375%</w:t>
      </w:r>
      <w:r>
        <w:rPr>
          <w:rFonts w:hint="eastAsia"/>
          <w:color w:val="auto"/>
        </w:rPr>
        <w:t>，拉伸强度不应小于</w:t>
      </w:r>
      <w:r>
        <w:rPr>
          <w:color w:val="auto"/>
        </w:rPr>
        <w:t>16MPa</w:t>
      </w:r>
      <w:r>
        <w:rPr>
          <w:rFonts w:hint="eastAsia"/>
          <w:color w:val="auto"/>
        </w:rPr>
        <w:t>。闭水试验合格后，</w:t>
      </w:r>
      <w:r>
        <w:rPr>
          <w:color w:val="auto"/>
        </w:rPr>
        <w:t>DN800~1200</w:t>
      </w:r>
      <w:r>
        <w:rPr>
          <w:rFonts w:hint="eastAsia"/>
          <w:color w:val="auto"/>
        </w:rPr>
        <w:t>管道接口采用</w:t>
      </w:r>
      <w:r>
        <w:rPr>
          <w:color w:val="auto"/>
        </w:rPr>
        <w:t>1</w:t>
      </w:r>
      <w:r>
        <w:rPr>
          <w:rFonts w:hint="eastAsia"/>
          <w:color w:val="auto"/>
        </w:rPr>
        <w:t>：</w:t>
      </w:r>
      <w:r>
        <w:rPr>
          <w:color w:val="auto"/>
        </w:rPr>
        <w:t>2</w:t>
      </w:r>
      <w:r>
        <w:rPr>
          <w:rFonts w:hint="eastAsia"/>
          <w:color w:val="auto"/>
        </w:rPr>
        <w:t>水泥砂浆做内外缝。</w:t>
      </w:r>
    </w:p>
    <w:p w14:paraId="35AFB3BB">
      <w:pPr>
        <w:pStyle w:val="71"/>
        <w:rPr>
          <w:color w:val="auto"/>
          <w:highlight w:val="none"/>
        </w:rPr>
      </w:pPr>
      <w:r>
        <w:rPr>
          <w:rFonts w:hint="eastAsia"/>
          <w:color w:val="auto"/>
          <w:highlight w:val="none"/>
        </w:rPr>
        <w:t>所有承插式管道接口处外包透水土工布 (400g/㎡)，与两侧管道各搭边500mm以上。</w:t>
      </w:r>
    </w:p>
    <w:p w14:paraId="308EE008">
      <w:pPr>
        <w:pStyle w:val="71"/>
        <w:rPr>
          <w:color w:val="auto"/>
          <w:highlight w:val="none"/>
        </w:rPr>
      </w:pPr>
      <w:r>
        <w:rPr>
          <w:rFonts w:hint="eastAsia"/>
          <w:color w:val="auto"/>
          <w:highlight w:val="none"/>
        </w:rPr>
        <w:t>2.污水：本工程新建污水管道管材采用PE实壁排水管，热熔焊接。环柔性(压缩50%），内壁应圆滑,无反向弯曲，无破裂，氧化诱导时间&gt;20min(试验温度200℃)。其中，管道规格: PE100级，SDR21系列，环刚度≥8KN/㎡，dn315管道公称外径315mm，壁厚15.0mm；dn400管道公称外径400mm，壁厚19.1mm。</w:t>
      </w:r>
    </w:p>
    <w:p w14:paraId="7435573D">
      <w:pPr>
        <w:pStyle w:val="71"/>
        <w:rPr>
          <w:color w:val="auto"/>
          <w:highlight w:val="none"/>
        </w:rPr>
      </w:pPr>
      <w:r>
        <w:rPr>
          <w:rFonts w:hint="eastAsia"/>
          <w:color w:val="auto"/>
          <w:highlight w:val="none"/>
        </w:rPr>
        <w:t>3.雨水口连接管：采用dn315PE实壁排水管，PE实壁排水管，热熔焊接，环柔性(压缩50%)内壁应圆滑，无反向弯曲，无破裂，氧化诱导时间&gt;20min(试验温度200℃)。坡为0.01坡向检查井,如与污水管标高有矛盾时应在污水管上侧铺设。管道规格为: PE100级，SDR21系列，环刚度≥8KN/㎡，dn315管道公称外径315mm，壁厚15.0mm。</w:t>
      </w:r>
    </w:p>
    <w:p w14:paraId="3D60B22D">
      <w:pPr>
        <w:pStyle w:val="71"/>
        <w:rPr>
          <w:color w:val="auto"/>
          <w:highlight w:val="none"/>
        </w:rPr>
      </w:pPr>
      <w:r>
        <w:rPr>
          <w:rFonts w:hint="eastAsia"/>
          <w:color w:val="auto"/>
          <w:highlight w:val="none"/>
        </w:rPr>
        <w:t>PE实壁排水管管材质量应符合《非开挖工程用聚乙烯管》 (CI/T 358-2019) 的要求。</w:t>
      </w:r>
    </w:p>
    <w:p w14:paraId="6E54C63A">
      <w:pPr>
        <w:pStyle w:val="71"/>
        <w:rPr>
          <w:color w:val="auto"/>
          <w:highlight w:val="none"/>
        </w:rPr>
      </w:pPr>
      <w:r>
        <w:rPr>
          <w:rFonts w:hint="eastAsia"/>
          <w:color w:val="auto"/>
          <w:highlight w:val="none"/>
        </w:rPr>
        <w:t>4.立管及出户管：出户管采用UPVC管（户外型）,粘接连接，管道规格需符合《建筑排水用硬聚氯乙烯 (PVC-U) 管材》 (GB/T5836.1.2-2018) 的要求。</w:t>
      </w:r>
    </w:p>
    <w:p w14:paraId="02E32FDE">
      <w:pPr>
        <w:pStyle w:val="5"/>
        <w:rPr>
          <w:color w:val="auto"/>
          <w:highlight w:val="none"/>
        </w:rPr>
      </w:pPr>
      <w:r>
        <w:rPr>
          <w:rFonts w:hint="eastAsia"/>
          <w:color w:val="auto"/>
          <w:highlight w:val="none"/>
        </w:rPr>
        <w:t>管道基础及回填</w:t>
      </w:r>
    </w:p>
    <w:p w14:paraId="4E13BEE0">
      <w:pPr>
        <w:pStyle w:val="71"/>
        <w:rPr>
          <w:color w:val="auto"/>
          <w:highlight w:val="none"/>
        </w:rPr>
      </w:pPr>
      <w:r>
        <w:rPr>
          <w:rFonts w:hint="eastAsia"/>
          <w:color w:val="auto"/>
          <w:highlight w:val="none"/>
        </w:rPr>
        <w:t>1.开槽埋管基坑开挖后应保证槽内无积水，尽量使用明沟排水，当明沟排水不能满足要求时可选用井点降水。同时必须做好基坑支护，确保周边其他设施的安全使用。沟槽开挖后需请相关部门人员到场验槽。</w:t>
      </w:r>
    </w:p>
    <w:p w14:paraId="668E7F13">
      <w:pPr>
        <w:pStyle w:val="71"/>
        <w:rPr>
          <w:color w:val="auto"/>
          <w:highlight w:val="none"/>
        </w:rPr>
      </w:pPr>
      <w:r>
        <w:rPr>
          <w:rFonts w:hint="eastAsia"/>
          <w:color w:val="auto"/>
          <w:highlight w:val="none"/>
        </w:rPr>
        <w:t>2.管道的地基设计承载力: fak≥80KPa，检查井等构筑物的地基设计承载力: fak≥100Kpa。3.地基土承载力满足管道、检查井基础设计承载力的要求，基础做法如下:塑料管管道基础采用180°砂石基础，具体做法详苏S01-2021-122。管道与检查井连接处采用混凝土加固，详见省标苏S01-2021-127。</w:t>
      </w:r>
    </w:p>
    <w:p w14:paraId="03ADE4BB">
      <w:pPr>
        <w:pStyle w:val="71"/>
        <w:rPr>
          <w:color w:val="auto"/>
          <w:highlight w:val="none"/>
        </w:rPr>
      </w:pPr>
      <w:r>
        <w:rPr>
          <w:rFonts w:hint="eastAsia"/>
          <w:color w:val="auto"/>
          <w:highlight w:val="none"/>
        </w:rPr>
        <w:t>4.因暂无勘探报告，开挖如若遇到不良地质情况，地基须进行处理，处理方法暂定如下:</w:t>
      </w:r>
    </w:p>
    <w:p w14:paraId="412C91D5">
      <w:pPr>
        <w:pStyle w:val="71"/>
        <w:rPr>
          <w:color w:val="auto"/>
          <w:highlight w:val="none"/>
        </w:rPr>
      </w:pPr>
      <w:r>
        <w:rPr>
          <w:rFonts w:hint="eastAsia"/>
          <w:color w:val="auto"/>
          <w:highlight w:val="none"/>
        </w:rPr>
        <w:t>a.管道基础下超挖600mm,用100mm碎石挤入整平后先铺一层土工布再回600mm中粗砂至基础垫层底部(密实度≥95%) ；</w:t>
      </w:r>
    </w:p>
    <w:p w14:paraId="65E35F2F">
      <w:pPr>
        <w:pStyle w:val="71"/>
        <w:rPr>
          <w:color w:val="auto"/>
          <w:highlight w:val="none"/>
        </w:rPr>
      </w:pPr>
      <w:r>
        <w:rPr>
          <w:rFonts w:hint="eastAsia"/>
          <w:color w:val="auto"/>
          <w:highlight w:val="none"/>
        </w:rPr>
        <w:t>b.绿化带内检查井基础下超挖600m用100mm碎石挤入整平后先铺一层土工布再回填600m中粗砂至检查井基础垫层底部《密实度≥95%) ；</w:t>
      </w:r>
    </w:p>
    <w:p w14:paraId="5EC780DD">
      <w:pPr>
        <w:pStyle w:val="71"/>
        <w:rPr>
          <w:color w:val="auto"/>
          <w:highlight w:val="none"/>
        </w:rPr>
      </w:pPr>
      <w:r>
        <w:rPr>
          <w:rFonts w:hint="eastAsia"/>
          <w:color w:val="auto"/>
          <w:highlight w:val="none"/>
        </w:rPr>
        <w:t>c.道路下检查井基础下超挖800m,用100mm碎石挤入整平后回先铺一层土工布再填800m中粗砂至检查井基础垫层底部(密实度≥95%) ；</w:t>
      </w:r>
    </w:p>
    <w:p w14:paraId="26A7829E">
      <w:pPr>
        <w:pStyle w:val="71"/>
        <w:rPr>
          <w:color w:val="auto"/>
          <w:highlight w:val="none"/>
        </w:rPr>
      </w:pPr>
      <w:r>
        <w:rPr>
          <w:rFonts w:hint="eastAsia"/>
          <w:color w:val="auto"/>
          <w:highlight w:val="none"/>
        </w:rPr>
        <w:t>回填采用梯形断面，底边横向宽度应超出管道及检查井基础两侧各500mm，土工布包裹后顶层搭边。检查井底板底板襟边500mmm。</w:t>
      </w:r>
    </w:p>
    <w:p w14:paraId="2FDF33EC">
      <w:pPr>
        <w:pStyle w:val="71"/>
        <w:rPr>
          <w:color w:val="auto"/>
          <w:highlight w:val="none"/>
        </w:rPr>
      </w:pPr>
      <w:r>
        <w:rPr>
          <w:rFonts w:hint="eastAsia"/>
          <w:color w:val="auto"/>
          <w:highlight w:val="none"/>
        </w:rPr>
        <w:t>5.</w:t>
      </w:r>
      <w:r>
        <w:rPr>
          <w:rFonts w:hint="eastAsia"/>
          <w:color w:val="auto"/>
          <w:highlight w:val="none"/>
        </w:rPr>
        <w:tab/>
      </w:r>
      <w:r>
        <w:rPr>
          <w:rFonts w:hint="eastAsia"/>
          <w:color w:val="auto"/>
          <w:highlight w:val="none"/>
        </w:rPr>
        <w:t>沟槽开挖后如遇暗塘等不良土质，则应及时通知设计人员现场处理。</w:t>
      </w:r>
    </w:p>
    <w:p w14:paraId="1475740B">
      <w:pPr>
        <w:pStyle w:val="5"/>
        <w:rPr>
          <w:color w:val="auto"/>
          <w:highlight w:val="none"/>
        </w:rPr>
      </w:pPr>
      <w:r>
        <w:rPr>
          <w:rFonts w:hint="eastAsia"/>
          <w:color w:val="auto"/>
          <w:highlight w:val="none"/>
        </w:rPr>
        <w:t>检查井、雨水口</w:t>
      </w:r>
    </w:p>
    <w:p w14:paraId="327E4F1C">
      <w:pPr>
        <w:pStyle w:val="71"/>
        <w:rPr>
          <w:color w:val="auto"/>
          <w:highlight w:val="none"/>
        </w:rPr>
      </w:pPr>
      <w:r>
        <w:rPr>
          <w:rFonts w:hint="eastAsia"/>
          <w:color w:val="auto"/>
          <w:highlight w:val="none"/>
        </w:rPr>
        <w:t>1、车行道(含汽车可能驶入的铺装等场地》 下选用钢纤维混凝土井盖座，井盖类别为C250型，绿化带内选用钢纤维混凝土井盖座，井盖类别为B125型。成品质量需符合《检查井盖》GB/T23858-2009的要求，井盖要求安全、易打开，带通风孔。</w:t>
      </w:r>
    </w:p>
    <w:p w14:paraId="32ADBA97">
      <w:pPr>
        <w:pStyle w:val="71"/>
        <w:rPr>
          <w:color w:val="auto"/>
          <w:highlight w:val="none"/>
        </w:rPr>
      </w:pPr>
      <w:r>
        <w:rPr>
          <w:rFonts w:hint="eastAsia"/>
          <w:color w:val="auto"/>
          <w:highlight w:val="none"/>
        </w:rPr>
        <w:t>雨、污水检查井井盖应有标识，并注明“雨水”、“污水” 字样,检查井井盖应选用具有防盗功能的井盖。检查井内踏步采用包塑铁爬梯，详见苏S01-2021-372。</w:t>
      </w:r>
    </w:p>
    <w:p w14:paraId="4DDC0F64">
      <w:pPr>
        <w:pStyle w:val="71"/>
        <w:rPr>
          <w:color w:val="auto"/>
          <w:highlight w:val="none"/>
        </w:rPr>
      </w:pPr>
      <w:r>
        <w:rPr>
          <w:rFonts w:hint="eastAsia"/>
          <w:color w:val="auto"/>
          <w:highlight w:val="none"/>
        </w:rPr>
        <w:t>检查井盖下方加设防坠落设施，需牢固可靠，承重能力不小于300kg，并具备较大的过水能力,避免暴雨期间雨水从井底涌出时被冲走。</w:t>
      </w:r>
    </w:p>
    <w:p w14:paraId="0E4755AF">
      <w:pPr>
        <w:pStyle w:val="71"/>
        <w:rPr>
          <w:color w:val="auto"/>
          <w:highlight w:val="none"/>
        </w:rPr>
      </w:pPr>
      <w:r>
        <w:rPr>
          <w:rFonts w:hint="eastAsia"/>
          <w:color w:val="auto"/>
          <w:highlight w:val="none"/>
        </w:rPr>
        <w:t>2.雨水口：采用乙型雨水口,详见苏S01-2021-292。雨水箅等级C250，雨水箅箅盖座为连体式防盗球墨铸铁雨水箅。</w:t>
      </w:r>
    </w:p>
    <w:p w14:paraId="14B0810D">
      <w:pPr>
        <w:pStyle w:val="71"/>
        <w:rPr>
          <w:color w:val="auto"/>
          <w:highlight w:val="none"/>
        </w:rPr>
      </w:pPr>
      <w:r>
        <w:rPr>
          <w:rFonts w:hint="eastAsia"/>
          <w:color w:val="auto"/>
          <w:highlight w:val="none"/>
        </w:rPr>
        <w:t>雨水口设于场地低点，雨水口位置为示意，可根据雨水立管位置及场地高低进行调整。</w:t>
      </w:r>
    </w:p>
    <w:p w14:paraId="465E70F0">
      <w:pPr>
        <w:pStyle w:val="5"/>
        <w:rPr>
          <w:color w:val="auto"/>
          <w:highlight w:val="none"/>
        </w:rPr>
      </w:pPr>
      <w:r>
        <w:rPr>
          <w:rFonts w:hint="eastAsia"/>
          <w:color w:val="auto"/>
          <w:highlight w:val="none"/>
        </w:rPr>
        <w:t>沟槽回填</w:t>
      </w:r>
    </w:p>
    <w:p w14:paraId="3124E720">
      <w:pPr>
        <w:pStyle w:val="71"/>
        <w:rPr>
          <w:color w:val="auto"/>
          <w:highlight w:val="none"/>
        </w:rPr>
      </w:pPr>
      <w:r>
        <w:rPr>
          <w:rFonts w:hint="eastAsia"/>
          <w:color w:val="auto"/>
          <w:highlight w:val="none"/>
        </w:rPr>
        <w:t>道路下PE管回填采用6%水泥土回填至管顶以上500mm，管顶以上500mm至道路路床底采用6%水泥土回填，回填应满足密实度要求，详见大样图。</w:t>
      </w:r>
    </w:p>
    <w:p w14:paraId="6FC3846F">
      <w:pPr>
        <w:pStyle w:val="71"/>
        <w:rPr>
          <w:color w:val="auto"/>
          <w:highlight w:val="none"/>
        </w:rPr>
      </w:pPr>
      <w:r>
        <w:rPr>
          <w:rFonts w:hint="eastAsia"/>
          <w:color w:val="auto"/>
          <w:highlight w:val="none"/>
        </w:rPr>
        <w:t>绿化带下管顶500mm以上采用良质土回填至地面下500mm，其上再回填素土至地面，回填应满足密实度要求，详见大样图。</w:t>
      </w:r>
    </w:p>
    <w:p w14:paraId="75B720DF">
      <w:pPr>
        <w:pStyle w:val="71"/>
        <w:rPr>
          <w:color w:val="auto"/>
          <w:highlight w:val="none"/>
        </w:rPr>
      </w:pPr>
      <w:r>
        <w:rPr>
          <w:rFonts w:hint="eastAsia"/>
          <w:color w:val="auto"/>
          <w:highlight w:val="none"/>
        </w:rPr>
        <w:t>道路下检查井周围600mm范围内采用5%水泥土回填至道路路床底，压实度要求不小于90%。</w:t>
      </w:r>
    </w:p>
    <w:p w14:paraId="75F55150">
      <w:pPr>
        <w:pStyle w:val="71"/>
        <w:rPr>
          <w:color w:val="auto"/>
          <w:highlight w:val="none"/>
        </w:rPr>
      </w:pPr>
      <w:r>
        <w:rPr>
          <w:rFonts w:hint="eastAsia"/>
          <w:color w:val="auto"/>
          <w:highlight w:val="none"/>
        </w:rPr>
        <w:t>管道施工:</w:t>
      </w:r>
    </w:p>
    <w:p w14:paraId="5F3D5489">
      <w:pPr>
        <w:pStyle w:val="71"/>
        <w:rPr>
          <w:color w:val="auto"/>
          <w:highlight w:val="none"/>
        </w:rPr>
      </w:pPr>
      <w:r>
        <w:rPr>
          <w:rFonts w:hint="eastAsia"/>
          <w:color w:val="auto"/>
          <w:highlight w:val="none"/>
        </w:rPr>
        <w:t>管道与检查井连接采用短管连接: 管道承口应放在检查井的出水方向,当管道位于软土地段，短管后宜接一根或多根长度不大于2.0m短管，插口插入方向应与水流方向一致，承口外边缘距并外壁250-500mm。</w:t>
      </w:r>
    </w:p>
    <w:p w14:paraId="4EE0E9F4">
      <w:pPr>
        <w:pStyle w:val="5"/>
        <w:rPr>
          <w:color w:val="auto"/>
          <w:highlight w:val="none"/>
        </w:rPr>
      </w:pPr>
      <w:r>
        <w:rPr>
          <w:rFonts w:hint="eastAsia"/>
          <w:color w:val="auto"/>
          <w:highlight w:val="none"/>
        </w:rPr>
        <w:t>管道施工及回填:</w:t>
      </w:r>
    </w:p>
    <w:p w14:paraId="257C1BD8">
      <w:pPr>
        <w:pStyle w:val="71"/>
        <w:rPr>
          <w:color w:val="auto"/>
          <w:highlight w:val="none"/>
        </w:rPr>
      </w:pPr>
      <w:r>
        <w:rPr>
          <w:rFonts w:hint="eastAsia"/>
          <w:color w:val="auto"/>
          <w:highlight w:val="none"/>
        </w:rPr>
        <w:t>1.沟槽应在闭水试验合格后及时回填。回填要求详见大样图。</w:t>
      </w:r>
    </w:p>
    <w:p w14:paraId="2544FE05">
      <w:pPr>
        <w:pStyle w:val="71"/>
        <w:rPr>
          <w:color w:val="auto"/>
          <w:highlight w:val="none"/>
        </w:rPr>
      </w:pPr>
      <w:r>
        <w:rPr>
          <w:rFonts w:hint="eastAsia"/>
          <w:color w:val="auto"/>
          <w:highlight w:val="none"/>
        </w:rPr>
        <w:t>2.沟槽回填时,砖、石、木块等物应清除干净,采用井点降水时,其动水位应保持在槽底以下不小于400mm.</w:t>
      </w:r>
    </w:p>
    <w:p w14:paraId="62D1C368">
      <w:pPr>
        <w:pStyle w:val="71"/>
        <w:rPr>
          <w:color w:val="auto"/>
          <w:highlight w:val="none"/>
        </w:rPr>
      </w:pPr>
      <w:r>
        <w:rPr>
          <w:rFonts w:hint="eastAsia"/>
          <w:color w:val="auto"/>
          <w:highlight w:val="none"/>
        </w:rPr>
        <w:t>3.管道两侧和管顶以上500mm范围内的回填材料,应由沟两侧对称运入槽内,不得直接扔在管道上,回填其他位置时，应均匀运入槽内，不得集中推入。</w:t>
      </w:r>
    </w:p>
    <w:p w14:paraId="24425276">
      <w:pPr>
        <w:pStyle w:val="71"/>
        <w:rPr>
          <w:color w:val="auto"/>
          <w:highlight w:val="none"/>
        </w:rPr>
      </w:pPr>
      <w:r>
        <w:rPr>
          <w:rFonts w:hint="eastAsia"/>
          <w:color w:val="auto"/>
          <w:highlight w:val="none"/>
        </w:rPr>
        <w:t>4.回填压实应逐层进行,每层厚度不大于20cm，且不得损伤管道，具体回填要求按大样图中有关要求执行。</w:t>
      </w:r>
    </w:p>
    <w:p w14:paraId="1F623F01">
      <w:pPr>
        <w:pStyle w:val="71"/>
        <w:rPr>
          <w:color w:val="auto"/>
          <w:highlight w:val="none"/>
        </w:rPr>
      </w:pPr>
      <w:r>
        <w:rPr>
          <w:rFonts w:hint="eastAsia"/>
          <w:color w:val="auto"/>
          <w:highlight w:val="none"/>
        </w:rPr>
        <w:t>5.当沟槽内有地下水时，必须将地下水降至槽底以下0.5米，做到干槽施工。一般采用明沟排水，当采用明沟排水困难时，应根据地质及开挖深度采用合适的井点降水或其它降水措施。6.当上方用机械开挖时，应保留200mm土层用人工清槽，且不得超挖，如若超挖应用砂石将超挖部分采用醉石回填夯实。</w:t>
      </w:r>
    </w:p>
    <w:p w14:paraId="1717BD71">
      <w:pPr>
        <w:pStyle w:val="71"/>
        <w:rPr>
          <w:color w:val="auto"/>
          <w:highlight w:val="none"/>
        </w:rPr>
      </w:pPr>
      <w:r>
        <w:rPr>
          <w:rFonts w:hint="eastAsia"/>
          <w:color w:val="auto"/>
          <w:highlight w:val="none"/>
        </w:rPr>
        <w:t>7.在施工过程中当管内无水时，应注意防止沟槽进水造成管道上浮。</w:t>
      </w:r>
    </w:p>
    <w:p w14:paraId="04CB54BF">
      <w:pPr>
        <w:pStyle w:val="71"/>
        <w:rPr>
          <w:color w:val="auto"/>
          <w:highlight w:val="none"/>
        </w:rPr>
      </w:pPr>
      <w:r>
        <w:rPr>
          <w:rFonts w:hint="eastAsia"/>
          <w:color w:val="auto"/>
          <w:highlight w:val="none"/>
        </w:rPr>
        <w:t>8.浇筑混凝土基础时，应采取加强养护等措施，防止混凝土出现裂缝。</w:t>
      </w:r>
    </w:p>
    <w:p w14:paraId="077EDBD0">
      <w:pPr>
        <w:pStyle w:val="71"/>
        <w:rPr>
          <w:color w:val="auto"/>
          <w:highlight w:val="none"/>
        </w:rPr>
      </w:pPr>
      <w:r>
        <w:rPr>
          <w:rFonts w:hint="eastAsia"/>
          <w:color w:val="auto"/>
          <w:highlight w:val="none"/>
        </w:rPr>
        <w:t>9.承插式接口的管道，插口插入的方向应与水流方向一致。</w:t>
      </w:r>
    </w:p>
    <w:p w14:paraId="28C3656C">
      <w:pPr>
        <w:pStyle w:val="71"/>
        <w:rPr>
          <w:color w:val="auto"/>
          <w:highlight w:val="none"/>
        </w:rPr>
      </w:pPr>
      <w:r>
        <w:rPr>
          <w:rFonts w:hint="eastAsia"/>
          <w:color w:val="auto"/>
          <w:highlight w:val="none"/>
        </w:rPr>
        <w:t>10.管道两侧回填土应同时进行，高差不得大于0.3m。</w:t>
      </w:r>
    </w:p>
    <w:p w14:paraId="6B16B62D">
      <w:pPr>
        <w:pStyle w:val="71"/>
        <w:rPr>
          <w:color w:val="auto"/>
          <w:highlight w:val="none"/>
        </w:rPr>
      </w:pPr>
      <w:r>
        <w:rPr>
          <w:rFonts w:hint="eastAsia"/>
          <w:color w:val="auto"/>
          <w:highlight w:val="none"/>
        </w:rPr>
        <w:t>11.开挖沟槽边坡坡度应符合《给水排水管道工程施工及验收规范》 (GB50268-2008) 的相关规定。</w:t>
      </w:r>
    </w:p>
    <w:p w14:paraId="6157C34C">
      <w:pPr>
        <w:pStyle w:val="71"/>
        <w:rPr>
          <w:color w:val="auto"/>
          <w:highlight w:val="none"/>
        </w:rPr>
      </w:pPr>
      <w:r>
        <w:rPr>
          <w:rFonts w:hint="eastAsia"/>
          <w:color w:val="auto"/>
          <w:highlight w:val="none"/>
        </w:rPr>
        <w:t>12.塑料管与检查井连接采用遇水膨胀橡胶密封圈连接，做法详见06MS201-2-P56。</w:t>
      </w:r>
    </w:p>
    <w:p w14:paraId="7EEC2AA0">
      <w:pPr>
        <w:pStyle w:val="71"/>
        <w:rPr>
          <w:color w:val="auto"/>
          <w:highlight w:val="none"/>
        </w:rPr>
      </w:pPr>
      <w:r>
        <w:rPr>
          <w:rFonts w:hint="eastAsia"/>
          <w:color w:val="auto"/>
          <w:highlight w:val="none"/>
        </w:rPr>
        <w:t>13.雨污水管道施工中，沟槽开挖前原地面高程需保证管顶覆土深度不小于40cm，否则采用先填土后开挖法施工。</w:t>
      </w:r>
    </w:p>
    <w:p w14:paraId="452C2B2B">
      <w:pPr>
        <w:pStyle w:val="5"/>
        <w:rPr>
          <w:color w:val="auto"/>
          <w:highlight w:val="none"/>
        </w:rPr>
      </w:pPr>
      <w:r>
        <w:rPr>
          <w:rFonts w:hint="eastAsia"/>
          <w:color w:val="auto"/>
          <w:highlight w:val="none"/>
        </w:rPr>
        <w:t>施工注意事项:</w:t>
      </w:r>
    </w:p>
    <w:p w14:paraId="4A80F1F4">
      <w:pPr>
        <w:pStyle w:val="71"/>
        <w:rPr>
          <w:color w:val="auto"/>
          <w:highlight w:val="none"/>
        </w:rPr>
      </w:pPr>
      <w:r>
        <w:rPr>
          <w:rFonts w:hint="eastAsia"/>
          <w:color w:val="auto"/>
          <w:highlight w:val="none"/>
        </w:rPr>
        <w:t>(1)新老管道对接施工时，施工前施工单位应对接入的现状污水管道位置、管径、标高进行实测.并按实际情况，拿出施工专项组织方案，并报相关主管部门批准后方可施工。</w:t>
      </w:r>
    </w:p>
    <w:p w14:paraId="4FCEF59B">
      <w:pPr>
        <w:pStyle w:val="71"/>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本工程的所有混凝土采用预拌混凝上，砂浆均采用预拌砂浆。本工程的所有钢筋、凡直径≥12m者采用HRB400(注明者除外)，直径&lt;12mm采用HPB300钢筋，并符合《GB/T 1499.1-2017》及《GB/T 1499.2-2010 》及 《GB/T 1499.3-2010》 的规定。</w:t>
      </w:r>
    </w:p>
    <w:p w14:paraId="51B11E96">
      <w:pPr>
        <w:pStyle w:val="71"/>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应根据施工组织设计中的施工平面布置图确定各功能位置，做好围挡、安全标示和交通疏导工作。</w:t>
      </w:r>
    </w:p>
    <w:p w14:paraId="12EF542F">
      <w:pPr>
        <w:pStyle w:val="71"/>
        <w:rPr>
          <w:color w:val="auto"/>
          <w:highlight w:val="none"/>
        </w:rPr>
      </w:pPr>
      <w:r>
        <w:rPr>
          <w:rFonts w:hint="eastAsia"/>
          <w:color w:val="auto"/>
          <w:highlight w:val="none"/>
        </w:rPr>
        <w:t>(4)</w:t>
      </w:r>
      <w:r>
        <w:rPr>
          <w:rFonts w:hint="eastAsia"/>
          <w:color w:val="auto"/>
          <w:highlight w:val="none"/>
        </w:rPr>
        <w:tab/>
      </w:r>
      <w:r>
        <w:rPr>
          <w:rFonts w:hint="eastAsia"/>
          <w:color w:val="auto"/>
          <w:highlight w:val="none"/>
        </w:rPr>
        <w:t>开挖维修施工期间，要对现状雨污水进行导流，可采用气囊对上下游现状雨污水主管道进行封堵，利用污水泵抽排污水至下游污水管道内。</w:t>
      </w:r>
    </w:p>
    <w:p w14:paraId="027D53F0">
      <w:pPr>
        <w:pStyle w:val="71"/>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沟槽开挖深度根据现状管道深度及图纸内容确定，沟槽开挖的不良土方不允许用作沟槽回填。</w:t>
      </w:r>
    </w:p>
    <w:p w14:paraId="1D09CEE5">
      <w:pPr>
        <w:pStyle w:val="71"/>
        <w:rPr>
          <w:color w:val="auto"/>
          <w:highlight w:val="none"/>
        </w:rPr>
      </w:pPr>
      <w:r>
        <w:rPr>
          <w:rFonts w:hint="eastAsia"/>
          <w:color w:val="auto"/>
          <w:highlight w:val="none"/>
        </w:rPr>
        <w:t>(4)</w:t>
      </w:r>
      <w:r>
        <w:rPr>
          <w:rFonts w:hint="eastAsia"/>
          <w:color w:val="auto"/>
          <w:highlight w:val="none"/>
        </w:rPr>
        <w:tab/>
      </w:r>
      <w:r>
        <w:rPr>
          <w:rFonts w:hint="eastAsia"/>
          <w:color w:val="auto"/>
          <w:highlight w:val="none"/>
        </w:rPr>
        <w:t>管道施工结束后对施工过程中破坏的现状道路、景观、管线等其他公共设施予以原样恢复。</w:t>
      </w:r>
    </w:p>
    <w:p w14:paraId="1C52DD38">
      <w:pPr>
        <w:pStyle w:val="7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highlight w:val="none"/>
        </w:rPr>
        <w:t>(7)本次设计为室外配套管网改造，新建检查井设计标高需与现状道路标高一致，若设计与现状不符需根据现场实际情况进行调整。</w:t>
      </w:r>
    </w:p>
    <w:p w14:paraId="31FD7666">
      <w:pPr>
        <w:pStyle w:val="7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highlight w:val="none"/>
        </w:rPr>
        <w:t>(8)本工程所用检查井或构筑物素混凝上垫层等级均改为C20，省标及国标图集中采用的C10、C15混凝土均改为C20混凝土。</w:t>
      </w:r>
    </w:p>
    <w:p w14:paraId="63B404B7">
      <w:pPr>
        <w:pStyle w:val="7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highlight w:val="none"/>
        </w:rPr>
        <w:t>(9)施工过程中局部路段距离现状构筑物较近，需采取保护措施，保证现状管道安全，可采用钢板桩支护，具体方案由施工单位在施工组织设计中明确，并经专家论证会通过后方可施工。</w:t>
      </w:r>
    </w:p>
    <w:p w14:paraId="0C25BC45">
      <w:pPr>
        <w:pStyle w:val="7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highlight w:val="none"/>
        </w:rPr>
        <w:t>(10)本次设计管道标高及检查井的埋深均为暂定，具体埋深待实际开挖后，按照原管道标高实施。</w:t>
      </w:r>
    </w:p>
    <w:p w14:paraId="1EB46A1A">
      <w:pPr>
        <w:pStyle w:val="7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highlight w:val="none"/>
        </w:rPr>
        <w:t>（11） 施工时请注意对现状管道的保护，注意对已有建筑的保护，不得影响建筑物基础，注意人身安全；并采取措施防止建筑物沉降，同时应进行沉降观测，如发现问题应立即停止施工，并采取相关措施，确保现状建筑物及构筑物安全。</w:t>
      </w:r>
    </w:p>
    <w:p w14:paraId="0A57226B">
      <w:pPr>
        <w:pStyle w:val="7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highlight w:val="none"/>
        </w:rPr>
        <w:t>（12）管道交叉注意事项：</w:t>
      </w:r>
    </w:p>
    <w:p w14:paraId="4BD01479">
      <w:pPr>
        <w:pStyle w:val="7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highlight w:val="none"/>
        </w:rPr>
        <w:t>①压力管线宜避让重力自流管线；</w:t>
      </w:r>
    </w:p>
    <w:p w14:paraId="08AE493E">
      <w:pPr>
        <w:pStyle w:val="7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highlight w:val="none"/>
        </w:rPr>
        <w:t>②易弯曲管线宜避让不易弯曲管线；</w:t>
      </w:r>
    </w:p>
    <w:p w14:paraId="213C767D">
      <w:pPr>
        <w:pStyle w:val="7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highlight w:val="none"/>
        </w:rPr>
        <w:t>③分支管线宜避让主干管线；</w:t>
      </w:r>
    </w:p>
    <w:p w14:paraId="279A5E45">
      <w:pPr>
        <w:pStyle w:val="7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highlight w:val="none"/>
        </w:rPr>
        <w:t>④小管径管线宜避让大管径管线；</w:t>
      </w:r>
    </w:p>
    <w:p w14:paraId="681F5422">
      <w:pPr>
        <w:pStyle w:val="71"/>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highlight w:val="none"/>
        </w:rPr>
        <w:t>⑤临时管线宜避让永久管线。</w:t>
      </w:r>
    </w:p>
    <w:p w14:paraId="14EB78BE">
      <w:pPr>
        <w:pStyle w:val="5"/>
        <w:rPr>
          <w:color w:val="auto"/>
          <w:highlight w:val="none"/>
        </w:rPr>
      </w:pPr>
      <w:r>
        <w:rPr>
          <w:rFonts w:hint="eastAsia"/>
          <w:color w:val="auto"/>
          <w:highlight w:val="none"/>
        </w:rPr>
        <w:t>关于执行《危险性较大的分部分项工程安全管理规定》（住建部第37号令）的相关说明：</w:t>
      </w:r>
    </w:p>
    <w:p w14:paraId="2883C314">
      <w:pPr>
        <w:pStyle w:val="71"/>
        <w:rPr>
          <w:color w:val="auto"/>
          <w:highlight w:val="none"/>
        </w:rPr>
      </w:pPr>
      <w:r>
        <w:rPr>
          <w:rFonts w:hint="eastAsia"/>
          <w:color w:val="auto"/>
          <w:highlight w:val="none"/>
        </w:rPr>
        <w:t>1、危大工程分四部分：基坑工程、起重吊装及起重机械安装拆卸工程、拆除工程、管线保护工程。</w:t>
      </w:r>
    </w:p>
    <w:p w14:paraId="61DF96A1">
      <w:pPr>
        <w:pStyle w:val="71"/>
        <w:rPr>
          <w:color w:val="auto"/>
          <w:highlight w:val="none"/>
        </w:rPr>
      </w:pPr>
      <w:r>
        <w:rPr>
          <w:rFonts w:hint="eastAsia"/>
          <w:color w:val="auto"/>
          <w:highlight w:val="none"/>
        </w:rPr>
        <w:t>（1）基坑工程</w:t>
      </w:r>
    </w:p>
    <w:p w14:paraId="59A27973">
      <w:pPr>
        <w:pStyle w:val="71"/>
        <w:rPr>
          <w:color w:val="auto"/>
          <w:highlight w:val="none"/>
        </w:rPr>
      </w:pPr>
      <w:r>
        <w:rPr>
          <w:rFonts w:hint="eastAsia"/>
          <w:color w:val="auto"/>
          <w:highlight w:val="none"/>
        </w:rPr>
        <w:t>1）埋深大于三米小于五米；开挖深度虽未超过5m ，但地质条件、周围环境和地下管线复杂，或影响毗邻建、构筑物安全的基坑（槽）的土方开挖、支护、降水工程属于危险性较大分部分项工程。埋深大于5米，属于超过一定规模的危险性较大的分部分项工程。</w:t>
      </w:r>
    </w:p>
    <w:p w14:paraId="491A1E3F">
      <w:pPr>
        <w:pStyle w:val="71"/>
        <w:rPr>
          <w:color w:val="auto"/>
          <w:highlight w:val="none"/>
        </w:rPr>
      </w:pPr>
      <w:r>
        <w:rPr>
          <w:rFonts w:hint="eastAsia"/>
          <w:color w:val="auto"/>
          <w:highlight w:val="none"/>
        </w:rPr>
        <w:t xml:space="preserve">  2）确保工程周边安全及工程施工安全的建议</w:t>
      </w:r>
    </w:p>
    <w:p w14:paraId="0A073F31">
      <w:pPr>
        <w:pStyle w:val="71"/>
        <w:rPr>
          <w:color w:val="auto"/>
          <w:highlight w:val="none"/>
        </w:rPr>
      </w:pPr>
      <w:r>
        <w:rPr>
          <w:rFonts w:hint="eastAsia"/>
          <w:color w:val="auto"/>
          <w:highlight w:val="none"/>
        </w:rPr>
        <w:t xml:space="preserve">  现状周边环境及地下管线复杂、根据需要采取适当的支护措施（支护措施有槽钢、工字钢、钢板桩及拉森钢板桩等）。施工单位在施工前需对场地地质及水文情况有充分了解，并严格按管道施工规范施工。为减小管道及检查井沟槽开挖对周边管线影响，当沟槽埋深≤3.0m时建议采用横列板支护施工；3.0m&lt;沟槽埋深≤5.0m时建议采用钢板桩围护开挖施工；沟槽深度＞5.0m时保护方案可结合深基坑方案同步考虑，具体方案由施工单位在施工组织设计中明确，并要求有资质单位编写深基坑支护专项施工方案经过专家论证通过后方可施工。</w:t>
      </w:r>
    </w:p>
    <w:p w14:paraId="530FE848">
      <w:pPr>
        <w:pStyle w:val="71"/>
        <w:rPr>
          <w:color w:val="auto"/>
          <w:highlight w:val="none"/>
        </w:rPr>
      </w:pPr>
      <w:r>
        <w:rPr>
          <w:rFonts w:hint="eastAsia"/>
          <w:color w:val="auto"/>
          <w:highlight w:val="none"/>
        </w:rPr>
        <w:t xml:space="preserve">  对于周边环境复杂，影响毗邻建（构）筑物安全的基坑土方开挖、支护及降水工程，建设单位可委托第三方机构对周围建（构）筑物进行沉降监测，保障施工过程中建（构）筑物安全。</w:t>
      </w:r>
    </w:p>
    <w:p w14:paraId="244EF5D0">
      <w:pPr>
        <w:pStyle w:val="71"/>
        <w:rPr>
          <w:color w:val="auto"/>
          <w:highlight w:val="none"/>
        </w:rPr>
      </w:pPr>
      <w:r>
        <w:rPr>
          <w:rFonts w:hint="eastAsia"/>
          <w:color w:val="auto"/>
          <w:highlight w:val="none"/>
        </w:rPr>
        <w:t>（2）起重吊装及起重机械安装拆卸工程</w:t>
      </w:r>
    </w:p>
    <w:p w14:paraId="0438F65F">
      <w:pPr>
        <w:pStyle w:val="71"/>
        <w:rPr>
          <w:color w:val="auto"/>
          <w:highlight w:val="none"/>
        </w:rPr>
      </w:pPr>
      <w:r>
        <w:rPr>
          <w:rFonts w:hint="eastAsia"/>
          <w:color w:val="auto"/>
          <w:highlight w:val="none"/>
        </w:rPr>
        <w:t xml:space="preserve"> 采用非常规起重设备、方法，且单件起吊重量在10kN及以上的起重吊装工程。采用起重机械进行安装的工程。起重机械安装和拆卸工程须符合《给水排水管道工程施工及验收规范》GB20268-2008第6.1.9: </w:t>
      </w:r>
    </w:p>
    <w:p w14:paraId="18504AC5">
      <w:pPr>
        <w:pStyle w:val="71"/>
        <w:rPr>
          <w:color w:val="auto"/>
          <w:highlight w:val="none"/>
        </w:rPr>
      </w:pPr>
      <w:r>
        <w:rPr>
          <w:rFonts w:hint="eastAsia"/>
          <w:color w:val="auto"/>
          <w:highlight w:val="none"/>
        </w:rPr>
        <w:t xml:space="preserve">a.起重设备必须经过起重荷载计算； </w:t>
      </w:r>
    </w:p>
    <w:p w14:paraId="5B511A24">
      <w:pPr>
        <w:pStyle w:val="71"/>
        <w:rPr>
          <w:color w:val="auto"/>
          <w:highlight w:val="none"/>
        </w:rPr>
      </w:pPr>
      <w:r>
        <w:rPr>
          <w:rFonts w:hint="eastAsia"/>
          <w:color w:val="auto"/>
          <w:highlight w:val="none"/>
        </w:rPr>
        <w:t>b.使用前必须经过检查验收，合格后方可使用；</w:t>
      </w:r>
    </w:p>
    <w:p w14:paraId="5164C838">
      <w:pPr>
        <w:pStyle w:val="71"/>
        <w:rPr>
          <w:color w:val="auto"/>
          <w:highlight w:val="none"/>
        </w:rPr>
      </w:pPr>
      <w:r>
        <w:rPr>
          <w:rFonts w:hint="eastAsia"/>
          <w:color w:val="auto"/>
          <w:highlight w:val="none"/>
        </w:rPr>
        <w:t>c.起重作业前应试吊，确认安全后方可起吊；</w:t>
      </w:r>
    </w:p>
    <w:p w14:paraId="2261F0D3">
      <w:pPr>
        <w:pStyle w:val="71"/>
        <w:rPr>
          <w:color w:val="auto"/>
          <w:highlight w:val="none"/>
        </w:rPr>
      </w:pPr>
      <w:r>
        <w:rPr>
          <w:rFonts w:hint="eastAsia"/>
          <w:color w:val="auto"/>
          <w:highlight w:val="none"/>
        </w:rPr>
        <w:t xml:space="preserve">d.严禁超负荷使用； </w:t>
      </w:r>
    </w:p>
    <w:p w14:paraId="22609862">
      <w:pPr>
        <w:pStyle w:val="71"/>
        <w:rPr>
          <w:color w:val="auto"/>
          <w:highlight w:val="none"/>
        </w:rPr>
      </w:pPr>
      <w:r>
        <w:rPr>
          <w:rFonts w:hint="eastAsia"/>
          <w:color w:val="auto"/>
          <w:highlight w:val="none"/>
        </w:rPr>
        <w:t xml:space="preserve">    5.用机械设备吊装时，应采用非金属绳（带）吊装。</w:t>
      </w:r>
    </w:p>
    <w:p w14:paraId="6EC2B73F">
      <w:pPr>
        <w:pStyle w:val="71"/>
        <w:rPr>
          <w:color w:val="auto"/>
          <w:highlight w:val="none"/>
        </w:rPr>
      </w:pPr>
      <w:r>
        <w:rPr>
          <w:rFonts w:hint="eastAsia"/>
          <w:color w:val="auto"/>
          <w:highlight w:val="none"/>
        </w:rPr>
        <w:t>（3）拆除工程</w:t>
      </w:r>
    </w:p>
    <w:p w14:paraId="3EFCEF50">
      <w:pPr>
        <w:pStyle w:val="71"/>
        <w:rPr>
          <w:color w:val="auto"/>
          <w:highlight w:val="none"/>
        </w:rPr>
      </w:pPr>
      <w:r>
        <w:rPr>
          <w:rFonts w:hint="eastAsia"/>
          <w:color w:val="auto"/>
          <w:highlight w:val="none"/>
        </w:rPr>
        <w:t xml:space="preserve"> 可能影响行人、交通、电力设施、通讯设施或其它建、构筑物安全的拆除工程。拆除前应根据相关规定，做好施工期间交通组织，施工期间做好安全围挡工。</w:t>
      </w:r>
    </w:p>
    <w:p w14:paraId="08759A9F">
      <w:pPr>
        <w:pStyle w:val="71"/>
        <w:rPr>
          <w:color w:val="auto"/>
          <w:highlight w:val="none"/>
        </w:rPr>
      </w:pPr>
      <w:r>
        <w:rPr>
          <w:rFonts w:hint="eastAsia"/>
          <w:color w:val="auto"/>
          <w:highlight w:val="none"/>
        </w:rPr>
        <w:t>（4）管线保护工程</w:t>
      </w:r>
    </w:p>
    <w:p w14:paraId="22B96EF9">
      <w:pPr>
        <w:pStyle w:val="71"/>
        <w:rPr>
          <w:color w:val="auto"/>
          <w:highlight w:val="none"/>
        </w:rPr>
      </w:pPr>
      <w:r>
        <w:rPr>
          <w:rFonts w:hint="eastAsia"/>
          <w:color w:val="auto"/>
          <w:highlight w:val="none"/>
        </w:rPr>
        <w:t>项目范围内，现状各种地下管线、地上杆线的保护。涉及现有地下管网、地上电力线路的，施工期间应先探明管线位置、电力线路的安全距离，落实保护措施或迁改完成切割后按方案进行施工。管线开挖时应先采用人工探挖，暴露出管线在开挖沟槽的具体位置后，方能进行机械挖掘。管线1m范围内不得使用机械挖掘，需采用人工开挖，避免挖掘机损伤管线。施工时，对发现资料标明与实际情况有差异或管线的埋设位置无法判断的，应停止作业，并通知建设、监理和管线权属单位，采取保护措施后方可施工。</w:t>
      </w:r>
    </w:p>
    <w:p w14:paraId="3EE31C8D">
      <w:pPr>
        <w:pStyle w:val="71"/>
        <w:rPr>
          <w:color w:val="auto"/>
          <w:highlight w:val="none"/>
        </w:rPr>
      </w:pPr>
      <w:r>
        <w:rPr>
          <w:rFonts w:hint="eastAsia"/>
          <w:color w:val="auto"/>
          <w:highlight w:val="none"/>
        </w:rPr>
        <w:t xml:space="preserve"> 施工前应根据相关规定，进一步梳理可能涉及到的安全因素，做好相应的施工组织设计，加强施工期间的安全。</w:t>
      </w:r>
    </w:p>
    <w:p w14:paraId="29CB1BC0">
      <w:pPr>
        <w:pStyle w:val="71"/>
        <w:rPr>
          <w:color w:val="auto"/>
          <w:highlight w:val="none"/>
        </w:rPr>
      </w:pPr>
      <w:r>
        <w:rPr>
          <w:rFonts w:hint="eastAsia"/>
          <w:color w:val="auto"/>
          <w:highlight w:val="none"/>
        </w:rPr>
        <w:t>2、专项施工方案</w:t>
      </w:r>
    </w:p>
    <w:p w14:paraId="6FF45603">
      <w:pPr>
        <w:pStyle w:val="71"/>
        <w:rPr>
          <w:color w:val="auto"/>
          <w:highlight w:val="none"/>
        </w:rPr>
      </w:pPr>
      <w:r>
        <w:rPr>
          <w:rFonts w:hint="eastAsia"/>
          <w:color w:val="auto"/>
          <w:highlight w:val="none"/>
        </w:rPr>
        <w:t xml:space="preserve">  施工单位应在危大工程施工前组织工程技术人员编制专项施工方案，并根据37号令要求，对施工方案进行报批或组织专家审查，确保施工过程安全。</w:t>
      </w:r>
    </w:p>
    <w:p w14:paraId="0B9492F3">
      <w:pPr>
        <w:pStyle w:val="71"/>
        <w:rPr>
          <w:color w:val="auto"/>
          <w:highlight w:val="none"/>
        </w:rPr>
      </w:pPr>
      <w:r>
        <w:rPr>
          <w:rFonts w:hint="eastAsia"/>
          <w:color w:val="auto"/>
          <w:highlight w:val="none"/>
        </w:rPr>
        <w:t>3、本工程必须经过抗浮验算满足要求方可实施。施工时请注意对现状管道的保护，注意对已有建筑的保护，不得影响建筑物基础，注意人身安全；并采取措施防止建筑物沉降，同时应进行沉降观测，如发现问题应立即停止施工，并采取相关措施，确保现状建筑物及构筑物安全。</w:t>
      </w:r>
    </w:p>
    <w:p w14:paraId="4BD5854D">
      <w:pPr>
        <w:pStyle w:val="71"/>
        <w:rPr>
          <w:color w:val="auto"/>
          <w:highlight w:val="none"/>
        </w:rPr>
      </w:pPr>
      <w:r>
        <w:rPr>
          <w:rFonts w:hint="eastAsia"/>
          <w:color w:val="auto"/>
          <w:highlight w:val="none"/>
        </w:rPr>
        <w:t>4、工程应遵守国家和地方有关安全、劳动保护、防火、防爆、环境和文物保护等方面的规定。</w:t>
      </w:r>
    </w:p>
    <w:p w14:paraId="45BB5BFE">
      <w:pPr>
        <w:pStyle w:val="4"/>
        <w:rPr>
          <w:color w:val="auto"/>
          <w:highlight w:val="none"/>
        </w:rPr>
      </w:pPr>
      <w:bookmarkStart w:id="15" w:name="_Toc109226980"/>
      <w:bookmarkStart w:id="16" w:name="_Toc13958"/>
      <w:r>
        <w:rPr>
          <w:rFonts w:hint="eastAsia"/>
          <w:color w:val="auto"/>
          <w:highlight w:val="none"/>
        </w:rPr>
        <w:t>景观工程</w:t>
      </w:r>
      <w:bookmarkEnd w:id="15"/>
      <w:r>
        <w:rPr>
          <w:rFonts w:hint="eastAsia"/>
          <w:color w:val="auto"/>
          <w:highlight w:val="none"/>
          <w:lang w:eastAsia="zh-CN"/>
        </w:rPr>
        <w:t>设计说明</w:t>
      </w:r>
      <w:bookmarkEnd w:id="16"/>
    </w:p>
    <w:p w14:paraId="3A507C65">
      <w:pPr>
        <w:pStyle w:val="5"/>
        <w:rPr>
          <w:color w:val="auto"/>
          <w:highlight w:val="none"/>
        </w:rPr>
      </w:pPr>
      <w:r>
        <w:rPr>
          <w:rFonts w:hint="eastAsia"/>
          <w:color w:val="auto"/>
          <w:highlight w:val="none"/>
        </w:rPr>
        <w:t>设计理念</w:t>
      </w:r>
    </w:p>
    <w:p w14:paraId="69DBEEC4">
      <w:pPr>
        <w:pStyle w:val="71"/>
        <w:rPr>
          <w:color w:val="auto"/>
          <w:highlight w:val="none"/>
        </w:rPr>
      </w:pPr>
      <w:r>
        <w:rPr>
          <w:rFonts w:hint="eastAsia"/>
          <w:color w:val="auto"/>
          <w:highlight w:val="none"/>
        </w:rPr>
        <w:t>近年来随着城市化进程加快，居民的生活条件及居住环境得到极大改善和提高</w:t>
      </w:r>
      <w:r>
        <w:rPr>
          <w:rFonts w:hint="eastAsia"/>
          <w:color w:val="auto"/>
          <w:highlight w:val="none"/>
          <w:lang w:eastAsia="zh-CN"/>
        </w:rPr>
        <w:t>，</w:t>
      </w:r>
      <w:r>
        <w:rPr>
          <w:rFonts w:hint="eastAsia"/>
          <w:color w:val="auto"/>
          <w:highlight w:val="none"/>
        </w:rPr>
        <w:t>然而</w:t>
      </w:r>
      <w:r>
        <w:rPr>
          <w:rFonts w:hint="eastAsia"/>
          <w:color w:val="auto"/>
          <w:highlight w:val="none"/>
          <w:lang w:eastAsia="zh-CN"/>
        </w:rPr>
        <w:t>小区景观环境仍</w:t>
      </w:r>
      <w:r>
        <w:rPr>
          <w:rFonts w:hint="eastAsia"/>
          <w:color w:val="auto"/>
          <w:highlight w:val="none"/>
        </w:rPr>
        <w:t>存在一些问题，比如设施不配套、小区内部绿化比较杂乱</w:t>
      </w:r>
      <w:r>
        <w:rPr>
          <w:rFonts w:hint="eastAsia"/>
          <w:color w:val="auto"/>
          <w:highlight w:val="none"/>
          <w:lang w:eastAsia="zh-CN"/>
        </w:rPr>
        <w:t>、</w:t>
      </w:r>
      <w:r>
        <w:rPr>
          <w:rFonts w:hint="eastAsia"/>
          <w:color w:val="auto"/>
          <w:highlight w:val="none"/>
        </w:rPr>
        <w:t>部分土壤裸露</w:t>
      </w:r>
      <w:r>
        <w:rPr>
          <w:rFonts w:hint="eastAsia"/>
          <w:color w:val="auto"/>
          <w:highlight w:val="none"/>
          <w:lang w:eastAsia="zh-CN"/>
        </w:rPr>
        <w:t>、</w:t>
      </w:r>
      <w:r>
        <w:rPr>
          <w:rFonts w:hint="eastAsia"/>
          <w:color w:val="auto"/>
          <w:highlight w:val="none"/>
        </w:rPr>
        <w:t>现状宣传栏破旧，摆放不整齐。</w:t>
      </w:r>
      <w:r>
        <w:rPr>
          <w:rFonts w:hint="eastAsia"/>
          <w:color w:val="auto"/>
          <w:highlight w:val="none"/>
          <w:lang w:eastAsia="zh-CN"/>
        </w:rPr>
        <w:t>本次设计</w:t>
      </w:r>
      <w:r>
        <w:rPr>
          <w:rFonts w:hint="eastAsia"/>
        </w:rPr>
        <w:t>以按需整治替代“面面俱到”，根据小区情况及居民需求，对</w:t>
      </w:r>
      <w:r>
        <w:rPr>
          <w:rFonts w:hint="eastAsia"/>
          <w:lang w:eastAsia="zh-CN"/>
        </w:rPr>
        <w:t>这两</w:t>
      </w:r>
      <w:r>
        <w:rPr>
          <w:rFonts w:hint="eastAsia"/>
        </w:rPr>
        <w:t>个</w:t>
      </w:r>
      <w:r>
        <w:rPr>
          <w:rFonts w:hint="eastAsia"/>
          <w:lang w:eastAsia="zh-CN"/>
        </w:rPr>
        <w:t>物管</w:t>
      </w:r>
      <w:r>
        <w:rPr>
          <w:rFonts w:hint="eastAsia"/>
        </w:rPr>
        <w:t>小区未解决的‘痛点’进行改造、提升、完善。</w:t>
      </w:r>
    </w:p>
    <w:p w14:paraId="62C76643">
      <w:pPr>
        <w:pStyle w:val="5"/>
        <w:rPr>
          <w:color w:val="auto"/>
          <w:highlight w:val="none"/>
        </w:rPr>
      </w:pPr>
      <w:r>
        <w:rPr>
          <w:rFonts w:hint="eastAsia"/>
          <w:color w:val="auto"/>
          <w:highlight w:val="none"/>
        </w:rPr>
        <w:t>设计依据</w:t>
      </w:r>
    </w:p>
    <w:p w14:paraId="7D2A0DA0">
      <w:pPr>
        <w:pStyle w:val="71"/>
        <w:rPr>
          <w:color w:val="auto"/>
          <w:highlight w:val="none"/>
        </w:rPr>
      </w:pPr>
      <w:r>
        <w:rPr>
          <w:rFonts w:hint="eastAsia"/>
          <w:color w:val="auto"/>
          <w:highlight w:val="none"/>
        </w:rPr>
        <w:t>1、《园林绿化养护标准》CJJ/T287-2018</w:t>
      </w:r>
    </w:p>
    <w:p w14:paraId="1D1E20EA">
      <w:pPr>
        <w:pStyle w:val="71"/>
        <w:rPr>
          <w:color w:val="auto"/>
          <w:highlight w:val="none"/>
        </w:rPr>
      </w:pPr>
      <w:r>
        <w:rPr>
          <w:rFonts w:hint="eastAsia"/>
          <w:color w:val="auto"/>
          <w:highlight w:val="none"/>
        </w:rPr>
        <w:t>2、《住宅设计规范》GB50096－2011</w:t>
      </w:r>
    </w:p>
    <w:p w14:paraId="301321AC">
      <w:pPr>
        <w:pStyle w:val="71"/>
        <w:rPr>
          <w:rFonts w:hint="default"/>
          <w:color w:val="auto"/>
          <w:highlight w:val="none"/>
          <w:lang w:val="en-US"/>
        </w:rPr>
      </w:pPr>
      <w:r>
        <w:rPr>
          <w:rFonts w:hint="eastAsia"/>
          <w:color w:val="auto"/>
          <w:highlight w:val="none"/>
        </w:rPr>
        <w:t>3、《城市</w:t>
      </w:r>
      <w:r>
        <w:rPr>
          <w:rFonts w:hint="eastAsia"/>
          <w:color w:val="auto"/>
          <w:highlight w:val="none"/>
          <w:lang w:eastAsia="zh-CN"/>
        </w:rPr>
        <w:t>绿地设计规范</w:t>
      </w:r>
      <w:r>
        <w:rPr>
          <w:rFonts w:hint="eastAsia"/>
          <w:color w:val="auto"/>
          <w:highlight w:val="none"/>
        </w:rPr>
        <w:t>》</w:t>
      </w:r>
      <w:r>
        <w:rPr>
          <w:rFonts w:hint="default" w:ascii="Times New Roman" w:hAnsi="Times New Roman" w:eastAsia="宋体" w:cs="Times New Roman"/>
          <w:b w:val="0"/>
          <w:color w:val="auto"/>
          <w:kern w:val="2"/>
          <w:sz w:val="24"/>
          <w:szCs w:val="20"/>
          <w:highlight w:val="none"/>
          <w:lang w:val="en-US" w:eastAsia="zh-CN" w:bidi="ar-SA"/>
        </w:rPr>
        <w:t>GB50</w:t>
      </w:r>
      <w:r>
        <w:rPr>
          <w:rFonts w:hint="eastAsia" w:cs="Times New Roman"/>
          <w:b w:val="0"/>
          <w:color w:val="auto"/>
          <w:kern w:val="2"/>
          <w:sz w:val="24"/>
          <w:szCs w:val="20"/>
          <w:highlight w:val="none"/>
          <w:lang w:val="en-US" w:eastAsia="zh-CN" w:bidi="ar-SA"/>
        </w:rPr>
        <w:t>420</w:t>
      </w:r>
      <w:r>
        <w:rPr>
          <w:rFonts w:hint="default" w:ascii="Times New Roman" w:hAnsi="Times New Roman" w:eastAsia="宋体" w:cs="Times New Roman"/>
          <w:b w:val="0"/>
          <w:color w:val="auto"/>
          <w:kern w:val="2"/>
          <w:sz w:val="24"/>
          <w:szCs w:val="20"/>
          <w:highlight w:val="none"/>
          <w:lang w:val="en-US" w:eastAsia="zh-CN" w:bidi="ar-SA"/>
        </w:rPr>
        <w:t>-20</w:t>
      </w:r>
      <w:r>
        <w:rPr>
          <w:rFonts w:hint="eastAsia" w:cs="Times New Roman"/>
          <w:b w:val="0"/>
          <w:color w:val="auto"/>
          <w:kern w:val="2"/>
          <w:sz w:val="24"/>
          <w:szCs w:val="20"/>
          <w:highlight w:val="none"/>
          <w:lang w:val="en-US" w:eastAsia="zh-CN" w:bidi="ar-SA"/>
        </w:rPr>
        <w:t>16</w:t>
      </w:r>
    </w:p>
    <w:p w14:paraId="7E5C8988">
      <w:pPr>
        <w:pStyle w:val="4"/>
        <w:keepNext w:val="0"/>
        <w:keepLines w:val="0"/>
        <w:pageBreakBefore w:val="0"/>
        <w:widowControl/>
        <w:numPr>
          <w:ilvl w:val="2"/>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60" w:afterAutospacing="0" w:line="360" w:lineRule="auto"/>
        <w:ind w:leftChars="0" w:right="0" w:rightChars="0" w:firstLine="480" w:firstLineChars="200"/>
        <w:jc w:val="left"/>
        <w:textAlignment w:val="auto"/>
        <w:rPr>
          <w:rFonts w:hint="eastAsia" w:ascii="Times New Roman" w:hAnsi="Times New Roman" w:eastAsia="宋体" w:cs="Times New Roman"/>
          <w:b w:val="0"/>
          <w:color w:val="auto"/>
          <w:kern w:val="2"/>
          <w:sz w:val="24"/>
          <w:szCs w:val="20"/>
          <w:highlight w:val="none"/>
          <w:lang w:val="en-US" w:eastAsia="zh-CN" w:bidi="ar-SA"/>
        </w:rPr>
      </w:pPr>
      <w:bookmarkStart w:id="17" w:name="_Toc8118"/>
      <w:r>
        <w:rPr>
          <w:rFonts w:hint="eastAsia" w:ascii="Times New Roman" w:hAnsi="Times New Roman" w:eastAsia="宋体" w:cs="Times New Roman"/>
          <w:b w:val="0"/>
          <w:color w:val="auto"/>
          <w:kern w:val="2"/>
          <w:sz w:val="24"/>
          <w:szCs w:val="20"/>
          <w:highlight w:val="none"/>
          <w:lang w:val="en-US" w:eastAsia="zh-CN" w:bidi="ar-SA"/>
        </w:rPr>
        <w:t>4、</w:t>
      </w:r>
      <w:r>
        <w:rPr>
          <w:rFonts w:hint="default" w:ascii="Times New Roman" w:hAnsi="Times New Roman" w:eastAsia="宋体" w:cs="Times New Roman"/>
          <w:b w:val="0"/>
          <w:color w:val="auto"/>
          <w:kern w:val="2"/>
          <w:sz w:val="24"/>
          <w:szCs w:val="20"/>
          <w:highlight w:val="none"/>
          <w:lang w:val="en-US" w:eastAsia="zh-CN" w:bidi="ar-SA"/>
        </w:rPr>
        <w:fldChar w:fldCharType="begin"/>
      </w:r>
      <w:r>
        <w:rPr>
          <w:rFonts w:hint="default" w:ascii="Times New Roman" w:hAnsi="Times New Roman" w:eastAsia="宋体" w:cs="Times New Roman"/>
          <w:b w:val="0"/>
          <w:color w:val="auto"/>
          <w:kern w:val="2"/>
          <w:sz w:val="24"/>
          <w:szCs w:val="20"/>
          <w:highlight w:val="none"/>
          <w:lang w:val="en-US" w:eastAsia="zh-CN" w:bidi="ar-SA"/>
        </w:rPr>
        <w:instrText xml:space="preserve"> HYPERLINK "https://www.so.com/link?m=usEpSX6CMMDUj0TrPoeeX0Yn9MN09iI/OyfxDrGXqmvbvx9Dnvf0iq+BwV3+CaDTyxd4v++y59jwYZvb2HmTjUiTTWoqxpBq4UAjvFmBl1ZdFvRUt03jlRETT0wTEJWpPAEkne7ej2kAWFUvGZB9sEd5siKsveTvR+jNG8254G+mvZKKDa9gUu/EZCBBdnc/i97jJbevM68oSDzOwcmSJAh7hNjiszb5WjoyG43ftgKO4IlyawCQk+vdJXiHpsD02in5sMP7kEHFbcyOw/VNwMPBC8LF28z9yVEqVI4qd/UvicyVE16aSSnjMHhw8vlUmbJmq5F5CibEghzWH" \t "https://www.so.com/_blank" </w:instrText>
      </w:r>
      <w:r>
        <w:rPr>
          <w:rFonts w:hint="default" w:ascii="Times New Roman" w:hAnsi="Times New Roman" w:eastAsia="宋体" w:cs="Times New Roman"/>
          <w:b w:val="0"/>
          <w:color w:val="auto"/>
          <w:kern w:val="2"/>
          <w:sz w:val="24"/>
          <w:szCs w:val="20"/>
          <w:highlight w:val="none"/>
          <w:lang w:val="en-US" w:eastAsia="zh-CN" w:bidi="ar-SA"/>
        </w:rPr>
        <w:fldChar w:fldCharType="separate"/>
      </w:r>
      <w:r>
        <w:rPr>
          <w:rFonts w:hint="default" w:ascii="Times New Roman" w:hAnsi="Times New Roman" w:eastAsia="宋体" w:cs="Times New Roman"/>
          <w:b w:val="0"/>
          <w:color w:val="auto"/>
          <w:kern w:val="2"/>
          <w:sz w:val="24"/>
          <w:szCs w:val="20"/>
          <w:highlight w:val="none"/>
          <w:lang w:val="en-US" w:eastAsia="zh-CN" w:bidi="ar-SA"/>
        </w:rPr>
        <w:t>《城市居住区规划设计标准》GB50180-2018</w:t>
      </w:r>
      <w:r>
        <w:rPr>
          <w:rFonts w:hint="default" w:ascii="Times New Roman" w:hAnsi="Times New Roman" w:eastAsia="宋体" w:cs="Times New Roman"/>
          <w:b w:val="0"/>
          <w:color w:val="auto"/>
          <w:kern w:val="2"/>
          <w:sz w:val="24"/>
          <w:szCs w:val="20"/>
          <w:highlight w:val="none"/>
          <w:lang w:val="en-US" w:eastAsia="zh-CN" w:bidi="ar-SA"/>
        </w:rPr>
        <w:fldChar w:fldCharType="end"/>
      </w:r>
      <w:bookmarkEnd w:id="17"/>
    </w:p>
    <w:p w14:paraId="4981106A">
      <w:pPr>
        <w:pStyle w:val="71"/>
        <w:rPr>
          <w:color w:val="auto"/>
          <w:highlight w:val="none"/>
        </w:rPr>
      </w:pPr>
      <w:r>
        <w:rPr>
          <w:rFonts w:hint="eastAsia"/>
          <w:color w:val="auto"/>
          <w:highlight w:val="none"/>
        </w:rPr>
        <w:t>5、《环境景观—绿化种植设计》03J012-2</w:t>
      </w:r>
    </w:p>
    <w:p w14:paraId="32D4B379">
      <w:pPr>
        <w:pStyle w:val="71"/>
        <w:rPr>
          <w:rFonts w:hint="default" w:eastAsia="宋体"/>
          <w:color w:val="auto"/>
          <w:highlight w:val="none"/>
          <w:lang w:val="en-US" w:eastAsia="zh-CN"/>
        </w:rPr>
      </w:pPr>
      <w:r>
        <w:rPr>
          <w:rFonts w:hint="eastAsia"/>
          <w:color w:val="auto"/>
          <w:highlight w:val="none"/>
        </w:rPr>
        <w:t>6、《城市道路绿化规划与设计规范》CJJ75-</w:t>
      </w:r>
      <w:r>
        <w:rPr>
          <w:rFonts w:hint="eastAsia"/>
          <w:color w:val="auto"/>
          <w:highlight w:val="none"/>
          <w:lang w:val="en-US" w:eastAsia="zh-CN"/>
        </w:rPr>
        <w:t>2023</w:t>
      </w:r>
    </w:p>
    <w:p w14:paraId="417D7BB9">
      <w:pPr>
        <w:pStyle w:val="71"/>
        <w:rPr>
          <w:color w:val="auto"/>
          <w:highlight w:val="none"/>
        </w:rPr>
      </w:pPr>
      <w:r>
        <w:rPr>
          <w:rFonts w:hint="eastAsia"/>
          <w:color w:val="auto"/>
          <w:highlight w:val="none"/>
        </w:rPr>
        <w:t>7、《环境景观——室外工程细部构造》15J012-1</w:t>
      </w:r>
    </w:p>
    <w:p w14:paraId="2FDBC04C">
      <w:pPr>
        <w:pStyle w:val="71"/>
        <w:rPr>
          <w:rFonts w:hint="default"/>
          <w:color w:val="auto"/>
          <w:highlight w:val="none"/>
          <w:lang w:val="en-US"/>
        </w:rPr>
      </w:pPr>
      <w:r>
        <w:rPr>
          <w:rFonts w:hint="eastAsia"/>
          <w:color w:val="auto"/>
          <w:highlight w:val="none"/>
        </w:rPr>
        <w:t>8、《</w:t>
      </w:r>
      <w:r>
        <w:rPr>
          <w:rFonts w:hint="eastAsia"/>
          <w:color w:val="auto"/>
          <w:highlight w:val="none"/>
          <w:lang w:eastAsia="zh-CN"/>
        </w:rPr>
        <w:t>园林绿化工程项目规范</w:t>
      </w:r>
      <w:r>
        <w:rPr>
          <w:rFonts w:hint="eastAsia"/>
          <w:color w:val="auto"/>
          <w:highlight w:val="none"/>
        </w:rPr>
        <w:t>》</w:t>
      </w:r>
      <w:r>
        <w:rPr>
          <w:rFonts w:hint="default" w:ascii="Times New Roman" w:hAnsi="Times New Roman" w:eastAsia="宋体" w:cs="Times New Roman"/>
          <w:b w:val="0"/>
          <w:color w:val="auto"/>
          <w:kern w:val="2"/>
          <w:sz w:val="24"/>
          <w:szCs w:val="20"/>
          <w:highlight w:val="none"/>
          <w:lang w:val="en-US" w:eastAsia="zh-CN" w:bidi="ar-SA"/>
        </w:rPr>
        <w:t>GB5</w:t>
      </w:r>
      <w:r>
        <w:rPr>
          <w:rFonts w:hint="eastAsia" w:cs="Times New Roman"/>
          <w:b w:val="0"/>
          <w:color w:val="auto"/>
          <w:kern w:val="2"/>
          <w:sz w:val="24"/>
          <w:szCs w:val="20"/>
          <w:highlight w:val="none"/>
          <w:lang w:val="en-US" w:eastAsia="zh-CN" w:bidi="ar-SA"/>
        </w:rPr>
        <w:t>5014</w:t>
      </w:r>
      <w:r>
        <w:rPr>
          <w:rFonts w:hint="default" w:ascii="Times New Roman" w:hAnsi="Times New Roman" w:eastAsia="宋体" w:cs="Times New Roman"/>
          <w:b w:val="0"/>
          <w:color w:val="auto"/>
          <w:kern w:val="2"/>
          <w:sz w:val="24"/>
          <w:szCs w:val="20"/>
          <w:highlight w:val="none"/>
          <w:lang w:val="en-US" w:eastAsia="zh-CN" w:bidi="ar-SA"/>
        </w:rPr>
        <w:t>-20</w:t>
      </w:r>
      <w:r>
        <w:rPr>
          <w:rFonts w:hint="eastAsia" w:cs="Times New Roman"/>
          <w:b w:val="0"/>
          <w:color w:val="auto"/>
          <w:kern w:val="2"/>
          <w:sz w:val="24"/>
          <w:szCs w:val="20"/>
          <w:highlight w:val="none"/>
          <w:lang w:val="en-US" w:eastAsia="zh-CN" w:bidi="ar-SA"/>
        </w:rPr>
        <w:t>21</w:t>
      </w:r>
    </w:p>
    <w:p w14:paraId="40306C4B">
      <w:pPr>
        <w:pStyle w:val="5"/>
        <w:rPr>
          <w:color w:val="auto"/>
          <w:highlight w:val="none"/>
        </w:rPr>
      </w:pPr>
      <w:r>
        <w:rPr>
          <w:rFonts w:hint="eastAsia"/>
          <w:color w:val="auto"/>
          <w:highlight w:val="none"/>
        </w:rPr>
        <w:t>设计说明</w:t>
      </w:r>
    </w:p>
    <w:p w14:paraId="42DE80B9">
      <w:pPr>
        <w:pStyle w:val="71"/>
        <w:rPr>
          <w:rFonts w:hint="eastAsia"/>
          <w:lang w:eastAsia="zh-CN"/>
        </w:rPr>
      </w:pPr>
      <w:r>
        <w:rPr>
          <w:rFonts w:hint="eastAsia"/>
          <w:lang w:eastAsia="zh-CN"/>
        </w:rPr>
        <w:t>物管小区普遍存在道路局部破损，停车位紧缺，基础设施配套不足，居民生活不便等问题，具体表现在居民公共绿地、停车场地、活动健身场地等。</w:t>
      </w:r>
    </w:p>
    <w:p w14:paraId="358164D7">
      <w:pPr>
        <w:pStyle w:val="71"/>
        <w:rPr>
          <w:rFonts w:hint="eastAsia"/>
          <w:lang w:eastAsia="zh-CN"/>
        </w:rPr>
      </w:pPr>
      <w:r>
        <w:rPr>
          <w:rFonts w:hint="eastAsia"/>
          <w:lang w:eastAsia="zh-CN"/>
        </w:rPr>
        <w:t>总体设计贯彻“以人为本，循环经济，节约型社会和可持续发展”思路，充分抓住项目中的关键性问题，采取有效措施，做好协调。同时也要尊重历史，做到保留在先，改造在后。</w:t>
      </w:r>
    </w:p>
    <w:p w14:paraId="54C0DED9">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Times New Roman"/>
          <w:kern w:val="2"/>
          <w:sz w:val="24"/>
          <w:lang w:val="en-US" w:eastAsia="zh-CN" w:bidi="ar-SA"/>
        </w:rPr>
      </w:pPr>
      <w:r>
        <w:rPr>
          <w:rFonts w:hint="eastAsia" w:ascii="Times New Roman" w:hAnsi="Times New Roman" w:eastAsia="宋体" w:cs="Times New Roman"/>
          <w:kern w:val="2"/>
          <w:sz w:val="24"/>
          <w:lang w:val="en-US" w:eastAsia="zh-CN" w:bidi="ar-SA"/>
        </w:rPr>
        <w:t>本设计说明依据国家及地方颁发的有关园林绿化工程施工的各类规范、规定与标准。</w:t>
      </w:r>
    </w:p>
    <w:p w14:paraId="09928A41">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Times New Roman" w:hAnsi="Times New Roman" w:eastAsia="宋体" w:cs="Times New Roman"/>
          <w:kern w:val="2"/>
          <w:sz w:val="24"/>
          <w:lang w:val="en-US" w:eastAsia="zh-CN" w:bidi="ar-SA"/>
        </w:rPr>
      </w:pPr>
      <w:r>
        <w:rPr>
          <w:rFonts w:hint="eastAsia" w:ascii="Times New Roman" w:hAnsi="Times New Roman" w:eastAsia="宋体" w:cs="Times New Roman"/>
          <w:kern w:val="2"/>
          <w:sz w:val="24"/>
          <w:lang w:val="en-US" w:eastAsia="zh-CN" w:bidi="ar-SA"/>
        </w:rPr>
        <w:t>（1）现有植物的保留与保护：</w:t>
      </w:r>
    </w:p>
    <w:p w14:paraId="3F52A37F">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Times New Roman" w:hAnsi="Times New Roman" w:eastAsia="宋体" w:cs="Times New Roman"/>
          <w:kern w:val="2"/>
          <w:sz w:val="24"/>
          <w:lang w:val="en-US" w:eastAsia="zh-CN" w:bidi="ar-SA"/>
        </w:rPr>
      </w:pPr>
      <w:r>
        <w:rPr>
          <w:rFonts w:hint="eastAsia" w:ascii="Times New Roman" w:hAnsi="Times New Roman" w:eastAsia="宋体" w:cs="Times New Roman"/>
          <w:kern w:val="2"/>
          <w:sz w:val="24"/>
          <w:lang w:val="en-US" w:eastAsia="zh-CN" w:bidi="ar-SA"/>
        </w:rPr>
        <w:t>施工前应在本设计中植物保留区标明需保留的植物并采取保护措施。未经设计师对可能侵蚀部分审核确认，不许在植物保留区挖掘、排水或其它任何破坏等。在建筑对保留植物可能造成影响的情况下，应在施工前与设计师进行确认。</w:t>
      </w:r>
    </w:p>
    <w:p w14:paraId="141D8237">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Times New Roman" w:hAnsi="Times New Roman" w:eastAsia="宋体" w:cs="Times New Roman"/>
          <w:kern w:val="2"/>
          <w:sz w:val="24"/>
          <w:lang w:val="en-US" w:eastAsia="zh-CN" w:bidi="ar-SA"/>
        </w:rPr>
      </w:pPr>
      <w:r>
        <w:rPr>
          <w:rFonts w:hint="eastAsia" w:ascii="Times New Roman" w:hAnsi="Times New Roman" w:eastAsia="宋体" w:cs="Times New Roman"/>
          <w:kern w:val="2"/>
          <w:sz w:val="24"/>
          <w:lang w:val="en-US" w:eastAsia="zh-CN" w:bidi="ar-SA"/>
        </w:rPr>
        <w:t>（2）土方施工：</w:t>
      </w:r>
    </w:p>
    <w:p w14:paraId="53A94E70">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Times New Roman"/>
          <w:kern w:val="2"/>
          <w:sz w:val="24"/>
          <w:lang w:val="en-US" w:eastAsia="zh-CN" w:bidi="ar-SA"/>
        </w:rPr>
      </w:pPr>
      <w:r>
        <w:rPr>
          <w:rFonts w:hint="eastAsia" w:ascii="Times New Roman" w:hAnsi="Times New Roman" w:eastAsia="宋体" w:cs="Times New Roman"/>
          <w:kern w:val="2"/>
          <w:sz w:val="24"/>
          <w:lang w:val="en-US" w:eastAsia="zh-CN" w:bidi="ar-SA"/>
        </w:rPr>
        <w:t>本次施工设计中的外进土壤均为适宜植物正常生长的无毒无害的，不含建筑垃圾、杂草、淤泥、碎石的熟土。土方尽量就近平衡，减少工程造价。</w:t>
      </w:r>
    </w:p>
    <w:p w14:paraId="66247F15">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Times New Roman" w:hAnsi="Times New Roman" w:eastAsia="宋体" w:cs="Times New Roman"/>
          <w:kern w:val="2"/>
          <w:sz w:val="24"/>
          <w:lang w:val="en-US" w:eastAsia="zh-CN" w:bidi="ar-SA"/>
        </w:rPr>
      </w:pPr>
      <w:r>
        <w:rPr>
          <w:rFonts w:hint="eastAsia" w:ascii="Times New Roman" w:hAnsi="Times New Roman" w:eastAsia="宋体" w:cs="Times New Roman"/>
          <w:kern w:val="2"/>
          <w:sz w:val="24"/>
          <w:lang w:val="en-US" w:eastAsia="zh-CN" w:bidi="ar-SA"/>
        </w:rPr>
        <w:t>（3）清场、翻土及标高确定：</w:t>
      </w:r>
    </w:p>
    <w:p w14:paraId="6D2C945E">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Times New Roman"/>
          <w:kern w:val="2"/>
          <w:sz w:val="24"/>
          <w:lang w:val="en-US" w:eastAsia="zh-CN" w:bidi="ar-SA"/>
        </w:rPr>
      </w:pPr>
      <w:r>
        <w:rPr>
          <w:rFonts w:hint="eastAsia" w:ascii="Times New Roman" w:hAnsi="Times New Roman" w:eastAsia="宋体" w:cs="Times New Roman"/>
          <w:kern w:val="2"/>
          <w:sz w:val="24"/>
          <w:lang w:val="en-US" w:eastAsia="zh-CN" w:bidi="ar-SA"/>
        </w:rPr>
        <w:t>进场后按计划进度做好清场工作。对施工范围内有碍工程进展和影响工程质量的地上（石块垃圾、废弃物）、地下物（管线）进行清除、深埋、转移、加固、标记，同时对20厘米以下的土层进行人工深翻、碾压。</w:t>
      </w:r>
    </w:p>
    <w:p w14:paraId="0C97B10D">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Times New Roman"/>
          <w:kern w:val="2"/>
          <w:sz w:val="24"/>
          <w:lang w:val="en-US" w:eastAsia="zh-CN" w:bidi="ar-SA"/>
        </w:rPr>
      </w:pPr>
      <w:r>
        <w:rPr>
          <w:rFonts w:hint="eastAsia" w:ascii="Times New Roman" w:hAnsi="Times New Roman" w:eastAsia="宋体" w:cs="Times New Roman"/>
          <w:kern w:val="2"/>
          <w:sz w:val="24"/>
          <w:lang w:val="en-US" w:eastAsia="zh-CN" w:bidi="ar-SA"/>
        </w:rPr>
        <w:t>仪器测高程，并对比设计地形高程，计算每块绿地土方平衡结果及绘制土方调配图；同时采用仪器现场布设计高程、施工调和桩点采用沿等高线走向布设，这样在操作上更具直观性。</w:t>
      </w:r>
    </w:p>
    <w:p w14:paraId="451CCA6C">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Times New Roman" w:hAnsi="Times New Roman" w:eastAsia="宋体" w:cs="Times New Roman"/>
          <w:kern w:val="2"/>
          <w:sz w:val="24"/>
          <w:lang w:val="en-US" w:eastAsia="zh-CN" w:bidi="ar-SA"/>
        </w:rPr>
      </w:pPr>
      <w:r>
        <w:rPr>
          <w:rFonts w:hint="eastAsia" w:ascii="Times New Roman" w:hAnsi="Times New Roman" w:eastAsia="宋体" w:cs="Times New Roman"/>
          <w:kern w:val="2"/>
          <w:sz w:val="24"/>
          <w:lang w:val="en-US" w:eastAsia="zh-CN" w:bidi="ar-SA"/>
        </w:rPr>
        <w:t>（4）土方造型与平整地形</w:t>
      </w:r>
    </w:p>
    <w:p w14:paraId="2C775C68">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rPr>
      </w:pPr>
      <w:r>
        <w:rPr>
          <w:rFonts w:hint="eastAsia" w:ascii="宋体" w:hAnsi="宋体"/>
        </w:rPr>
        <w:t>初步地形造好后为了使绿化更具立体感、层次感，以及利于地形排水畅通，严格按照施工规范进行人工改造，保证地形饱满，轮廓线自然、流畅、不积水。同时考虑到下雨和浇水后地形沉降的因素，所以每填筑50厘米厚碾压1-2次（若有必要进行环刀试验）填土完成后标高应超出设计标高10-20厘米，待沉降后达到设计标高。</w:t>
      </w:r>
    </w:p>
    <w:p w14:paraId="4391F7DB">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color w:val="auto"/>
        </w:rPr>
      </w:pPr>
      <w:r>
        <w:rPr>
          <w:rFonts w:hint="eastAsia" w:ascii="宋体" w:hAnsi="宋体"/>
          <w:color w:val="auto"/>
        </w:rPr>
        <w:t>按城市园林绿化规范规定在10cm以上，30cm以内平整绿化地面至设计坡度要求，平面绿化地平整坡度控制在2.5-3%坡度。根据实际的线形与标高构筑绿地，0.02≤i≤0.1，确保水能排到指定的蓄水池。同时要先整理绿化现场，去除场地上的废弃杂物和建筑垃圾，换来肥活的栽植壤土，并把土面整平耙细。在有铺装道路通过的地方，草坪土面要低于路面2cm～5cm，以免草坪地面雨水流到路面上。</w:t>
      </w:r>
    </w:p>
    <w:p w14:paraId="4C27C456">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color w:val="auto"/>
        </w:rPr>
      </w:pPr>
      <w:r>
        <w:rPr>
          <w:rFonts w:hint="eastAsia" w:ascii="Times New Roman" w:hAnsi="Times New Roman" w:eastAsia="宋体" w:cs="Times New Roman"/>
          <w:color w:val="auto"/>
          <w:kern w:val="2"/>
          <w:sz w:val="24"/>
          <w:lang w:val="en-US" w:eastAsia="zh-CN" w:bidi="ar-SA"/>
        </w:rPr>
        <w:t>（4）</w:t>
      </w:r>
      <w:r>
        <w:rPr>
          <w:rFonts w:hint="eastAsia" w:cs="Times New Roman"/>
          <w:color w:val="auto"/>
          <w:kern w:val="2"/>
          <w:sz w:val="24"/>
          <w:lang w:val="en-US" w:eastAsia="zh-CN" w:bidi="ar-SA"/>
        </w:rPr>
        <w:t>土壤要求</w:t>
      </w:r>
    </w:p>
    <w:p w14:paraId="2635E848">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ascii="宋体" w:hAnsi="宋体"/>
          <w:color w:val="auto"/>
        </w:rPr>
      </w:pPr>
      <w:r>
        <w:rPr>
          <w:rFonts w:ascii="宋体" w:hAnsi="宋体"/>
          <w:color w:val="auto"/>
        </w:rPr>
        <w:t>施工方应对现场使用的种植土进行土壤检测，并支付相关费用。施工前应将检测结果及改良方案提交业主和景观设计师认可，得到书面确认后方可施工。</w:t>
      </w:r>
    </w:p>
    <w:p w14:paraId="5CE365B5">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ascii="宋体" w:hAnsi="宋体"/>
          <w:color w:val="auto"/>
        </w:rPr>
      </w:pPr>
      <w:r>
        <w:rPr>
          <w:rFonts w:ascii="宋体" w:hAnsi="宋体"/>
          <w:color w:val="auto"/>
        </w:rPr>
        <w:t>土壤应疏松湿润，排水良好PH5-7，含有机质的肥沃土壤。强酸碱，盐土、重粘土、沙土等需客土改良。对草坪，花卉种植地应施基肥，翻耕25-30cm，搂平耙细，去除杂物，平整度和坡度符合设计要求。</w:t>
      </w:r>
    </w:p>
    <w:p w14:paraId="61DFBB4F">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Times New Roman" w:hAnsi="Times New Roman" w:eastAsia="宋体" w:cs="Times New Roman"/>
          <w:color w:val="auto"/>
          <w:kern w:val="2"/>
          <w:sz w:val="24"/>
          <w:lang w:val="en-US" w:eastAsia="zh-CN" w:bidi="ar-SA"/>
        </w:rPr>
      </w:pPr>
      <w:r>
        <w:rPr>
          <w:rFonts w:hint="eastAsia" w:cs="Times New Roman"/>
          <w:color w:val="auto"/>
          <w:kern w:val="2"/>
          <w:sz w:val="24"/>
          <w:lang w:val="en-US" w:eastAsia="zh-CN" w:bidi="ar-SA"/>
        </w:rPr>
        <w:t>（5）</w:t>
      </w:r>
      <w:r>
        <w:rPr>
          <w:rFonts w:hint="eastAsia" w:ascii="Times New Roman" w:hAnsi="Times New Roman" w:eastAsia="宋体" w:cs="Times New Roman"/>
          <w:color w:val="auto"/>
          <w:kern w:val="2"/>
          <w:sz w:val="24"/>
          <w:lang w:val="en-US" w:eastAsia="zh-CN" w:bidi="ar-SA"/>
        </w:rPr>
        <w:t>树穴要求</w:t>
      </w:r>
    </w:p>
    <w:p w14:paraId="66C93CBA">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rPr>
      </w:pPr>
      <w:r>
        <w:rPr>
          <w:rFonts w:hint="eastAsia" w:ascii="宋体" w:hAnsi="宋体"/>
        </w:rPr>
        <w:t>土层干燥地区应在种植前浸树穴。</w:t>
      </w:r>
    </w:p>
    <w:p w14:paraId="09DDF1B8">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rPr>
      </w:pPr>
      <w:r>
        <w:rPr>
          <w:rFonts w:hint="eastAsia" w:ascii="宋体" w:hAnsi="宋体"/>
        </w:rPr>
        <w:t>树穴应根据苗木根系，土球直径和土壤情况而定，所有乔木树球规格不得小于胸径的8-10倍，树穴要求大于土球直径30-40厘米左右，挖掘深度大于土球厚度10-20厘米，要求树穴上下口径一致。挖树穴时如遇有障碍物或其它物体时应采用避让或与景观设计师取得联系。</w:t>
      </w:r>
    </w:p>
    <w:p w14:paraId="4A80DEDB">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cs="Times New Roman"/>
          <w:color w:val="auto"/>
          <w:kern w:val="2"/>
          <w:sz w:val="24"/>
          <w:lang w:val="en-US" w:eastAsia="zh-CN" w:bidi="ar-SA"/>
        </w:rPr>
      </w:pPr>
      <w:r>
        <w:rPr>
          <w:rFonts w:hint="eastAsia" w:cs="Times New Roman"/>
          <w:color w:val="auto"/>
          <w:kern w:val="2"/>
          <w:sz w:val="24"/>
          <w:lang w:val="en-US" w:eastAsia="zh-CN" w:bidi="ar-SA"/>
        </w:rPr>
        <w:t>（6）基肥</w:t>
      </w:r>
    </w:p>
    <w:p w14:paraId="63BB65ED">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rPr>
      </w:pPr>
      <w:r>
        <w:rPr>
          <w:rFonts w:hint="eastAsia" w:ascii="宋体" w:hAnsi="宋体"/>
        </w:rPr>
        <w:t>要求施工种植前必须依实施足基肥，弥补绿地瘦瘠对植物生长的不良影响，以使绿化尽快见效。必须依据当地园林施工要求确定基肥，施前须经业主和景观设计师认可。</w:t>
      </w:r>
    </w:p>
    <w:p w14:paraId="1F607C68">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rPr>
      </w:pPr>
      <w:r>
        <w:rPr>
          <w:rFonts w:hint="eastAsia" w:ascii="宋体" w:hAnsi="宋体"/>
        </w:rPr>
        <w:t>除虫杀虫剂如需用，则必须符合所有国家和地方规定要求。</w:t>
      </w:r>
    </w:p>
    <w:p w14:paraId="7B2BE9F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宋体" w:hAnsi="宋体"/>
          <w:lang w:eastAsia="zh-CN"/>
        </w:rPr>
      </w:pPr>
      <w:r>
        <w:rPr>
          <w:rFonts w:hint="eastAsia" w:ascii="宋体" w:hAnsi="宋体"/>
          <w:lang w:eastAsia="zh-CN"/>
        </w:rPr>
        <w:t>（</w:t>
      </w:r>
      <w:r>
        <w:rPr>
          <w:rFonts w:hint="eastAsia" w:ascii="宋体" w:hAnsi="宋体"/>
          <w:lang w:val="en-US" w:eastAsia="zh-CN"/>
        </w:rPr>
        <w:t>7</w:t>
      </w:r>
      <w:r>
        <w:rPr>
          <w:rFonts w:hint="eastAsia" w:ascii="宋体" w:hAnsi="宋体"/>
          <w:lang w:eastAsia="zh-CN"/>
        </w:rPr>
        <w:t>）苗木要求</w:t>
      </w:r>
    </w:p>
    <w:p w14:paraId="7FAFEAB6">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rPr>
      </w:pPr>
      <w:r>
        <w:rPr>
          <w:rFonts w:hint="eastAsia" w:ascii="宋体" w:hAnsi="宋体"/>
        </w:rPr>
        <w:t>严格按苗木规格购苗，应选择树干通直，树皮颜色新鲜，树势健旺的，而且应该是在育苗期内经过1-3次翻栽，根群集中在树蔸的苗木；苗木移植尽量减少截枝量，严禁出现没枝的单干苗木，乔木的分枝点应不少于四个，树型特殊的树种，分枝必须有4层以上。</w:t>
      </w:r>
    </w:p>
    <w:p w14:paraId="2AE251C3">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rPr>
      </w:pPr>
      <w:r>
        <w:rPr>
          <w:rFonts w:hint="eastAsia" w:ascii="宋体" w:hAnsi="宋体"/>
        </w:rPr>
        <w:t>规则式种植的乔灌木，（如广场上列植乔木等）同种苗木的规格应尽量一致，以使绿化效果能够比较统一。</w:t>
      </w:r>
    </w:p>
    <w:p w14:paraId="1C356773">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rPr>
      </w:pPr>
      <w:r>
        <w:rPr>
          <w:rFonts w:hint="eastAsia" w:ascii="宋体" w:hAnsi="宋体"/>
        </w:rPr>
        <w:t>丛植或群式种植的乔灌木，同种或不同种苗木都应高低错落，这样树木的植株大小和生长表现就比较不一致，却充分体现了自然丛林般的景观。植后同种苗木相差30CM左右。</w:t>
      </w:r>
    </w:p>
    <w:p w14:paraId="11180490">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rPr>
      </w:pPr>
      <w:r>
        <w:rPr>
          <w:rFonts w:hint="eastAsia" w:ascii="宋体" w:hAnsi="宋体"/>
        </w:rPr>
        <w:t>孤植树应选种树形姿态优美、造型奇特、树冠广阔或树势雄伟的苗木。</w:t>
      </w:r>
    </w:p>
    <w:p w14:paraId="209F8486">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rPr>
      </w:pPr>
      <w:r>
        <w:rPr>
          <w:rFonts w:hint="eastAsia" w:ascii="宋体" w:hAnsi="宋体"/>
        </w:rPr>
        <w:t>整形装饰篱木规格大小应一致，修剪整形的观赏面应为圆滑曲线弧形。起伏有致。</w:t>
      </w:r>
    </w:p>
    <w:p w14:paraId="2BE2BB9B">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rPr>
      </w:pPr>
      <w:r>
        <w:rPr>
          <w:rFonts w:hint="eastAsia" w:ascii="宋体" w:hAnsi="宋体"/>
        </w:rPr>
        <w:t>分层种植的灌木花带边缘轮廓线上种植密度应大于规定密度，平面线形流畅，外缘成弧形，高低层次分明，且于周边点种植物高差不少于300mm。</w:t>
      </w:r>
    </w:p>
    <w:p w14:paraId="1A47EA8B">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rPr>
      </w:pPr>
      <w:r>
        <w:rPr>
          <w:rFonts w:hint="eastAsia" w:ascii="宋体" w:hAnsi="宋体"/>
        </w:rPr>
        <w:t>标注设计师选定的树，必须经设计师现场或照片指定方可种植。</w:t>
      </w:r>
    </w:p>
    <w:p w14:paraId="0AD6307E">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rPr>
      </w:pPr>
      <w:r>
        <w:rPr>
          <w:rFonts w:hint="eastAsia" w:ascii="宋体" w:hAnsi="宋体"/>
        </w:rPr>
        <w:t>具体苗木品种规格见施工图&lt;苗木表&gt;。各品种指标均为最低标准，进场苗木实际规格不能低于该标准。</w:t>
      </w:r>
    </w:p>
    <w:p w14:paraId="4FA679F6">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rPr>
      </w:pPr>
      <w:r>
        <w:rPr>
          <w:rFonts w:hint="eastAsia" w:ascii="宋体" w:hAnsi="宋体"/>
        </w:rPr>
        <w:t>具体规格标注见&lt;苗木规格说明&gt;（P-005）所有植物必须健康、新鲜、无病虫害，无缺乏矿物质症状，生长旺盛。</w:t>
      </w:r>
    </w:p>
    <w:p w14:paraId="4BE71F75">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b/>
          <w:sz w:val="28"/>
          <w:szCs w:val="28"/>
        </w:rPr>
      </w:pPr>
      <w:r>
        <w:rPr>
          <w:rFonts w:hint="eastAsia" w:ascii="宋体" w:hAnsi="宋体"/>
        </w:rPr>
        <w:t>严格按设计规格选苗，花灌木尽量选用容器苗，地苗应保证移植根系，带好土球，包装结实牢靠。</w:t>
      </w:r>
    </w:p>
    <w:p w14:paraId="5666E1F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lang w:eastAsia="zh-CN"/>
        </w:rPr>
      </w:pPr>
      <w:r>
        <w:rPr>
          <w:rFonts w:hint="eastAsia" w:ascii="宋体" w:hAnsi="宋体"/>
          <w:lang w:eastAsia="zh-CN"/>
        </w:rPr>
        <w:t>（</w:t>
      </w:r>
      <w:r>
        <w:rPr>
          <w:rFonts w:hint="eastAsia" w:ascii="宋体" w:hAnsi="宋体"/>
          <w:lang w:val="en-US" w:eastAsia="zh-CN"/>
        </w:rPr>
        <w:t>8</w:t>
      </w:r>
      <w:r>
        <w:rPr>
          <w:rFonts w:hint="eastAsia" w:ascii="宋体" w:hAnsi="宋体"/>
          <w:lang w:eastAsia="zh-CN"/>
        </w:rPr>
        <w:t>）种植</w:t>
      </w:r>
    </w:p>
    <w:p w14:paraId="0E5C7B3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000000"/>
        </w:rPr>
      </w:pPr>
      <w:r>
        <w:rPr>
          <w:rFonts w:hint="eastAsia" w:ascii="宋体" w:hAnsi="宋体"/>
          <w:color w:val="000000"/>
        </w:rPr>
        <w:t>按园林绿化常规方法施工，要求基肥应与碎土充分混匀。成列的乔木应按苗木的自然高度依次排列；点植的花草树木应自然种植，高低错落有致。种植土应击碎分层捣实，最后起土圈并淋足定根水。草坪区的树木需保留一个直径900mm的树圈。</w:t>
      </w:r>
    </w:p>
    <w:p w14:paraId="4361583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000000"/>
        </w:rPr>
      </w:pPr>
      <w:r>
        <w:rPr>
          <w:rFonts w:hint="eastAsia" w:ascii="宋体" w:hAnsi="宋体"/>
          <w:color w:val="000000"/>
        </w:rPr>
        <w:t>树木假植：凡是苗木运到后几天以内不能按时栽种，或是栽种后苗木有剩余的，都要进行假植。</w:t>
      </w:r>
    </w:p>
    <w:p w14:paraId="21D4D42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宋体" w:hAnsi="宋体"/>
          <w:color w:val="000000"/>
        </w:rPr>
      </w:pPr>
      <w:r>
        <w:rPr>
          <w:rFonts w:hint="eastAsia" w:ascii="宋体" w:hAnsi="宋体"/>
          <w:color w:val="000000"/>
        </w:rPr>
        <w:t>带土球的苗木假植：栽植时，可将苗木的树冠捆扎收缩起来，使每一棵树苗都是土球，树冠靠树冠，密集地挤在一起。然后，在土球层面盖一层壤土，填满土球间的缝隙；再队树冠及土球均匀地洒水，土面湿透，以后仅保持湿润就可以了。</w:t>
      </w:r>
    </w:p>
    <w:p w14:paraId="234FBF0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宋体" w:hAnsi="宋体"/>
          <w:color w:val="000000"/>
        </w:rPr>
      </w:pPr>
      <w:r>
        <w:rPr>
          <w:rFonts w:hint="eastAsia" w:ascii="宋体" w:hAnsi="宋体"/>
          <w:color w:val="000000"/>
        </w:rPr>
        <w:t>裸根苗木假植：对裸根苗木，一般采取挖沟假植方式。先要在地面挖浅沟，沟深40-60cm。然后将裸根苗木一棵棵紧靠着呈现30度斜栽到沟中，使树梢朝向西边或朝三暮四向南边。苗木密集斜栽好后，在根蔸上分层覆土，层层插实。经常对枝叶喷水，保持湿润。</w:t>
      </w:r>
    </w:p>
    <w:p w14:paraId="74D6E56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000000"/>
        </w:rPr>
      </w:pPr>
      <w:r>
        <w:rPr>
          <w:rFonts w:hint="eastAsia" w:ascii="宋体" w:hAnsi="宋体"/>
          <w:color w:val="000000"/>
        </w:rPr>
        <w:t>树木定植：按照设计位置，把树木永久性地栽植到绿化地点。一般树木在发芽前栽植最好，但若是经过几次翻栽又是土球完整的少量树木栽种，也可在除开最热和最冷时候的其它季节中进行。</w:t>
      </w:r>
    </w:p>
    <w:p w14:paraId="5F9974D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000000"/>
        </w:rPr>
      </w:pPr>
      <w:r>
        <w:rPr>
          <w:rFonts w:hint="eastAsia" w:ascii="宋体" w:hAnsi="宋体"/>
          <w:color w:val="000000"/>
        </w:rPr>
        <w:t>风景树栽植：孤立树可能被配植在草坪上、山坡上等处，一般是作为重要风景树栽种的。选用孤植的树木，要求树冠广阔或树势雄伟，或者是树形美观、开花繁盛也可以。栽植时，具体技术要求与一般树木栽植基本相同；但种植穴应挖得更大一些，土壤要更肥沃一些。要调整好树冠的朝向，把最美的一面向着空间最宽最深的一方，还要调整树形姿态。树木栽好后，要用木杆支撑树干，以防树木倒下，1年以后即可以拆除支撑。</w:t>
      </w:r>
    </w:p>
    <w:p w14:paraId="233D575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lang w:eastAsia="zh-CN"/>
        </w:rPr>
      </w:pPr>
      <w:r>
        <w:rPr>
          <w:rFonts w:hint="eastAsia" w:ascii="宋体" w:hAnsi="宋体"/>
          <w:color w:val="000000"/>
        </w:rPr>
        <w:t>树丛栽植：一般来说，树丛中央要栽最高和直立的树木，树丛外沿可配较矮的或伞形、球形的植株。树丛中个别树木采取倾斜姿势栽种时，一定要向树丛以外倾斜，不得反向树丛中央斜去。树丛内最高最大的主树，不可斜栽。树丛内植株内的株距不应一致，要有远有近，有聚有散。栽得最密时，可以土球挨着土球栽，不留间距。栽得稀疏的植株，可以和其它植株相距5m以上。</w:t>
      </w:r>
    </w:p>
    <w:p w14:paraId="72A2E76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000000"/>
        </w:rPr>
      </w:pPr>
      <w:r>
        <w:rPr>
          <w:rFonts w:hint="eastAsia" w:ascii="宋体" w:hAnsi="宋体"/>
          <w:color w:val="000000"/>
        </w:rPr>
        <w:t>林木配置：风景林内，树木可以按规则的株行距栽植这样成林后相比比较整齐；但在林缘部分，还是不宜栽得很整齐，不宜栽成直线形；要使林缘线栽成自然曲折的形状。林下还可选耐荫的灌木或草本植物复盖地面，增加林内景观内容。</w:t>
      </w:r>
    </w:p>
    <w:p w14:paraId="1846080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000000"/>
        </w:rPr>
      </w:pPr>
      <w:r>
        <w:rPr>
          <w:rFonts w:hint="eastAsia" w:ascii="宋体" w:hAnsi="宋体"/>
          <w:color w:val="000000"/>
        </w:rPr>
        <w:t>大树种植：指胸径大于12cm的乔木或各种名贵树木种植，具体种植方式详见&lt;大树种植施工细则&gt;(P-004)。</w:t>
      </w:r>
    </w:p>
    <w:p w14:paraId="34BB9F3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000000"/>
        </w:rPr>
      </w:pPr>
      <w:r>
        <w:rPr>
          <w:rFonts w:hint="eastAsia" w:ascii="宋体" w:hAnsi="宋体"/>
          <w:color w:val="000000"/>
        </w:rPr>
        <w:t>板顶及嵌草种植：当种植区位于板顶时，采用以下做法：采用陶粒、玻璃纤维布、轻质种植土、控制容重应根据具体部位的屋顶结构承重能力分别决定，请参照结构图纸并与专业人员协商。铺设种植土前，应首先核查该部分的土中积水排除系统是确认后先按设计要求完成疏水层，然后方可铺设种植土，严格按照施工规范铺设疏水设施及种植土。积水排水系统及疏水水层做法见图路面嵌草、停车场植草砖、隐形消防通道等有混凝土基础。</w:t>
      </w:r>
    </w:p>
    <w:p w14:paraId="40350C8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b w:val="0"/>
          <w:color w:val="auto"/>
          <w:highlight w:val="none"/>
        </w:rPr>
      </w:pPr>
      <w:r>
        <w:rPr>
          <w:rFonts w:hint="eastAsia" w:ascii="宋体" w:hAnsi="宋体"/>
          <w:b w:val="0"/>
          <w:color w:val="auto"/>
          <w:highlight w:val="none"/>
          <w:lang w:eastAsia="zh-CN"/>
        </w:rPr>
        <w:t>（</w:t>
      </w:r>
      <w:r>
        <w:rPr>
          <w:rFonts w:hint="eastAsia" w:ascii="宋体" w:hAnsi="宋体"/>
          <w:b w:val="0"/>
          <w:color w:val="auto"/>
          <w:highlight w:val="none"/>
          <w:lang w:val="en-US" w:eastAsia="zh-CN"/>
        </w:rPr>
        <w:t>9</w:t>
      </w:r>
      <w:r>
        <w:rPr>
          <w:rFonts w:hint="eastAsia" w:ascii="宋体" w:hAnsi="宋体"/>
          <w:b w:val="0"/>
          <w:color w:val="auto"/>
          <w:highlight w:val="none"/>
          <w:lang w:eastAsia="zh-CN"/>
        </w:rPr>
        <w:t>）</w:t>
      </w:r>
      <w:r>
        <w:rPr>
          <w:rFonts w:hint="eastAsia" w:ascii="宋体" w:hAnsi="宋体"/>
          <w:b w:val="0"/>
          <w:color w:val="auto"/>
          <w:highlight w:val="none"/>
        </w:rPr>
        <w:t>植物配置</w:t>
      </w:r>
    </w:p>
    <w:p w14:paraId="1BBBD74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b w:val="0"/>
          <w:color w:val="auto"/>
        </w:rPr>
      </w:pPr>
      <w:r>
        <w:rPr>
          <w:rFonts w:hint="eastAsia" w:ascii="宋体" w:hAnsi="宋体"/>
          <w:b w:val="0"/>
          <w:color w:val="auto"/>
          <w:lang w:eastAsia="zh-CN"/>
        </w:rPr>
        <w:t>根据设计区域功的功能配置适合的植物风格，</w:t>
      </w:r>
      <w:r>
        <w:rPr>
          <w:rFonts w:hint="eastAsia" w:ascii="宋体" w:hAnsi="宋体"/>
          <w:b w:val="0"/>
          <w:color w:val="auto"/>
        </w:rPr>
        <w:t>构筑生态群落，整体</w:t>
      </w:r>
      <w:r>
        <w:rPr>
          <w:rFonts w:hint="eastAsia" w:ascii="宋体" w:hAnsi="宋体"/>
          <w:b w:val="0"/>
          <w:color w:val="auto"/>
          <w:lang w:eastAsia="zh-CN"/>
        </w:rPr>
        <w:t>植物</w:t>
      </w:r>
      <w:r>
        <w:rPr>
          <w:rFonts w:hint="eastAsia" w:ascii="宋体" w:hAnsi="宋体"/>
          <w:b w:val="0"/>
          <w:color w:val="auto"/>
        </w:rPr>
        <w:t>形成乔木＋灌木＋地被植物的植被群落</w:t>
      </w:r>
      <w:r>
        <w:rPr>
          <w:rFonts w:hint="eastAsia" w:ascii="宋体" w:hAnsi="宋体"/>
          <w:b w:val="0"/>
          <w:color w:val="auto"/>
          <w:lang w:eastAsia="zh-CN"/>
        </w:rPr>
        <w:t>，打造多观感的植物体验，形成四季有景的植物效果</w:t>
      </w:r>
      <w:r>
        <w:rPr>
          <w:rFonts w:hint="eastAsia" w:ascii="宋体" w:hAnsi="宋体"/>
          <w:b w:val="0"/>
          <w:color w:val="auto"/>
        </w:rPr>
        <w:t>。</w:t>
      </w:r>
    </w:p>
    <w:p w14:paraId="71A6F8F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b w:val="0"/>
          <w:color w:val="auto"/>
          <w:kern w:val="0"/>
        </w:rPr>
      </w:pPr>
      <w:r>
        <w:rPr>
          <w:rFonts w:hint="eastAsia" w:ascii="宋体" w:hAnsi="宋体"/>
          <w:b w:val="0"/>
          <w:color w:val="auto"/>
        </w:rPr>
        <w:t>植物选择-分区设计</w:t>
      </w:r>
    </w:p>
    <w:p w14:paraId="3B5518B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auto"/>
        </w:rPr>
      </w:pPr>
      <w:r>
        <w:rPr>
          <w:rFonts w:hint="eastAsia" w:ascii="宋体" w:hAnsi="宋体"/>
          <w:color w:val="auto"/>
        </w:rPr>
        <w:t>在对</w:t>
      </w:r>
      <w:r>
        <w:rPr>
          <w:rFonts w:hint="eastAsia" w:ascii="宋体" w:hAnsi="宋体"/>
          <w:color w:val="auto"/>
          <w:lang w:eastAsia="zh-CN"/>
        </w:rPr>
        <w:t>小区</w:t>
      </w:r>
      <w:r>
        <w:rPr>
          <w:rFonts w:hint="eastAsia" w:ascii="宋体" w:hAnsi="宋体"/>
          <w:color w:val="auto"/>
        </w:rPr>
        <w:t>植物群落组成和结构的调查研究基础上，</w:t>
      </w:r>
      <w:r>
        <w:rPr>
          <w:rFonts w:hint="eastAsia" w:ascii="宋体" w:hAnsi="宋体"/>
          <w:b w:val="0"/>
          <w:color w:val="auto"/>
        </w:rPr>
        <w:t>遵循因地制宜、适地适树、以乡土树种为主、外来树种为辅、种类变化、季相变化、生态功能与景观效果兼顾的选择原则。</w:t>
      </w:r>
      <w:r>
        <w:rPr>
          <w:rFonts w:hint="eastAsia" w:ascii="宋体" w:hAnsi="宋体"/>
          <w:color w:val="auto"/>
        </w:rPr>
        <w:t>地带性植被的建群种与优势种；种类多样，适合不同林型的生态功能和景观特色；生长速度快，寿命长，天然更新能力强；无公害或抗病虫害能力强；对逆境或污染有一定抗性的树种。</w:t>
      </w:r>
    </w:p>
    <w:p w14:paraId="49346F1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lang w:val="en-US" w:eastAsia="zh-CN"/>
        </w:rPr>
      </w:pPr>
      <w:r>
        <w:rPr>
          <w:rFonts w:hint="eastAsia" w:ascii="宋体" w:hAnsi="宋体"/>
          <w:lang w:val="en-US" w:eastAsia="zh-CN"/>
        </w:rPr>
        <w:t>植物修剪</w:t>
      </w:r>
    </w:p>
    <w:p w14:paraId="25E94F00">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ascii="宋体" w:hAnsi="宋体"/>
          <w:color w:val="auto"/>
        </w:rPr>
      </w:pPr>
      <w:r>
        <w:rPr>
          <w:rFonts w:hint="eastAsia" w:ascii="宋体" w:hAnsi="宋体"/>
          <w:color w:val="auto"/>
        </w:rPr>
        <w:t>植物</w:t>
      </w:r>
      <w:r>
        <w:rPr>
          <w:rFonts w:hint="eastAsia" w:ascii="宋体" w:hAnsi="宋体"/>
          <w:color w:val="auto"/>
          <w:lang w:eastAsia="zh-CN"/>
        </w:rPr>
        <w:t>修剪</w:t>
      </w:r>
      <w:r>
        <w:rPr>
          <w:rFonts w:hint="eastAsia" w:ascii="宋体" w:hAnsi="宋体"/>
          <w:color w:val="auto"/>
        </w:rPr>
        <w:t>规格应符合设计要求，严禁使用带有病虫害的植物材料，自外地引进的植物材料应有“植物检疫证”。</w:t>
      </w:r>
    </w:p>
    <w:p w14:paraId="04DDAE0E">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ascii="宋体" w:hAnsi="宋体"/>
          <w:color w:val="auto"/>
        </w:rPr>
      </w:pPr>
      <w:r>
        <w:rPr>
          <w:rFonts w:hint="eastAsia" w:ascii="宋体" w:hAnsi="宋体"/>
          <w:color w:val="auto"/>
        </w:rPr>
        <w:t>严格按苗木表中的苗木规格进行选苗，植物材料应生长健壮、姿势优美、根系发达、无机械损伤。</w:t>
      </w:r>
    </w:p>
    <w:p w14:paraId="254CDB1E">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auto"/>
        </w:rPr>
      </w:pPr>
      <w:r>
        <w:rPr>
          <w:rFonts w:hint="eastAsia"/>
          <w:color w:val="auto"/>
        </w:rPr>
        <w:t xml:space="preserve"> </w:t>
      </w:r>
      <w:r>
        <w:rPr>
          <w:rFonts w:hint="eastAsia" w:ascii="宋体" w:hAnsi="宋体"/>
          <w:color w:val="auto"/>
        </w:rPr>
        <w:t>乔木类苗木</w:t>
      </w:r>
      <w:r>
        <w:rPr>
          <w:rFonts w:hint="eastAsia" w:ascii="宋体" w:hAnsi="宋体"/>
          <w:color w:val="auto"/>
          <w:lang w:eastAsia="zh-CN"/>
        </w:rPr>
        <w:t>修剪：</w:t>
      </w:r>
      <w:r>
        <w:rPr>
          <w:rFonts w:hint="eastAsia" w:ascii="宋体" w:hAnsi="宋体"/>
          <w:color w:val="auto"/>
        </w:rPr>
        <w:t>树干应较顺直、主枝匀称、树冠完整，分枝点及分枝合理，具主枝3至5枝，严禁出现没枝的单干苗木，用于行道树的乔木分枝点高度应≥2.8m；土球的直径应为干径的6-8倍，土球应完整，包扎牢固、无裸出土球的根条；裸根苗的根幅应大于干径的6-8倍，并带护心土，苗根不劈不裂，根系较完整，切口平。</w:t>
      </w:r>
    </w:p>
    <w:p w14:paraId="4448E36B">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auto"/>
        </w:rPr>
      </w:pPr>
      <w:r>
        <w:rPr>
          <w:rFonts w:hint="eastAsia" w:ascii="宋体" w:hAnsi="宋体"/>
          <w:color w:val="auto"/>
        </w:rPr>
        <w:t>灌木类苗木</w:t>
      </w:r>
      <w:r>
        <w:rPr>
          <w:rFonts w:hint="eastAsia" w:ascii="宋体" w:hAnsi="宋体"/>
          <w:color w:val="auto"/>
          <w:lang w:eastAsia="zh-CN"/>
        </w:rPr>
        <w:t>修剪：</w:t>
      </w:r>
      <w:r>
        <w:rPr>
          <w:rFonts w:hint="eastAsia" w:ascii="宋体" w:hAnsi="宋体"/>
          <w:color w:val="auto"/>
        </w:rPr>
        <w:t>应主枝分布均匀，灌丛丰满，主枝不少于5个，匍匐型灌木主枝不少于3个，主枝长度≥1.0m。</w:t>
      </w:r>
    </w:p>
    <w:p w14:paraId="64E7D42B">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auto"/>
        </w:rPr>
      </w:pPr>
      <w:r>
        <w:rPr>
          <w:rFonts w:hint="eastAsia" w:ascii="宋体" w:hAnsi="宋体"/>
          <w:color w:val="auto"/>
        </w:rPr>
        <w:t>球类植物</w:t>
      </w:r>
      <w:r>
        <w:rPr>
          <w:rFonts w:hint="eastAsia" w:ascii="宋体" w:hAnsi="宋体"/>
          <w:color w:val="auto"/>
          <w:lang w:eastAsia="zh-CN"/>
        </w:rPr>
        <w:t>修剪：</w:t>
      </w:r>
      <w:r>
        <w:rPr>
          <w:rFonts w:hint="eastAsia" w:ascii="宋体" w:hAnsi="宋体"/>
          <w:color w:val="auto"/>
        </w:rPr>
        <w:t>必须枝密叶茂，冠形呈圆球状，下部不裸秃，土球及包扎完好；绿篱及模纹色块植物的冠丛应丰满，分枝、冠径匀称；攀援植物的苗木分枝数不少   于3个，枝蔓直径0.3cm以上，主蔓长度≥1.0m；容器苗木的容器应完整结实牢靠，便于运输、拆除和降解。</w:t>
      </w:r>
    </w:p>
    <w:p w14:paraId="29BA7344">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auto"/>
        </w:rPr>
      </w:pPr>
      <w:r>
        <w:rPr>
          <w:rFonts w:hint="eastAsia" w:ascii="宋体" w:hAnsi="宋体"/>
          <w:color w:val="auto"/>
        </w:rPr>
        <w:t>露地栽培的花苗中，一、二年生花卉，株高宜为10cm-50cm，冠径15cm-35cm，分枝不少于3-4个，植株健壮，色泽明亮；宿根花卉的根系必须完整，无腐烂变质；球根花卉的球根应茁壮、无损伤、幼芽饱满；观叶植物的叶片分布均匀，排列整齐，形状完好，色泽正常；水湿生植物的根、茎、叶发育良好，植株健壮。</w:t>
      </w:r>
    </w:p>
    <w:p w14:paraId="652A604B">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auto"/>
        </w:rPr>
      </w:pPr>
      <w:r>
        <w:rPr>
          <w:rFonts w:hint="eastAsia" w:ascii="宋体" w:hAnsi="宋体"/>
          <w:color w:val="auto"/>
        </w:rPr>
        <w:t>草坪</w:t>
      </w:r>
      <w:r>
        <w:rPr>
          <w:rFonts w:hint="eastAsia" w:ascii="宋体" w:hAnsi="宋体"/>
          <w:color w:val="auto"/>
          <w:lang w:eastAsia="zh-CN"/>
        </w:rPr>
        <w:t>修剪：</w:t>
      </w:r>
      <w:r>
        <w:rPr>
          <w:rFonts w:hint="eastAsia" w:ascii="宋体" w:hAnsi="宋体"/>
          <w:color w:val="auto"/>
        </w:rPr>
        <w:t>生长均匀，根系密布无斑秃，草高适度，无病虫害；草块厚度宜为2-3cm，草卷厚度宜为1.8-2.5cm；杂草不得超过2%。</w:t>
      </w:r>
    </w:p>
    <w:p w14:paraId="060C671A">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auto"/>
        </w:rPr>
      </w:pPr>
      <w:r>
        <w:rPr>
          <w:rFonts w:hint="eastAsia" w:ascii="宋体" w:hAnsi="宋体"/>
          <w:color w:val="auto"/>
        </w:rPr>
        <w:t>植物</w:t>
      </w:r>
      <w:r>
        <w:rPr>
          <w:rFonts w:hint="eastAsia" w:ascii="宋体" w:hAnsi="宋体"/>
          <w:color w:val="auto"/>
          <w:lang w:eastAsia="zh-CN"/>
        </w:rPr>
        <w:t>移除</w:t>
      </w:r>
      <w:r>
        <w:rPr>
          <w:rFonts w:hint="eastAsia" w:ascii="宋体" w:hAnsi="宋体"/>
          <w:color w:val="auto"/>
        </w:rPr>
        <w:t>前应经监理和甲方检验认可，若有下列情形者，不得使用：</w:t>
      </w:r>
    </w:p>
    <w:p w14:paraId="4F552E7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auto"/>
        </w:rPr>
      </w:pPr>
      <w:r>
        <w:rPr>
          <w:rFonts w:hint="eastAsia" w:ascii="宋体" w:hAnsi="宋体"/>
          <w:color w:val="auto"/>
        </w:rPr>
        <w:t xml:space="preserve">   （1）不符合规格尺寸及苗木检疫要求的苗木。</w:t>
      </w:r>
    </w:p>
    <w:p w14:paraId="3C6465D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auto"/>
        </w:rPr>
      </w:pPr>
      <w:r>
        <w:rPr>
          <w:rFonts w:hint="eastAsia" w:ascii="宋体" w:hAnsi="宋体"/>
          <w:color w:val="auto"/>
        </w:rPr>
        <w:t xml:space="preserve">   （2）有显著病虫害、折枝折干、裂干、肥害、药害、老衰、老化、树皮破伤者。</w:t>
      </w:r>
    </w:p>
    <w:p w14:paraId="39D220B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auto"/>
        </w:rPr>
      </w:pPr>
      <w:r>
        <w:rPr>
          <w:rFonts w:hint="eastAsia" w:ascii="宋体" w:hAnsi="宋体"/>
          <w:color w:val="auto"/>
        </w:rPr>
        <w:t xml:space="preserve">   （3）树型不端正、干过于弯曲、树冠过于稀疏、偏斜及畸形者（除特别注明外）。</w:t>
      </w:r>
    </w:p>
    <w:p w14:paraId="3538C72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auto"/>
        </w:rPr>
      </w:pPr>
      <w:r>
        <w:rPr>
          <w:rFonts w:hint="eastAsia" w:ascii="宋体" w:hAnsi="宋体"/>
          <w:color w:val="auto"/>
        </w:rPr>
        <w:t xml:space="preserve">   （4）挖取后搁置过久，根部干涸、叶芽枯萎或掉落者。</w:t>
      </w:r>
    </w:p>
    <w:p w14:paraId="5C0CDE7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auto"/>
        </w:rPr>
      </w:pPr>
      <w:r>
        <w:rPr>
          <w:rFonts w:hint="eastAsia" w:ascii="宋体" w:hAnsi="宋体"/>
          <w:color w:val="auto"/>
        </w:rPr>
        <w:t xml:space="preserve">   （5）整形类植物，其形状不显著或损坏原型者。</w:t>
      </w:r>
    </w:p>
    <w:p w14:paraId="6A8ED25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auto"/>
        </w:rPr>
      </w:pPr>
      <w:r>
        <w:rPr>
          <w:rFonts w:hint="eastAsia" w:ascii="宋体" w:hAnsi="宋体"/>
          <w:color w:val="auto"/>
        </w:rPr>
        <w:t xml:space="preserve">   （6）护根土球不够大、破裂、松散不完整或偏斜者。</w:t>
      </w:r>
    </w:p>
    <w:p w14:paraId="547303C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auto"/>
        </w:rPr>
      </w:pPr>
      <w:r>
        <w:rPr>
          <w:rFonts w:hint="eastAsia" w:ascii="宋体" w:hAnsi="宋体"/>
          <w:color w:val="auto"/>
        </w:rPr>
        <w:t xml:space="preserve">   （7）高压苗、插条苗，未经苗圃培养两年以上者。</w:t>
      </w:r>
    </w:p>
    <w:p w14:paraId="4915104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color w:val="auto"/>
        </w:rPr>
      </w:pPr>
      <w:r>
        <w:rPr>
          <w:rFonts w:hint="eastAsia" w:ascii="宋体" w:hAnsi="宋体"/>
          <w:color w:val="auto"/>
        </w:rPr>
        <w:t xml:space="preserve">   （8）灌木、草花等分枝过少，脱脚，枝叶不茂盛者。</w:t>
      </w:r>
    </w:p>
    <w:p w14:paraId="597E8D9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auto"/>
          <w:lang w:eastAsia="zh-CN"/>
        </w:rPr>
      </w:pPr>
      <w:r>
        <w:rPr>
          <w:rFonts w:hint="eastAsia" w:ascii="宋体" w:hAnsi="宋体"/>
          <w:color w:val="auto"/>
        </w:rPr>
        <w:t xml:space="preserve">   （9）针叶树类失去原有端正形态、断枝断梢者。</w:t>
      </w:r>
    </w:p>
    <w:p w14:paraId="1DA72AB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宋体" w:hAnsi="宋体"/>
        </w:rPr>
      </w:pPr>
      <w:r>
        <w:rPr>
          <w:rFonts w:hint="eastAsia" w:ascii="宋体" w:hAnsi="宋体"/>
        </w:rPr>
        <w:t>植物规格说明</w:t>
      </w:r>
    </w:p>
    <w:p w14:paraId="14D68B3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rPr>
      </w:pPr>
      <w:r>
        <w:rPr>
          <w:rFonts w:hint="eastAsia" w:ascii="宋体" w:hAnsi="宋体"/>
        </w:rPr>
        <w:t>树高：指苗木经过常规处理后从地表面至树木正常生长顶端的垂直高度，具单一主干的乔木要求尽量保留顶端生长点。苗木选择时,苗木表中所列的树木高度范围内，应每种高度都有，以便植物造景时进行高低错落的搭配，但用于树阵、行道树的苗木应规格一致。</w:t>
      </w:r>
    </w:p>
    <w:p w14:paraId="5F05295B">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rPr>
      </w:pPr>
      <w:r>
        <w:rPr>
          <w:rFonts w:hint="eastAsia" w:ascii="宋体" w:hAnsi="宋体"/>
        </w:rPr>
        <w:t xml:space="preserve">   分枝点高：指乔木从树冠的最下分枝点到地表面的垂直高度。</w:t>
      </w:r>
    </w:p>
    <w:p w14:paraId="628318D1">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rPr>
      </w:pPr>
      <w:r>
        <w:rPr>
          <w:rFonts w:hint="eastAsia" w:ascii="宋体" w:hAnsi="宋体"/>
        </w:rPr>
        <w:t xml:space="preserve">   干高：指乔木或非丛生灌木从树冠的最下分枝点到地表面的垂直高度。</w:t>
      </w:r>
    </w:p>
    <w:p w14:paraId="7B67D650">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rPr>
      </w:pPr>
      <w:r>
        <w:rPr>
          <w:rFonts w:hint="eastAsia" w:ascii="宋体" w:hAnsi="宋体"/>
        </w:rPr>
        <w:t xml:space="preserve">   胸径：指苗木主干离地表面130cm处的直径。</w:t>
      </w:r>
    </w:p>
    <w:p w14:paraId="4D63E3BE">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rPr>
      </w:pPr>
      <w:r>
        <w:rPr>
          <w:rFonts w:hint="eastAsia" w:ascii="宋体" w:hAnsi="宋体"/>
        </w:rPr>
        <w:t xml:space="preserve">   地径：指苗木主干离地表面10cm处基部直径。</w:t>
      </w:r>
    </w:p>
    <w:p w14:paraId="44EF3EB4">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rPr>
      </w:pPr>
      <w:r>
        <w:rPr>
          <w:rFonts w:hint="eastAsia" w:ascii="宋体" w:hAnsi="宋体"/>
        </w:rPr>
        <w:t xml:space="preserve">   冠幅：指苗木经过常规处理后树冠垂直投影的正交直径平均值。在保证苗木移植成活和满足交通运输要求的前提下，应尽量保留苗木的原有冠幅，以利于绿化效果尽快体现。</w:t>
      </w:r>
    </w:p>
    <w:p w14:paraId="736054CB">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rPr>
      </w:pPr>
      <w:r>
        <w:rPr>
          <w:rFonts w:hint="eastAsia" w:ascii="宋体" w:hAnsi="宋体"/>
        </w:rPr>
        <w:t xml:space="preserve">   蓬径：指灌木灌丛经过常规处理后树冠垂直投影的正交直径平均值。所有灌木灌丛高度必须达到设计要求，如蓬径不能达到，施工单位应联系设计、监理及甲方，经同意后增加密度。</w:t>
      </w:r>
    </w:p>
    <w:p w14:paraId="01B57A15">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rPr>
      </w:pPr>
      <w:r>
        <w:rPr>
          <w:rFonts w:hint="eastAsia" w:ascii="宋体" w:hAnsi="宋体"/>
        </w:rPr>
        <w:t xml:space="preserve">   土球：指苗木移栽时根部所带泥球的直径。</w:t>
      </w:r>
    </w:p>
    <w:p w14:paraId="44570E76">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宋体" w:hAnsi="宋体"/>
          <w:bCs/>
        </w:rPr>
      </w:pPr>
      <w:r>
        <w:rPr>
          <w:rFonts w:hint="eastAsia" w:ascii="宋体" w:hAnsi="宋体"/>
        </w:rPr>
        <w:t xml:space="preserve">   全冠苗：指达到三级分枝且冠径达到其胸径的15倍及以上的乔木。</w:t>
      </w:r>
    </w:p>
    <w:p w14:paraId="2D6DC8E0">
      <w:pPr>
        <w:pStyle w:val="5"/>
        <w:rPr>
          <w:color w:val="auto"/>
          <w:highlight w:val="none"/>
        </w:rPr>
      </w:pPr>
      <w:r>
        <w:rPr>
          <w:rFonts w:hint="eastAsia"/>
          <w:color w:val="auto"/>
          <w:highlight w:val="none"/>
        </w:rPr>
        <w:t>景观工程设计内容及处理措施</w:t>
      </w:r>
    </w:p>
    <w:p w14:paraId="1EDEE065">
      <w:pPr>
        <w:pStyle w:val="71"/>
        <w:rPr>
          <w:color w:val="auto"/>
          <w:highlight w:val="none"/>
        </w:rPr>
      </w:pPr>
      <w:r>
        <w:rPr>
          <w:rFonts w:hint="eastAsia"/>
          <w:color w:val="auto"/>
          <w:highlight w:val="none"/>
        </w:rPr>
        <w:t>1</w:t>
      </w:r>
      <w:r>
        <w:rPr>
          <w:rFonts w:hint="eastAsia"/>
          <w:color w:val="auto"/>
          <w:highlight w:val="none"/>
          <w:lang w:eastAsia="zh-CN"/>
        </w:rPr>
        <w:t>、将小区内所有绿化进行修剪，</w:t>
      </w:r>
      <w:r>
        <w:rPr>
          <w:rFonts w:hint="eastAsia"/>
          <w:color w:val="auto"/>
          <w:highlight w:val="none"/>
        </w:rPr>
        <w:t>补栽花草树木</w:t>
      </w:r>
      <w:r>
        <w:rPr>
          <w:rFonts w:hint="eastAsia"/>
          <w:color w:val="auto"/>
          <w:highlight w:val="none"/>
          <w:lang w:eastAsia="zh-CN"/>
        </w:rPr>
        <w:t>，</w:t>
      </w:r>
      <w:r>
        <w:rPr>
          <w:rFonts w:hint="eastAsia"/>
          <w:color w:val="auto"/>
          <w:highlight w:val="none"/>
        </w:rPr>
        <w:t>完善小区绿化设施；</w:t>
      </w:r>
    </w:p>
    <w:p w14:paraId="36682316">
      <w:pPr>
        <w:pStyle w:val="71"/>
        <w:rPr>
          <w:color w:val="auto"/>
          <w:highlight w:val="none"/>
        </w:rPr>
      </w:pPr>
      <w:r>
        <w:rPr>
          <w:rFonts w:hint="eastAsia"/>
          <w:color w:val="auto"/>
          <w:highlight w:val="none"/>
        </w:rPr>
        <w:t>2、拆除部分绿化改造为停车位</w:t>
      </w:r>
      <w:r>
        <w:rPr>
          <w:rFonts w:hint="eastAsia"/>
          <w:color w:val="auto"/>
          <w:highlight w:val="none"/>
          <w:lang w:eastAsia="zh-CN"/>
        </w:rPr>
        <w:t>，</w:t>
      </w:r>
      <w:r>
        <w:rPr>
          <w:rFonts w:hint="eastAsia"/>
          <w:color w:val="auto"/>
          <w:highlight w:val="none"/>
        </w:rPr>
        <w:t>解决停车位紧张的问题；</w:t>
      </w:r>
    </w:p>
    <w:p w14:paraId="38EF251D">
      <w:pPr>
        <w:pStyle w:val="71"/>
        <w:rPr>
          <w:color w:val="auto"/>
          <w:highlight w:val="none"/>
        </w:rPr>
      </w:pPr>
      <w:r>
        <w:rPr>
          <w:rFonts w:hint="eastAsia"/>
          <w:color w:val="auto"/>
          <w:highlight w:val="none"/>
        </w:rPr>
        <w:t>3、</w:t>
      </w:r>
      <w:bookmarkStart w:id="18" w:name="_Toc107263772"/>
      <w:bookmarkStart w:id="19" w:name="_Toc107264187"/>
      <w:bookmarkStart w:id="20" w:name="_Toc107263176"/>
      <w:bookmarkStart w:id="21" w:name="_Toc107262993"/>
      <w:bookmarkStart w:id="22" w:name="_Toc107264752"/>
      <w:r>
        <w:rPr>
          <w:rFonts w:hint="eastAsia"/>
          <w:color w:val="auto"/>
          <w:highlight w:val="none"/>
          <w:lang w:eastAsia="zh-CN"/>
        </w:rPr>
        <w:t>将小区土壤裸露部位进行草皮增补</w:t>
      </w:r>
      <w:r>
        <w:rPr>
          <w:rFonts w:hint="eastAsia"/>
          <w:color w:val="auto"/>
          <w:highlight w:val="none"/>
        </w:rPr>
        <w:t>；</w:t>
      </w:r>
    </w:p>
    <w:p w14:paraId="2B75A916">
      <w:pPr>
        <w:pStyle w:val="71"/>
        <w:rPr>
          <w:color w:val="auto"/>
          <w:highlight w:val="none"/>
        </w:rPr>
      </w:pPr>
      <w:r>
        <w:rPr>
          <w:rFonts w:hint="eastAsia"/>
          <w:color w:val="auto"/>
          <w:highlight w:val="none"/>
        </w:rPr>
        <w:t>4、</w:t>
      </w:r>
      <w:r>
        <w:rPr>
          <w:rFonts w:hint="eastAsia"/>
          <w:color w:val="auto"/>
          <w:highlight w:val="none"/>
          <w:lang w:eastAsia="zh-CN"/>
        </w:rPr>
        <w:t>绿化补植在</w:t>
      </w:r>
      <w:r>
        <w:rPr>
          <w:rFonts w:hint="eastAsia"/>
          <w:color w:val="auto"/>
          <w:highlight w:val="none"/>
        </w:rPr>
        <w:t>植物</w:t>
      </w:r>
      <w:r>
        <w:rPr>
          <w:rFonts w:hint="eastAsia"/>
          <w:color w:val="auto"/>
          <w:highlight w:val="none"/>
          <w:lang w:eastAsia="zh-CN"/>
        </w:rPr>
        <w:t>选种</w:t>
      </w:r>
      <w:r>
        <w:rPr>
          <w:rFonts w:hint="eastAsia"/>
          <w:color w:val="auto"/>
          <w:highlight w:val="none"/>
        </w:rPr>
        <w:t>上考虑易于成活和养护</w:t>
      </w:r>
      <w:r>
        <w:rPr>
          <w:rFonts w:hint="eastAsia"/>
          <w:color w:val="auto"/>
          <w:highlight w:val="none"/>
          <w:lang w:eastAsia="zh-CN"/>
        </w:rPr>
        <w:t>和</w:t>
      </w:r>
      <w:r>
        <w:rPr>
          <w:rFonts w:hint="eastAsia"/>
          <w:color w:val="auto"/>
          <w:highlight w:val="none"/>
        </w:rPr>
        <w:t>实施的可行性、种植及养护成本</w:t>
      </w:r>
      <w:r>
        <w:rPr>
          <w:rFonts w:hint="eastAsia"/>
          <w:color w:val="auto"/>
          <w:highlight w:val="none"/>
          <w:lang w:eastAsia="zh-CN"/>
        </w:rPr>
        <w:t>，</w:t>
      </w:r>
      <w:r>
        <w:rPr>
          <w:rFonts w:hint="eastAsia"/>
          <w:color w:val="auto"/>
          <w:highlight w:val="none"/>
        </w:rPr>
        <w:t>减少草坪面积，加大乔木、灌木的种植数量，尽可能降低养护成本，便于保持。充分利用植物的不同形态、不同季节的色彩变幻,营造良好的的景观效果。主要树种选择例如红枫、桂花、</w:t>
      </w:r>
      <w:r>
        <w:rPr>
          <w:rFonts w:hint="eastAsia"/>
          <w:color w:val="auto"/>
          <w:highlight w:val="none"/>
          <w:lang w:eastAsia="zh-CN"/>
        </w:rPr>
        <w:t>樱花</w:t>
      </w:r>
      <w:r>
        <w:rPr>
          <w:rFonts w:hint="eastAsia"/>
          <w:color w:val="auto"/>
          <w:highlight w:val="none"/>
        </w:rPr>
        <w:t>等，丰富绿化的层次和色彩。同时在主要的出入口等节点补植</w:t>
      </w:r>
      <w:r>
        <w:rPr>
          <w:rFonts w:hint="eastAsia"/>
          <w:color w:val="auto"/>
          <w:highlight w:val="none"/>
          <w:lang w:eastAsia="zh-CN"/>
        </w:rPr>
        <w:t>海桐球</w:t>
      </w:r>
      <w:r>
        <w:rPr>
          <w:rFonts w:hint="eastAsia"/>
          <w:color w:val="auto"/>
          <w:highlight w:val="none"/>
        </w:rPr>
        <w:t>、</w:t>
      </w:r>
      <w:r>
        <w:rPr>
          <w:rFonts w:hint="eastAsia"/>
          <w:color w:val="auto"/>
          <w:highlight w:val="none"/>
          <w:lang w:eastAsia="zh-CN"/>
        </w:rPr>
        <w:t>金叶女贞球</w:t>
      </w:r>
      <w:r>
        <w:rPr>
          <w:rFonts w:hint="eastAsia"/>
          <w:color w:val="auto"/>
          <w:highlight w:val="none"/>
        </w:rPr>
        <w:t>、</w:t>
      </w:r>
      <w:r>
        <w:rPr>
          <w:rFonts w:hint="eastAsia"/>
          <w:color w:val="auto"/>
          <w:highlight w:val="none"/>
          <w:lang w:eastAsia="zh-CN"/>
        </w:rPr>
        <w:t>红叶石楠</w:t>
      </w:r>
      <w:r>
        <w:rPr>
          <w:rFonts w:hint="eastAsia"/>
          <w:color w:val="auto"/>
          <w:highlight w:val="none"/>
        </w:rPr>
        <w:t>球等灌木。</w:t>
      </w:r>
    </w:p>
    <w:p w14:paraId="75A733DD">
      <w:pPr>
        <w:pStyle w:val="71"/>
        <w:rPr>
          <w:color w:val="auto"/>
          <w:highlight w:val="none"/>
        </w:rPr>
      </w:pPr>
      <w:r>
        <w:rPr>
          <w:rFonts w:hint="eastAsia"/>
          <w:color w:val="auto"/>
          <w:highlight w:val="none"/>
        </w:rPr>
        <w:t>5、</w:t>
      </w:r>
      <w:r>
        <w:rPr>
          <w:rFonts w:hint="eastAsia"/>
          <w:color w:val="auto"/>
          <w:highlight w:val="none"/>
          <w:lang w:eastAsia="zh-CN"/>
        </w:rPr>
        <w:t>更换小区内破旧宣传设施</w:t>
      </w:r>
      <w:r>
        <w:rPr>
          <w:rFonts w:hint="eastAsia"/>
          <w:color w:val="auto"/>
          <w:highlight w:val="none"/>
        </w:rPr>
        <w:t>。</w:t>
      </w:r>
    </w:p>
    <w:p w14:paraId="086E21A5">
      <w:pPr>
        <w:pStyle w:val="71"/>
        <w:rPr>
          <w:color w:val="auto"/>
          <w:highlight w:val="none"/>
        </w:rPr>
      </w:pPr>
    </w:p>
    <w:bookmarkEnd w:id="18"/>
    <w:bookmarkEnd w:id="19"/>
    <w:bookmarkEnd w:id="20"/>
    <w:bookmarkEnd w:id="21"/>
    <w:bookmarkEnd w:id="22"/>
    <w:p w14:paraId="12A6BB58">
      <w:pPr>
        <w:pStyle w:val="71"/>
        <w:ind w:left="0" w:leftChars="0" w:firstLine="0" w:firstLineChars="0"/>
        <w:rPr>
          <w:color w:val="C00000"/>
          <w:highlight w:val="none"/>
        </w:rPr>
      </w:pPr>
    </w:p>
    <w:p w14:paraId="58CEE59E">
      <w:pPr>
        <w:pStyle w:val="71"/>
        <w:ind w:left="0" w:leftChars="0" w:firstLine="0" w:firstLineChars="0"/>
        <w:rPr>
          <w:color w:val="C00000"/>
          <w:highlight w:val="none"/>
        </w:rPr>
      </w:pPr>
    </w:p>
    <w:p w14:paraId="75AAA3D9">
      <w:pPr>
        <w:pStyle w:val="71"/>
        <w:ind w:left="0" w:leftChars="0" w:firstLine="0" w:firstLineChars="0"/>
        <w:rPr>
          <w:color w:val="C00000"/>
          <w:highlight w:val="none"/>
        </w:rPr>
      </w:pPr>
    </w:p>
    <w:p w14:paraId="76F052E2">
      <w:pPr>
        <w:pStyle w:val="71"/>
        <w:ind w:left="0" w:leftChars="0" w:firstLine="0" w:firstLineChars="0"/>
        <w:rPr>
          <w:color w:val="C00000"/>
          <w:highlight w:val="none"/>
        </w:rPr>
      </w:pPr>
    </w:p>
    <w:p w14:paraId="25A18E26">
      <w:pPr>
        <w:pStyle w:val="71"/>
        <w:ind w:left="0" w:leftChars="0" w:firstLine="0" w:firstLineChars="0"/>
        <w:rPr>
          <w:color w:val="C00000"/>
          <w:highlight w:val="none"/>
        </w:rPr>
      </w:pPr>
    </w:p>
    <w:p w14:paraId="115F079C">
      <w:pPr>
        <w:pStyle w:val="71"/>
        <w:ind w:left="0" w:leftChars="0" w:firstLine="0" w:firstLineChars="0"/>
        <w:rPr>
          <w:color w:val="FF0000"/>
        </w:rPr>
        <w:sectPr>
          <w:headerReference r:id="rId7" w:type="default"/>
          <w:footerReference r:id="rId8" w:type="default"/>
          <w:endnotePr>
            <w:numFmt w:val="decimal"/>
          </w:endnotePr>
          <w:type w:val="continuous"/>
          <w:pgSz w:w="23811" w:h="16838" w:orient="landscape"/>
          <w:pgMar w:top="1418" w:right="1134" w:bottom="1418" w:left="1701" w:header="851" w:footer="992" w:gutter="0"/>
          <w:pgNumType w:fmt="decimal"/>
          <w:cols w:space="720" w:num="2" w:sep="1"/>
          <w:docGrid w:linePitch="381" w:charSpace="0"/>
        </w:sectPr>
      </w:pPr>
    </w:p>
    <w:p w14:paraId="2060E77A">
      <w:pPr>
        <w:widowControl/>
        <w:adjustRightInd/>
        <w:snapToGrid/>
        <w:spacing w:line="240" w:lineRule="auto"/>
        <w:ind w:left="0" w:firstLine="0" w:firstLineChars="0"/>
        <w:rPr>
          <w:color w:val="FF0000"/>
        </w:rPr>
        <w:sectPr>
          <w:headerReference r:id="rId9" w:type="default"/>
          <w:footerReference r:id="rId10" w:type="default"/>
          <w:endnotePr>
            <w:numFmt w:val="decimal"/>
          </w:endnotePr>
          <w:type w:val="continuous"/>
          <w:pgSz w:w="23811" w:h="16838" w:orient="landscape"/>
          <w:pgMar w:top="1418" w:right="1134" w:bottom="1418" w:left="1701" w:header="851" w:footer="992" w:gutter="0"/>
          <w:pgNumType w:fmt="decimal"/>
          <w:cols w:space="720" w:num="1" w:sep="1"/>
          <w:docGrid w:linePitch="381" w:charSpace="0"/>
        </w:sectPr>
      </w:pPr>
      <w:r>
        <w:rPr>
          <w:color w:val="FF0000"/>
        </w:rPr>
        <w:br w:type="page"/>
      </w:r>
    </w:p>
    <w:p w14:paraId="29990F94">
      <w:pPr>
        <w:pStyle w:val="2"/>
        <w:numPr>
          <w:ilvl w:val="0"/>
          <w:numId w:val="0"/>
        </w:numPr>
        <w:rPr>
          <w:rFonts w:hint="eastAsia"/>
          <w:color w:val="auto"/>
          <w:lang w:eastAsia="zh-CN"/>
        </w:rPr>
      </w:pPr>
      <w:bookmarkStart w:id="23" w:name="_Toc15897"/>
    </w:p>
    <w:p w14:paraId="18B505A3">
      <w:pPr>
        <w:pStyle w:val="2"/>
        <w:numPr>
          <w:ilvl w:val="0"/>
          <w:numId w:val="0"/>
        </w:numPr>
        <w:rPr>
          <w:rFonts w:hint="eastAsia"/>
          <w:color w:val="auto"/>
          <w:lang w:eastAsia="zh-CN"/>
        </w:rPr>
      </w:pPr>
    </w:p>
    <w:p w14:paraId="409D037E">
      <w:pPr>
        <w:pStyle w:val="2"/>
        <w:numPr>
          <w:ilvl w:val="0"/>
          <w:numId w:val="0"/>
        </w:numPr>
        <w:rPr>
          <w:rFonts w:hint="eastAsia"/>
          <w:color w:val="auto"/>
          <w:sz w:val="44"/>
          <w:szCs w:val="44"/>
        </w:rPr>
      </w:pPr>
      <w:r>
        <w:rPr>
          <w:rFonts w:hint="eastAsia"/>
          <w:color w:val="auto"/>
          <w:sz w:val="44"/>
          <w:szCs w:val="44"/>
          <w:lang w:eastAsia="zh-CN"/>
        </w:rPr>
        <w:t>图纸</w:t>
      </w:r>
      <w:r>
        <w:rPr>
          <w:rFonts w:hint="eastAsia"/>
          <w:color w:val="auto"/>
          <w:sz w:val="44"/>
          <w:szCs w:val="44"/>
        </w:rPr>
        <w:t>目录</w:t>
      </w:r>
      <w:bookmarkEnd w:id="23"/>
    </w:p>
    <w:p w14:paraId="21E20BA7">
      <w:pPr>
        <w:rPr>
          <w:rFonts w:hint="eastAsia"/>
          <w:color w:val="auto"/>
        </w:rPr>
      </w:pPr>
    </w:p>
    <w:p w14:paraId="21079198">
      <w:pPr>
        <w:rPr>
          <w:rFonts w:hint="eastAsia"/>
          <w:color w:val="auto"/>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5269"/>
        <w:gridCol w:w="2091"/>
        <w:gridCol w:w="1919"/>
      </w:tblGrid>
      <w:tr w14:paraId="719F6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946" w:type="dxa"/>
            <w:vAlign w:val="center"/>
          </w:tcPr>
          <w:p w14:paraId="05C11CF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eastAsia="宋体"/>
                <w:b/>
                <w:bCs/>
              </w:rPr>
            </w:pPr>
            <w:r>
              <w:rPr>
                <w:rFonts w:ascii="宋体" w:hAnsi="宋体" w:eastAsia="宋体"/>
                <w:b/>
                <w:bCs/>
              </w:rPr>
              <w:t>序号</w:t>
            </w:r>
          </w:p>
        </w:tc>
        <w:tc>
          <w:tcPr>
            <w:tcW w:w="5269" w:type="dxa"/>
            <w:vAlign w:val="center"/>
          </w:tcPr>
          <w:p w14:paraId="01C44AB8">
            <w:pPr>
              <w:pStyle w:val="61"/>
              <w:spacing w:before="156"/>
              <w:jc w:val="center"/>
              <w:rPr>
                <w:rFonts w:hint="eastAsia" w:ascii="宋体" w:hAnsi="宋体" w:eastAsia="宋体"/>
                <w:b/>
                <w:bCs/>
              </w:rPr>
            </w:pPr>
            <w:r>
              <w:rPr>
                <w:rFonts w:ascii="宋体" w:hAnsi="宋体" w:eastAsia="宋体"/>
                <w:b/>
                <w:bCs/>
              </w:rPr>
              <w:t>图标名称</w:t>
            </w:r>
          </w:p>
        </w:tc>
        <w:tc>
          <w:tcPr>
            <w:tcW w:w="2091" w:type="dxa"/>
            <w:vAlign w:val="center"/>
          </w:tcPr>
          <w:p w14:paraId="38448DB5">
            <w:pPr>
              <w:pStyle w:val="61"/>
              <w:spacing w:before="156"/>
              <w:jc w:val="center"/>
              <w:rPr>
                <w:rFonts w:hint="eastAsia" w:ascii="宋体" w:hAnsi="宋体" w:eastAsia="宋体"/>
                <w:b/>
                <w:bCs/>
              </w:rPr>
            </w:pPr>
            <w:r>
              <w:rPr>
                <w:rFonts w:ascii="宋体" w:hAnsi="宋体" w:eastAsia="宋体"/>
                <w:b/>
                <w:bCs/>
              </w:rPr>
              <w:t>图表号</w:t>
            </w:r>
          </w:p>
        </w:tc>
        <w:tc>
          <w:tcPr>
            <w:tcW w:w="1919" w:type="dxa"/>
            <w:vAlign w:val="center"/>
          </w:tcPr>
          <w:p w14:paraId="57CC791B">
            <w:pPr>
              <w:pStyle w:val="61"/>
              <w:spacing w:before="156"/>
              <w:jc w:val="center"/>
              <w:rPr>
                <w:rFonts w:hint="eastAsia" w:ascii="宋体" w:hAnsi="宋体" w:eastAsia="宋体"/>
                <w:b/>
                <w:bCs/>
              </w:rPr>
            </w:pPr>
            <w:r>
              <w:rPr>
                <w:rFonts w:hint="eastAsia" w:ascii="宋体" w:hAnsi="宋体" w:eastAsia="宋体"/>
                <w:b/>
                <w:bCs/>
              </w:rPr>
              <w:t>备注</w:t>
            </w:r>
          </w:p>
        </w:tc>
      </w:tr>
      <w:tr w14:paraId="18C62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Align w:val="center"/>
          </w:tcPr>
          <w:p w14:paraId="48156103">
            <w:pPr>
              <w:pStyle w:val="61"/>
              <w:spacing w:before="156"/>
              <w:jc w:val="center"/>
              <w:rPr>
                <w:rFonts w:hint="eastAsia" w:ascii="宋体" w:hAnsi="宋体"/>
                <w:b w:val="0"/>
                <w:bCs/>
              </w:rPr>
            </w:pPr>
            <w:r>
              <w:rPr>
                <w:rFonts w:hint="eastAsia" w:ascii="宋体" w:hAnsi="宋体"/>
                <w:b w:val="0"/>
                <w:bCs/>
              </w:rPr>
              <w:t>1</w:t>
            </w:r>
          </w:p>
        </w:tc>
        <w:tc>
          <w:tcPr>
            <w:tcW w:w="5269" w:type="dxa"/>
          </w:tcPr>
          <w:p w14:paraId="73B7665C">
            <w:pPr>
              <w:pStyle w:val="61"/>
              <w:spacing w:before="156"/>
              <w:jc w:val="center"/>
              <w:rPr>
                <w:rFonts w:hint="eastAsia" w:ascii="宋体" w:hAnsi="宋体" w:eastAsia="宋体"/>
                <w:b w:val="0"/>
                <w:bCs/>
                <w:color w:val="auto"/>
              </w:rPr>
            </w:pPr>
            <w:r>
              <w:rPr>
                <w:rFonts w:hint="eastAsia" w:ascii="宋体" w:hAnsi="宋体" w:eastAsia="宋体"/>
                <w:b w:val="0"/>
                <w:bCs/>
                <w:color w:val="auto"/>
              </w:rPr>
              <w:t>设计说明</w:t>
            </w:r>
          </w:p>
        </w:tc>
        <w:tc>
          <w:tcPr>
            <w:tcW w:w="2091" w:type="dxa"/>
          </w:tcPr>
          <w:p w14:paraId="351A1DC0">
            <w:pPr>
              <w:pStyle w:val="61"/>
              <w:spacing w:before="156"/>
              <w:jc w:val="center"/>
              <w:rPr>
                <w:rFonts w:hint="eastAsia" w:ascii="宋体" w:hAnsi="宋体" w:eastAsia="宋体"/>
                <w:b w:val="0"/>
                <w:bCs/>
                <w:color w:val="auto"/>
                <w:lang w:eastAsia="zh-CN"/>
              </w:rPr>
            </w:pPr>
            <w:r>
              <w:rPr>
                <w:rFonts w:hint="eastAsia" w:ascii="宋体" w:hAnsi="宋体"/>
                <w:b w:val="0"/>
                <w:bCs/>
                <w:color w:val="auto"/>
                <w:lang w:eastAsia="zh-CN"/>
              </w:rPr>
              <w:t>——</w:t>
            </w:r>
          </w:p>
        </w:tc>
        <w:tc>
          <w:tcPr>
            <w:tcW w:w="1919" w:type="dxa"/>
          </w:tcPr>
          <w:p w14:paraId="3D527B70">
            <w:pPr>
              <w:pStyle w:val="61"/>
              <w:spacing w:before="156"/>
              <w:rPr>
                <w:rFonts w:hint="eastAsia" w:ascii="宋体" w:hAnsi="宋体" w:eastAsia="宋体"/>
                <w:b w:val="0"/>
                <w:bCs/>
              </w:rPr>
            </w:pPr>
          </w:p>
        </w:tc>
      </w:tr>
      <w:tr w14:paraId="08C6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Align w:val="center"/>
          </w:tcPr>
          <w:p w14:paraId="1184893C">
            <w:pPr>
              <w:pStyle w:val="61"/>
              <w:spacing w:before="156"/>
              <w:jc w:val="center"/>
              <w:rPr>
                <w:rFonts w:hint="eastAsia" w:ascii="宋体" w:hAnsi="宋体" w:eastAsia="宋体"/>
                <w:b w:val="0"/>
                <w:bCs/>
                <w:lang w:val="en-US" w:eastAsia="zh-CN"/>
              </w:rPr>
            </w:pPr>
            <w:r>
              <w:rPr>
                <w:rFonts w:hint="eastAsia" w:ascii="宋体" w:hAnsi="宋体"/>
                <w:b w:val="0"/>
                <w:bCs/>
                <w:lang w:val="en-US" w:eastAsia="zh-CN"/>
              </w:rPr>
              <w:t>2</w:t>
            </w:r>
          </w:p>
        </w:tc>
        <w:tc>
          <w:tcPr>
            <w:tcW w:w="5269" w:type="dxa"/>
            <w:shd w:val="clear" w:color="auto" w:fill="auto"/>
            <w:vAlign w:val="top"/>
          </w:tcPr>
          <w:p w14:paraId="0E722D9A">
            <w:pPr>
              <w:pStyle w:val="61"/>
              <w:spacing w:before="156"/>
              <w:ind w:left="0" w:leftChars="0" w:firstLine="0" w:firstLineChars="0"/>
              <w:jc w:val="center"/>
              <w:rPr>
                <w:rFonts w:hint="eastAsia" w:ascii="宋体" w:hAnsi="宋体" w:eastAsia="宋体" w:cs="Times New Roman"/>
                <w:b w:val="0"/>
                <w:bCs/>
                <w:color w:val="auto"/>
                <w:kern w:val="2"/>
                <w:sz w:val="24"/>
                <w:highlight w:val="none"/>
                <w:lang w:val="en-US" w:eastAsia="zh-CN" w:bidi="ar-SA"/>
              </w:rPr>
            </w:pPr>
            <w:r>
              <w:rPr>
                <w:rFonts w:hint="eastAsia" w:ascii="宋体" w:hAnsi="宋体" w:cs="Times New Roman"/>
                <w:b w:val="0"/>
                <w:bCs/>
                <w:color w:val="auto"/>
                <w:kern w:val="2"/>
                <w:sz w:val="24"/>
                <w:highlight w:val="none"/>
                <w:lang w:val="en-US" w:eastAsia="zh-CN" w:bidi="ar-SA"/>
              </w:rPr>
              <w:t>工程数量表</w:t>
            </w:r>
          </w:p>
        </w:tc>
        <w:tc>
          <w:tcPr>
            <w:tcW w:w="2091" w:type="dxa"/>
            <w:shd w:val="clear" w:color="auto" w:fill="auto"/>
            <w:vAlign w:val="top"/>
          </w:tcPr>
          <w:p w14:paraId="102F030F">
            <w:pPr>
              <w:pStyle w:val="61"/>
              <w:spacing w:before="156"/>
              <w:ind w:left="0" w:leftChars="0" w:firstLine="0" w:firstLineChars="0"/>
              <w:jc w:val="center"/>
              <w:rPr>
                <w:rFonts w:hint="default" w:ascii="宋体" w:hAnsi="宋体" w:eastAsia="宋体" w:cs="Times New Roman"/>
                <w:b w:val="0"/>
                <w:bCs/>
                <w:color w:val="auto"/>
                <w:kern w:val="2"/>
                <w:sz w:val="24"/>
                <w:highlight w:val="none"/>
                <w:lang w:val="en-US" w:eastAsia="zh-CN" w:bidi="ar-SA"/>
              </w:rPr>
            </w:pPr>
            <w:r>
              <w:rPr>
                <w:rFonts w:hint="eastAsia" w:ascii="宋体" w:hAnsi="宋体"/>
                <w:b w:val="0"/>
                <w:bCs/>
                <w:color w:val="auto"/>
                <w:lang w:val="en-US" w:eastAsia="zh-CN"/>
              </w:rPr>
              <w:t>SG-00</w:t>
            </w:r>
          </w:p>
        </w:tc>
        <w:tc>
          <w:tcPr>
            <w:tcW w:w="1919" w:type="dxa"/>
          </w:tcPr>
          <w:p w14:paraId="4E29169A">
            <w:pPr>
              <w:pStyle w:val="61"/>
              <w:spacing w:before="156"/>
              <w:rPr>
                <w:rFonts w:hint="eastAsia" w:ascii="宋体" w:hAnsi="宋体" w:eastAsia="宋体"/>
                <w:b w:val="0"/>
                <w:bCs/>
              </w:rPr>
            </w:pPr>
          </w:p>
        </w:tc>
      </w:tr>
      <w:tr w14:paraId="49C4C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shd w:val="clear" w:color="auto" w:fill="auto"/>
            <w:vAlign w:val="center"/>
          </w:tcPr>
          <w:p w14:paraId="5F3B8F75">
            <w:pPr>
              <w:pStyle w:val="61"/>
              <w:spacing w:before="156"/>
              <w:ind w:left="0" w:leftChars="0" w:firstLine="0" w:firstLineChars="0"/>
              <w:jc w:val="center"/>
              <w:rPr>
                <w:rFonts w:hint="eastAsia" w:ascii="宋体" w:hAnsi="宋体" w:eastAsia="宋体" w:cs="Times New Roman"/>
                <w:b w:val="0"/>
                <w:bCs/>
                <w:kern w:val="2"/>
                <w:sz w:val="24"/>
                <w:lang w:val="en-US" w:eastAsia="zh-CN" w:bidi="ar-SA"/>
              </w:rPr>
            </w:pPr>
            <w:r>
              <w:rPr>
                <w:rFonts w:hint="eastAsia" w:ascii="宋体" w:hAnsi="宋体"/>
                <w:b w:val="0"/>
                <w:bCs/>
                <w:lang w:val="en-US" w:eastAsia="zh-CN"/>
              </w:rPr>
              <w:t>3</w:t>
            </w:r>
          </w:p>
        </w:tc>
        <w:tc>
          <w:tcPr>
            <w:tcW w:w="5269" w:type="dxa"/>
            <w:shd w:val="clear" w:color="auto" w:fill="auto"/>
            <w:vAlign w:val="top"/>
          </w:tcPr>
          <w:p w14:paraId="5C540A49">
            <w:pPr>
              <w:pStyle w:val="61"/>
              <w:spacing w:before="156"/>
              <w:ind w:left="0" w:leftChars="0" w:firstLine="0" w:firstLineChars="0"/>
              <w:jc w:val="center"/>
              <w:rPr>
                <w:rFonts w:hint="eastAsia" w:ascii="宋体" w:hAnsi="宋体" w:eastAsia="宋体" w:cs="Times New Roman"/>
                <w:b w:val="0"/>
                <w:bCs/>
                <w:color w:val="auto"/>
                <w:kern w:val="2"/>
                <w:sz w:val="24"/>
                <w:highlight w:val="none"/>
                <w:lang w:val="en-US" w:eastAsia="zh-CN" w:bidi="ar-SA"/>
              </w:rPr>
            </w:pPr>
            <w:r>
              <w:rPr>
                <w:rFonts w:hint="eastAsia" w:ascii="宋体" w:hAnsi="宋体" w:eastAsia="宋体" w:cs="Times New Roman"/>
                <w:b w:val="0"/>
                <w:bCs/>
                <w:color w:val="auto"/>
                <w:kern w:val="2"/>
                <w:sz w:val="24"/>
                <w:highlight w:val="none"/>
                <w:lang w:val="en-US" w:eastAsia="zh-CN" w:bidi="ar-SA"/>
              </w:rPr>
              <w:t>拆除总平面图</w:t>
            </w:r>
          </w:p>
        </w:tc>
        <w:tc>
          <w:tcPr>
            <w:tcW w:w="2091" w:type="dxa"/>
            <w:shd w:val="clear" w:color="auto" w:fill="auto"/>
            <w:vAlign w:val="top"/>
          </w:tcPr>
          <w:p w14:paraId="428A8C15">
            <w:pPr>
              <w:pStyle w:val="61"/>
              <w:spacing w:before="156"/>
              <w:ind w:left="0" w:leftChars="0" w:firstLine="0" w:firstLineChars="0"/>
              <w:jc w:val="center"/>
              <w:rPr>
                <w:rFonts w:hint="eastAsia" w:ascii="宋体" w:hAnsi="宋体" w:eastAsia="宋体" w:cs="Times New Roman"/>
                <w:b w:val="0"/>
                <w:bCs/>
                <w:color w:val="auto"/>
                <w:kern w:val="2"/>
                <w:sz w:val="24"/>
                <w:highlight w:val="none"/>
                <w:lang w:val="en-US" w:eastAsia="zh-CN" w:bidi="ar-SA"/>
              </w:rPr>
            </w:pPr>
            <w:r>
              <w:rPr>
                <w:rFonts w:hint="eastAsia" w:ascii="宋体" w:hAnsi="宋体"/>
                <w:b w:val="0"/>
                <w:bCs/>
                <w:color w:val="auto"/>
                <w:lang w:val="en-US" w:eastAsia="zh-CN"/>
              </w:rPr>
              <w:t>SG-01</w:t>
            </w:r>
          </w:p>
        </w:tc>
        <w:tc>
          <w:tcPr>
            <w:tcW w:w="1919" w:type="dxa"/>
          </w:tcPr>
          <w:p w14:paraId="0460EB31">
            <w:pPr>
              <w:pStyle w:val="61"/>
              <w:spacing w:before="156"/>
              <w:rPr>
                <w:rFonts w:hint="eastAsia" w:ascii="宋体" w:hAnsi="宋体" w:eastAsia="宋体"/>
                <w:b w:val="0"/>
                <w:bCs/>
              </w:rPr>
            </w:pPr>
          </w:p>
        </w:tc>
      </w:tr>
      <w:tr w14:paraId="7B01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shd w:val="clear" w:color="auto" w:fill="auto"/>
            <w:vAlign w:val="center"/>
          </w:tcPr>
          <w:p w14:paraId="215CDD3E">
            <w:pPr>
              <w:pStyle w:val="61"/>
              <w:spacing w:before="156"/>
              <w:ind w:left="0" w:leftChars="0" w:firstLine="0" w:firstLineChars="0"/>
              <w:jc w:val="center"/>
              <w:rPr>
                <w:rFonts w:hint="eastAsia" w:ascii="宋体" w:hAnsi="宋体" w:eastAsia="宋体" w:cs="Times New Roman"/>
                <w:b w:val="0"/>
                <w:bCs/>
                <w:kern w:val="2"/>
                <w:sz w:val="24"/>
                <w:lang w:val="en-US" w:eastAsia="zh-CN" w:bidi="ar-SA"/>
              </w:rPr>
            </w:pPr>
            <w:r>
              <w:rPr>
                <w:rFonts w:hint="eastAsia" w:ascii="宋体" w:hAnsi="宋体"/>
                <w:b w:val="0"/>
                <w:bCs/>
                <w:lang w:val="en-US" w:eastAsia="zh-CN"/>
              </w:rPr>
              <w:t>4</w:t>
            </w:r>
          </w:p>
        </w:tc>
        <w:tc>
          <w:tcPr>
            <w:tcW w:w="5269" w:type="dxa"/>
            <w:shd w:val="clear" w:color="auto" w:fill="auto"/>
            <w:vAlign w:val="top"/>
          </w:tcPr>
          <w:p w14:paraId="3E93F3D7">
            <w:pPr>
              <w:pStyle w:val="61"/>
              <w:spacing w:before="156"/>
              <w:ind w:left="0" w:leftChars="0" w:firstLine="0" w:firstLineChars="0"/>
              <w:jc w:val="center"/>
              <w:rPr>
                <w:rFonts w:hint="eastAsia" w:ascii="宋体" w:hAnsi="宋体" w:eastAsia="宋体" w:cs="Times New Roman"/>
                <w:b w:val="0"/>
                <w:bCs/>
                <w:color w:val="auto"/>
                <w:kern w:val="2"/>
                <w:sz w:val="24"/>
                <w:highlight w:val="none"/>
                <w:lang w:val="en-US" w:eastAsia="zh-CN" w:bidi="ar-SA"/>
              </w:rPr>
            </w:pPr>
            <w:r>
              <w:rPr>
                <w:rFonts w:hint="eastAsia" w:ascii="宋体" w:hAnsi="宋体" w:eastAsia="宋体" w:cs="Times New Roman"/>
                <w:b w:val="0"/>
                <w:bCs/>
                <w:color w:val="auto"/>
                <w:kern w:val="2"/>
                <w:sz w:val="24"/>
                <w:highlight w:val="none"/>
                <w:lang w:val="en-US" w:eastAsia="zh-CN" w:bidi="ar-SA"/>
              </w:rPr>
              <w:t>道路改造总平面图</w:t>
            </w:r>
          </w:p>
        </w:tc>
        <w:tc>
          <w:tcPr>
            <w:tcW w:w="2091" w:type="dxa"/>
            <w:shd w:val="clear" w:color="auto" w:fill="auto"/>
            <w:vAlign w:val="top"/>
          </w:tcPr>
          <w:p w14:paraId="759B8C0D">
            <w:pPr>
              <w:pStyle w:val="61"/>
              <w:spacing w:before="156"/>
              <w:ind w:left="0" w:leftChars="0" w:firstLine="0" w:firstLineChars="0"/>
              <w:jc w:val="center"/>
              <w:rPr>
                <w:rFonts w:hint="eastAsia" w:ascii="宋体" w:hAnsi="宋体" w:eastAsia="宋体" w:cs="Times New Roman"/>
                <w:b w:val="0"/>
                <w:bCs/>
                <w:color w:val="auto"/>
                <w:kern w:val="2"/>
                <w:sz w:val="24"/>
                <w:highlight w:val="none"/>
                <w:lang w:val="en-US" w:eastAsia="zh-CN" w:bidi="ar-SA"/>
              </w:rPr>
            </w:pPr>
            <w:r>
              <w:rPr>
                <w:rFonts w:hint="eastAsia" w:ascii="宋体" w:hAnsi="宋体"/>
                <w:b w:val="0"/>
                <w:bCs/>
                <w:color w:val="auto"/>
                <w:lang w:val="en-US" w:eastAsia="zh-CN"/>
              </w:rPr>
              <w:t>SG-02</w:t>
            </w:r>
          </w:p>
        </w:tc>
        <w:tc>
          <w:tcPr>
            <w:tcW w:w="1919" w:type="dxa"/>
          </w:tcPr>
          <w:p w14:paraId="5A586912">
            <w:pPr>
              <w:pStyle w:val="61"/>
              <w:spacing w:before="156"/>
              <w:rPr>
                <w:rFonts w:hint="eastAsia" w:ascii="宋体" w:hAnsi="宋体" w:eastAsia="宋体"/>
                <w:b w:val="0"/>
                <w:bCs/>
              </w:rPr>
            </w:pPr>
          </w:p>
        </w:tc>
      </w:tr>
      <w:tr w14:paraId="2E83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Align w:val="center"/>
          </w:tcPr>
          <w:p w14:paraId="6747F4CC">
            <w:pPr>
              <w:pStyle w:val="61"/>
              <w:spacing w:before="156"/>
              <w:jc w:val="center"/>
              <w:rPr>
                <w:rFonts w:hint="default" w:ascii="宋体" w:hAnsi="宋体" w:eastAsia="宋体"/>
                <w:b w:val="0"/>
                <w:bCs/>
                <w:lang w:val="en-US" w:eastAsia="zh-CN"/>
              </w:rPr>
            </w:pPr>
            <w:r>
              <w:rPr>
                <w:rFonts w:hint="eastAsia" w:ascii="宋体" w:hAnsi="宋体"/>
                <w:b w:val="0"/>
                <w:bCs/>
                <w:lang w:val="en-US" w:eastAsia="zh-CN"/>
              </w:rPr>
              <w:t>5</w:t>
            </w:r>
          </w:p>
        </w:tc>
        <w:tc>
          <w:tcPr>
            <w:tcW w:w="5269" w:type="dxa"/>
          </w:tcPr>
          <w:p w14:paraId="56688543">
            <w:pPr>
              <w:pStyle w:val="61"/>
              <w:spacing w:before="156"/>
              <w:jc w:val="center"/>
              <w:rPr>
                <w:rFonts w:hint="eastAsia" w:ascii="宋体" w:hAnsi="宋体" w:eastAsia="宋体"/>
                <w:b w:val="0"/>
                <w:bCs/>
                <w:color w:val="auto"/>
                <w:lang w:eastAsia="zh-CN"/>
              </w:rPr>
            </w:pPr>
            <w:r>
              <w:rPr>
                <w:rFonts w:hint="eastAsia" w:ascii="宋体" w:hAnsi="宋体" w:eastAsia="宋体"/>
                <w:b w:val="0"/>
                <w:bCs/>
                <w:color w:val="auto"/>
                <w:lang w:eastAsia="zh-CN"/>
              </w:rPr>
              <w:t>放样系统图</w:t>
            </w:r>
          </w:p>
        </w:tc>
        <w:tc>
          <w:tcPr>
            <w:tcW w:w="2091" w:type="dxa"/>
            <w:shd w:val="clear" w:color="auto" w:fill="auto"/>
            <w:vAlign w:val="top"/>
          </w:tcPr>
          <w:p w14:paraId="34F206E7">
            <w:pPr>
              <w:pStyle w:val="61"/>
              <w:spacing w:before="156"/>
              <w:ind w:left="0" w:leftChars="0" w:firstLine="0" w:firstLineChars="0"/>
              <w:jc w:val="center"/>
              <w:rPr>
                <w:rFonts w:hint="default" w:ascii="宋体" w:hAnsi="宋体" w:eastAsia="宋体" w:cs="Times New Roman"/>
                <w:b w:val="0"/>
                <w:bCs/>
                <w:color w:val="auto"/>
                <w:kern w:val="2"/>
                <w:sz w:val="24"/>
                <w:lang w:val="en-US" w:eastAsia="zh-CN" w:bidi="ar-SA"/>
              </w:rPr>
            </w:pPr>
            <w:r>
              <w:rPr>
                <w:rFonts w:hint="default" w:ascii="宋体" w:hAnsi="宋体" w:eastAsia="宋体"/>
                <w:b w:val="0"/>
                <w:bCs/>
                <w:color w:val="auto"/>
                <w:lang w:val="en-US" w:eastAsia="zh-CN"/>
              </w:rPr>
              <w:t>SG-03</w:t>
            </w:r>
          </w:p>
        </w:tc>
        <w:tc>
          <w:tcPr>
            <w:tcW w:w="1919" w:type="dxa"/>
          </w:tcPr>
          <w:p w14:paraId="64EC3E95">
            <w:pPr>
              <w:pStyle w:val="61"/>
              <w:spacing w:before="156"/>
              <w:rPr>
                <w:rFonts w:hint="eastAsia" w:ascii="宋体" w:hAnsi="宋体" w:eastAsia="宋体"/>
                <w:b w:val="0"/>
                <w:bCs/>
              </w:rPr>
            </w:pPr>
          </w:p>
        </w:tc>
      </w:tr>
      <w:tr w14:paraId="3BF3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Align w:val="center"/>
          </w:tcPr>
          <w:p w14:paraId="1893F622">
            <w:pPr>
              <w:pStyle w:val="61"/>
              <w:spacing w:before="156"/>
              <w:jc w:val="center"/>
              <w:rPr>
                <w:rFonts w:hint="default" w:ascii="宋体" w:hAnsi="宋体" w:eastAsia="宋体"/>
                <w:b w:val="0"/>
                <w:bCs/>
                <w:lang w:val="en-US" w:eastAsia="zh-CN"/>
              </w:rPr>
            </w:pPr>
            <w:r>
              <w:rPr>
                <w:rFonts w:hint="eastAsia" w:ascii="宋体" w:hAnsi="宋体"/>
                <w:b w:val="0"/>
                <w:bCs/>
                <w:lang w:val="en-US" w:eastAsia="zh-CN"/>
              </w:rPr>
              <w:t>6</w:t>
            </w:r>
          </w:p>
        </w:tc>
        <w:tc>
          <w:tcPr>
            <w:tcW w:w="5269" w:type="dxa"/>
          </w:tcPr>
          <w:p w14:paraId="65FAB2B3">
            <w:pPr>
              <w:pStyle w:val="61"/>
              <w:spacing w:before="156"/>
              <w:jc w:val="center"/>
              <w:rPr>
                <w:rFonts w:hint="eastAsia" w:ascii="宋体" w:hAnsi="宋体" w:eastAsia="宋体"/>
                <w:b w:val="0"/>
                <w:bCs/>
                <w:color w:val="auto"/>
                <w:lang w:eastAsia="zh-CN"/>
              </w:rPr>
            </w:pPr>
            <w:r>
              <w:rPr>
                <w:rFonts w:hint="eastAsia" w:ascii="宋体" w:hAnsi="宋体" w:eastAsia="宋体"/>
                <w:b w:val="0"/>
                <w:bCs/>
                <w:color w:val="auto"/>
                <w:lang w:eastAsia="zh-CN"/>
              </w:rPr>
              <w:t>屋顶修缮及设施布置平面图</w:t>
            </w:r>
          </w:p>
        </w:tc>
        <w:tc>
          <w:tcPr>
            <w:tcW w:w="2091" w:type="dxa"/>
            <w:shd w:val="clear" w:color="auto" w:fill="auto"/>
            <w:vAlign w:val="top"/>
          </w:tcPr>
          <w:p w14:paraId="48558CFA">
            <w:pPr>
              <w:pStyle w:val="61"/>
              <w:spacing w:before="156"/>
              <w:ind w:left="0" w:leftChars="0" w:firstLine="0" w:firstLineChars="0"/>
              <w:jc w:val="center"/>
              <w:rPr>
                <w:rFonts w:hint="default" w:ascii="宋体" w:hAnsi="宋体" w:eastAsia="宋体" w:cs="Times New Roman"/>
                <w:b w:val="0"/>
                <w:bCs/>
                <w:color w:val="auto"/>
                <w:kern w:val="2"/>
                <w:sz w:val="24"/>
                <w:lang w:val="en-US" w:eastAsia="zh-CN" w:bidi="ar-SA"/>
              </w:rPr>
            </w:pPr>
            <w:r>
              <w:rPr>
                <w:rFonts w:hint="default" w:ascii="宋体" w:hAnsi="宋体" w:eastAsia="宋体"/>
                <w:b w:val="0"/>
                <w:bCs/>
                <w:color w:val="auto"/>
                <w:lang w:val="en-US" w:eastAsia="zh-CN"/>
              </w:rPr>
              <w:t>SG-0</w:t>
            </w:r>
            <w:r>
              <w:rPr>
                <w:rFonts w:hint="eastAsia" w:ascii="宋体" w:hAnsi="宋体"/>
                <w:b w:val="0"/>
                <w:bCs/>
                <w:color w:val="auto"/>
                <w:lang w:val="en-US" w:eastAsia="zh-CN"/>
              </w:rPr>
              <w:t>4</w:t>
            </w:r>
          </w:p>
        </w:tc>
        <w:tc>
          <w:tcPr>
            <w:tcW w:w="1919" w:type="dxa"/>
          </w:tcPr>
          <w:p w14:paraId="559DB582">
            <w:pPr>
              <w:pStyle w:val="61"/>
              <w:spacing w:before="156"/>
              <w:rPr>
                <w:rFonts w:hint="eastAsia" w:ascii="宋体" w:hAnsi="宋体" w:eastAsia="宋体"/>
                <w:b w:val="0"/>
                <w:bCs/>
              </w:rPr>
            </w:pPr>
          </w:p>
        </w:tc>
      </w:tr>
      <w:tr w14:paraId="5DDD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shd w:val="clear" w:color="auto" w:fill="auto"/>
            <w:vAlign w:val="center"/>
          </w:tcPr>
          <w:p w14:paraId="516BE354">
            <w:pPr>
              <w:pStyle w:val="61"/>
              <w:spacing w:before="156"/>
              <w:ind w:left="0" w:leftChars="0" w:firstLine="0" w:firstLineChars="0"/>
              <w:jc w:val="center"/>
              <w:rPr>
                <w:rFonts w:hint="default" w:ascii="宋体" w:hAnsi="宋体" w:eastAsia="宋体" w:cs="Times New Roman"/>
                <w:b w:val="0"/>
                <w:bCs/>
                <w:kern w:val="2"/>
                <w:sz w:val="24"/>
                <w:highlight w:val="none"/>
                <w:lang w:val="en-US" w:eastAsia="zh-CN" w:bidi="ar-SA"/>
              </w:rPr>
            </w:pPr>
            <w:r>
              <w:rPr>
                <w:rFonts w:hint="eastAsia" w:ascii="宋体" w:hAnsi="宋体" w:cs="Times New Roman"/>
                <w:b w:val="0"/>
                <w:bCs/>
                <w:kern w:val="2"/>
                <w:sz w:val="24"/>
                <w:highlight w:val="none"/>
                <w:lang w:val="en-US" w:eastAsia="zh-CN" w:bidi="ar-SA"/>
              </w:rPr>
              <w:t>7</w:t>
            </w:r>
          </w:p>
        </w:tc>
        <w:tc>
          <w:tcPr>
            <w:tcW w:w="5269" w:type="dxa"/>
            <w:shd w:val="clear" w:color="auto" w:fill="auto"/>
            <w:vAlign w:val="top"/>
          </w:tcPr>
          <w:p w14:paraId="0F74A61B">
            <w:pPr>
              <w:pStyle w:val="61"/>
              <w:spacing w:before="156"/>
              <w:ind w:left="0" w:leftChars="0" w:firstLine="0" w:firstLineChars="0"/>
              <w:jc w:val="center"/>
              <w:rPr>
                <w:rFonts w:hint="eastAsia" w:ascii="宋体" w:hAnsi="宋体" w:eastAsia="宋体" w:cs="Times New Roman"/>
                <w:b w:val="0"/>
                <w:bCs/>
                <w:color w:val="auto"/>
                <w:kern w:val="2"/>
                <w:sz w:val="24"/>
                <w:highlight w:val="none"/>
                <w:lang w:val="en-US" w:eastAsia="zh-CN" w:bidi="ar-SA"/>
              </w:rPr>
            </w:pPr>
            <w:r>
              <w:rPr>
                <w:rFonts w:hint="eastAsia" w:ascii="宋体" w:hAnsi="宋体" w:eastAsia="宋体" w:cs="Times New Roman"/>
                <w:b w:val="0"/>
                <w:bCs/>
                <w:color w:val="auto"/>
                <w:kern w:val="2"/>
                <w:sz w:val="24"/>
                <w:highlight w:val="none"/>
                <w:lang w:val="en-US" w:eastAsia="zh-CN" w:bidi="ar-SA"/>
              </w:rPr>
              <w:t>绿化配置图</w:t>
            </w:r>
          </w:p>
        </w:tc>
        <w:tc>
          <w:tcPr>
            <w:tcW w:w="2091" w:type="dxa"/>
            <w:shd w:val="clear" w:color="auto" w:fill="auto"/>
            <w:vAlign w:val="top"/>
          </w:tcPr>
          <w:p w14:paraId="1A510652">
            <w:pPr>
              <w:pStyle w:val="61"/>
              <w:spacing w:before="156"/>
              <w:ind w:left="0" w:leftChars="0" w:firstLine="0" w:firstLineChars="0"/>
              <w:jc w:val="center"/>
              <w:rPr>
                <w:rFonts w:hint="default" w:ascii="宋体" w:hAnsi="宋体" w:eastAsia="宋体" w:cs="Times New Roman"/>
                <w:b w:val="0"/>
                <w:bCs/>
                <w:color w:val="auto"/>
                <w:kern w:val="2"/>
                <w:sz w:val="24"/>
                <w:highlight w:val="none"/>
                <w:lang w:val="en-US" w:eastAsia="zh-CN" w:bidi="ar-SA"/>
              </w:rPr>
            </w:pPr>
            <w:r>
              <w:rPr>
                <w:rFonts w:hint="default" w:ascii="宋体" w:hAnsi="宋体" w:eastAsia="宋体"/>
                <w:b w:val="0"/>
                <w:bCs/>
                <w:color w:val="auto"/>
                <w:lang w:val="en-US" w:eastAsia="zh-CN"/>
              </w:rPr>
              <w:t>SG-0</w:t>
            </w:r>
            <w:r>
              <w:rPr>
                <w:rFonts w:hint="eastAsia" w:ascii="宋体" w:hAnsi="宋体"/>
                <w:b w:val="0"/>
                <w:bCs/>
                <w:color w:val="auto"/>
                <w:lang w:val="en-US" w:eastAsia="zh-CN"/>
              </w:rPr>
              <w:t>5</w:t>
            </w:r>
          </w:p>
        </w:tc>
        <w:tc>
          <w:tcPr>
            <w:tcW w:w="1919" w:type="dxa"/>
          </w:tcPr>
          <w:p w14:paraId="2493A10C">
            <w:pPr>
              <w:pStyle w:val="61"/>
              <w:spacing w:before="156"/>
              <w:rPr>
                <w:rFonts w:hint="eastAsia" w:ascii="宋体" w:hAnsi="宋体" w:eastAsia="宋体"/>
                <w:b w:val="0"/>
                <w:bCs/>
              </w:rPr>
            </w:pPr>
          </w:p>
        </w:tc>
      </w:tr>
      <w:tr w14:paraId="343B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shd w:val="clear" w:color="auto" w:fill="auto"/>
            <w:vAlign w:val="center"/>
          </w:tcPr>
          <w:p w14:paraId="1DF062B8">
            <w:pPr>
              <w:pStyle w:val="61"/>
              <w:spacing w:before="156"/>
              <w:ind w:left="0" w:leftChars="0" w:firstLine="0" w:firstLineChars="0"/>
              <w:jc w:val="center"/>
              <w:rPr>
                <w:rFonts w:hint="default" w:ascii="宋体" w:hAnsi="宋体" w:cs="Times New Roman"/>
                <w:b w:val="0"/>
                <w:bCs/>
                <w:kern w:val="2"/>
                <w:sz w:val="24"/>
                <w:highlight w:val="none"/>
                <w:lang w:val="en-US" w:eastAsia="zh-CN" w:bidi="ar-SA"/>
              </w:rPr>
            </w:pPr>
            <w:r>
              <w:rPr>
                <w:rFonts w:hint="eastAsia" w:ascii="宋体" w:hAnsi="宋体" w:cs="Times New Roman"/>
                <w:b w:val="0"/>
                <w:bCs/>
                <w:kern w:val="2"/>
                <w:sz w:val="24"/>
                <w:highlight w:val="none"/>
                <w:lang w:val="en-US" w:eastAsia="zh-CN" w:bidi="ar-SA"/>
              </w:rPr>
              <w:t>8</w:t>
            </w:r>
          </w:p>
        </w:tc>
        <w:tc>
          <w:tcPr>
            <w:tcW w:w="5269" w:type="dxa"/>
            <w:shd w:val="clear" w:color="auto" w:fill="auto"/>
            <w:vAlign w:val="top"/>
          </w:tcPr>
          <w:p w14:paraId="25C06E6D">
            <w:pPr>
              <w:pStyle w:val="61"/>
              <w:spacing w:before="156"/>
              <w:ind w:left="0" w:leftChars="0" w:firstLine="0" w:firstLineChars="0"/>
              <w:jc w:val="center"/>
              <w:rPr>
                <w:rFonts w:hint="default" w:ascii="宋体" w:hAnsi="宋体" w:eastAsia="宋体" w:cs="Times New Roman"/>
                <w:b w:val="0"/>
                <w:bCs/>
                <w:color w:val="auto"/>
                <w:kern w:val="2"/>
                <w:sz w:val="24"/>
                <w:highlight w:val="none"/>
                <w:lang w:val="en-US" w:eastAsia="zh-CN" w:bidi="ar-SA"/>
              </w:rPr>
            </w:pPr>
            <w:r>
              <w:rPr>
                <w:rFonts w:hint="eastAsia" w:ascii="宋体" w:hAnsi="宋体" w:cs="Times New Roman"/>
                <w:b w:val="0"/>
                <w:bCs/>
                <w:color w:val="auto"/>
                <w:kern w:val="2"/>
                <w:sz w:val="24"/>
                <w:highlight w:val="none"/>
                <w:lang w:val="en-US" w:eastAsia="zh-CN" w:bidi="ar-SA"/>
              </w:rPr>
              <w:t>场地大样图</w:t>
            </w:r>
          </w:p>
        </w:tc>
        <w:tc>
          <w:tcPr>
            <w:tcW w:w="2091" w:type="dxa"/>
            <w:shd w:val="clear" w:color="auto" w:fill="auto"/>
            <w:vAlign w:val="top"/>
          </w:tcPr>
          <w:p w14:paraId="4840F9DC">
            <w:pPr>
              <w:pStyle w:val="61"/>
              <w:spacing w:before="156"/>
              <w:ind w:left="0" w:leftChars="0" w:firstLine="0" w:firstLineChars="0"/>
              <w:jc w:val="center"/>
              <w:rPr>
                <w:rFonts w:hint="default" w:ascii="宋体" w:hAnsi="宋体" w:eastAsia="宋体" w:cs="Times New Roman"/>
                <w:b w:val="0"/>
                <w:bCs/>
                <w:color w:val="auto"/>
                <w:kern w:val="2"/>
                <w:sz w:val="24"/>
                <w:lang w:val="en-US" w:eastAsia="zh-CN" w:bidi="ar-SA"/>
              </w:rPr>
            </w:pPr>
            <w:r>
              <w:rPr>
                <w:rFonts w:hint="default" w:ascii="宋体" w:hAnsi="宋体" w:eastAsia="宋体"/>
                <w:b w:val="0"/>
                <w:bCs/>
                <w:color w:val="auto"/>
                <w:lang w:val="en-US" w:eastAsia="zh-CN"/>
              </w:rPr>
              <w:t>SG-</w:t>
            </w:r>
            <w:r>
              <w:rPr>
                <w:rFonts w:hint="eastAsia" w:ascii="宋体" w:hAnsi="宋体"/>
                <w:b w:val="0"/>
                <w:bCs/>
                <w:color w:val="auto"/>
                <w:lang w:val="en-US" w:eastAsia="zh-CN"/>
              </w:rPr>
              <w:t>06</w:t>
            </w:r>
          </w:p>
        </w:tc>
        <w:tc>
          <w:tcPr>
            <w:tcW w:w="1919" w:type="dxa"/>
          </w:tcPr>
          <w:p w14:paraId="4EC13645">
            <w:pPr>
              <w:pStyle w:val="61"/>
              <w:spacing w:before="156"/>
              <w:rPr>
                <w:rFonts w:hint="eastAsia" w:ascii="宋体" w:hAnsi="宋体" w:eastAsia="宋体"/>
                <w:b w:val="0"/>
                <w:bCs/>
              </w:rPr>
            </w:pPr>
          </w:p>
        </w:tc>
      </w:tr>
      <w:tr w14:paraId="26203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shd w:val="clear" w:color="auto" w:fill="auto"/>
            <w:vAlign w:val="center"/>
          </w:tcPr>
          <w:p w14:paraId="1C4A7796">
            <w:pPr>
              <w:pStyle w:val="61"/>
              <w:spacing w:before="156"/>
              <w:ind w:left="0" w:leftChars="0" w:firstLine="0" w:firstLineChars="0"/>
              <w:jc w:val="center"/>
              <w:rPr>
                <w:rFonts w:hint="default" w:ascii="宋体" w:hAnsi="宋体" w:cs="Times New Roman"/>
                <w:b w:val="0"/>
                <w:bCs/>
                <w:kern w:val="2"/>
                <w:sz w:val="24"/>
                <w:highlight w:val="none"/>
                <w:lang w:val="en-US" w:eastAsia="zh-CN" w:bidi="ar-SA"/>
              </w:rPr>
            </w:pPr>
            <w:r>
              <w:rPr>
                <w:rFonts w:hint="eastAsia" w:ascii="宋体" w:hAnsi="宋体" w:cs="Times New Roman"/>
                <w:b w:val="0"/>
                <w:bCs/>
                <w:kern w:val="2"/>
                <w:sz w:val="24"/>
                <w:highlight w:val="none"/>
                <w:lang w:val="en-US" w:eastAsia="zh-CN" w:bidi="ar-SA"/>
              </w:rPr>
              <w:t>9</w:t>
            </w:r>
          </w:p>
        </w:tc>
        <w:tc>
          <w:tcPr>
            <w:tcW w:w="5269" w:type="dxa"/>
            <w:shd w:val="clear" w:color="auto" w:fill="auto"/>
            <w:vAlign w:val="top"/>
          </w:tcPr>
          <w:p w14:paraId="42208482">
            <w:pPr>
              <w:pStyle w:val="61"/>
              <w:spacing w:before="156"/>
              <w:ind w:left="0" w:leftChars="0" w:firstLine="0" w:firstLineChars="0"/>
              <w:jc w:val="center"/>
              <w:rPr>
                <w:rFonts w:hint="eastAsia" w:ascii="宋体" w:hAnsi="宋体" w:eastAsia="宋体" w:cs="Times New Roman"/>
                <w:b w:val="0"/>
                <w:bCs/>
                <w:color w:val="auto"/>
                <w:kern w:val="2"/>
                <w:sz w:val="24"/>
                <w:highlight w:val="none"/>
                <w:lang w:val="en-US" w:eastAsia="zh-CN" w:bidi="ar-SA"/>
              </w:rPr>
            </w:pPr>
            <w:r>
              <w:rPr>
                <w:rFonts w:hint="eastAsia" w:ascii="宋体" w:hAnsi="宋体" w:cs="Times New Roman"/>
                <w:b w:val="0"/>
                <w:bCs/>
                <w:color w:val="auto"/>
                <w:kern w:val="2"/>
                <w:sz w:val="24"/>
                <w:highlight w:val="none"/>
                <w:lang w:val="en-US" w:eastAsia="zh-CN" w:bidi="ar-SA"/>
              </w:rPr>
              <w:t>非机动车充电棚大样图</w:t>
            </w:r>
          </w:p>
        </w:tc>
        <w:tc>
          <w:tcPr>
            <w:tcW w:w="2091" w:type="dxa"/>
            <w:shd w:val="clear" w:color="auto" w:fill="auto"/>
            <w:vAlign w:val="top"/>
          </w:tcPr>
          <w:p w14:paraId="2685A8BA">
            <w:pPr>
              <w:pStyle w:val="61"/>
              <w:spacing w:before="156"/>
              <w:ind w:left="0" w:leftChars="0" w:firstLine="0" w:firstLineChars="0"/>
              <w:jc w:val="center"/>
              <w:rPr>
                <w:rFonts w:hint="default" w:ascii="宋体" w:hAnsi="宋体" w:eastAsia="宋体" w:cs="Times New Roman"/>
                <w:b w:val="0"/>
                <w:bCs/>
                <w:color w:val="auto"/>
                <w:kern w:val="2"/>
                <w:sz w:val="24"/>
                <w:lang w:val="en-US" w:eastAsia="zh-CN" w:bidi="ar-SA"/>
              </w:rPr>
            </w:pPr>
            <w:r>
              <w:rPr>
                <w:rFonts w:hint="default" w:ascii="宋体" w:hAnsi="宋体" w:eastAsia="宋体"/>
                <w:b w:val="0"/>
                <w:bCs/>
                <w:color w:val="auto"/>
                <w:lang w:val="en-US" w:eastAsia="zh-CN"/>
              </w:rPr>
              <w:t>SG-0</w:t>
            </w:r>
            <w:r>
              <w:rPr>
                <w:rFonts w:hint="eastAsia" w:ascii="宋体" w:hAnsi="宋体"/>
                <w:b w:val="0"/>
                <w:bCs/>
                <w:color w:val="auto"/>
                <w:lang w:val="en-US" w:eastAsia="zh-CN"/>
              </w:rPr>
              <w:t>7</w:t>
            </w:r>
          </w:p>
        </w:tc>
        <w:tc>
          <w:tcPr>
            <w:tcW w:w="1919" w:type="dxa"/>
          </w:tcPr>
          <w:p w14:paraId="673F0108">
            <w:pPr>
              <w:pStyle w:val="61"/>
              <w:spacing w:before="156"/>
              <w:rPr>
                <w:rFonts w:hint="eastAsia" w:ascii="宋体" w:hAnsi="宋体" w:eastAsia="宋体"/>
                <w:b w:val="0"/>
                <w:bCs/>
              </w:rPr>
            </w:pPr>
          </w:p>
        </w:tc>
      </w:tr>
    </w:tbl>
    <w:p w14:paraId="21E3862B">
      <w:pPr>
        <w:pStyle w:val="61"/>
        <w:spacing w:before="156"/>
        <w:jc w:val="center"/>
        <w:rPr>
          <w:rFonts w:hint="eastAsia" w:ascii="宋体" w:hAnsi="宋体"/>
          <w:b w:val="0"/>
          <w:bCs/>
          <w:highlight w:val="yellow"/>
          <w:lang w:val="en-US" w:eastAsia="zh-CN"/>
        </w:rPr>
      </w:pPr>
    </w:p>
    <w:p w14:paraId="7599A6DB">
      <w:pPr>
        <w:pStyle w:val="71"/>
        <w:ind w:left="480"/>
        <w:rPr>
          <w:rFonts w:hint="eastAsia"/>
          <w:highlight w:val="yellow"/>
        </w:rPr>
      </w:pPr>
    </w:p>
    <w:p w14:paraId="4E5A1292">
      <w:pPr>
        <w:pStyle w:val="71"/>
        <w:ind w:left="480"/>
        <w:rPr>
          <w:rFonts w:hint="eastAsia"/>
          <w:highlight w:val="yellow"/>
        </w:rPr>
      </w:pPr>
    </w:p>
    <w:p w14:paraId="0ED6032F">
      <w:pPr>
        <w:pStyle w:val="71"/>
        <w:ind w:left="480"/>
        <w:rPr>
          <w:rFonts w:hint="eastAsia"/>
          <w:highlight w:val="yellow"/>
        </w:rPr>
      </w:pPr>
    </w:p>
    <w:p w14:paraId="16BF215A">
      <w:pPr>
        <w:pStyle w:val="71"/>
        <w:ind w:left="480"/>
        <w:rPr>
          <w:rFonts w:hint="eastAsia"/>
          <w:highlight w:val="yellow"/>
        </w:rPr>
      </w:pPr>
    </w:p>
    <w:p w14:paraId="3BC41DF6">
      <w:pPr>
        <w:pStyle w:val="71"/>
        <w:rPr>
          <w:color w:val="FF0000"/>
          <w:highlight w:val="yellow"/>
        </w:rPr>
      </w:pPr>
    </w:p>
    <w:p w14:paraId="48299C4A">
      <w:pPr>
        <w:pStyle w:val="71"/>
        <w:rPr>
          <w:color w:val="FF0000"/>
          <w:highlight w:val="yellow"/>
        </w:rPr>
      </w:pPr>
    </w:p>
    <w:p w14:paraId="03DAD37A">
      <w:pPr>
        <w:pStyle w:val="71"/>
        <w:rPr>
          <w:color w:val="FF0000"/>
          <w:highlight w:val="yellow"/>
        </w:rPr>
      </w:pPr>
    </w:p>
    <w:p w14:paraId="511AF9E9">
      <w:pPr>
        <w:pStyle w:val="71"/>
        <w:rPr>
          <w:color w:val="FF0000"/>
          <w:highlight w:val="yellow"/>
        </w:rPr>
      </w:pPr>
    </w:p>
    <w:p w14:paraId="024421D3">
      <w:pPr>
        <w:pStyle w:val="71"/>
        <w:ind w:left="0" w:leftChars="0" w:firstLine="0" w:firstLineChars="0"/>
        <w:rPr>
          <w:color w:val="FF0000"/>
          <w:highlight w:val="yellow"/>
        </w:rPr>
      </w:pPr>
    </w:p>
    <w:sectPr>
      <w:endnotePr>
        <w:numFmt w:val="decimal"/>
      </w:endnotePr>
      <w:type w:val="continuous"/>
      <w:pgSz w:w="23811" w:h="16838" w:orient="landscape"/>
      <w:pgMar w:top="1418" w:right="1134" w:bottom="1418" w:left="1701" w:header="851" w:footer="992" w:gutter="0"/>
      <w:pgNumType w:fmt="decimal"/>
      <w:cols w:space="425"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华文中宋">
    <w:panose1 w:val="02010600040101010101"/>
    <w:charset w:val="86"/>
    <w:family w:val="auto"/>
    <w:pitch w:val="default"/>
    <w:sig w:usb0="00000287" w:usb1="080F0000" w:usb2="00000000" w:usb3="00000000" w:csb0="0004009F" w:csb1="DFD70000"/>
  </w:font>
  <w:font w:name="Segoe UI Symbol">
    <w:panose1 w:val="020B0502040204020203"/>
    <w:charset w:val="00"/>
    <w:family w:val="swiss"/>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2CDD4">
    <w:pPr>
      <w:pStyle w:val="26"/>
      <w:jc w:val="center"/>
    </w:pPr>
    <w:r>
      <w:fldChar w:fldCharType="begin"/>
    </w:r>
    <w:r>
      <w:instrText xml:space="preserve"> PAGE   \* MERGEFORMAT </w:instrText>
    </w:r>
    <w:r>
      <w:fldChar w:fldCharType="separate"/>
    </w:r>
    <w:r>
      <w:t>- 36 -</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7236B">
    <w:pPr>
      <w:pStyle w:val="26"/>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3D9FB">
                          <w:pPr>
                            <w:pStyle w:val="26"/>
                            <w:jc w:val="center"/>
                          </w:pPr>
                          <w:r>
                            <w:fldChar w:fldCharType="begin"/>
                          </w:r>
                          <w:r>
                            <w:instrText xml:space="preserve"> PAGE   \* MERGEFORMAT </w:instrText>
                          </w:r>
                          <w:r>
                            <w:fldChar w:fldCharType="separate"/>
                          </w:r>
                          <w:r>
                            <w:t>- 36 -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523D9FB">
                    <w:pPr>
                      <w:pStyle w:val="26"/>
                      <w:jc w:val="center"/>
                    </w:pPr>
                    <w:r>
                      <w:fldChar w:fldCharType="begin"/>
                    </w:r>
                    <w:r>
                      <w:instrText xml:space="preserve"> PAGE   \* MERGEFORMAT </w:instrText>
                    </w:r>
                    <w:r>
                      <w:fldChar w:fldCharType="separate"/>
                    </w:r>
                    <w:r>
                      <w:t>- 36 -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7D6B5">
    <w:pPr>
      <w:ind w:left="962" w:firstLine="0" w:firstLineChars="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F729B">
    <w:pPr>
      <w:pStyle w:val="2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77F04">
    <w:pPr>
      <w:pStyle w:val="27"/>
      <w:jc w:val="left"/>
      <w:rPr>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7BB0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C1675D"/>
    <w:multiLevelType w:val="singleLevel"/>
    <w:tmpl w:val="93C1675D"/>
    <w:lvl w:ilvl="0" w:tentative="0">
      <w:start w:val="1"/>
      <w:numFmt w:val="decimalEnclosedCircleChinese"/>
      <w:suff w:val="nothing"/>
      <w:lvlText w:val="%1　"/>
      <w:lvlJc w:val="left"/>
      <w:pPr>
        <w:ind w:left="0" w:firstLine="400"/>
      </w:pPr>
      <w:rPr>
        <w:rFonts w:hint="eastAsia"/>
      </w:rPr>
    </w:lvl>
  </w:abstractNum>
  <w:abstractNum w:abstractNumId="1">
    <w:nsid w:val="180A60FE"/>
    <w:multiLevelType w:val="multilevel"/>
    <w:tmpl w:val="180A60FE"/>
    <w:lvl w:ilvl="0" w:tentative="0">
      <w:start w:val="1"/>
      <w:numFmt w:val="decimal"/>
      <w:pStyle w:val="2"/>
      <w:suff w:val="nothing"/>
      <w:lvlText w:val="%1"/>
      <w:lvlJc w:val="left"/>
      <w:pPr>
        <w:ind w:left="0" w:firstLine="0"/>
      </w:pPr>
      <w:rPr>
        <w:rFonts w:hint="eastAsia"/>
      </w:rPr>
    </w:lvl>
    <w:lvl w:ilvl="1" w:tentative="0">
      <w:start w:val="1"/>
      <w:numFmt w:val="decimal"/>
      <w:pStyle w:val="3"/>
      <w:suff w:val="nothing"/>
      <w:lvlText w:val="%1.%2"/>
      <w:lvlJc w:val="left"/>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2" w:tentative="0">
      <w:start w:val="1"/>
      <w:numFmt w:val="decimal"/>
      <w:pStyle w:val="4"/>
      <w:suff w:val="nothing"/>
      <w:lvlText w:val="%1.%2.%3"/>
      <w:lvlJc w:val="left"/>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tentative="0">
      <w:start w:val="1"/>
      <w:numFmt w:val="decimal"/>
      <w:pStyle w:val="5"/>
      <w:isLgl/>
      <w:suff w:val="nothing"/>
      <w:lvlText w:val="%1.%2.%3.%4"/>
      <w:lvlJc w:val="left"/>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2C69022E"/>
    <w:multiLevelType w:val="multilevel"/>
    <w:tmpl w:val="2C69022E"/>
    <w:lvl w:ilvl="0" w:tentative="0">
      <w:start w:val="1"/>
      <w:numFmt w:val="decimal"/>
      <w:pStyle w:val="38"/>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33215FC"/>
    <w:multiLevelType w:val="multilevel"/>
    <w:tmpl w:val="433215FC"/>
    <w:lvl w:ilvl="0" w:tentative="0">
      <w:start w:val="1"/>
      <w:numFmt w:val="bullet"/>
      <w:pStyle w:val="191"/>
      <w:lvlText w:val=""/>
      <w:lvlJc w:val="left"/>
      <w:pPr>
        <w:ind w:left="980" w:hanging="420"/>
      </w:pPr>
    </w:lvl>
    <w:lvl w:ilvl="1" w:tentative="0">
      <w:start w:val="1"/>
      <w:numFmt w:val="bullet"/>
      <w:lvlText w:val=""/>
      <w:lvlJc w:val="left"/>
      <w:pPr>
        <w:ind w:left="1400" w:hanging="420"/>
      </w:pPr>
    </w:lvl>
    <w:lvl w:ilvl="2" w:tentative="0">
      <w:start w:val="1"/>
      <w:numFmt w:val="bullet"/>
      <w:lvlText w:val=""/>
      <w:lvlJc w:val="left"/>
      <w:pPr>
        <w:ind w:left="1820" w:hanging="420"/>
      </w:pPr>
    </w:lvl>
    <w:lvl w:ilvl="3" w:tentative="0">
      <w:start w:val="1"/>
      <w:numFmt w:val="bullet"/>
      <w:lvlText w:val=""/>
      <w:lvlJc w:val="left"/>
      <w:pPr>
        <w:ind w:left="2240" w:hanging="420"/>
      </w:pPr>
    </w:lvl>
    <w:lvl w:ilvl="4" w:tentative="0">
      <w:start w:val="1"/>
      <w:numFmt w:val="bullet"/>
      <w:lvlText w:val=""/>
      <w:lvlJc w:val="left"/>
      <w:pPr>
        <w:ind w:left="2660" w:hanging="420"/>
      </w:pPr>
    </w:lvl>
    <w:lvl w:ilvl="5" w:tentative="0">
      <w:start w:val="1"/>
      <w:numFmt w:val="bullet"/>
      <w:lvlText w:val=""/>
      <w:lvlJc w:val="left"/>
      <w:pPr>
        <w:ind w:left="3080" w:hanging="420"/>
      </w:pPr>
    </w:lvl>
    <w:lvl w:ilvl="6" w:tentative="0">
      <w:start w:val="1"/>
      <w:numFmt w:val="bullet"/>
      <w:lvlText w:val=""/>
      <w:lvlJc w:val="left"/>
      <w:pPr>
        <w:ind w:left="3500" w:hanging="420"/>
      </w:pPr>
    </w:lvl>
    <w:lvl w:ilvl="7" w:tentative="0">
      <w:start w:val="1"/>
      <w:numFmt w:val="bullet"/>
      <w:lvlText w:val=""/>
      <w:lvlJc w:val="left"/>
      <w:pPr>
        <w:ind w:left="3920" w:hanging="420"/>
      </w:pPr>
    </w:lvl>
    <w:lvl w:ilvl="8" w:tentative="0">
      <w:start w:val="1"/>
      <w:numFmt w:val="bullet"/>
      <w:lvlText w:val=""/>
      <w:lvlJc w:val="left"/>
      <w:pPr>
        <w:ind w:left="4340" w:hanging="420"/>
      </w:pPr>
    </w:lvl>
  </w:abstractNum>
  <w:abstractNum w:abstractNumId="4">
    <w:nsid w:val="5C817DA9"/>
    <w:multiLevelType w:val="multilevel"/>
    <w:tmpl w:val="5C817DA9"/>
    <w:lvl w:ilvl="0" w:tentative="0">
      <w:start w:val="1"/>
      <w:numFmt w:val="decimalEnclosedCircle"/>
      <w:pStyle w:val="88"/>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6145118E"/>
    <w:multiLevelType w:val="singleLevel"/>
    <w:tmpl w:val="6145118E"/>
    <w:lvl w:ilvl="0" w:tentative="0">
      <w:start w:val="1"/>
      <w:numFmt w:val="decimal"/>
      <w:lvlText w:val="%1."/>
      <w:lvlJc w:val="left"/>
      <w:pPr>
        <w:tabs>
          <w:tab w:val="left" w:pos="312"/>
        </w:tabs>
      </w:pPr>
    </w:lvl>
  </w:abstractNum>
  <w:num w:numId="1">
    <w:abstractNumId w:val="1"/>
  </w:num>
  <w:num w:numId="2">
    <w:abstractNumId w:val="2"/>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hideSpellingErrors/>
  <w:documentProtection w:enforcement="0"/>
  <w:defaultTabStop w:val="50"/>
  <w:drawingGridHorizontalSpacing w:val="120"/>
  <w:displayHorizontalDrawingGridEvery w:val="1"/>
  <w:displayVerticalDrawingGridEvery w:val="1"/>
  <w:noPunctuationKerning w:val="1"/>
  <w:characterSpacingControl w:val="doNotCompress"/>
  <w:footnotePr>
    <w:footnote w:id="0"/>
    <w:footnote w:id="1"/>
  </w:footnotePr>
  <w:endnotePr>
    <w:numFmt w:val="decimal"/>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B6"/>
    <w:rsid w:val="00000E9C"/>
    <w:rsid w:val="0000106F"/>
    <w:rsid w:val="00001CDC"/>
    <w:rsid w:val="0000242E"/>
    <w:rsid w:val="0000245A"/>
    <w:rsid w:val="00002CCB"/>
    <w:rsid w:val="000036E1"/>
    <w:rsid w:val="0000398A"/>
    <w:rsid w:val="00004593"/>
    <w:rsid w:val="000049E3"/>
    <w:rsid w:val="0000547C"/>
    <w:rsid w:val="0000678C"/>
    <w:rsid w:val="000068C4"/>
    <w:rsid w:val="0000768E"/>
    <w:rsid w:val="000079F7"/>
    <w:rsid w:val="00007CD7"/>
    <w:rsid w:val="000101CB"/>
    <w:rsid w:val="00010B4F"/>
    <w:rsid w:val="00010E2D"/>
    <w:rsid w:val="00010F3E"/>
    <w:rsid w:val="00011774"/>
    <w:rsid w:val="00011D8F"/>
    <w:rsid w:val="000128DD"/>
    <w:rsid w:val="00013CAA"/>
    <w:rsid w:val="000141D9"/>
    <w:rsid w:val="00014A29"/>
    <w:rsid w:val="00015865"/>
    <w:rsid w:val="00015D6D"/>
    <w:rsid w:val="000172C2"/>
    <w:rsid w:val="00017883"/>
    <w:rsid w:val="000178FB"/>
    <w:rsid w:val="0001795D"/>
    <w:rsid w:val="00017D72"/>
    <w:rsid w:val="00020866"/>
    <w:rsid w:val="00020C89"/>
    <w:rsid w:val="00020FE7"/>
    <w:rsid w:val="00021289"/>
    <w:rsid w:val="00021496"/>
    <w:rsid w:val="000222DC"/>
    <w:rsid w:val="000226B4"/>
    <w:rsid w:val="00022D80"/>
    <w:rsid w:val="00022EF5"/>
    <w:rsid w:val="000232C7"/>
    <w:rsid w:val="00023336"/>
    <w:rsid w:val="000234E6"/>
    <w:rsid w:val="00023F76"/>
    <w:rsid w:val="00024A96"/>
    <w:rsid w:val="00024F61"/>
    <w:rsid w:val="00025049"/>
    <w:rsid w:val="00025412"/>
    <w:rsid w:val="000259A9"/>
    <w:rsid w:val="00025A6C"/>
    <w:rsid w:val="00025CA2"/>
    <w:rsid w:val="00026053"/>
    <w:rsid w:val="0002610A"/>
    <w:rsid w:val="000266BE"/>
    <w:rsid w:val="0002690C"/>
    <w:rsid w:val="00026DDD"/>
    <w:rsid w:val="00026E81"/>
    <w:rsid w:val="00027602"/>
    <w:rsid w:val="00027C3D"/>
    <w:rsid w:val="0003014D"/>
    <w:rsid w:val="000306D3"/>
    <w:rsid w:val="00030940"/>
    <w:rsid w:val="00030B96"/>
    <w:rsid w:val="00030CE7"/>
    <w:rsid w:val="0003161E"/>
    <w:rsid w:val="000319A8"/>
    <w:rsid w:val="00032670"/>
    <w:rsid w:val="00032B59"/>
    <w:rsid w:val="0003310A"/>
    <w:rsid w:val="0003370C"/>
    <w:rsid w:val="000337F3"/>
    <w:rsid w:val="00033A7F"/>
    <w:rsid w:val="00033C04"/>
    <w:rsid w:val="00034695"/>
    <w:rsid w:val="00034ECA"/>
    <w:rsid w:val="00035B64"/>
    <w:rsid w:val="00035E4D"/>
    <w:rsid w:val="00036320"/>
    <w:rsid w:val="000364A0"/>
    <w:rsid w:val="00036669"/>
    <w:rsid w:val="00037AA5"/>
    <w:rsid w:val="00037DDA"/>
    <w:rsid w:val="00037E91"/>
    <w:rsid w:val="000410D2"/>
    <w:rsid w:val="0004114F"/>
    <w:rsid w:val="00041332"/>
    <w:rsid w:val="000413C8"/>
    <w:rsid w:val="0004151A"/>
    <w:rsid w:val="000415F1"/>
    <w:rsid w:val="00041BB3"/>
    <w:rsid w:val="00042255"/>
    <w:rsid w:val="00042EAB"/>
    <w:rsid w:val="00043EF4"/>
    <w:rsid w:val="0004437B"/>
    <w:rsid w:val="000454F7"/>
    <w:rsid w:val="0004597A"/>
    <w:rsid w:val="00045A05"/>
    <w:rsid w:val="00046AA6"/>
    <w:rsid w:val="0005043A"/>
    <w:rsid w:val="00050891"/>
    <w:rsid w:val="00050F02"/>
    <w:rsid w:val="00051139"/>
    <w:rsid w:val="00051757"/>
    <w:rsid w:val="00051E27"/>
    <w:rsid w:val="00051FEE"/>
    <w:rsid w:val="0005272D"/>
    <w:rsid w:val="000527A5"/>
    <w:rsid w:val="00052DE4"/>
    <w:rsid w:val="00052E52"/>
    <w:rsid w:val="00053BCF"/>
    <w:rsid w:val="000544E9"/>
    <w:rsid w:val="00054897"/>
    <w:rsid w:val="00054BAC"/>
    <w:rsid w:val="00054C70"/>
    <w:rsid w:val="00054D69"/>
    <w:rsid w:val="00055B04"/>
    <w:rsid w:val="00055BED"/>
    <w:rsid w:val="00055E97"/>
    <w:rsid w:val="00056F4F"/>
    <w:rsid w:val="0005745B"/>
    <w:rsid w:val="0006010F"/>
    <w:rsid w:val="00060117"/>
    <w:rsid w:val="00060917"/>
    <w:rsid w:val="0006116E"/>
    <w:rsid w:val="00061788"/>
    <w:rsid w:val="00061B3B"/>
    <w:rsid w:val="00061C16"/>
    <w:rsid w:val="00062AFF"/>
    <w:rsid w:val="00063076"/>
    <w:rsid w:val="000630B3"/>
    <w:rsid w:val="00063948"/>
    <w:rsid w:val="0006397C"/>
    <w:rsid w:val="0006479F"/>
    <w:rsid w:val="00065477"/>
    <w:rsid w:val="00065B6B"/>
    <w:rsid w:val="00065FE4"/>
    <w:rsid w:val="000670B9"/>
    <w:rsid w:val="00067963"/>
    <w:rsid w:val="00067AEB"/>
    <w:rsid w:val="0007016E"/>
    <w:rsid w:val="000701AD"/>
    <w:rsid w:val="000702D1"/>
    <w:rsid w:val="0007071D"/>
    <w:rsid w:val="00070868"/>
    <w:rsid w:val="00070A57"/>
    <w:rsid w:val="00070D71"/>
    <w:rsid w:val="00071143"/>
    <w:rsid w:val="00071587"/>
    <w:rsid w:val="00072476"/>
    <w:rsid w:val="000737C8"/>
    <w:rsid w:val="00073A4A"/>
    <w:rsid w:val="00074EA6"/>
    <w:rsid w:val="00075017"/>
    <w:rsid w:val="00075488"/>
    <w:rsid w:val="000754C1"/>
    <w:rsid w:val="0007550D"/>
    <w:rsid w:val="00076513"/>
    <w:rsid w:val="000769AB"/>
    <w:rsid w:val="000770DF"/>
    <w:rsid w:val="0007740E"/>
    <w:rsid w:val="00077B4D"/>
    <w:rsid w:val="00080277"/>
    <w:rsid w:val="000806C3"/>
    <w:rsid w:val="00081719"/>
    <w:rsid w:val="0008195E"/>
    <w:rsid w:val="00082BBE"/>
    <w:rsid w:val="0008316E"/>
    <w:rsid w:val="0008340D"/>
    <w:rsid w:val="000840B7"/>
    <w:rsid w:val="00084106"/>
    <w:rsid w:val="000847AE"/>
    <w:rsid w:val="00084FAE"/>
    <w:rsid w:val="00085866"/>
    <w:rsid w:val="00087267"/>
    <w:rsid w:val="000877DB"/>
    <w:rsid w:val="00090025"/>
    <w:rsid w:val="00090C7B"/>
    <w:rsid w:val="00090E01"/>
    <w:rsid w:val="00090F79"/>
    <w:rsid w:val="00091471"/>
    <w:rsid w:val="00091F7B"/>
    <w:rsid w:val="00092005"/>
    <w:rsid w:val="000924E8"/>
    <w:rsid w:val="0009310E"/>
    <w:rsid w:val="000939E5"/>
    <w:rsid w:val="00093A31"/>
    <w:rsid w:val="00093DF7"/>
    <w:rsid w:val="00094314"/>
    <w:rsid w:val="00094872"/>
    <w:rsid w:val="00094ACD"/>
    <w:rsid w:val="00095013"/>
    <w:rsid w:val="00095317"/>
    <w:rsid w:val="000958A2"/>
    <w:rsid w:val="000958FA"/>
    <w:rsid w:val="000959FD"/>
    <w:rsid w:val="00095D47"/>
    <w:rsid w:val="00096E42"/>
    <w:rsid w:val="00097871"/>
    <w:rsid w:val="000A03C7"/>
    <w:rsid w:val="000A03EE"/>
    <w:rsid w:val="000A084A"/>
    <w:rsid w:val="000A0865"/>
    <w:rsid w:val="000A0DD8"/>
    <w:rsid w:val="000A0FAC"/>
    <w:rsid w:val="000A18CD"/>
    <w:rsid w:val="000A1B9A"/>
    <w:rsid w:val="000A1FF5"/>
    <w:rsid w:val="000A2390"/>
    <w:rsid w:val="000A2DF4"/>
    <w:rsid w:val="000A362C"/>
    <w:rsid w:val="000A4550"/>
    <w:rsid w:val="000A493E"/>
    <w:rsid w:val="000A4FDB"/>
    <w:rsid w:val="000A5270"/>
    <w:rsid w:val="000A52B3"/>
    <w:rsid w:val="000A53E6"/>
    <w:rsid w:val="000A5A49"/>
    <w:rsid w:val="000A5C9E"/>
    <w:rsid w:val="000A6EB6"/>
    <w:rsid w:val="000A731A"/>
    <w:rsid w:val="000A734E"/>
    <w:rsid w:val="000A765D"/>
    <w:rsid w:val="000A7A31"/>
    <w:rsid w:val="000A7C47"/>
    <w:rsid w:val="000A7EBD"/>
    <w:rsid w:val="000A7FD4"/>
    <w:rsid w:val="000B16EB"/>
    <w:rsid w:val="000B1AE3"/>
    <w:rsid w:val="000B2022"/>
    <w:rsid w:val="000B2028"/>
    <w:rsid w:val="000B22A0"/>
    <w:rsid w:val="000B2F17"/>
    <w:rsid w:val="000B3327"/>
    <w:rsid w:val="000B36E9"/>
    <w:rsid w:val="000B371E"/>
    <w:rsid w:val="000B3B88"/>
    <w:rsid w:val="000B3EA9"/>
    <w:rsid w:val="000B4126"/>
    <w:rsid w:val="000B45D1"/>
    <w:rsid w:val="000B4620"/>
    <w:rsid w:val="000B4826"/>
    <w:rsid w:val="000B4AD1"/>
    <w:rsid w:val="000B4CC2"/>
    <w:rsid w:val="000B51EC"/>
    <w:rsid w:val="000B5510"/>
    <w:rsid w:val="000B57F8"/>
    <w:rsid w:val="000B5D15"/>
    <w:rsid w:val="000B643D"/>
    <w:rsid w:val="000B6E18"/>
    <w:rsid w:val="000B7B0D"/>
    <w:rsid w:val="000C1368"/>
    <w:rsid w:val="000C1ABA"/>
    <w:rsid w:val="000C267F"/>
    <w:rsid w:val="000C28DB"/>
    <w:rsid w:val="000C37CA"/>
    <w:rsid w:val="000C391F"/>
    <w:rsid w:val="000C4318"/>
    <w:rsid w:val="000C490A"/>
    <w:rsid w:val="000C50C8"/>
    <w:rsid w:val="000C551F"/>
    <w:rsid w:val="000C5571"/>
    <w:rsid w:val="000C674E"/>
    <w:rsid w:val="000D0576"/>
    <w:rsid w:val="000D065A"/>
    <w:rsid w:val="000D1804"/>
    <w:rsid w:val="000D1A9E"/>
    <w:rsid w:val="000D23DD"/>
    <w:rsid w:val="000D24BC"/>
    <w:rsid w:val="000D2845"/>
    <w:rsid w:val="000D28C1"/>
    <w:rsid w:val="000D3340"/>
    <w:rsid w:val="000D339C"/>
    <w:rsid w:val="000D375D"/>
    <w:rsid w:val="000D3B4A"/>
    <w:rsid w:val="000D40BF"/>
    <w:rsid w:val="000D4C4B"/>
    <w:rsid w:val="000D5CD4"/>
    <w:rsid w:val="000D710E"/>
    <w:rsid w:val="000D7133"/>
    <w:rsid w:val="000D727D"/>
    <w:rsid w:val="000D7597"/>
    <w:rsid w:val="000D7EAB"/>
    <w:rsid w:val="000E0262"/>
    <w:rsid w:val="000E0737"/>
    <w:rsid w:val="000E0BDB"/>
    <w:rsid w:val="000E1BC1"/>
    <w:rsid w:val="000E24CE"/>
    <w:rsid w:val="000E25EA"/>
    <w:rsid w:val="000E28A4"/>
    <w:rsid w:val="000E361C"/>
    <w:rsid w:val="000E3A65"/>
    <w:rsid w:val="000E4808"/>
    <w:rsid w:val="000E654D"/>
    <w:rsid w:val="000E6744"/>
    <w:rsid w:val="000E6AA6"/>
    <w:rsid w:val="000E6E7A"/>
    <w:rsid w:val="000F016A"/>
    <w:rsid w:val="000F0523"/>
    <w:rsid w:val="000F184C"/>
    <w:rsid w:val="000F1962"/>
    <w:rsid w:val="000F2947"/>
    <w:rsid w:val="000F2C8C"/>
    <w:rsid w:val="000F2F9E"/>
    <w:rsid w:val="000F303F"/>
    <w:rsid w:val="000F32D3"/>
    <w:rsid w:val="000F3663"/>
    <w:rsid w:val="000F38DE"/>
    <w:rsid w:val="000F3907"/>
    <w:rsid w:val="000F3C9C"/>
    <w:rsid w:val="000F40C6"/>
    <w:rsid w:val="000F44B4"/>
    <w:rsid w:val="000F479E"/>
    <w:rsid w:val="000F4E4F"/>
    <w:rsid w:val="000F4FF5"/>
    <w:rsid w:val="000F5127"/>
    <w:rsid w:val="000F5305"/>
    <w:rsid w:val="000F584E"/>
    <w:rsid w:val="000F6B4A"/>
    <w:rsid w:val="0010083C"/>
    <w:rsid w:val="00100E72"/>
    <w:rsid w:val="00101012"/>
    <w:rsid w:val="00101163"/>
    <w:rsid w:val="0010196F"/>
    <w:rsid w:val="00101D7B"/>
    <w:rsid w:val="001023D3"/>
    <w:rsid w:val="0010375D"/>
    <w:rsid w:val="00103D2D"/>
    <w:rsid w:val="00103FC0"/>
    <w:rsid w:val="0010483C"/>
    <w:rsid w:val="00104A0A"/>
    <w:rsid w:val="00104EEE"/>
    <w:rsid w:val="0010593A"/>
    <w:rsid w:val="001062F0"/>
    <w:rsid w:val="0010743F"/>
    <w:rsid w:val="0010761D"/>
    <w:rsid w:val="00107D96"/>
    <w:rsid w:val="001100B3"/>
    <w:rsid w:val="001101CD"/>
    <w:rsid w:val="00110299"/>
    <w:rsid w:val="001108C2"/>
    <w:rsid w:val="00111103"/>
    <w:rsid w:val="00111E7A"/>
    <w:rsid w:val="00112556"/>
    <w:rsid w:val="001127E5"/>
    <w:rsid w:val="00112E29"/>
    <w:rsid w:val="00113BB3"/>
    <w:rsid w:val="00114252"/>
    <w:rsid w:val="00114635"/>
    <w:rsid w:val="00114BAC"/>
    <w:rsid w:val="00114C3F"/>
    <w:rsid w:val="00115E5B"/>
    <w:rsid w:val="00116422"/>
    <w:rsid w:val="0011724A"/>
    <w:rsid w:val="001176F2"/>
    <w:rsid w:val="001179CC"/>
    <w:rsid w:val="00120235"/>
    <w:rsid w:val="001205C8"/>
    <w:rsid w:val="00120602"/>
    <w:rsid w:val="00120ABA"/>
    <w:rsid w:val="00120FCA"/>
    <w:rsid w:val="00122577"/>
    <w:rsid w:val="00122D6E"/>
    <w:rsid w:val="00123F18"/>
    <w:rsid w:val="00124078"/>
    <w:rsid w:val="001243EB"/>
    <w:rsid w:val="00124E0E"/>
    <w:rsid w:val="0012508C"/>
    <w:rsid w:val="00125144"/>
    <w:rsid w:val="001253EC"/>
    <w:rsid w:val="001256B4"/>
    <w:rsid w:val="001257BF"/>
    <w:rsid w:val="001258AE"/>
    <w:rsid w:val="00125CDF"/>
    <w:rsid w:val="00126296"/>
    <w:rsid w:val="001266B4"/>
    <w:rsid w:val="00126ABE"/>
    <w:rsid w:val="001270EA"/>
    <w:rsid w:val="0013033D"/>
    <w:rsid w:val="001305BF"/>
    <w:rsid w:val="00130670"/>
    <w:rsid w:val="0013137C"/>
    <w:rsid w:val="001315A1"/>
    <w:rsid w:val="001315AE"/>
    <w:rsid w:val="0013160A"/>
    <w:rsid w:val="001332F4"/>
    <w:rsid w:val="001333E0"/>
    <w:rsid w:val="001345C1"/>
    <w:rsid w:val="0013474A"/>
    <w:rsid w:val="00134C1C"/>
    <w:rsid w:val="00134E36"/>
    <w:rsid w:val="0013506B"/>
    <w:rsid w:val="00135F17"/>
    <w:rsid w:val="0013604F"/>
    <w:rsid w:val="0013682B"/>
    <w:rsid w:val="00136948"/>
    <w:rsid w:val="0013711A"/>
    <w:rsid w:val="001373D6"/>
    <w:rsid w:val="00137C82"/>
    <w:rsid w:val="00140FE3"/>
    <w:rsid w:val="00141556"/>
    <w:rsid w:val="00141D7E"/>
    <w:rsid w:val="001429F7"/>
    <w:rsid w:val="00142B91"/>
    <w:rsid w:val="00143912"/>
    <w:rsid w:val="0014641B"/>
    <w:rsid w:val="00151093"/>
    <w:rsid w:val="0015135B"/>
    <w:rsid w:val="0015166B"/>
    <w:rsid w:val="00151912"/>
    <w:rsid w:val="00151C25"/>
    <w:rsid w:val="0015219C"/>
    <w:rsid w:val="001532D3"/>
    <w:rsid w:val="001537F3"/>
    <w:rsid w:val="00153FAB"/>
    <w:rsid w:val="00154308"/>
    <w:rsid w:val="00154338"/>
    <w:rsid w:val="00154838"/>
    <w:rsid w:val="00155AA5"/>
    <w:rsid w:val="001560FF"/>
    <w:rsid w:val="00156135"/>
    <w:rsid w:val="00156166"/>
    <w:rsid w:val="001565A9"/>
    <w:rsid w:val="00160E5B"/>
    <w:rsid w:val="00161FBB"/>
    <w:rsid w:val="0016208C"/>
    <w:rsid w:val="0016227D"/>
    <w:rsid w:val="00162B52"/>
    <w:rsid w:val="00162BC5"/>
    <w:rsid w:val="001634A3"/>
    <w:rsid w:val="001637B1"/>
    <w:rsid w:val="00163A70"/>
    <w:rsid w:val="00163D39"/>
    <w:rsid w:val="001642F6"/>
    <w:rsid w:val="001648CF"/>
    <w:rsid w:val="00164ECF"/>
    <w:rsid w:val="0016550C"/>
    <w:rsid w:val="00166078"/>
    <w:rsid w:val="00166158"/>
    <w:rsid w:val="00166B40"/>
    <w:rsid w:val="00167184"/>
    <w:rsid w:val="00167247"/>
    <w:rsid w:val="0017046C"/>
    <w:rsid w:val="001714C7"/>
    <w:rsid w:val="00171936"/>
    <w:rsid w:val="00171A38"/>
    <w:rsid w:val="00172051"/>
    <w:rsid w:val="00172A27"/>
    <w:rsid w:val="00172CC6"/>
    <w:rsid w:val="001739C3"/>
    <w:rsid w:val="00174562"/>
    <w:rsid w:val="00175328"/>
    <w:rsid w:val="00176421"/>
    <w:rsid w:val="001772A8"/>
    <w:rsid w:val="00177A88"/>
    <w:rsid w:val="001802FB"/>
    <w:rsid w:val="0018087E"/>
    <w:rsid w:val="00180C86"/>
    <w:rsid w:val="001811F6"/>
    <w:rsid w:val="00181335"/>
    <w:rsid w:val="0018166D"/>
    <w:rsid w:val="00182655"/>
    <w:rsid w:val="001827EC"/>
    <w:rsid w:val="00182A06"/>
    <w:rsid w:val="00182DF0"/>
    <w:rsid w:val="00182E07"/>
    <w:rsid w:val="001830A8"/>
    <w:rsid w:val="00183723"/>
    <w:rsid w:val="00183B88"/>
    <w:rsid w:val="0018400B"/>
    <w:rsid w:val="001841F8"/>
    <w:rsid w:val="001847B4"/>
    <w:rsid w:val="0018483F"/>
    <w:rsid w:val="0018487B"/>
    <w:rsid w:val="00184F25"/>
    <w:rsid w:val="00185707"/>
    <w:rsid w:val="00185A64"/>
    <w:rsid w:val="00185F78"/>
    <w:rsid w:val="00185FC4"/>
    <w:rsid w:val="001860EC"/>
    <w:rsid w:val="00186450"/>
    <w:rsid w:val="00187C97"/>
    <w:rsid w:val="00187F0E"/>
    <w:rsid w:val="001909C3"/>
    <w:rsid w:val="00190D10"/>
    <w:rsid w:val="00190FAB"/>
    <w:rsid w:val="001913D1"/>
    <w:rsid w:val="00191656"/>
    <w:rsid w:val="00191A2F"/>
    <w:rsid w:val="00192111"/>
    <w:rsid w:val="00192391"/>
    <w:rsid w:val="001928A5"/>
    <w:rsid w:val="0019354F"/>
    <w:rsid w:val="00193813"/>
    <w:rsid w:val="00193D39"/>
    <w:rsid w:val="00193DEA"/>
    <w:rsid w:val="00193E7F"/>
    <w:rsid w:val="00193E8D"/>
    <w:rsid w:val="00194344"/>
    <w:rsid w:val="001951DB"/>
    <w:rsid w:val="0019595A"/>
    <w:rsid w:val="00195DE0"/>
    <w:rsid w:val="001961F1"/>
    <w:rsid w:val="0019681B"/>
    <w:rsid w:val="001968AC"/>
    <w:rsid w:val="00196BCE"/>
    <w:rsid w:val="0019742D"/>
    <w:rsid w:val="00197456"/>
    <w:rsid w:val="0019785B"/>
    <w:rsid w:val="00197CCB"/>
    <w:rsid w:val="001A00A3"/>
    <w:rsid w:val="001A05A2"/>
    <w:rsid w:val="001A06A6"/>
    <w:rsid w:val="001A0BB2"/>
    <w:rsid w:val="001A3321"/>
    <w:rsid w:val="001A33D6"/>
    <w:rsid w:val="001A3AE0"/>
    <w:rsid w:val="001A3F67"/>
    <w:rsid w:val="001A40DA"/>
    <w:rsid w:val="001A410D"/>
    <w:rsid w:val="001A463B"/>
    <w:rsid w:val="001A4FA6"/>
    <w:rsid w:val="001A6022"/>
    <w:rsid w:val="001A616A"/>
    <w:rsid w:val="001A6BC1"/>
    <w:rsid w:val="001A742E"/>
    <w:rsid w:val="001A75D5"/>
    <w:rsid w:val="001B135D"/>
    <w:rsid w:val="001B1B89"/>
    <w:rsid w:val="001B1CA4"/>
    <w:rsid w:val="001B1F92"/>
    <w:rsid w:val="001B2473"/>
    <w:rsid w:val="001B38B0"/>
    <w:rsid w:val="001B44A3"/>
    <w:rsid w:val="001B4F9B"/>
    <w:rsid w:val="001B5928"/>
    <w:rsid w:val="001B5A15"/>
    <w:rsid w:val="001B5B91"/>
    <w:rsid w:val="001B642F"/>
    <w:rsid w:val="001B664E"/>
    <w:rsid w:val="001B6B65"/>
    <w:rsid w:val="001B7657"/>
    <w:rsid w:val="001B7A37"/>
    <w:rsid w:val="001B7BCC"/>
    <w:rsid w:val="001C0861"/>
    <w:rsid w:val="001C0BBD"/>
    <w:rsid w:val="001C0D2C"/>
    <w:rsid w:val="001C109B"/>
    <w:rsid w:val="001C18A6"/>
    <w:rsid w:val="001C1AED"/>
    <w:rsid w:val="001C3206"/>
    <w:rsid w:val="001C3F2D"/>
    <w:rsid w:val="001C4500"/>
    <w:rsid w:val="001C51B1"/>
    <w:rsid w:val="001C52AF"/>
    <w:rsid w:val="001C576A"/>
    <w:rsid w:val="001C6703"/>
    <w:rsid w:val="001D01C9"/>
    <w:rsid w:val="001D038D"/>
    <w:rsid w:val="001D0A21"/>
    <w:rsid w:val="001D1171"/>
    <w:rsid w:val="001D1620"/>
    <w:rsid w:val="001D1A1D"/>
    <w:rsid w:val="001D2167"/>
    <w:rsid w:val="001D23CB"/>
    <w:rsid w:val="001D2532"/>
    <w:rsid w:val="001D2DE7"/>
    <w:rsid w:val="001D2F8E"/>
    <w:rsid w:val="001D542A"/>
    <w:rsid w:val="001D576B"/>
    <w:rsid w:val="001D57B2"/>
    <w:rsid w:val="001D5B54"/>
    <w:rsid w:val="001D62D0"/>
    <w:rsid w:val="001D6D9C"/>
    <w:rsid w:val="001D7CF8"/>
    <w:rsid w:val="001E0440"/>
    <w:rsid w:val="001E0747"/>
    <w:rsid w:val="001E0908"/>
    <w:rsid w:val="001E0919"/>
    <w:rsid w:val="001E0DA7"/>
    <w:rsid w:val="001E0EB8"/>
    <w:rsid w:val="001E15CF"/>
    <w:rsid w:val="001E1661"/>
    <w:rsid w:val="001E1E20"/>
    <w:rsid w:val="001E1F33"/>
    <w:rsid w:val="001E2211"/>
    <w:rsid w:val="001E24F0"/>
    <w:rsid w:val="001E2660"/>
    <w:rsid w:val="001E2F45"/>
    <w:rsid w:val="001E32D4"/>
    <w:rsid w:val="001E3889"/>
    <w:rsid w:val="001E3F03"/>
    <w:rsid w:val="001E42D1"/>
    <w:rsid w:val="001E448B"/>
    <w:rsid w:val="001E556E"/>
    <w:rsid w:val="001E5A8E"/>
    <w:rsid w:val="001E5AAB"/>
    <w:rsid w:val="001E6C1F"/>
    <w:rsid w:val="001E7280"/>
    <w:rsid w:val="001E7B90"/>
    <w:rsid w:val="001F055C"/>
    <w:rsid w:val="001F1712"/>
    <w:rsid w:val="001F1E31"/>
    <w:rsid w:val="001F23B7"/>
    <w:rsid w:val="001F29E9"/>
    <w:rsid w:val="001F2B68"/>
    <w:rsid w:val="001F38C9"/>
    <w:rsid w:val="001F38D2"/>
    <w:rsid w:val="001F39D9"/>
    <w:rsid w:val="001F3E26"/>
    <w:rsid w:val="001F51A7"/>
    <w:rsid w:val="001F52A7"/>
    <w:rsid w:val="001F595E"/>
    <w:rsid w:val="001F6C65"/>
    <w:rsid w:val="001F6EE8"/>
    <w:rsid w:val="001F7477"/>
    <w:rsid w:val="001F751E"/>
    <w:rsid w:val="00201BA6"/>
    <w:rsid w:val="00201FC4"/>
    <w:rsid w:val="002023ED"/>
    <w:rsid w:val="00202702"/>
    <w:rsid w:val="00203499"/>
    <w:rsid w:val="00204B22"/>
    <w:rsid w:val="00204FE9"/>
    <w:rsid w:val="002054B5"/>
    <w:rsid w:val="00205704"/>
    <w:rsid w:val="00205987"/>
    <w:rsid w:val="00205DE6"/>
    <w:rsid w:val="00205FB3"/>
    <w:rsid w:val="002076DD"/>
    <w:rsid w:val="00207CE0"/>
    <w:rsid w:val="00210197"/>
    <w:rsid w:val="00210830"/>
    <w:rsid w:val="00210AD3"/>
    <w:rsid w:val="00211307"/>
    <w:rsid w:val="0021172F"/>
    <w:rsid w:val="00211EF5"/>
    <w:rsid w:val="00212707"/>
    <w:rsid w:val="00212D4A"/>
    <w:rsid w:val="00213381"/>
    <w:rsid w:val="00213760"/>
    <w:rsid w:val="00214607"/>
    <w:rsid w:val="00214728"/>
    <w:rsid w:val="002148AB"/>
    <w:rsid w:val="002150BF"/>
    <w:rsid w:val="00215402"/>
    <w:rsid w:val="002159F8"/>
    <w:rsid w:val="00216177"/>
    <w:rsid w:val="00216477"/>
    <w:rsid w:val="00216786"/>
    <w:rsid w:val="00216A52"/>
    <w:rsid w:val="00216FB1"/>
    <w:rsid w:val="00217266"/>
    <w:rsid w:val="00217EF6"/>
    <w:rsid w:val="00221A30"/>
    <w:rsid w:val="00221BBE"/>
    <w:rsid w:val="00222511"/>
    <w:rsid w:val="00222A9A"/>
    <w:rsid w:val="00223729"/>
    <w:rsid w:val="002238F5"/>
    <w:rsid w:val="00223A24"/>
    <w:rsid w:val="00223B23"/>
    <w:rsid w:val="00224019"/>
    <w:rsid w:val="00224564"/>
    <w:rsid w:val="00224567"/>
    <w:rsid w:val="002249DF"/>
    <w:rsid w:val="00224D7D"/>
    <w:rsid w:val="002254B3"/>
    <w:rsid w:val="00225D8C"/>
    <w:rsid w:val="00225E40"/>
    <w:rsid w:val="00226088"/>
    <w:rsid w:val="0022647E"/>
    <w:rsid w:val="0022685E"/>
    <w:rsid w:val="00226AE0"/>
    <w:rsid w:val="00227165"/>
    <w:rsid w:val="00227572"/>
    <w:rsid w:val="002307C0"/>
    <w:rsid w:val="0023165B"/>
    <w:rsid w:val="002316D0"/>
    <w:rsid w:val="00231E2C"/>
    <w:rsid w:val="00232722"/>
    <w:rsid w:val="002338C7"/>
    <w:rsid w:val="002338D3"/>
    <w:rsid w:val="00233ACA"/>
    <w:rsid w:val="002340BA"/>
    <w:rsid w:val="00234F3F"/>
    <w:rsid w:val="002353AB"/>
    <w:rsid w:val="002355FB"/>
    <w:rsid w:val="0023574E"/>
    <w:rsid w:val="002358C4"/>
    <w:rsid w:val="00235DA3"/>
    <w:rsid w:val="0023603C"/>
    <w:rsid w:val="00236720"/>
    <w:rsid w:val="00237BD9"/>
    <w:rsid w:val="0024037E"/>
    <w:rsid w:val="0024038C"/>
    <w:rsid w:val="002408BD"/>
    <w:rsid w:val="00240A7F"/>
    <w:rsid w:val="00240CF5"/>
    <w:rsid w:val="00241234"/>
    <w:rsid w:val="00241BB5"/>
    <w:rsid w:val="00242E0B"/>
    <w:rsid w:val="002437C7"/>
    <w:rsid w:val="002446A2"/>
    <w:rsid w:val="002448B6"/>
    <w:rsid w:val="00244B57"/>
    <w:rsid w:val="00244C5D"/>
    <w:rsid w:val="00244D13"/>
    <w:rsid w:val="002459B0"/>
    <w:rsid w:val="00245D76"/>
    <w:rsid w:val="002469D3"/>
    <w:rsid w:val="002469E7"/>
    <w:rsid w:val="00246EE0"/>
    <w:rsid w:val="002479CD"/>
    <w:rsid w:val="00250432"/>
    <w:rsid w:val="00250AB3"/>
    <w:rsid w:val="00250E8C"/>
    <w:rsid w:val="00250ECD"/>
    <w:rsid w:val="002514EB"/>
    <w:rsid w:val="00251A04"/>
    <w:rsid w:val="002529C1"/>
    <w:rsid w:val="00253050"/>
    <w:rsid w:val="00253726"/>
    <w:rsid w:val="002539C3"/>
    <w:rsid w:val="00253FFA"/>
    <w:rsid w:val="00254116"/>
    <w:rsid w:val="00254259"/>
    <w:rsid w:val="00254347"/>
    <w:rsid w:val="002550FD"/>
    <w:rsid w:val="00256B62"/>
    <w:rsid w:val="00256BCC"/>
    <w:rsid w:val="002578F9"/>
    <w:rsid w:val="00257F35"/>
    <w:rsid w:val="0026002A"/>
    <w:rsid w:val="00260627"/>
    <w:rsid w:val="00260946"/>
    <w:rsid w:val="00260D89"/>
    <w:rsid w:val="00261048"/>
    <w:rsid w:val="002614D1"/>
    <w:rsid w:val="002615B2"/>
    <w:rsid w:val="00261D92"/>
    <w:rsid w:val="00262A49"/>
    <w:rsid w:val="00262A84"/>
    <w:rsid w:val="00262D0D"/>
    <w:rsid w:val="0026382C"/>
    <w:rsid w:val="0026470E"/>
    <w:rsid w:val="00264CD7"/>
    <w:rsid w:val="00264D84"/>
    <w:rsid w:val="00265016"/>
    <w:rsid w:val="00265141"/>
    <w:rsid w:val="00265370"/>
    <w:rsid w:val="00265596"/>
    <w:rsid w:val="0026575C"/>
    <w:rsid w:val="00265D0E"/>
    <w:rsid w:val="00265F9C"/>
    <w:rsid w:val="0026691F"/>
    <w:rsid w:val="00267342"/>
    <w:rsid w:val="00267CDE"/>
    <w:rsid w:val="00270260"/>
    <w:rsid w:val="00270BE5"/>
    <w:rsid w:val="002717C0"/>
    <w:rsid w:val="00271C5B"/>
    <w:rsid w:val="00271CE9"/>
    <w:rsid w:val="002726E0"/>
    <w:rsid w:val="00273A13"/>
    <w:rsid w:val="002743AE"/>
    <w:rsid w:val="0027457F"/>
    <w:rsid w:val="00274A4E"/>
    <w:rsid w:val="00274C40"/>
    <w:rsid w:val="002754D9"/>
    <w:rsid w:val="002756EF"/>
    <w:rsid w:val="00275B97"/>
    <w:rsid w:val="00275E4E"/>
    <w:rsid w:val="00276121"/>
    <w:rsid w:val="00276316"/>
    <w:rsid w:val="00276587"/>
    <w:rsid w:val="00276C1A"/>
    <w:rsid w:val="00277398"/>
    <w:rsid w:val="00277CE1"/>
    <w:rsid w:val="002812D6"/>
    <w:rsid w:val="00281AB9"/>
    <w:rsid w:val="00281DDC"/>
    <w:rsid w:val="0028223C"/>
    <w:rsid w:val="002824A5"/>
    <w:rsid w:val="00282BD5"/>
    <w:rsid w:val="00282D19"/>
    <w:rsid w:val="00283324"/>
    <w:rsid w:val="002833E5"/>
    <w:rsid w:val="00283634"/>
    <w:rsid w:val="00284BBE"/>
    <w:rsid w:val="00284EAA"/>
    <w:rsid w:val="0028503E"/>
    <w:rsid w:val="0028559D"/>
    <w:rsid w:val="002855A3"/>
    <w:rsid w:val="00285B12"/>
    <w:rsid w:val="00285C07"/>
    <w:rsid w:val="00285E00"/>
    <w:rsid w:val="00285E49"/>
    <w:rsid w:val="00286A88"/>
    <w:rsid w:val="00286CB3"/>
    <w:rsid w:val="00286D28"/>
    <w:rsid w:val="002870CC"/>
    <w:rsid w:val="0028787E"/>
    <w:rsid w:val="00287CD0"/>
    <w:rsid w:val="00290647"/>
    <w:rsid w:val="00290A9E"/>
    <w:rsid w:val="00291956"/>
    <w:rsid w:val="0029247E"/>
    <w:rsid w:val="00292DD3"/>
    <w:rsid w:val="002935E8"/>
    <w:rsid w:val="00293D56"/>
    <w:rsid w:val="00294B1A"/>
    <w:rsid w:val="00294C50"/>
    <w:rsid w:val="00295359"/>
    <w:rsid w:val="00295562"/>
    <w:rsid w:val="00295BC5"/>
    <w:rsid w:val="00295DAF"/>
    <w:rsid w:val="00296BDE"/>
    <w:rsid w:val="00296C7F"/>
    <w:rsid w:val="00297824"/>
    <w:rsid w:val="00297E94"/>
    <w:rsid w:val="002A0812"/>
    <w:rsid w:val="002A0C9E"/>
    <w:rsid w:val="002A0DA2"/>
    <w:rsid w:val="002A199A"/>
    <w:rsid w:val="002A1B36"/>
    <w:rsid w:val="002A1F1D"/>
    <w:rsid w:val="002A240C"/>
    <w:rsid w:val="002A2462"/>
    <w:rsid w:val="002A28CF"/>
    <w:rsid w:val="002A2AD2"/>
    <w:rsid w:val="002A2C5A"/>
    <w:rsid w:val="002A36C6"/>
    <w:rsid w:val="002A3BE3"/>
    <w:rsid w:val="002A44DF"/>
    <w:rsid w:val="002A4753"/>
    <w:rsid w:val="002A5395"/>
    <w:rsid w:val="002A5AC6"/>
    <w:rsid w:val="002A5DCA"/>
    <w:rsid w:val="002A6455"/>
    <w:rsid w:val="002A6CC0"/>
    <w:rsid w:val="002B0081"/>
    <w:rsid w:val="002B023E"/>
    <w:rsid w:val="002B02EA"/>
    <w:rsid w:val="002B1330"/>
    <w:rsid w:val="002B13B8"/>
    <w:rsid w:val="002B16A6"/>
    <w:rsid w:val="002B1FB4"/>
    <w:rsid w:val="002B1FD7"/>
    <w:rsid w:val="002B2939"/>
    <w:rsid w:val="002B2A9E"/>
    <w:rsid w:val="002B2CA3"/>
    <w:rsid w:val="002B3101"/>
    <w:rsid w:val="002B31E6"/>
    <w:rsid w:val="002B3214"/>
    <w:rsid w:val="002B3F78"/>
    <w:rsid w:val="002B4070"/>
    <w:rsid w:val="002B46F3"/>
    <w:rsid w:val="002B4DA5"/>
    <w:rsid w:val="002B4DD5"/>
    <w:rsid w:val="002B4F61"/>
    <w:rsid w:val="002B6785"/>
    <w:rsid w:val="002B68D8"/>
    <w:rsid w:val="002B6B30"/>
    <w:rsid w:val="002B6B50"/>
    <w:rsid w:val="002B6D51"/>
    <w:rsid w:val="002B786A"/>
    <w:rsid w:val="002B7AA6"/>
    <w:rsid w:val="002C0265"/>
    <w:rsid w:val="002C0789"/>
    <w:rsid w:val="002C0D1C"/>
    <w:rsid w:val="002C1551"/>
    <w:rsid w:val="002C1CA1"/>
    <w:rsid w:val="002C1CCF"/>
    <w:rsid w:val="002C2ED0"/>
    <w:rsid w:val="002C31E2"/>
    <w:rsid w:val="002C369A"/>
    <w:rsid w:val="002C3B72"/>
    <w:rsid w:val="002C3CBE"/>
    <w:rsid w:val="002C55C2"/>
    <w:rsid w:val="002C5966"/>
    <w:rsid w:val="002C6DD0"/>
    <w:rsid w:val="002C6F1A"/>
    <w:rsid w:val="002C71E0"/>
    <w:rsid w:val="002D09B5"/>
    <w:rsid w:val="002D0AF9"/>
    <w:rsid w:val="002D1B93"/>
    <w:rsid w:val="002D248A"/>
    <w:rsid w:val="002D2752"/>
    <w:rsid w:val="002D2CC2"/>
    <w:rsid w:val="002D2DBD"/>
    <w:rsid w:val="002D2E78"/>
    <w:rsid w:val="002D32C7"/>
    <w:rsid w:val="002D3BB1"/>
    <w:rsid w:val="002D3D45"/>
    <w:rsid w:val="002D4352"/>
    <w:rsid w:val="002D4B27"/>
    <w:rsid w:val="002D4DB5"/>
    <w:rsid w:val="002D6646"/>
    <w:rsid w:val="002D6D99"/>
    <w:rsid w:val="002D7B13"/>
    <w:rsid w:val="002E00CF"/>
    <w:rsid w:val="002E0360"/>
    <w:rsid w:val="002E0B99"/>
    <w:rsid w:val="002E1001"/>
    <w:rsid w:val="002E1224"/>
    <w:rsid w:val="002E12BA"/>
    <w:rsid w:val="002E18B6"/>
    <w:rsid w:val="002E1957"/>
    <w:rsid w:val="002E1C93"/>
    <w:rsid w:val="002E24EB"/>
    <w:rsid w:val="002E32B6"/>
    <w:rsid w:val="002E3765"/>
    <w:rsid w:val="002E39F9"/>
    <w:rsid w:val="002E3BF4"/>
    <w:rsid w:val="002E599B"/>
    <w:rsid w:val="002E79E6"/>
    <w:rsid w:val="002F0293"/>
    <w:rsid w:val="002F0A0C"/>
    <w:rsid w:val="002F13BD"/>
    <w:rsid w:val="002F1DDC"/>
    <w:rsid w:val="002F1FF1"/>
    <w:rsid w:val="002F20F1"/>
    <w:rsid w:val="002F29B5"/>
    <w:rsid w:val="002F2CEC"/>
    <w:rsid w:val="002F3039"/>
    <w:rsid w:val="002F32DD"/>
    <w:rsid w:val="002F36C7"/>
    <w:rsid w:val="002F413C"/>
    <w:rsid w:val="002F4478"/>
    <w:rsid w:val="002F469A"/>
    <w:rsid w:val="002F49D1"/>
    <w:rsid w:val="002F5BBA"/>
    <w:rsid w:val="002F7237"/>
    <w:rsid w:val="002F7564"/>
    <w:rsid w:val="002F7767"/>
    <w:rsid w:val="002F77A3"/>
    <w:rsid w:val="002F78D0"/>
    <w:rsid w:val="002F7A05"/>
    <w:rsid w:val="002F7E01"/>
    <w:rsid w:val="002F7F26"/>
    <w:rsid w:val="003018C6"/>
    <w:rsid w:val="00302159"/>
    <w:rsid w:val="00302567"/>
    <w:rsid w:val="00302F1A"/>
    <w:rsid w:val="003038FB"/>
    <w:rsid w:val="00303A28"/>
    <w:rsid w:val="00303F89"/>
    <w:rsid w:val="00304D9C"/>
    <w:rsid w:val="00304F62"/>
    <w:rsid w:val="003052A4"/>
    <w:rsid w:val="00305706"/>
    <w:rsid w:val="00306130"/>
    <w:rsid w:val="003073DD"/>
    <w:rsid w:val="0030777D"/>
    <w:rsid w:val="00310065"/>
    <w:rsid w:val="003100F8"/>
    <w:rsid w:val="00311288"/>
    <w:rsid w:val="003112EB"/>
    <w:rsid w:val="003114A2"/>
    <w:rsid w:val="00311DB5"/>
    <w:rsid w:val="00312471"/>
    <w:rsid w:val="00312E7B"/>
    <w:rsid w:val="00313110"/>
    <w:rsid w:val="00313EE5"/>
    <w:rsid w:val="0031443F"/>
    <w:rsid w:val="0031522B"/>
    <w:rsid w:val="003162FF"/>
    <w:rsid w:val="0031639B"/>
    <w:rsid w:val="00316666"/>
    <w:rsid w:val="003166A5"/>
    <w:rsid w:val="00316F55"/>
    <w:rsid w:val="00317778"/>
    <w:rsid w:val="003179D3"/>
    <w:rsid w:val="00317B8E"/>
    <w:rsid w:val="00317F03"/>
    <w:rsid w:val="00317FC7"/>
    <w:rsid w:val="00320320"/>
    <w:rsid w:val="00320567"/>
    <w:rsid w:val="003208D4"/>
    <w:rsid w:val="00320E40"/>
    <w:rsid w:val="00321941"/>
    <w:rsid w:val="00321CB3"/>
    <w:rsid w:val="00321FB7"/>
    <w:rsid w:val="003227BC"/>
    <w:rsid w:val="00322AC7"/>
    <w:rsid w:val="003249E4"/>
    <w:rsid w:val="00325BCF"/>
    <w:rsid w:val="00326349"/>
    <w:rsid w:val="00327429"/>
    <w:rsid w:val="003305C1"/>
    <w:rsid w:val="00330C2D"/>
    <w:rsid w:val="00330D38"/>
    <w:rsid w:val="00330F25"/>
    <w:rsid w:val="003317A4"/>
    <w:rsid w:val="00331F55"/>
    <w:rsid w:val="00334B9A"/>
    <w:rsid w:val="00334D4B"/>
    <w:rsid w:val="00334F32"/>
    <w:rsid w:val="003354D8"/>
    <w:rsid w:val="003356B0"/>
    <w:rsid w:val="003360EF"/>
    <w:rsid w:val="00336CF2"/>
    <w:rsid w:val="00336D17"/>
    <w:rsid w:val="00337CD4"/>
    <w:rsid w:val="00340151"/>
    <w:rsid w:val="00340612"/>
    <w:rsid w:val="00340F0C"/>
    <w:rsid w:val="00341006"/>
    <w:rsid w:val="003415C5"/>
    <w:rsid w:val="003419DD"/>
    <w:rsid w:val="00341F76"/>
    <w:rsid w:val="00341FD6"/>
    <w:rsid w:val="003428F4"/>
    <w:rsid w:val="00343BE0"/>
    <w:rsid w:val="003446C0"/>
    <w:rsid w:val="00346A0C"/>
    <w:rsid w:val="00347500"/>
    <w:rsid w:val="00347520"/>
    <w:rsid w:val="00347D8A"/>
    <w:rsid w:val="00350921"/>
    <w:rsid w:val="0035179C"/>
    <w:rsid w:val="00351D00"/>
    <w:rsid w:val="00351D1E"/>
    <w:rsid w:val="00351D41"/>
    <w:rsid w:val="00352FEE"/>
    <w:rsid w:val="003531EA"/>
    <w:rsid w:val="0035329B"/>
    <w:rsid w:val="003534D0"/>
    <w:rsid w:val="003536C4"/>
    <w:rsid w:val="003548BA"/>
    <w:rsid w:val="00355456"/>
    <w:rsid w:val="00355714"/>
    <w:rsid w:val="00356370"/>
    <w:rsid w:val="0035680F"/>
    <w:rsid w:val="0035683E"/>
    <w:rsid w:val="00356D67"/>
    <w:rsid w:val="00360370"/>
    <w:rsid w:val="00360930"/>
    <w:rsid w:val="00360AE0"/>
    <w:rsid w:val="003612CA"/>
    <w:rsid w:val="00361ED3"/>
    <w:rsid w:val="003620C8"/>
    <w:rsid w:val="003620FC"/>
    <w:rsid w:val="00362BA4"/>
    <w:rsid w:val="00363126"/>
    <w:rsid w:val="003634CD"/>
    <w:rsid w:val="003637E3"/>
    <w:rsid w:val="00363BD8"/>
    <w:rsid w:val="00364CE9"/>
    <w:rsid w:val="00364DA5"/>
    <w:rsid w:val="0036527A"/>
    <w:rsid w:val="003653FA"/>
    <w:rsid w:val="00365807"/>
    <w:rsid w:val="00366942"/>
    <w:rsid w:val="00366EBC"/>
    <w:rsid w:val="00366F8C"/>
    <w:rsid w:val="00367727"/>
    <w:rsid w:val="00367CD7"/>
    <w:rsid w:val="003710CA"/>
    <w:rsid w:val="00371869"/>
    <w:rsid w:val="00371A15"/>
    <w:rsid w:val="00371C2E"/>
    <w:rsid w:val="00371C87"/>
    <w:rsid w:val="003720D9"/>
    <w:rsid w:val="0037246B"/>
    <w:rsid w:val="00372AE6"/>
    <w:rsid w:val="00372DAD"/>
    <w:rsid w:val="00372E52"/>
    <w:rsid w:val="003731F9"/>
    <w:rsid w:val="00373212"/>
    <w:rsid w:val="00373ACB"/>
    <w:rsid w:val="00374108"/>
    <w:rsid w:val="003743FB"/>
    <w:rsid w:val="00374464"/>
    <w:rsid w:val="00374716"/>
    <w:rsid w:val="00375485"/>
    <w:rsid w:val="003755CC"/>
    <w:rsid w:val="00375BD7"/>
    <w:rsid w:val="00375E3A"/>
    <w:rsid w:val="00375E9D"/>
    <w:rsid w:val="00376256"/>
    <w:rsid w:val="00377BA6"/>
    <w:rsid w:val="00377C21"/>
    <w:rsid w:val="00377E3B"/>
    <w:rsid w:val="00380129"/>
    <w:rsid w:val="0038022B"/>
    <w:rsid w:val="003802CC"/>
    <w:rsid w:val="00380C8A"/>
    <w:rsid w:val="003810A3"/>
    <w:rsid w:val="003815BB"/>
    <w:rsid w:val="0038188A"/>
    <w:rsid w:val="00381C8E"/>
    <w:rsid w:val="00382358"/>
    <w:rsid w:val="00382635"/>
    <w:rsid w:val="00383106"/>
    <w:rsid w:val="003831FD"/>
    <w:rsid w:val="00383345"/>
    <w:rsid w:val="00383B20"/>
    <w:rsid w:val="00383E95"/>
    <w:rsid w:val="003841C1"/>
    <w:rsid w:val="003850E1"/>
    <w:rsid w:val="003853C3"/>
    <w:rsid w:val="003858F2"/>
    <w:rsid w:val="00385F52"/>
    <w:rsid w:val="00387061"/>
    <w:rsid w:val="003872B7"/>
    <w:rsid w:val="003902B5"/>
    <w:rsid w:val="0039151C"/>
    <w:rsid w:val="0039196F"/>
    <w:rsid w:val="00391E83"/>
    <w:rsid w:val="00391EF5"/>
    <w:rsid w:val="00392C32"/>
    <w:rsid w:val="00392D91"/>
    <w:rsid w:val="00393543"/>
    <w:rsid w:val="00393D97"/>
    <w:rsid w:val="00394248"/>
    <w:rsid w:val="00394636"/>
    <w:rsid w:val="00394811"/>
    <w:rsid w:val="003949DC"/>
    <w:rsid w:val="00394B20"/>
    <w:rsid w:val="00395933"/>
    <w:rsid w:val="00395CB2"/>
    <w:rsid w:val="00395D69"/>
    <w:rsid w:val="00397B54"/>
    <w:rsid w:val="003A034A"/>
    <w:rsid w:val="003A0639"/>
    <w:rsid w:val="003A0A02"/>
    <w:rsid w:val="003A1132"/>
    <w:rsid w:val="003A1566"/>
    <w:rsid w:val="003A15C3"/>
    <w:rsid w:val="003A163A"/>
    <w:rsid w:val="003A204C"/>
    <w:rsid w:val="003A20D7"/>
    <w:rsid w:val="003A25F9"/>
    <w:rsid w:val="003A2888"/>
    <w:rsid w:val="003A3923"/>
    <w:rsid w:val="003A3961"/>
    <w:rsid w:val="003A471E"/>
    <w:rsid w:val="003A56B3"/>
    <w:rsid w:val="003A5939"/>
    <w:rsid w:val="003A6024"/>
    <w:rsid w:val="003A6CCE"/>
    <w:rsid w:val="003A6E00"/>
    <w:rsid w:val="003A73B8"/>
    <w:rsid w:val="003A7403"/>
    <w:rsid w:val="003A764E"/>
    <w:rsid w:val="003A7892"/>
    <w:rsid w:val="003B00EF"/>
    <w:rsid w:val="003B1BE9"/>
    <w:rsid w:val="003B23B6"/>
    <w:rsid w:val="003B279C"/>
    <w:rsid w:val="003B3263"/>
    <w:rsid w:val="003B3798"/>
    <w:rsid w:val="003B3D82"/>
    <w:rsid w:val="003B4761"/>
    <w:rsid w:val="003B53C1"/>
    <w:rsid w:val="003B5A30"/>
    <w:rsid w:val="003B5F97"/>
    <w:rsid w:val="003B648E"/>
    <w:rsid w:val="003B75FF"/>
    <w:rsid w:val="003B7898"/>
    <w:rsid w:val="003B7A0D"/>
    <w:rsid w:val="003C0934"/>
    <w:rsid w:val="003C1458"/>
    <w:rsid w:val="003C1C95"/>
    <w:rsid w:val="003C2787"/>
    <w:rsid w:val="003C27EF"/>
    <w:rsid w:val="003C2AB5"/>
    <w:rsid w:val="003C2DBE"/>
    <w:rsid w:val="003C30E6"/>
    <w:rsid w:val="003C360F"/>
    <w:rsid w:val="003C36D1"/>
    <w:rsid w:val="003C370F"/>
    <w:rsid w:val="003C49D6"/>
    <w:rsid w:val="003C4B90"/>
    <w:rsid w:val="003C5475"/>
    <w:rsid w:val="003C5A8A"/>
    <w:rsid w:val="003C658B"/>
    <w:rsid w:val="003C7252"/>
    <w:rsid w:val="003C77A3"/>
    <w:rsid w:val="003C785C"/>
    <w:rsid w:val="003D0072"/>
    <w:rsid w:val="003D0564"/>
    <w:rsid w:val="003D062A"/>
    <w:rsid w:val="003D0BFD"/>
    <w:rsid w:val="003D1AC6"/>
    <w:rsid w:val="003D2090"/>
    <w:rsid w:val="003D24AC"/>
    <w:rsid w:val="003D26B9"/>
    <w:rsid w:val="003D2857"/>
    <w:rsid w:val="003D2D61"/>
    <w:rsid w:val="003D32EC"/>
    <w:rsid w:val="003D40E4"/>
    <w:rsid w:val="003D451C"/>
    <w:rsid w:val="003D4D40"/>
    <w:rsid w:val="003D5475"/>
    <w:rsid w:val="003D5DF8"/>
    <w:rsid w:val="003D6A11"/>
    <w:rsid w:val="003D7E98"/>
    <w:rsid w:val="003E075A"/>
    <w:rsid w:val="003E0FAF"/>
    <w:rsid w:val="003E1127"/>
    <w:rsid w:val="003E1472"/>
    <w:rsid w:val="003E1672"/>
    <w:rsid w:val="003E1AA2"/>
    <w:rsid w:val="003E20A1"/>
    <w:rsid w:val="003E2800"/>
    <w:rsid w:val="003E2808"/>
    <w:rsid w:val="003E2ACE"/>
    <w:rsid w:val="003E2BB3"/>
    <w:rsid w:val="003E2DA2"/>
    <w:rsid w:val="003E37C5"/>
    <w:rsid w:val="003E4185"/>
    <w:rsid w:val="003E463D"/>
    <w:rsid w:val="003E5015"/>
    <w:rsid w:val="003E5E68"/>
    <w:rsid w:val="003E76B7"/>
    <w:rsid w:val="003E7CD9"/>
    <w:rsid w:val="003F04C7"/>
    <w:rsid w:val="003F172F"/>
    <w:rsid w:val="003F1D06"/>
    <w:rsid w:val="003F2767"/>
    <w:rsid w:val="003F2FFB"/>
    <w:rsid w:val="003F3000"/>
    <w:rsid w:val="003F30AF"/>
    <w:rsid w:val="003F30BC"/>
    <w:rsid w:val="003F326F"/>
    <w:rsid w:val="003F435B"/>
    <w:rsid w:val="003F46AE"/>
    <w:rsid w:val="003F4E4E"/>
    <w:rsid w:val="003F544E"/>
    <w:rsid w:val="003F5692"/>
    <w:rsid w:val="003F56A0"/>
    <w:rsid w:val="003F591F"/>
    <w:rsid w:val="003F665B"/>
    <w:rsid w:val="003F694E"/>
    <w:rsid w:val="003F6A6E"/>
    <w:rsid w:val="003F72E9"/>
    <w:rsid w:val="003F7BE3"/>
    <w:rsid w:val="003F7EF5"/>
    <w:rsid w:val="00401A1A"/>
    <w:rsid w:val="00401E19"/>
    <w:rsid w:val="0040255C"/>
    <w:rsid w:val="0040421D"/>
    <w:rsid w:val="00404D7C"/>
    <w:rsid w:val="0040505E"/>
    <w:rsid w:val="00405153"/>
    <w:rsid w:val="004057B5"/>
    <w:rsid w:val="00405C5B"/>
    <w:rsid w:val="00406370"/>
    <w:rsid w:val="00407048"/>
    <w:rsid w:val="004072A7"/>
    <w:rsid w:val="00410B1A"/>
    <w:rsid w:val="00411D8D"/>
    <w:rsid w:val="0041215B"/>
    <w:rsid w:val="004126E6"/>
    <w:rsid w:val="004131E3"/>
    <w:rsid w:val="0041320D"/>
    <w:rsid w:val="00413610"/>
    <w:rsid w:val="00413935"/>
    <w:rsid w:val="00413ADB"/>
    <w:rsid w:val="00413E6D"/>
    <w:rsid w:val="004142B9"/>
    <w:rsid w:val="00414341"/>
    <w:rsid w:val="004144F5"/>
    <w:rsid w:val="004146AC"/>
    <w:rsid w:val="00414F77"/>
    <w:rsid w:val="00415367"/>
    <w:rsid w:val="00416521"/>
    <w:rsid w:val="00416B44"/>
    <w:rsid w:val="00416EF0"/>
    <w:rsid w:val="0041745B"/>
    <w:rsid w:val="0041760E"/>
    <w:rsid w:val="004177B8"/>
    <w:rsid w:val="00417A70"/>
    <w:rsid w:val="00420D48"/>
    <w:rsid w:val="00421272"/>
    <w:rsid w:val="004212CA"/>
    <w:rsid w:val="00421648"/>
    <w:rsid w:val="004219FD"/>
    <w:rsid w:val="00422DF2"/>
    <w:rsid w:val="00423F0D"/>
    <w:rsid w:val="00424611"/>
    <w:rsid w:val="00425077"/>
    <w:rsid w:val="0042544F"/>
    <w:rsid w:val="004258A7"/>
    <w:rsid w:val="00425A77"/>
    <w:rsid w:val="00425B71"/>
    <w:rsid w:val="00426DCA"/>
    <w:rsid w:val="00426DF1"/>
    <w:rsid w:val="00427395"/>
    <w:rsid w:val="00427798"/>
    <w:rsid w:val="00427934"/>
    <w:rsid w:val="00430018"/>
    <w:rsid w:val="004303A3"/>
    <w:rsid w:val="00430A59"/>
    <w:rsid w:val="00430AB4"/>
    <w:rsid w:val="0043202F"/>
    <w:rsid w:val="00432617"/>
    <w:rsid w:val="004327BD"/>
    <w:rsid w:val="00433149"/>
    <w:rsid w:val="00433703"/>
    <w:rsid w:val="00434AB2"/>
    <w:rsid w:val="00434D3E"/>
    <w:rsid w:val="00434EA4"/>
    <w:rsid w:val="0043543B"/>
    <w:rsid w:val="004355FE"/>
    <w:rsid w:val="0043578F"/>
    <w:rsid w:val="004358A8"/>
    <w:rsid w:val="0043632A"/>
    <w:rsid w:val="00436DD2"/>
    <w:rsid w:val="00437062"/>
    <w:rsid w:val="0043730A"/>
    <w:rsid w:val="00437772"/>
    <w:rsid w:val="00437899"/>
    <w:rsid w:val="00437EF5"/>
    <w:rsid w:val="0044009E"/>
    <w:rsid w:val="00440228"/>
    <w:rsid w:val="0044052A"/>
    <w:rsid w:val="004406A6"/>
    <w:rsid w:val="00440E4F"/>
    <w:rsid w:val="00440EBA"/>
    <w:rsid w:val="00441345"/>
    <w:rsid w:val="004427E9"/>
    <w:rsid w:val="00443A40"/>
    <w:rsid w:val="00443B72"/>
    <w:rsid w:val="004441AA"/>
    <w:rsid w:val="0044460F"/>
    <w:rsid w:val="0044468F"/>
    <w:rsid w:val="004448D8"/>
    <w:rsid w:val="00444A1C"/>
    <w:rsid w:val="00444D08"/>
    <w:rsid w:val="00445120"/>
    <w:rsid w:val="00445211"/>
    <w:rsid w:val="004452E0"/>
    <w:rsid w:val="0044537F"/>
    <w:rsid w:val="00445DA6"/>
    <w:rsid w:val="00445DB4"/>
    <w:rsid w:val="00446353"/>
    <w:rsid w:val="00446955"/>
    <w:rsid w:val="004469FB"/>
    <w:rsid w:val="00446C21"/>
    <w:rsid w:val="00446CB0"/>
    <w:rsid w:val="0044786E"/>
    <w:rsid w:val="004505E8"/>
    <w:rsid w:val="00450DE4"/>
    <w:rsid w:val="0045113E"/>
    <w:rsid w:val="004513AB"/>
    <w:rsid w:val="0045166E"/>
    <w:rsid w:val="00451B24"/>
    <w:rsid w:val="0045265F"/>
    <w:rsid w:val="00453505"/>
    <w:rsid w:val="00454094"/>
    <w:rsid w:val="00454B46"/>
    <w:rsid w:val="00454D81"/>
    <w:rsid w:val="0045504C"/>
    <w:rsid w:val="004558A1"/>
    <w:rsid w:val="00455F41"/>
    <w:rsid w:val="00456024"/>
    <w:rsid w:val="00456E3A"/>
    <w:rsid w:val="004571B5"/>
    <w:rsid w:val="004579C9"/>
    <w:rsid w:val="00457BFE"/>
    <w:rsid w:val="00457D8D"/>
    <w:rsid w:val="00457FC9"/>
    <w:rsid w:val="0046153C"/>
    <w:rsid w:val="004617BA"/>
    <w:rsid w:val="00461A7A"/>
    <w:rsid w:val="00461DC5"/>
    <w:rsid w:val="00462250"/>
    <w:rsid w:val="0046270E"/>
    <w:rsid w:val="00462C07"/>
    <w:rsid w:val="004634E8"/>
    <w:rsid w:val="00463947"/>
    <w:rsid w:val="00464DAB"/>
    <w:rsid w:val="00465057"/>
    <w:rsid w:val="00465AF2"/>
    <w:rsid w:val="00466F3F"/>
    <w:rsid w:val="004675AE"/>
    <w:rsid w:val="00467636"/>
    <w:rsid w:val="00467D65"/>
    <w:rsid w:val="00470486"/>
    <w:rsid w:val="00470C82"/>
    <w:rsid w:val="00471738"/>
    <w:rsid w:val="00471943"/>
    <w:rsid w:val="00471DAD"/>
    <w:rsid w:val="00472089"/>
    <w:rsid w:val="004723C4"/>
    <w:rsid w:val="004724C0"/>
    <w:rsid w:val="00472C18"/>
    <w:rsid w:val="00473099"/>
    <w:rsid w:val="00473B90"/>
    <w:rsid w:val="004740B9"/>
    <w:rsid w:val="00474FC2"/>
    <w:rsid w:val="00475BA2"/>
    <w:rsid w:val="00476976"/>
    <w:rsid w:val="004769BC"/>
    <w:rsid w:val="00476F1C"/>
    <w:rsid w:val="004770D1"/>
    <w:rsid w:val="00477260"/>
    <w:rsid w:val="0048040F"/>
    <w:rsid w:val="00481B4F"/>
    <w:rsid w:val="00481C2B"/>
    <w:rsid w:val="00483042"/>
    <w:rsid w:val="00483809"/>
    <w:rsid w:val="004840A0"/>
    <w:rsid w:val="004841DA"/>
    <w:rsid w:val="00484D9F"/>
    <w:rsid w:val="00484EA4"/>
    <w:rsid w:val="00484F6C"/>
    <w:rsid w:val="004854C0"/>
    <w:rsid w:val="004869CF"/>
    <w:rsid w:val="0048700A"/>
    <w:rsid w:val="0048733A"/>
    <w:rsid w:val="00487CB7"/>
    <w:rsid w:val="0049061C"/>
    <w:rsid w:val="00490738"/>
    <w:rsid w:val="00490D90"/>
    <w:rsid w:val="00490DF9"/>
    <w:rsid w:val="0049119B"/>
    <w:rsid w:val="00491303"/>
    <w:rsid w:val="00491995"/>
    <w:rsid w:val="0049289F"/>
    <w:rsid w:val="00493207"/>
    <w:rsid w:val="00494047"/>
    <w:rsid w:val="0049440D"/>
    <w:rsid w:val="00494A2B"/>
    <w:rsid w:val="00495610"/>
    <w:rsid w:val="00496269"/>
    <w:rsid w:val="0049710A"/>
    <w:rsid w:val="004A0160"/>
    <w:rsid w:val="004A09C6"/>
    <w:rsid w:val="004A13F2"/>
    <w:rsid w:val="004A171B"/>
    <w:rsid w:val="004A22E5"/>
    <w:rsid w:val="004A28A3"/>
    <w:rsid w:val="004A2A92"/>
    <w:rsid w:val="004A2BAE"/>
    <w:rsid w:val="004A2BBD"/>
    <w:rsid w:val="004A4B0A"/>
    <w:rsid w:val="004A529C"/>
    <w:rsid w:val="004A569E"/>
    <w:rsid w:val="004A5A2E"/>
    <w:rsid w:val="004A6313"/>
    <w:rsid w:val="004A6521"/>
    <w:rsid w:val="004A68BB"/>
    <w:rsid w:val="004A7626"/>
    <w:rsid w:val="004A7E28"/>
    <w:rsid w:val="004B065D"/>
    <w:rsid w:val="004B0C8D"/>
    <w:rsid w:val="004B122F"/>
    <w:rsid w:val="004B15EA"/>
    <w:rsid w:val="004B20D1"/>
    <w:rsid w:val="004B236B"/>
    <w:rsid w:val="004B25BB"/>
    <w:rsid w:val="004B33E2"/>
    <w:rsid w:val="004B3515"/>
    <w:rsid w:val="004B3576"/>
    <w:rsid w:val="004B4BC6"/>
    <w:rsid w:val="004B5331"/>
    <w:rsid w:val="004B69DE"/>
    <w:rsid w:val="004B77A4"/>
    <w:rsid w:val="004C00BB"/>
    <w:rsid w:val="004C0DF9"/>
    <w:rsid w:val="004C0EA3"/>
    <w:rsid w:val="004C1BF6"/>
    <w:rsid w:val="004C2068"/>
    <w:rsid w:val="004C265D"/>
    <w:rsid w:val="004C28A4"/>
    <w:rsid w:val="004C2EAD"/>
    <w:rsid w:val="004C3DD7"/>
    <w:rsid w:val="004C4A25"/>
    <w:rsid w:val="004C4DFE"/>
    <w:rsid w:val="004C5406"/>
    <w:rsid w:val="004C6244"/>
    <w:rsid w:val="004C6A14"/>
    <w:rsid w:val="004C7337"/>
    <w:rsid w:val="004C7A6B"/>
    <w:rsid w:val="004D051B"/>
    <w:rsid w:val="004D0563"/>
    <w:rsid w:val="004D11E4"/>
    <w:rsid w:val="004D1EB7"/>
    <w:rsid w:val="004D20AA"/>
    <w:rsid w:val="004D2132"/>
    <w:rsid w:val="004D266B"/>
    <w:rsid w:val="004D2B12"/>
    <w:rsid w:val="004D322A"/>
    <w:rsid w:val="004D3241"/>
    <w:rsid w:val="004D51B8"/>
    <w:rsid w:val="004D575F"/>
    <w:rsid w:val="004D57F7"/>
    <w:rsid w:val="004D60AE"/>
    <w:rsid w:val="004D69E3"/>
    <w:rsid w:val="004D720E"/>
    <w:rsid w:val="004D749C"/>
    <w:rsid w:val="004D7BE5"/>
    <w:rsid w:val="004D7CFC"/>
    <w:rsid w:val="004D7DC4"/>
    <w:rsid w:val="004E0177"/>
    <w:rsid w:val="004E0C95"/>
    <w:rsid w:val="004E1314"/>
    <w:rsid w:val="004E1D78"/>
    <w:rsid w:val="004E2287"/>
    <w:rsid w:val="004E23C5"/>
    <w:rsid w:val="004E2AE4"/>
    <w:rsid w:val="004E2E68"/>
    <w:rsid w:val="004E3105"/>
    <w:rsid w:val="004E3354"/>
    <w:rsid w:val="004E3C15"/>
    <w:rsid w:val="004E482C"/>
    <w:rsid w:val="004E4B76"/>
    <w:rsid w:val="004E4DFE"/>
    <w:rsid w:val="004E5354"/>
    <w:rsid w:val="004E54C8"/>
    <w:rsid w:val="004E5685"/>
    <w:rsid w:val="004E5D3E"/>
    <w:rsid w:val="004E5D9D"/>
    <w:rsid w:val="004E601C"/>
    <w:rsid w:val="004E61C8"/>
    <w:rsid w:val="004E667B"/>
    <w:rsid w:val="004E724B"/>
    <w:rsid w:val="004E7DAC"/>
    <w:rsid w:val="004F0321"/>
    <w:rsid w:val="004F046E"/>
    <w:rsid w:val="004F09AD"/>
    <w:rsid w:val="004F0A86"/>
    <w:rsid w:val="004F1439"/>
    <w:rsid w:val="004F1FF9"/>
    <w:rsid w:val="004F2339"/>
    <w:rsid w:val="004F2535"/>
    <w:rsid w:val="004F2A60"/>
    <w:rsid w:val="004F2ADB"/>
    <w:rsid w:val="004F31A2"/>
    <w:rsid w:val="004F3241"/>
    <w:rsid w:val="004F40DE"/>
    <w:rsid w:val="004F4267"/>
    <w:rsid w:val="004F46D0"/>
    <w:rsid w:val="004F4F5B"/>
    <w:rsid w:val="004F596A"/>
    <w:rsid w:val="004F5AE4"/>
    <w:rsid w:val="004F6906"/>
    <w:rsid w:val="004F6D2E"/>
    <w:rsid w:val="004F7029"/>
    <w:rsid w:val="004F73F4"/>
    <w:rsid w:val="004F76F9"/>
    <w:rsid w:val="005001D9"/>
    <w:rsid w:val="00500325"/>
    <w:rsid w:val="0050032C"/>
    <w:rsid w:val="0050045E"/>
    <w:rsid w:val="00501C27"/>
    <w:rsid w:val="00501D1F"/>
    <w:rsid w:val="0050261C"/>
    <w:rsid w:val="00502625"/>
    <w:rsid w:val="00502D94"/>
    <w:rsid w:val="005031AA"/>
    <w:rsid w:val="00503301"/>
    <w:rsid w:val="005037F7"/>
    <w:rsid w:val="005038CF"/>
    <w:rsid w:val="00504248"/>
    <w:rsid w:val="00504A3A"/>
    <w:rsid w:val="00505018"/>
    <w:rsid w:val="005052EC"/>
    <w:rsid w:val="00505D88"/>
    <w:rsid w:val="00505DB0"/>
    <w:rsid w:val="00506098"/>
    <w:rsid w:val="0050638D"/>
    <w:rsid w:val="00506AC0"/>
    <w:rsid w:val="00506DD2"/>
    <w:rsid w:val="005078FD"/>
    <w:rsid w:val="00510184"/>
    <w:rsid w:val="0051064F"/>
    <w:rsid w:val="00510818"/>
    <w:rsid w:val="005110F3"/>
    <w:rsid w:val="005116FE"/>
    <w:rsid w:val="0051173C"/>
    <w:rsid w:val="0051176F"/>
    <w:rsid w:val="00512947"/>
    <w:rsid w:val="00512D8E"/>
    <w:rsid w:val="005131AA"/>
    <w:rsid w:val="00513DD4"/>
    <w:rsid w:val="0051407D"/>
    <w:rsid w:val="0051474B"/>
    <w:rsid w:val="005151C5"/>
    <w:rsid w:val="00515781"/>
    <w:rsid w:val="005161E3"/>
    <w:rsid w:val="00516C4D"/>
    <w:rsid w:val="005172AC"/>
    <w:rsid w:val="00517676"/>
    <w:rsid w:val="005209FF"/>
    <w:rsid w:val="005229F8"/>
    <w:rsid w:val="0052324B"/>
    <w:rsid w:val="00523A7B"/>
    <w:rsid w:val="005240DF"/>
    <w:rsid w:val="005243A0"/>
    <w:rsid w:val="00524ABE"/>
    <w:rsid w:val="00524CF5"/>
    <w:rsid w:val="005267AA"/>
    <w:rsid w:val="0052691D"/>
    <w:rsid w:val="00526AAD"/>
    <w:rsid w:val="00527512"/>
    <w:rsid w:val="00527C06"/>
    <w:rsid w:val="0053091E"/>
    <w:rsid w:val="00530F66"/>
    <w:rsid w:val="005324D9"/>
    <w:rsid w:val="00532551"/>
    <w:rsid w:val="005329F5"/>
    <w:rsid w:val="00532BFD"/>
    <w:rsid w:val="00532F72"/>
    <w:rsid w:val="00533FC9"/>
    <w:rsid w:val="00534303"/>
    <w:rsid w:val="00534705"/>
    <w:rsid w:val="00535279"/>
    <w:rsid w:val="005354B1"/>
    <w:rsid w:val="00536BC5"/>
    <w:rsid w:val="005371B7"/>
    <w:rsid w:val="00537F6D"/>
    <w:rsid w:val="00540224"/>
    <w:rsid w:val="00540EC6"/>
    <w:rsid w:val="00541673"/>
    <w:rsid w:val="00541919"/>
    <w:rsid w:val="00541F75"/>
    <w:rsid w:val="0054285D"/>
    <w:rsid w:val="005429FF"/>
    <w:rsid w:val="005439FE"/>
    <w:rsid w:val="00543C1C"/>
    <w:rsid w:val="00543D28"/>
    <w:rsid w:val="005447FD"/>
    <w:rsid w:val="00544950"/>
    <w:rsid w:val="005459BD"/>
    <w:rsid w:val="00546636"/>
    <w:rsid w:val="005467DD"/>
    <w:rsid w:val="00546EF0"/>
    <w:rsid w:val="00546FF3"/>
    <w:rsid w:val="00547503"/>
    <w:rsid w:val="005478B7"/>
    <w:rsid w:val="00547F73"/>
    <w:rsid w:val="005505B9"/>
    <w:rsid w:val="00553637"/>
    <w:rsid w:val="00553FB7"/>
    <w:rsid w:val="0055494C"/>
    <w:rsid w:val="00554B84"/>
    <w:rsid w:val="00555F00"/>
    <w:rsid w:val="0055630A"/>
    <w:rsid w:val="005566C5"/>
    <w:rsid w:val="00556B35"/>
    <w:rsid w:val="00556FAB"/>
    <w:rsid w:val="00557223"/>
    <w:rsid w:val="0055750B"/>
    <w:rsid w:val="005575B7"/>
    <w:rsid w:val="00560182"/>
    <w:rsid w:val="0056025E"/>
    <w:rsid w:val="00560A00"/>
    <w:rsid w:val="0056102D"/>
    <w:rsid w:val="00561A0F"/>
    <w:rsid w:val="00562063"/>
    <w:rsid w:val="00562225"/>
    <w:rsid w:val="005623CB"/>
    <w:rsid w:val="00563E65"/>
    <w:rsid w:val="005643F8"/>
    <w:rsid w:val="00565970"/>
    <w:rsid w:val="00565DC4"/>
    <w:rsid w:val="005676E9"/>
    <w:rsid w:val="0056772E"/>
    <w:rsid w:val="0056784F"/>
    <w:rsid w:val="00567D84"/>
    <w:rsid w:val="005700E9"/>
    <w:rsid w:val="0057061E"/>
    <w:rsid w:val="005707D7"/>
    <w:rsid w:val="005707E7"/>
    <w:rsid w:val="00570AF9"/>
    <w:rsid w:val="00570CAD"/>
    <w:rsid w:val="00570D33"/>
    <w:rsid w:val="00570FEF"/>
    <w:rsid w:val="005719AF"/>
    <w:rsid w:val="00572CAB"/>
    <w:rsid w:val="00573437"/>
    <w:rsid w:val="00574A4A"/>
    <w:rsid w:val="00574CD0"/>
    <w:rsid w:val="00575C11"/>
    <w:rsid w:val="00575CCC"/>
    <w:rsid w:val="00577219"/>
    <w:rsid w:val="00577F08"/>
    <w:rsid w:val="00580858"/>
    <w:rsid w:val="00580B95"/>
    <w:rsid w:val="00580BAC"/>
    <w:rsid w:val="00580D95"/>
    <w:rsid w:val="005811C1"/>
    <w:rsid w:val="005816C9"/>
    <w:rsid w:val="005821D1"/>
    <w:rsid w:val="005823FF"/>
    <w:rsid w:val="0058240D"/>
    <w:rsid w:val="0058253E"/>
    <w:rsid w:val="00582806"/>
    <w:rsid w:val="00582BA3"/>
    <w:rsid w:val="00582EE6"/>
    <w:rsid w:val="00583AB8"/>
    <w:rsid w:val="00583E45"/>
    <w:rsid w:val="00584625"/>
    <w:rsid w:val="0058545D"/>
    <w:rsid w:val="005870DC"/>
    <w:rsid w:val="0058740C"/>
    <w:rsid w:val="00587D29"/>
    <w:rsid w:val="005900BA"/>
    <w:rsid w:val="005905A2"/>
    <w:rsid w:val="005916E7"/>
    <w:rsid w:val="00591A53"/>
    <w:rsid w:val="0059210B"/>
    <w:rsid w:val="00592224"/>
    <w:rsid w:val="0059252A"/>
    <w:rsid w:val="0059258B"/>
    <w:rsid w:val="005925F4"/>
    <w:rsid w:val="005933AE"/>
    <w:rsid w:val="00594478"/>
    <w:rsid w:val="00594BFD"/>
    <w:rsid w:val="005956E6"/>
    <w:rsid w:val="00595DE6"/>
    <w:rsid w:val="00595DE9"/>
    <w:rsid w:val="005A01DE"/>
    <w:rsid w:val="005A0213"/>
    <w:rsid w:val="005A045E"/>
    <w:rsid w:val="005A0FB6"/>
    <w:rsid w:val="005A19F1"/>
    <w:rsid w:val="005A232C"/>
    <w:rsid w:val="005A265B"/>
    <w:rsid w:val="005A3245"/>
    <w:rsid w:val="005A3E43"/>
    <w:rsid w:val="005A422F"/>
    <w:rsid w:val="005A4272"/>
    <w:rsid w:val="005A5856"/>
    <w:rsid w:val="005A6D46"/>
    <w:rsid w:val="005A789F"/>
    <w:rsid w:val="005A7B9E"/>
    <w:rsid w:val="005A7C5A"/>
    <w:rsid w:val="005B0A99"/>
    <w:rsid w:val="005B153E"/>
    <w:rsid w:val="005B158C"/>
    <w:rsid w:val="005B1DFE"/>
    <w:rsid w:val="005B27B6"/>
    <w:rsid w:val="005B27E8"/>
    <w:rsid w:val="005B2F3C"/>
    <w:rsid w:val="005B3843"/>
    <w:rsid w:val="005B40F1"/>
    <w:rsid w:val="005B4F06"/>
    <w:rsid w:val="005B61BA"/>
    <w:rsid w:val="005B671A"/>
    <w:rsid w:val="005B7C2A"/>
    <w:rsid w:val="005B7DD3"/>
    <w:rsid w:val="005C01D3"/>
    <w:rsid w:val="005C0227"/>
    <w:rsid w:val="005C02B8"/>
    <w:rsid w:val="005C0FDC"/>
    <w:rsid w:val="005C126B"/>
    <w:rsid w:val="005C28D7"/>
    <w:rsid w:val="005C4205"/>
    <w:rsid w:val="005C4B37"/>
    <w:rsid w:val="005C6C1F"/>
    <w:rsid w:val="005C6D1B"/>
    <w:rsid w:val="005C6EF9"/>
    <w:rsid w:val="005C726B"/>
    <w:rsid w:val="005C737C"/>
    <w:rsid w:val="005D0692"/>
    <w:rsid w:val="005D0A65"/>
    <w:rsid w:val="005D0FEF"/>
    <w:rsid w:val="005D113E"/>
    <w:rsid w:val="005D1337"/>
    <w:rsid w:val="005D182A"/>
    <w:rsid w:val="005D1AD9"/>
    <w:rsid w:val="005D2A47"/>
    <w:rsid w:val="005D2E85"/>
    <w:rsid w:val="005D30EF"/>
    <w:rsid w:val="005D3145"/>
    <w:rsid w:val="005D3AE9"/>
    <w:rsid w:val="005D3EA0"/>
    <w:rsid w:val="005D4444"/>
    <w:rsid w:val="005D454C"/>
    <w:rsid w:val="005D4820"/>
    <w:rsid w:val="005D4B57"/>
    <w:rsid w:val="005D51ED"/>
    <w:rsid w:val="005D5F25"/>
    <w:rsid w:val="005D6590"/>
    <w:rsid w:val="005D7053"/>
    <w:rsid w:val="005E1CB4"/>
    <w:rsid w:val="005E2975"/>
    <w:rsid w:val="005E29E6"/>
    <w:rsid w:val="005E2EF4"/>
    <w:rsid w:val="005E3439"/>
    <w:rsid w:val="005E4543"/>
    <w:rsid w:val="005E4FE7"/>
    <w:rsid w:val="005E75F0"/>
    <w:rsid w:val="005E762D"/>
    <w:rsid w:val="005E7AAE"/>
    <w:rsid w:val="005E7D6F"/>
    <w:rsid w:val="005F0F67"/>
    <w:rsid w:val="005F1F03"/>
    <w:rsid w:val="005F3E26"/>
    <w:rsid w:val="005F4853"/>
    <w:rsid w:val="005F50C5"/>
    <w:rsid w:val="005F527B"/>
    <w:rsid w:val="005F54FB"/>
    <w:rsid w:val="005F5AB4"/>
    <w:rsid w:val="005F5CF9"/>
    <w:rsid w:val="005F615D"/>
    <w:rsid w:val="005F6D9F"/>
    <w:rsid w:val="005F71F8"/>
    <w:rsid w:val="005F7686"/>
    <w:rsid w:val="005F78B4"/>
    <w:rsid w:val="00600447"/>
    <w:rsid w:val="006006A2"/>
    <w:rsid w:val="00600903"/>
    <w:rsid w:val="00600995"/>
    <w:rsid w:val="00601B61"/>
    <w:rsid w:val="00602553"/>
    <w:rsid w:val="00602769"/>
    <w:rsid w:val="00602831"/>
    <w:rsid w:val="00602C8C"/>
    <w:rsid w:val="0060384B"/>
    <w:rsid w:val="00603B57"/>
    <w:rsid w:val="00603EB6"/>
    <w:rsid w:val="00604327"/>
    <w:rsid w:val="00604571"/>
    <w:rsid w:val="0060494A"/>
    <w:rsid w:val="00604996"/>
    <w:rsid w:val="00604B08"/>
    <w:rsid w:val="00604B6B"/>
    <w:rsid w:val="00604DAE"/>
    <w:rsid w:val="006053AB"/>
    <w:rsid w:val="00605592"/>
    <w:rsid w:val="00606914"/>
    <w:rsid w:val="00606EF8"/>
    <w:rsid w:val="00607154"/>
    <w:rsid w:val="0060721E"/>
    <w:rsid w:val="006078BE"/>
    <w:rsid w:val="00607DF2"/>
    <w:rsid w:val="00610410"/>
    <w:rsid w:val="00610F23"/>
    <w:rsid w:val="00611CF2"/>
    <w:rsid w:val="00612FB1"/>
    <w:rsid w:val="00613797"/>
    <w:rsid w:val="00613DF3"/>
    <w:rsid w:val="006142F4"/>
    <w:rsid w:val="00615128"/>
    <w:rsid w:val="00615C4D"/>
    <w:rsid w:val="006164C9"/>
    <w:rsid w:val="00617CC1"/>
    <w:rsid w:val="00617EBF"/>
    <w:rsid w:val="00620119"/>
    <w:rsid w:val="006202AE"/>
    <w:rsid w:val="00620C6B"/>
    <w:rsid w:val="00621383"/>
    <w:rsid w:val="00622463"/>
    <w:rsid w:val="00622694"/>
    <w:rsid w:val="00623129"/>
    <w:rsid w:val="00623923"/>
    <w:rsid w:val="00623C15"/>
    <w:rsid w:val="00624310"/>
    <w:rsid w:val="00624E06"/>
    <w:rsid w:val="006253B1"/>
    <w:rsid w:val="00626302"/>
    <w:rsid w:val="0062632C"/>
    <w:rsid w:val="00626A62"/>
    <w:rsid w:val="00626EFE"/>
    <w:rsid w:val="00626FC3"/>
    <w:rsid w:val="006277F7"/>
    <w:rsid w:val="00627DDD"/>
    <w:rsid w:val="006305BE"/>
    <w:rsid w:val="00631057"/>
    <w:rsid w:val="0063115F"/>
    <w:rsid w:val="00631F2F"/>
    <w:rsid w:val="00631F5D"/>
    <w:rsid w:val="006328AE"/>
    <w:rsid w:val="00632B78"/>
    <w:rsid w:val="00633D05"/>
    <w:rsid w:val="006348AC"/>
    <w:rsid w:val="006355C0"/>
    <w:rsid w:val="00635B5A"/>
    <w:rsid w:val="00635DFB"/>
    <w:rsid w:val="00635E78"/>
    <w:rsid w:val="00635F09"/>
    <w:rsid w:val="00636118"/>
    <w:rsid w:val="006369C5"/>
    <w:rsid w:val="00637F20"/>
    <w:rsid w:val="006405FB"/>
    <w:rsid w:val="00640E38"/>
    <w:rsid w:val="00640F1D"/>
    <w:rsid w:val="00641024"/>
    <w:rsid w:val="006415E8"/>
    <w:rsid w:val="00642B81"/>
    <w:rsid w:val="00643159"/>
    <w:rsid w:val="00643742"/>
    <w:rsid w:val="006442A0"/>
    <w:rsid w:val="0064534A"/>
    <w:rsid w:val="00645613"/>
    <w:rsid w:val="0064570C"/>
    <w:rsid w:val="00645855"/>
    <w:rsid w:val="00645B99"/>
    <w:rsid w:val="00646AE1"/>
    <w:rsid w:val="00650B8F"/>
    <w:rsid w:val="00650C46"/>
    <w:rsid w:val="00650CA0"/>
    <w:rsid w:val="00651194"/>
    <w:rsid w:val="0065258C"/>
    <w:rsid w:val="00652BD4"/>
    <w:rsid w:val="006530EA"/>
    <w:rsid w:val="00655522"/>
    <w:rsid w:val="00655B95"/>
    <w:rsid w:val="0065603B"/>
    <w:rsid w:val="0065664B"/>
    <w:rsid w:val="00656FF5"/>
    <w:rsid w:val="006578E5"/>
    <w:rsid w:val="00657D4E"/>
    <w:rsid w:val="00660858"/>
    <w:rsid w:val="006608E6"/>
    <w:rsid w:val="00660DD7"/>
    <w:rsid w:val="00661583"/>
    <w:rsid w:val="0066170B"/>
    <w:rsid w:val="0066236C"/>
    <w:rsid w:val="00662AC3"/>
    <w:rsid w:val="00663040"/>
    <w:rsid w:val="006637BF"/>
    <w:rsid w:val="00663AED"/>
    <w:rsid w:val="0066422C"/>
    <w:rsid w:val="00665BE8"/>
    <w:rsid w:val="00665DA8"/>
    <w:rsid w:val="006661AE"/>
    <w:rsid w:val="006672E2"/>
    <w:rsid w:val="00667335"/>
    <w:rsid w:val="00667908"/>
    <w:rsid w:val="00667C3E"/>
    <w:rsid w:val="0067011B"/>
    <w:rsid w:val="00670140"/>
    <w:rsid w:val="006701A8"/>
    <w:rsid w:val="00670CF6"/>
    <w:rsid w:val="00670D65"/>
    <w:rsid w:val="00671147"/>
    <w:rsid w:val="00671441"/>
    <w:rsid w:val="0067151C"/>
    <w:rsid w:val="006721D9"/>
    <w:rsid w:val="00672584"/>
    <w:rsid w:val="00672736"/>
    <w:rsid w:val="00672D00"/>
    <w:rsid w:val="00672FD4"/>
    <w:rsid w:val="006737D9"/>
    <w:rsid w:val="006739B9"/>
    <w:rsid w:val="00673ADD"/>
    <w:rsid w:val="00673B61"/>
    <w:rsid w:val="00674224"/>
    <w:rsid w:val="00674B49"/>
    <w:rsid w:val="00674C11"/>
    <w:rsid w:val="00674FA0"/>
    <w:rsid w:val="00675109"/>
    <w:rsid w:val="00675223"/>
    <w:rsid w:val="0067533A"/>
    <w:rsid w:val="00675418"/>
    <w:rsid w:val="006754EF"/>
    <w:rsid w:val="006763E4"/>
    <w:rsid w:val="00676556"/>
    <w:rsid w:val="006767AF"/>
    <w:rsid w:val="00677228"/>
    <w:rsid w:val="0067797B"/>
    <w:rsid w:val="0067798C"/>
    <w:rsid w:val="0067799F"/>
    <w:rsid w:val="00677E1B"/>
    <w:rsid w:val="00680404"/>
    <w:rsid w:val="0068165E"/>
    <w:rsid w:val="006818C8"/>
    <w:rsid w:val="00681AE5"/>
    <w:rsid w:val="006821D8"/>
    <w:rsid w:val="00682241"/>
    <w:rsid w:val="00682A24"/>
    <w:rsid w:val="00682A63"/>
    <w:rsid w:val="00683725"/>
    <w:rsid w:val="0068382E"/>
    <w:rsid w:val="00683D91"/>
    <w:rsid w:val="0068449B"/>
    <w:rsid w:val="006844BE"/>
    <w:rsid w:val="0068476A"/>
    <w:rsid w:val="00684A39"/>
    <w:rsid w:val="0068596D"/>
    <w:rsid w:val="00685FA6"/>
    <w:rsid w:val="00686937"/>
    <w:rsid w:val="00686AD8"/>
    <w:rsid w:val="00686BF1"/>
    <w:rsid w:val="00687345"/>
    <w:rsid w:val="00687B98"/>
    <w:rsid w:val="00690660"/>
    <w:rsid w:val="00690BC7"/>
    <w:rsid w:val="006918D6"/>
    <w:rsid w:val="00691A89"/>
    <w:rsid w:val="00692423"/>
    <w:rsid w:val="00692A75"/>
    <w:rsid w:val="00692B46"/>
    <w:rsid w:val="00693337"/>
    <w:rsid w:val="00693F1E"/>
    <w:rsid w:val="00693FF3"/>
    <w:rsid w:val="006954DA"/>
    <w:rsid w:val="0069554C"/>
    <w:rsid w:val="006960AA"/>
    <w:rsid w:val="006961BF"/>
    <w:rsid w:val="00696378"/>
    <w:rsid w:val="00696662"/>
    <w:rsid w:val="00696ED4"/>
    <w:rsid w:val="006974E1"/>
    <w:rsid w:val="006975A5"/>
    <w:rsid w:val="00697B00"/>
    <w:rsid w:val="006A0090"/>
    <w:rsid w:val="006A0136"/>
    <w:rsid w:val="006A0925"/>
    <w:rsid w:val="006A0F22"/>
    <w:rsid w:val="006A1826"/>
    <w:rsid w:val="006A1E3D"/>
    <w:rsid w:val="006A270F"/>
    <w:rsid w:val="006A2A49"/>
    <w:rsid w:val="006A2DAE"/>
    <w:rsid w:val="006A30DD"/>
    <w:rsid w:val="006A3602"/>
    <w:rsid w:val="006A39E2"/>
    <w:rsid w:val="006A3C7B"/>
    <w:rsid w:val="006A3D87"/>
    <w:rsid w:val="006A4524"/>
    <w:rsid w:val="006A49DF"/>
    <w:rsid w:val="006A4F2F"/>
    <w:rsid w:val="006A51FA"/>
    <w:rsid w:val="006A5F5B"/>
    <w:rsid w:val="006A76F5"/>
    <w:rsid w:val="006A7D6E"/>
    <w:rsid w:val="006B0065"/>
    <w:rsid w:val="006B0344"/>
    <w:rsid w:val="006B051A"/>
    <w:rsid w:val="006B0806"/>
    <w:rsid w:val="006B1F4D"/>
    <w:rsid w:val="006B264D"/>
    <w:rsid w:val="006B2CC6"/>
    <w:rsid w:val="006B3050"/>
    <w:rsid w:val="006B3274"/>
    <w:rsid w:val="006B3277"/>
    <w:rsid w:val="006B338F"/>
    <w:rsid w:val="006B41B1"/>
    <w:rsid w:val="006B4E66"/>
    <w:rsid w:val="006B4FD4"/>
    <w:rsid w:val="006B508F"/>
    <w:rsid w:val="006B5FA7"/>
    <w:rsid w:val="006B678A"/>
    <w:rsid w:val="006B68A2"/>
    <w:rsid w:val="006B6ADC"/>
    <w:rsid w:val="006B6B8C"/>
    <w:rsid w:val="006B6E52"/>
    <w:rsid w:val="006B71D8"/>
    <w:rsid w:val="006B75EF"/>
    <w:rsid w:val="006B7A16"/>
    <w:rsid w:val="006C0638"/>
    <w:rsid w:val="006C0818"/>
    <w:rsid w:val="006C0939"/>
    <w:rsid w:val="006C0B9B"/>
    <w:rsid w:val="006C1B5D"/>
    <w:rsid w:val="006C1E3F"/>
    <w:rsid w:val="006C1E74"/>
    <w:rsid w:val="006C257C"/>
    <w:rsid w:val="006C273C"/>
    <w:rsid w:val="006C349A"/>
    <w:rsid w:val="006C351B"/>
    <w:rsid w:val="006C38B6"/>
    <w:rsid w:val="006C391D"/>
    <w:rsid w:val="006C50CE"/>
    <w:rsid w:val="006C61DF"/>
    <w:rsid w:val="006C6494"/>
    <w:rsid w:val="006D16EC"/>
    <w:rsid w:val="006D216F"/>
    <w:rsid w:val="006D231F"/>
    <w:rsid w:val="006D2A72"/>
    <w:rsid w:val="006D2C5C"/>
    <w:rsid w:val="006D3224"/>
    <w:rsid w:val="006D379D"/>
    <w:rsid w:val="006D41A6"/>
    <w:rsid w:val="006D437D"/>
    <w:rsid w:val="006D54A9"/>
    <w:rsid w:val="006D60D7"/>
    <w:rsid w:val="006D6657"/>
    <w:rsid w:val="006D7446"/>
    <w:rsid w:val="006D74AE"/>
    <w:rsid w:val="006D7D7E"/>
    <w:rsid w:val="006E000E"/>
    <w:rsid w:val="006E0106"/>
    <w:rsid w:val="006E0341"/>
    <w:rsid w:val="006E10A2"/>
    <w:rsid w:val="006E167E"/>
    <w:rsid w:val="006E1686"/>
    <w:rsid w:val="006E16CB"/>
    <w:rsid w:val="006E1A29"/>
    <w:rsid w:val="006E1C2D"/>
    <w:rsid w:val="006E2021"/>
    <w:rsid w:val="006E217B"/>
    <w:rsid w:val="006E2FF8"/>
    <w:rsid w:val="006E34F6"/>
    <w:rsid w:val="006E3588"/>
    <w:rsid w:val="006E38CE"/>
    <w:rsid w:val="006E493D"/>
    <w:rsid w:val="006E5C14"/>
    <w:rsid w:val="006E5EBB"/>
    <w:rsid w:val="006E6498"/>
    <w:rsid w:val="006E6920"/>
    <w:rsid w:val="006E6A78"/>
    <w:rsid w:val="006E6BBD"/>
    <w:rsid w:val="006E6C55"/>
    <w:rsid w:val="006E70CB"/>
    <w:rsid w:val="006E74D4"/>
    <w:rsid w:val="006E7882"/>
    <w:rsid w:val="006F04A3"/>
    <w:rsid w:val="006F0F51"/>
    <w:rsid w:val="006F16D4"/>
    <w:rsid w:val="006F1730"/>
    <w:rsid w:val="006F1744"/>
    <w:rsid w:val="006F24AA"/>
    <w:rsid w:val="006F2C93"/>
    <w:rsid w:val="006F3246"/>
    <w:rsid w:val="006F3BD1"/>
    <w:rsid w:val="006F4BE8"/>
    <w:rsid w:val="006F4C0D"/>
    <w:rsid w:val="006F4CBF"/>
    <w:rsid w:val="006F5B6B"/>
    <w:rsid w:val="006F6200"/>
    <w:rsid w:val="006F793B"/>
    <w:rsid w:val="007000D4"/>
    <w:rsid w:val="0070021B"/>
    <w:rsid w:val="0070156A"/>
    <w:rsid w:val="00701AB4"/>
    <w:rsid w:val="0070214E"/>
    <w:rsid w:val="00702235"/>
    <w:rsid w:val="007023BF"/>
    <w:rsid w:val="00702788"/>
    <w:rsid w:val="007028A4"/>
    <w:rsid w:val="00702EA6"/>
    <w:rsid w:val="007032C4"/>
    <w:rsid w:val="0070614A"/>
    <w:rsid w:val="0070682C"/>
    <w:rsid w:val="007100F0"/>
    <w:rsid w:val="0071036F"/>
    <w:rsid w:val="00710948"/>
    <w:rsid w:val="00710B31"/>
    <w:rsid w:val="00710C20"/>
    <w:rsid w:val="00711317"/>
    <w:rsid w:val="00711408"/>
    <w:rsid w:val="0071143A"/>
    <w:rsid w:val="0071158F"/>
    <w:rsid w:val="00713062"/>
    <w:rsid w:val="00713FFF"/>
    <w:rsid w:val="00714368"/>
    <w:rsid w:val="00714A07"/>
    <w:rsid w:val="00714CFE"/>
    <w:rsid w:val="00715172"/>
    <w:rsid w:val="0071525C"/>
    <w:rsid w:val="00715697"/>
    <w:rsid w:val="0071635E"/>
    <w:rsid w:val="00716487"/>
    <w:rsid w:val="00716F33"/>
    <w:rsid w:val="0071770B"/>
    <w:rsid w:val="00717A17"/>
    <w:rsid w:val="00720633"/>
    <w:rsid w:val="00721323"/>
    <w:rsid w:val="00721405"/>
    <w:rsid w:val="00721BF2"/>
    <w:rsid w:val="00721EB7"/>
    <w:rsid w:val="007222AF"/>
    <w:rsid w:val="00723C3E"/>
    <w:rsid w:val="00724AFD"/>
    <w:rsid w:val="007265C0"/>
    <w:rsid w:val="00726B40"/>
    <w:rsid w:val="007278D9"/>
    <w:rsid w:val="00730174"/>
    <w:rsid w:val="007302BB"/>
    <w:rsid w:val="007303C0"/>
    <w:rsid w:val="00730445"/>
    <w:rsid w:val="00730C26"/>
    <w:rsid w:val="00731015"/>
    <w:rsid w:val="007314EF"/>
    <w:rsid w:val="00731613"/>
    <w:rsid w:val="007324AC"/>
    <w:rsid w:val="00733091"/>
    <w:rsid w:val="00733401"/>
    <w:rsid w:val="007338E6"/>
    <w:rsid w:val="00733A6F"/>
    <w:rsid w:val="007340A6"/>
    <w:rsid w:val="0073454D"/>
    <w:rsid w:val="0073497C"/>
    <w:rsid w:val="007350F7"/>
    <w:rsid w:val="00735231"/>
    <w:rsid w:val="00735274"/>
    <w:rsid w:val="007358C4"/>
    <w:rsid w:val="007374D4"/>
    <w:rsid w:val="00737995"/>
    <w:rsid w:val="007400B4"/>
    <w:rsid w:val="00740490"/>
    <w:rsid w:val="00740CF8"/>
    <w:rsid w:val="00740F31"/>
    <w:rsid w:val="0074110B"/>
    <w:rsid w:val="0074144B"/>
    <w:rsid w:val="0074198D"/>
    <w:rsid w:val="007421EA"/>
    <w:rsid w:val="00743E05"/>
    <w:rsid w:val="00743FDF"/>
    <w:rsid w:val="00744E87"/>
    <w:rsid w:val="007455C9"/>
    <w:rsid w:val="007464A1"/>
    <w:rsid w:val="00747249"/>
    <w:rsid w:val="00747BF1"/>
    <w:rsid w:val="00747CB1"/>
    <w:rsid w:val="00747F19"/>
    <w:rsid w:val="00750EC6"/>
    <w:rsid w:val="007519B9"/>
    <w:rsid w:val="00752FD3"/>
    <w:rsid w:val="00753CA8"/>
    <w:rsid w:val="00753E71"/>
    <w:rsid w:val="0075434A"/>
    <w:rsid w:val="00755B67"/>
    <w:rsid w:val="00755BAF"/>
    <w:rsid w:val="00755D3F"/>
    <w:rsid w:val="0075710D"/>
    <w:rsid w:val="007578BD"/>
    <w:rsid w:val="007603FA"/>
    <w:rsid w:val="00760811"/>
    <w:rsid w:val="00760D0C"/>
    <w:rsid w:val="00760D3B"/>
    <w:rsid w:val="00760E37"/>
    <w:rsid w:val="007611C8"/>
    <w:rsid w:val="0076124D"/>
    <w:rsid w:val="00761285"/>
    <w:rsid w:val="00761AA4"/>
    <w:rsid w:val="00761BAC"/>
    <w:rsid w:val="00761C7E"/>
    <w:rsid w:val="00761DDF"/>
    <w:rsid w:val="00762509"/>
    <w:rsid w:val="00762C33"/>
    <w:rsid w:val="00763367"/>
    <w:rsid w:val="00764106"/>
    <w:rsid w:val="00764150"/>
    <w:rsid w:val="00764523"/>
    <w:rsid w:val="007651A8"/>
    <w:rsid w:val="00765CAD"/>
    <w:rsid w:val="0076649A"/>
    <w:rsid w:val="007669D5"/>
    <w:rsid w:val="00766D6E"/>
    <w:rsid w:val="00770F93"/>
    <w:rsid w:val="0077140F"/>
    <w:rsid w:val="00772A0C"/>
    <w:rsid w:val="0077328A"/>
    <w:rsid w:val="007734BB"/>
    <w:rsid w:val="00773BF5"/>
    <w:rsid w:val="00773ED6"/>
    <w:rsid w:val="00773F11"/>
    <w:rsid w:val="00774118"/>
    <w:rsid w:val="00775214"/>
    <w:rsid w:val="00775595"/>
    <w:rsid w:val="00775677"/>
    <w:rsid w:val="0077667C"/>
    <w:rsid w:val="00776DA1"/>
    <w:rsid w:val="00777EC5"/>
    <w:rsid w:val="00780614"/>
    <w:rsid w:val="00780C90"/>
    <w:rsid w:val="00781DD6"/>
    <w:rsid w:val="00782524"/>
    <w:rsid w:val="0078270D"/>
    <w:rsid w:val="00782816"/>
    <w:rsid w:val="007829E3"/>
    <w:rsid w:val="00783551"/>
    <w:rsid w:val="007836E2"/>
    <w:rsid w:val="00783830"/>
    <w:rsid w:val="00783A84"/>
    <w:rsid w:val="00783C19"/>
    <w:rsid w:val="0078585E"/>
    <w:rsid w:val="007863C5"/>
    <w:rsid w:val="0078667A"/>
    <w:rsid w:val="00786AB2"/>
    <w:rsid w:val="007876CE"/>
    <w:rsid w:val="00791CE5"/>
    <w:rsid w:val="00791F33"/>
    <w:rsid w:val="007922C5"/>
    <w:rsid w:val="00792638"/>
    <w:rsid w:val="00792795"/>
    <w:rsid w:val="00792B54"/>
    <w:rsid w:val="00793490"/>
    <w:rsid w:val="00793690"/>
    <w:rsid w:val="00793789"/>
    <w:rsid w:val="00793D56"/>
    <w:rsid w:val="00793D79"/>
    <w:rsid w:val="00794506"/>
    <w:rsid w:val="007947E4"/>
    <w:rsid w:val="0079546C"/>
    <w:rsid w:val="00796020"/>
    <w:rsid w:val="0079609D"/>
    <w:rsid w:val="0079624A"/>
    <w:rsid w:val="0079680A"/>
    <w:rsid w:val="0079724D"/>
    <w:rsid w:val="00797CAE"/>
    <w:rsid w:val="007A0852"/>
    <w:rsid w:val="007A0BCA"/>
    <w:rsid w:val="007A162E"/>
    <w:rsid w:val="007A16D2"/>
    <w:rsid w:val="007A214E"/>
    <w:rsid w:val="007A2469"/>
    <w:rsid w:val="007A2B0D"/>
    <w:rsid w:val="007A2C00"/>
    <w:rsid w:val="007A2DC0"/>
    <w:rsid w:val="007A2EE5"/>
    <w:rsid w:val="007A4160"/>
    <w:rsid w:val="007A47B2"/>
    <w:rsid w:val="007A4894"/>
    <w:rsid w:val="007A57BF"/>
    <w:rsid w:val="007A5CBA"/>
    <w:rsid w:val="007A61CA"/>
    <w:rsid w:val="007A755C"/>
    <w:rsid w:val="007A762A"/>
    <w:rsid w:val="007A76E9"/>
    <w:rsid w:val="007A785F"/>
    <w:rsid w:val="007A7F6D"/>
    <w:rsid w:val="007B084E"/>
    <w:rsid w:val="007B1A74"/>
    <w:rsid w:val="007B1B85"/>
    <w:rsid w:val="007B229B"/>
    <w:rsid w:val="007B22B0"/>
    <w:rsid w:val="007B22FA"/>
    <w:rsid w:val="007B3795"/>
    <w:rsid w:val="007B3A03"/>
    <w:rsid w:val="007B3DD2"/>
    <w:rsid w:val="007B3F60"/>
    <w:rsid w:val="007B3FFF"/>
    <w:rsid w:val="007B4E55"/>
    <w:rsid w:val="007B4FE8"/>
    <w:rsid w:val="007B654D"/>
    <w:rsid w:val="007B6D37"/>
    <w:rsid w:val="007B7E11"/>
    <w:rsid w:val="007C0AE7"/>
    <w:rsid w:val="007C1181"/>
    <w:rsid w:val="007C1835"/>
    <w:rsid w:val="007C1A2F"/>
    <w:rsid w:val="007C2767"/>
    <w:rsid w:val="007C2C10"/>
    <w:rsid w:val="007C391A"/>
    <w:rsid w:val="007C395B"/>
    <w:rsid w:val="007C5015"/>
    <w:rsid w:val="007C51C6"/>
    <w:rsid w:val="007C597C"/>
    <w:rsid w:val="007C6550"/>
    <w:rsid w:val="007C666E"/>
    <w:rsid w:val="007C695C"/>
    <w:rsid w:val="007C6B7C"/>
    <w:rsid w:val="007C6F0B"/>
    <w:rsid w:val="007C7836"/>
    <w:rsid w:val="007C7EB5"/>
    <w:rsid w:val="007D0C4B"/>
    <w:rsid w:val="007D15C5"/>
    <w:rsid w:val="007D1FCF"/>
    <w:rsid w:val="007D3253"/>
    <w:rsid w:val="007D356E"/>
    <w:rsid w:val="007D3A2B"/>
    <w:rsid w:val="007D3C56"/>
    <w:rsid w:val="007D45B3"/>
    <w:rsid w:val="007D4CAE"/>
    <w:rsid w:val="007D4FDC"/>
    <w:rsid w:val="007D5238"/>
    <w:rsid w:val="007D52BD"/>
    <w:rsid w:val="007D5B2C"/>
    <w:rsid w:val="007D5D8E"/>
    <w:rsid w:val="007D6FE4"/>
    <w:rsid w:val="007D722A"/>
    <w:rsid w:val="007D7B71"/>
    <w:rsid w:val="007D7BFE"/>
    <w:rsid w:val="007D7C74"/>
    <w:rsid w:val="007E01CF"/>
    <w:rsid w:val="007E1582"/>
    <w:rsid w:val="007E1844"/>
    <w:rsid w:val="007E27B8"/>
    <w:rsid w:val="007E283E"/>
    <w:rsid w:val="007E2A0A"/>
    <w:rsid w:val="007E2A78"/>
    <w:rsid w:val="007E3772"/>
    <w:rsid w:val="007E3893"/>
    <w:rsid w:val="007E3FB1"/>
    <w:rsid w:val="007E4B68"/>
    <w:rsid w:val="007E5777"/>
    <w:rsid w:val="007E57C9"/>
    <w:rsid w:val="007E5ED8"/>
    <w:rsid w:val="007E620E"/>
    <w:rsid w:val="007E69E3"/>
    <w:rsid w:val="007F010B"/>
    <w:rsid w:val="007F04AC"/>
    <w:rsid w:val="007F0FF8"/>
    <w:rsid w:val="007F1740"/>
    <w:rsid w:val="007F1C3B"/>
    <w:rsid w:val="007F2039"/>
    <w:rsid w:val="007F246B"/>
    <w:rsid w:val="007F28A5"/>
    <w:rsid w:val="007F296D"/>
    <w:rsid w:val="007F2A32"/>
    <w:rsid w:val="007F3B3A"/>
    <w:rsid w:val="007F3B92"/>
    <w:rsid w:val="007F3F50"/>
    <w:rsid w:val="007F44FE"/>
    <w:rsid w:val="007F4A13"/>
    <w:rsid w:val="007F52C3"/>
    <w:rsid w:val="007F5CD2"/>
    <w:rsid w:val="007F5E1D"/>
    <w:rsid w:val="007F62D7"/>
    <w:rsid w:val="007F62F6"/>
    <w:rsid w:val="007F6876"/>
    <w:rsid w:val="007F6C9B"/>
    <w:rsid w:val="007F6D05"/>
    <w:rsid w:val="007F6EB3"/>
    <w:rsid w:val="007F706E"/>
    <w:rsid w:val="007F7339"/>
    <w:rsid w:val="007F76DC"/>
    <w:rsid w:val="007F78F6"/>
    <w:rsid w:val="00800108"/>
    <w:rsid w:val="00800129"/>
    <w:rsid w:val="00800A0F"/>
    <w:rsid w:val="00800BB0"/>
    <w:rsid w:val="00801CF0"/>
    <w:rsid w:val="00802352"/>
    <w:rsid w:val="00802820"/>
    <w:rsid w:val="00803ABB"/>
    <w:rsid w:val="00803EA6"/>
    <w:rsid w:val="0080424C"/>
    <w:rsid w:val="008057E0"/>
    <w:rsid w:val="008059EB"/>
    <w:rsid w:val="008063F5"/>
    <w:rsid w:val="0080648C"/>
    <w:rsid w:val="008064AF"/>
    <w:rsid w:val="00806D88"/>
    <w:rsid w:val="00806EDE"/>
    <w:rsid w:val="008072F9"/>
    <w:rsid w:val="0080730C"/>
    <w:rsid w:val="00807AFE"/>
    <w:rsid w:val="0081063B"/>
    <w:rsid w:val="00810ABD"/>
    <w:rsid w:val="00810AF7"/>
    <w:rsid w:val="00810F9D"/>
    <w:rsid w:val="00811077"/>
    <w:rsid w:val="008119B9"/>
    <w:rsid w:val="00811C5A"/>
    <w:rsid w:val="00812060"/>
    <w:rsid w:val="008125E2"/>
    <w:rsid w:val="00812653"/>
    <w:rsid w:val="00812C7D"/>
    <w:rsid w:val="00812D06"/>
    <w:rsid w:val="00812D30"/>
    <w:rsid w:val="008135A7"/>
    <w:rsid w:val="00813E3E"/>
    <w:rsid w:val="00813F60"/>
    <w:rsid w:val="00814432"/>
    <w:rsid w:val="008144E3"/>
    <w:rsid w:val="008145C7"/>
    <w:rsid w:val="008149CF"/>
    <w:rsid w:val="00814F4A"/>
    <w:rsid w:val="00815465"/>
    <w:rsid w:val="00815EBF"/>
    <w:rsid w:val="0081649F"/>
    <w:rsid w:val="008164FB"/>
    <w:rsid w:val="00817882"/>
    <w:rsid w:val="00817ACB"/>
    <w:rsid w:val="00817F42"/>
    <w:rsid w:val="00820BF6"/>
    <w:rsid w:val="00820F7A"/>
    <w:rsid w:val="008217EC"/>
    <w:rsid w:val="008218FB"/>
    <w:rsid w:val="00821DEE"/>
    <w:rsid w:val="0082209C"/>
    <w:rsid w:val="00822225"/>
    <w:rsid w:val="00822600"/>
    <w:rsid w:val="00823019"/>
    <w:rsid w:val="00823809"/>
    <w:rsid w:val="00823B2C"/>
    <w:rsid w:val="00823D81"/>
    <w:rsid w:val="0082488F"/>
    <w:rsid w:val="00825A0B"/>
    <w:rsid w:val="008305F2"/>
    <w:rsid w:val="00830D08"/>
    <w:rsid w:val="00831166"/>
    <w:rsid w:val="00831C6B"/>
    <w:rsid w:val="0083212A"/>
    <w:rsid w:val="008328ED"/>
    <w:rsid w:val="00832A8F"/>
    <w:rsid w:val="00832FD2"/>
    <w:rsid w:val="0083339E"/>
    <w:rsid w:val="008333EC"/>
    <w:rsid w:val="0083375C"/>
    <w:rsid w:val="00833DA4"/>
    <w:rsid w:val="0083463E"/>
    <w:rsid w:val="008349E8"/>
    <w:rsid w:val="00834B89"/>
    <w:rsid w:val="00835222"/>
    <w:rsid w:val="00835791"/>
    <w:rsid w:val="008368D7"/>
    <w:rsid w:val="00837F2A"/>
    <w:rsid w:val="00837F2E"/>
    <w:rsid w:val="008402AD"/>
    <w:rsid w:val="008408B0"/>
    <w:rsid w:val="00840985"/>
    <w:rsid w:val="00840D76"/>
    <w:rsid w:val="00840ECE"/>
    <w:rsid w:val="00840EFF"/>
    <w:rsid w:val="00841AEE"/>
    <w:rsid w:val="00842203"/>
    <w:rsid w:val="0084240E"/>
    <w:rsid w:val="00843819"/>
    <w:rsid w:val="00843D48"/>
    <w:rsid w:val="00844D22"/>
    <w:rsid w:val="00845A52"/>
    <w:rsid w:val="00845D3F"/>
    <w:rsid w:val="00846B8D"/>
    <w:rsid w:val="008479EA"/>
    <w:rsid w:val="0085061F"/>
    <w:rsid w:val="00851816"/>
    <w:rsid w:val="008523D7"/>
    <w:rsid w:val="008534FE"/>
    <w:rsid w:val="00853A6E"/>
    <w:rsid w:val="00853BF0"/>
    <w:rsid w:val="00854316"/>
    <w:rsid w:val="008543DE"/>
    <w:rsid w:val="008544D5"/>
    <w:rsid w:val="00854E7E"/>
    <w:rsid w:val="00855317"/>
    <w:rsid w:val="0085555B"/>
    <w:rsid w:val="00855B19"/>
    <w:rsid w:val="00856FC8"/>
    <w:rsid w:val="00857641"/>
    <w:rsid w:val="00857B7D"/>
    <w:rsid w:val="00857D3D"/>
    <w:rsid w:val="0086021D"/>
    <w:rsid w:val="008607BC"/>
    <w:rsid w:val="008607F0"/>
    <w:rsid w:val="00860D61"/>
    <w:rsid w:val="00860EA0"/>
    <w:rsid w:val="0086177F"/>
    <w:rsid w:val="008619E4"/>
    <w:rsid w:val="00861A82"/>
    <w:rsid w:val="00861EC7"/>
    <w:rsid w:val="00863244"/>
    <w:rsid w:val="008632FC"/>
    <w:rsid w:val="008641DD"/>
    <w:rsid w:val="00866F24"/>
    <w:rsid w:val="0086718D"/>
    <w:rsid w:val="0086740C"/>
    <w:rsid w:val="00867EAC"/>
    <w:rsid w:val="008706E9"/>
    <w:rsid w:val="00870AED"/>
    <w:rsid w:val="00870E56"/>
    <w:rsid w:val="00870F28"/>
    <w:rsid w:val="008713E4"/>
    <w:rsid w:val="00871465"/>
    <w:rsid w:val="00871577"/>
    <w:rsid w:val="00871C36"/>
    <w:rsid w:val="0087279D"/>
    <w:rsid w:val="00873CC2"/>
    <w:rsid w:val="0087426E"/>
    <w:rsid w:val="008745EF"/>
    <w:rsid w:val="00874B1C"/>
    <w:rsid w:val="00874E19"/>
    <w:rsid w:val="008752D5"/>
    <w:rsid w:val="0087536A"/>
    <w:rsid w:val="008753E5"/>
    <w:rsid w:val="00875CF6"/>
    <w:rsid w:val="00876E76"/>
    <w:rsid w:val="00877674"/>
    <w:rsid w:val="00877801"/>
    <w:rsid w:val="00880762"/>
    <w:rsid w:val="00880C8C"/>
    <w:rsid w:val="00880E73"/>
    <w:rsid w:val="00880F25"/>
    <w:rsid w:val="00882FDA"/>
    <w:rsid w:val="008832CC"/>
    <w:rsid w:val="008833B3"/>
    <w:rsid w:val="008835C8"/>
    <w:rsid w:val="00883FBD"/>
    <w:rsid w:val="0088413C"/>
    <w:rsid w:val="0088489A"/>
    <w:rsid w:val="008856A0"/>
    <w:rsid w:val="00885E1D"/>
    <w:rsid w:val="00885EC7"/>
    <w:rsid w:val="00886A02"/>
    <w:rsid w:val="008870C6"/>
    <w:rsid w:val="00887C63"/>
    <w:rsid w:val="00890174"/>
    <w:rsid w:val="0089093C"/>
    <w:rsid w:val="00890F10"/>
    <w:rsid w:val="00890FFC"/>
    <w:rsid w:val="008913CC"/>
    <w:rsid w:val="00891AC2"/>
    <w:rsid w:val="00891DD6"/>
    <w:rsid w:val="00893688"/>
    <w:rsid w:val="008936AA"/>
    <w:rsid w:val="00893A53"/>
    <w:rsid w:val="00894195"/>
    <w:rsid w:val="00894C6E"/>
    <w:rsid w:val="00894C9F"/>
    <w:rsid w:val="00894F67"/>
    <w:rsid w:val="00895044"/>
    <w:rsid w:val="00895540"/>
    <w:rsid w:val="008955AB"/>
    <w:rsid w:val="00895975"/>
    <w:rsid w:val="00895ACC"/>
    <w:rsid w:val="00896064"/>
    <w:rsid w:val="008963CB"/>
    <w:rsid w:val="008967CD"/>
    <w:rsid w:val="00897118"/>
    <w:rsid w:val="008973DF"/>
    <w:rsid w:val="0089760B"/>
    <w:rsid w:val="00897DCA"/>
    <w:rsid w:val="00897FE6"/>
    <w:rsid w:val="008A02AE"/>
    <w:rsid w:val="008A0F2B"/>
    <w:rsid w:val="008A218C"/>
    <w:rsid w:val="008A38F1"/>
    <w:rsid w:val="008A4CA8"/>
    <w:rsid w:val="008A5DF4"/>
    <w:rsid w:val="008A649C"/>
    <w:rsid w:val="008A69B8"/>
    <w:rsid w:val="008A72A9"/>
    <w:rsid w:val="008A7B84"/>
    <w:rsid w:val="008A7EC2"/>
    <w:rsid w:val="008B0A86"/>
    <w:rsid w:val="008B0EA5"/>
    <w:rsid w:val="008B17D9"/>
    <w:rsid w:val="008B1937"/>
    <w:rsid w:val="008B1A2E"/>
    <w:rsid w:val="008B1F24"/>
    <w:rsid w:val="008B203F"/>
    <w:rsid w:val="008B231A"/>
    <w:rsid w:val="008B243C"/>
    <w:rsid w:val="008B2721"/>
    <w:rsid w:val="008B2B04"/>
    <w:rsid w:val="008B3025"/>
    <w:rsid w:val="008B334D"/>
    <w:rsid w:val="008B3BB1"/>
    <w:rsid w:val="008B4299"/>
    <w:rsid w:val="008B4914"/>
    <w:rsid w:val="008B59AA"/>
    <w:rsid w:val="008B6370"/>
    <w:rsid w:val="008B6B96"/>
    <w:rsid w:val="008C00C1"/>
    <w:rsid w:val="008C0F6B"/>
    <w:rsid w:val="008C1B96"/>
    <w:rsid w:val="008C1E39"/>
    <w:rsid w:val="008C363D"/>
    <w:rsid w:val="008C436B"/>
    <w:rsid w:val="008C455D"/>
    <w:rsid w:val="008C487F"/>
    <w:rsid w:val="008C4BA8"/>
    <w:rsid w:val="008C4C01"/>
    <w:rsid w:val="008C53F9"/>
    <w:rsid w:val="008C5699"/>
    <w:rsid w:val="008C572D"/>
    <w:rsid w:val="008C59FF"/>
    <w:rsid w:val="008C5E35"/>
    <w:rsid w:val="008C5EC6"/>
    <w:rsid w:val="008C6435"/>
    <w:rsid w:val="008C7944"/>
    <w:rsid w:val="008C7F64"/>
    <w:rsid w:val="008D04D2"/>
    <w:rsid w:val="008D0DD9"/>
    <w:rsid w:val="008D0E7F"/>
    <w:rsid w:val="008D20FE"/>
    <w:rsid w:val="008D248F"/>
    <w:rsid w:val="008D3C2E"/>
    <w:rsid w:val="008D4B75"/>
    <w:rsid w:val="008D5CEC"/>
    <w:rsid w:val="008D66A8"/>
    <w:rsid w:val="008D7813"/>
    <w:rsid w:val="008D7ACE"/>
    <w:rsid w:val="008D7D0E"/>
    <w:rsid w:val="008E2739"/>
    <w:rsid w:val="008E2865"/>
    <w:rsid w:val="008E2BD2"/>
    <w:rsid w:val="008E39DA"/>
    <w:rsid w:val="008E3B38"/>
    <w:rsid w:val="008E3E83"/>
    <w:rsid w:val="008E426B"/>
    <w:rsid w:val="008E4378"/>
    <w:rsid w:val="008E441F"/>
    <w:rsid w:val="008E4569"/>
    <w:rsid w:val="008E45C2"/>
    <w:rsid w:val="008E4B87"/>
    <w:rsid w:val="008E544B"/>
    <w:rsid w:val="008E6FBB"/>
    <w:rsid w:val="008E71CF"/>
    <w:rsid w:val="008E7FE2"/>
    <w:rsid w:val="008F0118"/>
    <w:rsid w:val="008F02EF"/>
    <w:rsid w:val="008F0545"/>
    <w:rsid w:val="008F12FC"/>
    <w:rsid w:val="008F1A38"/>
    <w:rsid w:val="008F1DCD"/>
    <w:rsid w:val="008F21AE"/>
    <w:rsid w:val="008F273E"/>
    <w:rsid w:val="008F3AE9"/>
    <w:rsid w:val="008F407B"/>
    <w:rsid w:val="008F407F"/>
    <w:rsid w:val="008F4399"/>
    <w:rsid w:val="008F4CF9"/>
    <w:rsid w:val="008F5D18"/>
    <w:rsid w:val="008F5DC1"/>
    <w:rsid w:val="008F69F6"/>
    <w:rsid w:val="008F73E9"/>
    <w:rsid w:val="008F77E2"/>
    <w:rsid w:val="008F7D0F"/>
    <w:rsid w:val="008F7F9D"/>
    <w:rsid w:val="0090174D"/>
    <w:rsid w:val="00901987"/>
    <w:rsid w:val="00901CEE"/>
    <w:rsid w:val="009022ED"/>
    <w:rsid w:val="00903527"/>
    <w:rsid w:val="00903D11"/>
    <w:rsid w:val="00904ADA"/>
    <w:rsid w:val="0090563A"/>
    <w:rsid w:val="009056C7"/>
    <w:rsid w:val="009059A6"/>
    <w:rsid w:val="00906648"/>
    <w:rsid w:val="009069CD"/>
    <w:rsid w:val="00906B22"/>
    <w:rsid w:val="0090753C"/>
    <w:rsid w:val="00910086"/>
    <w:rsid w:val="009110B7"/>
    <w:rsid w:val="0091120E"/>
    <w:rsid w:val="00911544"/>
    <w:rsid w:val="00911935"/>
    <w:rsid w:val="00912362"/>
    <w:rsid w:val="009125B6"/>
    <w:rsid w:val="00912AE6"/>
    <w:rsid w:val="00913ACE"/>
    <w:rsid w:val="00913BE4"/>
    <w:rsid w:val="0091449E"/>
    <w:rsid w:val="009144C1"/>
    <w:rsid w:val="0091471C"/>
    <w:rsid w:val="00914A9C"/>
    <w:rsid w:val="009151F1"/>
    <w:rsid w:val="00915A6D"/>
    <w:rsid w:val="00915ABE"/>
    <w:rsid w:val="00915ACD"/>
    <w:rsid w:val="00916020"/>
    <w:rsid w:val="00916FC3"/>
    <w:rsid w:val="00917227"/>
    <w:rsid w:val="009175C6"/>
    <w:rsid w:val="0091777A"/>
    <w:rsid w:val="00917C3A"/>
    <w:rsid w:val="00920815"/>
    <w:rsid w:val="0092149F"/>
    <w:rsid w:val="009219B8"/>
    <w:rsid w:val="009223F1"/>
    <w:rsid w:val="00922864"/>
    <w:rsid w:val="00923A62"/>
    <w:rsid w:val="00923B81"/>
    <w:rsid w:val="00924F34"/>
    <w:rsid w:val="00925042"/>
    <w:rsid w:val="00925756"/>
    <w:rsid w:val="009257BB"/>
    <w:rsid w:val="00926D72"/>
    <w:rsid w:val="00927DD4"/>
    <w:rsid w:val="00930720"/>
    <w:rsid w:val="0093096C"/>
    <w:rsid w:val="00932261"/>
    <w:rsid w:val="00932678"/>
    <w:rsid w:val="00933392"/>
    <w:rsid w:val="00933EA9"/>
    <w:rsid w:val="00933EFC"/>
    <w:rsid w:val="00933FEA"/>
    <w:rsid w:val="009342EF"/>
    <w:rsid w:val="0093511A"/>
    <w:rsid w:val="009351B3"/>
    <w:rsid w:val="00935457"/>
    <w:rsid w:val="009356BF"/>
    <w:rsid w:val="00935B86"/>
    <w:rsid w:val="00935C82"/>
    <w:rsid w:val="00936795"/>
    <w:rsid w:val="009370B2"/>
    <w:rsid w:val="00937A99"/>
    <w:rsid w:val="00937B3B"/>
    <w:rsid w:val="009409E4"/>
    <w:rsid w:val="00940B2A"/>
    <w:rsid w:val="00941303"/>
    <w:rsid w:val="00941758"/>
    <w:rsid w:val="009425CE"/>
    <w:rsid w:val="00942A13"/>
    <w:rsid w:val="009435EB"/>
    <w:rsid w:val="00943C5F"/>
    <w:rsid w:val="00943ED7"/>
    <w:rsid w:val="009442A8"/>
    <w:rsid w:val="00944F51"/>
    <w:rsid w:val="00945041"/>
    <w:rsid w:val="00945D14"/>
    <w:rsid w:val="009462C5"/>
    <w:rsid w:val="00946373"/>
    <w:rsid w:val="0094637C"/>
    <w:rsid w:val="00950ECD"/>
    <w:rsid w:val="00950FEC"/>
    <w:rsid w:val="009510D7"/>
    <w:rsid w:val="00951483"/>
    <w:rsid w:val="00951AE9"/>
    <w:rsid w:val="009531BF"/>
    <w:rsid w:val="00953469"/>
    <w:rsid w:val="00954730"/>
    <w:rsid w:val="00955935"/>
    <w:rsid w:val="00955CAF"/>
    <w:rsid w:val="00956216"/>
    <w:rsid w:val="009566AC"/>
    <w:rsid w:val="00957468"/>
    <w:rsid w:val="00960E95"/>
    <w:rsid w:val="00961A13"/>
    <w:rsid w:val="00961CB2"/>
    <w:rsid w:val="00961F08"/>
    <w:rsid w:val="009620C4"/>
    <w:rsid w:val="00962193"/>
    <w:rsid w:val="00962385"/>
    <w:rsid w:val="00962392"/>
    <w:rsid w:val="00962C73"/>
    <w:rsid w:val="00962CF0"/>
    <w:rsid w:val="00963570"/>
    <w:rsid w:val="00963B10"/>
    <w:rsid w:val="009643DF"/>
    <w:rsid w:val="00964849"/>
    <w:rsid w:val="00965212"/>
    <w:rsid w:val="0096573E"/>
    <w:rsid w:val="00965757"/>
    <w:rsid w:val="00967447"/>
    <w:rsid w:val="009675AF"/>
    <w:rsid w:val="009678FD"/>
    <w:rsid w:val="00967BD1"/>
    <w:rsid w:val="00967DF1"/>
    <w:rsid w:val="00970A03"/>
    <w:rsid w:val="00970C94"/>
    <w:rsid w:val="009714C9"/>
    <w:rsid w:val="009716C7"/>
    <w:rsid w:val="009718C5"/>
    <w:rsid w:val="00971B18"/>
    <w:rsid w:val="00971D16"/>
    <w:rsid w:val="009723A2"/>
    <w:rsid w:val="00972B9C"/>
    <w:rsid w:val="00972E1E"/>
    <w:rsid w:val="009730FF"/>
    <w:rsid w:val="009733A3"/>
    <w:rsid w:val="0097348A"/>
    <w:rsid w:val="00973526"/>
    <w:rsid w:val="00973AD8"/>
    <w:rsid w:val="00973F86"/>
    <w:rsid w:val="0097479E"/>
    <w:rsid w:val="00974AD4"/>
    <w:rsid w:val="00974FFE"/>
    <w:rsid w:val="0097519B"/>
    <w:rsid w:val="009753E8"/>
    <w:rsid w:val="00975706"/>
    <w:rsid w:val="0097596F"/>
    <w:rsid w:val="009762BB"/>
    <w:rsid w:val="00976A79"/>
    <w:rsid w:val="00976A96"/>
    <w:rsid w:val="00980113"/>
    <w:rsid w:val="00980F0C"/>
    <w:rsid w:val="00981B24"/>
    <w:rsid w:val="00982014"/>
    <w:rsid w:val="009820A6"/>
    <w:rsid w:val="009825DC"/>
    <w:rsid w:val="00982819"/>
    <w:rsid w:val="00983011"/>
    <w:rsid w:val="0098322C"/>
    <w:rsid w:val="009832F1"/>
    <w:rsid w:val="00983EF8"/>
    <w:rsid w:val="009852F3"/>
    <w:rsid w:val="00985859"/>
    <w:rsid w:val="00985F98"/>
    <w:rsid w:val="00986432"/>
    <w:rsid w:val="00986A8F"/>
    <w:rsid w:val="00987025"/>
    <w:rsid w:val="00987F3E"/>
    <w:rsid w:val="00991FE4"/>
    <w:rsid w:val="009920F6"/>
    <w:rsid w:val="00992685"/>
    <w:rsid w:val="00992CCC"/>
    <w:rsid w:val="00993170"/>
    <w:rsid w:val="009931D7"/>
    <w:rsid w:val="00993A8B"/>
    <w:rsid w:val="009943B0"/>
    <w:rsid w:val="00994441"/>
    <w:rsid w:val="009955AA"/>
    <w:rsid w:val="00995895"/>
    <w:rsid w:val="00995A96"/>
    <w:rsid w:val="00995E8B"/>
    <w:rsid w:val="00996276"/>
    <w:rsid w:val="00996614"/>
    <w:rsid w:val="009975F4"/>
    <w:rsid w:val="00997845"/>
    <w:rsid w:val="00997E63"/>
    <w:rsid w:val="009A02CF"/>
    <w:rsid w:val="009A12A3"/>
    <w:rsid w:val="009A1A7D"/>
    <w:rsid w:val="009A27FF"/>
    <w:rsid w:val="009A3128"/>
    <w:rsid w:val="009A45FA"/>
    <w:rsid w:val="009A5454"/>
    <w:rsid w:val="009A5E13"/>
    <w:rsid w:val="009A6716"/>
    <w:rsid w:val="009A76E7"/>
    <w:rsid w:val="009A786D"/>
    <w:rsid w:val="009B003D"/>
    <w:rsid w:val="009B0367"/>
    <w:rsid w:val="009B0E2A"/>
    <w:rsid w:val="009B130D"/>
    <w:rsid w:val="009B1A03"/>
    <w:rsid w:val="009B1E5A"/>
    <w:rsid w:val="009B20D5"/>
    <w:rsid w:val="009B2176"/>
    <w:rsid w:val="009B237B"/>
    <w:rsid w:val="009B23BF"/>
    <w:rsid w:val="009B29FF"/>
    <w:rsid w:val="009B2E2A"/>
    <w:rsid w:val="009B438A"/>
    <w:rsid w:val="009B44B5"/>
    <w:rsid w:val="009B5683"/>
    <w:rsid w:val="009B6341"/>
    <w:rsid w:val="009B727B"/>
    <w:rsid w:val="009B7667"/>
    <w:rsid w:val="009B7B3C"/>
    <w:rsid w:val="009C08D3"/>
    <w:rsid w:val="009C0C1D"/>
    <w:rsid w:val="009C0C5B"/>
    <w:rsid w:val="009C14DF"/>
    <w:rsid w:val="009C25D0"/>
    <w:rsid w:val="009C30DA"/>
    <w:rsid w:val="009C3AEF"/>
    <w:rsid w:val="009C3CDE"/>
    <w:rsid w:val="009C40EB"/>
    <w:rsid w:val="009C443E"/>
    <w:rsid w:val="009C4488"/>
    <w:rsid w:val="009C46A2"/>
    <w:rsid w:val="009C4805"/>
    <w:rsid w:val="009C4A2C"/>
    <w:rsid w:val="009C4A45"/>
    <w:rsid w:val="009C4CC5"/>
    <w:rsid w:val="009C4FF9"/>
    <w:rsid w:val="009C56FE"/>
    <w:rsid w:val="009C582A"/>
    <w:rsid w:val="009C5C17"/>
    <w:rsid w:val="009C5D76"/>
    <w:rsid w:val="009C6A6B"/>
    <w:rsid w:val="009C740A"/>
    <w:rsid w:val="009C7A44"/>
    <w:rsid w:val="009D050D"/>
    <w:rsid w:val="009D06B8"/>
    <w:rsid w:val="009D0812"/>
    <w:rsid w:val="009D11B0"/>
    <w:rsid w:val="009D2004"/>
    <w:rsid w:val="009D20B0"/>
    <w:rsid w:val="009D2828"/>
    <w:rsid w:val="009D3153"/>
    <w:rsid w:val="009D35DC"/>
    <w:rsid w:val="009D4FE2"/>
    <w:rsid w:val="009D52EF"/>
    <w:rsid w:val="009D5323"/>
    <w:rsid w:val="009D5C26"/>
    <w:rsid w:val="009D5D91"/>
    <w:rsid w:val="009D5DDB"/>
    <w:rsid w:val="009D5EA1"/>
    <w:rsid w:val="009D6E82"/>
    <w:rsid w:val="009E0193"/>
    <w:rsid w:val="009E1072"/>
    <w:rsid w:val="009E1E94"/>
    <w:rsid w:val="009E2384"/>
    <w:rsid w:val="009E248E"/>
    <w:rsid w:val="009E2782"/>
    <w:rsid w:val="009E3F4C"/>
    <w:rsid w:val="009E4B08"/>
    <w:rsid w:val="009E4B2A"/>
    <w:rsid w:val="009E56C0"/>
    <w:rsid w:val="009E62BA"/>
    <w:rsid w:val="009E64E9"/>
    <w:rsid w:val="009E66C5"/>
    <w:rsid w:val="009E6F78"/>
    <w:rsid w:val="009E7E0D"/>
    <w:rsid w:val="009F03F0"/>
    <w:rsid w:val="009F07CC"/>
    <w:rsid w:val="009F0B7B"/>
    <w:rsid w:val="009F1971"/>
    <w:rsid w:val="009F19A5"/>
    <w:rsid w:val="009F268F"/>
    <w:rsid w:val="009F3359"/>
    <w:rsid w:val="009F365A"/>
    <w:rsid w:val="009F37EA"/>
    <w:rsid w:val="009F41A6"/>
    <w:rsid w:val="009F46F7"/>
    <w:rsid w:val="009F5A04"/>
    <w:rsid w:val="009F5AF2"/>
    <w:rsid w:val="009F5CD2"/>
    <w:rsid w:val="009F5FE1"/>
    <w:rsid w:val="009F614B"/>
    <w:rsid w:val="009F642A"/>
    <w:rsid w:val="009F7CC4"/>
    <w:rsid w:val="00A00FB0"/>
    <w:rsid w:val="00A00FCE"/>
    <w:rsid w:val="00A0117F"/>
    <w:rsid w:val="00A03090"/>
    <w:rsid w:val="00A0551B"/>
    <w:rsid w:val="00A05913"/>
    <w:rsid w:val="00A05E35"/>
    <w:rsid w:val="00A06B93"/>
    <w:rsid w:val="00A06F63"/>
    <w:rsid w:val="00A0727D"/>
    <w:rsid w:val="00A074FC"/>
    <w:rsid w:val="00A1059D"/>
    <w:rsid w:val="00A11074"/>
    <w:rsid w:val="00A11DE9"/>
    <w:rsid w:val="00A1392B"/>
    <w:rsid w:val="00A13BE0"/>
    <w:rsid w:val="00A14B6F"/>
    <w:rsid w:val="00A15097"/>
    <w:rsid w:val="00A1592F"/>
    <w:rsid w:val="00A1597E"/>
    <w:rsid w:val="00A15E1A"/>
    <w:rsid w:val="00A161C6"/>
    <w:rsid w:val="00A161E4"/>
    <w:rsid w:val="00A163DF"/>
    <w:rsid w:val="00A16CEB"/>
    <w:rsid w:val="00A17567"/>
    <w:rsid w:val="00A17B34"/>
    <w:rsid w:val="00A20376"/>
    <w:rsid w:val="00A20C39"/>
    <w:rsid w:val="00A21154"/>
    <w:rsid w:val="00A212CB"/>
    <w:rsid w:val="00A212EF"/>
    <w:rsid w:val="00A22136"/>
    <w:rsid w:val="00A224AB"/>
    <w:rsid w:val="00A2261B"/>
    <w:rsid w:val="00A22CDF"/>
    <w:rsid w:val="00A2432D"/>
    <w:rsid w:val="00A24AE1"/>
    <w:rsid w:val="00A24BE1"/>
    <w:rsid w:val="00A25A85"/>
    <w:rsid w:val="00A25DBE"/>
    <w:rsid w:val="00A26ECF"/>
    <w:rsid w:val="00A26F43"/>
    <w:rsid w:val="00A27D26"/>
    <w:rsid w:val="00A3038A"/>
    <w:rsid w:val="00A30A1D"/>
    <w:rsid w:val="00A30EC8"/>
    <w:rsid w:val="00A31C1D"/>
    <w:rsid w:val="00A31E35"/>
    <w:rsid w:val="00A3218F"/>
    <w:rsid w:val="00A3280C"/>
    <w:rsid w:val="00A32B93"/>
    <w:rsid w:val="00A338E9"/>
    <w:rsid w:val="00A33F0B"/>
    <w:rsid w:val="00A33F34"/>
    <w:rsid w:val="00A34774"/>
    <w:rsid w:val="00A34C1F"/>
    <w:rsid w:val="00A34CAC"/>
    <w:rsid w:val="00A34D77"/>
    <w:rsid w:val="00A35090"/>
    <w:rsid w:val="00A35765"/>
    <w:rsid w:val="00A35C44"/>
    <w:rsid w:val="00A35CD7"/>
    <w:rsid w:val="00A35F5C"/>
    <w:rsid w:val="00A36832"/>
    <w:rsid w:val="00A36C85"/>
    <w:rsid w:val="00A37097"/>
    <w:rsid w:val="00A37276"/>
    <w:rsid w:val="00A3764E"/>
    <w:rsid w:val="00A377F9"/>
    <w:rsid w:val="00A37ED8"/>
    <w:rsid w:val="00A40727"/>
    <w:rsid w:val="00A40985"/>
    <w:rsid w:val="00A40A97"/>
    <w:rsid w:val="00A41808"/>
    <w:rsid w:val="00A41BCC"/>
    <w:rsid w:val="00A4275A"/>
    <w:rsid w:val="00A42E40"/>
    <w:rsid w:val="00A4397C"/>
    <w:rsid w:val="00A442DC"/>
    <w:rsid w:val="00A4486B"/>
    <w:rsid w:val="00A44DB4"/>
    <w:rsid w:val="00A45904"/>
    <w:rsid w:val="00A45FCA"/>
    <w:rsid w:val="00A46FE6"/>
    <w:rsid w:val="00A47351"/>
    <w:rsid w:val="00A473EB"/>
    <w:rsid w:val="00A50AD0"/>
    <w:rsid w:val="00A51B01"/>
    <w:rsid w:val="00A52FDF"/>
    <w:rsid w:val="00A53DC7"/>
    <w:rsid w:val="00A546F5"/>
    <w:rsid w:val="00A54B69"/>
    <w:rsid w:val="00A554AE"/>
    <w:rsid w:val="00A55D18"/>
    <w:rsid w:val="00A55D78"/>
    <w:rsid w:val="00A55F7E"/>
    <w:rsid w:val="00A57FE8"/>
    <w:rsid w:val="00A603FF"/>
    <w:rsid w:val="00A60A04"/>
    <w:rsid w:val="00A612BE"/>
    <w:rsid w:val="00A613DE"/>
    <w:rsid w:val="00A623C3"/>
    <w:rsid w:val="00A6249F"/>
    <w:rsid w:val="00A62529"/>
    <w:rsid w:val="00A628F0"/>
    <w:rsid w:val="00A62A99"/>
    <w:rsid w:val="00A62B0E"/>
    <w:rsid w:val="00A62E76"/>
    <w:rsid w:val="00A63225"/>
    <w:rsid w:val="00A63C78"/>
    <w:rsid w:val="00A64DA6"/>
    <w:rsid w:val="00A64E6F"/>
    <w:rsid w:val="00A64FBA"/>
    <w:rsid w:val="00A657CC"/>
    <w:rsid w:val="00A65E3E"/>
    <w:rsid w:val="00A660FE"/>
    <w:rsid w:val="00A701EF"/>
    <w:rsid w:val="00A70776"/>
    <w:rsid w:val="00A70C16"/>
    <w:rsid w:val="00A71089"/>
    <w:rsid w:val="00A71473"/>
    <w:rsid w:val="00A716EB"/>
    <w:rsid w:val="00A71F74"/>
    <w:rsid w:val="00A72396"/>
    <w:rsid w:val="00A72962"/>
    <w:rsid w:val="00A72AF8"/>
    <w:rsid w:val="00A7359D"/>
    <w:rsid w:val="00A73F6F"/>
    <w:rsid w:val="00A76261"/>
    <w:rsid w:val="00A76609"/>
    <w:rsid w:val="00A769E1"/>
    <w:rsid w:val="00A77014"/>
    <w:rsid w:val="00A77285"/>
    <w:rsid w:val="00A774CE"/>
    <w:rsid w:val="00A776A3"/>
    <w:rsid w:val="00A77832"/>
    <w:rsid w:val="00A77F33"/>
    <w:rsid w:val="00A80812"/>
    <w:rsid w:val="00A80BC6"/>
    <w:rsid w:val="00A81226"/>
    <w:rsid w:val="00A81B42"/>
    <w:rsid w:val="00A81CC0"/>
    <w:rsid w:val="00A8223E"/>
    <w:rsid w:val="00A82CBE"/>
    <w:rsid w:val="00A82F1B"/>
    <w:rsid w:val="00A83061"/>
    <w:rsid w:val="00A83410"/>
    <w:rsid w:val="00A83629"/>
    <w:rsid w:val="00A8381B"/>
    <w:rsid w:val="00A845D1"/>
    <w:rsid w:val="00A85DB2"/>
    <w:rsid w:val="00A85E43"/>
    <w:rsid w:val="00A87445"/>
    <w:rsid w:val="00A87FE9"/>
    <w:rsid w:val="00A90390"/>
    <w:rsid w:val="00A9071B"/>
    <w:rsid w:val="00A90B70"/>
    <w:rsid w:val="00A90FED"/>
    <w:rsid w:val="00A9122F"/>
    <w:rsid w:val="00A919C0"/>
    <w:rsid w:val="00A91EBF"/>
    <w:rsid w:val="00A92724"/>
    <w:rsid w:val="00A92A9B"/>
    <w:rsid w:val="00A92BB3"/>
    <w:rsid w:val="00A93193"/>
    <w:rsid w:val="00A93997"/>
    <w:rsid w:val="00A93BED"/>
    <w:rsid w:val="00A93DD2"/>
    <w:rsid w:val="00A93E22"/>
    <w:rsid w:val="00A93F68"/>
    <w:rsid w:val="00A94269"/>
    <w:rsid w:val="00A94B19"/>
    <w:rsid w:val="00A94C75"/>
    <w:rsid w:val="00A9509D"/>
    <w:rsid w:val="00A95CA1"/>
    <w:rsid w:val="00A9744E"/>
    <w:rsid w:val="00AA02E1"/>
    <w:rsid w:val="00AA0596"/>
    <w:rsid w:val="00AA0A01"/>
    <w:rsid w:val="00AA1445"/>
    <w:rsid w:val="00AA190A"/>
    <w:rsid w:val="00AA19EF"/>
    <w:rsid w:val="00AA2114"/>
    <w:rsid w:val="00AA2A25"/>
    <w:rsid w:val="00AA32F0"/>
    <w:rsid w:val="00AA363F"/>
    <w:rsid w:val="00AA3A2C"/>
    <w:rsid w:val="00AA479A"/>
    <w:rsid w:val="00AA4FDE"/>
    <w:rsid w:val="00AA52EE"/>
    <w:rsid w:val="00AA577B"/>
    <w:rsid w:val="00AA668F"/>
    <w:rsid w:val="00AA673E"/>
    <w:rsid w:val="00AA67A5"/>
    <w:rsid w:val="00AA69C0"/>
    <w:rsid w:val="00AB14FF"/>
    <w:rsid w:val="00AB1628"/>
    <w:rsid w:val="00AB170D"/>
    <w:rsid w:val="00AB1870"/>
    <w:rsid w:val="00AB191B"/>
    <w:rsid w:val="00AB1AC3"/>
    <w:rsid w:val="00AB2ADF"/>
    <w:rsid w:val="00AB3481"/>
    <w:rsid w:val="00AB36D4"/>
    <w:rsid w:val="00AB3FE5"/>
    <w:rsid w:val="00AB59FB"/>
    <w:rsid w:val="00AB67DC"/>
    <w:rsid w:val="00AB6888"/>
    <w:rsid w:val="00AB6B61"/>
    <w:rsid w:val="00AB70DE"/>
    <w:rsid w:val="00AB77ED"/>
    <w:rsid w:val="00AB7CA5"/>
    <w:rsid w:val="00AC03BD"/>
    <w:rsid w:val="00AC1B1F"/>
    <w:rsid w:val="00AC2C9C"/>
    <w:rsid w:val="00AC3474"/>
    <w:rsid w:val="00AC3716"/>
    <w:rsid w:val="00AC3CBB"/>
    <w:rsid w:val="00AC3FA5"/>
    <w:rsid w:val="00AC4242"/>
    <w:rsid w:val="00AC55A1"/>
    <w:rsid w:val="00AC57B5"/>
    <w:rsid w:val="00AC6E9D"/>
    <w:rsid w:val="00AC737F"/>
    <w:rsid w:val="00AC7592"/>
    <w:rsid w:val="00AC782B"/>
    <w:rsid w:val="00AD08EA"/>
    <w:rsid w:val="00AD0E54"/>
    <w:rsid w:val="00AD1416"/>
    <w:rsid w:val="00AD1E4F"/>
    <w:rsid w:val="00AD2152"/>
    <w:rsid w:val="00AD256D"/>
    <w:rsid w:val="00AD33D8"/>
    <w:rsid w:val="00AD35F4"/>
    <w:rsid w:val="00AD4706"/>
    <w:rsid w:val="00AD4782"/>
    <w:rsid w:val="00AD5172"/>
    <w:rsid w:val="00AD5C4B"/>
    <w:rsid w:val="00AD5CD5"/>
    <w:rsid w:val="00AD62B2"/>
    <w:rsid w:val="00AD6EC6"/>
    <w:rsid w:val="00AD7025"/>
    <w:rsid w:val="00AD7086"/>
    <w:rsid w:val="00AD7886"/>
    <w:rsid w:val="00AD78E7"/>
    <w:rsid w:val="00AD7CDD"/>
    <w:rsid w:val="00AE01BE"/>
    <w:rsid w:val="00AE01D4"/>
    <w:rsid w:val="00AE0397"/>
    <w:rsid w:val="00AE14F6"/>
    <w:rsid w:val="00AE1B8B"/>
    <w:rsid w:val="00AE2709"/>
    <w:rsid w:val="00AE29B5"/>
    <w:rsid w:val="00AE2B9A"/>
    <w:rsid w:val="00AE2BBF"/>
    <w:rsid w:val="00AE2D0B"/>
    <w:rsid w:val="00AE2D2A"/>
    <w:rsid w:val="00AE31D7"/>
    <w:rsid w:val="00AE39DB"/>
    <w:rsid w:val="00AE3B51"/>
    <w:rsid w:val="00AE3BA9"/>
    <w:rsid w:val="00AE4347"/>
    <w:rsid w:val="00AE450A"/>
    <w:rsid w:val="00AE5892"/>
    <w:rsid w:val="00AE59E9"/>
    <w:rsid w:val="00AE72D4"/>
    <w:rsid w:val="00AF09F7"/>
    <w:rsid w:val="00AF1514"/>
    <w:rsid w:val="00AF16BB"/>
    <w:rsid w:val="00AF17FA"/>
    <w:rsid w:val="00AF185E"/>
    <w:rsid w:val="00AF1865"/>
    <w:rsid w:val="00AF18B3"/>
    <w:rsid w:val="00AF1B50"/>
    <w:rsid w:val="00AF2D89"/>
    <w:rsid w:val="00AF3039"/>
    <w:rsid w:val="00AF3686"/>
    <w:rsid w:val="00AF43E6"/>
    <w:rsid w:val="00AF452B"/>
    <w:rsid w:val="00AF5DB2"/>
    <w:rsid w:val="00AF6B48"/>
    <w:rsid w:val="00AF6B94"/>
    <w:rsid w:val="00AF6C18"/>
    <w:rsid w:val="00AF6CFB"/>
    <w:rsid w:val="00AF6E1C"/>
    <w:rsid w:val="00AF7255"/>
    <w:rsid w:val="00AF7B92"/>
    <w:rsid w:val="00AF7F8B"/>
    <w:rsid w:val="00B00B0F"/>
    <w:rsid w:val="00B01049"/>
    <w:rsid w:val="00B012AE"/>
    <w:rsid w:val="00B0133F"/>
    <w:rsid w:val="00B014C4"/>
    <w:rsid w:val="00B014D6"/>
    <w:rsid w:val="00B01637"/>
    <w:rsid w:val="00B01F5E"/>
    <w:rsid w:val="00B02261"/>
    <w:rsid w:val="00B027DA"/>
    <w:rsid w:val="00B0338F"/>
    <w:rsid w:val="00B03A81"/>
    <w:rsid w:val="00B041D6"/>
    <w:rsid w:val="00B04503"/>
    <w:rsid w:val="00B0663E"/>
    <w:rsid w:val="00B071AA"/>
    <w:rsid w:val="00B07550"/>
    <w:rsid w:val="00B07D67"/>
    <w:rsid w:val="00B07E30"/>
    <w:rsid w:val="00B102B3"/>
    <w:rsid w:val="00B11860"/>
    <w:rsid w:val="00B11C15"/>
    <w:rsid w:val="00B12661"/>
    <w:rsid w:val="00B12A81"/>
    <w:rsid w:val="00B138F0"/>
    <w:rsid w:val="00B16CB5"/>
    <w:rsid w:val="00B174AF"/>
    <w:rsid w:val="00B2057B"/>
    <w:rsid w:val="00B209F8"/>
    <w:rsid w:val="00B20B92"/>
    <w:rsid w:val="00B2100F"/>
    <w:rsid w:val="00B214E7"/>
    <w:rsid w:val="00B222C1"/>
    <w:rsid w:val="00B226D4"/>
    <w:rsid w:val="00B22833"/>
    <w:rsid w:val="00B22A9C"/>
    <w:rsid w:val="00B237B8"/>
    <w:rsid w:val="00B23CC0"/>
    <w:rsid w:val="00B23F15"/>
    <w:rsid w:val="00B2414B"/>
    <w:rsid w:val="00B255E6"/>
    <w:rsid w:val="00B259F3"/>
    <w:rsid w:val="00B2679D"/>
    <w:rsid w:val="00B26A34"/>
    <w:rsid w:val="00B2703D"/>
    <w:rsid w:val="00B279D2"/>
    <w:rsid w:val="00B300F9"/>
    <w:rsid w:val="00B3036B"/>
    <w:rsid w:val="00B30624"/>
    <w:rsid w:val="00B30C6D"/>
    <w:rsid w:val="00B3124B"/>
    <w:rsid w:val="00B3175D"/>
    <w:rsid w:val="00B31A71"/>
    <w:rsid w:val="00B320EE"/>
    <w:rsid w:val="00B32ADB"/>
    <w:rsid w:val="00B33A9D"/>
    <w:rsid w:val="00B340BC"/>
    <w:rsid w:val="00B349B1"/>
    <w:rsid w:val="00B34BC0"/>
    <w:rsid w:val="00B35078"/>
    <w:rsid w:val="00B359A0"/>
    <w:rsid w:val="00B35C20"/>
    <w:rsid w:val="00B36B06"/>
    <w:rsid w:val="00B36CBF"/>
    <w:rsid w:val="00B36E5B"/>
    <w:rsid w:val="00B3709E"/>
    <w:rsid w:val="00B3710E"/>
    <w:rsid w:val="00B37171"/>
    <w:rsid w:val="00B37BF3"/>
    <w:rsid w:val="00B37C52"/>
    <w:rsid w:val="00B37DC4"/>
    <w:rsid w:val="00B412BE"/>
    <w:rsid w:val="00B41401"/>
    <w:rsid w:val="00B41507"/>
    <w:rsid w:val="00B419B6"/>
    <w:rsid w:val="00B41B06"/>
    <w:rsid w:val="00B41EC1"/>
    <w:rsid w:val="00B41FFB"/>
    <w:rsid w:val="00B4215C"/>
    <w:rsid w:val="00B42C60"/>
    <w:rsid w:val="00B43379"/>
    <w:rsid w:val="00B43938"/>
    <w:rsid w:val="00B439B2"/>
    <w:rsid w:val="00B43A6F"/>
    <w:rsid w:val="00B44823"/>
    <w:rsid w:val="00B452D5"/>
    <w:rsid w:val="00B4534E"/>
    <w:rsid w:val="00B4620E"/>
    <w:rsid w:val="00B46885"/>
    <w:rsid w:val="00B46B78"/>
    <w:rsid w:val="00B47122"/>
    <w:rsid w:val="00B473EA"/>
    <w:rsid w:val="00B50547"/>
    <w:rsid w:val="00B5099B"/>
    <w:rsid w:val="00B5192C"/>
    <w:rsid w:val="00B519A3"/>
    <w:rsid w:val="00B51BFD"/>
    <w:rsid w:val="00B51F7D"/>
    <w:rsid w:val="00B520BC"/>
    <w:rsid w:val="00B5329A"/>
    <w:rsid w:val="00B53753"/>
    <w:rsid w:val="00B53DCD"/>
    <w:rsid w:val="00B5400C"/>
    <w:rsid w:val="00B548F9"/>
    <w:rsid w:val="00B54A5D"/>
    <w:rsid w:val="00B54C35"/>
    <w:rsid w:val="00B555EA"/>
    <w:rsid w:val="00B55D24"/>
    <w:rsid w:val="00B56265"/>
    <w:rsid w:val="00B57929"/>
    <w:rsid w:val="00B600B2"/>
    <w:rsid w:val="00B6027B"/>
    <w:rsid w:val="00B61473"/>
    <w:rsid w:val="00B62617"/>
    <w:rsid w:val="00B629DC"/>
    <w:rsid w:val="00B62AC8"/>
    <w:rsid w:val="00B62B92"/>
    <w:rsid w:val="00B6314E"/>
    <w:rsid w:val="00B641BB"/>
    <w:rsid w:val="00B64271"/>
    <w:rsid w:val="00B646C2"/>
    <w:rsid w:val="00B64DFB"/>
    <w:rsid w:val="00B65AF3"/>
    <w:rsid w:val="00B65DA9"/>
    <w:rsid w:val="00B66305"/>
    <w:rsid w:val="00B667FE"/>
    <w:rsid w:val="00B67D17"/>
    <w:rsid w:val="00B67DE8"/>
    <w:rsid w:val="00B71A44"/>
    <w:rsid w:val="00B71C88"/>
    <w:rsid w:val="00B7307C"/>
    <w:rsid w:val="00B745FB"/>
    <w:rsid w:val="00B758D5"/>
    <w:rsid w:val="00B75A30"/>
    <w:rsid w:val="00B75F98"/>
    <w:rsid w:val="00B7621D"/>
    <w:rsid w:val="00B767F6"/>
    <w:rsid w:val="00B77141"/>
    <w:rsid w:val="00B77CD0"/>
    <w:rsid w:val="00B802EE"/>
    <w:rsid w:val="00B80A88"/>
    <w:rsid w:val="00B81122"/>
    <w:rsid w:val="00B81740"/>
    <w:rsid w:val="00B819B2"/>
    <w:rsid w:val="00B83BB4"/>
    <w:rsid w:val="00B83F6B"/>
    <w:rsid w:val="00B848F2"/>
    <w:rsid w:val="00B855F7"/>
    <w:rsid w:val="00B86433"/>
    <w:rsid w:val="00B870B1"/>
    <w:rsid w:val="00B873F5"/>
    <w:rsid w:val="00B8790E"/>
    <w:rsid w:val="00B87F49"/>
    <w:rsid w:val="00B90B05"/>
    <w:rsid w:val="00B90E1B"/>
    <w:rsid w:val="00B9114D"/>
    <w:rsid w:val="00B91193"/>
    <w:rsid w:val="00B92144"/>
    <w:rsid w:val="00B92316"/>
    <w:rsid w:val="00B92469"/>
    <w:rsid w:val="00B92AE1"/>
    <w:rsid w:val="00B92C23"/>
    <w:rsid w:val="00B960AD"/>
    <w:rsid w:val="00B97B51"/>
    <w:rsid w:val="00B97E79"/>
    <w:rsid w:val="00BA007D"/>
    <w:rsid w:val="00BA06C5"/>
    <w:rsid w:val="00BA0AC5"/>
    <w:rsid w:val="00BA11E6"/>
    <w:rsid w:val="00BA2454"/>
    <w:rsid w:val="00BA2558"/>
    <w:rsid w:val="00BA2E1A"/>
    <w:rsid w:val="00BA534E"/>
    <w:rsid w:val="00BA572B"/>
    <w:rsid w:val="00BA5C48"/>
    <w:rsid w:val="00BA68FC"/>
    <w:rsid w:val="00BB0A89"/>
    <w:rsid w:val="00BB0B43"/>
    <w:rsid w:val="00BB0BE6"/>
    <w:rsid w:val="00BB1354"/>
    <w:rsid w:val="00BB1E47"/>
    <w:rsid w:val="00BB23BE"/>
    <w:rsid w:val="00BB3144"/>
    <w:rsid w:val="00BB3E2E"/>
    <w:rsid w:val="00BB404D"/>
    <w:rsid w:val="00BB4BD8"/>
    <w:rsid w:val="00BB669D"/>
    <w:rsid w:val="00BB6B7F"/>
    <w:rsid w:val="00BB7047"/>
    <w:rsid w:val="00BB76AD"/>
    <w:rsid w:val="00BB7CAE"/>
    <w:rsid w:val="00BB7DDD"/>
    <w:rsid w:val="00BB7FE0"/>
    <w:rsid w:val="00BC0377"/>
    <w:rsid w:val="00BC2283"/>
    <w:rsid w:val="00BC2A40"/>
    <w:rsid w:val="00BC2BC0"/>
    <w:rsid w:val="00BC2E52"/>
    <w:rsid w:val="00BC317A"/>
    <w:rsid w:val="00BC3CE1"/>
    <w:rsid w:val="00BC42B5"/>
    <w:rsid w:val="00BC45A8"/>
    <w:rsid w:val="00BC4743"/>
    <w:rsid w:val="00BC4B09"/>
    <w:rsid w:val="00BC4DC5"/>
    <w:rsid w:val="00BC4E3C"/>
    <w:rsid w:val="00BC559B"/>
    <w:rsid w:val="00BC6797"/>
    <w:rsid w:val="00BC6A5E"/>
    <w:rsid w:val="00BC6B53"/>
    <w:rsid w:val="00BC72AB"/>
    <w:rsid w:val="00BC7DD7"/>
    <w:rsid w:val="00BD010D"/>
    <w:rsid w:val="00BD1200"/>
    <w:rsid w:val="00BD1A8A"/>
    <w:rsid w:val="00BD27A9"/>
    <w:rsid w:val="00BD2870"/>
    <w:rsid w:val="00BD2AAA"/>
    <w:rsid w:val="00BD4012"/>
    <w:rsid w:val="00BD4425"/>
    <w:rsid w:val="00BD4536"/>
    <w:rsid w:val="00BD465B"/>
    <w:rsid w:val="00BD53CA"/>
    <w:rsid w:val="00BD5A1C"/>
    <w:rsid w:val="00BD5AA1"/>
    <w:rsid w:val="00BD60C6"/>
    <w:rsid w:val="00BD6933"/>
    <w:rsid w:val="00BD6B0D"/>
    <w:rsid w:val="00BD6C0D"/>
    <w:rsid w:val="00BD6D6B"/>
    <w:rsid w:val="00BE0D83"/>
    <w:rsid w:val="00BE1159"/>
    <w:rsid w:val="00BE1354"/>
    <w:rsid w:val="00BE16FC"/>
    <w:rsid w:val="00BE1DBC"/>
    <w:rsid w:val="00BE206E"/>
    <w:rsid w:val="00BE238E"/>
    <w:rsid w:val="00BE2B49"/>
    <w:rsid w:val="00BE31F7"/>
    <w:rsid w:val="00BE3B5A"/>
    <w:rsid w:val="00BE3E06"/>
    <w:rsid w:val="00BE3F57"/>
    <w:rsid w:val="00BE41A2"/>
    <w:rsid w:val="00BE44BE"/>
    <w:rsid w:val="00BE4C5A"/>
    <w:rsid w:val="00BE4F5E"/>
    <w:rsid w:val="00BE5CFC"/>
    <w:rsid w:val="00BE5F54"/>
    <w:rsid w:val="00BE6176"/>
    <w:rsid w:val="00BE6A81"/>
    <w:rsid w:val="00BE6BA7"/>
    <w:rsid w:val="00BE6D1D"/>
    <w:rsid w:val="00BE7571"/>
    <w:rsid w:val="00BE7F0B"/>
    <w:rsid w:val="00BF032E"/>
    <w:rsid w:val="00BF106A"/>
    <w:rsid w:val="00BF1228"/>
    <w:rsid w:val="00BF17EB"/>
    <w:rsid w:val="00BF229F"/>
    <w:rsid w:val="00BF2664"/>
    <w:rsid w:val="00BF2C15"/>
    <w:rsid w:val="00BF2E09"/>
    <w:rsid w:val="00BF3251"/>
    <w:rsid w:val="00BF3A38"/>
    <w:rsid w:val="00BF3B28"/>
    <w:rsid w:val="00BF44D1"/>
    <w:rsid w:val="00BF462C"/>
    <w:rsid w:val="00BF4F68"/>
    <w:rsid w:val="00BF5151"/>
    <w:rsid w:val="00BF5B5D"/>
    <w:rsid w:val="00BF5DD2"/>
    <w:rsid w:val="00BF60BE"/>
    <w:rsid w:val="00BF65C3"/>
    <w:rsid w:val="00BF6724"/>
    <w:rsid w:val="00BF6CE2"/>
    <w:rsid w:val="00BF7448"/>
    <w:rsid w:val="00BF75EE"/>
    <w:rsid w:val="00BF7999"/>
    <w:rsid w:val="00C001B9"/>
    <w:rsid w:val="00C0048A"/>
    <w:rsid w:val="00C00D01"/>
    <w:rsid w:val="00C00D17"/>
    <w:rsid w:val="00C0117D"/>
    <w:rsid w:val="00C01C38"/>
    <w:rsid w:val="00C01D52"/>
    <w:rsid w:val="00C02227"/>
    <w:rsid w:val="00C02288"/>
    <w:rsid w:val="00C02536"/>
    <w:rsid w:val="00C03B11"/>
    <w:rsid w:val="00C03D19"/>
    <w:rsid w:val="00C03FF6"/>
    <w:rsid w:val="00C04E06"/>
    <w:rsid w:val="00C05F2D"/>
    <w:rsid w:val="00C06973"/>
    <w:rsid w:val="00C069A6"/>
    <w:rsid w:val="00C06D74"/>
    <w:rsid w:val="00C07CFE"/>
    <w:rsid w:val="00C07FE0"/>
    <w:rsid w:val="00C1017A"/>
    <w:rsid w:val="00C110AB"/>
    <w:rsid w:val="00C1111A"/>
    <w:rsid w:val="00C1178D"/>
    <w:rsid w:val="00C12110"/>
    <w:rsid w:val="00C124AF"/>
    <w:rsid w:val="00C127FF"/>
    <w:rsid w:val="00C13557"/>
    <w:rsid w:val="00C13703"/>
    <w:rsid w:val="00C13C69"/>
    <w:rsid w:val="00C1477F"/>
    <w:rsid w:val="00C162C5"/>
    <w:rsid w:val="00C17069"/>
    <w:rsid w:val="00C178B6"/>
    <w:rsid w:val="00C17D17"/>
    <w:rsid w:val="00C21398"/>
    <w:rsid w:val="00C215BD"/>
    <w:rsid w:val="00C221B4"/>
    <w:rsid w:val="00C225E4"/>
    <w:rsid w:val="00C22891"/>
    <w:rsid w:val="00C23353"/>
    <w:rsid w:val="00C2389D"/>
    <w:rsid w:val="00C245FF"/>
    <w:rsid w:val="00C24764"/>
    <w:rsid w:val="00C24B09"/>
    <w:rsid w:val="00C24C12"/>
    <w:rsid w:val="00C24E75"/>
    <w:rsid w:val="00C250B0"/>
    <w:rsid w:val="00C256A6"/>
    <w:rsid w:val="00C26557"/>
    <w:rsid w:val="00C26708"/>
    <w:rsid w:val="00C268BD"/>
    <w:rsid w:val="00C26DE1"/>
    <w:rsid w:val="00C275AE"/>
    <w:rsid w:val="00C27655"/>
    <w:rsid w:val="00C2769C"/>
    <w:rsid w:val="00C27777"/>
    <w:rsid w:val="00C27B00"/>
    <w:rsid w:val="00C27D56"/>
    <w:rsid w:val="00C30455"/>
    <w:rsid w:val="00C30C44"/>
    <w:rsid w:val="00C3158D"/>
    <w:rsid w:val="00C3159E"/>
    <w:rsid w:val="00C31701"/>
    <w:rsid w:val="00C31ADC"/>
    <w:rsid w:val="00C31DB4"/>
    <w:rsid w:val="00C3235C"/>
    <w:rsid w:val="00C32544"/>
    <w:rsid w:val="00C327BB"/>
    <w:rsid w:val="00C3311F"/>
    <w:rsid w:val="00C33480"/>
    <w:rsid w:val="00C33705"/>
    <w:rsid w:val="00C3379E"/>
    <w:rsid w:val="00C33A5D"/>
    <w:rsid w:val="00C33D81"/>
    <w:rsid w:val="00C34482"/>
    <w:rsid w:val="00C34678"/>
    <w:rsid w:val="00C348FE"/>
    <w:rsid w:val="00C356BB"/>
    <w:rsid w:val="00C36059"/>
    <w:rsid w:val="00C3683A"/>
    <w:rsid w:val="00C3700A"/>
    <w:rsid w:val="00C3783A"/>
    <w:rsid w:val="00C37C84"/>
    <w:rsid w:val="00C40B60"/>
    <w:rsid w:val="00C41337"/>
    <w:rsid w:val="00C41522"/>
    <w:rsid w:val="00C41759"/>
    <w:rsid w:val="00C424C2"/>
    <w:rsid w:val="00C42664"/>
    <w:rsid w:val="00C42E8E"/>
    <w:rsid w:val="00C42FAA"/>
    <w:rsid w:val="00C43FF1"/>
    <w:rsid w:val="00C44AE1"/>
    <w:rsid w:val="00C44F8C"/>
    <w:rsid w:val="00C456DD"/>
    <w:rsid w:val="00C4656D"/>
    <w:rsid w:val="00C4684D"/>
    <w:rsid w:val="00C46C26"/>
    <w:rsid w:val="00C46D5F"/>
    <w:rsid w:val="00C4723F"/>
    <w:rsid w:val="00C47359"/>
    <w:rsid w:val="00C473AE"/>
    <w:rsid w:val="00C47843"/>
    <w:rsid w:val="00C47953"/>
    <w:rsid w:val="00C47C0C"/>
    <w:rsid w:val="00C47EEB"/>
    <w:rsid w:val="00C5062E"/>
    <w:rsid w:val="00C50F91"/>
    <w:rsid w:val="00C5165D"/>
    <w:rsid w:val="00C51CD9"/>
    <w:rsid w:val="00C51E4D"/>
    <w:rsid w:val="00C5270D"/>
    <w:rsid w:val="00C52B06"/>
    <w:rsid w:val="00C52F86"/>
    <w:rsid w:val="00C5311B"/>
    <w:rsid w:val="00C538B0"/>
    <w:rsid w:val="00C543F9"/>
    <w:rsid w:val="00C547BC"/>
    <w:rsid w:val="00C5552C"/>
    <w:rsid w:val="00C559F1"/>
    <w:rsid w:val="00C55AF9"/>
    <w:rsid w:val="00C55CD2"/>
    <w:rsid w:val="00C57897"/>
    <w:rsid w:val="00C57A0A"/>
    <w:rsid w:val="00C57DAF"/>
    <w:rsid w:val="00C57DF0"/>
    <w:rsid w:val="00C60A45"/>
    <w:rsid w:val="00C615FC"/>
    <w:rsid w:val="00C61DC7"/>
    <w:rsid w:val="00C6237A"/>
    <w:rsid w:val="00C62A9D"/>
    <w:rsid w:val="00C62AE6"/>
    <w:rsid w:val="00C62B7E"/>
    <w:rsid w:val="00C63829"/>
    <w:rsid w:val="00C64E86"/>
    <w:rsid w:val="00C65366"/>
    <w:rsid w:val="00C658A1"/>
    <w:rsid w:val="00C67519"/>
    <w:rsid w:val="00C679AF"/>
    <w:rsid w:val="00C67D44"/>
    <w:rsid w:val="00C7044F"/>
    <w:rsid w:val="00C70B8E"/>
    <w:rsid w:val="00C70F7E"/>
    <w:rsid w:val="00C7137C"/>
    <w:rsid w:val="00C71576"/>
    <w:rsid w:val="00C715B4"/>
    <w:rsid w:val="00C726B3"/>
    <w:rsid w:val="00C72FA5"/>
    <w:rsid w:val="00C7306E"/>
    <w:rsid w:val="00C731F9"/>
    <w:rsid w:val="00C73528"/>
    <w:rsid w:val="00C742FB"/>
    <w:rsid w:val="00C746ED"/>
    <w:rsid w:val="00C748E3"/>
    <w:rsid w:val="00C75412"/>
    <w:rsid w:val="00C75684"/>
    <w:rsid w:val="00C75BF8"/>
    <w:rsid w:val="00C75E34"/>
    <w:rsid w:val="00C7654E"/>
    <w:rsid w:val="00C76843"/>
    <w:rsid w:val="00C7694D"/>
    <w:rsid w:val="00C76E9E"/>
    <w:rsid w:val="00C7789A"/>
    <w:rsid w:val="00C77AAA"/>
    <w:rsid w:val="00C77E92"/>
    <w:rsid w:val="00C81521"/>
    <w:rsid w:val="00C81CAF"/>
    <w:rsid w:val="00C82165"/>
    <w:rsid w:val="00C82588"/>
    <w:rsid w:val="00C827C8"/>
    <w:rsid w:val="00C829E9"/>
    <w:rsid w:val="00C8353C"/>
    <w:rsid w:val="00C8426D"/>
    <w:rsid w:val="00C86377"/>
    <w:rsid w:val="00C86567"/>
    <w:rsid w:val="00C86FD0"/>
    <w:rsid w:val="00C87055"/>
    <w:rsid w:val="00C9028A"/>
    <w:rsid w:val="00C9049C"/>
    <w:rsid w:val="00C9056B"/>
    <w:rsid w:val="00C90663"/>
    <w:rsid w:val="00C90B2D"/>
    <w:rsid w:val="00C9115D"/>
    <w:rsid w:val="00C93B48"/>
    <w:rsid w:val="00C945C2"/>
    <w:rsid w:val="00C946AE"/>
    <w:rsid w:val="00C94909"/>
    <w:rsid w:val="00C94F48"/>
    <w:rsid w:val="00C950FB"/>
    <w:rsid w:val="00C95812"/>
    <w:rsid w:val="00C96338"/>
    <w:rsid w:val="00C96352"/>
    <w:rsid w:val="00C9647F"/>
    <w:rsid w:val="00C9678A"/>
    <w:rsid w:val="00C96D68"/>
    <w:rsid w:val="00C97309"/>
    <w:rsid w:val="00CA19E3"/>
    <w:rsid w:val="00CA1FD0"/>
    <w:rsid w:val="00CA27C8"/>
    <w:rsid w:val="00CA3289"/>
    <w:rsid w:val="00CA345C"/>
    <w:rsid w:val="00CA3622"/>
    <w:rsid w:val="00CA3ABB"/>
    <w:rsid w:val="00CA3E42"/>
    <w:rsid w:val="00CA5372"/>
    <w:rsid w:val="00CA57AD"/>
    <w:rsid w:val="00CA5BCD"/>
    <w:rsid w:val="00CA66F5"/>
    <w:rsid w:val="00CA6F11"/>
    <w:rsid w:val="00CB1230"/>
    <w:rsid w:val="00CB17C2"/>
    <w:rsid w:val="00CB2C0A"/>
    <w:rsid w:val="00CB32A7"/>
    <w:rsid w:val="00CB3E75"/>
    <w:rsid w:val="00CB6613"/>
    <w:rsid w:val="00CB6CA4"/>
    <w:rsid w:val="00CB752F"/>
    <w:rsid w:val="00CB755D"/>
    <w:rsid w:val="00CB7790"/>
    <w:rsid w:val="00CB7798"/>
    <w:rsid w:val="00CB7A8E"/>
    <w:rsid w:val="00CC025C"/>
    <w:rsid w:val="00CC0307"/>
    <w:rsid w:val="00CC08EC"/>
    <w:rsid w:val="00CC0B91"/>
    <w:rsid w:val="00CC12DC"/>
    <w:rsid w:val="00CC1625"/>
    <w:rsid w:val="00CC1CC2"/>
    <w:rsid w:val="00CC22CB"/>
    <w:rsid w:val="00CC2388"/>
    <w:rsid w:val="00CC2D2B"/>
    <w:rsid w:val="00CC2E36"/>
    <w:rsid w:val="00CC3908"/>
    <w:rsid w:val="00CC3FC1"/>
    <w:rsid w:val="00CC42F2"/>
    <w:rsid w:val="00CC4BCB"/>
    <w:rsid w:val="00CC4DC5"/>
    <w:rsid w:val="00CC5FDC"/>
    <w:rsid w:val="00CC78FD"/>
    <w:rsid w:val="00CC7FEA"/>
    <w:rsid w:val="00CD081D"/>
    <w:rsid w:val="00CD0945"/>
    <w:rsid w:val="00CD0C0E"/>
    <w:rsid w:val="00CD0F8D"/>
    <w:rsid w:val="00CD242D"/>
    <w:rsid w:val="00CD26DF"/>
    <w:rsid w:val="00CD2BE5"/>
    <w:rsid w:val="00CD3121"/>
    <w:rsid w:val="00CD330E"/>
    <w:rsid w:val="00CD36BA"/>
    <w:rsid w:val="00CD3998"/>
    <w:rsid w:val="00CD4650"/>
    <w:rsid w:val="00CD47A8"/>
    <w:rsid w:val="00CD4BA9"/>
    <w:rsid w:val="00CD5B08"/>
    <w:rsid w:val="00CD696C"/>
    <w:rsid w:val="00CD6AC7"/>
    <w:rsid w:val="00CD7926"/>
    <w:rsid w:val="00CD7A04"/>
    <w:rsid w:val="00CD7A63"/>
    <w:rsid w:val="00CE0F7B"/>
    <w:rsid w:val="00CE132D"/>
    <w:rsid w:val="00CE17E5"/>
    <w:rsid w:val="00CE1B64"/>
    <w:rsid w:val="00CE3219"/>
    <w:rsid w:val="00CE38AC"/>
    <w:rsid w:val="00CE3BF9"/>
    <w:rsid w:val="00CE4592"/>
    <w:rsid w:val="00CE4C26"/>
    <w:rsid w:val="00CE509E"/>
    <w:rsid w:val="00CE5699"/>
    <w:rsid w:val="00CE5AD4"/>
    <w:rsid w:val="00CE6910"/>
    <w:rsid w:val="00CF0022"/>
    <w:rsid w:val="00CF0310"/>
    <w:rsid w:val="00CF0AB8"/>
    <w:rsid w:val="00CF0D4D"/>
    <w:rsid w:val="00CF105A"/>
    <w:rsid w:val="00CF16FF"/>
    <w:rsid w:val="00CF1EA5"/>
    <w:rsid w:val="00CF1F32"/>
    <w:rsid w:val="00CF233C"/>
    <w:rsid w:val="00CF2593"/>
    <w:rsid w:val="00CF28E1"/>
    <w:rsid w:val="00CF28ED"/>
    <w:rsid w:val="00CF2F6B"/>
    <w:rsid w:val="00CF323D"/>
    <w:rsid w:val="00CF387B"/>
    <w:rsid w:val="00CF39A4"/>
    <w:rsid w:val="00CF4937"/>
    <w:rsid w:val="00CF4A91"/>
    <w:rsid w:val="00CF4F01"/>
    <w:rsid w:val="00CF5AC4"/>
    <w:rsid w:val="00CF6416"/>
    <w:rsid w:val="00CF684B"/>
    <w:rsid w:val="00CF6B3A"/>
    <w:rsid w:val="00CF75CE"/>
    <w:rsid w:val="00CF7F31"/>
    <w:rsid w:val="00D010E4"/>
    <w:rsid w:val="00D01439"/>
    <w:rsid w:val="00D01DAE"/>
    <w:rsid w:val="00D02393"/>
    <w:rsid w:val="00D02C04"/>
    <w:rsid w:val="00D03537"/>
    <w:rsid w:val="00D038F6"/>
    <w:rsid w:val="00D03D0A"/>
    <w:rsid w:val="00D03D50"/>
    <w:rsid w:val="00D03FF4"/>
    <w:rsid w:val="00D06388"/>
    <w:rsid w:val="00D07EEB"/>
    <w:rsid w:val="00D1016A"/>
    <w:rsid w:val="00D10222"/>
    <w:rsid w:val="00D10B6A"/>
    <w:rsid w:val="00D10D59"/>
    <w:rsid w:val="00D1221F"/>
    <w:rsid w:val="00D1253B"/>
    <w:rsid w:val="00D1255B"/>
    <w:rsid w:val="00D12845"/>
    <w:rsid w:val="00D13C85"/>
    <w:rsid w:val="00D143FA"/>
    <w:rsid w:val="00D15901"/>
    <w:rsid w:val="00D167EE"/>
    <w:rsid w:val="00D16EBB"/>
    <w:rsid w:val="00D17444"/>
    <w:rsid w:val="00D175D4"/>
    <w:rsid w:val="00D21563"/>
    <w:rsid w:val="00D21593"/>
    <w:rsid w:val="00D2164F"/>
    <w:rsid w:val="00D21826"/>
    <w:rsid w:val="00D233F5"/>
    <w:rsid w:val="00D25BDB"/>
    <w:rsid w:val="00D264F2"/>
    <w:rsid w:val="00D2762F"/>
    <w:rsid w:val="00D27871"/>
    <w:rsid w:val="00D278B7"/>
    <w:rsid w:val="00D27FA9"/>
    <w:rsid w:val="00D3097C"/>
    <w:rsid w:val="00D30A49"/>
    <w:rsid w:val="00D30C40"/>
    <w:rsid w:val="00D30DF7"/>
    <w:rsid w:val="00D31313"/>
    <w:rsid w:val="00D32047"/>
    <w:rsid w:val="00D3237F"/>
    <w:rsid w:val="00D32C6C"/>
    <w:rsid w:val="00D32FDC"/>
    <w:rsid w:val="00D33A4B"/>
    <w:rsid w:val="00D33A56"/>
    <w:rsid w:val="00D33F3B"/>
    <w:rsid w:val="00D34179"/>
    <w:rsid w:val="00D34B10"/>
    <w:rsid w:val="00D355B1"/>
    <w:rsid w:val="00D362D8"/>
    <w:rsid w:val="00D36AD0"/>
    <w:rsid w:val="00D40BD5"/>
    <w:rsid w:val="00D41B40"/>
    <w:rsid w:val="00D41D87"/>
    <w:rsid w:val="00D41DCD"/>
    <w:rsid w:val="00D41EF7"/>
    <w:rsid w:val="00D42436"/>
    <w:rsid w:val="00D4264A"/>
    <w:rsid w:val="00D42A88"/>
    <w:rsid w:val="00D44218"/>
    <w:rsid w:val="00D447EF"/>
    <w:rsid w:val="00D44DCE"/>
    <w:rsid w:val="00D44E72"/>
    <w:rsid w:val="00D454D9"/>
    <w:rsid w:val="00D45869"/>
    <w:rsid w:val="00D4623C"/>
    <w:rsid w:val="00D46E2F"/>
    <w:rsid w:val="00D47354"/>
    <w:rsid w:val="00D47412"/>
    <w:rsid w:val="00D501EB"/>
    <w:rsid w:val="00D50D3F"/>
    <w:rsid w:val="00D5174D"/>
    <w:rsid w:val="00D51C30"/>
    <w:rsid w:val="00D51FCA"/>
    <w:rsid w:val="00D520B1"/>
    <w:rsid w:val="00D52406"/>
    <w:rsid w:val="00D52462"/>
    <w:rsid w:val="00D52681"/>
    <w:rsid w:val="00D52BAD"/>
    <w:rsid w:val="00D53EDE"/>
    <w:rsid w:val="00D5410C"/>
    <w:rsid w:val="00D547FF"/>
    <w:rsid w:val="00D54D49"/>
    <w:rsid w:val="00D54F7E"/>
    <w:rsid w:val="00D5502F"/>
    <w:rsid w:val="00D5572A"/>
    <w:rsid w:val="00D5576D"/>
    <w:rsid w:val="00D56BB3"/>
    <w:rsid w:val="00D57D39"/>
    <w:rsid w:val="00D603EF"/>
    <w:rsid w:val="00D60425"/>
    <w:rsid w:val="00D608B0"/>
    <w:rsid w:val="00D60B36"/>
    <w:rsid w:val="00D60BA2"/>
    <w:rsid w:val="00D61ADB"/>
    <w:rsid w:val="00D61CFF"/>
    <w:rsid w:val="00D61E5B"/>
    <w:rsid w:val="00D62743"/>
    <w:rsid w:val="00D628DD"/>
    <w:rsid w:val="00D632F1"/>
    <w:rsid w:val="00D64311"/>
    <w:rsid w:val="00D64358"/>
    <w:rsid w:val="00D644E9"/>
    <w:rsid w:val="00D6450F"/>
    <w:rsid w:val="00D64648"/>
    <w:rsid w:val="00D650C4"/>
    <w:rsid w:val="00D65466"/>
    <w:rsid w:val="00D657F8"/>
    <w:rsid w:val="00D65F1D"/>
    <w:rsid w:val="00D66925"/>
    <w:rsid w:val="00D66971"/>
    <w:rsid w:val="00D66D05"/>
    <w:rsid w:val="00D6702C"/>
    <w:rsid w:val="00D67C67"/>
    <w:rsid w:val="00D705D9"/>
    <w:rsid w:val="00D70A5B"/>
    <w:rsid w:val="00D70B45"/>
    <w:rsid w:val="00D71121"/>
    <w:rsid w:val="00D7165A"/>
    <w:rsid w:val="00D71748"/>
    <w:rsid w:val="00D725D0"/>
    <w:rsid w:val="00D7274E"/>
    <w:rsid w:val="00D72B08"/>
    <w:rsid w:val="00D737FF"/>
    <w:rsid w:val="00D738D8"/>
    <w:rsid w:val="00D73B10"/>
    <w:rsid w:val="00D73DF9"/>
    <w:rsid w:val="00D73E84"/>
    <w:rsid w:val="00D740B5"/>
    <w:rsid w:val="00D748BF"/>
    <w:rsid w:val="00D75639"/>
    <w:rsid w:val="00D75886"/>
    <w:rsid w:val="00D75A99"/>
    <w:rsid w:val="00D766EC"/>
    <w:rsid w:val="00D76BFE"/>
    <w:rsid w:val="00D76ECF"/>
    <w:rsid w:val="00D76F36"/>
    <w:rsid w:val="00D774A4"/>
    <w:rsid w:val="00D777F9"/>
    <w:rsid w:val="00D77856"/>
    <w:rsid w:val="00D77EA6"/>
    <w:rsid w:val="00D8017F"/>
    <w:rsid w:val="00D81ECB"/>
    <w:rsid w:val="00D8255E"/>
    <w:rsid w:val="00D82839"/>
    <w:rsid w:val="00D82DBA"/>
    <w:rsid w:val="00D83045"/>
    <w:rsid w:val="00D834F3"/>
    <w:rsid w:val="00D836C9"/>
    <w:rsid w:val="00D8408D"/>
    <w:rsid w:val="00D84AF6"/>
    <w:rsid w:val="00D853CA"/>
    <w:rsid w:val="00D85863"/>
    <w:rsid w:val="00D858B3"/>
    <w:rsid w:val="00D859DD"/>
    <w:rsid w:val="00D85BC8"/>
    <w:rsid w:val="00D864DB"/>
    <w:rsid w:val="00D8668B"/>
    <w:rsid w:val="00D86C64"/>
    <w:rsid w:val="00D87400"/>
    <w:rsid w:val="00D87F94"/>
    <w:rsid w:val="00D87FEE"/>
    <w:rsid w:val="00D90AE6"/>
    <w:rsid w:val="00D90DBB"/>
    <w:rsid w:val="00D910C8"/>
    <w:rsid w:val="00D9113B"/>
    <w:rsid w:val="00D914E9"/>
    <w:rsid w:val="00D91E71"/>
    <w:rsid w:val="00D93066"/>
    <w:rsid w:val="00D933FA"/>
    <w:rsid w:val="00D93DC0"/>
    <w:rsid w:val="00D9492D"/>
    <w:rsid w:val="00D94E09"/>
    <w:rsid w:val="00D951C4"/>
    <w:rsid w:val="00D951E8"/>
    <w:rsid w:val="00D95889"/>
    <w:rsid w:val="00D95E0F"/>
    <w:rsid w:val="00D9676C"/>
    <w:rsid w:val="00D96AAC"/>
    <w:rsid w:val="00DA0334"/>
    <w:rsid w:val="00DA042A"/>
    <w:rsid w:val="00DA0AEA"/>
    <w:rsid w:val="00DA1303"/>
    <w:rsid w:val="00DA1CD5"/>
    <w:rsid w:val="00DA263A"/>
    <w:rsid w:val="00DA31B0"/>
    <w:rsid w:val="00DA33B8"/>
    <w:rsid w:val="00DA3526"/>
    <w:rsid w:val="00DA37D8"/>
    <w:rsid w:val="00DA3994"/>
    <w:rsid w:val="00DA3CC8"/>
    <w:rsid w:val="00DA3FC9"/>
    <w:rsid w:val="00DA4685"/>
    <w:rsid w:val="00DA5B8B"/>
    <w:rsid w:val="00DA5C0A"/>
    <w:rsid w:val="00DA5E7E"/>
    <w:rsid w:val="00DA6203"/>
    <w:rsid w:val="00DA6D0A"/>
    <w:rsid w:val="00DA6D66"/>
    <w:rsid w:val="00DA78C4"/>
    <w:rsid w:val="00DA7AF6"/>
    <w:rsid w:val="00DA7E77"/>
    <w:rsid w:val="00DB0E87"/>
    <w:rsid w:val="00DB1401"/>
    <w:rsid w:val="00DB1957"/>
    <w:rsid w:val="00DB2895"/>
    <w:rsid w:val="00DB2AF7"/>
    <w:rsid w:val="00DB4281"/>
    <w:rsid w:val="00DB441B"/>
    <w:rsid w:val="00DB4693"/>
    <w:rsid w:val="00DB46A8"/>
    <w:rsid w:val="00DB4F96"/>
    <w:rsid w:val="00DB5431"/>
    <w:rsid w:val="00DB5710"/>
    <w:rsid w:val="00DB58C5"/>
    <w:rsid w:val="00DB59A5"/>
    <w:rsid w:val="00DB5CAE"/>
    <w:rsid w:val="00DB69D1"/>
    <w:rsid w:val="00DB6A8C"/>
    <w:rsid w:val="00DC04BB"/>
    <w:rsid w:val="00DC119E"/>
    <w:rsid w:val="00DC16F8"/>
    <w:rsid w:val="00DC1977"/>
    <w:rsid w:val="00DC26B9"/>
    <w:rsid w:val="00DC2A18"/>
    <w:rsid w:val="00DC2C50"/>
    <w:rsid w:val="00DC303C"/>
    <w:rsid w:val="00DC3903"/>
    <w:rsid w:val="00DC3E27"/>
    <w:rsid w:val="00DC4D8B"/>
    <w:rsid w:val="00DC56FE"/>
    <w:rsid w:val="00DC5808"/>
    <w:rsid w:val="00DC60D8"/>
    <w:rsid w:val="00DC621D"/>
    <w:rsid w:val="00DC62D5"/>
    <w:rsid w:val="00DC64D9"/>
    <w:rsid w:val="00DC6666"/>
    <w:rsid w:val="00DC6779"/>
    <w:rsid w:val="00DC7132"/>
    <w:rsid w:val="00DC720D"/>
    <w:rsid w:val="00DC72E8"/>
    <w:rsid w:val="00DC768B"/>
    <w:rsid w:val="00DC76D0"/>
    <w:rsid w:val="00DC7CBA"/>
    <w:rsid w:val="00DC7ED9"/>
    <w:rsid w:val="00DD15FC"/>
    <w:rsid w:val="00DD1E91"/>
    <w:rsid w:val="00DD2312"/>
    <w:rsid w:val="00DD26CC"/>
    <w:rsid w:val="00DD2833"/>
    <w:rsid w:val="00DD2B8D"/>
    <w:rsid w:val="00DD4695"/>
    <w:rsid w:val="00DD51DD"/>
    <w:rsid w:val="00DD553E"/>
    <w:rsid w:val="00DD5780"/>
    <w:rsid w:val="00DD5BCE"/>
    <w:rsid w:val="00DE0092"/>
    <w:rsid w:val="00DE07C8"/>
    <w:rsid w:val="00DE0933"/>
    <w:rsid w:val="00DE0BAB"/>
    <w:rsid w:val="00DE1260"/>
    <w:rsid w:val="00DE135C"/>
    <w:rsid w:val="00DE1762"/>
    <w:rsid w:val="00DE1874"/>
    <w:rsid w:val="00DE18EA"/>
    <w:rsid w:val="00DE19FA"/>
    <w:rsid w:val="00DE1A92"/>
    <w:rsid w:val="00DE1E44"/>
    <w:rsid w:val="00DE28DE"/>
    <w:rsid w:val="00DE29C7"/>
    <w:rsid w:val="00DE2FA3"/>
    <w:rsid w:val="00DE3EE6"/>
    <w:rsid w:val="00DE4277"/>
    <w:rsid w:val="00DE4848"/>
    <w:rsid w:val="00DE4E19"/>
    <w:rsid w:val="00DE4FA1"/>
    <w:rsid w:val="00DE55BB"/>
    <w:rsid w:val="00DE5FCD"/>
    <w:rsid w:val="00DE75BC"/>
    <w:rsid w:val="00DF160E"/>
    <w:rsid w:val="00DF1F3D"/>
    <w:rsid w:val="00DF377C"/>
    <w:rsid w:val="00DF390C"/>
    <w:rsid w:val="00DF3CC7"/>
    <w:rsid w:val="00DF3DED"/>
    <w:rsid w:val="00DF5453"/>
    <w:rsid w:val="00DF5DB2"/>
    <w:rsid w:val="00DF63CE"/>
    <w:rsid w:val="00DF68B0"/>
    <w:rsid w:val="00DF7665"/>
    <w:rsid w:val="00DF76EB"/>
    <w:rsid w:val="00DF77ED"/>
    <w:rsid w:val="00E00062"/>
    <w:rsid w:val="00E00075"/>
    <w:rsid w:val="00E00A7F"/>
    <w:rsid w:val="00E00ED4"/>
    <w:rsid w:val="00E014B6"/>
    <w:rsid w:val="00E02140"/>
    <w:rsid w:val="00E02286"/>
    <w:rsid w:val="00E02CED"/>
    <w:rsid w:val="00E0398F"/>
    <w:rsid w:val="00E04247"/>
    <w:rsid w:val="00E04A2E"/>
    <w:rsid w:val="00E04EAB"/>
    <w:rsid w:val="00E04F7B"/>
    <w:rsid w:val="00E04FD1"/>
    <w:rsid w:val="00E0585F"/>
    <w:rsid w:val="00E06409"/>
    <w:rsid w:val="00E06F7B"/>
    <w:rsid w:val="00E070ED"/>
    <w:rsid w:val="00E07533"/>
    <w:rsid w:val="00E07D2D"/>
    <w:rsid w:val="00E07FFB"/>
    <w:rsid w:val="00E10408"/>
    <w:rsid w:val="00E1120F"/>
    <w:rsid w:val="00E12A68"/>
    <w:rsid w:val="00E12A8E"/>
    <w:rsid w:val="00E1303F"/>
    <w:rsid w:val="00E1333E"/>
    <w:rsid w:val="00E1348A"/>
    <w:rsid w:val="00E13BCA"/>
    <w:rsid w:val="00E13E37"/>
    <w:rsid w:val="00E145A7"/>
    <w:rsid w:val="00E14BE9"/>
    <w:rsid w:val="00E1501E"/>
    <w:rsid w:val="00E1554B"/>
    <w:rsid w:val="00E157C9"/>
    <w:rsid w:val="00E157DA"/>
    <w:rsid w:val="00E15BF7"/>
    <w:rsid w:val="00E15C21"/>
    <w:rsid w:val="00E16D21"/>
    <w:rsid w:val="00E1700C"/>
    <w:rsid w:val="00E1746E"/>
    <w:rsid w:val="00E20AB0"/>
    <w:rsid w:val="00E21171"/>
    <w:rsid w:val="00E214CB"/>
    <w:rsid w:val="00E21D47"/>
    <w:rsid w:val="00E21EDD"/>
    <w:rsid w:val="00E2209C"/>
    <w:rsid w:val="00E2292B"/>
    <w:rsid w:val="00E2307C"/>
    <w:rsid w:val="00E23BD5"/>
    <w:rsid w:val="00E23F01"/>
    <w:rsid w:val="00E24831"/>
    <w:rsid w:val="00E25647"/>
    <w:rsid w:val="00E257B0"/>
    <w:rsid w:val="00E25CF8"/>
    <w:rsid w:val="00E25E8B"/>
    <w:rsid w:val="00E26C90"/>
    <w:rsid w:val="00E26D79"/>
    <w:rsid w:val="00E26EE2"/>
    <w:rsid w:val="00E27986"/>
    <w:rsid w:val="00E30082"/>
    <w:rsid w:val="00E302CF"/>
    <w:rsid w:val="00E3033A"/>
    <w:rsid w:val="00E30711"/>
    <w:rsid w:val="00E31047"/>
    <w:rsid w:val="00E31328"/>
    <w:rsid w:val="00E31876"/>
    <w:rsid w:val="00E31CFD"/>
    <w:rsid w:val="00E3201C"/>
    <w:rsid w:val="00E320DC"/>
    <w:rsid w:val="00E32207"/>
    <w:rsid w:val="00E325F4"/>
    <w:rsid w:val="00E330EF"/>
    <w:rsid w:val="00E35C20"/>
    <w:rsid w:val="00E35D2B"/>
    <w:rsid w:val="00E3606F"/>
    <w:rsid w:val="00E36193"/>
    <w:rsid w:val="00E3656B"/>
    <w:rsid w:val="00E3693E"/>
    <w:rsid w:val="00E376E0"/>
    <w:rsid w:val="00E40294"/>
    <w:rsid w:val="00E40569"/>
    <w:rsid w:val="00E41B9D"/>
    <w:rsid w:val="00E41C9C"/>
    <w:rsid w:val="00E41F09"/>
    <w:rsid w:val="00E42190"/>
    <w:rsid w:val="00E42463"/>
    <w:rsid w:val="00E425DF"/>
    <w:rsid w:val="00E42E68"/>
    <w:rsid w:val="00E43C71"/>
    <w:rsid w:val="00E443DA"/>
    <w:rsid w:val="00E44581"/>
    <w:rsid w:val="00E44960"/>
    <w:rsid w:val="00E45763"/>
    <w:rsid w:val="00E457EE"/>
    <w:rsid w:val="00E45849"/>
    <w:rsid w:val="00E46F71"/>
    <w:rsid w:val="00E47047"/>
    <w:rsid w:val="00E47279"/>
    <w:rsid w:val="00E47CA4"/>
    <w:rsid w:val="00E50F7C"/>
    <w:rsid w:val="00E51965"/>
    <w:rsid w:val="00E51F58"/>
    <w:rsid w:val="00E52C29"/>
    <w:rsid w:val="00E52C7C"/>
    <w:rsid w:val="00E53015"/>
    <w:rsid w:val="00E53720"/>
    <w:rsid w:val="00E5373F"/>
    <w:rsid w:val="00E53D2F"/>
    <w:rsid w:val="00E540F9"/>
    <w:rsid w:val="00E54991"/>
    <w:rsid w:val="00E54F71"/>
    <w:rsid w:val="00E552AA"/>
    <w:rsid w:val="00E552FA"/>
    <w:rsid w:val="00E556C8"/>
    <w:rsid w:val="00E563B6"/>
    <w:rsid w:val="00E56E14"/>
    <w:rsid w:val="00E575E0"/>
    <w:rsid w:val="00E5795B"/>
    <w:rsid w:val="00E57990"/>
    <w:rsid w:val="00E57C85"/>
    <w:rsid w:val="00E57D7C"/>
    <w:rsid w:val="00E60A77"/>
    <w:rsid w:val="00E60D55"/>
    <w:rsid w:val="00E60E64"/>
    <w:rsid w:val="00E61086"/>
    <w:rsid w:val="00E612FC"/>
    <w:rsid w:val="00E61856"/>
    <w:rsid w:val="00E61E76"/>
    <w:rsid w:val="00E621B7"/>
    <w:rsid w:val="00E62C8C"/>
    <w:rsid w:val="00E631F3"/>
    <w:rsid w:val="00E63B1D"/>
    <w:rsid w:val="00E6439B"/>
    <w:rsid w:val="00E64B27"/>
    <w:rsid w:val="00E6533F"/>
    <w:rsid w:val="00E66A77"/>
    <w:rsid w:val="00E67053"/>
    <w:rsid w:val="00E67530"/>
    <w:rsid w:val="00E7006D"/>
    <w:rsid w:val="00E70146"/>
    <w:rsid w:val="00E70792"/>
    <w:rsid w:val="00E708CC"/>
    <w:rsid w:val="00E70989"/>
    <w:rsid w:val="00E71748"/>
    <w:rsid w:val="00E71DC2"/>
    <w:rsid w:val="00E725E9"/>
    <w:rsid w:val="00E72EAF"/>
    <w:rsid w:val="00E7335C"/>
    <w:rsid w:val="00E734D1"/>
    <w:rsid w:val="00E73525"/>
    <w:rsid w:val="00E74FA1"/>
    <w:rsid w:val="00E75CE1"/>
    <w:rsid w:val="00E762C7"/>
    <w:rsid w:val="00E765EB"/>
    <w:rsid w:val="00E7764E"/>
    <w:rsid w:val="00E77717"/>
    <w:rsid w:val="00E77838"/>
    <w:rsid w:val="00E80376"/>
    <w:rsid w:val="00E8052B"/>
    <w:rsid w:val="00E80C1A"/>
    <w:rsid w:val="00E82218"/>
    <w:rsid w:val="00E83B94"/>
    <w:rsid w:val="00E83EBD"/>
    <w:rsid w:val="00E845AE"/>
    <w:rsid w:val="00E859CA"/>
    <w:rsid w:val="00E869C3"/>
    <w:rsid w:val="00E86CE9"/>
    <w:rsid w:val="00E86F05"/>
    <w:rsid w:val="00E87291"/>
    <w:rsid w:val="00E8738B"/>
    <w:rsid w:val="00E874D4"/>
    <w:rsid w:val="00E87558"/>
    <w:rsid w:val="00E87A7D"/>
    <w:rsid w:val="00E90424"/>
    <w:rsid w:val="00E90596"/>
    <w:rsid w:val="00E919D0"/>
    <w:rsid w:val="00E91EC9"/>
    <w:rsid w:val="00E92511"/>
    <w:rsid w:val="00E935C5"/>
    <w:rsid w:val="00E935CB"/>
    <w:rsid w:val="00E93EA2"/>
    <w:rsid w:val="00E9499B"/>
    <w:rsid w:val="00E94F7A"/>
    <w:rsid w:val="00E9545A"/>
    <w:rsid w:val="00E955F6"/>
    <w:rsid w:val="00E95685"/>
    <w:rsid w:val="00E95854"/>
    <w:rsid w:val="00E95A6D"/>
    <w:rsid w:val="00E95B08"/>
    <w:rsid w:val="00E968F3"/>
    <w:rsid w:val="00E969EE"/>
    <w:rsid w:val="00E96AFC"/>
    <w:rsid w:val="00E96C07"/>
    <w:rsid w:val="00E96D6D"/>
    <w:rsid w:val="00E9729A"/>
    <w:rsid w:val="00E97B49"/>
    <w:rsid w:val="00EA0967"/>
    <w:rsid w:val="00EA11A1"/>
    <w:rsid w:val="00EA1F0F"/>
    <w:rsid w:val="00EA278F"/>
    <w:rsid w:val="00EA2AD9"/>
    <w:rsid w:val="00EA2AE7"/>
    <w:rsid w:val="00EA2CEE"/>
    <w:rsid w:val="00EA31B3"/>
    <w:rsid w:val="00EA4A22"/>
    <w:rsid w:val="00EA601B"/>
    <w:rsid w:val="00EA6152"/>
    <w:rsid w:val="00EA65D6"/>
    <w:rsid w:val="00EA66AB"/>
    <w:rsid w:val="00EA7412"/>
    <w:rsid w:val="00EA7C5C"/>
    <w:rsid w:val="00EB00A9"/>
    <w:rsid w:val="00EB0423"/>
    <w:rsid w:val="00EB0761"/>
    <w:rsid w:val="00EB0DEF"/>
    <w:rsid w:val="00EB1B7D"/>
    <w:rsid w:val="00EB1FC6"/>
    <w:rsid w:val="00EB2EA2"/>
    <w:rsid w:val="00EB37C2"/>
    <w:rsid w:val="00EB38EB"/>
    <w:rsid w:val="00EB4059"/>
    <w:rsid w:val="00EB438F"/>
    <w:rsid w:val="00EB44FD"/>
    <w:rsid w:val="00EB48C9"/>
    <w:rsid w:val="00EB4AF0"/>
    <w:rsid w:val="00EB4CD8"/>
    <w:rsid w:val="00EB5025"/>
    <w:rsid w:val="00EB6514"/>
    <w:rsid w:val="00EB69CF"/>
    <w:rsid w:val="00EB7644"/>
    <w:rsid w:val="00EB7D47"/>
    <w:rsid w:val="00EC0E59"/>
    <w:rsid w:val="00EC12F8"/>
    <w:rsid w:val="00EC2799"/>
    <w:rsid w:val="00EC2CB6"/>
    <w:rsid w:val="00EC3598"/>
    <w:rsid w:val="00EC3739"/>
    <w:rsid w:val="00EC3858"/>
    <w:rsid w:val="00EC47AA"/>
    <w:rsid w:val="00EC53C6"/>
    <w:rsid w:val="00EC55AF"/>
    <w:rsid w:val="00EC55C3"/>
    <w:rsid w:val="00EC6978"/>
    <w:rsid w:val="00EC6DDE"/>
    <w:rsid w:val="00EC7448"/>
    <w:rsid w:val="00EC77A4"/>
    <w:rsid w:val="00EC78FA"/>
    <w:rsid w:val="00ED0382"/>
    <w:rsid w:val="00ED099E"/>
    <w:rsid w:val="00ED0DB1"/>
    <w:rsid w:val="00ED1916"/>
    <w:rsid w:val="00ED267B"/>
    <w:rsid w:val="00ED2ABF"/>
    <w:rsid w:val="00ED2F62"/>
    <w:rsid w:val="00ED390B"/>
    <w:rsid w:val="00ED3C64"/>
    <w:rsid w:val="00ED4566"/>
    <w:rsid w:val="00ED505A"/>
    <w:rsid w:val="00ED5447"/>
    <w:rsid w:val="00ED5739"/>
    <w:rsid w:val="00ED5BB7"/>
    <w:rsid w:val="00ED6633"/>
    <w:rsid w:val="00ED6EE9"/>
    <w:rsid w:val="00ED7B56"/>
    <w:rsid w:val="00ED7BA3"/>
    <w:rsid w:val="00ED7C31"/>
    <w:rsid w:val="00ED7E59"/>
    <w:rsid w:val="00EE0052"/>
    <w:rsid w:val="00EE08A8"/>
    <w:rsid w:val="00EE0955"/>
    <w:rsid w:val="00EE0A5F"/>
    <w:rsid w:val="00EE15F9"/>
    <w:rsid w:val="00EE1C49"/>
    <w:rsid w:val="00EE1F58"/>
    <w:rsid w:val="00EE23E0"/>
    <w:rsid w:val="00EE28BF"/>
    <w:rsid w:val="00EE2B15"/>
    <w:rsid w:val="00EE345D"/>
    <w:rsid w:val="00EE38DA"/>
    <w:rsid w:val="00EE3E1D"/>
    <w:rsid w:val="00EE4338"/>
    <w:rsid w:val="00EE512A"/>
    <w:rsid w:val="00EE51EB"/>
    <w:rsid w:val="00EE55E9"/>
    <w:rsid w:val="00EE5E35"/>
    <w:rsid w:val="00EE5E9A"/>
    <w:rsid w:val="00EE5EE5"/>
    <w:rsid w:val="00EE63BA"/>
    <w:rsid w:val="00EE687C"/>
    <w:rsid w:val="00EE69DE"/>
    <w:rsid w:val="00EE7D4E"/>
    <w:rsid w:val="00EE7D55"/>
    <w:rsid w:val="00EF0CB3"/>
    <w:rsid w:val="00EF0CE8"/>
    <w:rsid w:val="00EF1162"/>
    <w:rsid w:val="00EF117B"/>
    <w:rsid w:val="00EF11B5"/>
    <w:rsid w:val="00EF13E7"/>
    <w:rsid w:val="00EF2597"/>
    <w:rsid w:val="00EF25F2"/>
    <w:rsid w:val="00EF2A3A"/>
    <w:rsid w:val="00EF30BD"/>
    <w:rsid w:val="00EF3521"/>
    <w:rsid w:val="00EF3DDD"/>
    <w:rsid w:val="00EF3E08"/>
    <w:rsid w:val="00EF424F"/>
    <w:rsid w:val="00EF5068"/>
    <w:rsid w:val="00EF550B"/>
    <w:rsid w:val="00EF5F67"/>
    <w:rsid w:val="00EF6E56"/>
    <w:rsid w:val="00F00D79"/>
    <w:rsid w:val="00F01A03"/>
    <w:rsid w:val="00F01BA8"/>
    <w:rsid w:val="00F01C97"/>
    <w:rsid w:val="00F025BB"/>
    <w:rsid w:val="00F0278F"/>
    <w:rsid w:val="00F033EB"/>
    <w:rsid w:val="00F0383C"/>
    <w:rsid w:val="00F03BD7"/>
    <w:rsid w:val="00F0410A"/>
    <w:rsid w:val="00F04353"/>
    <w:rsid w:val="00F0508E"/>
    <w:rsid w:val="00F05895"/>
    <w:rsid w:val="00F05A02"/>
    <w:rsid w:val="00F06F04"/>
    <w:rsid w:val="00F06F5C"/>
    <w:rsid w:val="00F0769A"/>
    <w:rsid w:val="00F10451"/>
    <w:rsid w:val="00F10C87"/>
    <w:rsid w:val="00F1156D"/>
    <w:rsid w:val="00F13D94"/>
    <w:rsid w:val="00F13DD6"/>
    <w:rsid w:val="00F13FB8"/>
    <w:rsid w:val="00F152A5"/>
    <w:rsid w:val="00F1554C"/>
    <w:rsid w:val="00F15566"/>
    <w:rsid w:val="00F15750"/>
    <w:rsid w:val="00F1710B"/>
    <w:rsid w:val="00F17442"/>
    <w:rsid w:val="00F17855"/>
    <w:rsid w:val="00F21231"/>
    <w:rsid w:val="00F21FFC"/>
    <w:rsid w:val="00F22470"/>
    <w:rsid w:val="00F2371C"/>
    <w:rsid w:val="00F23A99"/>
    <w:rsid w:val="00F23DBC"/>
    <w:rsid w:val="00F23F1A"/>
    <w:rsid w:val="00F23F75"/>
    <w:rsid w:val="00F24099"/>
    <w:rsid w:val="00F24FB9"/>
    <w:rsid w:val="00F25829"/>
    <w:rsid w:val="00F25B39"/>
    <w:rsid w:val="00F2664E"/>
    <w:rsid w:val="00F269B4"/>
    <w:rsid w:val="00F2748C"/>
    <w:rsid w:val="00F277BC"/>
    <w:rsid w:val="00F27A6F"/>
    <w:rsid w:val="00F27EC3"/>
    <w:rsid w:val="00F30645"/>
    <w:rsid w:val="00F30A57"/>
    <w:rsid w:val="00F30DC6"/>
    <w:rsid w:val="00F31818"/>
    <w:rsid w:val="00F3330C"/>
    <w:rsid w:val="00F33382"/>
    <w:rsid w:val="00F342C3"/>
    <w:rsid w:val="00F3499B"/>
    <w:rsid w:val="00F353D4"/>
    <w:rsid w:val="00F35438"/>
    <w:rsid w:val="00F35C50"/>
    <w:rsid w:val="00F360AE"/>
    <w:rsid w:val="00F3635D"/>
    <w:rsid w:val="00F36F9D"/>
    <w:rsid w:val="00F37720"/>
    <w:rsid w:val="00F4056F"/>
    <w:rsid w:val="00F40A83"/>
    <w:rsid w:val="00F40F8A"/>
    <w:rsid w:val="00F41515"/>
    <w:rsid w:val="00F41D32"/>
    <w:rsid w:val="00F42596"/>
    <w:rsid w:val="00F42B9B"/>
    <w:rsid w:val="00F42BA8"/>
    <w:rsid w:val="00F43460"/>
    <w:rsid w:val="00F43EC6"/>
    <w:rsid w:val="00F4435F"/>
    <w:rsid w:val="00F44FB4"/>
    <w:rsid w:val="00F44FFF"/>
    <w:rsid w:val="00F463A9"/>
    <w:rsid w:val="00F469B5"/>
    <w:rsid w:val="00F46CE8"/>
    <w:rsid w:val="00F4708A"/>
    <w:rsid w:val="00F47FC8"/>
    <w:rsid w:val="00F50F52"/>
    <w:rsid w:val="00F5108C"/>
    <w:rsid w:val="00F5182F"/>
    <w:rsid w:val="00F51F0A"/>
    <w:rsid w:val="00F521C3"/>
    <w:rsid w:val="00F5282B"/>
    <w:rsid w:val="00F52ACB"/>
    <w:rsid w:val="00F53852"/>
    <w:rsid w:val="00F53B33"/>
    <w:rsid w:val="00F540BB"/>
    <w:rsid w:val="00F552ED"/>
    <w:rsid w:val="00F56D2E"/>
    <w:rsid w:val="00F57055"/>
    <w:rsid w:val="00F57611"/>
    <w:rsid w:val="00F57835"/>
    <w:rsid w:val="00F57E19"/>
    <w:rsid w:val="00F605E2"/>
    <w:rsid w:val="00F6084E"/>
    <w:rsid w:val="00F61007"/>
    <w:rsid w:val="00F61616"/>
    <w:rsid w:val="00F61864"/>
    <w:rsid w:val="00F61AC5"/>
    <w:rsid w:val="00F62002"/>
    <w:rsid w:val="00F638E9"/>
    <w:rsid w:val="00F64ABA"/>
    <w:rsid w:val="00F6507F"/>
    <w:rsid w:val="00F65589"/>
    <w:rsid w:val="00F65730"/>
    <w:rsid w:val="00F65A9B"/>
    <w:rsid w:val="00F65E2E"/>
    <w:rsid w:val="00F67227"/>
    <w:rsid w:val="00F6730C"/>
    <w:rsid w:val="00F67476"/>
    <w:rsid w:val="00F674DB"/>
    <w:rsid w:val="00F677BA"/>
    <w:rsid w:val="00F67DB5"/>
    <w:rsid w:val="00F700FF"/>
    <w:rsid w:val="00F7012D"/>
    <w:rsid w:val="00F70A5C"/>
    <w:rsid w:val="00F70AB8"/>
    <w:rsid w:val="00F7106A"/>
    <w:rsid w:val="00F71C1B"/>
    <w:rsid w:val="00F72830"/>
    <w:rsid w:val="00F73886"/>
    <w:rsid w:val="00F738DB"/>
    <w:rsid w:val="00F74610"/>
    <w:rsid w:val="00F7479D"/>
    <w:rsid w:val="00F75727"/>
    <w:rsid w:val="00F77294"/>
    <w:rsid w:val="00F77577"/>
    <w:rsid w:val="00F776C2"/>
    <w:rsid w:val="00F77F37"/>
    <w:rsid w:val="00F8029C"/>
    <w:rsid w:val="00F8059B"/>
    <w:rsid w:val="00F805D4"/>
    <w:rsid w:val="00F80642"/>
    <w:rsid w:val="00F80659"/>
    <w:rsid w:val="00F8070A"/>
    <w:rsid w:val="00F807F4"/>
    <w:rsid w:val="00F812C1"/>
    <w:rsid w:val="00F812E5"/>
    <w:rsid w:val="00F8153C"/>
    <w:rsid w:val="00F82B42"/>
    <w:rsid w:val="00F82E6D"/>
    <w:rsid w:val="00F8354C"/>
    <w:rsid w:val="00F83DC9"/>
    <w:rsid w:val="00F83E79"/>
    <w:rsid w:val="00F8401B"/>
    <w:rsid w:val="00F842C2"/>
    <w:rsid w:val="00F84403"/>
    <w:rsid w:val="00F84C70"/>
    <w:rsid w:val="00F84E77"/>
    <w:rsid w:val="00F84F1F"/>
    <w:rsid w:val="00F84FFE"/>
    <w:rsid w:val="00F85846"/>
    <w:rsid w:val="00F868B4"/>
    <w:rsid w:val="00F87403"/>
    <w:rsid w:val="00F87D86"/>
    <w:rsid w:val="00F9009A"/>
    <w:rsid w:val="00F90E16"/>
    <w:rsid w:val="00F90E6B"/>
    <w:rsid w:val="00F916DB"/>
    <w:rsid w:val="00F917B8"/>
    <w:rsid w:val="00F917D5"/>
    <w:rsid w:val="00F91AB8"/>
    <w:rsid w:val="00F92258"/>
    <w:rsid w:val="00F9271D"/>
    <w:rsid w:val="00F92939"/>
    <w:rsid w:val="00F92EC4"/>
    <w:rsid w:val="00F93178"/>
    <w:rsid w:val="00F936A3"/>
    <w:rsid w:val="00F93AD3"/>
    <w:rsid w:val="00F93B4E"/>
    <w:rsid w:val="00F94529"/>
    <w:rsid w:val="00F94891"/>
    <w:rsid w:val="00F948DE"/>
    <w:rsid w:val="00F94E7E"/>
    <w:rsid w:val="00F95DD7"/>
    <w:rsid w:val="00F95F04"/>
    <w:rsid w:val="00F96808"/>
    <w:rsid w:val="00F97026"/>
    <w:rsid w:val="00F970CD"/>
    <w:rsid w:val="00F9717F"/>
    <w:rsid w:val="00F97CF9"/>
    <w:rsid w:val="00FA0325"/>
    <w:rsid w:val="00FA03F8"/>
    <w:rsid w:val="00FA0776"/>
    <w:rsid w:val="00FA0916"/>
    <w:rsid w:val="00FA1F77"/>
    <w:rsid w:val="00FA1FBE"/>
    <w:rsid w:val="00FA2744"/>
    <w:rsid w:val="00FA28AD"/>
    <w:rsid w:val="00FA2E5E"/>
    <w:rsid w:val="00FA31D5"/>
    <w:rsid w:val="00FA4E0E"/>
    <w:rsid w:val="00FA4F67"/>
    <w:rsid w:val="00FA55AB"/>
    <w:rsid w:val="00FA733C"/>
    <w:rsid w:val="00FB0164"/>
    <w:rsid w:val="00FB0891"/>
    <w:rsid w:val="00FB17AC"/>
    <w:rsid w:val="00FB1C5A"/>
    <w:rsid w:val="00FB2289"/>
    <w:rsid w:val="00FB2566"/>
    <w:rsid w:val="00FB2BFB"/>
    <w:rsid w:val="00FB3071"/>
    <w:rsid w:val="00FB40F0"/>
    <w:rsid w:val="00FB4209"/>
    <w:rsid w:val="00FB4E53"/>
    <w:rsid w:val="00FB4ED7"/>
    <w:rsid w:val="00FB54DC"/>
    <w:rsid w:val="00FB5969"/>
    <w:rsid w:val="00FB5E18"/>
    <w:rsid w:val="00FB64B3"/>
    <w:rsid w:val="00FB6590"/>
    <w:rsid w:val="00FB6A84"/>
    <w:rsid w:val="00FC039E"/>
    <w:rsid w:val="00FC06CE"/>
    <w:rsid w:val="00FC0EDB"/>
    <w:rsid w:val="00FC14C9"/>
    <w:rsid w:val="00FC19E0"/>
    <w:rsid w:val="00FC4337"/>
    <w:rsid w:val="00FC4556"/>
    <w:rsid w:val="00FC4A5D"/>
    <w:rsid w:val="00FC4AE0"/>
    <w:rsid w:val="00FC573A"/>
    <w:rsid w:val="00FC61E8"/>
    <w:rsid w:val="00FC6633"/>
    <w:rsid w:val="00FC67D4"/>
    <w:rsid w:val="00FC6E15"/>
    <w:rsid w:val="00FC71E0"/>
    <w:rsid w:val="00FC7437"/>
    <w:rsid w:val="00FC7843"/>
    <w:rsid w:val="00FC7AD4"/>
    <w:rsid w:val="00FC7D2C"/>
    <w:rsid w:val="00FC7F3F"/>
    <w:rsid w:val="00FD0280"/>
    <w:rsid w:val="00FD0DF0"/>
    <w:rsid w:val="00FD2448"/>
    <w:rsid w:val="00FD2645"/>
    <w:rsid w:val="00FD3430"/>
    <w:rsid w:val="00FD3EA3"/>
    <w:rsid w:val="00FD42AD"/>
    <w:rsid w:val="00FD4689"/>
    <w:rsid w:val="00FD4767"/>
    <w:rsid w:val="00FD4FC6"/>
    <w:rsid w:val="00FD51EF"/>
    <w:rsid w:val="00FD7B11"/>
    <w:rsid w:val="00FE030B"/>
    <w:rsid w:val="00FE08E3"/>
    <w:rsid w:val="00FE204F"/>
    <w:rsid w:val="00FE2642"/>
    <w:rsid w:val="00FE2E10"/>
    <w:rsid w:val="00FE3109"/>
    <w:rsid w:val="00FE3321"/>
    <w:rsid w:val="00FE338F"/>
    <w:rsid w:val="00FE3CD3"/>
    <w:rsid w:val="00FE41C2"/>
    <w:rsid w:val="00FE41DA"/>
    <w:rsid w:val="00FE5315"/>
    <w:rsid w:val="00FE540E"/>
    <w:rsid w:val="00FE5605"/>
    <w:rsid w:val="00FE5A08"/>
    <w:rsid w:val="00FE5EBB"/>
    <w:rsid w:val="00FE6BE8"/>
    <w:rsid w:val="00FE6C34"/>
    <w:rsid w:val="00FE6C79"/>
    <w:rsid w:val="00FE709F"/>
    <w:rsid w:val="00FE73FD"/>
    <w:rsid w:val="00FE7CFE"/>
    <w:rsid w:val="00FF08AD"/>
    <w:rsid w:val="00FF0ECC"/>
    <w:rsid w:val="00FF0EF7"/>
    <w:rsid w:val="00FF0F47"/>
    <w:rsid w:val="00FF1343"/>
    <w:rsid w:val="00FF2C4B"/>
    <w:rsid w:val="00FF2CC6"/>
    <w:rsid w:val="00FF36C4"/>
    <w:rsid w:val="00FF48D2"/>
    <w:rsid w:val="00FF4CA8"/>
    <w:rsid w:val="00FF5D70"/>
    <w:rsid w:val="00FF65F4"/>
    <w:rsid w:val="00FF68DC"/>
    <w:rsid w:val="00FF7B59"/>
    <w:rsid w:val="00FF7C2A"/>
    <w:rsid w:val="00FF7D90"/>
    <w:rsid w:val="00FF7F75"/>
    <w:rsid w:val="01D06152"/>
    <w:rsid w:val="02AF3E19"/>
    <w:rsid w:val="02B41F9E"/>
    <w:rsid w:val="02C52E2E"/>
    <w:rsid w:val="039C06B4"/>
    <w:rsid w:val="040C6434"/>
    <w:rsid w:val="042E0DB9"/>
    <w:rsid w:val="04FE16B0"/>
    <w:rsid w:val="057810AE"/>
    <w:rsid w:val="05B05DC4"/>
    <w:rsid w:val="067C3426"/>
    <w:rsid w:val="067C6137"/>
    <w:rsid w:val="06B20B3B"/>
    <w:rsid w:val="0707366B"/>
    <w:rsid w:val="0750757A"/>
    <w:rsid w:val="0760452E"/>
    <w:rsid w:val="078501FC"/>
    <w:rsid w:val="07BD64C5"/>
    <w:rsid w:val="07D0433F"/>
    <w:rsid w:val="07F76D53"/>
    <w:rsid w:val="087D7F38"/>
    <w:rsid w:val="08A51783"/>
    <w:rsid w:val="09060CA9"/>
    <w:rsid w:val="095962AF"/>
    <w:rsid w:val="09AB63DF"/>
    <w:rsid w:val="09BF0A3A"/>
    <w:rsid w:val="0A046896"/>
    <w:rsid w:val="0A8841D4"/>
    <w:rsid w:val="0A9763B5"/>
    <w:rsid w:val="0AF15571"/>
    <w:rsid w:val="0B246EB1"/>
    <w:rsid w:val="0B494101"/>
    <w:rsid w:val="0B515B87"/>
    <w:rsid w:val="0BCF623B"/>
    <w:rsid w:val="0C413E73"/>
    <w:rsid w:val="0C582290"/>
    <w:rsid w:val="0CD36E4B"/>
    <w:rsid w:val="0CEE63ED"/>
    <w:rsid w:val="0CF63386"/>
    <w:rsid w:val="0D293A50"/>
    <w:rsid w:val="0D5C1813"/>
    <w:rsid w:val="0D806FDD"/>
    <w:rsid w:val="0DC22820"/>
    <w:rsid w:val="0DD06710"/>
    <w:rsid w:val="0DDD6CA4"/>
    <w:rsid w:val="0DED0371"/>
    <w:rsid w:val="0F441339"/>
    <w:rsid w:val="0F8735A6"/>
    <w:rsid w:val="0FB0179A"/>
    <w:rsid w:val="0FD419F9"/>
    <w:rsid w:val="0FF346F5"/>
    <w:rsid w:val="10520F1F"/>
    <w:rsid w:val="10A2470E"/>
    <w:rsid w:val="10AF3106"/>
    <w:rsid w:val="112406FA"/>
    <w:rsid w:val="120E3219"/>
    <w:rsid w:val="124C14D7"/>
    <w:rsid w:val="127E4EA2"/>
    <w:rsid w:val="12E156A6"/>
    <w:rsid w:val="131C117D"/>
    <w:rsid w:val="132A0CBC"/>
    <w:rsid w:val="13402788"/>
    <w:rsid w:val="1372452A"/>
    <w:rsid w:val="137A030B"/>
    <w:rsid w:val="137B474B"/>
    <w:rsid w:val="13FE38DE"/>
    <w:rsid w:val="143F42F3"/>
    <w:rsid w:val="145411A1"/>
    <w:rsid w:val="148C4AFF"/>
    <w:rsid w:val="14B02158"/>
    <w:rsid w:val="14E97AC7"/>
    <w:rsid w:val="15311E8E"/>
    <w:rsid w:val="153B36CA"/>
    <w:rsid w:val="154E7DB0"/>
    <w:rsid w:val="15EC78FC"/>
    <w:rsid w:val="15F105B4"/>
    <w:rsid w:val="15F62130"/>
    <w:rsid w:val="16020C14"/>
    <w:rsid w:val="162E3DBD"/>
    <w:rsid w:val="1643421C"/>
    <w:rsid w:val="170A59A1"/>
    <w:rsid w:val="172F4F86"/>
    <w:rsid w:val="17334C3C"/>
    <w:rsid w:val="17380725"/>
    <w:rsid w:val="17F73F8F"/>
    <w:rsid w:val="18075F85"/>
    <w:rsid w:val="18133ACD"/>
    <w:rsid w:val="18440DAD"/>
    <w:rsid w:val="18762B7D"/>
    <w:rsid w:val="18BA663E"/>
    <w:rsid w:val="18C55B5F"/>
    <w:rsid w:val="19132DF6"/>
    <w:rsid w:val="19791A98"/>
    <w:rsid w:val="1A0F6E76"/>
    <w:rsid w:val="1A732F49"/>
    <w:rsid w:val="1A944205"/>
    <w:rsid w:val="1AA6374C"/>
    <w:rsid w:val="1AE45BF4"/>
    <w:rsid w:val="1B365892"/>
    <w:rsid w:val="1B491956"/>
    <w:rsid w:val="1BA875DB"/>
    <w:rsid w:val="1BAA4981"/>
    <w:rsid w:val="1BE5373E"/>
    <w:rsid w:val="1CCA6014"/>
    <w:rsid w:val="1D1616DF"/>
    <w:rsid w:val="1D4B2210"/>
    <w:rsid w:val="1D5966F8"/>
    <w:rsid w:val="1D8225E1"/>
    <w:rsid w:val="1DDF4451"/>
    <w:rsid w:val="1DE245DF"/>
    <w:rsid w:val="1E1E5196"/>
    <w:rsid w:val="1EA51585"/>
    <w:rsid w:val="1F1C595D"/>
    <w:rsid w:val="1F466B8E"/>
    <w:rsid w:val="1F4A04F5"/>
    <w:rsid w:val="1F4D6234"/>
    <w:rsid w:val="1F7159CD"/>
    <w:rsid w:val="1F8A0947"/>
    <w:rsid w:val="1F91441A"/>
    <w:rsid w:val="1FB623F5"/>
    <w:rsid w:val="1FBF7120"/>
    <w:rsid w:val="1FD224BF"/>
    <w:rsid w:val="1FF57F5C"/>
    <w:rsid w:val="20062169"/>
    <w:rsid w:val="200F7270"/>
    <w:rsid w:val="20170F6A"/>
    <w:rsid w:val="20567520"/>
    <w:rsid w:val="205C44A2"/>
    <w:rsid w:val="20A42F11"/>
    <w:rsid w:val="20B76DF4"/>
    <w:rsid w:val="20E22BD6"/>
    <w:rsid w:val="212E1977"/>
    <w:rsid w:val="214A0AA1"/>
    <w:rsid w:val="214B4E44"/>
    <w:rsid w:val="21845A3B"/>
    <w:rsid w:val="21A71792"/>
    <w:rsid w:val="21C83CC1"/>
    <w:rsid w:val="22034BB2"/>
    <w:rsid w:val="228E65E4"/>
    <w:rsid w:val="22910410"/>
    <w:rsid w:val="22DD08E4"/>
    <w:rsid w:val="23021B73"/>
    <w:rsid w:val="232079E6"/>
    <w:rsid w:val="234251A7"/>
    <w:rsid w:val="23A067FA"/>
    <w:rsid w:val="24134984"/>
    <w:rsid w:val="244418B4"/>
    <w:rsid w:val="246950B0"/>
    <w:rsid w:val="24966E29"/>
    <w:rsid w:val="249E2082"/>
    <w:rsid w:val="24FC3F2A"/>
    <w:rsid w:val="257C4D13"/>
    <w:rsid w:val="25C732A7"/>
    <w:rsid w:val="25D1393A"/>
    <w:rsid w:val="25FD5DBC"/>
    <w:rsid w:val="2603471A"/>
    <w:rsid w:val="26047C4F"/>
    <w:rsid w:val="262621EF"/>
    <w:rsid w:val="27B672D2"/>
    <w:rsid w:val="27D4350D"/>
    <w:rsid w:val="27FC5FE5"/>
    <w:rsid w:val="282440E3"/>
    <w:rsid w:val="2837023A"/>
    <w:rsid w:val="28D744A7"/>
    <w:rsid w:val="28FA2B12"/>
    <w:rsid w:val="29157E14"/>
    <w:rsid w:val="293C1DC1"/>
    <w:rsid w:val="2956331E"/>
    <w:rsid w:val="29CB62BB"/>
    <w:rsid w:val="2A1D189F"/>
    <w:rsid w:val="2A8A18B8"/>
    <w:rsid w:val="2A8A36A9"/>
    <w:rsid w:val="2A9610BD"/>
    <w:rsid w:val="2B481944"/>
    <w:rsid w:val="2B496A2D"/>
    <w:rsid w:val="2BB717B5"/>
    <w:rsid w:val="2BD86944"/>
    <w:rsid w:val="2BD92FCB"/>
    <w:rsid w:val="2C2B0D2C"/>
    <w:rsid w:val="2C4D7279"/>
    <w:rsid w:val="2C602ECD"/>
    <w:rsid w:val="2C8166CC"/>
    <w:rsid w:val="2C8B5ED0"/>
    <w:rsid w:val="2CFE004F"/>
    <w:rsid w:val="2D842378"/>
    <w:rsid w:val="2D8F7A9D"/>
    <w:rsid w:val="2E52544D"/>
    <w:rsid w:val="2E9D2059"/>
    <w:rsid w:val="2EEA3E19"/>
    <w:rsid w:val="2F1E663F"/>
    <w:rsid w:val="2FF4348B"/>
    <w:rsid w:val="30345EAB"/>
    <w:rsid w:val="30A65732"/>
    <w:rsid w:val="30D52786"/>
    <w:rsid w:val="3135748D"/>
    <w:rsid w:val="316C4247"/>
    <w:rsid w:val="32B2683F"/>
    <w:rsid w:val="32C71C2C"/>
    <w:rsid w:val="32DB14BE"/>
    <w:rsid w:val="32FD3C54"/>
    <w:rsid w:val="33130265"/>
    <w:rsid w:val="33460255"/>
    <w:rsid w:val="337346BE"/>
    <w:rsid w:val="33F55E6A"/>
    <w:rsid w:val="34417249"/>
    <w:rsid w:val="34B63AAA"/>
    <w:rsid w:val="34BE6377"/>
    <w:rsid w:val="351A4F5D"/>
    <w:rsid w:val="35306B7C"/>
    <w:rsid w:val="354157EF"/>
    <w:rsid w:val="356D3247"/>
    <w:rsid w:val="357F410B"/>
    <w:rsid w:val="36400696"/>
    <w:rsid w:val="364241BF"/>
    <w:rsid w:val="3679570C"/>
    <w:rsid w:val="368B1FED"/>
    <w:rsid w:val="369270D4"/>
    <w:rsid w:val="36C15C39"/>
    <w:rsid w:val="36EF3605"/>
    <w:rsid w:val="37422E69"/>
    <w:rsid w:val="378D3F39"/>
    <w:rsid w:val="37AB3982"/>
    <w:rsid w:val="37AF0A14"/>
    <w:rsid w:val="37C2333A"/>
    <w:rsid w:val="37E9028D"/>
    <w:rsid w:val="380A32EF"/>
    <w:rsid w:val="386171C3"/>
    <w:rsid w:val="3869425F"/>
    <w:rsid w:val="388B0F8F"/>
    <w:rsid w:val="38AA06EA"/>
    <w:rsid w:val="38D0126B"/>
    <w:rsid w:val="3A0C14D1"/>
    <w:rsid w:val="3A83468A"/>
    <w:rsid w:val="3AD629B9"/>
    <w:rsid w:val="3B53405D"/>
    <w:rsid w:val="3B9A2FE6"/>
    <w:rsid w:val="3BA674BF"/>
    <w:rsid w:val="3BD461D0"/>
    <w:rsid w:val="3BF33890"/>
    <w:rsid w:val="3C3233BF"/>
    <w:rsid w:val="3C5B28FB"/>
    <w:rsid w:val="3C661D74"/>
    <w:rsid w:val="3C8C54E1"/>
    <w:rsid w:val="3CFC0724"/>
    <w:rsid w:val="3D2D6B2F"/>
    <w:rsid w:val="3D506BCB"/>
    <w:rsid w:val="3D743DFA"/>
    <w:rsid w:val="3D950C61"/>
    <w:rsid w:val="3DAE73CC"/>
    <w:rsid w:val="3DE63028"/>
    <w:rsid w:val="3E1878BD"/>
    <w:rsid w:val="3E460D26"/>
    <w:rsid w:val="3E72482D"/>
    <w:rsid w:val="3F07584D"/>
    <w:rsid w:val="3F1C0801"/>
    <w:rsid w:val="3F2D46BE"/>
    <w:rsid w:val="3F730BE0"/>
    <w:rsid w:val="3F980BD8"/>
    <w:rsid w:val="3FA2109A"/>
    <w:rsid w:val="403250FA"/>
    <w:rsid w:val="40C115F0"/>
    <w:rsid w:val="411871E4"/>
    <w:rsid w:val="41531F93"/>
    <w:rsid w:val="41542715"/>
    <w:rsid w:val="417535DE"/>
    <w:rsid w:val="417D11E7"/>
    <w:rsid w:val="41B579DA"/>
    <w:rsid w:val="41EA0D2B"/>
    <w:rsid w:val="41F517D9"/>
    <w:rsid w:val="422630BF"/>
    <w:rsid w:val="429C2D80"/>
    <w:rsid w:val="43034954"/>
    <w:rsid w:val="432E0B55"/>
    <w:rsid w:val="439A65BE"/>
    <w:rsid w:val="43A10F2E"/>
    <w:rsid w:val="43B50FFC"/>
    <w:rsid w:val="43B83B73"/>
    <w:rsid w:val="446C2CE8"/>
    <w:rsid w:val="448A1018"/>
    <w:rsid w:val="44B720B9"/>
    <w:rsid w:val="454E41CD"/>
    <w:rsid w:val="459245EA"/>
    <w:rsid w:val="48C42EB5"/>
    <w:rsid w:val="49275C99"/>
    <w:rsid w:val="492B486B"/>
    <w:rsid w:val="49C472D4"/>
    <w:rsid w:val="4AD337CE"/>
    <w:rsid w:val="4AFA3B96"/>
    <w:rsid w:val="4BBF36AB"/>
    <w:rsid w:val="4BDB53AB"/>
    <w:rsid w:val="4BEF2DED"/>
    <w:rsid w:val="4C0E3D8C"/>
    <w:rsid w:val="4C466CCD"/>
    <w:rsid w:val="4C7F7F6C"/>
    <w:rsid w:val="4DF62566"/>
    <w:rsid w:val="4EAA32AC"/>
    <w:rsid w:val="4EB7577E"/>
    <w:rsid w:val="4EB80D6B"/>
    <w:rsid w:val="4F0418FC"/>
    <w:rsid w:val="4F1C6285"/>
    <w:rsid w:val="4F4D1491"/>
    <w:rsid w:val="4F801DCE"/>
    <w:rsid w:val="4FC60842"/>
    <w:rsid w:val="4FC94E2D"/>
    <w:rsid w:val="4FF35CDD"/>
    <w:rsid w:val="50181C5C"/>
    <w:rsid w:val="50656C26"/>
    <w:rsid w:val="50B01B72"/>
    <w:rsid w:val="50DA61C3"/>
    <w:rsid w:val="517B53A5"/>
    <w:rsid w:val="523F5DA8"/>
    <w:rsid w:val="52A11914"/>
    <w:rsid w:val="52CA73EF"/>
    <w:rsid w:val="536A7708"/>
    <w:rsid w:val="53733096"/>
    <w:rsid w:val="53B168B0"/>
    <w:rsid w:val="53E23198"/>
    <w:rsid w:val="54570C4B"/>
    <w:rsid w:val="545A6004"/>
    <w:rsid w:val="548E77B0"/>
    <w:rsid w:val="548F1152"/>
    <w:rsid w:val="557D2E66"/>
    <w:rsid w:val="55E055A9"/>
    <w:rsid w:val="56087D63"/>
    <w:rsid w:val="561116EB"/>
    <w:rsid w:val="56116B96"/>
    <w:rsid w:val="56147519"/>
    <w:rsid w:val="562969FC"/>
    <w:rsid w:val="564B5B4B"/>
    <w:rsid w:val="566D64C3"/>
    <w:rsid w:val="56F9240C"/>
    <w:rsid w:val="570E5F6C"/>
    <w:rsid w:val="572976C7"/>
    <w:rsid w:val="57A97767"/>
    <w:rsid w:val="57CB006C"/>
    <w:rsid w:val="57FF49DB"/>
    <w:rsid w:val="58072E92"/>
    <w:rsid w:val="585F0A6B"/>
    <w:rsid w:val="58657C25"/>
    <w:rsid w:val="58D2706F"/>
    <w:rsid w:val="59082B86"/>
    <w:rsid w:val="592D7CBF"/>
    <w:rsid w:val="598468E6"/>
    <w:rsid w:val="599D3805"/>
    <w:rsid w:val="59A71441"/>
    <w:rsid w:val="59E25C79"/>
    <w:rsid w:val="5A032D53"/>
    <w:rsid w:val="5A387A0F"/>
    <w:rsid w:val="5A6951F3"/>
    <w:rsid w:val="5A7F29D4"/>
    <w:rsid w:val="5AE1468A"/>
    <w:rsid w:val="5B1A791A"/>
    <w:rsid w:val="5B5E287E"/>
    <w:rsid w:val="5B835E40"/>
    <w:rsid w:val="5BCF72D8"/>
    <w:rsid w:val="5BF1455C"/>
    <w:rsid w:val="5C2A3790"/>
    <w:rsid w:val="5CFE71E9"/>
    <w:rsid w:val="5D066D29"/>
    <w:rsid w:val="5D0F799B"/>
    <w:rsid w:val="5E810622"/>
    <w:rsid w:val="5E833084"/>
    <w:rsid w:val="5EB3457A"/>
    <w:rsid w:val="5EC605BC"/>
    <w:rsid w:val="5EFC6DAA"/>
    <w:rsid w:val="5EFD0600"/>
    <w:rsid w:val="5F352FDE"/>
    <w:rsid w:val="5F510C99"/>
    <w:rsid w:val="5F7D704B"/>
    <w:rsid w:val="5FA56CCD"/>
    <w:rsid w:val="5FBE6A3C"/>
    <w:rsid w:val="5FD74567"/>
    <w:rsid w:val="5FFD117D"/>
    <w:rsid w:val="60065E0F"/>
    <w:rsid w:val="60132A5F"/>
    <w:rsid w:val="60CD77EB"/>
    <w:rsid w:val="6152635A"/>
    <w:rsid w:val="61712422"/>
    <w:rsid w:val="617A4D66"/>
    <w:rsid w:val="61A24FB0"/>
    <w:rsid w:val="61BE1E0B"/>
    <w:rsid w:val="628429AA"/>
    <w:rsid w:val="628841B8"/>
    <w:rsid w:val="62C21944"/>
    <w:rsid w:val="63035AB9"/>
    <w:rsid w:val="63273E9D"/>
    <w:rsid w:val="632D0CBC"/>
    <w:rsid w:val="63730E90"/>
    <w:rsid w:val="646D65C4"/>
    <w:rsid w:val="64A22188"/>
    <w:rsid w:val="64BA0BE2"/>
    <w:rsid w:val="654C45ED"/>
    <w:rsid w:val="657B4A01"/>
    <w:rsid w:val="658F0EB8"/>
    <w:rsid w:val="65B66BD2"/>
    <w:rsid w:val="66A54284"/>
    <w:rsid w:val="66CC7AA7"/>
    <w:rsid w:val="66D041EB"/>
    <w:rsid w:val="6861303F"/>
    <w:rsid w:val="6875658B"/>
    <w:rsid w:val="697B0F7C"/>
    <w:rsid w:val="69857996"/>
    <w:rsid w:val="69986732"/>
    <w:rsid w:val="69D7568B"/>
    <w:rsid w:val="6A0D4A4B"/>
    <w:rsid w:val="6A1339CC"/>
    <w:rsid w:val="6AF22AF0"/>
    <w:rsid w:val="6AF93AFE"/>
    <w:rsid w:val="6AFE4532"/>
    <w:rsid w:val="6BEE1AC2"/>
    <w:rsid w:val="6CA66D18"/>
    <w:rsid w:val="6CAF5264"/>
    <w:rsid w:val="6CD754BD"/>
    <w:rsid w:val="6CE34991"/>
    <w:rsid w:val="6D452886"/>
    <w:rsid w:val="6D492CF5"/>
    <w:rsid w:val="6D604233"/>
    <w:rsid w:val="6E287B51"/>
    <w:rsid w:val="6E9F307A"/>
    <w:rsid w:val="6F0E1C25"/>
    <w:rsid w:val="6F773EA1"/>
    <w:rsid w:val="6FA523D2"/>
    <w:rsid w:val="6FFA2C86"/>
    <w:rsid w:val="7115219D"/>
    <w:rsid w:val="71BF5994"/>
    <w:rsid w:val="71F20002"/>
    <w:rsid w:val="7313268A"/>
    <w:rsid w:val="73141475"/>
    <w:rsid w:val="734C7527"/>
    <w:rsid w:val="73862967"/>
    <w:rsid w:val="73DE4002"/>
    <w:rsid w:val="73FE7882"/>
    <w:rsid w:val="74132CFF"/>
    <w:rsid w:val="755E4E9F"/>
    <w:rsid w:val="7598178A"/>
    <w:rsid w:val="75F70AFC"/>
    <w:rsid w:val="767D3438"/>
    <w:rsid w:val="77684CA2"/>
    <w:rsid w:val="78113AD0"/>
    <w:rsid w:val="783E567E"/>
    <w:rsid w:val="785D2AC9"/>
    <w:rsid w:val="78793171"/>
    <w:rsid w:val="789F17A6"/>
    <w:rsid w:val="78A66106"/>
    <w:rsid w:val="793D57CA"/>
    <w:rsid w:val="794644CA"/>
    <w:rsid w:val="795039F2"/>
    <w:rsid w:val="79741901"/>
    <w:rsid w:val="79B40DB8"/>
    <w:rsid w:val="7A09427C"/>
    <w:rsid w:val="7A0D5B55"/>
    <w:rsid w:val="7A4F26D4"/>
    <w:rsid w:val="7AA31AD2"/>
    <w:rsid w:val="7C093CE8"/>
    <w:rsid w:val="7C284D65"/>
    <w:rsid w:val="7C634B9D"/>
    <w:rsid w:val="7C94286C"/>
    <w:rsid w:val="7CD00E95"/>
    <w:rsid w:val="7D1E37C3"/>
    <w:rsid w:val="7D28155C"/>
    <w:rsid w:val="7D660653"/>
    <w:rsid w:val="7E36397C"/>
    <w:rsid w:val="7E377250"/>
    <w:rsid w:val="7E617005"/>
    <w:rsid w:val="7E725AD0"/>
    <w:rsid w:val="7F0A123B"/>
    <w:rsid w:val="7F1E60CA"/>
    <w:rsid w:val="7F3A76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qFormat="1" w:unhideWhenUsed="0"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semiHidden="0" w:name="List"/>
    <w:lsdException w:uiPriority="99" w:name="List Bullet"/>
    <w:lsdException w:uiPriority="99" w:name="List Number"/>
    <w:lsdException w:uiPriority="99" w:name="List 2"/>
    <w:lsdException w:uiPriority="0" w:name="List 3"/>
    <w:lsdException w:uiPriority="99" w:name="List 4"/>
    <w:lsdException w:uiPriority="0" w:name="List 5"/>
    <w:lsdException w:uiPriority="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name="Body Text Indent"/>
    <w:lsdException w:uiPriority="99" w:name="List Continue"/>
    <w:lsdException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uiPriority="0" w:name="Body Text 3"/>
    <w:lsdException w:qFormat="1" w:uiPriority="0" w:semiHidden="0" w:name="Body Text Indent 2"/>
    <w:lsdException w:qFormat="1" w:uiPriority="0" w:name="Body Text Indent 3"/>
    <w:lsdException w:uiPriority="99" w:name="Block Text"/>
    <w:lsdException w:qFormat="1" w:uiPriority="99" w:semiHidden="0" w:name="Hyperlink"/>
    <w:lsdException w:qFormat="1" w:uiPriority="99" w:semiHidden="0" w:name="FollowedHyperlink"/>
    <w:lsdException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qFormat="1" w:uiPriority="0" w:name="Table Simple 2"/>
    <w:lsdException w:uiPriority="99" w:name="Table Simple 3"/>
    <w:lsdException w:qFormat="1" w:uiPriority="0" w:name="Table Classic 1"/>
    <w:lsdException w:uiPriority="99" w:name="Table Classic 2"/>
    <w:lsdException w:uiPriority="99" w:name="Table Classic 3"/>
    <w:lsdException w:uiPriority="99" w:name="Table Classic 4"/>
    <w:lsdException w:qFormat="1" w:uiPriority="0" w:name="Table Colorful 1"/>
    <w:lsdException w:qFormat="1" w:uiPriority="0" w:name="Table Colorful 2"/>
    <w:lsdException w:qFormat="1" w:uiPriority="0"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iPriority="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qFormat="1"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20" w:lineRule="exact"/>
      <w:ind w:left="482" w:firstLine="480" w:firstLineChars="200"/>
    </w:pPr>
    <w:rPr>
      <w:rFonts w:ascii="Times New Roman" w:hAnsi="Times New Roman" w:eastAsia="宋体" w:cs="Times New Roman"/>
      <w:kern w:val="2"/>
      <w:sz w:val="24"/>
      <w:lang w:val="en-US" w:eastAsia="zh-CN" w:bidi="ar-SA"/>
    </w:rPr>
  </w:style>
  <w:style w:type="paragraph" w:styleId="2">
    <w:name w:val="heading 1"/>
    <w:basedOn w:val="1"/>
    <w:next w:val="1"/>
    <w:link w:val="48"/>
    <w:qFormat/>
    <w:uiPriority w:val="0"/>
    <w:pPr>
      <w:numPr>
        <w:ilvl w:val="0"/>
        <w:numId w:val="1"/>
      </w:numPr>
      <w:autoSpaceDE w:val="0"/>
      <w:spacing w:line="360" w:lineRule="auto"/>
      <w:ind w:firstLineChars="0"/>
      <w:jc w:val="center"/>
      <w:outlineLvl w:val="0"/>
    </w:pPr>
    <w:rPr>
      <w:b/>
      <w:kern w:val="44"/>
      <w:sz w:val="36"/>
    </w:rPr>
  </w:style>
  <w:style w:type="paragraph" w:styleId="3">
    <w:name w:val="heading 2"/>
    <w:basedOn w:val="1"/>
    <w:next w:val="1"/>
    <w:link w:val="49"/>
    <w:qFormat/>
    <w:uiPriority w:val="0"/>
    <w:pPr>
      <w:numPr>
        <w:ilvl w:val="1"/>
        <w:numId w:val="1"/>
      </w:numPr>
      <w:spacing w:line="360" w:lineRule="auto"/>
      <w:ind w:left="0" w:firstLine="0" w:firstLineChars="0"/>
      <w:outlineLvl w:val="1"/>
    </w:pPr>
    <w:rPr>
      <w:b/>
      <w:snapToGrid w:val="0"/>
      <w:color w:val="00B050"/>
      <w:kern w:val="28"/>
      <w:sz w:val="30"/>
    </w:rPr>
  </w:style>
  <w:style w:type="paragraph" w:styleId="4">
    <w:name w:val="heading 3"/>
    <w:basedOn w:val="1"/>
    <w:next w:val="1"/>
    <w:link w:val="50"/>
    <w:qFormat/>
    <w:uiPriority w:val="0"/>
    <w:pPr>
      <w:numPr>
        <w:ilvl w:val="2"/>
        <w:numId w:val="1"/>
      </w:numPr>
      <w:spacing w:line="360" w:lineRule="auto"/>
      <w:ind w:left="284" w:firstLine="0" w:firstLineChars="0"/>
      <w:outlineLvl w:val="2"/>
    </w:pPr>
    <w:rPr>
      <w:b/>
      <w:color w:val="0000FF"/>
      <w:sz w:val="28"/>
      <w:szCs w:val="28"/>
    </w:rPr>
  </w:style>
  <w:style w:type="paragraph" w:styleId="5">
    <w:name w:val="heading 4"/>
    <w:basedOn w:val="6"/>
    <w:next w:val="1"/>
    <w:link w:val="52"/>
    <w:qFormat/>
    <w:uiPriority w:val="0"/>
    <w:pPr>
      <w:numPr>
        <w:ilvl w:val="3"/>
        <w:numId w:val="1"/>
      </w:numPr>
      <w:ind w:left="567" w:firstLine="0" w:firstLineChars="0"/>
      <w:outlineLvl w:val="3"/>
    </w:pPr>
    <w:rPr>
      <w:b/>
      <w:bCs/>
      <w:color w:val="C55A11" w:themeColor="accent2" w:themeShade="BF"/>
    </w:rPr>
  </w:style>
  <w:style w:type="paragraph" w:styleId="7">
    <w:name w:val="heading 5"/>
    <w:basedOn w:val="1"/>
    <w:next w:val="1"/>
    <w:link w:val="53"/>
    <w:qFormat/>
    <w:uiPriority w:val="0"/>
    <w:pPr>
      <w:keepNext/>
      <w:keepLines/>
      <w:spacing w:before="280" w:after="290" w:line="372" w:lineRule="auto"/>
      <w:ind w:firstLine="0" w:firstLineChars="0"/>
      <w:outlineLvl w:val="4"/>
    </w:pPr>
    <w:rPr>
      <w:b/>
      <w:sz w:val="28"/>
    </w:rPr>
  </w:style>
  <w:style w:type="paragraph" w:styleId="8">
    <w:name w:val="heading 6"/>
    <w:basedOn w:val="1"/>
    <w:next w:val="1"/>
    <w:link w:val="54"/>
    <w:qFormat/>
    <w:uiPriority w:val="0"/>
    <w:pPr>
      <w:keepNext/>
      <w:keepLines/>
      <w:spacing w:before="240" w:after="64" w:line="317" w:lineRule="auto"/>
      <w:ind w:firstLine="0" w:firstLineChars="0"/>
      <w:outlineLvl w:val="5"/>
    </w:pPr>
    <w:rPr>
      <w:rFonts w:ascii="Arial" w:hAnsi="Arial" w:eastAsia="黑体"/>
      <w:b/>
    </w:rPr>
  </w:style>
  <w:style w:type="paragraph" w:styleId="9">
    <w:name w:val="heading 7"/>
    <w:basedOn w:val="1"/>
    <w:next w:val="1"/>
    <w:link w:val="55"/>
    <w:qFormat/>
    <w:uiPriority w:val="0"/>
    <w:pPr>
      <w:keepNext/>
      <w:keepLines/>
      <w:spacing w:before="240" w:after="64" w:line="317" w:lineRule="auto"/>
      <w:ind w:firstLine="0" w:firstLineChars="0"/>
      <w:outlineLvl w:val="6"/>
    </w:pPr>
    <w:rPr>
      <w:b/>
    </w:rPr>
  </w:style>
  <w:style w:type="paragraph" w:styleId="10">
    <w:name w:val="heading 8"/>
    <w:basedOn w:val="1"/>
    <w:next w:val="1"/>
    <w:link w:val="56"/>
    <w:qFormat/>
    <w:uiPriority w:val="0"/>
    <w:pPr>
      <w:keepNext/>
      <w:keepLines/>
      <w:spacing w:before="240" w:after="64" w:line="317" w:lineRule="auto"/>
      <w:ind w:firstLine="0" w:firstLineChars="0"/>
      <w:outlineLvl w:val="7"/>
    </w:pPr>
    <w:rPr>
      <w:rFonts w:ascii="Arial" w:hAnsi="Arial" w:eastAsia="黑体"/>
    </w:rPr>
  </w:style>
  <w:style w:type="paragraph" w:styleId="11">
    <w:name w:val="heading 9"/>
    <w:basedOn w:val="1"/>
    <w:next w:val="1"/>
    <w:link w:val="57"/>
    <w:qFormat/>
    <w:uiPriority w:val="0"/>
    <w:pPr>
      <w:keepNext/>
      <w:keepLines/>
      <w:spacing w:before="240" w:after="64" w:line="317" w:lineRule="auto"/>
      <w:ind w:firstLine="0" w:firstLineChars="0"/>
      <w:outlineLvl w:val="8"/>
    </w:pPr>
    <w:rPr>
      <w:rFonts w:ascii="Arial" w:hAnsi="Arial" w:eastAsia="黑体"/>
      <w:sz w:val="21"/>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customStyle="1" w:styleId="6">
    <w:name w:val="刘正文"/>
    <w:basedOn w:val="1"/>
    <w:link w:val="51"/>
    <w:qFormat/>
    <w:uiPriority w:val="0"/>
    <w:pPr>
      <w:spacing w:line="360" w:lineRule="auto"/>
      <w:ind w:left="0"/>
    </w:pPr>
  </w:style>
  <w:style w:type="paragraph" w:styleId="12">
    <w:name w:val="toc 7"/>
    <w:basedOn w:val="1"/>
    <w:next w:val="1"/>
    <w:unhideWhenUsed/>
    <w:qFormat/>
    <w:uiPriority w:val="39"/>
    <w:pPr>
      <w:adjustRightInd/>
      <w:snapToGrid/>
      <w:spacing w:line="240" w:lineRule="auto"/>
      <w:ind w:left="2520" w:leftChars="1200" w:firstLine="0" w:firstLineChars="0"/>
      <w:jc w:val="both"/>
    </w:pPr>
    <w:rPr>
      <w:rFonts w:asciiTheme="minorHAnsi" w:hAnsiTheme="minorHAnsi" w:eastAsiaTheme="minorEastAsia" w:cstheme="minorBidi"/>
      <w:sz w:val="21"/>
      <w:szCs w:val="22"/>
    </w:rPr>
  </w:style>
  <w:style w:type="paragraph" w:styleId="13">
    <w:name w:val="Normal Indent"/>
    <w:basedOn w:val="1"/>
    <w:unhideWhenUsed/>
    <w:qFormat/>
    <w:uiPriority w:val="99"/>
    <w:pPr>
      <w:spacing w:line="240" w:lineRule="auto"/>
      <w:ind w:left="0" w:firstLine="420" w:firstLineChars="0"/>
      <w:jc w:val="both"/>
    </w:pPr>
    <w:rPr>
      <w:rFonts w:eastAsia="仿宋_GB2312"/>
      <w:sz w:val="21"/>
      <w:szCs w:val="22"/>
    </w:rPr>
  </w:style>
  <w:style w:type="paragraph" w:styleId="14">
    <w:name w:val="caption"/>
    <w:basedOn w:val="1"/>
    <w:next w:val="1"/>
    <w:qFormat/>
    <w:uiPriority w:val="0"/>
    <w:rPr>
      <w:rFonts w:eastAsia="黑体" w:asciiTheme="majorHAnsi" w:hAnsiTheme="majorHAnsi" w:cstheme="majorBidi"/>
      <w:sz w:val="20"/>
    </w:rPr>
  </w:style>
  <w:style w:type="paragraph" w:styleId="15">
    <w:name w:val="Document Map"/>
    <w:basedOn w:val="1"/>
    <w:link w:val="123"/>
    <w:semiHidden/>
    <w:qFormat/>
    <w:uiPriority w:val="0"/>
    <w:pPr>
      <w:shd w:val="clear" w:color="auto" w:fill="000080"/>
      <w:spacing w:line="360" w:lineRule="auto"/>
      <w:ind w:left="0" w:firstLine="200"/>
      <w:jc w:val="both"/>
    </w:pPr>
    <w:rPr>
      <w:rFonts w:eastAsia="仿宋_GB2312"/>
      <w:sz w:val="28"/>
      <w:szCs w:val="22"/>
    </w:rPr>
  </w:style>
  <w:style w:type="paragraph" w:styleId="16">
    <w:name w:val="annotation text"/>
    <w:basedOn w:val="1"/>
    <w:link w:val="106"/>
    <w:unhideWhenUsed/>
    <w:qFormat/>
    <w:uiPriority w:val="99"/>
  </w:style>
  <w:style w:type="paragraph" w:styleId="17">
    <w:name w:val="Body Text"/>
    <w:basedOn w:val="1"/>
    <w:link w:val="100"/>
    <w:unhideWhenUsed/>
    <w:qFormat/>
    <w:uiPriority w:val="0"/>
    <w:pPr>
      <w:spacing w:after="120"/>
    </w:pPr>
  </w:style>
  <w:style w:type="paragraph" w:styleId="18">
    <w:name w:val="Body Text Indent"/>
    <w:basedOn w:val="1"/>
    <w:link w:val="84"/>
    <w:semiHidden/>
    <w:unhideWhenUsed/>
    <w:qFormat/>
    <w:uiPriority w:val="0"/>
    <w:pPr>
      <w:spacing w:after="120"/>
      <w:ind w:left="420" w:leftChars="200"/>
    </w:pPr>
  </w:style>
  <w:style w:type="paragraph" w:styleId="19">
    <w:name w:val="toc 5"/>
    <w:basedOn w:val="1"/>
    <w:next w:val="1"/>
    <w:unhideWhenUsed/>
    <w:qFormat/>
    <w:uiPriority w:val="39"/>
    <w:pPr>
      <w:adjustRightInd/>
      <w:snapToGrid/>
      <w:spacing w:line="240" w:lineRule="auto"/>
      <w:ind w:left="1680" w:leftChars="800" w:firstLine="0" w:firstLineChars="0"/>
      <w:jc w:val="both"/>
    </w:pPr>
    <w:rPr>
      <w:rFonts w:asciiTheme="minorHAnsi" w:hAnsiTheme="minorHAnsi" w:eastAsiaTheme="minorEastAsia" w:cstheme="minorBidi"/>
      <w:sz w:val="21"/>
      <w:szCs w:val="22"/>
    </w:rPr>
  </w:style>
  <w:style w:type="paragraph" w:styleId="20">
    <w:name w:val="toc 3"/>
    <w:basedOn w:val="1"/>
    <w:next w:val="1"/>
    <w:unhideWhenUsed/>
    <w:qFormat/>
    <w:uiPriority w:val="39"/>
    <w:pPr>
      <w:ind w:left="840" w:leftChars="400"/>
    </w:pPr>
  </w:style>
  <w:style w:type="paragraph" w:styleId="21">
    <w:name w:val="Plain Text"/>
    <w:basedOn w:val="1"/>
    <w:link w:val="129"/>
    <w:qFormat/>
    <w:uiPriority w:val="0"/>
    <w:pPr>
      <w:adjustRightInd/>
      <w:snapToGrid/>
      <w:spacing w:line="240" w:lineRule="auto"/>
      <w:ind w:left="0" w:firstLine="0" w:firstLineChars="0"/>
      <w:jc w:val="both"/>
    </w:pPr>
    <w:rPr>
      <w:rFonts w:ascii="宋体" w:hAnsi="Courier New"/>
      <w:sz w:val="21"/>
    </w:rPr>
  </w:style>
  <w:style w:type="paragraph" w:styleId="22">
    <w:name w:val="toc 8"/>
    <w:basedOn w:val="1"/>
    <w:next w:val="1"/>
    <w:unhideWhenUsed/>
    <w:qFormat/>
    <w:uiPriority w:val="39"/>
    <w:pPr>
      <w:adjustRightInd/>
      <w:snapToGrid/>
      <w:spacing w:line="240" w:lineRule="auto"/>
      <w:ind w:left="2940" w:leftChars="1400" w:firstLine="0" w:firstLineChars="0"/>
      <w:jc w:val="both"/>
    </w:pPr>
    <w:rPr>
      <w:rFonts w:asciiTheme="minorHAnsi" w:hAnsiTheme="minorHAnsi" w:eastAsiaTheme="minorEastAsia" w:cstheme="minorBidi"/>
      <w:sz w:val="21"/>
      <w:szCs w:val="22"/>
    </w:rPr>
  </w:style>
  <w:style w:type="paragraph" w:styleId="23">
    <w:name w:val="Date"/>
    <w:basedOn w:val="1"/>
    <w:next w:val="1"/>
    <w:link w:val="128"/>
    <w:unhideWhenUsed/>
    <w:qFormat/>
    <w:uiPriority w:val="99"/>
    <w:pPr>
      <w:spacing w:line="360" w:lineRule="auto"/>
      <w:ind w:left="100" w:leftChars="2500" w:firstLine="200"/>
      <w:jc w:val="both"/>
    </w:pPr>
    <w:rPr>
      <w:kern w:val="0"/>
      <w:sz w:val="20"/>
    </w:rPr>
  </w:style>
  <w:style w:type="paragraph" w:styleId="24">
    <w:name w:val="Body Text Indent 2"/>
    <w:basedOn w:val="1"/>
    <w:link w:val="182"/>
    <w:unhideWhenUsed/>
    <w:qFormat/>
    <w:uiPriority w:val="0"/>
    <w:pPr>
      <w:spacing w:after="120" w:line="480" w:lineRule="auto"/>
      <w:ind w:left="420" w:leftChars="200"/>
    </w:pPr>
  </w:style>
  <w:style w:type="paragraph" w:styleId="25">
    <w:name w:val="Balloon Text"/>
    <w:basedOn w:val="1"/>
    <w:link w:val="75"/>
    <w:qFormat/>
    <w:uiPriority w:val="99"/>
    <w:pPr>
      <w:spacing w:line="240" w:lineRule="auto"/>
    </w:pPr>
    <w:rPr>
      <w:sz w:val="18"/>
      <w:szCs w:val="18"/>
    </w:rPr>
  </w:style>
  <w:style w:type="paragraph" w:styleId="26">
    <w:name w:val="footer"/>
    <w:basedOn w:val="1"/>
    <w:link w:val="64"/>
    <w:qFormat/>
    <w:uiPriority w:val="99"/>
    <w:pPr>
      <w:pBdr>
        <w:top w:val="single" w:color="auto" w:sz="4" w:space="1"/>
      </w:pBdr>
      <w:spacing w:line="240" w:lineRule="auto"/>
      <w:ind w:left="0" w:firstLine="0" w:firstLineChars="0"/>
    </w:pPr>
    <w:rPr>
      <w:sz w:val="18"/>
    </w:rPr>
  </w:style>
  <w:style w:type="paragraph" w:styleId="27">
    <w:name w:val="header"/>
    <w:basedOn w:val="1"/>
    <w:link w:val="58"/>
    <w:qFormat/>
    <w:uiPriority w:val="99"/>
    <w:pPr>
      <w:pBdr>
        <w:bottom w:val="single" w:color="auto" w:sz="6" w:space="1"/>
      </w:pBdr>
      <w:tabs>
        <w:tab w:val="center" w:pos="4153"/>
        <w:tab w:val="right" w:pos="8306"/>
      </w:tabs>
      <w:spacing w:line="240" w:lineRule="atLeast"/>
      <w:ind w:firstLine="0" w:firstLineChars="0"/>
      <w:jc w:val="center"/>
    </w:pPr>
    <w:rPr>
      <w:sz w:val="18"/>
      <w:szCs w:val="18"/>
    </w:rPr>
  </w:style>
  <w:style w:type="paragraph" w:styleId="28">
    <w:name w:val="toc 1"/>
    <w:basedOn w:val="1"/>
    <w:next w:val="1"/>
    <w:unhideWhenUsed/>
    <w:qFormat/>
    <w:uiPriority w:val="39"/>
    <w:pPr>
      <w:spacing w:line="480" w:lineRule="auto"/>
      <w:ind w:firstLine="200"/>
    </w:pPr>
    <w:rPr>
      <w:b/>
    </w:rPr>
  </w:style>
  <w:style w:type="paragraph" w:styleId="29">
    <w:name w:val="toc 4"/>
    <w:basedOn w:val="1"/>
    <w:next w:val="1"/>
    <w:unhideWhenUsed/>
    <w:qFormat/>
    <w:uiPriority w:val="39"/>
    <w:pPr>
      <w:adjustRightInd/>
      <w:snapToGrid/>
      <w:spacing w:line="240" w:lineRule="auto"/>
      <w:ind w:left="1260" w:leftChars="600" w:firstLine="0" w:firstLineChars="0"/>
      <w:jc w:val="both"/>
    </w:pPr>
    <w:rPr>
      <w:rFonts w:asciiTheme="minorHAnsi" w:hAnsiTheme="minorHAnsi" w:eastAsiaTheme="minorEastAsia" w:cstheme="minorBidi"/>
      <w:sz w:val="21"/>
      <w:szCs w:val="22"/>
    </w:rPr>
  </w:style>
  <w:style w:type="paragraph" w:styleId="30">
    <w:name w:val="Subtitle"/>
    <w:basedOn w:val="1"/>
    <w:link w:val="206"/>
    <w:qFormat/>
    <w:uiPriority w:val="11"/>
    <w:pPr>
      <w:widowControl/>
      <w:adjustRightInd/>
      <w:snapToGrid/>
      <w:spacing w:before="240" w:after="60" w:line="312" w:lineRule="auto"/>
      <w:ind w:left="0" w:firstLine="0" w:firstLineChars="0"/>
      <w:jc w:val="center"/>
      <w:outlineLvl w:val="1"/>
    </w:pPr>
    <w:rPr>
      <w:rFonts w:ascii="Arial" w:hAnsi="Arial"/>
      <w:b/>
      <w:bCs/>
      <w:kern w:val="28"/>
      <w:sz w:val="32"/>
      <w:szCs w:val="32"/>
    </w:rPr>
  </w:style>
  <w:style w:type="paragraph" w:styleId="31">
    <w:name w:val="footnote text"/>
    <w:basedOn w:val="1"/>
    <w:link w:val="211"/>
    <w:qFormat/>
    <w:uiPriority w:val="0"/>
    <w:pPr>
      <w:adjustRightInd/>
      <w:spacing w:line="240" w:lineRule="auto"/>
      <w:ind w:left="0" w:firstLine="0" w:firstLineChars="0"/>
      <w:jc w:val="center"/>
    </w:pPr>
    <w:rPr>
      <w:rFonts w:eastAsia="仿宋_GB2312"/>
      <w:sz w:val="18"/>
      <w:szCs w:val="18"/>
    </w:rPr>
  </w:style>
  <w:style w:type="paragraph" w:styleId="32">
    <w:name w:val="toc 6"/>
    <w:basedOn w:val="1"/>
    <w:next w:val="1"/>
    <w:unhideWhenUsed/>
    <w:qFormat/>
    <w:uiPriority w:val="39"/>
    <w:pPr>
      <w:adjustRightInd/>
      <w:snapToGrid/>
      <w:spacing w:line="240" w:lineRule="auto"/>
      <w:ind w:left="2100" w:leftChars="1000" w:firstLine="0" w:firstLineChars="0"/>
      <w:jc w:val="both"/>
    </w:pPr>
    <w:rPr>
      <w:rFonts w:asciiTheme="minorHAnsi" w:hAnsiTheme="minorHAnsi" w:eastAsiaTheme="minorEastAsia" w:cstheme="minorBidi"/>
      <w:sz w:val="21"/>
      <w:szCs w:val="22"/>
    </w:rPr>
  </w:style>
  <w:style w:type="paragraph" w:styleId="33">
    <w:name w:val="Body Text Indent 3"/>
    <w:basedOn w:val="1"/>
    <w:link w:val="197"/>
    <w:semiHidden/>
    <w:unhideWhenUsed/>
    <w:qFormat/>
    <w:uiPriority w:val="0"/>
    <w:pPr>
      <w:spacing w:after="120"/>
      <w:ind w:left="420" w:leftChars="200"/>
    </w:pPr>
    <w:rPr>
      <w:sz w:val="16"/>
      <w:szCs w:val="16"/>
    </w:rPr>
  </w:style>
  <w:style w:type="paragraph" w:styleId="34">
    <w:name w:val="toc 2"/>
    <w:basedOn w:val="1"/>
    <w:next w:val="1"/>
    <w:unhideWhenUsed/>
    <w:qFormat/>
    <w:uiPriority w:val="39"/>
    <w:pPr>
      <w:spacing w:line="480" w:lineRule="auto"/>
      <w:ind w:left="200" w:leftChars="200" w:firstLine="200"/>
    </w:pPr>
  </w:style>
  <w:style w:type="paragraph" w:styleId="35">
    <w:name w:val="toc 9"/>
    <w:basedOn w:val="1"/>
    <w:next w:val="1"/>
    <w:unhideWhenUsed/>
    <w:qFormat/>
    <w:uiPriority w:val="39"/>
    <w:pPr>
      <w:adjustRightInd/>
      <w:snapToGrid/>
      <w:spacing w:line="240" w:lineRule="auto"/>
      <w:ind w:left="3360" w:leftChars="1600" w:firstLine="0" w:firstLineChars="0"/>
      <w:jc w:val="both"/>
    </w:pPr>
    <w:rPr>
      <w:rFonts w:asciiTheme="minorHAnsi" w:hAnsiTheme="minorHAnsi" w:eastAsiaTheme="minorEastAsia" w:cstheme="minorBidi"/>
      <w:sz w:val="21"/>
      <w:szCs w:val="22"/>
    </w:rPr>
  </w:style>
  <w:style w:type="paragraph" w:styleId="36">
    <w:name w:val="Body Text 2"/>
    <w:basedOn w:val="1"/>
    <w:link w:val="69"/>
    <w:qFormat/>
    <w:uiPriority w:val="0"/>
    <w:pPr>
      <w:spacing w:line="240" w:lineRule="auto"/>
      <w:ind w:left="0" w:firstLine="0" w:firstLineChars="0"/>
      <w:jc w:val="center"/>
    </w:pPr>
    <w:rPr>
      <w:szCs w:val="24"/>
    </w:rPr>
  </w:style>
  <w:style w:type="paragraph" w:styleId="37">
    <w:name w:val="Normal (Web)"/>
    <w:basedOn w:val="1"/>
    <w:unhideWhenUsed/>
    <w:qFormat/>
    <w:uiPriority w:val="99"/>
    <w:pPr>
      <w:widowControl/>
      <w:adjustRightInd/>
      <w:snapToGrid/>
      <w:spacing w:before="100" w:beforeAutospacing="1" w:after="100" w:afterAutospacing="1" w:line="240" w:lineRule="auto"/>
      <w:ind w:left="0" w:firstLine="0" w:firstLineChars="0"/>
    </w:pPr>
    <w:rPr>
      <w:rFonts w:ascii="宋体" w:hAnsi="宋体" w:eastAsia="仿宋_GB2312" w:cs="宋体"/>
      <w:kern w:val="0"/>
      <w:sz w:val="28"/>
      <w:szCs w:val="24"/>
    </w:rPr>
  </w:style>
  <w:style w:type="paragraph" w:styleId="38">
    <w:name w:val="Title"/>
    <w:basedOn w:val="1"/>
    <w:next w:val="1"/>
    <w:link w:val="195"/>
    <w:qFormat/>
    <w:uiPriority w:val="0"/>
    <w:pPr>
      <w:numPr>
        <w:ilvl w:val="0"/>
        <w:numId w:val="2"/>
      </w:numPr>
      <w:adjustRightInd/>
      <w:snapToGrid/>
      <w:spacing w:before="240" w:after="60" w:line="240" w:lineRule="auto"/>
      <w:jc w:val="center"/>
      <w:outlineLvl w:val="0"/>
    </w:pPr>
    <w:rPr>
      <w:rFonts w:ascii="Cambria" w:hAnsi="Cambria"/>
      <w:b/>
      <w:bCs/>
      <w:sz w:val="30"/>
      <w:szCs w:val="32"/>
    </w:rPr>
  </w:style>
  <w:style w:type="paragraph" w:styleId="39">
    <w:name w:val="annotation subject"/>
    <w:basedOn w:val="16"/>
    <w:next w:val="16"/>
    <w:link w:val="107"/>
    <w:unhideWhenUsed/>
    <w:qFormat/>
    <w:uiPriority w:val="99"/>
    <w:rPr>
      <w:b/>
      <w:bCs/>
    </w:rPr>
  </w:style>
  <w:style w:type="paragraph" w:styleId="40">
    <w:name w:val="Body Text First Indent 2"/>
    <w:basedOn w:val="18"/>
    <w:link w:val="212"/>
    <w:semiHidden/>
    <w:unhideWhenUsed/>
    <w:qFormat/>
    <w:uiPriority w:val="0"/>
    <w:pPr>
      <w:ind w:firstLine="420"/>
    </w:pPr>
  </w:style>
  <w:style w:type="table" w:styleId="42">
    <w:name w:val="Table Grid"/>
    <w:basedOn w:val="4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FollowedHyperlink"/>
    <w:unhideWhenUsed/>
    <w:qFormat/>
    <w:uiPriority w:val="99"/>
    <w:rPr>
      <w:color w:val="800080"/>
      <w:u w:val="single"/>
    </w:rPr>
  </w:style>
  <w:style w:type="character" w:styleId="45">
    <w:name w:val="Emphasis"/>
    <w:basedOn w:val="43"/>
    <w:qFormat/>
    <w:uiPriority w:val="20"/>
    <w:rPr>
      <w:i/>
      <w:iCs/>
    </w:rPr>
  </w:style>
  <w:style w:type="character" w:styleId="46">
    <w:name w:val="Hyperlink"/>
    <w:basedOn w:val="43"/>
    <w:unhideWhenUsed/>
    <w:qFormat/>
    <w:uiPriority w:val="99"/>
    <w:rPr>
      <w:color w:val="0070C0" w:themeColor="hyperlink"/>
      <w:u w:val="single"/>
      <w14:textFill>
        <w14:solidFill>
          <w14:schemeClr w14:val="hlink"/>
        </w14:solidFill>
      </w14:textFill>
    </w:rPr>
  </w:style>
  <w:style w:type="character" w:styleId="47">
    <w:name w:val="annotation reference"/>
    <w:basedOn w:val="43"/>
    <w:unhideWhenUsed/>
    <w:qFormat/>
    <w:uiPriority w:val="99"/>
    <w:rPr>
      <w:sz w:val="21"/>
      <w:szCs w:val="21"/>
    </w:rPr>
  </w:style>
  <w:style w:type="character" w:customStyle="1" w:styleId="48">
    <w:name w:val="标题 1 字符"/>
    <w:link w:val="2"/>
    <w:qFormat/>
    <w:uiPriority w:val="0"/>
    <w:rPr>
      <w:b/>
      <w:kern w:val="44"/>
      <w:sz w:val="36"/>
    </w:rPr>
  </w:style>
  <w:style w:type="character" w:customStyle="1" w:styleId="49">
    <w:name w:val="标题 2 字符"/>
    <w:link w:val="3"/>
    <w:qFormat/>
    <w:uiPriority w:val="0"/>
    <w:rPr>
      <w:b/>
      <w:snapToGrid w:val="0"/>
      <w:color w:val="00B050"/>
      <w:kern w:val="28"/>
      <w:sz w:val="30"/>
    </w:rPr>
  </w:style>
  <w:style w:type="character" w:customStyle="1" w:styleId="50">
    <w:name w:val="标题 3 字符"/>
    <w:link w:val="4"/>
    <w:qFormat/>
    <w:uiPriority w:val="0"/>
    <w:rPr>
      <w:b/>
      <w:color w:val="0000FF"/>
      <w:kern w:val="2"/>
      <w:sz w:val="28"/>
      <w:szCs w:val="28"/>
    </w:rPr>
  </w:style>
  <w:style w:type="character" w:customStyle="1" w:styleId="51">
    <w:name w:val="刘正文 字符"/>
    <w:link w:val="6"/>
    <w:qFormat/>
    <w:uiPriority w:val="0"/>
    <w:rPr>
      <w:kern w:val="2"/>
      <w:sz w:val="24"/>
    </w:rPr>
  </w:style>
  <w:style w:type="character" w:customStyle="1" w:styleId="52">
    <w:name w:val="标题 4 字符"/>
    <w:link w:val="5"/>
    <w:qFormat/>
    <w:uiPriority w:val="0"/>
    <w:rPr>
      <w:b/>
      <w:bCs/>
      <w:color w:val="C55A11" w:themeColor="accent2" w:themeShade="BF"/>
      <w:kern w:val="2"/>
      <w:sz w:val="24"/>
    </w:rPr>
  </w:style>
  <w:style w:type="character" w:customStyle="1" w:styleId="53">
    <w:name w:val="标题 5 字符"/>
    <w:link w:val="7"/>
    <w:qFormat/>
    <w:uiPriority w:val="0"/>
    <w:rPr>
      <w:b/>
      <w:kern w:val="2"/>
      <w:sz w:val="28"/>
    </w:rPr>
  </w:style>
  <w:style w:type="character" w:customStyle="1" w:styleId="54">
    <w:name w:val="标题 6 字符"/>
    <w:link w:val="8"/>
    <w:qFormat/>
    <w:uiPriority w:val="9"/>
    <w:rPr>
      <w:rFonts w:ascii="Arial" w:hAnsi="Arial" w:eastAsia="黑体"/>
      <w:b/>
      <w:kern w:val="2"/>
      <w:sz w:val="24"/>
    </w:rPr>
  </w:style>
  <w:style w:type="character" w:customStyle="1" w:styleId="55">
    <w:name w:val="标题 7 字符"/>
    <w:link w:val="9"/>
    <w:qFormat/>
    <w:uiPriority w:val="9"/>
    <w:rPr>
      <w:b/>
      <w:kern w:val="2"/>
      <w:sz w:val="24"/>
    </w:rPr>
  </w:style>
  <w:style w:type="character" w:customStyle="1" w:styleId="56">
    <w:name w:val="标题 8 字符"/>
    <w:link w:val="10"/>
    <w:qFormat/>
    <w:uiPriority w:val="9"/>
    <w:rPr>
      <w:rFonts w:ascii="Arial" w:hAnsi="Arial" w:eastAsia="黑体"/>
      <w:kern w:val="2"/>
      <w:sz w:val="24"/>
    </w:rPr>
  </w:style>
  <w:style w:type="character" w:customStyle="1" w:styleId="57">
    <w:name w:val="标题 9 字符"/>
    <w:link w:val="11"/>
    <w:qFormat/>
    <w:uiPriority w:val="9"/>
    <w:rPr>
      <w:rFonts w:ascii="Arial" w:hAnsi="Arial" w:eastAsia="黑体"/>
      <w:kern w:val="2"/>
      <w:sz w:val="21"/>
    </w:rPr>
  </w:style>
  <w:style w:type="character" w:customStyle="1" w:styleId="58">
    <w:name w:val="页眉 字符"/>
    <w:basedOn w:val="43"/>
    <w:link w:val="27"/>
    <w:qFormat/>
    <w:uiPriority w:val="99"/>
    <w:rPr>
      <w:kern w:val="2"/>
      <w:sz w:val="18"/>
      <w:szCs w:val="18"/>
    </w:rPr>
  </w:style>
  <w:style w:type="character" w:customStyle="1" w:styleId="59">
    <w:name w:val="未处理的提及1"/>
    <w:basedOn w:val="43"/>
    <w:semiHidden/>
    <w:unhideWhenUsed/>
    <w:qFormat/>
    <w:uiPriority w:val="99"/>
    <w:rPr>
      <w:color w:val="605E5C"/>
      <w:shd w:val="clear" w:color="auto" w:fill="E1DFDD"/>
    </w:rPr>
  </w:style>
  <w:style w:type="character" w:customStyle="1" w:styleId="60">
    <w:name w:val="00图表名 Char"/>
    <w:link w:val="61"/>
    <w:qFormat/>
    <w:uiPriority w:val="0"/>
    <w:rPr>
      <w:b/>
      <w:kern w:val="2"/>
      <w:sz w:val="24"/>
    </w:rPr>
  </w:style>
  <w:style w:type="paragraph" w:customStyle="1" w:styleId="61">
    <w:name w:val="00图表名"/>
    <w:basedOn w:val="6"/>
    <w:link w:val="60"/>
    <w:qFormat/>
    <w:uiPriority w:val="0"/>
    <w:pPr>
      <w:spacing w:beforeLines="50"/>
      <w:ind w:firstLine="0" w:firstLineChars="0"/>
      <w:jc w:val="center"/>
    </w:pPr>
    <w:rPr>
      <w:b/>
    </w:rPr>
  </w:style>
  <w:style w:type="character" w:customStyle="1" w:styleId="62">
    <w:name w:val="刘表格 Char"/>
    <w:link w:val="63"/>
    <w:qFormat/>
    <w:uiPriority w:val="0"/>
    <w:rPr>
      <w:rFonts w:hAnsi="宋体"/>
      <w:bCs/>
      <w:color w:val="FF0000"/>
      <w:kern w:val="28"/>
      <w:sz w:val="21"/>
      <w:szCs w:val="21"/>
    </w:rPr>
  </w:style>
  <w:style w:type="paragraph" w:customStyle="1" w:styleId="63">
    <w:name w:val="刘表格"/>
    <w:basedOn w:val="6"/>
    <w:link w:val="62"/>
    <w:qFormat/>
    <w:uiPriority w:val="0"/>
    <w:pPr>
      <w:widowControl/>
      <w:adjustRightInd/>
      <w:spacing w:line="240" w:lineRule="auto"/>
      <w:ind w:firstLine="0" w:firstLineChars="0"/>
      <w:jc w:val="center"/>
    </w:pPr>
    <w:rPr>
      <w:rFonts w:hAnsi="宋体"/>
      <w:bCs/>
      <w:kern w:val="28"/>
      <w:sz w:val="21"/>
      <w:szCs w:val="21"/>
    </w:rPr>
  </w:style>
  <w:style w:type="character" w:customStyle="1" w:styleId="64">
    <w:name w:val="页脚 字符"/>
    <w:basedOn w:val="43"/>
    <w:link w:val="26"/>
    <w:qFormat/>
    <w:uiPriority w:val="99"/>
    <w:rPr>
      <w:kern w:val="2"/>
      <w:sz w:val="18"/>
    </w:rPr>
  </w:style>
  <w:style w:type="character" w:customStyle="1" w:styleId="65">
    <w:name w:val="页眉 字符1"/>
    <w:semiHidden/>
    <w:qFormat/>
    <w:locked/>
    <w:uiPriority w:val="0"/>
    <w:rPr>
      <w:kern w:val="2"/>
      <w:sz w:val="18"/>
    </w:rPr>
  </w:style>
  <w:style w:type="character" w:customStyle="1" w:styleId="66">
    <w:name w:val="页脚 字符1"/>
    <w:semiHidden/>
    <w:qFormat/>
    <w:locked/>
    <w:uiPriority w:val="0"/>
    <w:rPr>
      <w:kern w:val="2"/>
      <w:sz w:val="18"/>
    </w:rPr>
  </w:style>
  <w:style w:type="character" w:styleId="67">
    <w:name w:val="Placeholder Text"/>
    <w:basedOn w:val="43"/>
    <w:semiHidden/>
    <w:qFormat/>
    <w:uiPriority w:val="99"/>
    <w:rPr>
      <w:color w:val="808080"/>
    </w:rPr>
  </w:style>
  <w:style w:type="character" w:customStyle="1" w:styleId="68">
    <w:name w:val="正文文本 2 字符"/>
    <w:basedOn w:val="43"/>
    <w:qFormat/>
    <w:uiPriority w:val="0"/>
    <w:rPr>
      <w:kern w:val="2"/>
      <w:sz w:val="24"/>
    </w:rPr>
  </w:style>
  <w:style w:type="character" w:customStyle="1" w:styleId="69">
    <w:name w:val="正文文本 2 字符1"/>
    <w:link w:val="36"/>
    <w:qFormat/>
    <w:locked/>
    <w:uiPriority w:val="0"/>
    <w:rPr>
      <w:kern w:val="2"/>
      <w:sz w:val="24"/>
      <w:szCs w:val="24"/>
    </w:rPr>
  </w:style>
  <w:style w:type="paragraph" w:customStyle="1" w:styleId="70">
    <w:name w:val="条题"/>
    <w:basedOn w:val="1"/>
    <w:qFormat/>
    <w:uiPriority w:val="0"/>
    <w:pPr>
      <w:tabs>
        <w:tab w:val="left" w:pos="1260"/>
      </w:tabs>
      <w:adjustRightInd/>
      <w:snapToGrid/>
      <w:spacing w:line="420" w:lineRule="exact"/>
      <w:ind w:left="180" w:right="480" w:rightChars="200" w:firstLine="0" w:firstLineChars="0"/>
      <w:jc w:val="both"/>
    </w:pPr>
    <w:rPr>
      <w:szCs w:val="24"/>
    </w:rPr>
  </w:style>
  <w:style w:type="paragraph" w:customStyle="1" w:styleId="71">
    <w:name w:val="01正文内容"/>
    <w:basedOn w:val="1"/>
    <w:link w:val="72"/>
    <w:qFormat/>
    <w:uiPriority w:val="0"/>
    <w:pPr>
      <w:spacing w:line="360" w:lineRule="auto"/>
      <w:ind w:left="0"/>
    </w:pPr>
  </w:style>
  <w:style w:type="character" w:customStyle="1" w:styleId="72">
    <w:name w:val="01正文内容 Char"/>
    <w:link w:val="71"/>
    <w:qFormat/>
    <w:uiPriority w:val="0"/>
    <w:rPr>
      <w:kern w:val="2"/>
      <w:sz w:val="24"/>
    </w:rPr>
  </w:style>
  <w:style w:type="character" w:customStyle="1" w:styleId="73">
    <w:name w:val="页眉 字符2"/>
    <w:qFormat/>
    <w:uiPriority w:val="99"/>
    <w:rPr>
      <w:kern w:val="2"/>
      <w:sz w:val="18"/>
    </w:rPr>
  </w:style>
  <w:style w:type="character" w:customStyle="1" w:styleId="74">
    <w:name w:val="页脚 字符2"/>
    <w:qFormat/>
    <w:uiPriority w:val="99"/>
    <w:rPr>
      <w:kern w:val="2"/>
      <w:sz w:val="18"/>
    </w:rPr>
  </w:style>
  <w:style w:type="character" w:customStyle="1" w:styleId="75">
    <w:name w:val="批注框文本 字符"/>
    <w:basedOn w:val="43"/>
    <w:link w:val="25"/>
    <w:qFormat/>
    <w:uiPriority w:val="99"/>
    <w:rPr>
      <w:kern w:val="2"/>
      <w:sz w:val="18"/>
      <w:szCs w:val="18"/>
    </w:rPr>
  </w:style>
  <w:style w:type="character" w:customStyle="1" w:styleId="76">
    <w:name w:val="未处理的提及2"/>
    <w:basedOn w:val="43"/>
    <w:semiHidden/>
    <w:unhideWhenUsed/>
    <w:qFormat/>
    <w:uiPriority w:val="99"/>
    <w:rPr>
      <w:color w:val="605E5C"/>
      <w:shd w:val="clear" w:color="auto" w:fill="E1DFDD"/>
    </w:rPr>
  </w:style>
  <w:style w:type="paragraph" w:customStyle="1" w:styleId="77">
    <w:name w:val="02表格内容"/>
    <w:basedOn w:val="1"/>
    <w:link w:val="78"/>
    <w:qFormat/>
    <w:uiPriority w:val="0"/>
    <w:pPr>
      <w:widowControl/>
      <w:adjustRightInd/>
      <w:spacing w:line="240" w:lineRule="auto"/>
      <w:ind w:left="0" w:firstLine="0" w:firstLineChars="0"/>
      <w:jc w:val="center"/>
    </w:pPr>
    <w:rPr>
      <w:rFonts w:cs="宋体"/>
      <w:kern w:val="0"/>
      <w:sz w:val="21"/>
      <w:szCs w:val="18"/>
    </w:rPr>
  </w:style>
  <w:style w:type="character" w:customStyle="1" w:styleId="78">
    <w:name w:val="02表格内容 Char"/>
    <w:link w:val="77"/>
    <w:qFormat/>
    <w:uiPriority w:val="0"/>
    <w:rPr>
      <w:rFonts w:cs="宋体"/>
      <w:sz w:val="21"/>
      <w:szCs w:val="18"/>
    </w:rPr>
  </w:style>
  <w:style w:type="paragraph" w:customStyle="1" w:styleId="79">
    <w:name w:val="表头"/>
    <w:basedOn w:val="1"/>
    <w:link w:val="80"/>
    <w:qFormat/>
    <w:uiPriority w:val="0"/>
    <w:pPr>
      <w:widowControl/>
      <w:adjustRightInd/>
      <w:spacing w:line="360" w:lineRule="auto"/>
      <w:ind w:left="0" w:firstLine="0" w:firstLineChars="0"/>
      <w:jc w:val="center"/>
    </w:pPr>
    <w:rPr>
      <w:b/>
      <w:kern w:val="28"/>
      <w:sz w:val="18"/>
      <w:szCs w:val="24"/>
    </w:rPr>
  </w:style>
  <w:style w:type="character" w:customStyle="1" w:styleId="80">
    <w:name w:val="表头 字符"/>
    <w:link w:val="79"/>
    <w:qFormat/>
    <w:uiPriority w:val="0"/>
    <w:rPr>
      <w:b/>
      <w:kern w:val="28"/>
      <w:sz w:val="18"/>
      <w:szCs w:val="24"/>
    </w:rPr>
  </w:style>
  <w:style w:type="paragraph" w:customStyle="1" w:styleId="81">
    <w:name w:val="xy-图名"/>
    <w:basedOn w:val="1"/>
    <w:qFormat/>
    <w:uiPriority w:val="0"/>
    <w:pPr>
      <w:adjustRightInd/>
      <w:snapToGrid/>
      <w:spacing w:afterLines="50" w:line="500" w:lineRule="exact"/>
      <w:ind w:left="0" w:firstLine="0" w:firstLineChars="0"/>
      <w:jc w:val="center"/>
    </w:pPr>
    <w:rPr>
      <w:rFonts w:eastAsia="华文中宋"/>
      <w:b/>
      <w:kern w:val="0"/>
      <w:szCs w:val="24"/>
    </w:rPr>
  </w:style>
  <w:style w:type="paragraph" w:customStyle="1" w:styleId="82">
    <w:name w:val="xy-插图"/>
    <w:basedOn w:val="1"/>
    <w:link w:val="83"/>
    <w:qFormat/>
    <w:uiPriority w:val="0"/>
    <w:pPr>
      <w:adjustRightInd/>
      <w:snapToGrid/>
      <w:spacing w:line="240" w:lineRule="auto"/>
      <w:ind w:left="0" w:firstLine="0" w:firstLineChars="0"/>
      <w:jc w:val="center"/>
    </w:pPr>
    <w:rPr>
      <w:sz w:val="21"/>
      <w:szCs w:val="24"/>
    </w:rPr>
  </w:style>
  <w:style w:type="character" w:customStyle="1" w:styleId="83">
    <w:name w:val="xy-插图 Char"/>
    <w:link w:val="82"/>
    <w:qFormat/>
    <w:uiPriority w:val="0"/>
    <w:rPr>
      <w:kern w:val="2"/>
      <w:sz w:val="21"/>
      <w:szCs w:val="24"/>
    </w:rPr>
  </w:style>
  <w:style w:type="character" w:customStyle="1" w:styleId="84">
    <w:name w:val="正文文本缩进 字符"/>
    <w:basedOn w:val="43"/>
    <w:link w:val="18"/>
    <w:semiHidden/>
    <w:qFormat/>
    <w:uiPriority w:val="0"/>
    <w:rPr>
      <w:kern w:val="2"/>
      <w:sz w:val="24"/>
    </w:rPr>
  </w:style>
  <w:style w:type="character" w:customStyle="1" w:styleId="85">
    <w:name w:val="font31"/>
    <w:qFormat/>
    <w:uiPriority w:val="0"/>
    <w:rPr>
      <w:rFonts w:ascii="Calibri" w:hAnsi="Calibri" w:eastAsia="宋体" w:cs="Calibri"/>
      <w:color w:val="000000"/>
      <w:kern w:val="2"/>
      <w:sz w:val="24"/>
      <w:szCs w:val="24"/>
      <w:u w:val="none"/>
      <w:lang w:val="en-US" w:eastAsia="zh-CN" w:bidi="ar-SA"/>
    </w:rPr>
  </w:style>
  <w:style w:type="character" w:customStyle="1" w:styleId="86">
    <w:name w:val="文本正文 Char"/>
    <w:link w:val="87"/>
    <w:qFormat/>
    <w:uiPriority w:val="0"/>
    <w:rPr>
      <w:sz w:val="24"/>
      <w:szCs w:val="28"/>
    </w:rPr>
  </w:style>
  <w:style w:type="paragraph" w:customStyle="1" w:styleId="87">
    <w:name w:val="文本正文"/>
    <w:basedOn w:val="1"/>
    <w:link w:val="86"/>
    <w:qFormat/>
    <w:uiPriority w:val="0"/>
    <w:pPr>
      <w:spacing w:line="360" w:lineRule="auto"/>
      <w:ind w:left="0" w:firstLine="200"/>
    </w:pPr>
    <w:rPr>
      <w:kern w:val="0"/>
      <w:szCs w:val="28"/>
    </w:rPr>
  </w:style>
  <w:style w:type="paragraph" w:customStyle="1" w:styleId="88">
    <w:name w:val="样式 样式 标题 1 + 段前: 1 行 段后: 1 行 + 段前: 1 行 段后: 1 行"/>
    <w:basedOn w:val="1"/>
    <w:qFormat/>
    <w:uiPriority w:val="99"/>
    <w:pPr>
      <w:keepNext/>
      <w:keepLines/>
      <w:pageBreakBefore/>
      <w:numPr>
        <w:ilvl w:val="0"/>
        <w:numId w:val="3"/>
      </w:numPr>
      <w:tabs>
        <w:tab w:val="left" w:pos="0"/>
      </w:tabs>
      <w:spacing w:beforeLines="100" w:afterLines="100" w:line="600" w:lineRule="exact"/>
      <w:ind w:firstLine="0" w:firstLineChars="0"/>
      <w:jc w:val="center"/>
      <w:outlineLvl w:val="0"/>
    </w:pPr>
    <w:rPr>
      <w:b/>
      <w:kern w:val="44"/>
      <w:sz w:val="36"/>
    </w:rPr>
  </w:style>
  <w:style w:type="character" w:customStyle="1" w:styleId="89">
    <w:name w:val="表格正文栏 Char"/>
    <w:link w:val="90"/>
    <w:qFormat/>
    <w:locked/>
    <w:uiPriority w:val="0"/>
    <w:rPr>
      <w:rFonts w:ascii="宋体" w:hAnsi="宋体"/>
      <w:color w:val="000000"/>
      <w:szCs w:val="24"/>
    </w:rPr>
  </w:style>
  <w:style w:type="paragraph" w:customStyle="1" w:styleId="90">
    <w:name w:val="表格正文栏"/>
    <w:basedOn w:val="1"/>
    <w:link w:val="89"/>
    <w:qFormat/>
    <w:uiPriority w:val="0"/>
    <w:pPr>
      <w:widowControl/>
      <w:adjustRightInd/>
      <w:snapToGrid/>
      <w:spacing w:line="240" w:lineRule="auto"/>
      <w:ind w:left="0" w:firstLine="0" w:firstLineChars="0"/>
      <w:jc w:val="center"/>
    </w:pPr>
    <w:rPr>
      <w:rFonts w:ascii="宋体" w:hAnsi="宋体"/>
      <w:color w:val="000000"/>
      <w:kern w:val="0"/>
      <w:sz w:val="20"/>
      <w:szCs w:val="24"/>
    </w:rPr>
  </w:style>
  <w:style w:type="character" w:customStyle="1" w:styleId="91">
    <w:name w:val="表头 Char1"/>
    <w:qFormat/>
    <w:uiPriority w:val="0"/>
    <w:rPr>
      <w:sz w:val="24"/>
    </w:rPr>
  </w:style>
  <w:style w:type="paragraph" w:customStyle="1" w:styleId="92">
    <w:name w:val="表格文字"/>
    <w:basedOn w:val="1"/>
    <w:qFormat/>
    <w:uiPriority w:val="99"/>
    <w:pPr>
      <w:widowControl/>
      <w:adjustRightInd/>
      <w:spacing w:line="240" w:lineRule="auto"/>
      <w:ind w:left="0" w:firstLine="0" w:firstLineChars="0"/>
      <w:jc w:val="center"/>
    </w:pPr>
    <w:rPr>
      <w:rFonts w:cstheme="minorBidi"/>
      <w:bCs/>
      <w:kern w:val="28"/>
      <w:sz w:val="21"/>
      <w:szCs w:val="21"/>
    </w:rPr>
  </w:style>
  <w:style w:type="character" w:customStyle="1" w:styleId="93">
    <w:name w:val="表格正文 字符"/>
    <w:link w:val="94"/>
    <w:qFormat/>
    <w:uiPriority w:val="1"/>
    <w:rPr>
      <w:rFonts w:cs="宋体"/>
    </w:rPr>
  </w:style>
  <w:style w:type="paragraph" w:customStyle="1" w:styleId="94">
    <w:name w:val="表格正文"/>
    <w:basedOn w:val="1"/>
    <w:link w:val="93"/>
    <w:qFormat/>
    <w:uiPriority w:val="1"/>
    <w:pPr>
      <w:widowControl/>
      <w:spacing w:line="240" w:lineRule="auto"/>
      <w:ind w:left="0" w:firstLine="0" w:firstLineChars="0"/>
      <w:jc w:val="center"/>
    </w:pPr>
    <w:rPr>
      <w:rFonts w:cs="宋体"/>
      <w:kern w:val="0"/>
      <w:sz w:val="20"/>
    </w:rPr>
  </w:style>
  <w:style w:type="character" w:customStyle="1" w:styleId="95">
    <w:name w:val="表格标题栏 Char"/>
    <w:link w:val="96"/>
    <w:qFormat/>
    <w:uiPriority w:val="0"/>
    <w:rPr>
      <w:b/>
      <w:sz w:val="24"/>
    </w:rPr>
  </w:style>
  <w:style w:type="paragraph" w:customStyle="1" w:styleId="96">
    <w:name w:val="表格标题栏"/>
    <w:basedOn w:val="1"/>
    <w:link w:val="95"/>
    <w:qFormat/>
    <w:uiPriority w:val="0"/>
    <w:pPr>
      <w:spacing w:beforeLines="60" w:afterLines="10" w:line="240" w:lineRule="auto"/>
      <w:ind w:left="0" w:firstLine="0" w:firstLineChars="0"/>
      <w:jc w:val="center"/>
    </w:pPr>
    <w:rPr>
      <w:b/>
      <w:kern w:val="0"/>
    </w:rPr>
  </w:style>
  <w:style w:type="paragraph" w:customStyle="1" w:styleId="97">
    <w:name w:val="xy"/>
    <w:basedOn w:val="1"/>
    <w:link w:val="98"/>
    <w:qFormat/>
    <w:uiPriority w:val="0"/>
    <w:pPr>
      <w:widowControl/>
      <w:adjustRightInd/>
      <w:snapToGrid/>
      <w:spacing w:after="200"/>
      <w:ind w:left="0" w:firstLine="200"/>
    </w:pPr>
    <w:rPr>
      <w:rFonts w:ascii="Calibri" w:hAnsi="Calibri"/>
      <w:kern w:val="0"/>
      <w:sz w:val="28"/>
      <w:szCs w:val="28"/>
    </w:rPr>
  </w:style>
  <w:style w:type="character" w:customStyle="1" w:styleId="98">
    <w:name w:val="xy Char"/>
    <w:link w:val="97"/>
    <w:qFormat/>
    <w:uiPriority w:val="0"/>
    <w:rPr>
      <w:rFonts w:ascii="Calibri" w:hAnsi="Calibri"/>
      <w:sz w:val="28"/>
      <w:szCs w:val="28"/>
    </w:rPr>
  </w:style>
  <w:style w:type="paragraph" w:customStyle="1" w:styleId="99">
    <w:name w:val="正文2014"/>
    <w:basedOn w:val="1"/>
    <w:qFormat/>
    <w:uiPriority w:val="0"/>
    <w:pPr>
      <w:adjustRightInd/>
      <w:snapToGrid/>
      <w:ind w:left="0" w:firstLine="200"/>
      <w:jc w:val="both"/>
    </w:pPr>
    <w:rPr>
      <w:rFonts w:ascii="Calibri" w:hAnsi="Calibri"/>
      <w:szCs w:val="24"/>
    </w:rPr>
  </w:style>
  <w:style w:type="character" w:customStyle="1" w:styleId="100">
    <w:name w:val="正文文本 字符"/>
    <w:basedOn w:val="43"/>
    <w:link w:val="17"/>
    <w:qFormat/>
    <w:uiPriority w:val="0"/>
    <w:rPr>
      <w:kern w:val="2"/>
      <w:sz w:val="24"/>
    </w:rPr>
  </w:style>
  <w:style w:type="paragraph" w:customStyle="1" w:styleId="101">
    <w:name w:val="正文 四号"/>
    <w:basedOn w:val="1"/>
    <w:qFormat/>
    <w:uiPriority w:val="0"/>
    <w:pPr>
      <w:ind w:firstLine="560"/>
    </w:pPr>
    <w:rPr>
      <w:rFonts w:cs="宋体"/>
      <w:szCs w:val="28"/>
    </w:rPr>
  </w:style>
  <w:style w:type="paragraph" w:customStyle="1" w:styleId="102">
    <w:name w:val="表格标题"/>
    <w:basedOn w:val="1"/>
    <w:link w:val="103"/>
    <w:qFormat/>
    <w:uiPriority w:val="0"/>
    <w:pPr>
      <w:spacing w:beforeLines="60" w:afterLines="10" w:line="240" w:lineRule="auto"/>
      <w:ind w:firstLine="0" w:firstLineChars="0"/>
      <w:jc w:val="center"/>
    </w:pPr>
    <w:rPr>
      <w:b/>
      <w:bCs/>
      <w:szCs w:val="22"/>
    </w:rPr>
  </w:style>
  <w:style w:type="character" w:customStyle="1" w:styleId="103">
    <w:name w:val="表格标题 字符"/>
    <w:link w:val="102"/>
    <w:qFormat/>
    <w:uiPriority w:val="0"/>
    <w:rPr>
      <w:b/>
      <w:bCs/>
      <w:kern w:val="2"/>
      <w:sz w:val="24"/>
      <w:szCs w:val="22"/>
    </w:rPr>
  </w:style>
  <w:style w:type="paragraph" w:customStyle="1" w:styleId="104">
    <w:name w:val="插图"/>
    <w:basedOn w:val="1"/>
    <w:qFormat/>
    <w:uiPriority w:val="0"/>
    <w:pPr>
      <w:jc w:val="center"/>
    </w:pPr>
    <w:rPr>
      <w:rFonts w:ascii="Calibri" w:hAnsi="Calibri"/>
      <w:szCs w:val="28"/>
    </w:rPr>
  </w:style>
  <w:style w:type="paragraph" w:customStyle="1" w:styleId="105">
    <w:name w:val="图纸标题"/>
    <w:basedOn w:val="1"/>
    <w:qFormat/>
    <w:uiPriority w:val="0"/>
    <w:pPr>
      <w:ind w:firstLine="0" w:firstLineChars="0"/>
      <w:jc w:val="center"/>
    </w:pPr>
  </w:style>
  <w:style w:type="character" w:customStyle="1" w:styleId="106">
    <w:name w:val="批注文字 字符"/>
    <w:basedOn w:val="43"/>
    <w:link w:val="16"/>
    <w:qFormat/>
    <w:uiPriority w:val="99"/>
    <w:rPr>
      <w:kern w:val="2"/>
      <w:sz w:val="24"/>
    </w:rPr>
  </w:style>
  <w:style w:type="character" w:customStyle="1" w:styleId="107">
    <w:name w:val="批注主题 字符"/>
    <w:basedOn w:val="106"/>
    <w:link w:val="39"/>
    <w:qFormat/>
    <w:uiPriority w:val="99"/>
    <w:rPr>
      <w:b/>
      <w:bCs/>
      <w:kern w:val="2"/>
      <w:sz w:val="24"/>
    </w:rPr>
  </w:style>
  <w:style w:type="paragraph" w:styleId="108">
    <w:name w:val="No Spacing"/>
    <w:basedOn w:val="17"/>
    <w:link w:val="183"/>
    <w:qFormat/>
    <w:uiPriority w:val="1"/>
    <w:pPr>
      <w:adjustRightInd/>
      <w:snapToGrid/>
      <w:spacing w:after="0" w:line="408" w:lineRule="auto"/>
      <w:ind w:left="0" w:firstLine="200"/>
      <w:jc w:val="both"/>
    </w:pPr>
    <w:rPr>
      <w:szCs w:val="24"/>
    </w:rPr>
  </w:style>
  <w:style w:type="paragraph" w:customStyle="1" w:styleId="109">
    <w:name w:val="标题5"/>
    <w:basedOn w:val="7"/>
    <w:next w:val="1"/>
    <w:qFormat/>
    <w:uiPriority w:val="0"/>
    <w:pPr>
      <w:keepNext w:val="0"/>
      <w:keepLines w:val="0"/>
      <w:autoSpaceDE w:val="0"/>
      <w:autoSpaceDN w:val="0"/>
      <w:adjustRightInd/>
      <w:snapToGrid/>
      <w:spacing w:before="0" w:after="0" w:line="360" w:lineRule="auto"/>
      <w:ind w:left="758"/>
    </w:pPr>
    <w:rPr>
      <w:rFonts w:cs="宋体"/>
      <w:bCs/>
      <w:kern w:val="0"/>
      <w:sz w:val="24"/>
      <w:szCs w:val="31"/>
      <w:lang w:val="zh-CN" w:bidi="zh-CN"/>
    </w:rPr>
  </w:style>
  <w:style w:type="paragraph" w:customStyle="1" w:styleId="110">
    <w:name w:val="Table Paragraph"/>
    <w:basedOn w:val="1"/>
    <w:qFormat/>
    <w:uiPriority w:val="1"/>
    <w:pPr>
      <w:autoSpaceDE w:val="0"/>
      <w:autoSpaceDN w:val="0"/>
      <w:adjustRightInd/>
      <w:snapToGrid/>
      <w:spacing w:line="240" w:lineRule="auto"/>
      <w:ind w:left="0" w:firstLine="0" w:firstLineChars="0"/>
    </w:pPr>
    <w:rPr>
      <w:rFonts w:eastAsia="Times New Roman"/>
      <w:kern w:val="0"/>
      <w:szCs w:val="22"/>
      <w:lang w:val="zh-CN" w:bidi="zh-CN"/>
    </w:rPr>
  </w:style>
  <w:style w:type="paragraph" w:customStyle="1" w:styleId="111">
    <w:name w:val="正"/>
    <w:basedOn w:val="17"/>
    <w:qFormat/>
    <w:uiPriority w:val="0"/>
    <w:pPr>
      <w:autoSpaceDE w:val="0"/>
      <w:autoSpaceDN w:val="0"/>
      <w:adjustRightInd/>
      <w:snapToGrid/>
      <w:spacing w:after="0" w:line="360" w:lineRule="auto"/>
      <w:ind w:left="0" w:firstLine="640"/>
      <w:jc w:val="both"/>
    </w:pPr>
    <w:rPr>
      <w:rFonts w:cs="宋体"/>
      <w:kern w:val="0"/>
      <w:szCs w:val="24"/>
      <w:lang w:val="zh-CN" w:bidi="zh-CN"/>
    </w:rPr>
  </w:style>
  <w:style w:type="character" w:customStyle="1" w:styleId="112">
    <w:name w:val="font41"/>
    <w:basedOn w:val="43"/>
    <w:qFormat/>
    <w:uiPriority w:val="0"/>
    <w:rPr>
      <w:rFonts w:hint="eastAsia" w:ascii="宋体" w:hAnsi="宋体" w:eastAsia="宋体" w:cs="宋体"/>
      <w:color w:val="000000"/>
      <w:sz w:val="21"/>
      <w:szCs w:val="21"/>
      <w:u w:val="none"/>
    </w:rPr>
  </w:style>
  <w:style w:type="character" w:customStyle="1" w:styleId="113">
    <w:name w:val="font21"/>
    <w:basedOn w:val="43"/>
    <w:qFormat/>
    <w:uiPriority w:val="0"/>
    <w:rPr>
      <w:rFonts w:hint="default" w:ascii="Times New Roman" w:hAnsi="Times New Roman" w:cs="Times New Roman"/>
      <w:color w:val="000000"/>
      <w:sz w:val="21"/>
      <w:szCs w:val="21"/>
      <w:u w:val="none"/>
    </w:rPr>
  </w:style>
  <w:style w:type="character" w:customStyle="1" w:styleId="114">
    <w:name w:val="font01"/>
    <w:basedOn w:val="43"/>
    <w:qFormat/>
    <w:uiPriority w:val="0"/>
    <w:rPr>
      <w:rFonts w:hint="eastAsia" w:ascii="仿宋_GB2312" w:eastAsia="仿宋_GB2312" w:cs="仿宋_GB2312"/>
      <w:color w:val="000000"/>
      <w:sz w:val="21"/>
      <w:szCs w:val="21"/>
      <w:u w:val="none"/>
      <w:vertAlign w:val="superscript"/>
    </w:rPr>
  </w:style>
  <w:style w:type="character" w:customStyle="1" w:styleId="115">
    <w:name w:val="font11"/>
    <w:basedOn w:val="43"/>
    <w:qFormat/>
    <w:uiPriority w:val="0"/>
    <w:rPr>
      <w:rFonts w:hint="eastAsia" w:ascii="仿宋_GB2312" w:eastAsia="仿宋_GB2312" w:cs="仿宋_GB2312"/>
      <w:color w:val="000000"/>
      <w:sz w:val="21"/>
      <w:szCs w:val="21"/>
      <w:u w:val="none"/>
    </w:rPr>
  </w:style>
  <w:style w:type="character" w:customStyle="1" w:styleId="116">
    <w:name w:val="font51"/>
    <w:basedOn w:val="43"/>
    <w:qFormat/>
    <w:uiPriority w:val="0"/>
    <w:rPr>
      <w:rFonts w:hint="eastAsia" w:ascii="宋体" w:hAnsi="宋体" w:eastAsia="宋体" w:cs="宋体"/>
      <w:color w:val="000000"/>
      <w:sz w:val="22"/>
      <w:szCs w:val="22"/>
      <w:u w:val="none"/>
    </w:rPr>
  </w:style>
  <w:style w:type="character" w:customStyle="1" w:styleId="117">
    <w:name w:val="font71"/>
    <w:basedOn w:val="43"/>
    <w:qFormat/>
    <w:uiPriority w:val="0"/>
    <w:rPr>
      <w:rFonts w:hint="eastAsia" w:ascii="仿宋_GB2312" w:eastAsia="仿宋_GB2312" w:cs="仿宋_GB2312"/>
      <w:color w:val="000000"/>
      <w:sz w:val="21"/>
      <w:szCs w:val="21"/>
      <w:u w:val="none"/>
      <w:vertAlign w:val="superscript"/>
    </w:rPr>
  </w:style>
  <w:style w:type="character" w:customStyle="1" w:styleId="118">
    <w:name w:val="font101"/>
    <w:basedOn w:val="43"/>
    <w:qFormat/>
    <w:uiPriority w:val="0"/>
    <w:rPr>
      <w:rFonts w:hint="default" w:ascii="Times New Roman" w:hAnsi="Times New Roman" w:cs="Times New Roman"/>
      <w:color w:val="000000"/>
      <w:sz w:val="21"/>
      <w:szCs w:val="21"/>
      <w:u w:val="none"/>
    </w:rPr>
  </w:style>
  <w:style w:type="character" w:customStyle="1" w:styleId="119">
    <w:name w:val="font61"/>
    <w:basedOn w:val="43"/>
    <w:qFormat/>
    <w:uiPriority w:val="0"/>
    <w:rPr>
      <w:rFonts w:hint="eastAsia" w:ascii="宋体" w:hAnsi="宋体" w:eastAsia="宋体" w:cs="宋体"/>
      <w:color w:val="000000"/>
      <w:sz w:val="21"/>
      <w:szCs w:val="21"/>
      <w:u w:val="none"/>
      <w:vertAlign w:val="superscript"/>
    </w:rPr>
  </w:style>
  <w:style w:type="paragraph" w:customStyle="1" w:styleId="120">
    <w:name w:val="图"/>
    <w:basedOn w:val="1"/>
    <w:qFormat/>
    <w:uiPriority w:val="1"/>
    <w:pPr>
      <w:widowControl/>
      <w:autoSpaceDE w:val="0"/>
      <w:autoSpaceDN w:val="0"/>
      <w:adjustRightInd/>
      <w:snapToGrid/>
      <w:spacing w:line="240" w:lineRule="auto"/>
      <w:ind w:left="0" w:firstLine="0" w:firstLineChars="0"/>
      <w:jc w:val="center"/>
    </w:pPr>
    <w:rPr>
      <w:rFonts w:ascii="宋体" w:hAnsi="宋体" w:cs="宋体"/>
      <w:kern w:val="0"/>
      <w:szCs w:val="22"/>
      <w:lang w:val="zh-CN" w:bidi="zh-CN"/>
    </w:rPr>
  </w:style>
  <w:style w:type="character" w:customStyle="1" w:styleId="121">
    <w:name w:val="font81"/>
    <w:basedOn w:val="43"/>
    <w:qFormat/>
    <w:uiPriority w:val="0"/>
    <w:rPr>
      <w:rFonts w:hint="default" w:ascii="Times New Roman" w:hAnsi="Times New Roman" w:cs="Times New Roman"/>
      <w:color w:val="000000"/>
      <w:sz w:val="21"/>
      <w:szCs w:val="21"/>
      <w:u w:val="none"/>
      <w:vertAlign w:val="superscript"/>
    </w:rPr>
  </w:style>
  <w:style w:type="character" w:customStyle="1" w:styleId="122">
    <w:name w:val="font91"/>
    <w:basedOn w:val="43"/>
    <w:qFormat/>
    <w:uiPriority w:val="0"/>
    <w:rPr>
      <w:rFonts w:hint="default" w:ascii="Times New Roman" w:hAnsi="Times New Roman" w:cs="Times New Roman"/>
      <w:color w:val="000000"/>
      <w:sz w:val="21"/>
      <w:szCs w:val="21"/>
      <w:u w:val="none"/>
      <w:vertAlign w:val="superscript"/>
    </w:rPr>
  </w:style>
  <w:style w:type="character" w:customStyle="1" w:styleId="123">
    <w:name w:val="文档结构图 字符"/>
    <w:basedOn w:val="43"/>
    <w:link w:val="15"/>
    <w:semiHidden/>
    <w:qFormat/>
    <w:uiPriority w:val="0"/>
    <w:rPr>
      <w:rFonts w:eastAsia="仿宋_GB2312"/>
      <w:kern w:val="2"/>
      <w:sz w:val="28"/>
      <w:szCs w:val="22"/>
      <w:shd w:val="clear" w:color="auto" w:fill="000080"/>
    </w:rPr>
  </w:style>
  <w:style w:type="character" w:customStyle="1" w:styleId="124">
    <w:name w:val="纯文本 字符"/>
    <w:basedOn w:val="43"/>
    <w:semiHidden/>
    <w:qFormat/>
    <w:uiPriority w:val="0"/>
    <w:rPr>
      <w:rFonts w:hAnsi="Courier New" w:cs="Courier New" w:asciiTheme="minorEastAsia" w:eastAsiaTheme="minorEastAsia"/>
      <w:kern w:val="2"/>
      <w:sz w:val="24"/>
    </w:rPr>
  </w:style>
  <w:style w:type="character" w:customStyle="1" w:styleId="125">
    <w:name w:val="日期 字符"/>
    <w:basedOn w:val="43"/>
    <w:semiHidden/>
    <w:qFormat/>
    <w:uiPriority w:val="99"/>
    <w:rPr>
      <w:kern w:val="2"/>
      <w:sz w:val="24"/>
    </w:rPr>
  </w:style>
  <w:style w:type="character" w:customStyle="1" w:styleId="126">
    <w:name w:val="未处理的提及21"/>
    <w:basedOn w:val="43"/>
    <w:semiHidden/>
    <w:unhideWhenUsed/>
    <w:qFormat/>
    <w:uiPriority w:val="99"/>
    <w:rPr>
      <w:color w:val="605E5C"/>
      <w:shd w:val="clear" w:color="auto" w:fill="E1DFDD"/>
    </w:rPr>
  </w:style>
  <w:style w:type="character" w:customStyle="1" w:styleId="127">
    <w:name w:val="页脚 Char"/>
    <w:qFormat/>
    <w:uiPriority w:val="99"/>
    <w:rPr>
      <w:sz w:val="18"/>
      <w:szCs w:val="18"/>
    </w:rPr>
  </w:style>
  <w:style w:type="character" w:customStyle="1" w:styleId="128">
    <w:name w:val="日期 字符1"/>
    <w:basedOn w:val="43"/>
    <w:link w:val="23"/>
    <w:qFormat/>
    <w:uiPriority w:val="99"/>
  </w:style>
  <w:style w:type="character" w:customStyle="1" w:styleId="129">
    <w:name w:val="纯文本 字符1"/>
    <w:link w:val="21"/>
    <w:qFormat/>
    <w:uiPriority w:val="0"/>
    <w:rPr>
      <w:rFonts w:ascii="宋体" w:hAnsi="Courier New"/>
      <w:kern w:val="2"/>
      <w:sz w:val="21"/>
    </w:rPr>
  </w:style>
  <w:style w:type="character" w:customStyle="1" w:styleId="130">
    <w:name w:val="批注文字 Char"/>
    <w:qFormat/>
    <w:uiPriority w:val="99"/>
    <w:rPr>
      <w:rFonts w:ascii="Times New Roman" w:hAnsi="Times New Roman"/>
      <w:kern w:val="2"/>
      <w:sz w:val="24"/>
      <w:szCs w:val="22"/>
    </w:rPr>
  </w:style>
  <w:style w:type="character" w:customStyle="1" w:styleId="131">
    <w:name w:val="图题 Char"/>
    <w:link w:val="132"/>
    <w:qFormat/>
    <w:uiPriority w:val="0"/>
    <w:rPr>
      <w:rFonts w:eastAsia="仿宋_GB2312"/>
      <w:b/>
      <w:kern w:val="2"/>
      <w:sz w:val="24"/>
      <w:szCs w:val="22"/>
    </w:rPr>
  </w:style>
  <w:style w:type="paragraph" w:customStyle="1" w:styleId="132">
    <w:name w:val="图题"/>
    <w:basedOn w:val="1"/>
    <w:link w:val="131"/>
    <w:qFormat/>
    <w:uiPriority w:val="0"/>
    <w:pPr>
      <w:spacing w:line="360" w:lineRule="auto"/>
      <w:ind w:left="0" w:firstLine="0" w:firstLineChars="0"/>
      <w:jc w:val="center"/>
    </w:pPr>
    <w:rPr>
      <w:rFonts w:eastAsia="仿宋_GB2312"/>
      <w:b/>
      <w:szCs w:val="22"/>
    </w:rPr>
  </w:style>
  <w:style w:type="character" w:customStyle="1" w:styleId="133">
    <w:name w:val="正文仿宋 Char"/>
    <w:link w:val="134"/>
    <w:qFormat/>
    <w:uiPriority w:val="0"/>
    <w:rPr>
      <w:rFonts w:eastAsia="仿宋_GB2312"/>
      <w:kern w:val="2"/>
      <w:sz w:val="28"/>
      <w:szCs w:val="22"/>
    </w:rPr>
  </w:style>
  <w:style w:type="paragraph" w:customStyle="1" w:styleId="134">
    <w:name w:val="正文仿宋"/>
    <w:basedOn w:val="1"/>
    <w:link w:val="133"/>
    <w:qFormat/>
    <w:uiPriority w:val="0"/>
    <w:pPr>
      <w:spacing w:line="360" w:lineRule="auto"/>
      <w:ind w:left="0" w:firstLine="560"/>
      <w:jc w:val="both"/>
    </w:pPr>
    <w:rPr>
      <w:rFonts w:eastAsia="仿宋_GB2312"/>
      <w:sz w:val="28"/>
      <w:szCs w:val="22"/>
    </w:rPr>
  </w:style>
  <w:style w:type="character" w:customStyle="1" w:styleId="135">
    <w:name w:val="正文文本 2 Char"/>
    <w:qFormat/>
    <w:uiPriority w:val="0"/>
    <w:rPr>
      <w:rFonts w:ascii="Times New Roman" w:hAnsi="Times New Roman"/>
      <w:kern w:val="2"/>
      <w:sz w:val="21"/>
    </w:rPr>
  </w:style>
  <w:style w:type="character" w:customStyle="1" w:styleId="136">
    <w:name w:val="大表 Char"/>
    <w:link w:val="137"/>
    <w:qFormat/>
    <w:uiPriority w:val="0"/>
    <w:rPr>
      <w:rFonts w:hAnsi="宋体"/>
      <w:bCs/>
      <w:kern w:val="28"/>
      <w:sz w:val="24"/>
      <w:szCs w:val="24"/>
    </w:rPr>
  </w:style>
  <w:style w:type="paragraph" w:customStyle="1" w:styleId="137">
    <w:name w:val="大表"/>
    <w:link w:val="136"/>
    <w:qFormat/>
    <w:uiPriority w:val="0"/>
    <w:pPr>
      <w:snapToGrid w:val="0"/>
      <w:spacing w:line="240" w:lineRule="atLeast"/>
      <w:jc w:val="center"/>
    </w:pPr>
    <w:rPr>
      <w:rFonts w:ascii="Times New Roman" w:hAnsi="宋体" w:eastAsia="宋体" w:cs="Times New Roman"/>
      <w:bCs/>
      <w:kern w:val="28"/>
      <w:sz w:val="24"/>
      <w:szCs w:val="24"/>
      <w:lang w:val="en-US" w:eastAsia="zh-CN" w:bidi="ar-SA"/>
    </w:rPr>
  </w:style>
  <w:style w:type="character" w:customStyle="1" w:styleId="138">
    <w:name w:val="页眉 Char"/>
    <w:qFormat/>
    <w:uiPriority w:val="99"/>
    <w:rPr>
      <w:sz w:val="18"/>
      <w:szCs w:val="18"/>
    </w:rPr>
  </w:style>
  <w:style w:type="character" w:customStyle="1" w:styleId="139">
    <w:name w:val="批注主题 字符1"/>
    <w:qFormat/>
    <w:uiPriority w:val="99"/>
    <w:rPr>
      <w:b/>
      <w:bCs/>
      <w:kern w:val="2"/>
      <w:sz w:val="24"/>
      <w:szCs w:val="22"/>
    </w:rPr>
  </w:style>
  <w:style w:type="paragraph" w:customStyle="1" w:styleId="140">
    <w:name w:val="_Style 65"/>
    <w:basedOn w:val="1"/>
    <w:next w:val="1"/>
    <w:unhideWhenUsed/>
    <w:qFormat/>
    <w:uiPriority w:val="39"/>
    <w:pPr>
      <w:spacing w:line="360" w:lineRule="auto"/>
      <w:ind w:left="960" w:firstLine="200"/>
    </w:pPr>
    <w:rPr>
      <w:rFonts w:ascii="Calibri" w:hAnsi="Calibri" w:eastAsia="仿宋_GB2312"/>
      <w:sz w:val="18"/>
      <w:szCs w:val="18"/>
    </w:rPr>
  </w:style>
  <w:style w:type="paragraph" w:styleId="141">
    <w:name w:val="List Paragraph"/>
    <w:basedOn w:val="1"/>
    <w:qFormat/>
    <w:uiPriority w:val="34"/>
    <w:pPr>
      <w:ind w:firstLine="420"/>
    </w:pPr>
  </w:style>
  <w:style w:type="paragraph" w:customStyle="1" w:styleId="142">
    <w:name w:val="msonormal"/>
    <w:basedOn w:val="1"/>
    <w:qFormat/>
    <w:uiPriority w:val="0"/>
    <w:pPr>
      <w:widowControl/>
      <w:adjustRightInd/>
      <w:snapToGrid/>
      <w:spacing w:before="100" w:beforeAutospacing="1" w:after="100" w:afterAutospacing="1" w:line="240" w:lineRule="auto"/>
      <w:ind w:left="0" w:firstLine="0" w:firstLineChars="0"/>
    </w:pPr>
    <w:rPr>
      <w:rFonts w:ascii="宋体" w:hAnsi="宋体" w:cs="宋体"/>
      <w:kern w:val="0"/>
      <w:szCs w:val="24"/>
    </w:rPr>
  </w:style>
  <w:style w:type="paragraph" w:customStyle="1" w:styleId="143">
    <w:name w:val="font5"/>
    <w:basedOn w:val="1"/>
    <w:qFormat/>
    <w:uiPriority w:val="0"/>
    <w:pPr>
      <w:widowControl/>
      <w:adjustRightInd/>
      <w:snapToGrid/>
      <w:spacing w:before="100" w:beforeAutospacing="1" w:after="100" w:afterAutospacing="1" w:line="240" w:lineRule="auto"/>
      <w:ind w:left="0" w:firstLine="0" w:firstLineChars="0"/>
    </w:pPr>
    <w:rPr>
      <w:rFonts w:ascii="宋体" w:hAnsi="宋体" w:cs="宋体"/>
      <w:kern w:val="0"/>
      <w:sz w:val="18"/>
      <w:szCs w:val="18"/>
    </w:rPr>
  </w:style>
  <w:style w:type="paragraph" w:customStyle="1" w:styleId="144">
    <w:name w:val="font6"/>
    <w:basedOn w:val="1"/>
    <w:qFormat/>
    <w:uiPriority w:val="0"/>
    <w:pPr>
      <w:widowControl/>
      <w:adjustRightInd/>
      <w:snapToGrid/>
      <w:spacing w:before="100" w:beforeAutospacing="1" w:after="100" w:afterAutospacing="1" w:line="240" w:lineRule="auto"/>
      <w:ind w:left="0" w:firstLine="0" w:firstLineChars="0"/>
    </w:pPr>
    <w:rPr>
      <w:rFonts w:ascii="宋体" w:hAnsi="宋体" w:cs="宋体"/>
      <w:kern w:val="0"/>
      <w:sz w:val="21"/>
      <w:szCs w:val="21"/>
    </w:rPr>
  </w:style>
  <w:style w:type="paragraph" w:customStyle="1" w:styleId="145">
    <w:name w:val="font7"/>
    <w:basedOn w:val="1"/>
    <w:qFormat/>
    <w:uiPriority w:val="0"/>
    <w:pPr>
      <w:widowControl/>
      <w:adjustRightInd/>
      <w:snapToGrid/>
      <w:spacing w:before="100" w:beforeAutospacing="1" w:after="100" w:afterAutospacing="1" w:line="240" w:lineRule="auto"/>
      <w:ind w:left="0" w:firstLine="0" w:firstLineChars="0"/>
    </w:pPr>
    <w:rPr>
      <w:kern w:val="0"/>
      <w:sz w:val="21"/>
      <w:szCs w:val="21"/>
    </w:rPr>
  </w:style>
  <w:style w:type="paragraph" w:customStyle="1" w:styleId="146">
    <w:name w:val="font8"/>
    <w:basedOn w:val="1"/>
    <w:qFormat/>
    <w:uiPriority w:val="0"/>
    <w:pPr>
      <w:widowControl/>
      <w:adjustRightInd/>
      <w:snapToGrid/>
      <w:spacing w:before="100" w:beforeAutospacing="1" w:after="100" w:afterAutospacing="1" w:line="240" w:lineRule="auto"/>
      <w:ind w:left="0" w:firstLine="0" w:firstLineChars="0"/>
    </w:pPr>
    <w:rPr>
      <w:rFonts w:ascii="Calibri" w:hAnsi="Calibri" w:cs="Calibri"/>
      <w:kern w:val="0"/>
      <w:sz w:val="21"/>
      <w:szCs w:val="21"/>
    </w:rPr>
  </w:style>
  <w:style w:type="paragraph" w:customStyle="1" w:styleId="147">
    <w:name w:val="xl63"/>
    <w:basedOn w:val="1"/>
    <w:qFormat/>
    <w:uiPriority w:val="0"/>
    <w:pPr>
      <w:widowControl/>
      <w:adjustRightInd/>
      <w:snapToGrid/>
      <w:spacing w:before="100" w:beforeAutospacing="1" w:after="100" w:afterAutospacing="1" w:line="240" w:lineRule="auto"/>
      <w:ind w:left="0" w:firstLine="0" w:firstLineChars="0"/>
    </w:pPr>
    <w:rPr>
      <w:rFonts w:ascii="宋体" w:hAnsi="宋体" w:cs="宋体"/>
      <w:kern w:val="0"/>
      <w:szCs w:val="24"/>
    </w:rPr>
  </w:style>
  <w:style w:type="paragraph" w:customStyle="1" w:styleId="148">
    <w:name w:val="xl64"/>
    <w:basedOn w:val="1"/>
    <w:qFormat/>
    <w:uiPriority w:val="0"/>
    <w:pPr>
      <w:widowControl/>
      <w:pBdr>
        <w:bottom w:val="single" w:color="auto" w:sz="8" w:space="0"/>
        <w:right w:val="single" w:color="auto" w:sz="8" w:space="0"/>
      </w:pBdr>
      <w:adjustRightInd/>
      <w:snapToGrid/>
      <w:spacing w:before="100" w:beforeAutospacing="1" w:after="100" w:afterAutospacing="1" w:line="240" w:lineRule="auto"/>
      <w:ind w:left="0" w:firstLine="0" w:firstLineChars="0"/>
      <w:jc w:val="center"/>
    </w:pPr>
    <w:rPr>
      <w:rFonts w:ascii="宋体" w:hAnsi="宋体" w:cs="宋体"/>
      <w:kern w:val="0"/>
      <w:sz w:val="21"/>
      <w:szCs w:val="21"/>
    </w:rPr>
  </w:style>
  <w:style w:type="paragraph" w:customStyle="1" w:styleId="149">
    <w:name w:val="xl65"/>
    <w:basedOn w:val="1"/>
    <w:qFormat/>
    <w:uiPriority w:val="0"/>
    <w:pPr>
      <w:widowControl/>
      <w:pBdr>
        <w:left w:val="single" w:color="auto" w:sz="8" w:space="0"/>
        <w:bottom w:val="single" w:color="auto" w:sz="8" w:space="0"/>
        <w:right w:val="single" w:color="auto" w:sz="8" w:space="0"/>
      </w:pBdr>
      <w:adjustRightInd/>
      <w:snapToGrid/>
      <w:spacing w:before="100" w:beforeAutospacing="1" w:after="100" w:afterAutospacing="1" w:line="240" w:lineRule="auto"/>
      <w:ind w:left="0" w:firstLine="0" w:firstLineChars="0"/>
      <w:jc w:val="center"/>
    </w:pPr>
    <w:rPr>
      <w:rFonts w:ascii="宋体" w:hAnsi="宋体" w:cs="宋体"/>
      <w:b/>
      <w:bCs/>
      <w:kern w:val="0"/>
      <w:sz w:val="21"/>
      <w:szCs w:val="21"/>
    </w:rPr>
  </w:style>
  <w:style w:type="paragraph" w:customStyle="1" w:styleId="150">
    <w:name w:val="xl66"/>
    <w:basedOn w:val="1"/>
    <w:qFormat/>
    <w:uiPriority w:val="0"/>
    <w:pPr>
      <w:widowControl/>
      <w:pBdr>
        <w:bottom w:val="single" w:color="auto" w:sz="8" w:space="0"/>
        <w:right w:val="single" w:color="auto" w:sz="8" w:space="0"/>
      </w:pBdr>
      <w:adjustRightInd/>
      <w:snapToGrid/>
      <w:spacing w:before="100" w:beforeAutospacing="1" w:after="100" w:afterAutospacing="1" w:line="240" w:lineRule="auto"/>
      <w:ind w:left="0" w:firstLine="0" w:firstLineChars="0"/>
      <w:jc w:val="center"/>
    </w:pPr>
    <w:rPr>
      <w:rFonts w:ascii="宋体" w:hAnsi="宋体" w:cs="宋体"/>
      <w:b/>
      <w:bCs/>
      <w:kern w:val="0"/>
      <w:sz w:val="21"/>
      <w:szCs w:val="21"/>
    </w:rPr>
  </w:style>
  <w:style w:type="paragraph" w:customStyle="1" w:styleId="151">
    <w:name w:val="xl67"/>
    <w:basedOn w:val="1"/>
    <w:qFormat/>
    <w:uiPriority w:val="0"/>
    <w:pPr>
      <w:widowControl/>
      <w:adjustRightInd/>
      <w:snapToGrid/>
      <w:spacing w:before="100" w:beforeAutospacing="1" w:after="100" w:afterAutospacing="1" w:line="240" w:lineRule="auto"/>
      <w:ind w:left="0" w:firstLine="0" w:firstLineChars="0"/>
    </w:pPr>
    <w:rPr>
      <w:rFonts w:ascii="宋体" w:hAnsi="宋体" w:cs="宋体"/>
      <w:b/>
      <w:bCs/>
      <w:kern w:val="0"/>
      <w:szCs w:val="24"/>
    </w:rPr>
  </w:style>
  <w:style w:type="paragraph" w:customStyle="1" w:styleId="152">
    <w:name w:val="xl68"/>
    <w:basedOn w:val="1"/>
    <w:qFormat/>
    <w:uiPriority w:val="0"/>
    <w:pPr>
      <w:widowControl/>
      <w:pBdr>
        <w:left w:val="single" w:color="auto" w:sz="8" w:space="0"/>
        <w:bottom w:val="single" w:color="auto" w:sz="8" w:space="0"/>
        <w:right w:val="single" w:color="auto" w:sz="8" w:space="0"/>
      </w:pBdr>
      <w:adjustRightInd/>
      <w:snapToGrid/>
      <w:spacing w:before="100" w:beforeAutospacing="1" w:after="100" w:afterAutospacing="1" w:line="240" w:lineRule="auto"/>
      <w:ind w:left="0" w:firstLine="0" w:firstLineChars="0"/>
      <w:jc w:val="center"/>
    </w:pPr>
    <w:rPr>
      <w:b/>
      <w:bCs/>
      <w:kern w:val="0"/>
      <w:sz w:val="21"/>
      <w:szCs w:val="21"/>
    </w:rPr>
  </w:style>
  <w:style w:type="paragraph" w:customStyle="1" w:styleId="153">
    <w:name w:val="xl69"/>
    <w:basedOn w:val="1"/>
    <w:qFormat/>
    <w:uiPriority w:val="0"/>
    <w:pPr>
      <w:widowControl/>
      <w:pBdr>
        <w:left w:val="single" w:color="auto" w:sz="8" w:space="0"/>
        <w:bottom w:val="single" w:color="auto" w:sz="8" w:space="0"/>
        <w:right w:val="single" w:color="auto" w:sz="8" w:space="0"/>
      </w:pBdr>
      <w:adjustRightInd/>
      <w:snapToGrid/>
      <w:spacing w:before="100" w:beforeAutospacing="1" w:after="100" w:afterAutospacing="1" w:line="240" w:lineRule="auto"/>
      <w:ind w:left="0" w:firstLine="0" w:firstLineChars="0"/>
      <w:jc w:val="center"/>
    </w:pPr>
    <w:rPr>
      <w:kern w:val="0"/>
      <w:sz w:val="21"/>
      <w:szCs w:val="21"/>
    </w:rPr>
  </w:style>
  <w:style w:type="paragraph" w:customStyle="1" w:styleId="154">
    <w:name w:val="xl70"/>
    <w:basedOn w:val="1"/>
    <w:qFormat/>
    <w:uiPriority w:val="0"/>
    <w:pPr>
      <w:widowControl/>
      <w:pBdr>
        <w:bottom w:val="single" w:color="auto" w:sz="8" w:space="0"/>
        <w:right w:val="single" w:color="auto" w:sz="8" w:space="0"/>
      </w:pBdr>
      <w:adjustRightInd/>
      <w:snapToGrid/>
      <w:spacing w:before="100" w:beforeAutospacing="1" w:after="100" w:afterAutospacing="1" w:line="240" w:lineRule="auto"/>
      <w:ind w:left="0" w:firstLine="0" w:firstLineChars="0"/>
      <w:jc w:val="center"/>
    </w:pPr>
    <w:rPr>
      <w:kern w:val="0"/>
      <w:sz w:val="21"/>
      <w:szCs w:val="21"/>
    </w:rPr>
  </w:style>
  <w:style w:type="paragraph" w:customStyle="1" w:styleId="155">
    <w:name w:val="xl71"/>
    <w:basedOn w:val="1"/>
    <w:qFormat/>
    <w:uiPriority w:val="0"/>
    <w:pPr>
      <w:widowControl/>
      <w:pBdr>
        <w:bottom w:val="single" w:color="auto" w:sz="8" w:space="0"/>
        <w:right w:val="single" w:color="auto" w:sz="8" w:space="0"/>
      </w:pBdr>
      <w:adjustRightInd/>
      <w:snapToGrid/>
      <w:spacing w:before="100" w:beforeAutospacing="1" w:after="100" w:afterAutospacing="1" w:line="240" w:lineRule="auto"/>
      <w:ind w:left="0" w:firstLine="0" w:firstLineChars="0"/>
      <w:jc w:val="center"/>
    </w:pPr>
    <w:rPr>
      <w:rFonts w:ascii="宋体" w:hAnsi="宋体" w:cs="宋体"/>
      <w:kern w:val="0"/>
      <w:sz w:val="21"/>
      <w:szCs w:val="21"/>
    </w:rPr>
  </w:style>
  <w:style w:type="paragraph" w:customStyle="1" w:styleId="156">
    <w:name w:val="xl72"/>
    <w:basedOn w:val="1"/>
    <w:qFormat/>
    <w:uiPriority w:val="0"/>
    <w:pPr>
      <w:widowControl/>
      <w:pBdr>
        <w:bottom w:val="single" w:color="auto" w:sz="8" w:space="0"/>
        <w:right w:val="single" w:color="auto" w:sz="8" w:space="0"/>
      </w:pBdr>
      <w:adjustRightInd/>
      <w:snapToGrid/>
      <w:spacing w:before="100" w:beforeAutospacing="1" w:after="100" w:afterAutospacing="1" w:line="240" w:lineRule="auto"/>
      <w:ind w:left="0" w:firstLine="0" w:firstLineChars="0"/>
      <w:jc w:val="center"/>
    </w:pPr>
    <w:rPr>
      <w:kern w:val="0"/>
      <w:sz w:val="21"/>
      <w:szCs w:val="21"/>
    </w:rPr>
  </w:style>
  <w:style w:type="paragraph" w:customStyle="1" w:styleId="157">
    <w:name w:val="xl73"/>
    <w:basedOn w:val="1"/>
    <w:qFormat/>
    <w:uiPriority w:val="0"/>
    <w:pPr>
      <w:widowControl/>
      <w:pBdr>
        <w:left w:val="single" w:color="auto" w:sz="8" w:space="0"/>
        <w:bottom w:val="single" w:color="auto" w:sz="8" w:space="0"/>
        <w:right w:val="single" w:color="auto" w:sz="8" w:space="0"/>
      </w:pBdr>
      <w:adjustRightInd/>
      <w:snapToGrid/>
      <w:spacing w:before="100" w:beforeAutospacing="1" w:after="100" w:afterAutospacing="1" w:line="240" w:lineRule="auto"/>
      <w:ind w:left="0" w:firstLine="0" w:firstLineChars="0"/>
      <w:jc w:val="center"/>
    </w:pPr>
    <w:rPr>
      <w:rFonts w:ascii="宋体" w:hAnsi="宋体" w:cs="宋体"/>
      <w:b/>
      <w:bCs/>
      <w:kern w:val="0"/>
      <w:sz w:val="21"/>
      <w:szCs w:val="21"/>
    </w:rPr>
  </w:style>
  <w:style w:type="paragraph" w:customStyle="1" w:styleId="158">
    <w:name w:val="xl74"/>
    <w:basedOn w:val="1"/>
    <w:qFormat/>
    <w:uiPriority w:val="0"/>
    <w:pPr>
      <w:widowControl/>
      <w:pBdr>
        <w:bottom w:val="single" w:color="auto" w:sz="8" w:space="0"/>
        <w:right w:val="single" w:color="auto" w:sz="8" w:space="0"/>
      </w:pBdr>
      <w:adjustRightInd/>
      <w:snapToGrid/>
      <w:spacing w:before="100" w:beforeAutospacing="1" w:after="100" w:afterAutospacing="1" w:line="240" w:lineRule="auto"/>
      <w:ind w:left="0" w:firstLine="0" w:firstLineChars="0"/>
      <w:jc w:val="center"/>
    </w:pPr>
    <w:rPr>
      <w:rFonts w:ascii="宋体" w:hAnsi="宋体" w:cs="宋体"/>
      <w:b/>
      <w:bCs/>
      <w:kern w:val="0"/>
      <w:sz w:val="21"/>
      <w:szCs w:val="21"/>
    </w:rPr>
  </w:style>
  <w:style w:type="paragraph" w:customStyle="1" w:styleId="159">
    <w:name w:val="xl75"/>
    <w:basedOn w:val="1"/>
    <w:qFormat/>
    <w:uiPriority w:val="0"/>
    <w:pPr>
      <w:widowControl/>
      <w:adjustRightInd/>
      <w:snapToGrid/>
      <w:spacing w:before="100" w:beforeAutospacing="1" w:after="100" w:afterAutospacing="1" w:line="240" w:lineRule="auto"/>
      <w:ind w:left="0" w:firstLine="0" w:firstLineChars="0"/>
    </w:pPr>
    <w:rPr>
      <w:rFonts w:ascii="宋体" w:hAnsi="宋体" w:cs="宋体"/>
      <w:kern w:val="0"/>
      <w:szCs w:val="24"/>
    </w:rPr>
  </w:style>
  <w:style w:type="paragraph" w:customStyle="1" w:styleId="160">
    <w:name w:val="xl76"/>
    <w:basedOn w:val="1"/>
    <w:qFormat/>
    <w:uiPriority w:val="0"/>
    <w:pPr>
      <w:widowControl/>
      <w:pBdr>
        <w:left w:val="single" w:color="auto" w:sz="8" w:space="0"/>
        <w:right w:val="single" w:color="auto" w:sz="8" w:space="0"/>
      </w:pBdr>
      <w:adjustRightInd/>
      <w:snapToGrid/>
      <w:spacing w:before="100" w:beforeAutospacing="1" w:after="100" w:afterAutospacing="1" w:line="240" w:lineRule="auto"/>
      <w:ind w:left="0" w:firstLine="0" w:firstLineChars="0"/>
      <w:jc w:val="center"/>
    </w:pPr>
    <w:rPr>
      <w:kern w:val="0"/>
      <w:sz w:val="21"/>
      <w:szCs w:val="21"/>
    </w:rPr>
  </w:style>
  <w:style w:type="paragraph" w:customStyle="1" w:styleId="161">
    <w:name w:val="xl77"/>
    <w:basedOn w:val="1"/>
    <w:qFormat/>
    <w:uiPriority w:val="0"/>
    <w:pPr>
      <w:widowControl/>
      <w:pBdr>
        <w:right w:val="single" w:color="auto" w:sz="8" w:space="0"/>
      </w:pBdr>
      <w:adjustRightInd/>
      <w:snapToGrid/>
      <w:spacing w:before="100" w:beforeAutospacing="1" w:after="100" w:afterAutospacing="1" w:line="240" w:lineRule="auto"/>
      <w:ind w:left="0" w:firstLine="0" w:firstLineChars="0"/>
      <w:jc w:val="center"/>
    </w:pPr>
    <w:rPr>
      <w:rFonts w:ascii="宋体" w:hAnsi="宋体" w:cs="宋体"/>
      <w:kern w:val="0"/>
      <w:sz w:val="21"/>
      <w:szCs w:val="21"/>
    </w:rPr>
  </w:style>
  <w:style w:type="paragraph" w:customStyle="1" w:styleId="162">
    <w:name w:val="xl78"/>
    <w:basedOn w:val="1"/>
    <w:qFormat/>
    <w:uiPriority w:val="0"/>
    <w:pPr>
      <w:widowControl/>
      <w:pBdr>
        <w:right w:val="single" w:color="auto" w:sz="8" w:space="0"/>
      </w:pBdr>
      <w:adjustRightInd/>
      <w:snapToGrid/>
      <w:spacing w:before="100" w:beforeAutospacing="1" w:after="100" w:afterAutospacing="1" w:line="240" w:lineRule="auto"/>
      <w:ind w:left="0" w:firstLine="0" w:firstLineChars="0"/>
      <w:jc w:val="center"/>
    </w:pPr>
    <w:rPr>
      <w:rFonts w:ascii="宋体" w:hAnsi="宋体" w:cs="宋体"/>
      <w:kern w:val="0"/>
      <w:sz w:val="20"/>
    </w:rPr>
  </w:style>
  <w:style w:type="paragraph" w:customStyle="1" w:styleId="163">
    <w:name w:val="xl7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left="0" w:firstLine="0" w:firstLineChars="0"/>
      <w:jc w:val="center"/>
    </w:pPr>
    <w:rPr>
      <w:rFonts w:ascii="宋体" w:hAnsi="宋体" w:cs="宋体"/>
      <w:b/>
      <w:bCs/>
      <w:kern w:val="0"/>
      <w:szCs w:val="24"/>
    </w:rPr>
  </w:style>
  <w:style w:type="paragraph" w:customStyle="1" w:styleId="164">
    <w:name w:val="xl8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left="0" w:firstLine="0" w:firstLineChars="0"/>
      <w:jc w:val="center"/>
    </w:pPr>
    <w:rPr>
      <w:rFonts w:ascii="宋体" w:hAnsi="宋体" w:cs="宋体"/>
      <w:b/>
      <w:bCs/>
      <w:kern w:val="0"/>
      <w:szCs w:val="24"/>
    </w:rPr>
  </w:style>
  <w:style w:type="paragraph" w:customStyle="1" w:styleId="165">
    <w:name w:val="xl8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left="0" w:firstLine="0" w:firstLineChars="0"/>
      <w:jc w:val="center"/>
    </w:pPr>
    <w:rPr>
      <w:rFonts w:ascii="宋体" w:hAnsi="宋体" w:cs="宋体"/>
      <w:b/>
      <w:bCs/>
      <w:kern w:val="0"/>
      <w:szCs w:val="24"/>
    </w:rPr>
  </w:style>
  <w:style w:type="paragraph" w:customStyle="1" w:styleId="166">
    <w:name w:val="xl82"/>
    <w:basedOn w:val="1"/>
    <w:qFormat/>
    <w:uiPriority w:val="0"/>
    <w:pPr>
      <w:widowControl/>
      <w:pBdr>
        <w:bottom w:val="single" w:color="auto" w:sz="8" w:space="0"/>
        <w:right w:val="single" w:color="auto" w:sz="8" w:space="0"/>
      </w:pBdr>
      <w:adjustRightInd/>
      <w:snapToGrid/>
      <w:spacing w:before="100" w:beforeAutospacing="1" w:after="100" w:afterAutospacing="1" w:line="240" w:lineRule="auto"/>
      <w:ind w:left="0" w:firstLine="0" w:firstLineChars="0"/>
      <w:jc w:val="center"/>
    </w:pPr>
    <w:rPr>
      <w:b/>
      <w:bCs/>
      <w:kern w:val="0"/>
      <w:sz w:val="21"/>
      <w:szCs w:val="21"/>
    </w:rPr>
  </w:style>
  <w:style w:type="paragraph" w:customStyle="1" w:styleId="167">
    <w:name w:val="xl83"/>
    <w:basedOn w:val="1"/>
    <w:qFormat/>
    <w:uiPriority w:val="0"/>
    <w:pPr>
      <w:widowControl/>
      <w:pBdr>
        <w:bottom w:val="single" w:color="auto" w:sz="8" w:space="0"/>
        <w:right w:val="single" w:color="auto" w:sz="8" w:space="0"/>
      </w:pBdr>
      <w:adjustRightInd/>
      <w:snapToGrid/>
      <w:spacing w:before="100" w:beforeAutospacing="1" w:after="100" w:afterAutospacing="1" w:line="240" w:lineRule="auto"/>
      <w:ind w:left="0" w:firstLine="0" w:firstLineChars="0"/>
      <w:jc w:val="center"/>
    </w:pPr>
    <w:rPr>
      <w:kern w:val="0"/>
      <w:sz w:val="21"/>
      <w:szCs w:val="21"/>
    </w:rPr>
  </w:style>
  <w:style w:type="paragraph" w:customStyle="1" w:styleId="168">
    <w:name w:val="xl84"/>
    <w:basedOn w:val="1"/>
    <w:qFormat/>
    <w:uiPriority w:val="0"/>
    <w:pPr>
      <w:widowControl/>
      <w:pBdr>
        <w:bottom w:val="single" w:color="auto" w:sz="8" w:space="0"/>
        <w:right w:val="single" w:color="auto" w:sz="8" w:space="0"/>
      </w:pBdr>
      <w:adjustRightInd/>
      <w:snapToGrid/>
      <w:spacing w:before="100" w:beforeAutospacing="1" w:after="100" w:afterAutospacing="1" w:line="240" w:lineRule="auto"/>
      <w:ind w:left="0" w:firstLine="0" w:firstLineChars="0"/>
      <w:jc w:val="center"/>
    </w:pPr>
    <w:rPr>
      <w:rFonts w:ascii="宋体" w:hAnsi="宋体" w:cs="宋体"/>
      <w:b/>
      <w:bCs/>
      <w:kern w:val="0"/>
      <w:sz w:val="21"/>
      <w:szCs w:val="21"/>
    </w:rPr>
  </w:style>
  <w:style w:type="paragraph" w:customStyle="1" w:styleId="169">
    <w:name w:val="xl85"/>
    <w:basedOn w:val="1"/>
    <w:qFormat/>
    <w:uiPriority w:val="0"/>
    <w:pPr>
      <w:widowControl/>
      <w:pBdr>
        <w:right w:val="single" w:color="auto" w:sz="8" w:space="0"/>
      </w:pBdr>
      <w:adjustRightInd/>
      <w:snapToGrid/>
      <w:spacing w:before="100" w:beforeAutospacing="1" w:after="100" w:afterAutospacing="1" w:line="240" w:lineRule="auto"/>
      <w:ind w:left="0" w:firstLine="0" w:firstLineChars="0"/>
      <w:jc w:val="center"/>
    </w:pPr>
    <w:rPr>
      <w:rFonts w:ascii="宋体" w:hAnsi="宋体" w:cs="宋体"/>
      <w:kern w:val="0"/>
      <w:sz w:val="21"/>
      <w:szCs w:val="21"/>
    </w:rPr>
  </w:style>
  <w:style w:type="paragraph" w:customStyle="1" w:styleId="170">
    <w:name w:val="xl8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left="0" w:firstLine="0" w:firstLineChars="0"/>
      <w:jc w:val="center"/>
    </w:pPr>
    <w:rPr>
      <w:rFonts w:ascii="宋体" w:hAnsi="宋体" w:cs="宋体"/>
      <w:b/>
      <w:bCs/>
      <w:kern w:val="0"/>
      <w:szCs w:val="24"/>
    </w:rPr>
  </w:style>
  <w:style w:type="paragraph" w:customStyle="1" w:styleId="171">
    <w:name w:val="xl87"/>
    <w:basedOn w:val="1"/>
    <w:qFormat/>
    <w:uiPriority w:val="0"/>
    <w:pPr>
      <w:widowControl/>
      <w:pBdr>
        <w:top w:val="single" w:color="auto" w:sz="8" w:space="0"/>
        <w:left w:val="single" w:color="auto" w:sz="8" w:space="0"/>
        <w:bottom w:val="single" w:color="auto" w:sz="8" w:space="0"/>
      </w:pBdr>
      <w:adjustRightInd/>
      <w:snapToGrid/>
      <w:spacing w:before="100" w:beforeAutospacing="1" w:after="100" w:afterAutospacing="1" w:line="240" w:lineRule="auto"/>
      <w:ind w:left="0" w:firstLine="0" w:firstLineChars="0"/>
      <w:jc w:val="center"/>
    </w:pPr>
    <w:rPr>
      <w:rFonts w:ascii="宋体" w:hAnsi="宋体" w:cs="宋体"/>
      <w:kern w:val="0"/>
      <w:sz w:val="21"/>
      <w:szCs w:val="21"/>
    </w:rPr>
  </w:style>
  <w:style w:type="paragraph" w:customStyle="1" w:styleId="172">
    <w:name w:val="xl88"/>
    <w:basedOn w:val="1"/>
    <w:qFormat/>
    <w:uiPriority w:val="0"/>
    <w:pPr>
      <w:widowControl/>
      <w:pBdr>
        <w:top w:val="single" w:color="auto" w:sz="8" w:space="0"/>
        <w:bottom w:val="single" w:color="auto" w:sz="8" w:space="0"/>
      </w:pBdr>
      <w:adjustRightInd/>
      <w:snapToGrid/>
      <w:spacing w:before="100" w:beforeAutospacing="1" w:after="100" w:afterAutospacing="1" w:line="240" w:lineRule="auto"/>
      <w:ind w:left="0" w:firstLine="0" w:firstLineChars="0"/>
      <w:jc w:val="center"/>
    </w:pPr>
    <w:rPr>
      <w:rFonts w:ascii="宋体" w:hAnsi="宋体" w:cs="宋体"/>
      <w:kern w:val="0"/>
      <w:sz w:val="21"/>
      <w:szCs w:val="21"/>
    </w:rPr>
  </w:style>
  <w:style w:type="paragraph" w:customStyle="1" w:styleId="173">
    <w:name w:val="xl89"/>
    <w:basedOn w:val="1"/>
    <w:qFormat/>
    <w:uiPriority w:val="0"/>
    <w:pPr>
      <w:widowControl/>
      <w:pBdr>
        <w:top w:val="single" w:color="auto" w:sz="8" w:space="0"/>
        <w:bottom w:val="single" w:color="auto" w:sz="8" w:space="0"/>
        <w:right w:val="single" w:color="auto" w:sz="8" w:space="0"/>
      </w:pBdr>
      <w:adjustRightInd/>
      <w:snapToGrid/>
      <w:spacing w:before="100" w:beforeAutospacing="1" w:after="100" w:afterAutospacing="1" w:line="240" w:lineRule="auto"/>
      <w:ind w:left="0" w:firstLine="0" w:firstLineChars="0"/>
      <w:jc w:val="center"/>
    </w:pPr>
    <w:rPr>
      <w:rFonts w:ascii="宋体" w:hAnsi="宋体" w:cs="宋体"/>
      <w:kern w:val="0"/>
      <w:sz w:val="21"/>
      <w:szCs w:val="21"/>
    </w:rPr>
  </w:style>
  <w:style w:type="paragraph" w:customStyle="1" w:styleId="174">
    <w:name w:val="xl90"/>
    <w:basedOn w:val="1"/>
    <w:qFormat/>
    <w:uiPriority w:val="0"/>
    <w:pPr>
      <w:widowControl/>
      <w:pBdr>
        <w:top w:val="single" w:color="auto" w:sz="8" w:space="0"/>
        <w:left w:val="single" w:color="auto" w:sz="8" w:space="0"/>
        <w:right w:val="single" w:color="auto" w:sz="8" w:space="0"/>
      </w:pBdr>
      <w:adjustRightInd/>
      <w:snapToGrid/>
      <w:spacing w:before="100" w:beforeAutospacing="1" w:after="100" w:afterAutospacing="1" w:line="240" w:lineRule="auto"/>
      <w:ind w:left="0" w:firstLine="0" w:firstLineChars="0"/>
      <w:jc w:val="center"/>
    </w:pPr>
    <w:rPr>
      <w:rFonts w:ascii="宋体" w:hAnsi="宋体" w:cs="宋体"/>
      <w:kern w:val="0"/>
      <w:sz w:val="21"/>
      <w:szCs w:val="21"/>
    </w:rPr>
  </w:style>
  <w:style w:type="paragraph" w:customStyle="1" w:styleId="175">
    <w:name w:val="xl91"/>
    <w:basedOn w:val="1"/>
    <w:qFormat/>
    <w:uiPriority w:val="0"/>
    <w:pPr>
      <w:widowControl/>
      <w:pBdr>
        <w:left w:val="single" w:color="auto" w:sz="8" w:space="0"/>
        <w:bottom w:val="single" w:color="auto" w:sz="8" w:space="0"/>
        <w:right w:val="single" w:color="auto" w:sz="8" w:space="0"/>
      </w:pBdr>
      <w:adjustRightInd/>
      <w:snapToGrid/>
      <w:spacing w:before="100" w:beforeAutospacing="1" w:after="100" w:afterAutospacing="1" w:line="240" w:lineRule="auto"/>
      <w:ind w:left="0" w:firstLine="0" w:firstLineChars="0"/>
      <w:jc w:val="center"/>
    </w:pPr>
    <w:rPr>
      <w:rFonts w:ascii="宋体" w:hAnsi="宋体" w:cs="宋体"/>
      <w:kern w:val="0"/>
      <w:sz w:val="21"/>
      <w:szCs w:val="21"/>
    </w:rPr>
  </w:style>
  <w:style w:type="paragraph" w:customStyle="1" w:styleId="176">
    <w:name w:val="xl92"/>
    <w:basedOn w:val="1"/>
    <w:qFormat/>
    <w:uiPriority w:val="0"/>
    <w:pPr>
      <w:widowControl/>
      <w:pBdr>
        <w:top w:val="single" w:color="auto" w:sz="8" w:space="0"/>
        <w:left w:val="single" w:color="auto" w:sz="8" w:space="0"/>
        <w:right w:val="single" w:color="auto" w:sz="8" w:space="0"/>
      </w:pBdr>
      <w:adjustRightInd/>
      <w:snapToGrid/>
      <w:spacing w:before="100" w:beforeAutospacing="1" w:after="100" w:afterAutospacing="1" w:line="240" w:lineRule="auto"/>
      <w:ind w:left="0" w:firstLine="0" w:firstLineChars="0"/>
      <w:jc w:val="center"/>
    </w:pPr>
    <w:rPr>
      <w:rFonts w:ascii="宋体" w:hAnsi="宋体" w:cs="宋体"/>
      <w:kern w:val="0"/>
      <w:sz w:val="21"/>
      <w:szCs w:val="21"/>
    </w:rPr>
  </w:style>
  <w:style w:type="paragraph" w:customStyle="1" w:styleId="177">
    <w:name w:val="xl93"/>
    <w:basedOn w:val="1"/>
    <w:qFormat/>
    <w:uiPriority w:val="0"/>
    <w:pPr>
      <w:widowControl/>
      <w:pBdr>
        <w:left w:val="single" w:color="auto" w:sz="8" w:space="0"/>
        <w:bottom w:val="single" w:color="auto" w:sz="8" w:space="0"/>
        <w:right w:val="single" w:color="auto" w:sz="8" w:space="0"/>
      </w:pBdr>
      <w:adjustRightInd/>
      <w:snapToGrid/>
      <w:spacing w:before="100" w:beforeAutospacing="1" w:after="100" w:afterAutospacing="1" w:line="240" w:lineRule="auto"/>
      <w:ind w:left="0" w:firstLine="0" w:firstLineChars="0"/>
      <w:jc w:val="center"/>
    </w:pPr>
    <w:rPr>
      <w:rFonts w:ascii="宋体" w:hAnsi="宋体" w:cs="宋体"/>
      <w:kern w:val="0"/>
      <w:sz w:val="21"/>
      <w:szCs w:val="21"/>
    </w:rPr>
  </w:style>
  <w:style w:type="paragraph" w:customStyle="1" w:styleId="178">
    <w:name w:val="xl94"/>
    <w:basedOn w:val="1"/>
    <w:qFormat/>
    <w:uiPriority w:val="0"/>
    <w:pPr>
      <w:widowControl/>
      <w:pBdr>
        <w:top w:val="single" w:color="auto" w:sz="8" w:space="0"/>
        <w:left w:val="single" w:color="auto" w:sz="8" w:space="0"/>
        <w:right w:val="single" w:color="auto" w:sz="8" w:space="0"/>
      </w:pBdr>
      <w:adjustRightInd/>
      <w:snapToGrid/>
      <w:spacing w:before="100" w:beforeAutospacing="1" w:after="100" w:afterAutospacing="1" w:line="240" w:lineRule="auto"/>
      <w:ind w:left="0" w:firstLine="0" w:firstLineChars="0"/>
      <w:jc w:val="center"/>
    </w:pPr>
    <w:rPr>
      <w:rFonts w:ascii="宋体" w:hAnsi="宋体" w:cs="宋体"/>
      <w:kern w:val="0"/>
      <w:sz w:val="21"/>
      <w:szCs w:val="21"/>
    </w:rPr>
  </w:style>
  <w:style w:type="paragraph" w:customStyle="1" w:styleId="179">
    <w:name w:val="xl95"/>
    <w:basedOn w:val="1"/>
    <w:qFormat/>
    <w:uiPriority w:val="0"/>
    <w:pPr>
      <w:widowControl/>
      <w:pBdr>
        <w:left w:val="single" w:color="auto" w:sz="8" w:space="0"/>
        <w:bottom w:val="single" w:color="auto" w:sz="8" w:space="0"/>
        <w:right w:val="single" w:color="auto" w:sz="8" w:space="0"/>
      </w:pBdr>
      <w:adjustRightInd/>
      <w:snapToGrid/>
      <w:spacing w:before="100" w:beforeAutospacing="1" w:after="100" w:afterAutospacing="1" w:line="240" w:lineRule="auto"/>
      <w:ind w:left="0" w:firstLine="0" w:firstLineChars="0"/>
      <w:jc w:val="center"/>
    </w:pPr>
    <w:rPr>
      <w:rFonts w:ascii="宋体" w:hAnsi="宋体" w:cs="宋体"/>
      <w:kern w:val="0"/>
      <w:sz w:val="21"/>
      <w:szCs w:val="21"/>
    </w:rPr>
  </w:style>
  <w:style w:type="paragraph" w:customStyle="1" w:styleId="180">
    <w:name w:val="xl96"/>
    <w:basedOn w:val="1"/>
    <w:qFormat/>
    <w:uiPriority w:val="0"/>
    <w:pPr>
      <w:widowControl/>
      <w:pBdr>
        <w:bottom w:val="single" w:color="auto" w:sz="8" w:space="0"/>
        <w:right w:val="single" w:color="auto" w:sz="8" w:space="0"/>
      </w:pBdr>
      <w:adjustRightInd/>
      <w:snapToGrid/>
      <w:spacing w:before="100" w:beforeAutospacing="1" w:after="100" w:afterAutospacing="1" w:line="240" w:lineRule="auto"/>
      <w:ind w:left="0" w:firstLine="0" w:firstLineChars="0"/>
      <w:jc w:val="center"/>
    </w:pPr>
    <w:rPr>
      <w:rFonts w:ascii="Segoe UI Symbol" w:hAnsi="Segoe UI Symbol" w:cs="宋体"/>
      <w:kern w:val="0"/>
      <w:sz w:val="21"/>
      <w:szCs w:val="21"/>
    </w:rPr>
  </w:style>
  <w:style w:type="character" w:customStyle="1" w:styleId="181">
    <w:name w:val="表格正文 Char"/>
    <w:qFormat/>
    <w:locked/>
    <w:uiPriority w:val="1"/>
    <w:rPr>
      <w:bCs/>
      <w:kern w:val="24"/>
      <w:sz w:val="21"/>
      <w:szCs w:val="18"/>
    </w:rPr>
  </w:style>
  <w:style w:type="character" w:customStyle="1" w:styleId="182">
    <w:name w:val="正文文本缩进 2 字符"/>
    <w:basedOn w:val="43"/>
    <w:link w:val="24"/>
    <w:qFormat/>
    <w:uiPriority w:val="0"/>
    <w:rPr>
      <w:kern w:val="2"/>
      <w:sz w:val="24"/>
    </w:rPr>
  </w:style>
  <w:style w:type="character" w:customStyle="1" w:styleId="183">
    <w:name w:val="无间隔 字符"/>
    <w:link w:val="108"/>
    <w:qFormat/>
    <w:uiPriority w:val="1"/>
    <w:rPr>
      <w:kern w:val="2"/>
      <w:sz w:val="24"/>
      <w:szCs w:val="24"/>
    </w:rPr>
  </w:style>
  <w:style w:type="paragraph" w:customStyle="1" w:styleId="184">
    <w:name w:val="表格内容cy"/>
    <w:basedOn w:val="1"/>
    <w:qFormat/>
    <w:uiPriority w:val="0"/>
    <w:pPr>
      <w:widowControl/>
      <w:adjustRightInd/>
      <w:snapToGrid/>
      <w:spacing w:line="240" w:lineRule="auto"/>
      <w:ind w:left="0" w:firstLine="0" w:firstLineChars="0"/>
      <w:jc w:val="center"/>
    </w:pPr>
    <w:rPr>
      <w:rFonts w:ascii="Calibri" w:hAnsi="Calibri" w:eastAsia="Times New Roman"/>
      <w:kern w:val="0"/>
      <w:sz w:val="21"/>
      <w:szCs w:val="21"/>
    </w:rPr>
  </w:style>
  <w:style w:type="paragraph" w:customStyle="1" w:styleId="185">
    <w:name w:val="样式 文本正文 + 首行缩进:  2 字符"/>
    <w:basedOn w:val="87"/>
    <w:qFormat/>
    <w:uiPriority w:val="0"/>
    <w:pPr>
      <w:ind w:firstLine="480"/>
      <w:jc w:val="both"/>
    </w:pPr>
    <w:rPr>
      <w:rFonts w:ascii="宋体" w:hAnsi="宋体" w:cs="宋体"/>
      <w:color w:val="0000FF"/>
      <w:kern w:val="2"/>
      <w:szCs w:val="20"/>
    </w:rPr>
  </w:style>
  <w:style w:type="character" w:customStyle="1" w:styleId="186">
    <w:name w:val="GS表格标题栏 字符"/>
    <w:link w:val="187"/>
    <w:qFormat/>
    <w:uiPriority w:val="0"/>
    <w:rPr>
      <w:b/>
      <w:kern w:val="2"/>
      <w:sz w:val="24"/>
      <w:szCs w:val="22"/>
    </w:rPr>
  </w:style>
  <w:style w:type="paragraph" w:customStyle="1" w:styleId="187">
    <w:name w:val="GS表格标题栏"/>
    <w:basedOn w:val="1"/>
    <w:link w:val="186"/>
    <w:qFormat/>
    <w:uiPriority w:val="0"/>
    <w:pPr>
      <w:adjustRightInd/>
      <w:snapToGrid/>
      <w:spacing w:beforeLines="20" w:afterLines="20" w:line="240" w:lineRule="auto"/>
      <w:ind w:left="0" w:firstLine="0" w:firstLineChars="0"/>
      <w:jc w:val="center"/>
    </w:pPr>
    <w:rPr>
      <w:b/>
      <w:szCs w:val="22"/>
    </w:rPr>
  </w:style>
  <w:style w:type="paragraph" w:customStyle="1" w:styleId="188">
    <w:name w:val="GS表格正文"/>
    <w:basedOn w:val="1"/>
    <w:link w:val="189"/>
    <w:qFormat/>
    <w:uiPriority w:val="1"/>
    <w:pPr>
      <w:widowControl/>
      <w:adjustRightInd/>
      <w:spacing w:line="240" w:lineRule="auto"/>
      <w:ind w:left="0" w:firstLine="0" w:firstLineChars="0"/>
      <w:jc w:val="center"/>
    </w:pPr>
    <w:rPr>
      <w:rFonts w:cs="宋体"/>
      <w:kern w:val="0"/>
      <w:sz w:val="21"/>
      <w:szCs w:val="22"/>
    </w:rPr>
  </w:style>
  <w:style w:type="character" w:customStyle="1" w:styleId="189">
    <w:name w:val="GS表格正文 字符"/>
    <w:link w:val="188"/>
    <w:qFormat/>
    <w:uiPriority w:val="1"/>
    <w:rPr>
      <w:rFonts w:cs="宋体"/>
      <w:sz w:val="21"/>
      <w:szCs w:val="22"/>
    </w:rPr>
  </w:style>
  <w:style w:type="table" w:customStyle="1" w:styleId="190">
    <w:name w:val="样式2"/>
    <w:basedOn w:val="41"/>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2" w:space="0"/>
      </w:tblBorders>
    </w:tblPr>
    <w:tcPr>
      <w:vAlign w:val="center"/>
    </w:tcPr>
  </w:style>
  <w:style w:type="paragraph" w:customStyle="1" w:styleId="191">
    <w:name w:val="小序号"/>
    <w:basedOn w:val="141"/>
    <w:qFormat/>
    <w:uiPriority w:val="0"/>
    <w:pPr>
      <w:numPr>
        <w:ilvl w:val="0"/>
        <w:numId w:val="4"/>
      </w:numPr>
      <w:adjustRightInd/>
      <w:snapToGrid/>
      <w:spacing w:line="360" w:lineRule="auto"/>
      <w:ind w:left="0" w:firstLine="560"/>
      <w:jc w:val="both"/>
    </w:pPr>
    <w:rPr>
      <w:szCs w:val="22"/>
    </w:rPr>
  </w:style>
  <w:style w:type="paragraph" w:customStyle="1" w:styleId="192">
    <w:name w:val="GS图名"/>
    <w:basedOn w:val="1"/>
    <w:next w:val="1"/>
    <w:link w:val="193"/>
    <w:qFormat/>
    <w:uiPriority w:val="0"/>
    <w:pPr>
      <w:adjustRightInd/>
      <w:snapToGrid/>
      <w:spacing w:beforeLines="50" w:afterLines="50" w:line="240" w:lineRule="auto"/>
      <w:ind w:left="0" w:firstLine="0" w:firstLineChars="0"/>
      <w:jc w:val="center"/>
    </w:pPr>
    <w:rPr>
      <w:b/>
      <w:szCs w:val="22"/>
    </w:rPr>
  </w:style>
  <w:style w:type="character" w:customStyle="1" w:styleId="193">
    <w:name w:val="GS图名 字符"/>
    <w:link w:val="192"/>
    <w:qFormat/>
    <w:uiPriority w:val="0"/>
    <w:rPr>
      <w:b/>
      <w:kern w:val="2"/>
      <w:sz w:val="24"/>
      <w:szCs w:val="22"/>
    </w:rPr>
  </w:style>
  <w:style w:type="paragraph" w:customStyle="1" w:styleId="194">
    <w:name w:val="正文cy"/>
    <w:basedOn w:val="1"/>
    <w:qFormat/>
    <w:uiPriority w:val="0"/>
    <w:pPr>
      <w:adjustRightInd/>
      <w:snapToGrid/>
      <w:spacing w:line="360" w:lineRule="auto"/>
      <w:ind w:left="0" w:firstLine="200"/>
    </w:pPr>
  </w:style>
  <w:style w:type="character" w:customStyle="1" w:styleId="195">
    <w:name w:val="标题 字符"/>
    <w:basedOn w:val="43"/>
    <w:link w:val="38"/>
    <w:qFormat/>
    <w:uiPriority w:val="0"/>
    <w:rPr>
      <w:rFonts w:ascii="Cambria" w:hAnsi="Cambria"/>
      <w:b/>
      <w:bCs/>
      <w:kern w:val="2"/>
      <w:sz w:val="30"/>
      <w:szCs w:val="32"/>
    </w:rPr>
  </w:style>
  <w:style w:type="paragraph" w:customStyle="1" w:styleId="196">
    <w:name w:val="图表名"/>
    <w:basedOn w:val="1"/>
    <w:qFormat/>
    <w:uiPriority w:val="0"/>
    <w:pPr>
      <w:adjustRightInd/>
      <w:snapToGrid/>
      <w:spacing w:line="240" w:lineRule="auto"/>
      <w:ind w:left="0" w:firstLine="0" w:firstLineChars="0"/>
      <w:jc w:val="center"/>
    </w:pPr>
    <w:rPr>
      <w:b/>
      <w:szCs w:val="24"/>
    </w:rPr>
  </w:style>
  <w:style w:type="character" w:customStyle="1" w:styleId="197">
    <w:name w:val="正文文本缩进 3 字符"/>
    <w:basedOn w:val="43"/>
    <w:link w:val="33"/>
    <w:semiHidden/>
    <w:qFormat/>
    <w:uiPriority w:val="0"/>
    <w:rPr>
      <w:kern w:val="2"/>
      <w:sz w:val="16"/>
      <w:szCs w:val="16"/>
    </w:rPr>
  </w:style>
  <w:style w:type="character" w:customStyle="1" w:styleId="198">
    <w:name w:val="mystyle"/>
    <w:basedOn w:val="43"/>
    <w:qFormat/>
    <w:uiPriority w:val="0"/>
  </w:style>
  <w:style w:type="character" w:customStyle="1" w:styleId="199">
    <w:name w:val="表格表头栏 Char"/>
    <w:link w:val="200"/>
    <w:qFormat/>
    <w:uiPriority w:val="0"/>
    <w:rPr>
      <w:b/>
      <w:kern w:val="2"/>
      <w:sz w:val="21"/>
      <w:szCs w:val="22"/>
    </w:rPr>
  </w:style>
  <w:style w:type="paragraph" w:customStyle="1" w:styleId="200">
    <w:name w:val="表格表头栏"/>
    <w:basedOn w:val="1"/>
    <w:link w:val="199"/>
    <w:qFormat/>
    <w:uiPriority w:val="0"/>
    <w:pPr>
      <w:adjustRightInd/>
      <w:snapToGrid/>
      <w:spacing w:afterLines="10" w:line="240" w:lineRule="auto"/>
      <w:ind w:left="0" w:firstLine="0" w:firstLineChars="0"/>
      <w:jc w:val="both"/>
    </w:pPr>
    <w:rPr>
      <w:b/>
      <w:sz w:val="21"/>
      <w:szCs w:val="22"/>
    </w:rPr>
  </w:style>
  <w:style w:type="paragraph" w:customStyle="1" w:styleId="201">
    <w:name w:val="图名"/>
    <w:basedOn w:val="1"/>
    <w:qFormat/>
    <w:uiPriority w:val="0"/>
    <w:pPr>
      <w:adjustRightInd/>
      <w:snapToGrid/>
      <w:spacing w:line="360" w:lineRule="auto"/>
      <w:ind w:left="0" w:firstLine="200"/>
      <w:jc w:val="center"/>
    </w:pPr>
    <w:rPr>
      <w:rFonts w:eastAsia="黑体"/>
      <w:szCs w:val="24"/>
    </w:rPr>
  </w:style>
  <w:style w:type="character" w:customStyle="1" w:styleId="202">
    <w:name w:val="表格内容 Char"/>
    <w:qFormat/>
    <w:uiPriority w:val="0"/>
    <w:rPr>
      <w:rFonts w:ascii="宋体" w:hAnsi="宋体" w:eastAsia="宋体"/>
      <w:kern w:val="2"/>
      <w:sz w:val="24"/>
      <w:szCs w:val="24"/>
    </w:rPr>
  </w:style>
  <w:style w:type="paragraph" w:customStyle="1" w:styleId="203">
    <w:name w:val="报告正文"/>
    <w:basedOn w:val="1"/>
    <w:qFormat/>
    <w:uiPriority w:val="0"/>
    <w:pPr>
      <w:tabs>
        <w:tab w:val="left" w:pos="0"/>
      </w:tabs>
      <w:spacing w:line="360" w:lineRule="auto"/>
      <w:ind w:left="0" w:firstLine="720"/>
      <w:jc w:val="both"/>
      <w:textAlignment w:val="top"/>
    </w:pPr>
    <w:rPr>
      <w:bCs/>
      <w:kern w:val="0"/>
      <w:sz w:val="28"/>
      <w:szCs w:val="24"/>
    </w:rPr>
  </w:style>
  <w:style w:type="character" w:customStyle="1" w:styleId="204">
    <w:name w:val="seatsp"/>
    <w:basedOn w:val="43"/>
    <w:qFormat/>
    <w:uiPriority w:val="0"/>
  </w:style>
  <w:style w:type="paragraph" w:customStyle="1" w:styleId="205">
    <w:name w:val="正文 New New"/>
    <w:qFormat/>
    <w:uiPriority w:val="0"/>
    <w:pPr>
      <w:widowControl w:val="0"/>
      <w:ind w:firstLine="200" w:firstLineChars="200"/>
      <w:jc w:val="both"/>
    </w:pPr>
    <w:rPr>
      <w:rFonts w:ascii="Times New Roman" w:hAnsi="Times New Roman" w:eastAsia="宋体" w:cs="Times New Roman"/>
      <w:kern w:val="2"/>
      <w:sz w:val="21"/>
      <w:szCs w:val="24"/>
      <w:lang w:val="en-US" w:eastAsia="zh-CN" w:bidi="ar-SA"/>
    </w:rPr>
  </w:style>
  <w:style w:type="character" w:customStyle="1" w:styleId="206">
    <w:name w:val="副标题 字符"/>
    <w:basedOn w:val="43"/>
    <w:link w:val="30"/>
    <w:qFormat/>
    <w:uiPriority w:val="11"/>
    <w:rPr>
      <w:rFonts w:ascii="Arial" w:hAnsi="Arial"/>
      <w:b/>
      <w:bCs/>
      <w:kern w:val="28"/>
      <w:sz w:val="32"/>
      <w:szCs w:val="32"/>
    </w:rPr>
  </w:style>
  <w:style w:type="character" w:customStyle="1" w:styleId="207">
    <w:name w:val="刘表头 字符"/>
    <w:link w:val="208"/>
    <w:qFormat/>
    <w:uiPriority w:val="0"/>
    <w:rPr>
      <w:b/>
      <w:kern w:val="2"/>
      <w:sz w:val="24"/>
    </w:rPr>
  </w:style>
  <w:style w:type="paragraph" w:customStyle="1" w:styleId="208">
    <w:name w:val="刘表头"/>
    <w:basedOn w:val="6"/>
    <w:link w:val="207"/>
    <w:qFormat/>
    <w:uiPriority w:val="0"/>
    <w:pPr>
      <w:ind w:firstLine="0" w:firstLineChars="0"/>
      <w:jc w:val="center"/>
    </w:pPr>
    <w:rPr>
      <w:b/>
    </w:rPr>
  </w:style>
  <w:style w:type="paragraph" w:customStyle="1" w:styleId="209">
    <w:name w:val="01刘正文"/>
    <w:basedOn w:val="1"/>
    <w:link w:val="210"/>
    <w:qFormat/>
    <w:uiPriority w:val="0"/>
    <w:pPr>
      <w:spacing w:line="360" w:lineRule="auto"/>
      <w:ind w:left="0"/>
    </w:pPr>
  </w:style>
  <w:style w:type="character" w:customStyle="1" w:styleId="210">
    <w:name w:val="刘正文 Char"/>
    <w:link w:val="209"/>
    <w:qFormat/>
    <w:uiPriority w:val="0"/>
    <w:rPr>
      <w:kern w:val="2"/>
      <w:sz w:val="24"/>
    </w:rPr>
  </w:style>
  <w:style w:type="character" w:customStyle="1" w:styleId="211">
    <w:name w:val="脚注文本 字符"/>
    <w:basedOn w:val="43"/>
    <w:link w:val="31"/>
    <w:qFormat/>
    <w:uiPriority w:val="0"/>
    <w:rPr>
      <w:rFonts w:eastAsia="仿宋_GB2312"/>
      <w:kern w:val="2"/>
      <w:sz w:val="18"/>
      <w:szCs w:val="18"/>
    </w:rPr>
  </w:style>
  <w:style w:type="character" w:customStyle="1" w:styleId="212">
    <w:name w:val="正文文本首行缩进 2 字符"/>
    <w:basedOn w:val="84"/>
    <w:link w:val="40"/>
    <w:semiHidden/>
    <w:qFormat/>
    <w:uiPriority w:val="0"/>
    <w:rPr>
      <w:kern w:val="2"/>
      <w:sz w:val="24"/>
    </w:rPr>
  </w:style>
  <w:style w:type="paragraph" w:customStyle="1" w:styleId="213">
    <w:name w:val="标题3"/>
    <w:qFormat/>
    <w:uiPriority w:val="0"/>
    <w:pPr>
      <w:widowControl w:val="0"/>
      <w:tabs>
        <w:tab w:val="left" w:pos="993"/>
      </w:tabs>
      <w:adjustRightInd w:val="0"/>
      <w:snapToGrid w:val="0"/>
      <w:spacing w:beforeLines="50" w:line="360" w:lineRule="auto"/>
      <w:jc w:val="both"/>
      <w:outlineLvl w:val="2"/>
    </w:pPr>
    <w:rPr>
      <w:rFonts w:ascii="Times New Roman" w:hAnsi="Times New Roman" w:eastAsia="宋体" w:cs="Times New Roman"/>
      <w:b/>
      <w:bCs/>
      <w:kern w:val="2"/>
      <w:sz w:val="28"/>
      <w:szCs w:val="32"/>
      <w:lang w:val="en-US" w:eastAsia="zh-CN" w:bidi="ar-SA"/>
    </w:rPr>
  </w:style>
  <w:style w:type="paragraph" w:customStyle="1" w:styleId="214">
    <w:name w:val="TOC Heading"/>
    <w:basedOn w:val="2"/>
    <w:next w:val="1"/>
    <w:unhideWhenUsed/>
    <w:qFormat/>
    <w:uiPriority w:val="39"/>
    <w:pPr>
      <w:keepNext/>
      <w:keepLines/>
      <w:widowControl/>
      <w:numPr>
        <w:numId w:val="0"/>
      </w:numPr>
      <w:autoSpaceDE/>
      <w:adjustRightInd/>
      <w:snapToGrid/>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character" w:customStyle="1" w:styleId="215">
    <w:name w:val="Unresolved Mention"/>
    <w:basedOn w:val="43"/>
    <w:semiHidden/>
    <w:unhideWhenUsed/>
    <w:qFormat/>
    <w:uiPriority w:val="99"/>
    <w:rPr>
      <w:color w:val="605E5C"/>
      <w:shd w:val="clear" w:color="auto" w:fill="E1DFDD"/>
    </w:rPr>
  </w:style>
  <w:style w:type="paragraph" w:customStyle="1" w:styleId="216">
    <w:name w:val="页眉 New New New New New New New New New New New New New"/>
    <w:basedOn w:val="1"/>
    <w:qFormat/>
    <w:uiPriority w:val="0"/>
    <w:pPr>
      <w:pBdr>
        <w:bottom w:val="single" w:color="auto" w:sz="6" w:space="1"/>
      </w:pBdr>
      <w:tabs>
        <w:tab w:val="center" w:pos="4153"/>
        <w:tab w:val="right" w:pos="8306"/>
      </w:tabs>
      <w:adjustRightInd/>
      <w:spacing w:line="240" w:lineRule="auto"/>
      <w:ind w:left="0" w:firstLine="200"/>
      <w:jc w:val="center"/>
    </w:pPr>
    <w:rPr>
      <w:rFonts w:ascii="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自定义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070C0"/>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C05D26-A7A3-4F4F-8051-90A0EF8D06B7}">
  <ds:schemaRefs/>
</ds:datastoreItem>
</file>

<file path=docProps/app.xml><?xml version="1.0" encoding="utf-8"?>
<Properties xmlns="http://schemas.openxmlformats.org/officeDocument/2006/extended-properties" xmlns:vt="http://schemas.openxmlformats.org/officeDocument/2006/docPropsVTypes">
  <Template>Normal.dotm</Template>
  <Company>yzswj</Company>
  <Pages>12</Pages>
  <Words>14943</Words>
  <Characters>16639</Characters>
  <Lines>309</Lines>
  <Paragraphs>87</Paragraphs>
  <TotalTime>0</TotalTime>
  <ScaleCrop>false</ScaleCrop>
  <LinksUpToDate>false</LinksUpToDate>
  <CharactersWithSpaces>16923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2022-04-14T03:37:00Z</dcterms:created>
  <dc:creator>wzx</dc:creator>
  <cp:lastModifiedBy>WPS_1664349719</cp:lastModifiedBy>
  <cp:lastPrinted>2022-05-24T06:53:00Z</cp:lastPrinted>
  <dcterms:modified xsi:type="dcterms:W3CDTF">2025-05-06T09:56:33Z</dcterms:modified>
  <dc:title>凤岭水库大坝安全论证调研报告</dc:title>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eyJoZGlkIjoiNjZjZDU2ODc0MDMwMzI4MDk3YTkxZGJjNWU4ZjRiMTIiLCJ1c2VySWQiOiIxNDIwNDQyNTI3In0=</vt:lpwstr>
  </property>
  <property fmtid="{D5CDD505-2E9C-101B-9397-08002B2CF9AE}" pid="4" name="ICV">
    <vt:lpwstr>A0BC2E5FC987474596EA2F64982CCB6B_13</vt:lpwstr>
  </property>
</Properties>
</file>