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default" w:ascii="Times New Roman" w:hAnsi="Times New Roman" w:cs="Times New Roman"/>
          <w:color w:val="auto"/>
          <w:sz w:val="28"/>
          <w:highlight w:val="none"/>
        </w:rPr>
      </w:pPr>
      <w:r>
        <w:rPr>
          <w:rFonts w:hint="default" w:ascii="Times New Roman" w:hAnsi="Times New Roman" w:cs="Times New Roman"/>
          <w:color w:val="auto"/>
          <w:sz w:val="28"/>
          <w:highlight w:val="none"/>
        </w:rPr>
      </w:r>
      <w:r/>
    </w:p>
    <w:p>
      <w:pPr>
        <w:jc w:val="right"/>
        <w:spacing w:line="360" w:lineRule="auto"/>
        <w:rPr>
          <w:rFonts w:hint="default" w:ascii="Times New Roman" w:hAnsi="Times New Roman" w:cs="Times New Roman"/>
          <w:b/>
          <w:bCs/>
          <w:color w:val="auto"/>
          <w:sz w:val="32"/>
          <w:szCs w:val="32"/>
          <w:highlight w:val="none"/>
        </w:rPr>
        <w:outlineLvl w:val="0"/>
      </w:pPr>
      <w:r>
        <w:rPr>
          <w:rFonts w:hint="eastAsia" w:cs="Times New Roman"/>
          <w:b/>
          <w:bCs/>
          <w:color w:val="auto"/>
          <w:sz w:val="32"/>
          <w:szCs w:val="32"/>
          <w:highlight w:val="none"/>
          <w:lang w:eastAsia="zh-CN"/>
        </w:rPr>
        <w:t xml:space="preserve">JSZC-321000-YZLZ-C2025-0011</w:t>
      </w:r>
      <w:r>
        <w:rPr>
          <w:rFonts w:hint="default" w:ascii="Times New Roman" w:hAnsi="Times New Roman" w:cs="Times New Roman"/>
          <w:b/>
          <w:bCs/>
          <w:color w:val="auto"/>
          <w:sz w:val="32"/>
          <w:szCs w:val="32"/>
          <w:highlight w:val="none"/>
        </w:rPr>
        <w:t xml:space="preserve"> </w:t>
      </w:r>
      <w:r/>
    </w:p>
    <w:p>
      <w:pPr>
        <w:jc w:val="right"/>
        <w:spacing w:line="360" w:lineRule="auto"/>
        <w:rPr>
          <w:rFonts w:hint="default" w:ascii="Times New Roman" w:hAnsi="Times New Roman" w:cs="Times New Roman"/>
          <w:b/>
          <w:bCs/>
          <w:color w:val="auto"/>
          <w:sz w:val="32"/>
          <w:szCs w:val="32"/>
          <w:highlight w:val="none"/>
        </w:rPr>
        <w:outlineLvl w:val="9"/>
      </w:pPr>
      <w:r>
        <w:rPr>
          <w:rFonts w:hint="default" w:ascii="Times New Roman" w:hAnsi="Times New Roman" w:cs="Times New Roman"/>
          <w:b/>
          <w:bCs/>
          <w:color w:val="auto"/>
          <w:sz w:val="32"/>
          <w:szCs w:val="32"/>
          <w:highlight w:val="none"/>
        </w:rPr>
      </w:r>
      <w:r/>
    </w:p>
    <w:p>
      <w:pPr>
        <w:jc w:val="center"/>
        <w:spacing w:line="360" w:lineRule="auto"/>
        <w:rPr>
          <w:rFonts w:hint="default" w:ascii="Times New Roman" w:hAnsi="Times New Roman" w:cs="Times New Roman"/>
          <w:color w:val="auto"/>
          <w:sz w:val="36"/>
          <w:highlight w:val="none"/>
        </w:rPr>
      </w:pPr>
      <w:r>
        <w:rPr>
          <w:rFonts w:hint="default" w:ascii="Times New Roman" w:hAnsi="Times New Roman" w:cs="Times New Roman"/>
          <w:color w:val="auto"/>
          <w:sz w:val="36"/>
          <w:highlight w:val="none"/>
        </w:rPr>
      </w:r>
      <w:r/>
    </w:p>
    <w:p>
      <w:pPr>
        <w:jc w:val="center"/>
        <w:spacing w:line="360" w:lineRule="auto"/>
        <w:rPr>
          <w:rFonts w:hint="default" w:ascii="Times New Roman" w:hAnsi="Times New Roman" w:eastAsia="宋体" w:cs="Times New Roman"/>
          <w:b/>
          <w:bCs/>
          <w:color w:val="auto"/>
          <w:sz w:val="32"/>
          <w:szCs w:val="32"/>
          <w:highlight w:val="none"/>
          <w:lang w:eastAsia="zh-CN"/>
        </w:rPr>
        <w:outlineLvl w:val="0"/>
      </w:pPr>
      <w:r>
        <w:rPr>
          <w:rFonts w:hint="eastAsia" w:cs="Times New Roman"/>
          <w:b/>
          <w:bCs/>
          <w:color w:val="auto"/>
          <w:sz w:val="32"/>
          <w:szCs w:val="32"/>
          <w:highlight w:val="none"/>
          <w:lang w:eastAsia="zh-CN"/>
        </w:rPr>
        <w:t xml:space="preserve">2025年度扬州社保系统硬件维保项目</w:t>
      </w:r>
      <w:r/>
    </w:p>
    <w:p>
      <w:pPr>
        <w:jc w:val="center"/>
        <w:spacing w:line="360" w:lineRule="auto"/>
        <w:rPr>
          <w:rFonts w:hint="default" w:ascii="Times New Roman" w:hAnsi="Times New Roman" w:cs="Times New Roman"/>
          <w:b/>
          <w:bCs/>
          <w:color w:val="auto"/>
          <w:sz w:val="32"/>
          <w:szCs w:val="32"/>
          <w:highlight w:val="none"/>
        </w:rPr>
        <w:outlineLvl w:val="0"/>
      </w:pPr>
      <w:r/>
      <w:bookmarkStart w:id="0" w:name="_Toc12739"/>
      <w:r/>
      <w:bookmarkStart w:id="1" w:name="_Toc18736"/>
      <w:r>
        <w:rPr>
          <w:rFonts w:hint="default" w:ascii="Times New Roman" w:hAnsi="Times New Roman" w:cs="Times New Roman"/>
          <w:b/>
          <w:bCs/>
          <w:color w:val="auto"/>
          <w:sz w:val="32"/>
          <w:szCs w:val="32"/>
          <w:highlight w:val="none"/>
        </w:rPr>
        <w:t xml:space="preserve">竞争性磋商文件</w:t>
      </w:r>
      <w:bookmarkEnd w:id="0"/>
      <w:r/>
      <w:bookmarkEnd w:id="1"/>
      <w:r/>
      <w:r/>
    </w:p>
    <w:p>
      <w:pPr>
        <w:jc w:val="center"/>
        <w:spacing w:line="360" w:lineRule="auto"/>
        <w:rPr>
          <w:rFonts w:hint="default" w:ascii="Times New Roman" w:hAnsi="Times New Roman" w:cs="Times New Roman"/>
          <w:color w:val="auto"/>
          <w:sz w:val="36"/>
          <w:highlight w:val="none"/>
        </w:rPr>
      </w:pPr>
      <w:r>
        <w:rPr>
          <w:rFonts w:hint="default" w:ascii="Times New Roman" w:hAnsi="Times New Roman" w:cs="Times New Roman"/>
          <w:color w:val="auto"/>
          <w:sz w:val="36"/>
          <w:highlight w:val="none"/>
        </w:rPr>
      </w:r>
      <w:r/>
    </w:p>
    <w:p>
      <w:pPr>
        <w:jc w:val="center"/>
        <w:spacing w:line="360" w:lineRule="auto"/>
        <w:rPr>
          <w:rFonts w:hint="default" w:ascii="Times New Roman" w:hAnsi="Times New Roman" w:cs="Times New Roman"/>
          <w:color w:val="auto"/>
          <w:sz w:val="36"/>
          <w:highlight w:val="none"/>
        </w:rPr>
      </w:pPr>
      <w:r>
        <w:rPr>
          <w:rFonts w:hint="default" w:ascii="Times New Roman" w:hAnsi="Times New Roman" w:cs="Times New Roman"/>
          <w:color w:val="auto"/>
          <w:sz w:val="24"/>
          <w:szCs w:val="24"/>
          <w:highlight w:val="none"/>
        </w:rPr>
        <mc:AlternateContent>
          <mc:Choice Requires="wpg">
            <w:drawing>
              <wp:inline xmlns:wp="http://schemas.openxmlformats.org/drawingml/2006/wordprocessingDrawing" distT="0" distB="0" distL="0" distR="0">
                <wp:extent cx="5207000" cy="3474720"/>
                <wp:effectExtent l="19050" t="0" r="0" b="0"/>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r/>
                      </pic:nvPicPr>
                      <pic:blipFill>
                        <a:blip r:embed="rId19"/>
                        <a:stretch/>
                      </pic:blipFill>
                      <pic:spPr bwMode="auto">
                        <a:xfrm>
                          <a:off x="0" y="0"/>
                          <a:ext cx="5207000" cy="3474720"/>
                        </a:xfrm>
                        <a:prstGeom prst="rect">
                          <a:avLst/>
                        </a:prstGeom>
                        <a:noFill/>
                        <a:ln w="9525" cmpd="sng">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0.0pt;height:273.6pt;mso-wrap-distance-left:0.0pt;mso-wrap-distance-top:0.0pt;mso-wrap-distance-right:0.0pt;mso-wrap-distance-bottom:0.0pt;" stroked="f" strokeweight="0.75pt">
                <v:path textboxrect="0,0,0,0"/>
                <v:imagedata r:id="rId19" o:title=""/>
              </v:shape>
            </w:pict>
          </mc:Fallback>
        </mc:AlternateContent>
      </w:r>
      <w:r/>
    </w:p>
    <w:p>
      <w:pPr>
        <w:jc w:val="center"/>
        <w:spacing w:line="360" w:lineRule="auto"/>
        <w:rPr>
          <w:rFonts w:hint="default" w:ascii="Times New Roman" w:hAnsi="Times New Roman" w:cs="Times New Roman"/>
          <w:color w:val="auto"/>
          <w:sz w:val="36"/>
          <w:highlight w:val="none"/>
        </w:rPr>
      </w:pPr>
      <w:r>
        <w:rPr>
          <w:rFonts w:hint="default" w:ascii="Times New Roman" w:hAnsi="Times New Roman" w:cs="Times New Roman"/>
          <w:color w:val="auto"/>
          <w:sz w:val="36"/>
          <w:highlight w:val="none"/>
        </w:rPr>
      </w:r>
      <w:r/>
    </w:p>
    <w:p>
      <w:pPr>
        <w:spacing w:line="360" w:lineRule="auto"/>
        <w:rPr>
          <w:rFonts w:hint="default" w:ascii="Times New Roman" w:hAnsi="Times New Roman" w:cs="Times New Roman"/>
          <w:b/>
          <w:bCs/>
          <w:color w:val="auto"/>
          <w:sz w:val="36"/>
          <w:highlight w:val="none"/>
        </w:rPr>
      </w:pPr>
      <w:r>
        <w:rPr>
          <w:rFonts w:hint="default" w:ascii="Times New Roman" w:hAnsi="Times New Roman" w:cs="Times New Roman"/>
          <w:b/>
          <w:bCs/>
          <w:color w:val="auto"/>
          <w:sz w:val="36"/>
          <w:highlight w:val="none"/>
        </w:rPr>
      </w:r>
      <w:r/>
    </w:p>
    <w:p>
      <w:pPr>
        <w:jc w:val="center"/>
        <w:spacing w:line="360" w:lineRule="auto"/>
        <w:rPr>
          <w:rFonts w:hint="default" w:ascii="Times New Roman" w:hAnsi="Times New Roman" w:eastAsia="宋体" w:cs="Times New Roman"/>
          <w:color w:val="auto"/>
          <w:sz w:val="30"/>
          <w:szCs w:val="30"/>
          <w:highlight w:val="none"/>
          <w:lang w:eastAsia="zh-CN"/>
        </w:rPr>
        <w:outlineLvl w:val="9"/>
      </w:pPr>
      <w:r/>
      <w:bookmarkStart w:id="2" w:name="_Toc19420"/>
      <w:r/>
      <w:bookmarkStart w:id="3" w:name="_Toc26296"/>
      <w:r>
        <w:rPr>
          <w:rFonts w:hint="default" w:ascii="Times New Roman" w:hAnsi="Times New Roman" w:cs="Times New Roman"/>
          <w:color w:val="auto"/>
          <w:sz w:val="30"/>
          <w:szCs w:val="30"/>
          <w:highlight w:val="none"/>
        </w:rPr>
        <w:t xml:space="preserve">采购人：</w:t>
      </w:r>
      <w:bookmarkEnd w:id="2"/>
      <w:r/>
      <w:bookmarkEnd w:id="3"/>
      <w:r>
        <w:rPr>
          <w:rFonts w:hint="eastAsia" w:cs="Times New Roman"/>
          <w:color w:val="auto"/>
          <w:sz w:val="30"/>
          <w:szCs w:val="30"/>
          <w:highlight w:val="none"/>
          <w:lang w:eastAsia="zh-CN"/>
        </w:rPr>
        <w:t xml:space="preserve">扬州市人力资源和社会保障局</w:t>
      </w:r>
      <w:r/>
    </w:p>
    <w:p>
      <w:pPr>
        <w:jc w:val="center"/>
        <w:spacing w:line="360" w:lineRule="auto"/>
        <w:rPr>
          <w:rFonts w:hint="default" w:ascii="Times New Roman" w:hAnsi="Times New Roman" w:cs="Times New Roman"/>
          <w:b/>
          <w:bCs/>
          <w:color w:val="auto"/>
          <w:sz w:val="36"/>
          <w:highlight w:val="none"/>
        </w:rPr>
        <w:outlineLvl w:val="9"/>
      </w:pPr>
      <w:r>
        <w:rPr>
          <w:rFonts w:hint="default" w:ascii="Times New Roman" w:hAnsi="Times New Roman" w:cs="Times New Roman"/>
          <w:color w:val="auto"/>
          <w:sz w:val="30"/>
          <w:szCs w:val="30"/>
          <w:highlight w:val="none"/>
        </w:rPr>
        <w:t xml:space="preserve">采购代理机构：扬州览众建设工程咨询服务有限公司</w:t>
      </w:r>
      <w:r/>
    </w:p>
    <w:p>
      <w:pPr>
        <w:jc w:val="center"/>
        <w:spacing w:line="360" w:lineRule="auto"/>
        <w:rPr>
          <w:rFonts w:hint="default" w:ascii="Times New Roman" w:hAnsi="Times New Roman" w:cs="Times New Roman"/>
          <w:color w:val="auto"/>
          <w:sz w:val="30"/>
          <w:szCs w:val="30"/>
          <w:highlight w:val="none"/>
        </w:rPr>
        <w:sectPr>
          <w:headerReference w:type="default" r:id="rId9"/>
          <w:footerReference w:type="default" r:id="rId13"/>
          <w:footnotePr/>
          <w:endnotePr/>
          <w:type w:val="nextPage"/>
          <w:pgSz w:w="11906" w:h="16838" w:orient="portrait"/>
          <w:pgMar w:top="1440" w:right="1800" w:bottom="1440" w:left="1800" w:header="851" w:footer="992" w:gutter="0"/>
          <w:pgNumType w:start="1"/>
          <w:rtlGutter/>
          <w:cols w:num="1" w:sep="0" w:space="720" w:equalWidth="1"/>
          <w:docGrid w:linePitch="360"/>
        </w:sectPr>
        <w:outlineLvl w:val="9"/>
      </w:pPr>
      <w:r>
        <w:rPr>
          <w:rFonts w:hint="default" w:ascii="Times New Roman" w:hAnsi="Times New Roman" w:cs="Times New Roman"/>
          <w:color w:val="auto"/>
          <w:sz w:val="30"/>
          <w:szCs w:val="30"/>
          <w:highlight w:val="none"/>
        </w:rPr>
        <w:t xml:space="preserve">发放日期：202</w:t>
      </w:r>
      <w:r>
        <w:rPr>
          <w:rFonts w:hint="default" w:ascii="Times New Roman" w:hAnsi="Times New Roman" w:cs="Times New Roman"/>
          <w:color w:val="auto"/>
          <w:sz w:val="30"/>
          <w:szCs w:val="30"/>
          <w:highlight w:val="none"/>
          <w:lang w:val="en-US" w:eastAsia="zh-CN"/>
        </w:rPr>
        <w:t xml:space="preserve">5</w:t>
      </w:r>
      <w:r>
        <w:rPr>
          <w:rFonts w:hint="default" w:ascii="Times New Roman" w:hAnsi="Times New Roman" w:cs="Times New Roman"/>
          <w:color w:val="auto"/>
          <w:sz w:val="30"/>
          <w:szCs w:val="30"/>
          <w:highlight w:val="none"/>
        </w:rPr>
        <w:t xml:space="preserve">年</w:t>
      </w:r>
      <w:r>
        <w:rPr>
          <w:rFonts w:hint="eastAsia" w:cs="Times New Roman"/>
          <w:color w:val="auto"/>
          <w:sz w:val="30"/>
          <w:szCs w:val="30"/>
          <w:highlight w:val="none"/>
          <w:lang w:val="en-US" w:eastAsia="zh-CN"/>
        </w:rPr>
        <w:t xml:space="preserve">12</w:t>
      </w:r>
      <w:r>
        <w:rPr>
          <w:rFonts w:hint="default" w:ascii="Times New Roman" w:hAnsi="Times New Roman" w:cs="Times New Roman"/>
          <w:color w:val="auto"/>
          <w:sz w:val="30"/>
          <w:szCs w:val="30"/>
          <w:highlight w:val="none"/>
        </w:rPr>
        <w:t xml:space="preserve">月</w:t>
      </w:r>
      <w:r>
        <w:rPr>
          <w:rFonts w:hint="eastAsia" w:cs="Times New Roman"/>
          <w:color w:val="auto"/>
          <w:sz w:val="30"/>
          <w:szCs w:val="30"/>
          <w:highlight w:val="none"/>
          <w:lang w:val="en-US" w:eastAsia="zh-CN"/>
        </w:rPr>
        <w:t xml:space="preserve">9</w:t>
      </w:r>
      <w:r>
        <w:rPr>
          <w:rFonts w:hint="default" w:ascii="Times New Roman" w:hAnsi="Times New Roman" w:cs="Times New Roman"/>
          <w:color w:val="auto"/>
          <w:sz w:val="30"/>
          <w:szCs w:val="30"/>
          <w:highlight w:val="none"/>
        </w:rPr>
        <w:t xml:space="preserve">日</w:t>
      </w:r>
      <w:r/>
    </w:p>
    <w:p>
      <w:pPr>
        <w:jc w:val="center"/>
        <w:spacing w:line="360" w:lineRule="auto"/>
        <w:rPr>
          <w:rFonts w:hint="default" w:ascii="Times New Roman" w:hAnsi="Times New Roman" w:cs="Times New Roman"/>
          <w:color w:val="auto"/>
          <w:sz w:val="32"/>
          <w:highlight w:val="none"/>
        </w:rPr>
        <w:outlineLvl w:val="9"/>
      </w:pPr>
      <w:r/>
      <w:bookmarkStart w:id="4" w:name="_Toc10836"/>
      <w:r/>
      <w:bookmarkStart w:id="5" w:name="_Toc3271"/>
      <w:r/>
      <w:bookmarkStart w:id="6" w:name="_Toc497145839"/>
      <w:r/>
      <w:bookmarkStart w:id="7" w:name="_Toc497468124"/>
      <w:r/>
      <w:r/>
    </w:p>
    <w:p>
      <w:pPr>
        <w:jc w:val="center"/>
        <w:spacing w:line="360" w:lineRule="auto"/>
        <w:rPr>
          <w:rFonts w:hint="default" w:ascii="Times New Roman" w:hAnsi="Times New Roman" w:cs="Times New Roman"/>
          <w:color w:val="auto"/>
          <w:sz w:val="32"/>
          <w:highlight w:val="none"/>
        </w:rPr>
        <w:outlineLvl w:val="0"/>
      </w:pPr>
      <w:r>
        <w:rPr>
          <w:rFonts w:hint="default" w:ascii="Times New Roman" w:hAnsi="Times New Roman" w:cs="Times New Roman"/>
          <w:color w:val="auto"/>
          <w:sz w:val="32"/>
          <w:highlight w:val="none"/>
        </w:rPr>
        <w:t xml:space="preserve">目 录</w:t>
      </w:r>
      <w:bookmarkEnd w:id="4"/>
      <w:r/>
      <w:bookmarkEnd w:id="5"/>
      <w:r/>
      <w:r/>
    </w:p>
    <w:sdt>
      <w:sdtPr>
        <w15:appearance w15:val="boundingBox"/>
        <w15:color w:val="dbdbdb"/>
        <w:id w:val="147459170"/>
        <w:docPartObj>
          <w:docPartGallery w:val="Table of Contents"/>
          <w:docPartUnique w:val="true"/>
        </w:docPartObj>
        <w:rPr>
          <w:rFonts w:hint="default" w:ascii="Times New Roman" w:hAnsi="Times New Roman" w:eastAsia="宋体" w:cs="Times New Roman"/>
          <w:color w:val="auto"/>
          <w:sz w:val="21"/>
          <w:szCs w:val="22"/>
          <w:highlight w:val="none"/>
          <w:lang w:val="en-US" w:eastAsia="zh-CN" w:bidi="ar-SA"/>
        </w:rPr>
      </w:sdtPr>
      <w:sdtContent>
        <w:p>
          <w:pPr>
            <w:ind w:left="0" w:right="0" w:firstLine="0"/>
            <w:jc w:val="center"/>
            <w:spacing w:before="0" w:after="0"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11"/>
            <w:tabs>
              <w:tab w:val="right" w:pos="8306" w:leader="dot"/>
            </w:tabs>
            <w:rPr>
              <w:rFonts w:hint="default" w:ascii="Times New Roman" w:hAnsi="Times New Roman" w:cs="Times New Roman"/>
              <w:color w:val="auto"/>
              <w:highlight w:val="none"/>
            </w:rPr>
          </w:pPr>
          <w:r>
            <w:rPr>
              <w:rFonts w:hint="default" w:ascii="Times New Roman" w:hAnsi="Times New Roman" w:cs="Times New Roman"/>
              <w:color w:val="auto"/>
              <w:sz w:val="32"/>
              <w:highlight w:val="none"/>
            </w:rPr>
            <w:fldChar w:fldCharType="begin"/>
          </w:r>
          <w:r>
            <w:rPr>
              <w:rFonts w:hint="default" w:ascii="Times New Roman" w:hAnsi="Times New Roman" w:cs="Times New Roman"/>
              <w:color w:val="auto"/>
              <w:sz w:val="32"/>
              <w:highlight w:val="none"/>
            </w:rPr>
            <w:instrText xml:space="preserve">TOC \o "1-1" \h \u </w:instrText>
          </w:r>
          <w:r>
            <w:rPr>
              <w:rFonts w:hint="default" w:ascii="Times New Roman" w:hAnsi="Times New Roman" w:cs="Times New Roman"/>
              <w:color w:val="auto"/>
              <w:sz w:val="32"/>
              <w:highlight w:val="none"/>
            </w:rPr>
            <w:fldChar w:fldCharType="separate"/>
          </w:r>
          <w:r/>
        </w:p>
        <w:p>
          <w:pPr>
            <w:pStyle w:val="1111"/>
            <w:keepLines w:val="0"/>
            <w:keepNext w:val="0"/>
            <w:pageBreakBefore w:val="0"/>
            <w:spacing w:line="700" w:lineRule="exact"/>
            <w:widowControl/>
            <w:tabs>
              <w:tab w:val="right" w:pos="8306" w:leader="dot"/>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fldChar w:fldCharType="begin"/>
          </w:r>
          <w:r>
            <w:rPr>
              <w:rFonts w:hint="default" w:ascii="Times New Roman" w:hAnsi="Times New Roman" w:eastAsia="宋体" w:cs="Times New Roman"/>
              <w:color w:val="auto"/>
              <w:sz w:val="21"/>
              <w:szCs w:val="21"/>
              <w:highlight w:val="none"/>
            </w:rPr>
            <w:instrText xml:space="preserve"> HYPERLINK \l _Toc27025 </w:instrText>
          </w:r>
          <w:r>
            <w:rPr>
              <w:rFonts w:hint="default" w:ascii="Times New Roman" w:hAnsi="Times New Roman" w:eastAsia="宋体" w:cs="Times New Roman"/>
              <w:color w:val="auto"/>
              <w:sz w:val="21"/>
              <w:szCs w:val="21"/>
              <w:highlight w:val="none"/>
            </w:rPr>
            <w:fldChar w:fldCharType="separate"/>
          </w:r>
          <w:r>
            <w:rPr>
              <w:rFonts w:hint="default" w:ascii="Times New Roman" w:hAnsi="Times New Roman" w:eastAsia="宋体" w:cs="Times New Roman"/>
              <w:color w:val="auto"/>
              <w:sz w:val="21"/>
              <w:szCs w:val="21"/>
              <w:highlight w:val="none"/>
            </w:rPr>
            <w:t xml:space="preserve">第一章 竞争性磋商公告</w:t>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fldChar w:fldCharType="begin"/>
          </w:r>
          <w:r>
            <w:rPr>
              <w:rFonts w:hint="default" w:ascii="Times New Roman" w:hAnsi="Times New Roman" w:eastAsia="宋体" w:cs="Times New Roman"/>
              <w:color w:val="auto"/>
              <w:sz w:val="21"/>
              <w:szCs w:val="21"/>
              <w:highlight w:val="none"/>
            </w:rPr>
            <w:instrText xml:space="preserve"> PAGEREF _Toc27025 \h </w:instrText>
          </w:r>
          <w:r>
            <w:rPr>
              <w:rFonts w:hint="default" w:ascii="Times New Roman" w:hAnsi="Times New Roman" w:eastAsia="宋体" w:cs="Times New Roman"/>
              <w:color w:val="auto"/>
              <w:sz w:val="21"/>
              <w:szCs w:val="21"/>
              <w:highlight w:val="none"/>
            </w:rPr>
            <w:fldChar w:fldCharType="separate"/>
          </w:r>
          <w:r>
            <w:rPr>
              <w:rFonts w:hint="default" w:ascii="Times New Roman" w:hAnsi="Times New Roman" w:eastAsia="宋体" w:cs="Times New Roman"/>
              <w:color w:val="auto"/>
              <w:sz w:val="21"/>
              <w:szCs w:val="21"/>
              <w:highlight w:val="none"/>
            </w:rPr>
            <w:t xml:space="preserve">2</w:t>
          </w:r>
          <w:r>
            <w:rPr>
              <w:rFonts w:hint="default" w:ascii="Times New Roman" w:hAnsi="Times New Roman" w:eastAsia="宋体" w:cs="Times New Roman"/>
              <w:color w:val="auto"/>
              <w:sz w:val="21"/>
              <w:szCs w:val="21"/>
              <w:highlight w:val="none"/>
            </w:rPr>
            <w:fldChar w:fldCharType="end"/>
          </w:r>
          <w:r>
            <w:rPr>
              <w:rFonts w:hint="default" w:ascii="Times New Roman" w:hAnsi="Times New Roman" w:eastAsia="宋体" w:cs="Times New Roman"/>
              <w:color w:val="auto"/>
              <w:sz w:val="21"/>
              <w:szCs w:val="21"/>
              <w:highlight w:val="none"/>
            </w:rPr>
            <w:fldChar w:fldCharType="end"/>
          </w:r>
          <w:r/>
        </w:p>
        <w:p>
          <w:pPr>
            <w:pStyle w:val="1111"/>
            <w:keepLines w:val="0"/>
            <w:keepNext w:val="0"/>
            <w:pageBreakBefore w:val="0"/>
            <w:spacing w:line="700" w:lineRule="exact"/>
            <w:widowControl/>
            <w:tabs>
              <w:tab w:val="right" w:pos="8306" w:leader="dot"/>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fldChar w:fldCharType="begin"/>
          </w:r>
          <w:r>
            <w:rPr>
              <w:rFonts w:hint="default" w:ascii="Times New Roman" w:hAnsi="Times New Roman" w:eastAsia="宋体" w:cs="Times New Roman"/>
              <w:color w:val="auto"/>
              <w:sz w:val="21"/>
              <w:szCs w:val="21"/>
              <w:highlight w:val="none"/>
            </w:rPr>
            <w:instrText xml:space="preserve"> HYPERLINK \l _Toc14619 </w:instrText>
          </w:r>
          <w:r>
            <w:rPr>
              <w:rFonts w:hint="default" w:ascii="Times New Roman" w:hAnsi="Times New Roman" w:eastAsia="宋体" w:cs="Times New Roman"/>
              <w:color w:val="auto"/>
              <w:sz w:val="21"/>
              <w:szCs w:val="21"/>
              <w:highlight w:val="none"/>
            </w:rPr>
            <w:fldChar w:fldCharType="separate"/>
          </w:r>
          <w:r>
            <w:rPr>
              <w:rFonts w:hint="default" w:ascii="Times New Roman" w:hAnsi="Times New Roman" w:eastAsia="宋体" w:cs="Times New Roman"/>
              <w:color w:val="auto"/>
              <w:sz w:val="21"/>
              <w:szCs w:val="21"/>
              <w:highlight w:val="none"/>
            </w:rPr>
            <w:t xml:space="preserve">第二章 磋商须知</w:t>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fldChar w:fldCharType="begin"/>
          </w:r>
          <w:r>
            <w:rPr>
              <w:rFonts w:hint="default" w:ascii="Times New Roman" w:hAnsi="Times New Roman" w:eastAsia="宋体" w:cs="Times New Roman"/>
              <w:color w:val="auto"/>
              <w:sz w:val="21"/>
              <w:szCs w:val="21"/>
              <w:highlight w:val="none"/>
            </w:rPr>
            <w:instrText xml:space="preserve"> PAGEREF _Toc14619 \h </w:instrText>
          </w:r>
          <w:r>
            <w:rPr>
              <w:rFonts w:hint="default" w:ascii="Times New Roman" w:hAnsi="Times New Roman" w:eastAsia="宋体" w:cs="Times New Roman"/>
              <w:color w:val="auto"/>
              <w:sz w:val="21"/>
              <w:szCs w:val="21"/>
              <w:highlight w:val="none"/>
            </w:rPr>
            <w:fldChar w:fldCharType="separate"/>
          </w:r>
          <w:r>
            <w:rPr>
              <w:rFonts w:hint="default" w:ascii="Times New Roman" w:hAnsi="Times New Roman" w:eastAsia="宋体" w:cs="Times New Roman"/>
              <w:color w:val="auto"/>
              <w:sz w:val="21"/>
              <w:szCs w:val="21"/>
              <w:highlight w:val="none"/>
            </w:rPr>
            <w:t xml:space="preserve">5</w:t>
          </w:r>
          <w:r>
            <w:rPr>
              <w:rFonts w:hint="default" w:ascii="Times New Roman" w:hAnsi="Times New Roman" w:eastAsia="宋体" w:cs="Times New Roman"/>
              <w:color w:val="auto"/>
              <w:sz w:val="21"/>
              <w:szCs w:val="21"/>
              <w:highlight w:val="none"/>
            </w:rPr>
            <w:fldChar w:fldCharType="end"/>
          </w:r>
          <w:r>
            <w:rPr>
              <w:rFonts w:hint="default" w:ascii="Times New Roman" w:hAnsi="Times New Roman" w:eastAsia="宋体" w:cs="Times New Roman"/>
              <w:color w:val="auto"/>
              <w:sz w:val="21"/>
              <w:szCs w:val="21"/>
              <w:highlight w:val="none"/>
            </w:rPr>
            <w:fldChar w:fldCharType="end"/>
          </w:r>
          <w:r/>
        </w:p>
        <w:p>
          <w:pPr>
            <w:pStyle w:val="1111"/>
            <w:keepLines w:val="0"/>
            <w:keepNext w:val="0"/>
            <w:pageBreakBefore w:val="0"/>
            <w:spacing w:line="700" w:lineRule="exact"/>
            <w:widowControl/>
            <w:tabs>
              <w:tab w:val="right" w:pos="8306" w:leader="dot"/>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fldChar w:fldCharType="begin"/>
          </w:r>
          <w:r>
            <w:rPr>
              <w:rFonts w:hint="default" w:ascii="Times New Roman" w:hAnsi="Times New Roman" w:eastAsia="宋体" w:cs="Times New Roman"/>
              <w:color w:val="auto"/>
              <w:sz w:val="21"/>
              <w:szCs w:val="21"/>
              <w:highlight w:val="none"/>
            </w:rPr>
            <w:instrText xml:space="preserve"> HYPERLINK \l _Toc2861 </w:instrText>
          </w:r>
          <w:r>
            <w:rPr>
              <w:rFonts w:hint="default" w:ascii="Times New Roman" w:hAnsi="Times New Roman" w:eastAsia="宋体" w:cs="Times New Roman"/>
              <w:color w:val="auto"/>
              <w:sz w:val="21"/>
              <w:szCs w:val="21"/>
              <w:highlight w:val="none"/>
            </w:rPr>
            <w:fldChar w:fldCharType="separate"/>
          </w:r>
          <w:r>
            <w:rPr>
              <w:rFonts w:hint="default" w:ascii="Times New Roman" w:hAnsi="Times New Roman" w:eastAsia="宋体" w:cs="Times New Roman"/>
              <w:color w:val="auto"/>
              <w:sz w:val="21"/>
              <w:szCs w:val="21"/>
              <w:highlight w:val="none"/>
            </w:rPr>
            <w:t xml:space="preserve">第三章 合同条款及格式</w:t>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fldChar w:fldCharType="begin"/>
          </w:r>
          <w:r>
            <w:rPr>
              <w:rFonts w:hint="default" w:ascii="Times New Roman" w:hAnsi="Times New Roman" w:eastAsia="宋体" w:cs="Times New Roman"/>
              <w:color w:val="auto"/>
              <w:sz w:val="21"/>
              <w:szCs w:val="21"/>
              <w:highlight w:val="none"/>
            </w:rPr>
            <w:instrText xml:space="preserve"> PAGEREF _Toc2861 \h </w:instrText>
          </w:r>
          <w:r>
            <w:rPr>
              <w:rFonts w:hint="default" w:ascii="Times New Roman" w:hAnsi="Times New Roman" w:eastAsia="宋体" w:cs="Times New Roman"/>
              <w:color w:val="auto"/>
              <w:sz w:val="21"/>
              <w:szCs w:val="21"/>
              <w:highlight w:val="none"/>
            </w:rPr>
            <w:fldChar w:fldCharType="separate"/>
          </w:r>
          <w:r>
            <w:rPr>
              <w:rFonts w:hint="default" w:ascii="Times New Roman" w:hAnsi="Times New Roman" w:eastAsia="宋体" w:cs="Times New Roman"/>
              <w:color w:val="auto"/>
              <w:sz w:val="21"/>
              <w:szCs w:val="21"/>
              <w:highlight w:val="none"/>
            </w:rPr>
            <w:t xml:space="preserve">15</w:t>
          </w:r>
          <w:r>
            <w:rPr>
              <w:rFonts w:hint="default" w:ascii="Times New Roman" w:hAnsi="Times New Roman" w:eastAsia="宋体" w:cs="Times New Roman"/>
              <w:color w:val="auto"/>
              <w:sz w:val="21"/>
              <w:szCs w:val="21"/>
              <w:highlight w:val="none"/>
            </w:rPr>
            <w:fldChar w:fldCharType="end"/>
          </w:r>
          <w:r>
            <w:rPr>
              <w:rFonts w:hint="default" w:ascii="Times New Roman" w:hAnsi="Times New Roman" w:eastAsia="宋体" w:cs="Times New Roman"/>
              <w:color w:val="auto"/>
              <w:sz w:val="21"/>
              <w:szCs w:val="21"/>
              <w:highlight w:val="none"/>
            </w:rPr>
            <w:fldChar w:fldCharType="end"/>
          </w:r>
          <w:r/>
        </w:p>
        <w:p>
          <w:pPr>
            <w:pStyle w:val="1111"/>
            <w:keepLines w:val="0"/>
            <w:keepNext w:val="0"/>
            <w:pageBreakBefore w:val="0"/>
            <w:spacing w:line="700" w:lineRule="exact"/>
            <w:widowControl/>
            <w:tabs>
              <w:tab w:val="right" w:pos="8306" w:leader="dot"/>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fldChar w:fldCharType="begin"/>
          </w:r>
          <w:r>
            <w:rPr>
              <w:rFonts w:hint="default" w:ascii="Times New Roman" w:hAnsi="Times New Roman" w:eastAsia="宋体" w:cs="Times New Roman"/>
              <w:color w:val="auto"/>
              <w:sz w:val="21"/>
              <w:szCs w:val="21"/>
              <w:highlight w:val="none"/>
            </w:rPr>
            <w:instrText xml:space="preserve"> HYPERLINK \l _Toc19587 </w:instrText>
          </w:r>
          <w:r>
            <w:rPr>
              <w:rFonts w:hint="default" w:ascii="Times New Roman" w:hAnsi="Times New Roman" w:eastAsia="宋体" w:cs="Times New Roman"/>
              <w:color w:val="auto"/>
              <w:sz w:val="21"/>
              <w:szCs w:val="21"/>
              <w:highlight w:val="none"/>
            </w:rPr>
            <w:fldChar w:fldCharType="separate"/>
          </w:r>
          <w:r>
            <w:rPr>
              <w:rFonts w:hint="default" w:ascii="Times New Roman" w:hAnsi="Times New Roman" w:eastAsia="宋体" w:cs="Times New Roman"/>
              <w:color w:val="auto"/>
              <w:sz w:val="21"/>
              <w:szCs w:val="21"/>
              <w:highlight w:val="none"/>
            </w:rPr>
            <w:t xml:space="preserve">第四章 项目需求</w:t>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fldChar w:fldCharType="begin"/>
          </w:r>
          <w:r>
            <w:rPr>
              <w:rFonts w:hint="default" w:ascii="Times New Roman" w:hAnsi="Times New Roman" w:eastAsia="宋体" w:cs="Times New Roman"/>
              <w:color w:val="auto"/>
              <w:sz w:val="21"/>
              <w:szCs w:val="21"/>
              <w:highlight w:val="none"/>
            </w:rPr>
            <w:instrText xml:space="preserve"> PAGEREF _Toc19587 \h </w:instrText>
          </w:r>
          <w:r>
            <w:rPr>
              <w:rFonts w:hint="default" w:ascii="Times New Roman" w:hAnsi="Times New Roman" w:eastAsia="宋体" w:cs="Times New Roman"/>
              <w:color w:val="auto"/>
              <w:sz w:val="21"/>
              <w:szCs w:val="21"/>
              <w:highlight w:val="none"/>
            </w:rPr>
            <w:fldChar w:fldCharType="separate"/>
          </w:r>
          <w:r>
            <w:rPr>
              <w:rFonts w:hint="default" w:ascii="Times New Roman" w:hAnsi="Times New Roman" w:eastAsia="宋体" w:cs="Times New Roman"/>
              <w:color w:val="auto"/>
              <w:sz w:val="21"/>
              <w:szCs w:val="21"/>
              <w:highlight w:val="none"/>
            </w:rPr>
            <w:t xml:space="preserve">20</w:t>
          </w:r>
          <w:r>
            <w:rPr>
              <w:rFonts w:hint="default" w:ascii="Times New Roman" w:hAnsi="Times New Roman" w:eastAsia="宋体" w:cs="Times New Roman"/>
              <w:color w:val="auto"/>
              <w:sz w:val="21"/>
              <w:szCs w:val="21"/>
              <w:highlight w:val="none"/>
            </w:rPr>
            <w:fldChar w:fldCharType="end"/>
          </w:r>
          <w:r>
            <w:rPr>
              <w:rFonts w:hint="default" w:ascii="Times New Roman" w:hAnsi="Times New Roman" w:eastAsia="宋体" w:cs="Times New Roman"/>
              <w:color w:val="auto"/>
              <w:sz w:val="21"/>
              <w:szCs w:val="21"/>
              <w:highlight w:val="none"/>
            </w:rPr>
            <w:fldChar w:fldCharType="end"/>
          </w:r>
          <w:r/>
        </w:p>
        <w:p>
          <w:pPr>
            <w:pStyle w:val="1111"/>
            <w:keepLines w:val="0"/>
            <w:keepNext w:val="0"/>
            <w:pageBreakBefore w:val="0"/>
            <w:spacing w:line="700" w:lineRule="exact"/>
            <w:widowControl/>
            <w:tabs>
              <w:tab w:val="right" w:pos="8306" w:leader="dot"/>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fldChar w:fldCharType="begin"/>
          </w:r>
          <w:r>
            <w:rPr>
              <w:rFonts w:hint="default" w:ascii="Times New Roman" w:hAnsi="Times New Roman" w:eastAsia="宋体" w:cs="Times New Roman"/>
              <w:color w:val="auto"/>
              <w:sz w:val="21"/>
              <w:szCs w:val="21"/>
              <w:highlight w:val="none"/>
            </w:rPr>
            <w:instrText xml:space="preserve"> HYPERLINK \l _Toc5502 </w:instrText>
          </w:r>
          <w:r>
            <w:rPr>
              <w:rFonts w:hint="default" w:ascii="Times New Roman" w:hAnsi="Times New Roman" w:eastAsia="宋体" w:cs="Times New Roman"/>
              <w:color w:val="auto"/>
              <w:sz w:val="21"/>
              <w:szCs w:val="21"/>
              <w:highlight w:val="none"/>
            </w:rPr>
            <w:fldChar w:fldCharType="separate"/>
          </w:r>
          <w:r>
            <w:rPr>
              <w:rFonts w:hint="default" w:ascii="Times New Roman" w:hAnsi="Times New Roman" w:eastAsia="宋体" w:cs="Times New Roman"/>
              <w:bCs/>
              <w:color w:val="auto"/>
              <w:sz w:val="21"/>
              <w:szCs w:val="21"/>
              <w:highlight w:val="none"/>
            </w:rPr>
            <w:t xml:space="preserve">第五章 评审方法和评审标准</w:t>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fldChar w:fldCharType="begin"/>
          </w:r>
          <w:r>
            <w:rPr>
              <w:rFonts w:hint="default" w:ascii="Times New Roman" w:hAnsi="Times New Roman" w:eastAsia="宋体" w:cs="Times New Roman"/>
              <w:color w:val="auto"/>
              <w:sz w:val="21"/>
              <w:szCs w:val="21"/>
              <w:highlight w:val="none"/>
            </w:rPr>
            <w:instrText xml:space="preserve"> PAGEREF _Toc5502 \h </w:instrText>
          </w:r>
          <w:r>
            <w:rPr>
              <w:rFonts w:hint="default" w:ascii="Times New Roman" w:hAnsi="Times New Roman" w:eastAsia="宋体" w:cs="Times New Roman"/>
              <w:color w:val="auto"/>
              <w:sz w:val="21"/>
              <w:szCs w:val="21"/>
              <w:highlight w:val="none"/>
            </w:rPr>
            <w:fldChar w:fldCharType="separate"/>
          </w:r>
          <w:r>
            <w:rPr>
              <w:rFonts w:hint="default" w:ascii="Times New Roman" w:hAnsi="Times New Roman" w:eastAsia="宋体" w:cs="Times New Roman"/>
              <w:color w:val="auto"/>
              <w:sz w:val="21"/>
              <w:szCs w:val="21"/>
              <w:highlight w:val="none"/>
            </w:rPr>
            <w:t xml:space="preserve">22</w:t>
          </w:r>
          <w:r>
            <w:rPr>
              <w:rFonts w:hint="default" w:ascii="Times New Roman" w:hAnsi="Times New Roman" w:eastAsia="宋体" w:cs="Times New Roman"/>
              <w:color w:val="auto"/>
              <w:sz w:val="21"/>
              <w:szCs w:val="21"/>
              <w:highlight w:val="none"/>
            </w:rPr>
            <w:fldChar w:fldCharType="end"/>
          </w:r>
          <w:r>
            <w:rPr>
              <w:rFonts w:hint="default" w:ascii="Times New Roman" w:hAnsi="Times New Roman" w:eastAsia="宋体" w:cs="Times New Roman"/>
              <w:color w:val="auto"/>
              <w:sz w:val="21"/>
              <w:szCs w:val="21"/>
              <w:highlight w:val="none"/>
            </w:rPr>
            <w:fldChar w:fldCharType="end"/>
          </w:r>
          <w:r/>
        </w:p>
        <w:p>
          <w:pPr>
            <w:pStyle w:val="1111"/>
            <w:keepLines w:val="0"/>
            <w:keepNext w:val="0"/>
            <w:pageBreakBefore w:val="0"/>
            <w:spacing w:line="700" w:lineRule="exact"/>
            <w:widowControl/>
            <w:tabs>
              <w:tab w:val="right" w:pos="8306" w:leader="dot"/>
            </w:tabs>
            <w:rPr>
              <w:rFonts w:hint="default" w:ascii="Times New Roman" w:hAnsi="Times New Roman" w:cs="Times New Roman"/>
              <w:color w:val="auto"/>
              <w:highlight w:val="none"/>
            </w:rPr>
          </w:pPr>
          <w:r>
            <w:rPr>
              <w:rFonts w:hint="default" w:ascii="Times New Roman" w:hAnsi="Times New Roman" w:eastAsia="宋体" w:cs="Times New Roman"/>
              <w:color w:val="auto"/>
              <w:sz w:val="21"/>
              <w:szCs w:val="21"/>
              <w:highlight w:val="none"/>
            </w:rPr>
            <w:fldChar w:fldCharType="begin"/>
          </w:r>
          <w:r>
            <w:rPr>
              <w:rFonts w:hint="default" w:ascii="Times New Roman" w:hAnsi="Times New Roman" w:eastAsia="宋体" w:cs="Times New Roman"/>
              <w:color w:val="auto"/>
              <w:sz w:val="21"/>
              <w:szCs w:val="21"/>
              <w:highlight w:val="none"/>
            </w:rPr>
            <w:instrText xml:space="preserve"> HYPERLINK \l _Toc24729 </w:instrText>
          </w:r>
          <w:r>
            <w:rPr>
              <w:rFonts w:hint="default" w:ascii="Times New Roman" w:hAnsi="Times New Roman" w:eastAsia="宋体" w:cs="Times New Roman"/>
              <w:color w:val="auto"/>
              <w:sz w:val="21"/>
              <w:szCs w:val="21"/>
              <w:highlight w:val="none"/>
            </w:rPr>
            <w:fldChar w:fldCharType="separate"/>
          </w:r>
          <w:r>
            <w:rPr>
              <w:rFonts w:hint="default" w:ascii="Times New Roman" w:hAnsi="Times New Roman" w:eastAsia="宋体" w:cs="Times New Roman"/>
              <w:color w:val="auto"/>
              <w:sz w:val="21"/>
              <w:szCs w:val="21"/>
              <w:highlight w:val="none"/>
              <w:lang w:eastAsia="zh-CN"/>
            </w:rPr>
            <w:t xml:space="preserve">第六章 竞争性磋商响应文件格式</w:t>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fldChar w:fldCharType="begin"/>
          </w:r>
          <w:r>
            <w:rPr>
              <w:rFonts w:hint="default" w:ascii="Times New Roman" w:hAnsi="Times New Roman" w:eastAsia="宋体" w:cs="Times New Roman"/>
              <w:color w:val="auto"/>
              <w:sz w:val="21"/>
              <w:szCs w:val="21"/>
              <w:highlight w:val="none"/>
            </w:rPr>
            <w:instrText xml:space="preserve"> PAGEREF _Toc24729 \h </w:instrText>
          </w:r>
          <w:r>
            <w:rPr>
              <w:rFonts w:hint="default" w:ascii="Times New Roman" w:hAnsi="Times New Roman" w:eastAsia="宋体" w:cs="Times New Roman"/>
              <w:color w:val="auto"/>
              <w:sz w:val="21"/>
              <w:szCs w:val="21"/>
              <w:highlight w:val="none"/>
            </w:rPr>
            <w:fldChar w:fldCharType="separate"/>
          </w:r>
          <w:r>
            <w:rPr>
              <w:rFonts w:hint="default" w:ascii="Times New Roman" w:hAnsi="Times New Roman" w:eastAsia="宋体" w:cs="Times New Roman"/>
              <w:color w:val="auto"/>
              <w:sz w:val="21"/>
              <w:szCs w:val="21"/>
              <w:highlight w:val="none"/>
            </w:rPr>
            <w:t xml:space="preserve">25</w:t>
          </w:r>
          <w:r>
            <w:rPr>
              <w:rFonts w:hint="default" w:ascii="Times New Roman" w:hAnsi="Times New Roman" w:eastAsia="宋体" w:cs="Times New Roman"/>
              <w:color w:val="auto"/>
              <w:sz w:val="21"/>
              <w:szCs w:val="21"/>
              <w:highlight w:val="none"/>
            </w:rPr>
            <w:fldChar w:fldCharType="end"/>
          </w:r>
          <w:r>
            <w:rPr>
              <w:rFonts w:hint="default" w:ascii="Times New Roman" w:hAnsi="Times New Roman" w:eastAsia="宋体" w:cs="Times New Roman"/>
              <w:color w:val="auto"/>
              <w:sz w:val="21"/>
              <w:szCs w:val="21"/>
              <w:highlight w:val="none"/>
            </w:rPr>
            <w:fldChar w:fldCharType="end"/>
          </w:r>
          <w:r/>
        </w:p>
        <w:p>
          <w:pPr>
            <w:jc w:val="center"/>
            <w:spacing w:line="360" w:lineRule="auto"/>
            <w:rPr>
              <w:rFonts w:hint="default" w:ascii="Times New Roman" w:hAnsi="Times New Roman" w:cs="Times New Roman"/>
              <w:color w:val="auto"/>
              <w:sz w:val="32"/>
              <w:highlight w:val="none"/>
            </w:rPr>
            <w:outlineLvl w:val="9"/>
          </w:pPr>
          <w:r>
            <w:rPr>
              <w:rFonts w:hint="default" w:ascii="Times New Roman" w:hAnsi="Times New Roman" w:cs="Times New Roman"/>
              <w:color w:val="auto"/>
              <w:highlight w:val="none"/>
            </w:rPr>
            <w:fldChar w:fldCharType="end"/>
          </w:r>
          <w:r/>
        </w:p>
      </w:sdtContent>
    </w:sdt>
    <w:p>
      <w:pPr>
        <w:spacing w:line="360" w:lineRule="auto"/>
        <w:rPr>
          <w:rFonts w:hint="default" w:ascii="Times New Roman" w:hAnsi="Times New Roman" w:cs="Times New Roman"/>
          <w:color w:val="auto"/>
          <w:sz w:val="28"/>
          <w:highlight w:val="none"/>
        </w:rPr>
      </w:pPr>
      <w:r>
        <w:rPr>
          <w:rFonts w:hint="default" w:ascii="Times New Roman" w:hAnsi="Times New Roman" w:cs="Times New Roman"/>
          <w:color w:val="auto"/>
          <w:sz w:val="28"/>
          <w:highlight w:val="none"/>
        </w:rPr>
      </w:r>
      <w:r/>
    </w:p>
    <w:p>
      <w:pPr>
        <w:pStyle w:val="864"/>
        <w:spacing w:line="360" w:lineRule="auto"/>
        <w:rPr>
          <w:rFonts w:hint="default" w:ascii="Times New Roman" w:hAnsi="Times New Roman" w:cs="Times New Roman"/>
          <w:color w:val="auto"/>
          <w:sz w:val="28"/>
          <w:highlight w:val="none"/>
        </w:rPr>
      </w:pPr>
      <w:r>
        <w:rPr>
          <w:rFonts w:hint="default" w:ascii="Times New Roman" w:hAnsi="Times New Roman" w:cs="Times New Roman"/>
          <w:color w:val="auto"/>
          <w:sz w:val="28"/>
          <w:highlight w:val="none"/>
        </w:rPr>
      </w:r>
      <w:r/>
    </w:p>
    <w:p>
      <w:pPr>
        <w:pStyle w:val="864"/>
        <w:spacing w:line="360" w:lineRule="auto"/>
        <w:rPr>
          <w:rFonts w:hint="default" w:ascii="Times New Roman" w:hAnsi="Times New Roman" w:cs="Times New Roman"/>
          <w:color w:val="auto"/>
          <w:sz w:val="28"/>
          <w:highlight w:val="none"/>
        </w:rPr>
      </w:pPr>
      <w:r>
        <w:rPr>
          <w:rFonts w:hint="default" w:ascii="Times New Roman" w:hAnsi="Times New Roman" w:cs="Times New Roman"/>
          <w:color w:val="auto"/>
          <w:sz w:val="28"/>
          <w:highlight w:val="none"/>
        </w:rPr>
      </w:r>
      <w:r/>
    </w:p>
    <w:p>
      <w:pPr>
        <w:pStyle w:val="864"/>
        <w:spacing w:line="360" w:lineRule="auto"/>
        <w:rPr>
          <w:rFonts w:hint="default" w:ascii="Times New Roman" w:hAnsi="Times New Roman" w:cs="Times New Roman"/>
          <w:color w:val="auto"/>
          <w:sz w:val="28"/>
          <w:highlight w:val="none"/>
        </w:rPr>
      </w:pPr>
      <w:r>
        <w:rPr>
          <w:rFonts w:hint="default" w:ascii="Times New Roman" w:hAnsi="Times New Roman" w:cs="Times New Roman"/>
          <w:color w:val="auto"/>
          <w:sz w:val="28"/>
          <w:highlight w:val="none"/>
        </w:rPr>
      </w:r>
      <w:r/>
    </w:p>
    <w:p>
      <w:pPr>
        <w:pStyle w:val="853"/>
        <w:ind w:firstLine="723"/>
        <w:jc w:val="center"/>
        <w:spacing w:line="360" w:lineRule="auto"/>
        <w:rPr>
          <w:rFonts w:hint="default" w:ascii="Times New Roman" w:hAnsi="Times New Roman" w:cs="Times New Roman"/>
          <w:color w:val="auto"/>
          <w:sz w:val="28"/>
          <w:highlight w:val="none"/>
        </w:rPr>
        <w:outlineLvl w:val="9"/>
      </w:pPr>
      <w:r>
        <w:rPr>
          <w:rFonts w:hint="default" w:ascii="Times New Roman" w:hAnsi="Times New Roman" w:cs="Times New Roman"/>
          <w:color w:val="auto"/>
          <w:sz w:val="28"/>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53"/>
        <w:numPr>
          <w:ilvl w:val="0"/>
          <w:numId w:val="5"/>
        </w:numPr>
        <w:ind w:firstLine="723"/>
        <w:jc w:val="center"/>
        <w:spacing w:line="360" w:lineRule="auto"/>
        <w:rPr>
          <w:rFonts w:hint="default" w:ascii="Times New Roman" w:hAnsi="Times New Roman" w:cs="Times New Roman"/>
          <w:color w:val="auto"/>
          <w:sz w:val="36"/>
          <w:highlight w:val="none"/>
        </w:rPr>
      </w:pPr>
      <w:r/>
      <w:bookmarkStart w:id="8" w:name="_Toc26068"/>
      <w:r/>
      <w:bookmarkStart w:id="9" w:name="_Toc27025"/>
      <w:r/>
      <w:bookmarkStart w:id="10" w:name="_Toc20775"/>
      <w:r>
        <w:rPr>
          <w:rFonts w:hint="default" w:ascii="Times New Roman" w:hAnsi="Times New Roman" w:cs="Times New Roman"/>
          <w:color w:val="auto"/>
          <w:sz w:val="36"/>
          <w:szCs w:val="36"/>
          <w:highlight w:val="none"/>
        </w:rPr>
        <w:t xml:space="preserve">竞争性磋商公告</w:t>
      </w:r>
      <w:bookmarkEnd w:id="6"/>
      <w:r/>
      <w:bookmarkEnd w:id="8"/>
      <w:r/>
      <w:bookmarkEnd w:id="9"/>
      <w:r/>
      <w:bookmarkEnd w:id="10"/>
      <w:r/>
      <w:r/>
    </w:p>
    <w:tbl>
      <w:tblPr>
        <w:tblStyle w:val="863"/>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339"/>
      </w:tblGrid>
      <w:tr>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项目概况</w:t>
            </w:r>
            <w:r/>
          </w:p>
          <w:p>
            <w:pPr>
              <w:ind w:firstLine="420"/>
              <w:spacing w:line="360" w:lineRule="auto"/>
              <w:rPr>
                <w:rFonts w:hint="default" w:ascii="Times New Roman" w:hAnsi="Times New Roman" w:eastAsia="宋体" w:cs="Times New Roman"/>
                <w:color w:val="auto"/>
                <w:sz w:val="21"/>
                <w:szCs w:val="21"/>
                <w:highlight w:val="none"/>
              </w:rPr>
            </w:pPr>
            <w:r>
              <w:rPr>
                <w:rFonts w:hint="eastAsia" w:cs="Times New Roman"/>
                <w:color w:val="auto"/>
                <w:highlight w:val="none"/>
                <w:lang w:eastAsia="zh-CN"/>
              </w:rPr>
              <w:t xml:space="preserve">2025年度扬州社保系统硬件维保项目JSZC-321000-YZLZ-C2025-0011</w:t>
            </w:r>
            <w:r>
              <w:rPr>
                <w:rFonts w:hint="default" w:ascii="Times New Roman" w:hAnsi="Times New Roman" w:cs="Times New Roman"/>
                <w:color w:val="auto"/>
                <w:highlight w:val="none"/>
              </w:rPr>
              <w:t xml:space="preserve">采购项目的潜在供应商应在“扬州市政府采购网”、“江苏省政府采购网”、“中国政府采购网” 获取采购文件，并于</w:t>
            </w:r>
            <w:r>
              <w:rPr>
                <w:rFonts w:hint="default" w:ascii="Times New Roman" w:hAnsi="Times New Roman" w:cs="Times New Roman"/>
                <w:color w:val="auto"/>
                <w:highlight w:val="none"/>
              </w:rPr>
              <w:t xml:space="preserve">202</w:t>
            </w:r>
            <w:r>
              <w:rPr>
                <w:rFonts w:hint="default" w:ascii="Times New Roman" w:hAnsi="Times New Roman" w:cs="Times New Roman"/>
                <w:color w:val="auto"/>
                <w:highlight w:val="none"/>
                <w:lang w:val="en-US" w:eastAsia="zh-CN"/>
              </w:rPr>
              <w:t xml:space="preserve">5</w:t>
            </w: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lang w:val="en-US" w:eastAsia="zh-CN"/>
              </w:rPr>
              <w:t xml:space="preserve">1</w:t>
            </w:r>
            <w:r>
              <w:rPr>
                <w:rFonts w:hint="eastAsia" w:cs="Times New Roman"/>
                <w:color w:val="auto"/>
                <w:highlight w:val="none"/>
                <w:lang w:val="en-US" w:eastAsia="zh-CN"/>
              </w:rPr>
              <w:t xml:space="preserve">2</w:t>
            </w:r>
            <w:r>
              <w:rPr>
                <w:rFonts w:hint="default" w:ascii="Times New Roman" w:hAnsi="Times New Roman" w:cs="Times New Roman"/>
                <w:color w:val="auto"/>
                <w:highlight w:val="none"/>
              </w:rPr>
              <w:t xml:space="preserve">-</w:t>
            </w:r>
            <w:r>
              <w:rPr>
                <w:rFonts w:hint="eastAsia" w:cs="Times New Roman"/>
                <w:color w:val="auto"/>
                <w:highlight w:val="none"/>
                <w:lang w:val="en-US" w:eastAsia="zh-CN"/>
              </w:rPr>
              <w:t xml:space="preserve">22 </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 </w:t>
            </w:r>
            <w:r>
              <w:rPr>
                <w:rFonts w:hint="default" w:ascii="Times New Roman" w:hAnsi="Times New Roman" w:cs="Times New Roman"/>
                <w:color w:val="auto"/>
                <w:highlight w:val="none"/>
                <w:lang w:val="en-US" w:eastAsia="zh-CN"/>
              </w:rPr>
              <w:t xml:space="preserve">14</w:t>
            </w:r>
            <w:r>
              <w:rPr>
                <w:rFonts w:hint="default" w:ascii="Times New Roman" w:hAnsi="Times New Roman" w:cs="Times New Roman"/>
                <w:color w:val="auto"/>
                <w:highlight w:val="none"/>
              </w:rPr>
              <w:t xml:space="preserve">:30</w:t>
            </w:r>
            <w:r>
              <w:rPr>
                <w:rFonts w:hint="default" w:ascii="Times New Roman" w:hAnsi="Times New Roman" w:cs="Times New Roman"/>
                <w:color w:val="auto"/>
                <w:highlight w:val="none"/>
              </w:rPr>
              <w:t xml:space="preserve">（北京时间）前递交响应文件。</w:t>
            </w:r>
            <w:r/>
          </w:p>
        </w:tc>
      </w:tr>
    </w:tbl>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一、项目基本情况</w:t>
      </w:r>
      <w:r/>
    </w:p>
    <w:p>
      <w:pPr>
        <w:pStyle w:val="907"/>
        <w:ind w:firstLine="422"/>
        <w:spacing w:line="360" w:lineRule="auto"/>
        <w:rPr>
          <w:rFonts w:hint="default" w:ascii="Times New Roman" w:hAnsi="Times New Roman" w:eastAsia="宋体" w:cs="Times New Roman"/>
          <w:b w:val="0"/>
          <w:bCs w:val="0"/>
          <w:color w:val="auto"/>
          <w:highlight w:val="none"/>
          <w:lang w:eastAsia="zh-CN"/>
        </w:rPr>
      </w:pPr>
      <w:r>
        <w:rPr>
          <w:rFonts w:hint="default" w:ascii="Times New Roman" w:hAnsi="Times New Roman" w:cs="Times New Roman"/>
          <w:b w:val="0"/>
          <w:bCs w:val="0"/>
          <w:color w:val="auto"/>
          <w:highlight w:val="none"/>
        </w:rPr>
        <w:t xml:space="preserve">项目编号：</w:t>
      </w:r>
      <w:r>
        <w:rPr>
          <w:rFonts w:hint="eastAsia" w:cs="Times New Roman"/>
          <w:b w:val="0"/>
          <w:bCs w:val="0"/>
          <w:color w:val="auto"/>
          <w:highlight w:val="none"/>
          <w:lang w:eastAsia="zh-CN"/>
        </w:rPr>
        <w:t xml:space="preserve">JSZC-321000-YZLZ-C2025-0011</w:t>
      </w:r>
      <w:r/>
    </w:p>
    <w:p>
      <w:pPr>
        <w:pStyle w:val="907"/>
        <w:ind w:firstLine="422"/>
        <w:spacing w:line="360" w:lineRule="auto"/>
        <w:rPr>
          <w:rFonts w:hint="default" w:ascii="Times New Roman" w:hAnsi="Times New Roman" w:eastAsia="宋体" w:cs="Times New Roman"/>
          <w:b w:val="0"/>
          <w:bCs w:val="0"/>
          <w:color w:val="auto"/>
          <w:highlight w:val="none"/>
          <w:lang w:eastAsia="zh-CN"/>
        </w:rPr>
      </w:pPr>
      <w:r>
        <w:rPr>
          <w:rFonts w:hint="default" w:ascii="Times New Roman" w:hAnsi="Times New Roman" w:cs="Times New Roman"/>
          <w:b w:val="0"/>
          <w:bCs w:val="0"/>
          <w:color w:val="auto"/>
          <w:highlight w:val="none"/>
        </w:rPr>
        <w:t xml:space="preserve">项目名称：</w:t>
      </w:r>
      <w:r>
        <w:rPr>
          <w:rFonts w:hint="eastAsia" w:cs="Times New Roman"/>
          <w:b w:val="0"/>
          <w:bCs w:val="0"/>
          <w:color w:val="auto"/>
          <w:highlight w:val="none"/>
          <w:lang w:eastAsia="zh-CN"/>
        </w:rPr>
        <w:t xml:space="preserve">2025年度扬州社保系统硬件维保项目</w:t>
      </w:r>
      <w:r/>
    </w:p>
    <w:p>
      <w:pPr>
        <w:pStyle w:val="907"/>
        <w:ind w:firstLine="422"/>
        <w:spacing w:line="360" w:lineRule="auto"/>
        <w:rPr>
          <w:rFonts w:hint="default" w:ascii="Times New Roman" w:hAnsi="Times New Roman" w:eastAsia="宋体" w:cs="Times New Roman"/>
          <w:b w:val="0"/>
          <w:bCs w:val="0"/>
          <w:color w:val="auto"/>
          <w:highlight w:val="none"/>
          <w:lang w:eastAsia="zh-CN"/>
        </w:rPr>
      </w:pPr>
      <w:r>
        <w:rPr>
          <w:rFonts w:hint="default" w:ascii="Times New Roman" w:hAnsi="Times New Roman" w:cs="Times New Roman"/>
          <w:b w:val="0"/>
          <w:bCs w:val="0"/>
          <w:color w:val="auto"/>
          <w:highlight w:val="none"/>
        </w:rPr>
        <w:t xml:space="preserve">采购方式：竞争性磋商</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预算金额：</w:t>
      </w:r>
      <w:r>
        <w:rPr>
          <w:rFonts w:hint="eastAsia" w:cs="Times New Roman"/>
          <w:b w:val="0"/>
          <w:bCs w:val="0"/>
          <w:color w:val="auto"/>
          <w:highlight w:val="none"/>
          <w:lang w:val="en-US" w:eastAsia="zh-CN"/>
        </w:rPr>
        <w:t xml:space="preserve">106</w:t>
      </w:r>
      <w:r>
        <w:rPr>
          <w:rFonts w:hint="default" w:ascii="Times New Roman" w:hAnsi="Times New Roman" w:cs="Times New Roman"/>
          <w:b w:val="0"/>
          <w:bCs w:val="0"/>
          <w:color w:val="auto"/>
          <w:highlight w:val="none"/>
          <w:lang w:val="en-US" w:eastAsia="zh-CN"/>
        </w:rPr>
        <w:t xml:space="preserve">万元</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最高限价：</w:t>
      </w:r>
      <w:r>
        <w:rPr>
          <w:rFonts w:hint="eastAsia" w:cs="Times New Roman"/>
          <w:b w:val="0"/>
          <w:bCs w:val="0"/>
          <w:color w:val="auto"/>
          <w:highlight w:val="none"/>
          <w:lang w:val="en-US" w:eastAsia="zh-CN"/>
        </w:rPr>
        <w:t xml:space="preserve">106</w:t>
      </w:r>
      <w:r>
        <w:rPr>
          <w:rFonts w:hint="default" w:ascii="Times New Roman" w:hAnsi="Times New Roman" w:cs="Times New Roman"/>
          <w:b w:val="0"/>
          <w:bCs w:val="0"/>
          <w:color w:val="auto"/>
          <w:highlight w:val="none"/>
          <w:lang w:val="en-US" w:eastAsia="zh-CN"/>
        </w:rPr>
        <w:t xml:space="preserve">万元</w:t>
      </w:r>
      <w:r>
        <w:rPr>
          <w:rFonts w:hint="default" w:ascii="Times New Roman" w:hAnsi="Times New Roman" w:cs="Times New Roman"/>
          <w:b w:val="0"/>
          <w:bCs w:val="0"/>
          <w:color w:val="auto"/>
          <w:highlight w:val="none"/>
          <w:lang w:val="en-US" w:eastAsia="zh-CN"/>
        </w:rPr>
        <w:t xml:space="preserve">。报价超过最高限价做无效响应文件处理。</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采购需求：</w:t>
      </w:r>
      <w:r>
        <w:rPr>
          <w:rFonts w:hint="default" w:ascii="Times New Roman" w:hAnsi="Times New Roman" w:cs="Times New Roman"/>
          <w:b w:val="0"/>
          <w:bCs w:val="0"/>
          <w:color w:val="auto"/>
          <w:highlight w:val="none"/>
          <w:lang w:val="en-US" w:eastAsia="zh-CN"/>
        </w:rPr>
        <w:t xml:space="preserve">详见第四章项目需求。</w:t>
      </w:r>
      <w:r/>
    </w:p>
    <w:p>
      <w:pPr>
        <w:pStyle w:val="907"/>
        <w:ind w:firstLine="422"/>
        <w:spacing w:line="360" w:lineRule="auto"/>
        <w:rPr>
          <w:rFonts w:hint="default" w:ascii="Times New Roman" w:hAnsi="Times New Roman" w:cs="Times New Roman"/>
          <w:b w:val="0"/>
          <w:bCs w:val="0"/>
          <w:color w:val="auto"/>
          <w:highlight w:val="yellow"/>
          <w:lang w:val="en-US" w:eastAsia="zh-CN"/>
        </w:rPr>
      </w:pPr>
      <w:r>
        <w:rPr>
          <w:rFonts w:hint="default" w:ascii="Times New Roman" w:hAnsi="Times New Roman" w:cs="Times New Roman"/>
          <w:b w:val="0"/>
          <w:bCs w:val="0"/>
          <w:color w:val="auto"/>
          <w:highlight w:val="none"/>
        </w:rPr>
        <w:t xml:space="preserve">合同履行期限：</w:t>
      </w:r>
      <w:r>
        <w:rPr>
          <w:rFonts w:hint="eastAsia" w:cs="Times New Roman"/>
          <w:b w:val="0"/>
          <w:bCs w:val="0"/>
          <w:color w:val="auto"/>
          <w:highlight w:val="none"/>
          <w:lang w:val="en-US" w:eastAsia="zh-CN"/>
        </w:rPr>
        <w:t xml:space="preserve">壹年</w:t>
      </w:r>
      <w:r>
        <w:rPr>
          <w:rFonts w:hint="default" w:ascii="Times New Roman" w:hAnsi="Times New Roman" w:cs="Times New Roman"/>
          <w:b w:val="0"/>
          <w:bCs w:val="0"/>
          <w:color w:val="auto"/>
          <w:highlight w:val="none"/>
          <w:lang w:val="en-US" w:eastAsia="zh-CN"/>
        </w:rPr>
        <w:t xml:space="preserve">。</w:t>
      </w:r>
      <w:r/>
    </w:p>
    <w:p>
      <w:pPr>
        <w:pStyle w:val="907"/>
        <w:ind w:firstLine="422"/>
        <w:spacing w:line="360" w:lineRule="auto"/>
        <w:rPr>
          <w:rFonts w:hint="default" w:ascii="Times New Roman" w:hAnsi="Times New Roman" w:eastAsia="宋体" w:cs="Times New Roman"/>
          <w:b w:val="0"/>
          <w:bCs w:val="0"/>
          <w:color w:val="auto"/>
          <w:highlight w:val="none"/>
          <w:lang w:eastAsia="zh-CN"/>
        </w:rPr>
      </w:pPr>
      <w:r>
        <w:rPr>
          <w:rFonts w:hint="default" w:ascii="Times New Roman" w:hAnsi="Times New Roman" w:cs="Times New Roman"/>
          <w:b w:val="0"/>
          <w:bCs w:val="0"/>
          <w:color w:val="auto"/>
          <w:highlight w:val="none"/>
        </w:rPr>
        <w:t xml:space="preserve">本项目（是/否）接受联合体投标：不接受联合体</w:t>
      </w:r>
      <w:r>
        <w:rPr>
          <w:rFonts w:hint="default" w:ascii="Times New Roman" w:hAnsi="Times New Roman" w:cs="Times New Roman"/>
          <w:b w:val="0"/>
          <w:bCs w:val="0"/>
          <w:color w:val="auto"/>
          <w:highlight w:val="none"/>
          <w:lang w:eastAsia="zh-CN"/>
        </w:rPr>
        <w:t xml:space="preserve">。</w:t>
      </w:r>
      <w:r/>
    </w:p>
    <w:p>
      <w:pPr>
        <w:pStyle w:val="907"/>
        <w:ind w:firstLine="422"/>
        <w:spacing w:line="360" w:lineRule="auto"/>
        <w:tabs>
          <w:tab w:val="left" w:pos="5846" w:leader="none"/>
        </w:tabs>
        <w:rPr>
          <w:rFonts w:hint="default" w:ascii="Times New Roman" w:hAnsi="Times New Roman" w:eastAsia="宋体" w:cs="Times New Roman"/>
          <w:b/>
          <w:bCs/>
          <w:color w:val="auto"/>
          <w:highlight w:val="none"/>
          <w:lang w:eastAsia="zh-CN"/>
        </w:rPr>
      </w:pPr>
      <w:r>
        <w:rPr>
          <w:rFonts w:hint="default" w:ascii="Times New Roman" w:hAnsi="Times New Roman" w:cs="Times New Roman"/>
          <w:b/>
          <w:bCs/>
          <w:color w:val="auto"/>
          <w:highlight w:val="none"/>
        </w:rPr>
        <w:t xml:space="preserve">二、申请人的资格要求：</w:t>
      </w:r>
      <w:r>
        <w:rPr>
          <w:rFonts w:hint="default" w:ascii="Times New Roman" w:hAnsi="Times New Roman" w:cs="Times New Roman"/>
          <w:b/>
          <w:bCs/>
          <w:color w:val="auto"/>
          <w:highlight w:val="none"/>
          <w:lang w:eastAsia="zh-CN"/>
        </w:rPr>
        <w:tab/>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（一）满足《中华人民共和国政府采购法》第二十二条规定；</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1.法人或者其他组织的营业执照等证明文件，自然人的身份证明</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2.依法缴纳职工社会保障资金的证明材料(税务、银行或社会保险基金管理部门出具的近三个月内任意一个月缴纳职工社会保障资金的缴款凭证或缴款证明)（供应商依法享受缓缴、免缴的提供证明材料）</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3.供应商近三个月内任意一份依法纳税的缴款凭证（供应商依法享受缓缴、免缴的提供证明材料）</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4.上一年度的财务报告情况（成立不满一年不需提供）</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5.具备履行合同所必需的设备和专业技术能力的证明材料</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6.参加本次政府采购活动前3年内在经营活动中没有重大违法记录的书面声明</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7.未被“信用中国”网站（www.creditchina.gov.cn）、“中国政府采购网”(www.ccgp.gov.cn)列入失信被执行人、重大税收违法案件当事人名单、政府采购严重违法失信行为记录名单（文件中无需提供证明材料）</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8.供应商信用承诺书</w:t>
      </w:r>
      <w:r/>
    </w:p>
    <w:p>
      <w:pPr>
        <w:pStyle w:val="907"/>
        <w:ind w:firstLine="422"/>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Times New Roman" w:cs="Times New Roman"/>
          <w:color w:val="auto"/>
          <w:sz w:val="21"/>
          <w:highlight w:val="none"/>
        </w:rPr>
        <w:t xml:space="preserve">9.</w:t>
      </w:r>
      <w:r>
        <w:rPr>
          <w:rFonts w:hint="default" w:ascii="Times New Roman" w:hAnsi="Times New Roman" w:eastAsia="宋体" w:cs="Times New Roman"/>
          <w:color w:val="auto"/>
          <w:sz w:val="21"/>
          <w:highlight w:val="none"/>
        </w:rPr>
        <w:t xml:space="preserve">磋商响应函</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eastAsia="Times New Roman" w:cs="Times New Roman"/>
          <w:color w:val="auto"/>
          <w:sz w:val="21"/>
          <w:highlight w:val="none"/>
        </w:rPr>
        <w:t xml:space="preserve">10.</w:t>
      </w:r>
      <w:r>
        <w:rPr>
          <w:rFonts w:hint="default" w:ascii="Times New Roman" w:hAnsi="Times New Roman" w:eastAsia="宋体" w:cs="Times New Roman"/>
          <w:color w:val="auto"/>
          <w:sz w:val="21"/>
          <w:highlight w:val="none"/>
        </w:rPr>
        <w:t xml:space="preserve">法人授权书</w:t>
      </w:r>
      <w:r/>
    </w:p>
    <w:p>
      <w:pPr>
        <w:pStyle w:val="907"/>
        <w:ind w:firstLine="422"/>
        <w:spacing w:line="360" w:lineRule="auto"/>
        <w:rPr>
          <w:rFonts w:hint="eastAsia" w:ascii="Times New Roman" w:hAnsi="Times New Roman" w:eastAsia="宋体" w:cs="Times New Roman"/>
          <w:b w:val="0"/>
          <w:bCs w:val="0"/>
          <w:color w:val="auto"/>
          <w:highlight w:val="none"/>
          <w:lang w:val="en-US" w:eastAsia="zh-CN"/>
        </w:rPr>
      </w:pPr>
      <w:r>
        <w:rPr>
          <w:rFonts w:hint="default" w:ascii="Times New Roman" w:hAnsi="Times New Roman" w:cs="Times New Roman"/>
          <w:b w:val="0"/>
          <w:bCs w:val="0"/>
          <w:color w:val="auto"/>
          <w:highlight w:val="none"/>
        </w:rPr>
        <w:t xml:space="preserve">（二）落实政府采购政策需满足的资格要求：</w:t>
      </w:r>
      <w:r>
        <w:rPr>
          <w:rFonts w:hint="eastAsia" w:cs="Times New Roman"/>
          <w:b w:val="0"/>
          <w:bCs w:val="0"/>
          <w:color w:val="auto"/>
          <w:highlight w:val="none"/>
          <w:lang w:val="en-US" w:eastAsia="zh-CN"/>
        </w:rPr>
        <w:t xml:space="preserve">无</w:t>
      </w:r>
      <w:r/>
    </w:p>
    <w:p>
      <w:pPr>
        <w:pStyle w:val="907"/>
        <w:ind w:firstLine="422"/>
        <w:spacing w:line="360" w:lineRule="auto"/>
        <w:rPr>
          <w:rFonts w:hint="eastAsia" w:ascii="Times New Roman" w:hAnsi="Times New Roman" w:eastAsia="宋体" w:cs="Times New Roman"/>
          <w:b w:val="0"/>
          <w:bCs w:val="0"/>
          <w:color w:val="auto"/>
          <w:highlight w:val="none"/>
          <w:lang w:val="en-US" w:eastAsia="zh-CN"/>
        </w:rPr>
      </w:pPr>
      <w:r>
        <w:rPr>
          <w:rFonts w:hint="default" w:ascii="Times New Roman" w:hAnsi="Times New Roman" w:cs="Times New Roman"/>
          <w:b w:val="0"/>
          <w:bCs w:val="0"/>
          <w:color w:val="auto"/>
          <w:highlight w:val="none"/>
        </w:rPr>
        <w:t xml:space="preserve">（三）本项目的特定资格要求：</w:t>
      </w:r>
      <w:r>
        <w:rPr>
          <w:rFonts w:hint="eastAsia" w:cs="Times New Roman"/>
          <w:b w:val="0"/>
          <w:bCs w:val="0"/>
          <w:color w:val="auto"/>
          <w:highlight w:val="none"/>
          <w:lang w:val="en-US" w:eastAsia="zh-CN"/>
        </w:rPr>
        <w:t xml:space="preserve">无</w:t>
      </w:r>
      <w:r/>
    </w:p>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三、获取采购文件</w:t>
      </w:r>
      <w:r/>
    </w:p>
    <w:p>
      <w:pPr>
        <w:pStyle w:val="907"/>
        <w:ind w:firstLine="422"/>
        <w:spacing w:line="360" w:lineRule="auto"/>
        <w:rPr>
          <w:rFonts w:hint="default" w:ascii="Times New Roman" w:hAnsi="Times New Roman" w:eastAsia="Times New Roman" w:cs="Times New Roman"/>
          <w:color w:val="auto"/>
          <w:sz w:val="21"/>
          <w:szCs w:val="21"/>
          <w:highlight w:val="none"/>
        </w:rPr>
      </w:pPr>
      <w:r>
        <w:rPr>
          <w:rFonts w:hint="default" w:ascii="Times New Roman" w:hAnsi="Times New Roman" w:cs="Times New Roman"/>
          <w:b w:val="0"/>
          <w:bCs w:val="0"/>
          <w:color w:val="auto"/>
          <w:highlight w:val="none"/>
        </w:rPr>
        <w:t xml:space="preserve">时间：</w:t>
      </w:r>
      <w:r>
        <w:rPr>
          <w:rFonts w:hint="default" w:ascii="Times New Roman" w:hAnsi="Times New Roman" w:eastAsia="宋体" w:cs="Times New Roman"/>
          <w:color w:val="auto"/>
          <w:sz w:val="21"/>
          <w:highlight w:val="none"/>
        </w:rPr>
        <w:t xml:space="preserve">自磋商文件公告发布之日起</w:t>
      </w:r>
      <w:r>
        <w:rPr>
          <w:rFonts w:hint="default" w:ascii="Times New Roman" w:hAnsi="Times New Roman" w:eastAsia="Times New Roman" w:cs="Times New Roman"/>
          <w:color w:val="auto"/>
          <w:sz w:val="21"/>
          <w:highlight w:val="none"/>
        </w:rPr>
        <w:t xml:space="preserve">5</w:t>
      </w:r>
      <w:r>
        <w:rPr>
          <w:rFonts w:hint="default" w:ascii="Times New Roman" w:hAnsi="Times New Roman" w:eastAsia="宋体" w:cs="Times New Roman"/>
          <w:color w:val="auto"/>
          <w:sz w:val="21"/>
          <w:highlight w:val="none"/>
        </w:rPr>
        <w:t xml:space="preserve">个工作日</w:t>
      </w:r>
      <w:r>
        <w:rPr>
          <w:rFonts w:hint="default" w:ascii="Times New Roman" w:hAnsi="Times New Roman" w:eastAsia="Times New Roman" w:cs="Times New Roman"/>
          <w:color w:val="auto"/>
          <w:sz w:val="21"/>
          <w:highlight w:val="none"/>
        </w:rPr>
        <w:t xml:space="preserve"> </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地点：“扬州市政府采购网”、“江苏省政府采购网”、“中国政府采购网”</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方式：“苏采云”系统（网址： http://jszfcg.jsczt.cn/）</w:t>
      </w:r>
      <w:r/>
    </w:p>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val="0"/>
          <w:bCs w:val="0"/>
          <w:color w:val="auto"/>
          <w:highlight w:val="none"/>
        </w:rPr>
        <w:t xml:space="preserve">售价：0.00元</w:t>
      </w:r>
      <w:r/>
    </w:p>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四、响应文件提交</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截止时间：</w:t>
      </w:r>
      <w:r>
        <w:rPr>
          <w:rFonts w:hint="default" w:ascii="Times New Roman" w:hAnsi="Times New Roman" w:cs="Times New Roman"/>
          <w:b w:val="0"/>
          <w:bCs w:val="0"/>
          <w:color w:val="auto"/>
          <w:highlight w:val="none"/>
        </w:rPr>
        <w:t xml:space="preserve">202</w:t>
      </w:r>
      <w:r>
        <w:rPr>
          <w:rFonts w:hint="default" w:ascii="Times New Roman" w:hAnsi="Times New Roman" w:cs="Times New Roman"/>
          <w:b w:val="0"/>
          <w:bCs w:val="0"/>
          <w:color w:val="auto"/>
          <w:highlight w:val="none"/>
          <w:lang w:val="en-US" w:eastAsia="zh-CN"/>
        </w:rPr>
        <w:t xml:space="preserve">5</w:t>
      </w:r>
      <w:r>
        <w:rPr>
          <w:rFonts w:hint="default" w:ascii="Times New Roman" w:hAnsi="Times New Roman" w:cs="Times New Roman"/>
          <w:b w:val="0"/>
          <w:bCs w:val="0"/>
          <w:color w:val="auto"/>
          <w:highlight w:val="none"/>
        </w:rPr>
        <w:t xml:space="preserve">-</w:t>
      </w:r>
      <w:r>
        <w:rPr>
          <w:rFonts w:hint="default" w:ascii="Times New Roman" w:hAnsi="Times New Roman" w:cs="Times New Roman"/>
          <w:b w:val="0"/>
          <w:bCs w:val="0"/>
          <w:color w:val="auto"/>
          <w:highlight w:val="none"/>
          <w:lang w:val="en-US" w:eastAsia="zh-CN"/>
        </w:rPr>
        <w:t xml:space="preserve">1</w:t>
      </w:r>
      <w:r>
        <w:rPr>
          <w:rFonts w:hint="eastAsia" w:cs="Times New Roman"/>
          <w:b w:val="0"/>
          <w:bCs w:val="0"/>
          <w:color w:val="auto"/>
          <w:highlight w:val="none"/>
          <w:lang w:val="en-US" w:eastAsia="zh-CN"/>
        </w:rPr>
        <w:t xml:space="preserve">2</w:t>
      </w:r>
      <w:r>
        <w:rPr>
          <w:rFonts w:hint="default" w:ascii="Times New Roman" w:hAnsi="Times New Roman" w:cs="Times New Roman"/>
          <w:b w:val="0"/>
          <w:bCs w:val="0"/>
          <w:color w:val="auto"/>
          <w:highlight w:val="none"/>
        </w:rPr>
        <w:t xml:space="preserve">-</w:t>
      </w:r>
      <w:r>
        <w:rPr>
          <w:rFonts w:hint="eastAsia" w:cs="Times New Roman"/>
          <w:b w:val="0"/>
          <w:bCs w:val="0"/>
          <w:color w:val="auto"/>
          <w:highlight w:val="none"/>
          <w:lang w:val="en-US" w:eastAsia="zh-CN"/>
        </w:rPr>
        <w:t xml:space="preserve">22 </w:t>
      </w:r>
      <w:r>
        <w:rPr>
          <w:rFonts w:hint="default" w:ascii="Times New Roman" w:hAnsi="Times New Roman" w:cs="Times New Roman"/>
          <w:b w:val="0"/>
          <w:bCs w:val="0"/>
          <w:color w:val="auto"/>
          <w:highlight w:val="none"/>
          <w:lang w:val="en-US" w:eastAsia="zh-CN"/>
        </w:rPr>
        <w:t xml:space="preserve">  </w:t>
      </w:r>
      <w:r>
        <w:rPr>
          <w:rFonts w:hint="default" w:ascii="Times New Roman" w:hAnsi="Times New Roman" w:cs="Times New Roman"/>
          <w:b w:val="0"/>
          <w:bCs w:val="0"/>
          <w:color w:val="auto"/>
          <w:highlight w:val="none"/>
        </w:rPr>
        <w:t xml:space="preserve"> </w:t>
      </w:r>
      <w:r>
        <w:rPr>
          <w:rFonts w:hint="default" w:ascii="Times New Roman" w:hAnsi="Times New Roman" w:cs="Times New Roman"/>
          <w:b w:val="0"/>
          <w:bCs w:val="0"/>
          <w:color w:val="auto"/>
          <w:highlight w:val="none"/>
          <w:lang w:val="en-US" w:eastAsia="zh-CN"/>
        </w:rPr>
        <w:t xml:space="preserve">14</w:t>
      </w:r>
      <w:r>
        <w:rPr>
          <w:rFonts w:hint="default" w:ascii="Times New Roman" w:hAnsi="Times New Roman" w:cs="Times New Roman"/>
          <w:b w:val="0"/>
          <w:bCs w:val="0"/>
          <w:color w:val="auto"/>
          <w:highlight w:val="none"/>
        </w:rPr>
        <w:t xml:space="preserve">:30</w:t>
      </w:r>
      <w:r>
        <w:rPr>
          <w:rFonts w:hint="default" w:ascii="Times New Roman" w:hAnsi="Times New Roman" w:cs="Times New Roman"/>
          <w:b w:val="0"/>
          <w:bCs w:val="0"/>
          <w:color w:val="auto"/>
          <w:highlight w:val="none"/>
        </w:rPr>
        <w:t xml:space="preserve">（北京时间）</w:t>
      </w:r>
      <w:r/>
    </w:p>
    <w:p>
      <w:pPr>
        <w:pStyle w:val="907"/>
        <w:ind w:firstLine="422"/>
        <w:spacing w:line="360" w:lineRule="auto"/>
        <w:rPr>
          <w:rFonts w:hint="default" w:ascii="Times New Roman" w:hAnsi="Times New Roman" w:eastAsia="宋体" w:cs="Times New Roman"/>
          <w:b w:val="0"/>
          <w:bCs w:val="0"/>
          <w:color w:val="auto"/>
          <w:highlight w:val="none"/>
          <w:lang w:eastAsia="zh-CN"/>
        </w:rPr>
      </w:pPr>
      <w:r>
        <w:rPr>
          <w:rFonts w:hint="default" w:ascii="Times New Roman" w:hAnsi="Times New Roman" w:cs="Times New Roman"/>
          <w:b w:val="0"/>
          <w:bCs w:val="0"/>
          <w:color w:val="auto"/>
          <w:highlight w:val="none"/>
        </w:rPr>
        <w:t xml:space="preserve">地点：“苏采云”系统（网址： http://jszfcg.jsczt.cn/）</w:t>
      </w:r>
      <w:r/>
    </w:p>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五、开启</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时间：</w:t>
      </w:r>
      <w:r>
        <w:rPr>
          <w:rFonts w:hint="default" w:ascii="Times New Roman" w:hAnsi="Times New Roman" w:cs="Times New Roman"/>
          <w:b w:val="0"/>
          <w:bCs w:val="0"/>
          <w:color w:val="auto"/>
          <w:highlight w:val="none"/>
        </w:rPr>
        <w:t xml:space="preserve">202</w:t>
      </w:r>
      <w:r>
        <w:rPr>
          <w:rFonts w:hint="default" w:ascii="Times New Roman" w:hAnsi="Times New Roman" w:cs="Times New Roman"/>
          <w:b w:val="0"/>
          <w:bCs w:val="0"/>
          <w:color w:val="auto"/>
          <w:highlight w:val="none"/>
          <w:lang w:val="en-US" w:eastAsia="zh-CN"/>
        </w:rPr>
        <w:t xml:space="preserve">5</w:t>
      </w:r>
      <w:r>
        <w:rPr>
          <w:rFonts w:hint="default" w:ascii="Times New Roman" w:hAnsi="Times New Roman" w:cs="Times New Roman"/>
          <w:b w:val="0"/>
          <w:bCs w:val="0"/>
          <w:color w:val="auto"/>
          <w:highlight w:val="none"/>
        </w:rPr>
        <w:t xml:space="preserve">-</w:t>
      </w:r>
      <w:r>
        <w:rPr>
          <w:rFonts w:hint="default" w:ascii="Times New Roman" w:hAnsi="Times New Roman" w:cs="Times New Roman"/>
          <w:b w:val="0"/>
          <w:bCs w:val="0"/>
          <w:color w:val="auto"/>
          <w:highlight w:val="none"/>
          <w:lang w:val="en-US" w:eastAsia="zh-CN"/>
        </w:rPr>
        <w:t xml:space="preserve">1</w:t>
      </w:r>
      <w:r>
        <w:rPr>
          <w:rFonts w:hint="eastAsia" w:cs="Times New Roman"/>
          <w:b w:val="0"/>
          <w:bCs w:val="0"/>
          <w:color w:val="auto"/>
          <w:highlight w:val="none"/>
          <w:lang w:val="en-US" w:eastAsia="zh-CN"/>
        </w:rPr>
        <w:t xml:space="preserve">2</w:t>
      </w:r>
      <w:r>
        <w:rPr>
          <w:rFonts w:hint="default" w:ascii="Times New Roman" w:hAnsi="Times New Roman" w:cs="Times New Roman"/>
          <w:b w:val="0"/>
          <w:bCs w:val="0"/>
          <w:color w:val="auto"/>
          <w:highlight w:val="none"/>
        </w:rPr>
        <w:t xml:space="preserve">-</w:t>
      </w:r>
      <w:r>
        <w:rPr>
          <w:rFonts w:hint="eastAsia" w:cs="Times New Roman"/>
          <w:b w:val="0"/>
          <w:bCs w:val="0"/>
          <w:color w:val="auto"/>
          <w:highlight w:val="none"/>
          <w:lang w:val="en-US" w:eastAsia="zh-CN"/>
        </w:rPr>
        <w:t xml:space="preserve">22 </w:t>
      </w:r>
      <w:r>
        <w:rPr>
          <w:rFonts w:hint="default" w:ascii="Times New Roman" w:hAnsi="Times New Roman" w:cs="Times New Roman"/>
          <w:b w:val="0"/>
          <w:bCs w:val="0"/>
          <w:color w:val="auto"/>
          <w:highlight w:val="none"/>
          <w:lang w:val="en-US" w:eastAsia="zh-CN"/>
        </w:rPr>
        <w:t xml:space="preserve">    14</w:t>
      </w:r>
      <w:r>
        <w:rPr>
          <w:rFonts w:hint="default" w:ascii="Times New Roman" w:hAnsi="Times New Roman" w:cs="Times New Roman"/>
          <w:b w:val="0"/>
          <w:bCs w:val="0"/>
          <w:color w:val="auto"/>
          <w:highlight w:val="none"/>
        </w:rPr>
        <w:t xml:space="preserve">:30</w:t>
      </w:r>
      <w:r>
        <w:rPr>
          <w:rFonts w:hint="default" w:ascii="Times New Roman" w:hAnsi="Times New Roman" w:cs="Times New Roman"/>
          <w:b w:val="0"/>
          <w:bCs w:val="0"/>
          <w:color w:val="auto"/>
          <w:highlight w:val="none"/>
        </w:rPr>
        <w:t xml:space="preserve"> （北京时间）</w:t>
      </w:r>
      <w:r/>
    </w:p>
    <w:p>
      <w:pPr>
        <w:pStyle w:val="907"/>
        <w:ind w:firstLine="422"/>
        <w:spacing w:line="360" w:lineRule="auto"/>
        <w:rPr>
          <w:rFonts w:hint="default" w:ascii="Times New Roman" w:hAnsi="Times New Roman" w:eastAsia="宋体" w:cs="Times New Roman"/>
          <w:b w:val="0"/>
          <w:bCs w:val="0"/>
          <w:color w:val="auto"/>
          <w:highlight w:val="none"/>
          <w:lang w:eastAsia="zh-CN"/>
        </w:rPr>
      </w:pPr>
      <w:r>
        <w:rPr>
          <w:rFonts w:hint="default" w:ascii="Times New Roman" w:hAnsi="Times New Roman" w:cs="Times New Roman"/>
          <w:b w:val="0"/>
          <w:bCs w:val="0"/>
          <w:color w:val="auto"/>
          <w:highlight w:val="none"/>
        </w:rPr>
        <w:t xml:space="preserve">地点：“苏采云”系统（网址： http://jszfcg.jsczt.cn/）“开标大厅”</w:t>
      </w:r>
      <w:r/>
    </w:p>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六、公告期限</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自本公告发布之日起3个工作日。</w:t>
      </w:r>
      <w:r/>
    </w:p>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七、其他补充事宜</w:t>
      </w:r>
      <w:r/>
    </w:p>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 xml:space="preserve">1.本次采购采用“政府采购管理交易系统（苏采云）”，招标、投标、评标和成交结果发布全程电子化，开标方式为不见面开标。供应商应当按照《“苏采云”系统供应商操作手册》参加投标活动。如供应商未按要求操作，由此所产生的风险由供应商自行承担。</w:t>
      </w:r>
      <w:r/>
    </w:p>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4.潜在供应商对采购文件项目需求部分的询问、质疑请向采购人提出，由采购人负责答复。</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5.本次采购不收取保证金。</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6.有关本次采购的事项若存在变动或修改，敬请及时关注“扬州市政府采购网”、”江苏省政府采购网”、“中国政府采购网”发布的信息。</w:t>
      </w:r>
      <w:r/>
    </w:p>
    <w:p>
      <w:pPr>
        <w:pStyle w:val="907"/>
        <w:ind w:firstLine="422"/>
        <w:spacing w:line="360" w:lineRule="auto"/>
        <w:rPr>
          <w:rFonts w:hint="default" w:ascii="Times New Roman" w:hAnsi="Times New Roman" w:cs="Times New Roman"/>
          <w:b w:val="0"/>
          <w:bCs w:val="0"/>
          <w:i/>
          <w:iCs/>
          <w:color w:val="auto"/>
          <w:highlight w:val="none"/>
          <w:u w:val="single"/>
        </w:rPr>
      </w:pPr>
      <w:r>
        <w:rPr>
          <w:rFonts w:hint="default" w:ascii="Times New Roman" w:hAnsi="Times New Roman" w:cs="Times New Roman"/>
          <w:b w:val="0"/>
          <w:bCs w:val="0"/>
          <w:i/>
          <w:iCs/>
          <w:color w:val="auto"/>
          <w:highlight w:val="none"/>
          <w:u w:val="single"/>
        </w:rPr>
        <w:t xml:space="preserve">7.本项目磋商文件中所有斜体下划线部分为实质性条款，如不满足，则为无效响应。</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9.如在开标时间发生系统崩溃等不可预见的情况，造成开评标活动无法正常进行的，将延迟开评标，具体开评标时间另行通知。</w:t>
      </w:r>
      <w:r/>
    </w:p>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10.落实好政府采购履约资金扶持政策。</w:t>
      </w:r>
      <w:r>
        <w:rPr>
          <w:rFonts w:hint="default" w:ascii="Times New Roman" w:hAnsi="Times New Roman" w:cs="Times New Roman"/>
          <w:b/>
          <w:bCs/>
          <w:color w:val="auto"/>
          <w:highlight w:val="none"/>
          <w:lang w:eastAsia="zh-CN"/>
        </w:rPr>
        <w:t xml:space="preserve">成交</w:t>
      </w:r>
      <w:r>
        <w:rPr>
          <w:rFonts w:hint="default" w:ascii="Times New Roman" w:hAnsi="Times New Roman" w:cs="Times New Roman"/>
          <w:b/>
          <w:bCs/>
          <w:color w:val="auto"/>
          <w:highlight w:val="none"/>
        </w:rPr>
        <w:t xml:space="preserve">/成交供应商可凭政府采购合同办理融资贷款，详见江苏政府采购网“政采贷”专栏。</w:t>
      </w:r>
      <w:r/>
    </w:p>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11.为提升政府采购供应商的融资可得性，解决中小企业融资难问题，中国人民银行、市财政局、市公共资源交易中心推出了政府采购线上应收账款融资模式。各供应商如果有融资需求，可以凭借政府采购</w:t>
      </w:r>
      <w:r>
        <w:rPr>
          <w:rFonts w:hint="default" w:ascii="Times New Roman" w:hAnsi="Times New Roman" w:cs="Times New Roman"/>
          <w:b/>
          <w:bCs/>
          <w:color w:val="auto"/>
          <w:highlight w:val="none"/>
          <w:lang w:eastAsia="zh-CN"/>
        </w:rPr>
        <w:t xml:space="preserve">成交</w:t>
      </w:r>
      <w:r>
        <w:rPr>
          <w:rFonts w:hint="default" w:ascii="Times New Roman" w:hAnsi="Times New Roman" w:cs="Times New Roman"/>
          <w:b/>
          <w:bCs/>
          <w:color w:val="auto"/>
          <w:highlight w:val="none"/>
        </w:rPr>
        <w:t xml:space="preserve">（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12.严格执行政府采购关于支持</w:t>
      </w:r>
      <w:r>
        <w:rPr>
          <w:rFonts w:hint="default" w:ascii="Times New Roman" w:hAnsi="Times New Roman" w:cs="Times New Roman"/>
          <w:b/>
          <w:bCs/>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13.供应商对于投标产品的包装应按照“财办库〔2020〕123号《关于印发《商品包装政府采购需求标准（试行）》、《快递包装政府采购需求标准（试行）》的通知》”执行。</w:t>
      </w:r>
      <w:r/>
    </w:p>
    <w:p>
      <w:pPr>
        <w:pStyle w:val="907"/>
        <w:ind w:firstLine="422"/>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八、凡对本次采购提出询问，请按以下方式联系。</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1.采购人信息</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单位名称：</w:t>
      </w:r>
      <w:r>
        <w:rPr>
          <w:rFonts w:hint="eastAsia" w:cs="Times New Roman"/>
          <w:b w:val="0"/>
          <w:bCs w:val="0"/>
          <w:color w:val="auto"/>
          <w:highlight w:val="none"/>
          <w:lang w:eastAsia="zh-CN"/>
        </w:rPr>
        <w:t xml:space="preserve">扬州市人力资源和社会保障局</w:t>
      </w:r>
      <w:r/>
    </w:p>
    <w:p>
      <w:pPr>
        <w:pStyle w:val="907"/>
        <w:ind w:firstLine="422"/>
        <w:spacing w:line="360" w:lineRule="auto"/>
        <w:rPr>
          <w:rFonts w:hint="default" w:ascii="Times New Roman" w:hAnsi="Times New Roman" w:cs="Times New Roman"/>
          <w:b w:val="0"/>
          <w:bCs w:val="0"/>
          <w:color w:val="auto"/>
          <w:highlight w:val="none"/>
          <w:lang w:val="en-US" w:eastAsia="zh-CN"/>
        </w:rPr>
      </w:pPr>
      <w:r>
        <w:rPr>
          <w:rFonts w:hint="default" w:ascii="Times New Roman" w:hAnsi="Times New Roman" w:cs="Times New Roman"/>
          <w:b w:val="0"/>
          <w:bCs w:val="0"/>
          <w:color w:val="auto"/>
          <w:highlight w:val="none"/>
        </w:rPr>
        <w:t xml:space="preserve">单位地址：</w:t>
      </w:r>
      <w:r>
        <w:rPr>
          <w:rFonts w:hint="default" w:ascii="Times New Roman" w:hAnsi="Times New Roman" w:cs="Times New Roman"/>
          <w:b w:val="0"/>
          <w:bCs w:val="0"/>
          <w:color w:val="auto"/>
          <w:highlight w:val="none"/>
          <w:lang w:val="en-US" w:eastAsia="zh-CN"/>
        </w:rPr>
        <w:t xml:space="preserve">扬州市邗江区扬子江中路746号</w:t>
      </w:r>
      <w:r/>
    </w:p>
    <w:p>
      <w:pPr>
        <w:pStyle w:val="907"/>
        <w:ind w:firstLine="422"/>
        <w:spacing w:line="360" w:lineRule="auto"/>
        <w:rPr>
          <w:rFonts w:hint="default" w:ascii="Times New Roman" w:hAnsi="Times New Roman" w:cs="Times New Roman"/>
          <w:b w:val="0"/>
          <w:bCs w:val="0"/>
          <w:color w:val="auto"/>
          <w:highlight w:val="none"/>
          <w:lang w:val="en-US" w:eastAsia="zh-CN"/>
        </w:rPr>
      </w:pPr>
      <w:r>
        <w:rPr>
          <w:rFonts w:hint="default" w:ascii="Times New Roman" w:hAnsi="Times New Roman" w:cs="Times New Roman"/>
          <w:b w:val="0"/>
          <w:bCs w:val="0"/>
          <w:color w:val="auto"/>
          <w:highlight w:val="none"/>
        </w:rPr>
        <w:t xml:space="preserve">联系人：</w:t>
      </w:r>
      <w:r>
        <w:rPr>
          <w:rFonts w:hint="default" w:ascii="Times New Roman" w:hAnsi="Times New Roman" w:cs="Times New Roman"/>
          <w:b w:val="0"/>
          <w:bCs w:val="0"/>
          <w:color w:val="auto"/>
          <w:highlight w:val="none"/>
          <w:lang w:val="en-US" w:eastAsia="zh-CN"/>
        </w:rPr>
        <w:t xml:space="preserve">杨宇航</w:t>
      </w:r>
      <w:r/>
    </w:p>
    <w:p>
      <w:pPr>
        <w:pStyle w:val="907"/>
        <w:ind w:firstLine="422"/>
        <w:spacing w:line="360" w:lineRule="auto"/>
        <w:rPr>
          <w:rFonts w:hint="default" w:ascii="Times New Roman" w:hAnsi="Times New Roman" w:eastAsia="宋体" w:cs="Times New Roman"/>
          <w:b w:val="0"/>
          <w:bCs w:val="0"/>
          <w:color w:val="auto"/>
          <w:highlight w:val="none"/>
          <w:lang w:val="en-US" w:eastAsia="zh-CN"/>
        </w:rPr>
      </w:pPr>
      <w:r>
        <w:rPr>
          <w:rFonts w:hint="default" w:ascii="Times New Roman" w:hAnsi="Times New Roman" w:cs="Times New Roman"/>
          <w:b w:val="0"/>
          <w:bCs w:val="0"/>
          <w:color w:val="auto"/>
          <w:highlight w:val="none"/>
        </w:rPr>
        <w:t xml:space="preserve">联系电话：</w:t>
      </w:r>
      <w:r>
        <w:rPr>
          <w:rFonts w:hint="default" w:ascii="Times New Roman" w:hAnsi="Times New Roman" w:cs="Times New Roman"/>
          <w:b w:val="0"/>
          <w:bCs w:val="0"/>
          <w:color w:val="auto"/>
          <w:highlight w:val="none"/>
          <w:lang w:val="en-US" w:eastAsia="zh-CN"/>
        </w:rPr>
        <w:t xml:space="preserve">0514-80978337</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2.采购代理机构信息</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单位名称：扬州览众建设工程咨询服务有限公司</w:t>
      </w:r>
      <w:r/>
    </w:p>
    <w:p>
      <w:pPr>
        <w:pStyle w:val="907"/>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单位地址：扬州市邗江区玉箫路18号瘦西湖名苑商业配套用房</w:t>
      </w:r>
      <w:r>
        <w:rPr>
          <w:rFonts w:hint="default" w:ascii="Times New Roman" w:hAnsi="Times New Roman" w:cs="Times New Roman"/>
          <w:b w:val="0"/>
          <w:bCs w:val="0"/>
          <w:color w:val="auto"/>
          <w:highlight w:val="none"/>
          <w:lang w:val="en-US" w:eastAsia="zh-CN"/>
        </w:rPr>
        <w:t xml:space="preserve">3</w:t>
      </w:r>
      <w:r>
        <w:rPr>
          <w:rFonts w:hint="default" w:ascii="Times New Roman" w:hAnsi="Times New Roman" w:cs="Times New Roman"/>
          <w:b w:val="0"/>
          <w:bCs w:val="0"/>
          <w:color w:val="auto"/>
          <w:highlight w:val="none"/>
        </w:rPr>
        <w:t xml:space="preserve">楼</w:t>
      </w:r>
      <w:r/>
    </w:p>
    <w:p>
      <w:pPr>
        <w:pStyle w:val="907"/>
        <w:ind w:firstLine="422"/>
        <w:spacing w:line="360" w:lineRule="auto"/>
        <w:rPr>
          <w:rFonts w:hint="default" w:ascii="Times New Roman" w:hAnsi="Times New Roman" w:eastAsia="宋体" w:cs="Times New Roman"/>
          <w:b w:val="0"/>
          <w:bCs w:val="0"/>
          <w:color w:val="auto"/>
          <w:highlight w:val="none"/>
          <w:lang w:eastAsia="zh-CN"/>
        </w:rPr>
      </w:pPr>
      <w:r>
        <w:rPr>
          <w:rFonts w:hint="default" w:ascii="Times New Roman" w:hAnsi="Times New Roman" w:cs="Times New Roman"/>
          <w:b w:val="0"/>
          <w:bCs w:val="0"/>
          <w:color w:val="auto"/>
          <w:highlight w:val="none"/>
        </w:rPr>
        <w:t xml:space="preserve">联系人：</w:t>
      </w:r>
      <w:r>
        <w:rPr>
          <w:rFonts w:hint="default" w:ascii="Times New Roman" w:hAnsi="Times New Roman" w:cs="Times New Roman"/>
          <w:b w:val="0"/>
          <w:bCs w:val="0"/>
          <w:color w:val="auto"/>
          <w:highlight w:val="none"/>
          <w:lang w:eastAsia="zh-CN"/>
        </w:rPr>
        <w:t xml:space="preserve">阚明佳</w:t>
      </w:r>
      <w:r/>
    </w:p>
    <w:p>
      <w:pPr>
        <w:pStyle w:val="907"/>
        <w:ind w:firstLine="422"/>
        <w:spacing w:line="360" w:lineRule="auto"/>
        <w:rPr>
          <w:rFonts w:hint="default" w:ascii="Times New Roman" w:hAnsi="Times New Roman" w:eastAsia="宋体" w:cs="Times New Roman"/>
          <w:b w:val="0"/>
          <w:bCs w:val="0"/>
          <w:color w:val="auto"/>
          <w:highlight w:val="none"/>
          <w:lang w:eastAsia="zh-CN"/>
        </w:rPr>
      </w:pPr>
      <w:r>
        <w:rPr>
          <w:rFonts w:hint="default" w:ascii="Times New Roman" w:hAnsi="Times New Roman" w:cs="Times New Roman"/>
          <w:b w:val="0"/>
          <w:bCs w:val="0"/>
          <w:color w:val="auto"/>
          <w:highlight w:val="none"/>
        </w:rPr>
        <w:t xml:space="preserve">联系电话：</w:t>
      </w:r>
      <w:r>
        <w:rPr>
          <w:rFonts w:hint="default" w:ascii="Times New Roman" w:hAnsi="Times New Roman" w:cs="Times New Roman"/>
          <w:b w:val="0"/>
          <w:bCs w:val="0"/>
          <w:color w:val="auto"/>
          <w:highlight w:val="none"/>
          <w:lang w:eastAsia="zh-CN"/>
        </w:rPr>
        <w:t xml:space="preserve">18952513130</w:t>
      </w:r>
      <w:r/>
    </w:p>
    <w:p>
      <w:pPr>
        <w:pStyle w:val="907"/>
        <w:numPr>
          <w:ilvl w:val="0"/>
          <w:numId w:val="6"/>
        </w:numPr>
        <w:ind w:firstLine="422"/>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 xml:space="preserve">项目联系方式</w:t>
      </w:r>
      <w:r/>
    </w:p>
    <w:p>
      <w:pPr>
        <w:pStyle w:val="907"/>
        <w:ind w:firstLine="422"/>
        <w:spacing w:line="360" w:lineRule="auto"/>
        <w:rPr>
          <w:rFonts w:hint="default" w:ascii="Times New Roman" w:hAnsi="Times New Roman" w:eastAsia="宋体" w:cs="Times New Roman"/>
          <w:b w:val="0"/>
          <w:bCs w:val="0"/>
          <w:color w:val="auto"/>
          <w:highlight w:val="none"/>
          <w:lang w:eastAsia="zh-CN"/>
        </w:rPr>
      </w:pPr>
      <w:r>
        <w:rPr>
          <w:rFonts w:hint="default" w:ascii="Times New Roman" w:hAnsi="Times New Roman" w:cs="Times New Roman"/>
          <w:b w:val="0"/>
          <w:bCs w:val="0"/>
          <w:color w:val="auto"/>
          <w:highlight w:val="none"/>
        </w:rPr>
        <w:t xml:space="preserve">项目联系人：</w:t>
      </w:r>
      <w:r>
        <w:rPr>
          <w:rFonts w:hint="default" w:ascii="Times New Roman" w:hAnsi="Times New Roman" w:cs="Times New Roman"/>
          <w:b w:val="0"/>
          <w:bCs w:val="0"/>
          <w:color w:val="auto"/>
          <w:highlight w:val="none"/>
          <w:lang w:eastAsia="zh-CN"/>
        </w:rPr>
        <w:t xml:space="preserve">阚明佳</w:t>
      </w:r>
      <w:r/>
    </w:p>
    <w:p>
      <w:pPr>
        <w:pStyle w:val="907"/>
        <w:ind w:firstLine="422"/>
        <w:spacing w:line="360" w:lineRule="auto"/>
        <w:rPr>
          <w:rFonts w:hint="default" w:ascii="Times New Roman" w:hAnsi="Times New Roman" w:eastAsia="宋体" w:cs="Times New Roman"/>
          <w:b w:val="0"/>
          <w:bCs w:val="0"/>
          <w:color w:val="auto"/>
          <w:highlight w:val="none"/>
          <w:lang w:eastAsia="zh-CN"/>
        </w:rPr>
      </w:pPr>
      <w:r>
        <w:rPr>
          <w:rFonts w:hint="default" w:ascii="Times New Roman" w:hAnsi="Times New Roman" w:cs="Times New Roman"/>
          <w:b w:val="0"/>
          <w:bCs w:val="0"/>
          <w:color w:val="auto"/>
          <w:highlight w:val="none"/>
        </w:rPr>
        <w:t xml:space="preserve">电话：</w:t>
      </w:r>
      <w:r>
        <w:rPr>
          <w:rFonts w:hint="default" w:ascii="Times New Roman" w:hAnsi="Times New Roman" w:cs="Times New Roman"/>
          <w:b w:val="0"/>
          <w:bCs w:val="0"/>
          <w:color w:val="auto"/>
          <w:highlight w:val="none"/>
          <w:lang w:eastAsia="zh-CN"/>
        </w:rPr>
        <w:t xml:space="preserve">18952513130</w:t>
      </w:r>
      <w:r/>
    </w:p>
    <w:p>
      <w:pPr>
        <w:ind w:firstLine="420"/>
        <w:spacing w:line="360" w:lineRule="auto"/>
        <w:rPr>
          <w:rFonts w:hint="default" w:ascii="Times New Roman" w:hAnsi="Times New Roman" w:cs="Times New Roman"/>
          <w:color w:val="auto"/>
          <w:highlight w:val="none"/>
        </w:rPr>
        <w:sectPr>
          <w:headerReference w:type="default" r:id="rId10"/>
          <w:footerReference w:type="default" r:id="rId14"/>
          <w:footnotePr/>
          <w:endnotePr/>
          <w:type w:val="nextPage"/>
          <w:pgSz w:w="11906" w:h="16838" w:orient="portrait"/>
          <w:pgMar w:top="1440" w:right="1800" w:bottom="1440" w:left="1800" w:header="851" w:footer="992" w:gutter="0"/>
          <w:pgNumType w:start="1"/>
          <w:rtlGutter/>
          <w:cols w:num="1" w:sep="0" w:space="720" w:equalWidth="1"/>
          <w:docGrid w:linePitch="360"/>
        </w:sectPr>
      </w:pPr>
      <w:r>
        <w:rPr>
          <w:rFonts w:hint="default" w:ascii="Times New Roman" w:hAnsi="Times New Roman" w:cs="Times New Roman"/>
          <w:color w:val="auto"/>
          <w:highlight w:val="none"/>
        </w:rPr>
      </w:r>
      <w:r/>
    </w:p>
    <w:p>
      <w:pPr>
        <w:pStyle w:val="853"/>
        <w:ind w:firstLine="723"/>
        <w:jc w:val="center"/>
        <w:spacing w:line="360" w:lineRule="auto"/>
        <w:rPr>
          <w:rFonts w:hint="default" w:ascii="Times New Roman" w:hAnsi="Times New Roman" w:cs="Times New Roman"/>
          <w:color w:val="auto"/>
          <w:sz w:val="36"/>
          <w:highlight w:val="none"/>
        </w:rPr>
      </w:pPr>
      <w:r/>
      <w:bookmarkStart w:id="11" w:name="_Toc25461"/>
      <w:r/>
      <w:bookmarkStart w:id="12" w:name="_Toc497145840"/>
      <w:r/>
      <w:bookmarkStart w:id="13" w:name="_Toc11302"/>
      <w:r/>
      <w:bookmarkStart w:id="14" w:name="_Toc14619"/>
      <w:r>
        <w:rPr>
          <w:rFonts w:hint="default" w:ascii="Times New Roman" w:hAnsi="Times New Roman" w:cs="Times New Roman"/>
          <w:color w:val="auto"/>
          <w:sz w:val="36"/>
          <w:highlight w:val="none"/>
        </w:rPr>
        <w:t xml:space="preserve">第二章 磋商须知</w:t>
      </w:r>
      <w:bookmarkEnd w:id="7"/>
      <w:r/>
      <w:bookmarkEnd w:id="11"/>
      <w:r/>
      <w:bookmarkEnd w:id="12"/>
      <w:r/>
      <w:bookmarkEnd w:id="13"/>
      <w:r/>
      <w:bookmarkEnd w:id="14"/>
      <w:r/>
      <w:r/>
    </w:p>
    <w:p>
      <w:pPr>
        <w:pStyle w:val="907"/>
        <w:ind w:firstLine="420"/>
        <w:pageBreakBefore w:val="0"/>
        <w:spacing w:line="440" w:lineRule="exact"/>
        <w:widowControl w:val="off"/>
        <w:rPr>
          <w:rFonts w:hint="default" w:ascii="Times New Roman" w:hAnsi="Times New Roman" w:cs="Times New Roman"/>
          <w:color w:val="auto"/>
          <w:highlight w:val="none"/>
        </w:rPr>
      </w:pPr>
      <w:r/>
      <w:bookmarkStart w:id="15" w:name="_Toc497145841"/>
      <w:r/>
      <w:bookmarkStart w:id="16" w:name="_Toc497468125"/>
      <w:r>
        <w:rPr>
          <w:rFonts w:hint="default" w:ascii="Times New Roman" w:hAnsi="Times New Roman" w:cs="Times New Roman"/>
          <w:color w:val="auto"/>
          <w:highlight w:val="none"/>
        </w:rPr>
        <w:t xml:space="preserve">1、采购方式</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 本次采购采取竞争性磋商方式，本采购文件仅适用于</w:t>
      </w:r>
      <w:r>
        <w:rPr>
          <w:rFonts w:hint="eastAsia" w:cs="Times New Roman"/>
          <w:color w:val="auto"/>
          <w:highlight w:val="none"/>
          <w:lang w:val="en-US" w:eastAsia="zh-CN"/>
        </w:rPr>
        <w:t xml:space="preserve">JSZC-321000-YZLZ-C2025-0011</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号项目。</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2、供应商</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2.1 参加竞争性磋商的供应商以下简称“供应商”，是指参加磋商并符合采购文件规定资格条件的法人、其他组织或者自然人。</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2.2合格的供应商</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2.2.1 满足采购公告中供应商的资格条件要求的规定。</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2.2.2 满足本文件实质性条款的规定。</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3、适用法律</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3.1 本次采购及由此产生的合同受中华人民共和国有关的法律法规制约和保护。</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4、参加磋商费用</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4.1 供应商应自行承担所有与参加磋商有关的费用，无论磋商过程中的做法和结果如何，扬州览众建设工程咨询服务有限公司(以下简称代理机构)在任何情况下均无义务和责任承担这些费用。</w:t>
      </w:r>
      <w:r/>
    </w:p>
    <w:p>
      <w:pPr>
        <w:pStyle w:val="907"/>
        <w:ind w:firstLine="420"/>
        <w:jc w:val="left"/>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4.2</w:t>
      </w:r>
      <w:r>
        <w:rPr>
          <w:rFonts w:hint="default" w:ascii="Times New Roman" w:hAnsi="Times New Roman" w:cs="Times New Roman"/>
          <w:b/>
          <w:bCs/>
          <w:color w:val="auto"/>
          <w:szCs w:val="21"/>
          <w:highlight w:val="none"/>
        </w:rPr>
        <w:t xml:space="preserve">本次采购由成交人在领取成交通知书前根据国家计委印发的《招标代理服务收费管理暂行办法》(计价格【2002】1980号文)服务类标准*80%</w:t>
      </w:r>
      <w:r>
        <w:rPr>
          <w:rFonts w:hint="eastAsia" w:cs="Times New Roman"/>
          <w:b/>
          <w:bCs/>
          <w:color w:val="auto"/>
          <w:szCs w:val="21"/>
          <w:highlight w:val="none"/>
          <w:lang w:val="en-US" w:eastAsia="zh-CN"/>
        </w:rPr>
        <w:t xml:space="preserve">收取</w:t>
      </w:r>
      <w:r>
        <w:rPr>
          <w:rFonts w:hint="default" w:ascii="Times New Roman" w:hAnsi="Times New Roman" w:cs="Times New Roman"/>
          <w:b/>
          <w:bCs/>
          <w:color w:val="auto"/>
          <w:szCs w:val="21"/>
          <w:highlight w:val="none"/>
        </w:rPr>
        <w:t xml:space="preserve">一次性支付给代理机构代理服务费。</w:t>
      </w:r>
      <w:r/>
    </w:p>
    <w:p>
      <w:pPr>
        <w:pStyle w:val="906"/>
        <w:ind w:firstLine="420"/>
        <w:pageBreakBefore w:val="0"/>
        <w:spacing w:line="440" w:lineRule="exact"/>
        <w:widowControl w:val="off"/>
        <w:rPr>
          <w:rFonts w:hint="default" w:ascii="Times New Roman" w:hAnsi="Times New Roman" w:cs="Times New Roman"/>
          <w:color w:val="auto"/>
          <w:sz w:val="21"/>
          <w:szCs w:val="22"/>
          <w:highlight w:val="none"/>
        </w:rPr>
      </w:pPr>
      <w:r>
        <w:rPr>
          <w:rFonts w:hint="default" w:ascii="Times New Roman" w:hAnsi="Times New Roman" w:cs="Times New Roman"/>
          <w:color w:val="auto"/>
          <w:sz w:val="21"/>
          <w:szCs w:val="22"/>
          <w:highlight w:val="none"/>
        </w:rPr>
        <w:t xml:space="preserve">（1）代理服务费以人民币支付；</w:t>
      </w:r>
      <w:r/>
    </w:p>
    <w:p>
      <w:pPr>
        <w:pStyle w:val="906"/>
        <w:ind w:firstLine="420"/>
        <w:pageBreakBefore w:val="0"/>
        <w:spacing w:line="440" w:lineRule="exact"/>
        <w:widowControl w:val="off"/>
        <w:rPr>
          <w:rFonts w:hint="default" w:ascii="Times New Roman" w:hAnsi="Times New Roman" w:cs="Times New Roman"/>
          <w:color w:val="auto"/>
          <w:sz w:val="21"/>
          <w:szCs w:val="22"/>
          <w:highlight w:val="none"/>
        </w:rPr>
      </w:pPr>
      <w:r>
        <w:rPr>
          <w:rFonts w:hint="default" w:ascii="Times New Roman" w:hAnsi="Times New Roman" w:cs="Times New Roman"/>
          <w:color w:val="auto"/>
          <w:sz w:val="21"/>
          <w:szCs w:val="22"/>
          <w:highlight w:val="none"/>
        </w:rPr>
        <w:t xml:space="preserve">（2）代理服务费一次性以电汇、转账等非现金形式支付；</w:t>
      </w:r>
      <w:r/>
    </w:p>
    <w:p>
      <w:pPr>
        <w:pStyle w:val="906"/>
        <w:ind w:firstLine="420"/>
        <w:pageBreakBefore w:val="0"/>
        <w:spacing w:line="440" w:lineRule="exact"/>
        <w:widowControl w:val="off"/>
        <w:rPr>
          <w:rFonts w:hint="default" w:ascii="Times New Roman" w:hAnsi="Times New Roman" w:cs="Times New Roman"/>
          <w:color w:val="auto"/>
          <w:sz w:val="21"/>
          <w:szCs w:val="22"/>
          <w:highlight w:val="none"/>
        </w:rPr>
      </w:pPr>
      <w:r>
        <w:rPr>
          <w:rFonts w:hint="default" w:ascii="Times New Roman" w:hAnsi="Times New Roman" w:cs="Times New Roman"/>
          <w:color w:val="auto"/>
          <w:sz w:val="21"/>
          <w:szCs w:val="22"/>
          <w:highlight w:val="none"/>
        </w:rPr>
        <w:t xml:space="preserve">（3）招标代理服务费不在投标报价中单列，包含在投标总价中，由成交单位支付给代理机构。</w:t>
      </w:r>
      <w:r/>
    </w:p>
    <w:p>
      <w:pPr>
        <w:pStyle w:val="907"/>
        <w:ind w:firstLine="420"/>
        <w:pageBreakBefore w:val="0"/>
        <w:spacing w:line="440" w:lineRule="exact"/>
        <w:widowControl w:val="off"/>
        <w:rPr>
          <w:rFonts w:hint="default" w:ascii="Times New Roman" w:hAnsi="Times New Roman" w:cs="Times New Roman"/>
          <w:color w:val="auto"/>
          <w:highlight w:val="none"/>
        </w:rPr>
      </w:pPr>
      <w:r/>
      <w:bookmarkStart w:id="17" w:name="_Hlk115095815"/>
      <w:r>
        <w:rPr>
          <w:rFonts w:hint="default" w:ascii="Times New Roman" w:hAnsi="Times New Roman" w:cs="Times New Roman"/>
          <w:color w:val="auto"/>
          <w:highlight w:val="none"/>
        </w:rPr>
        <w:t xml:space="preserve">4.3专家评审费按扬财购【2020】40 号文《关于进一步规范扬州市政府采购专家评审费标准的通知》执行。</w:t>
      </w:r>
      <w:bookmarkEnd w:id="17"/>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5、采购文件的约束力</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5.1 供应商一旦参加本项目采购活动，即被认为接受了本采购文件的规定和约束。</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6、采购文件构成</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6.1 采购文件有以下部分组成：</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（1）采购公告</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（2）磋商须知</w:t>
      </w:r>
      <w:r>
        <w:rPr>
          <w:rFonts w:hint="default" w:ascii="Times New Roman" w:hAnsi="Times New Roman" w:cs="Times New Roman"/>
          <w:color w:val="auto"/>
          <w:highlight w:val="none"/>
        </w:rPr>
        <w:tab/>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（3）合同条款及格式</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（4）项目需求</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（5）评审方法与评审标准</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（6）竞争性磋商响应文件格式</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请仔细检查采购文件是否齐全，如有缺漏请立即与代理机构联系解决。</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6.3 采购文件如果要求供应商提交备选响应方案的，供应商可以提交备选方案；否则，备选方案将被拒绝。</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907"/>
        <w:ind w:firstLine="420"/>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rPr>
        <w:t xml:space="preserve">7</w:t>
      </w:r>
      <w:r>
        <w:rPr>
          <w:rFonts w:hint="default" w:ascii="Times New Roman" w:hAnsi="Times New Roman" w:cs="Times New Roman"/>
          <w:b/>
          <w:bCs/>
          <w:color w:val="auto"/>
          <w:highlight w:val="none"/>
        </w:rPr>
        <w:t xml:space="preserve">、</w:t>
      </w:r>
      <w:r>
        <w:rPr>
          <w:rFonts w:hint="default" w:ascii="Times New Roman" w:hAnsi="Times New Roman" w:cs="Times New Roman"/>
          <w:color w:val="auto"/>
          <w:highlight w:val="none"/>
        </w:rPr>
        <w:t xml:space="preserve">采购文件的澄清</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7.1 任何要求对采购文件进行澄清的供应商，应在提交首次响应文件截止时间至少5日前按采购公告中的通讯地址，以书面形式通知代理机构。</w:t>
      </w:r>
      <w:r/>
    </w:p>
    <w:p>
      <w:pPr>
        <w:pStyle w:val="907"/>
        <w:ind w:firstLine="420"/>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rPr>
        <w:t xml:space="preserve">8</w:t>
      </w:r>
      <w:r>
        <w:rPr>
          <w:rFonts w:hint="default" w:ascii="Times New Roman" w:hAnsi="Times New Roman" w:cs="Times New Roman"/>
          <w:b/>
          <w:bCs/>
          <w:color w:val="auto"/>
          <w:highlight w:val="none"/>
        </w:rPr>
        <w:t xml:space="preserve">、</w:t>
      </w:r>
      <w:r>
        <w:rPr>
          <w:rFonts w:hint="default" w:ascii="Times New Roman" w:hAnsi="Times New Roman" w:cs="Times New Roman"/>
          <w:color w:val="auto"/>
          <w:highlight w:val="none"/>
        </w:rPr>
        <w:t xml:space="preserve">采购文件的修改</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8.2采购文件的修改将在“扬州市政府采购网”、“江苏省政府采购网”、“中国政府采购网”公布，补充文件将作为采购文件的组成部分，并对供应商具有约束力。</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9、采购文件的语言、度量衡单位、货币</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9.1供应商提交的响应文件以及供应商与代理机构就有关磋商的所有来往通知、函件和文件均应使用简体中文。</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9.2 除技术性能另有规定外，采购文件所使用的度量衡单位，均须采用国家法定计量单位。</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9.3采购文件中的服务单价和总价无特殊规定的采用人民币报价，以元为单位标注。采购文件中另有规定的按规定执行。</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10、响应文件构成</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10.1磋商文件由以下部分组成</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（1）资格审查响应对照表</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（2）符合性审查响应对照表</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（3）非实质性响应对照表</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（4）磋商响应报价表 </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（5）技术参数响应及偏离表 </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（6）商务条款响应及偏离表 </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（7）其他 （供应商认为有必要提供的声明和文件，如有自拟并自行添加）</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10.2 供应商应当根据采购文件要求编制响应文件，响应文件应对采购文件提出的要求和条件作出响应，并在相应的响应文件中逐条标明满足与否。</w:t>
      </w:r>
      <w:r/>
    </w:p>
    <w:p>
      <w:pPr>
        <w:pStyle w:val="907"/>
        <w:ind w:firstLine="420"/>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rPr>
        <w:t xml:space="preserve">11、证明供应商资格及符合采购文件规定的文件</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11.1供应商应按要求提交资格证明文件及符合采购文件规定的文件。</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11.2供应商应提交证明其有资格参加磋商和成交后有能力独立履行合同的文件。</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11.3供应商除必须具有履行合同所需提供的产品或服务的能力外，还必须具备相应的财务、技术方面的能力。</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11.4供应商应提交根据合同要求提供的证明服务质量合格以及符合采购文件规定的证明文件。</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11.5证明供应商所提供服务与采购文件的要求相一致的文件可以是手册、图纸、文字资料和数据。</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12、磋商响应报价表</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12.1 供应商应按照采购文件规定格式填报磋商响应报价表，每项服务只允许有一个报价，任何有选择的报价将不予接受。</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12.2 标的物</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采购人需求的服务供应、安装，调试及有关技术服务等。</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12.3其它费用处理</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采购文件未列明，而供应商认为必需的费用也需列入报价。</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13、技术参数响应及偏离表、商务条款响应及偏离表及磋商服务说明</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13.1 对采购文件中的技术与商务条款要求逐项作出响应或偏离，并说明原因；</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13.2 提供参加本项目类似案例简介；</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13.3 详细阐述所投服务的主要组成部分、功能设计、实现思路及关键技术；</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13.4 供应商认为需要的其他技术文件或说明。</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14、服务承诺及售后服务机构、人员的情况介绍</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14.1供应商的服务承诺应按不低于采购文件中商务要求的标准。</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14.2提供供应商有关售后服务的管理制度、售后服务机构的分布情况、售后服务人员的数量、素质、技术水平及售后服务的反应能力。</w:t>
      </w:r>
      <w:r/>
    </w:p>
    <w:p>
      <w:pPr>
        <w:pStyle w:val="907"/>
        <w:ind w:firstLine="420"/>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rPr>
        <w:t xml:space="preserve">15、磋商响应函</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15.1 供应商应按照扬州市政府采购交易管理系统提供的格式完整、正确填写磋商响应函。</w:t>
      </w:r>
      <w:r/>
    </w:p>
    <w:p>
      <w:pPr>
        <w:pStyle w:val="907"/>
        <w:ind w:firstLine="420"/>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rPr>
        <w:t xml:space="preserve">16、磋商响应有效期</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16.1 磋商响应有效期为代理机构规定的响应文件接收截止时间后</w:t>
      </w:r>
      <w:r>
        <w:rPr>
          <w:rFonts w:hint="default" w:ascii="Times New Roman" w:hAnsi="Times New Roman" w:cs="Times New Roman"/>
          <w:b/>
          <w:bCs/>
          <w:color w:val="auto"/>
          <w:highlight w:val="none"/>
          <w:u w:val="single"/>
        </w:rPr>
        <w:t xml:space="preserve">六十（60）天</w:t>
      </w:r>
      <w:r>
        <w:rPr>
          <w:rFonts w:hint="default" w:ascii="Times New Roman" w:hAnsi="Times New Roman" w:cs="Times New Roman"/>
          <w:color w:val="auto"/>
          <w:highlight w:val="none"/>
        </w:rPr>
        <w:t xml:space="preserve">。磋商响应有效期比规定短的将被视为非实质性响应性而予以拒绝。</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907"/>
        <w:ind w:firstLine="420"/>
        <w:pageBreakBefore w:val="0"/>
        <w:spacing w:line="440" w:lineRule="exact"/>
        <w:widowControl w:val="off"/>
        <w:rPr>
          <w:rFonts w:hint="default" w:ascii="Times New Roman" w:hAnsi="Times New Roman" w:cs="Times New Roman"/>
          <w:color w:val="auto"/>
          <w:highlight w:val="none"/>
        </w:rPr>
      </w:pPr>
      <w:r/>
      <w:bookmarkStart w:id="18" w:name="_Toc20823297"/>
      <w:r/>
      <w:bookmarkStart w:id="19" w:name="_Toc16938541"/>
      <w:r>
        <w:rPr>
          <w:rFonts w:hint="default" w:ascii="Times New Roman" w:hAnsi="Times New Roman" w:cs="Times New Roman"/>
          <w:color w:val="auto"/>
          <w:highlight w:val="none"/>
        </w:rPr>
        <w:t xml:space="preserve">17、响应文件</w:t>
      </w:r>
      <w:bookmarkEnd w:id="18"/>
      <w:r/>
      <w:bookmarkEnd w:id="19"/>
      <w:r>
        <w:rPr>
          <w:rFonts w:hint="default" w:ascii="Times New Roman" w:hAnsi="Times New Roman" w:cs="Times New Roman"/>
          <w:color w:val="auto"/>
          <w:highlight w:val="none"/>
        </w:rPr>
        <w:t xml:space="preserve">的递交</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17.1 电子响应文件的递交供应商应当按照《操作手册》规定，在磋商响应截止时间前制作并上传电子响应文件。</w:t>
      </w:r>
      <w:bookmarkStart w:id="20" w:name="_Toc20823298"/>
      <w:r/>
      <w:bookmarkStart w:id="21" w:name="_Toc16938542"/>
      <w:r/>
      <w:r/>
    </w:p>
    <w:p>
      <w:pPr>
        <w:pStyle w:val="907"/>
        <w:ind w:firstLine="422"/>
        <w:pageBreakBefore w:val="0"/>
        <w:spacing w:line="44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17.2</w:t>
      </w:r>
      <w:r>
        <w:rPr>
          <w:rFonts w:hint="default" w:ascii="Times New Roman" w:hAnsi="Times New Roman" w:cs="Times New Roman"/>
          <w:b/>
          <w:bCs/>
          <w:color w:val="auto"/>
          <w:szCs w:val="21"/>
          <w:highlight w:val="none"/>
        </w:rPr>
        <w:t xml:space="preserve">政府采购管理交易系统（苏采云）</w:t>
      </w:r>
      <w:r>
        <w:rPr>
          <w:rFonts w:hint="default" w:ascii="Times New Roman" w:hAnsi="Times New Roman" w:cs="Times New Roman"/>
          <w:b/>
          <w:color w:val="auto"/>
          <w:szCs w:val="21"/>
          <w:highlight w:val="none"/>
        </w:rPr>
        <w:t xml:space="preserve">相关要求是本采购文件的组成部分。</w:t>
      </w:r>
      <w:r/>
    </w:p>
    <w:p>
      <w:pPr>
        <w:pStyle w:val="907"/>
        <w:ind w:firstLine="422"/>
        <w:pageBreakBefore w:val="0"/>
        <w:spacing w:line="44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17.3供应商应对 CA 证书妥善保管，如被他人盗用投标，因此带来的结果均由供应商自行承担。</w:t>
      </w:r>
      <w:r/>
    </w:p>
    <w:p>
      <w:pPr>
        <w:pStyle w:val="907"/>
        <w:ind w:firstLine="422"/>
        <w:pageBreakBefore w:val="0"/>
        <w:spacing w:line="44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17.4供应商应当对采购文件提出的要求和条件作出实质性响应，并在电子投标系统逐条应答。</w:t>
      </w:r>
      <w:r/>
    </w:p>
    <w:p>
      <w:pPr>
        <w:pStyle w:val="907"/>
        <w:ind w:firstLine="422"/>
        <w:pageBreakBefore w:val="0"/>
        <w:spacing w:line="44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17.5供应商应对要求提供的资格证明文件（如资质证书、资格证书）、技术资料（如白皮书、彩页、手册、检测报告等）扫描上传至投标系统。</w:t>
      </w:r>
      <w:r/>
    </w:p>
    <w:p>
      <w:pPr>
        <w:pStyle w:val="907"/>
        <w:ind w:firstLine="422"/>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b/>
          <w:color w:val="auto"/>
          <w:szCs w:val="21"/>
          <w:highlight w:val="none"/>
        </w:rPr>
        <w:t xml:space="preserve">17.6各供应商应在规定时间内凭CA证书进行网上解密。</w:t>
      </w:r>
      <w:r/>
    </w:p>
    <w:p>
      <w:pPr>
        <w:pStyle w:val="907"/>
        <w:ind w:firstLine="422"/>
        <w:pageBreakBefore w:val="0"/>
        <w:spacing w:line="44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
          <w:bCs/>
          <w:color w:val="auto"/>
          <w:highlight w:val="none"/>
        </w:rPr>
        <w:t xml:space="preserve">18、磋商响应截止日期</w:t>
      </w:r>
      <w:bookmarkEnd w:id="20"/>
      <w:r/>
      <w:bookmarkEnd w:id="21"/>
      <w:r/>
      <w:r/>
    </w:p>
    <w:p>
      <w:pPr>
        <w:pStyle w:val="907"/>
        <w:ind w:firstLine="420"/>
        <w:pageBreakBefore w:val="0"/>
        <w:spacing w:line="440" w:lineRule="exact"/>
        <w:widowControl w:val="off"/>
        <w:rPr>
          <w:rFonts w:hint="default" w:ascii="Times New Roman" w:hAnsi="Times New Roman" w:cs="Times New Roman"/>
          <w:bCs/>
          <w:i/>
          <w:color w:val="auto"/>
          <w:highlight w:val="none"/>
          <w:u w:val="single"/>
        </w:rPr>
      </w:pPr>
      <w:r>
        <w:rPr>
          <w:rFonts w:hint="default" w:ascii="Times New Roman" w:hAnsi="Times New Roman" w:cs="Times New Roman"/>
          <w:i/>
          <w:color w:val="auto"/>
          <w:highlight w:val="none"/>
          <w:u w:val="single"/>
        </w:rPr>
        <w:t xml:space="preserve">18.1</w:t>
      </w:r>
      <w:r>
        <w:rPr>
          <w:rFonts w:hint="default" w:ascii="Times New Roman" w:hAnsi="Times New Roman" w:cs="Times New Roman"/>
          <w:bCs/>
          <w:i/>
          <w:color w:val="auto"/>
          <w:highlight w:val="none"/>
          <w:u w:val="single"/>
        </w:rPr>
        <w:t xml:space="preserve"> 供应商上传电子响应文件的时间不得迟于采购公告中规定的磋商响应截止时间。</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供应商应充分考虑到网络环境、网络带宽等风险因素，如因供应商自身原因造成的电子响应文件上传不成功由供应商自行承担全部责任。</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907"/>
        <w:ind w:firstLine="420"/>
        <w:pageBreakBefore w:val="0"/>
        <w:spacing w:line="440" w:lineRule="exact"/>
        <w:widowControl w:val="off"/>
        <w:rPr>
          <w:rFonts w:hint="default" w:ascii="Times New Roman" w:hAnsi="Times New Roman" w:cs="Times New Roman"/>
          <w:color w:val="auto"/>
          <w:highlight w:val="none"/>
        </w:rPr>
      </w:pPr>
      <w:r/>
      <w:bookmarkStart w:id="22" w:name="_Toc20823299"/>
      <w:r/>
      <w:bookmarkStart w:id="23" w:name="_Toc16938543"/>
      <w:r>
        <w:rPr>
          <w:rFonts w:hint="default" w:ascii="Times New Roman" w:hAnsi="Times New Roman" w:cs="Times New Roman"/>
          <w:color w:val="auto"/>
          <w:highlight w:val="none"/>
        </w:rPr>
        <w:t xml:space="preserve">19、响应文件</w:t>
      </w:r>
      <w:bookmarkEnd w:id="22"/>
      <w:r/>
      <w:bookmarkEnd w:id="23"/>
      <w:r>
        <w:rPr>
          <w:rFonts w:hint="default" w:ascii="Times New Roman" w:hAnsi="Times New Roman" w:cs="Times New Roman"/>
          <w:color w:val="auto"/>
          <w:highlight w:val="none"/>
        </w:rPr>
        <w:t xml:space="preserve">的拒收</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19.1代理机构拒绝接收在其规定的磋商截止时间后上传的任何响应文件。</w:t>
      </w:r>
      <w:r/>
    </w:p>
    <w:p>
      <w:pPr>
        <w:pStyle w:val="907"/>
        <w:ind w:firstLine="420"/>
        <w:pageBreakBefore w:val="0"/>
        <w:spacing w:line="440" w:lineRule="exact"/>
        <w:widowControl w:val="off"/>
        <w:rPr>
          <w:rFonts w:hint="default" w:ascii="Times New Roman" w:hAnsi="Times New Roman" w:cs="Times New Roman"/>
          <w:color w:val="auto"/>
          <w:highlight w:val="none"/>
        </w:rPr>
      </w:pPr>
      <w:r/>
      <w:bookmarkStart w:id="24" w:name="_Toc20823300"/>
      <w:r/>
      <w:bookmarkStart w:id="25" w:name="_Toc16938544"/>
      <w:r>
        <w:rPr>
          <w:rFonts w:hint="default" w:ascii="Times New Roman" w:hAnsi="Times New Roman" w:cs="Times New Roman"/>
          <w:color w:val="auto"/>
          <w:highlight w:val="none"/>
        </w:rPr>
        <w:t xml:space="preserve">20、响应文件的撤回和修改</w:t>
      </w:r>
      <w:bookmarkEnd w:id="24"/>
      <w:r/>
      <w:bookmarkEnd w:id="25"/>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20.1 响应文件的撤回</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20.1.1 电子响应文件的撤回</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供应商可在磋商截止时间前，撤回其电子响应文件，具体操作方法见《操作手册》。</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20.1.2 供应商撤回电子响应文件，则认为其不再参与本项目磋商谈判。</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20.2 响应文件的修改</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供应商可在磋商截止时间前，对其电子响应文件进行修改，具体操作方法见《操作手册》。</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20.3 在磋商截止时间之后，供应商不得对其电子响应文件作任何修改。</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20.4 在磋商截止时间至采购文件中规定的磋商有效期满之间的这段时间内，供应商不得撤回其响应文件。</w:t>
      </w:r>
      <w:r/>
    </w:p>
    <w:p>
      <w:pPr>
        <w:pStyle w:val="907"/>
        <w:ind w:firstLine="420"/>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rPr>
        <w:t xml:space="preserve">21、磋商</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21.1 代理机构将在采购公告中规定的时间和地点组织磋商开始仪式。供应商应当按照《操作手册》规定，参加磋商活动。</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21.2供应商在磋商过程中涉及到的响应文件解密等工作，应按照《操作手册》规定执行。</w:t>
      </w:r>
      <w:r/>
    </w:p>
    <w:p>
      <w:pPr>
        <w:pStyle w:val="907"/>
        <w:ind w:firstLine="420"/>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rPr>
        <w:t xml:space="preserve">22、磋商小组</w:t>
      </w:r>
      <w:r/>
    </w:p>
    <w:p>
      <w:pPr>
        <w:pStyle w:val="907"/>
        <w:ind w:firstLine="420"/>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rPr>
        <w:t xml:space="preserve">22.1</w:t>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磋商开始后，代理机构将立即组织磋商小组进行评审。</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22.2磋商小组由采购人代表和有关技术、经济等方面的专家组成，且人员构成符合政府采购有关规定。</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22.3磋商小组独立工作，负责评审有效响应文件并确定成交候选供应商。</w:t>
      </w:r>
      <w:r/>
    </w:p>
    <w:p>
      <w:pPr>
        <w:pStyle w:val="907"/>
        <w:ind w:firstLine="420"/>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rPr>
        <w:t xml:space="preserve">23、评审过程的保密与公正</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23.1评审专家应当遵守评审工作纪律，不得泄露评审情况和评审中获悉的商业秘密。</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23.2在评审过程中，供应商不得以任何行为影响评审过程，否则其响应文件将被作为无效响应文件。</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23.3 在评审期间，代理机构将设专门工作人员与供应商联系。</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23.4 代理机构和磋商小组不向未成交的供应商解释未成交原因，也不公布评审过程中的相关细节。</w:t>
      </w:r>
      <w:r/>
    </w:p>
    <w:p>
      <w:pPr>
        <w:pStyle w:val="907"/>
        <w:ind w:firstLine="420"/>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rPr>
        <w:t xml:space="preserve">24、磋商的澄清</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24.1评审期间，磋商小组要求供应商澄清、说明或者更正响应文件以电子函件形式提交但并非对每个供应商都作澄清要求。</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24.2接到磋商小组澄清要求的供应商应按磋商小组规定的时间和格式在</w:t>
      </w:r>
      <w:r>
        <w:rPr>
          <w:rFonts w:hint="default" w:ascii="Times New Roman" w:hAnsi="Times New Roman" w:cs="Times New Roman"/>
          <w:b/>
          <w:bCs/>
          <w:color w:val="auto"/>
          <w:highlight w:val="none"/>
        </w:rPr>
        <w:t xml:space="preserve">“政府采购管理交易系统（苏采云）”</w:t>
      </w:r>
      <w:r>
        <w:rPr>
          <w:rFonts w:hint="default" w:ascii="Times New Roman" w:hAnsi="Times New Roman" w:cs="Times New Roman"/>
          <w:color w:val="auto"/>
          <w:highlight w:val="none"/>
        </w:rPr>
        <w:t xml:space="preserve">中做出澄清，澄清的内容作为响应文件的补充部分。具体操作方式见</w:t>
      </w:r>
      <w:r>
        <w:rPr>
          <w:rFonts w:hint="default" w:ascii="Times New Roman" w:hAnsi="Times New Roman" w:cs="Times New Roman"/>
          <w:bCs/>
          <w:color w:val="auto"/>
          <w:highlight w:val="none"/>
        </w:rPr>
        <w:t xml:space="preserve">《操作手册》</w:t>
      </w:r>
      <w:r>
        <w:rPr>
          <w:rFonts w:hint="default" w:ascii="Times New Roman" w:hAnsi="Times New Roman" w:cs="Times New Roman"/>
          <w:color w:val="auto"/>
          <w:highlight w:val="none"/>
        </w:rPr>
        <w:t xml:space="preserve">。</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24.3 接到磋商小组澄清要求的供应商如未按规定做出澄清，其风险由供应商自行承担。</w:t>
      </w:r>
      <w:r/>
    </w:p>
    <w:p>
      <w:pPr>
        <w:pStyle w:val="907"/>
        <w:ind w:firstLine="420"/>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rPr>
        <w:t xml:space="preserve">25、对响应文件的初审</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25.1响应文件初审分为资格审查和符合性审查。</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25.1.1资格审查：依据法律法规和采购文件的规定，对响应文件中的资格证明文件进行审查。以确定供应商是否具备参加磋商的资格。</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25.1.3 未通过资格审查或符合性审查的供应商，代理机构将在</w:t>
      </w:r>
      <w:r>
        <w:rPr>
          <w:rFonts w:hint="default" w:ascii="Times New Roman" w:hAnsi="Times New Roman" w:cs="Times New Roman"/>
          <w:b/>
          <w:bCs/>
          <w:color w:val="auto"/>
          <w:highlight w:val="none"/>
        </w:rPr>
        <w:t xml:space="preserve">“政府采购管理交易系统（苏采云）”</w:t>
      </w:r>
      <w:r>
        <w:rPr>
          <w:rFonts w:hint="default" w:ascii="Times New Roman" w:hAnsi="Times New Roman" w:cs="Times New Roman"/>
          <w:color w:val="auto"/>
          <w:highlight w:val="none"/>
        </w:rPr>
        <w:t xml:space="preserve">中告知未通过资格审查或符合性审查的原因，评审结束后，代理机构将不再告知未通过资格审查或符合性审查的原因。</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25.4 供应商在开、评标全过程中应保持通讯畅通，并安排专人与代理机构及磋商小组联系。</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26、磋商程序及评审方法和标准</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26.1磋商程序</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26.1.1 对于通过资格性和符合性审查的供应商，磋商小组所有成员将集中与单一供应商在“政府采购管理交易系统（苏采云）”中分别进行磋商。</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 26.1.2 采购文件能够详细列明采购标的的技术、服务要求的，磋商结束后，磋商小组将要求所有实质性响应的供应商在规定时间内提交最后报价。</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26.2 评审方法和标准</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26.2.2评审标准</w:t>
      </w:r>
      <w:r/>
    </w:p>
    <w:p>
      <w:pPr>
        <w:pStyle w:val="907"/>
        <w:ind w:firstLine="422"/>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见本采购文件第五章规定。</w:t>
      </w:r>
      <w:r/>
    </w:p>
    <w:p>
      <w:pPr>
        <w:pStyle w:val="907"/>
        <w:ind w:firstLine="420"/>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rPr>
        <w:t xml:space="preserve">27、无效响应及采购活动终止的情况</w:t>
      </w:r>
      <w:r/>
    </w:p>
    <w:p>
      <w:pPr>
        <w:pStyle w:val="907"/>
        <w:ind w:firstLine="420"/>
        <w:pageBreakBefore w:val="0"/>
        <w:spacing w:line="440" w:lineRule="exact"/>
        <w:widowControl w:val="off"/>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27.1无效响应条款</w:t>
      </w:r>
      <w:r/>
    </w:p>
    <w:p>
      <w:pPr>
        <w:pStyle w:val="907"/>
        <w:ind w:firstLine="420"/>
        <w:pageBreakBefore w:val="0"/>
        <w:spacing w:line="440" w:lineRule="exact"/>
        <w:widowControl w:val="off"/>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27.1.1 供应商未按照采购文件要求上传电子磋商响应文件的。</w:t>
      </w:r>
      <w:r/>
    </w:p>
    <w:p>
      <w:pPr>
        <w:pStyle w:val="907"/>
        <w:ind w:firstLine="420"/>
        <w:pageBreakBefore w:val="0"/>
        <w:spacing w:line="440" w:lineRule="exact"/>
        <w:widowControl w:val="off"/>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27.1.2 供应商未成功解密电子磋商响应文件的。</w:t>
      </w:r>
      <w:r/>
    </w:p>
    <w:p>
      <w:pPr>
        <w:pStyle w:val="907"/>
        <w:ind w:firstLine="420"/>
        <w:pageBreakBefore w:val="0"/>
        <w:spacing w:line="440" w:lineRule="exact"/>
        <w:widowControl w:val="off"/>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27.1.3 供应商不具备采购文件中规定资格要求的。</w:t>
      </w:r>
      <w:r/>
    </w:p>
    <w:p>
      <w:pPr>
        <w:pStyle w:val="907"/>
        <w:ind w:firstLine="420"/>
        <w:pageBreakBefore w:val="0"/>
        <w:spacing w:line="440" w:lineRule="exact"/>
        <w:widowControl w:val="off"/>
        <w:rPr>
          <w:rFonts w:hint="default" w:ascii="Times New Roman" w:hAnsi="Times New Roman" w:cs="Times New Roman"/>
          <w:bCs/>
          <w:i/>
          <w:color w:val="auto"/>
          <w:highlight w:val="none"/>
          <w:u w:val="single"/>
        </w:rPr>
      </w:pPr>
      <w:r>
        <w:rPr>
          <w:rFonts w:hint="default" w:ascii="Times New Roman" w:hAnsi="Times New Roman" w:cs="Times New Roman"/>
          <w:bCs/>
          <w:color w:val="auto"/>
          <w:highlight w:val="none"/>
        </w:rPr>
        <w:t xml:space="preserve">27.1.4 未通过符合性审查的。</w:t>
      </w:r>
      <w:r/>
    </w:p>
    <w:p>
      <w:pPr>
        <w:pStyle w:val="907"/>
        <w:ind w:firstLine="420"/>
        <w:pageBreakBefore w:val="0"/>
        <w:spacing w:line="440" w:lineRule="exact"/>
        <w:widowControl w:val="off"/>
        <w:rPr>
          <w:rFonts w:hint="default" w:ascii="Times New Roman" w:hAnsi="Times New Roman" w:cs="Times New Roman"/>
          <w:bCs/>
          <w:i/>
          <w:color w:val="auto"/>
          <w:highlight w:val="none"/>
          <w:u w:val="single"/>
        </w:rPr>
      </w:pPr>
      <w:r>
        <w:rPr>
          <w:rFonts w:hint="default" w:ascii="Times New Roman" w:hAnsi="Times New Roman" w:cs="Times New Roman"/>
          <w:bCs/>
          <w:color w:val="auto"/>
          <w:highlight w:val="none"/>
        </w:rPr>
        <w:t xml:space="preserve">27.1.5 不符合采购文件中规定的其他实质性要求和条件的（</w:t>
      </w:r>
      <w:r>
        <w:rPr>
          <w:rFonts w:hint="default" w:ascii="Times New Roman" w:hAnsi="Times New Roman" w:cs="Times New Roman"/>
          <w:bCs/>
          <w:i/>
          <w:color w:val="auto"/>
          <w:highlight w:val="none"/>
          <w:u w:val="single"/>
        </w:rPr>
        <w:t xml:space="preserve">本采购文件中斜体且有下划线部分为实质性要求和条件）。</w:t>
      </w:r>
      <w:r/>
    </w:p>
    <w:p>
      <w:pPr>
        <w:pStyle w:val="907"/>
        <w:ind w:firstLine="420"/>
        <w:pageBreakBefore w:val="0"/>
        <w:spacing w:line="440" w:lineRule="exact"/>
        <w:widowControl w:val="off"/>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27.1.6 </w:t>
      </w:r>
      <w:r>
        <w:rPr>
          <w:rFonts w:hint="default" w:ascii="Times New Roman" w:hAnsi="Times New Roman" w:cs="Times New Roman"/>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907"/>
        <w:ind w:firstLine="420"/>
        <w:pageBreakBefore w:val="0"/>
        <w:spacing w:line="440" w:lineRule="exact"/>
        <w:widowControl w:val="off"/>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pStyle w:val="907"/>
        <w:ind w:firstLine="420"/>
        <w:pageBreakBefore w:val="0"/>
        <w:spacing w:line="440" w:lineRule="exact"/>
        <w:widowControl w:val="off"/>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27.1.8 响应文件未按照采购文件要求加盖电子签章。</w:t>
      </w:r>
      <w:r/>
    </w:p>
    <w:p>
      <w:pPr>
        <w:pStyle w:val="907"/>
        <w:ind w:firstLine="420"/>
        <w:pageBreakBefore w:val="0"/>
        <w:spacing w:line="440" w:lineRule="exact"/>
        <w:widowControl w:val="off"/>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27.1.9 其他法律、法规及本采购文件规定的属无效响应的情形。</w:t>
      </w:r>
      <w:r/>
    </w:p>
    <w:p>
      <w:pPr>
        <w:pStyle w:val="907"/>
        <w:ind w:firstLine="420"/>
        <w:pageBreakBefore w:val="0"/>
        <w:spacing w:line="440" w:lineRule="exact"/>
        <w:widowControl w:val="off"/>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27.2 </w:t>
      </w:r>
      <w:r>
        <w:rPr>
          <w:rFonts w:hint="default" w:ascii="Times New Roman" w:hAnsi="Times New Roman" w:cs="Times New Roman"/>
          <w:color w:val="auto"/>
          <w:highlight w:val="none"/>
        </w:rPr>
        <w:t xml:space="preserve">采购活动终止的情况</w:t>
      </w:r>
      <w:r>
        <w:rPr>
          <w:rFonts w:hint="default" w:ascii="Times New Roman" w:hAnsi="Times New Roman" w:cs="Times New Roman"/>
          <w:bCs/>
          <w:color w:val="auto"/>
          <w:highlight w:val="none"/>
        </w:rPr>
        <w:t xml:space="preserve">：</w:t>
      </w:r>
      <w:r/>
    </w:p>
    <w:p>
      <w:pPr>
        <w:pStyle w:val="907"/>
        <w:ind w:firstLine="420"/>
        <w:pageBreakBefore w:val="0"/>
        <w:spacing w:line="440" w:lineRule="exact"/>
        <w:widowControl w:val="off"/>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27.2.1 因情况变化，不再符合规定的竞争性磋商采购方式适用情形的；</w:t>
      </w:r>
      <w:r/>
    </w:p>
    <w:p>
      <w:pPr>
        <w:pStyle w:val="907"/>
        <w:ind w:firstLine="420"/>
        <w:pageBreakBefore w:val="0"/>
        <w:spacing w:line="440" w:lineRule="exact"/>
        <w:widowControl w:val="off"/>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27.2.2 出现影响采购公正的违法、违规行为的；</w:t>
      </w:r>
      <w:r/>
    </w:p>
    <w:p>
      <w:pPr>
        <w:pStyle w:val="907"/>
        <w:ind w:firstLine="420"/>
        <w:pageBreakBefore w:val="0"/>
        <w:spacing w:line="440" w:lineRule="exact"/>
        <w:widowControl w:val="off"/>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27.2.3 </w:t>
      </w:r>
      <w:r>
        <w:rPr>
          <w:rFonts w:hint="default" w:ascii="Times New Roman" w:hAnsi="Times New Roman" w:cs="Times New Roman"/>
          <w:color w:val="auto"/>
          <w:highlight w:val="none"/>
        </w:rPr>
        <w:t xml:space="preserve">除本磋商文件第26.1.2条第三款规定的情形外，在采购过程中符合要求的供应商或者报价未超过采购预算的供应商不足3家的。</w:t>
      </w:r>
      <w:r/>
    </w:p>
    <w:p>
      <w:pPr>
        <w:pStyle w:val="907"/>
        <w:ind w:firstLine="420"/>
        <w:pageBreakBefore w:val="0"/>
        <w:spacing w:line="440" w:lineRule="exact"/>
        <w:widowControl w:val="off"/>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27.2.4 因重大变故，采购任务取消的。</w:t>
      </w:r>
      <w:r/>
    </w:p>
    <w:p>
      <w:pPr>
        <w:pStyle w:val="907"/>
        <w:ind w:firstLine="420"/>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rPr>
        <w:t xml:space="preserve">28、确定成交单位</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28.2 采购人应根据磋商推荐的成交候选人，按照排序由高到低的原件确定成交供应商。</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28.3 代理机构将在</w:t>
      </w:r>
      <w:r>
        <w:rPr>
          <w:rFonts w:hint="default" w:ascii="Times New Roman" w:hAnsi="Times New Roman" w:cs="Times New Roman"/>
          <w:color w:val="auto"/>
          <w:highlight w:val="none"/>
          <w:lang w:eastAsia="zh-CN"/>
        </w:rPr>
        <w:t xml:space="preserve">“扬州市政府采购网”</w:t>
      </w: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江苏省政府采购网”、“中国政府采购网”发布成交公告，公告期限为1个工作日。</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28.4 若有充分证据证明，成交供应商出现下列情况之一的，一经查实，将被取消成交资格：</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28.4.1 提供虚假材料谋取成交的；</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28.4.2 向采购人、代理机构行贿或者提供其他不正当利益的；</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28.4.3 恶意竞争，最终总报价明显低于其自身合理成本且又无法提供证明的；</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28.4.4 属于本文件规定的无效条件，但在评审过程中又未被磋商小组发现的；</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28.4.5 与采购人或者其他供应商恶意串通的；</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28.4.6 采取不正当手段诋毁、排挤其他供应商的；</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28.4.7 不符合法律、法规的规定的。</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29、质疑处理</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29.1提出质疑的供应商应当是参与所质疑项目采购活动的供应商。潜在供应商依法获取其可质疑的采购文件的，可以对采购文件提出质疑。</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对项目需求部分的质疑，潜在供应商应向采购人提出，由采购人负责答复。</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29.2供应商认为采购文件、采购过程和</w:t>
      </w:r>
      <w:r>
        <w:rPr>
          <w:rFonts w:hint="default" w:ascii="Times New Roman" w:hAnsi="Times New Roman" w:cs="Times New Roman"/>
          <w:color w:val="auto"/>
          <w:highlight w:val="none"/>
          <w:lang w:eastAsia="zh-CN"/>
        </w:rPr>
        <w:t xml:space="preserve">成交</w:t>
      </w:r>
      <w:r>
        <w:rPr>
          <w:rFonts w:hint="default" w:ascii="Times New Roman" w:hAnsi="Times New Roman" w:cs="Times New Roman"/>
          <w:color w:val="auto"/>
          <w:highlight w:val="none"/>
        </w:rPr>
        <w:t xml:space="preserve">或成交结果使自己的权益受到损害的，可以在知道或应知其权益受到损害之日起7个工作日内，以书面形式向采购人或代理机构提出质疑。</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29.2.1对采购文件提出质疑的，应当在获取采购文件之日或者采购文件公告期限届满之日起7个工作日内提出。</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29.2.2对采购过程提出质疑的，为各采购程序环节结束之日起7个工作日内提出。</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29.2.3对成交结果提出质疑的，为成交结果公告期限届满之日起7个工作日内提出。</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29.5 代理机构及采购人只接收以纸质原件形式送达的质疑。</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采购人质疑接收人及联系方式见采购文件第一章。</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29.6代理机构收到质疑申请后，将对质疑的形式和内容进行审查，如质疑内容、格式不符合规定，代理机构将告知质疑人进行补正。</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29.7质疑人应当在法定质疑期限内进行补正并重新提交质疑函。</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29.8 以下情形的质疑不予受理</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29.8.1 内容不符合《政府采购质疑和投诉办法》第十二条规定的质疑。</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29.8.2 超出政府采购法定期限的质疑。</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29.8.3 以传真、电子邮件等方式递交的非原件形式的质疑。</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29.8.4 未参加磋商活动的供应商或在磋商活动中自身权益未受到损害的供应商所提出的质疑。</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29.8.5供应商组成联合体参加磋商，联合体中任何一方或多方未按要求签字、盖章、加盖公章的质疑。</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29.10代理机构应当在收到供应商的书面质疑后7个工作日内作出答复，并以书面形式通知质疑供应商和其他有关供应商，但答复的内容不得涉及商业秘密。</w:t>
      </w:r>
      <w:r/>
    </w:p>
    <w:p>
      <w:pPr>
        <w:pStyle w:val="907"/>
        <w:ind w:firstLine="420"/>
        <w:pageBreakBefore w:val="0"/>
        <w:spacing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color w:val="auto"/>
          <w:highlight w:val="none"/>
        </w:rPr>
        <w:t xml:space="preserve">30、成交通知书</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30.l</w:t>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成交结果确定后，代理机构将向成交供应商发出成通知书。</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30.2 成交供应商可在”扬州市政府采购交易管理系统（苏采云）”成交通知书下载模块中自行下载成交通知书。</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31、签订合同</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31.l成交供应商应在成交通知书发出之日起</w:t>
      </w:r>
      <w:r>
        <w:rPr>
          <w:rFonts w:hint="default" w:ascii="Times New Roman" w:hAnsi="Times New Roman" w:cs="Times New Roman"/>
          <w:color w:val="auto"/>
          <w:highlight w:val="none"/>
          <w:lang w:val="en-US" w:eastAsia="zh-CN"/>
        </w:rPr>
        <w:t xml:space="preserve">三十</w:t>
      </w:r>
      <w:r>
        <w:rPr>
          <w:rFonts w:hint="default" w:ascii="Times New Roman" w:hAnsi="Times New Roman" w:cs="Times New Roman"/>
          <w:color w:val="auto"/>
          <w:highlight w:val="none"/>
        </w:rPr>
        <w:t xml:space="preserve">日内，按照采购文件确定的事项与采购人签订政府采购合同。</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31.2</w:t>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采购文件、成交供应商的响应文件及磋商过程中有关澄清、承诺文件均应作为合同附件。</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bCs/>
          <w:color w:val="auto"/>
          <w:szCs w:val="21"/>
          <w:highlight w:val="none"/>
        </w:rPr>
        <w:t xml:space="preserve">31.3 合同在“政府采购管理交易系统（苏采云）”中签订，签订合同后，</w:t>
      </w:r>
      <w:r>
        <w:rPr>
          <w:rFonts w:hint="default" w:ascii="Times New Roman" w:hAnsi="Times New Roman" w:cs="Times New Roman"/>
          <w:bCs/>
          <w:i/>
          <w:iCs/>
          <w:color w:val="auto"/>
          <w:szCs w:val="21"/>
          <w:highlight w:val="none"/>
          <w:u w:val="single"/>
        </w:rPr>
        <w:t xml:space="preserve">成交供应商不得将货物或服务及其他服务进行转包</w:t>
      </w:r>
      <w:r>
        <w:rPr>
          <w:rFonts w:hint="default" w:ascii="Times New Roman" w:hAnsi="Times New Roman" w:cs="Times New Roman"/>
          <w:bCs/>
          <w:color w:val="auto"/>
          <w:szCs w:val="21"/>
          <w:highlight w:val="none"/>
        </w:rPr>
        <w:t xml:space="preserve">。否则采购人有权终止合同，成交供应商的履约保证金将不予退还。转包或分包造成采购人损失的，成交供应商应承担赔偿责任。</w:t>
      </w:r>
      <w:r/>
    </w:p>
    <w:p>
      <w:pPr>
        <w:pStyle w:val="907"/>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907"/>
        <w:numPr>
          <w:ilvl w:val="0"/>
          <w:numId w:val="7"/>
        </w:numPr>
        <w:ind w:firstLine="422"/>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b/>
          <w:bCs/>
          <w:color w:val="auto"/>
          <w:highlight w:val="none"/>
        </w:rPr>
        <w:t xml:space="preserve">其他</w:t>
      </w:r>
      <w:r/>
    </w:p>
    <w:p>
      <w:pPr>
        <w:pStyle w:val="907"/>
        <w:numPr>
          <w:ilvl w:val="0"/>
          <w:numId w:val="0"/>
        </w:numPr>
        <w:ind w:firstLine="420"/>
        <w:pageBreakBefore w:val="0"/>
        <w:spacing w:line="44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32.1 依据《政府采购促进中小企业发展管理办法》享受享受扶持政策获得政府采购合同的，小微企业不得将合同分包给大中型企业，中型企业不得将合同分包给大型企业。</w:t>
      </w:r>
      <w:r/>
    </w:p>
    <w:p>
      <w:pPr>
        <w:jc w:val="both"/>
        <w:spacing w:before="0" w:after="0" w:line="360" w:lineRule="auto"/>
        <w:rPr>
          <w:rFonts w:hint="default" w:ascii="Times New Roman" w:hAnsi="Times New Roman" w:cs="Times New Roman"/>
          <w:color w:val="auto"/>
          <w:sz w:val="36"/>
          <w:highlight w:val="none"/>
        </w:rPr>
        <w:outlineLvl w:val="9"/>
      </w:pPr>
      <w:r/>
      <w:bookmarkStart w:id="26" w:name="_Toc14237"/>
      <w:r/>
      <w:bookmarkStart w:id="27" w:name="_Toc2861"/>
      <w:r/>
      <w:bookmarkStart w:id="28" w:name="_Toc20711"/>
      <w:r/>
      <w:r/>
    </w:p>
    <w:p>
      <w:pPr>
        <w:rPr>
          <w:rFonts w:hint="default" w:ascii="Times New Roman" w:hAnsi="Times New Roman" w:cs="Times New Roman"/>
          <w:color w:val="auto"/>
          <w:sz w:val="36"/>
          <w:highlight w:val="none"/>
        </w:rPr>
      </w:pPr>
      <w:r>
        <w:rPr>
          <w:rFonts w:hint="default" w:ascii="Times New Roman" w:hAnsi="Times New Roman" w:cs="Times New Roman"/>
          <w:color w:val="auto"/>
          <w:sz w:val="36"/>
          <w:highlight w:val="none"/>
        </w:rPr>
        <w:br w:type="page" w:clear="all"/>
      </w:r>
      <w:r/>
    </w:p>
    <w:p>
      <w:pPr>
        <w:pStyle w:val="853"/>
        <w:jc w:val="center"/>
        <w:spacing w:before="0" w:after="0" w:line="360" w:lineRule="auto"/>
        <w:rPr>
          <w:rFonts w:hint="default" w:ascii="Times New Roman" w:hAnsi="Times New Roman" w:cs="Times New Roman"/>
          <w:color w:val="auto"/>
          <w:sz w:val="36"/>
          <w:highlight w:val="none"/>
        </w:rPr>
        <w:outlineLvl w:val="0"/>
      </w:pPr>
      <w:r>
        <w:rPr>
          <w:rFonts w:hint="default" w:ascii="Times New Roman" w:hAnsi="Times New Roman" w:cs="Times New Roman"/>
          <w:color w:val="auto"/>
          <w:sz w:val="36"/>
          <w:highlight w:val="none"/>
        </w:rPr>
        <w:t xml:space="preserve">第三章 合同条款及格式</w:t>
      </w:r>
      <w:bookmarkEnd w:id="15"/>
      <w:r/>
      <w:bookmarkEnd w:id="26"/>
      <w:r/>
      <w:bookmarkEnd w:id="27"/>
      <w:r/>
      <w:bookmarkEnd w:id="28"/>
      <w:r/>
      <w:r/>
    </w:p>
    <w:p>
      <w:pPr>
        <w:ind w:firstLine="420"/>
        <w:jc w:val="left"/>
        <w:spacing w:line="360" w:lineRule="auto"/>
        <w:widowControl/>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r>
      <w:r/>
    </w:p>
    <w:p>
      <w:pPr>
        <w:ind w:firstLine="420"/>
        <w:jc w:val="left"/>
        <w:spacing w:line="360" w:lineRule="auto"/>
        <w:widowControl/>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以下为成交后签定本项目合同的通用条款，成交供应商不得提出实质性的修改。关于专用条款将由采购人与成交供应商结合本项目具体情况协商后补充，但补充内容对磋商文件和磋商响应文件以及通用条款，不得作实质性修改。 </w:t>
      </w:r>
      <w:r/>
    </w:p>
    <w:p>
      <w:pPr>
        <w:jc w:val="center"/>
        <w:spacing w:line="360" w:lineRule="auto"/>
        <w:rPr>
          <w:rFonts w:hint="default" w:ascii="Times New Roman" w:hAnsi="Times New Roman" w:cs="Times New Roman"/>
          <w:b/>
          <w:color w:val="auto"/>
          <w:sz w:val="28"/>
          <w:szCs w:val="28"/>
          <w:highlight w:val="none"/>
        </w:rPr>
        <w:outlineLvl w:val="9"/>
      </w:pPr>
      <w:r/>
      <w:bookmarkStart w:id="29" w:name="_Toc4991"/>
      <w:r/>
      <w:bookmarkStart w:id="30" w:name="_Toc22931"/>
      <w:r/>
      <w:r/>
    </w:p>
    <w:p>
      <w:pPr>
        <w:jc w:val="center"/>
        <w:spacing w:line="360" w:lineRule="auto"/>
        <w:rPr>
          <w:rFonts w:hint="default" w:ascii="Times New Roman" w:hAnsi="Times New Roman" w:cs="Times New Roman"/>
          <w:b/>
          <w:color w:val="auto"/>
          <w:sz w:val="28"/>
          <w:szCs w:val="28"/>
          <w:highlight w:val="none"/>
        </w:rPr>
        <w:outlineLvl w:val="0"/>
      </w:pPr>
      <w:r>
        <w:rPr>
          <w:rFonts w:hint="default" w:ascii="Times New Roman" w:hAnsi="Times New Roman" w:cs="Times New Roman"/>
          <w:b/>
          <w:color w:val="auto"/>
          <w:sz w:val="28"/>
          <w:szCs w:val="28"/>
          <w:highlight w:val="none"/>
        </w:rPr>
        <w:t xml:space="preserve">政府采购合同</w:t>
      </w:r>
      <w:bookmarkEnd w:id="29"/>
      <w:r/>
      <w:bookmarkEnd w:id="30"/>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项目名称：</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编号：</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甲方（采购人/买方）：      </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乙方（供应商/卖方）：              </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见证方：扬州览众建设工程咨询服务有限公司</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根据《中华人民共和国政府采购法》、《中华人民共和国民法典》等法律法规的规定，甲乙双方按照扬州览众建设工程咨询服务有限公司关于本项目竞争性磋商的结果签订本合同。</w:t>
      </w:r>
      <w:r/>
    </w:p>
    <w:p>
      <w:pPr>
        <w:ind w:firstLine="422"/>
        <w:keepLines w:val="0"/>
        <w:keepNext w:val="0"/>
        <w:pageBreakBefore w:val="0"/>
        <w:spacing w:line="440" w:lineRule="exac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1、合同标的</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乙方根据甲方需求，提供下列服务：</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服务内容等要求详见竞争性磋商文件及响应文件。</w:t>
      </w:r>
      <w:r/>
    </w:p>
    <w:p>
      <w:pPr>
        <w:ind w:firstLine="422"/>
        <w:keepLines w:val="0"/>
        <w:keepNext w:val="0"/>
        <w:pageBreakBefore w:val="0"/>
        <w:spacing w:line="440" w:lineRule="exac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2、合同总金额</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2.1 本合同金额为（大写）：_____________________________元人民币（¥</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元）。</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2.2 本合同总金额包括所乙方提供的服务及其他有关的为完成本项目发生的所有费用，竞争性磋商文件中另有规定的除外。</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2.3 在竞争性磋商文件未列明，而乙方认为履行本合同必需的费用也包含在合同总金额中。</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2.4 本合同总金额还包含乙方提供的伴随服务/售后服务费用。</w:t>
      </w:r>
      <w:r/>
    </w:p>
    <w:p>
      <w:pPr>
        <w:ind w:firstLine="422"/>
        <w:keepLines w:val="0"/>
        <w:keepNext w:val="0"/>
        <w:pageBreakBefore w:val="0"/>
        <w:spacing w:line="440" w:lineRule="exac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3、组成本合同的有关文件</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3.1乙方应按竞争性磋商文件规定的时间向甲方提供服务的有关技术资料。</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3.3 关于本项目政府采购的竞争性磋商文件、响应文件以及与本次采购活动方式相适应的文件及有关附件是本合同不可分割的组成部分，这些文件包括但不限于：</w:t>
      </w:r>
      <w:r/>
    </w:p>
    <w:p>
      <w:pPr>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（1）磋商文件；                   （2）磋商报价文件；</w:t>
      </w:r>
      <w:r/>
    </w:p>
    <w:p>
      <w:pPr>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（3）项目组人员表；               （4）服务要求响应及偏离表；</w:t>
      </w:r>
      <w:r/>
    </w:p>
    <w:p>
      <w:pPr>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（5）服务承诺；                   （6）成交通知书；</w:t>
      </w:r>
      <w:r/>
    </w:p>
    <w:p>
      <w:pPr>
        <w:ind w:firstLine="315"/>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（7）甲乙双方补充协议；           （8）乙方参加磋商时提供的响应文件。</w:t>
      </w:r>
      <w:r/>
    </w:p>
    <w:p>
      <w:pPr>
        <w:ind w:firstLine="422"/>
        <w:keepLines w:val="0"/>
        <w:keepNext w:val="0"/>
        <w:pageBreakBefore w:val="0"/>
        <w:spacing w:line="440" w:lineRule="exac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4、知识产权保证</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乙方保证甲方在使用、接受本合同服务或其任何一部分时，不受第三方提出侵犯其专利权、版权、商标权和工业设计权等知识产权的起诉。一旦出现侵权，由乙方负全部责任。</w:t>
      </w:r>
      <w:r/>
    </w:p>
    <w:p>
      <w:pPr>
        <w:pStyle w:val="871"/>
        <w:keepLines w:val="0"/>
        <w:keepNext w:val="0"/>
        <w:pageBreakBefore w:val="0"/>
        <w:spacing w:line="440" w:lineRule="exact"/>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 xml:space="preserve">   </w:t>
      </w:r>
      <w:r>
        <w:rPr>
          <w:rFonts w:hint="default" w:ascii="Times New Roman" w:hAnsi="Times New Roman" w:cs="Times New Roman"/>
          <w:color w:val="auto"/>
          <w:sz w:val="21"/>
          <w:szCs w:val="15"/>
          <w:highlight w:val="none"/>
        </w:rPr>
        <w:t xml:space="preserve">甲方提供的技术资料</w:t>
      </w:r>
      <w:r>
        <w:rPr>
          <w:rFonts w:hint="default" w:ascii="Times New Roman" w:hAnsi="Times New Roman" w:cs="Times New Roman"/>
          <w:color w:val="auto"/>
          <w:sz w:val="21"/>
          <w:szCs w:val="15"/>
          <w:highlight w:val="none"/>
          <w:lang w:eastAsia="zh-CN"/>
        </w:rPr>
        <w:t xml:space="preserve">仅限</w:t>
      </w:r>
      <w:r>
        <w:rPr>
          <w:rFonts w:hint="default" w:ascii="Times New Roman" w:hAnsi="Times New Roman" w:cs="Times New Roman"/>
          <w:color w:val="auto"/>
          <w:sz w:val="21"/>
          <w:szCs w:val="21"/>
          <w:highlight w:val="none"/>
        </w:rPr>
        <w:t xml:space="preserve">本合同有效期内</w:t>
      </w:r>
      <w:r>
        <w:rPr>
          <w:rFonts w:hint="default" w:ascii="Times New Roman" w:hAnsi="Times New Roman" w:cs="Times New Roman"/>
          <w:color w:val="auto"/>
          <w:sz w:val="21"/>
          <w:szCs w:val="21"/>
          <w:highlight w:val="none"/>
          <w:lang w:eastAsia="zh-CN"/>
        </w:rPr>
        <w:t xml:space="preserve">使用</w:t>
      </w:r>
      <w:r>
        <w:rPr>
          <w:rFonts w:hint="default" w:ascii="Times New Roman" w:hAnsi="Times New Roman" w:cs="Times New Roman"/>
          <w:color w:val="auto"/>
          <w:sz w:val="21"/>
          <w:szCs w:val="21"/>
          <w:highlight w:val="none"/>
        </w:rPr>
        <w:t xml:space="preserve">，乙方利用甲方提供的技术资料和工作条件所完成的新的技术成果，归甲方所有。</w:t>
      </w:r>
      <w:r>
        <w:rPr>
          <w:rFonts w:hint="default" w:ascii="Times New Roman" w:hAnsi="Times New Roman" w:cs="Times New Roman"/>
          <w:color w:val="auto"/>
          <w:sz w:val="21"/>
          <w:szCs w:val="21"/>
          <w:highlight w:val="none"/>
          <w:lang w:eastAsia="zh-CN"/>
        </w:rPr>
        <w:t xml:space="preserve">未经甲方同意，不得将成果应用至其他项目。</w:t>
      </w:r>
      <w:r/>
    </w:p>
    <w:p>
      <w:pPr>
        <w:ind w:firstLine="422"/>
        <w:keepLines w:val="0"/>
        <w:keepNext w:val="0"/>
        <w:pageBreakBefore w:val="0"/>
        <w:spacing w:line="440" w:lineRule="exac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5、产权保证</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乙方保证所交付的服务和服务所涉及的物品所有权无任何抵押、查封等权利瑕疵。 </w:t>
      </w:r>
      <w:r/>
    </w:p>
    <w:p>
      <w:pPr>
        <w:pStyle w:val="875"/>
        <w:ind w:firstLine="422"/>
        <w:keepLines w:val="0"/>
        <w:keepNext w:val="0"/>
        <w:pageBreakBefore w:val="0"/>
        <w:spacing w:line="440" w:lineRule="exact"/>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6、转包或分包</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6.1 本合同禁止转包，本合同范围的服务，应由乙方直接提供的，不得转让他人提供。</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6.2 经甲方同意，乙方可以依法采取分包方式履行合同，但是分包方式履行的，乙方应就采购项目向甲方负全责。</w:t>
      </w:r>
      <w:r/>
    </w:p>
    <w:p>
      <w:pPr>
        <w:pStyle w:val="875"/>
        <w:ind w:firstLine="422"/>
        <w:keepLines w:val="0"/>
        <w:keepNext w:val="0"/>
        <w:pageBreakBefore w:val="0"/>
        <w:spacing w:line="440" w:lineRule="exact"/>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7、免费维保期</w:t>
      </w:r>
      <w:r/>
    </w:p>
    <w:p>
      <w:pPr>
        <w:pStyle w:val="875"/>
        <w:ind w:firstLine="420"/>
        <w:keepLines w:val="0"/>
        <w:keepNext w:val="0"/>
        <w:pageBreakBefore w:val="0"/>
        <w:spacing w:line="440" w:lineRule="exact"/>
        <w:rPr>
          <w:rFonts w:hint="default" w:ascii="Times New Roman" w:hAnsi="Times New Roman" w:cs="Times New Roman"/>
          <w:b/>
          <w:bCs/>
          <w:color w:val="auto"/>
          <w:sz w:val="21"/>
          <w:highlight w:val="none"/>
        </w:rPr>
      </w:pPr>
      <w:r>
        <w:rPr>
          <w:rFonts w:hint="default" w:ascii="Times New Roman" w:hAnsi="Times New Roman" w:cs="Times New Roman"/>
          <w:color w:val="auto"/>
          <w:sz w:val="21"/>
          <w:highlight w:val="none"/>
        </w:rPr>
        <w:t xml:space="preserve">免费维保期</w:t>
      </w:r>
      <w:r>
        <w:rPr>
          <w:rFonts w:hint="default" w:ascii="Times New Roman" w:hAnsi="Times New Roman" w:cs="Times New Roman"/>
          <w:color w:val="auto"/>
          <w:sz w:val="21"/>
          <w:highlight w:val="none"/>
          <w:u w:val="single"/>
        </w:rPr>
        <w:t xml:space="preserve">   </w:t>
      </w:r>
      <w:r>
        <w:rPr>
          <w:rFonts w:hint="default" w:ascii="Times New Roman" w:hAnsi="Times New Roman" w:cs="Times New Roman"/>
          <w:color w:val="auto"/>
          <w:sz w:val="21"/>
          <w:highlight w:val="none"/>
          <w:u w:val="single"/>
          <w:lang w:val="en-US" w:eastAsia="zh-CN"/>
        </w:rPr>
        <w:t xml:space="preserve">/  </w:t>
      </w:r>
      <w:r>
        <w:rPr>
          <w:rFonts w:hint="default" w:ascii="Times New Roman" w:hAnsi="Times New Roman" w:cs="Times New Roman"/>
          <w:color w:val="auto"/>
          <w:sz w:val="21"/>
          <w:highlight w:val="none"/>
          <w:u w:val="single"/>
        </w:rPr>
        <w:t xml:space="preserve"> </w:t>
      </w:r>
      <w:r>
        <w:rPr>
          <w:rFonts w:hint="default" w:ascii="Times New Roman" w:hAnsi="Times New Roman" w:cs="Times New Roman"/>
          <w:color w:val="auto"/>
          <w:sz w:val="21"/>
          <w:highlight w:val="none"/>
        </w:rPr>
        <w:t xml:space="preserve">年。（自验收合格之日起计）</w:t>
      </w:r>
      <w:r/>
    </w:p>
    <w:p>
      <w:pPr>
        <w:pStyle w:val="875"/>
        <w:ind w:firstLine="422"/>
        <w:keepLines w:val="0"/>
        <w:keepNext w:val="0"/>
        <w:pageBreakBefore w:val="0"/>
        <w:spacing w:line="440" w:lineRule="exact"/>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8、服务期、服务方式及服务地点</w:t>
      </w:r>
      <w:r/>
    </w:p>
    <w:p>
      <w:pPr>
        <w:pStyle w:val="892"/>
        <w:ind w:firstLine="420"/>
        <w:keepLines w:val="0"/>
        <w:keepNext w:val="0"/>
        <w:pageBreakBefore w:val="0"/>
        <w:spacing w:before="0" w:beforeAutospacing="0" w:after="0" w:afterAutospacing="0" w:line="440" w:lineRule="exact"/>
        <w:widowControl/>
        <w:rPr>
          <w:rFonts w:hint="default" w:ascii="Times New Roman" w:hAnsi="Times New Roman" w:eastAsia="宋体" w:cs="Times New Roman"/>
          <w:color w:val="auto"/>
          <w:sz w:val="21"/>
          <w:highlight w:val="none"/>
          <w:u w:val="single"/>
          <w:lang w:val="en-US" w:eastAsia="zh-CN"/>
        </w:rPr>
      </w:pPr>
      <w:r>
        <w:rPr>
          <w:rFonts w:hint="default" w:ascii="Times New Roman" w:hAnsi="Times New Roman" w:cs="Times New Roman"/>
          <w:color w:val="auto"/>
          <w:sz w:val="21"/>
          <w:highlight w:val="none"/>
        </w:rPr>
        <w:t xml:space="preserve">8.1 服务期：</w:t>
      </w:r>
      <w:r>
        <w:rPr>
          <w:rFonts w:hint="default" w:ascii="Times New Roman" w:hAnsi="Times New Roman" w:cs="Times New Roman"/>
          <w:color w:val="auto"/>
          <w:sz w:val="21"/>
          <w:highlight w:val="none"/>
          <w:u w:val="single"/>
          <w:lang w:val="en-US" w:eastAsia="zh-CN"/>
        </w:rPr>
        <w:t xml:space="preserve"> </w:t>
      </w:r>
      <w:r>
        <w:rPr>
          <w:rFonts w:hint="eastAsia" w:ascii="Times New Roman" w:hAnsi="Times New Roman" w:cs="Times New Roman"/>
          <w:color w:val="auto"/>
          <w:sz w:val="21"/>
          <w:highlight w:val="none"/>
          <w:u w:val="single"/>
          <w:lang w:val="en-US" w:eastAsia="zh-CN"/>
        </w:rPr>
        <w:t xml:space="preserve">               </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u w:val="single"/>
        </w:rPr>
      </w:pPr>
      <w:r>
        <w:rPr>
          <w:rFonts w:hint="default" w:ascii="Times New Roman" w:hAnsi="Times New Roman" w:cs="Times New Roman"/>
          <w:color w:val="auto"/>
          <w:sz w:val="21"/>
          <w:highlight w:val="none"/>
        </w:rPr>
        <w:t xml:space="preserve">8.2 服务方式：</w:t>
      </w:r>
      <w:r>
        <w:rPr>
          <w:rFonts w:hint="default" w:ascii="Times New Roman" w:hAnsi="Times New Roman" w:cs="Times New Roman"/>
          <w:color w:val="auto"/>
          <w:sz w:val="21"/>
          <w:highlight w:val="none"/>
          <w:u w:val="single"/>
        </w:rPr>
        <w:t xml:space="preserve"> </w:t>
      </w:r>
      <w:r>
        <w:rPr>
          <w:rFonts w:hint="default" w:ascii="Times New Roman" w:hAnsi="Times New Roman" w:cs="Times New Roman"/>
          <w:color w:val="auto"/>
          <w:sz w:val="21"/>
          <w:highlight w:val="none"/>
          <w:u w:val="single"/>
          <w:lang w:val="en-US" w:eastAsia="zh-CN"/>
        </w:rPr>
        <w:t xml:space="preserve">           </w:t>
      </w:r>
      <w:r>
        <w:rPr>
          <w:rFonts w:hint="default" w:ascii="Times New Roman" w:hAnsi="Times New Roman" w:cs="Times New Roman"/>
          <w:color w:val="auto"/>
          <w:sz w:val="21"/>
          <w:highlight w:val="none"/>
          <w:u w:val="single"/>
        </w:rPr>
        <w:t xml:space="preserve"> </w:t>
      </w:r>
      <w:r>
        <w:rPr>
          <w:rFonts w:hint="default" w:ascii="Times New Roman" w:hAnsi="Times New Roman" w:cs="Times New Roman"/>
          <w:color w:val="auto"/>
          <w:sz w:val="21"/>
          <w:highlight w:val="none"/>
          <w:u w:val="single"/>
          <w:lang w:val="en-US" w:eastAsia="zh-CN"/>
        </w:rPr>
        <w:t xml:space="preserve"> </w:t>
      </w:r>
      <w:r/>
    </w:p>
    <w:p>
      <w:pPr>
        <w:pStyle w:val="875"/>
        <w:ind w:firstLine="420"/>
        <w:keepLines w:val="0"/>
        <w:keepNext w:val="0"/>
        <w:pageBreakBefore w:val="0"/>
        <w:spacing w:line="440" w:lineRule="exact"/>
        <w:rPr>
          <w:rFonts w:hint="default" w:ascii="Times New Roman" w:hAnsi="Times New Roman" w:eastAsia="宋体" w:cs="Times New Roman"/>
          <w:color w:val="auto"/>
          <w:sz w:val="21"/>
          <w:highlight w:val="none"/>
          <w:u w:val="single"/>
          <w:lang w:val="en-US" w:eastAsia="zh-CN"/>
        </w:rPr>
      </w:pPr>
      <w:r>
        <w:rPr>
          <w:rFonts w:hint="default" w:ascii="Times New Roman" w:hAnsi="Times New Roman" w:cs="Times New Roman"/>
          <w:color w:val="auto"/>
          <w:sz w:val="21"/>
          <w:highlight w:val="none"/>
        </w:rPr>
        <w:t xml:space="preserve">8.3 服务地点：</w:t>
      </w:r>
      <w:r>
        <w:rPr>
          <w:rFonts w:hint="default" w:ascii="Times New Roman" w:hAnsi="Times New Roman" w:cs="Times New Roman"/>
          <w:color w:val="auto"/>
          <w:sz w:val="21"/>
          <w:highlight w:val="none"/>
          <w:u w:val="single"/>
        </w:rPr>
        <w:t xml:space="preserve">  </w:t>
      </w:r>
      <w:r>
        <w:rPr>
          <w:rFonts w:hint="default" w:ascii="Times New Roman" w:hAnsi="Times New Roman" w:cs="Times New Roman"/>
          <w:color w:val="auto"/>
          <w:sz w:val="21"/>
          <w:highlight w:val="none"/>
          <w:u w:val="single"/>
          <w:lang w:val="en-US" w:eastAsia="zh-CN"/>
        </w:rPr>
        <w:t xml:space="preserve">     </w:t>
      </w:r>
      <w:r>
        <w:rPr>
          <w:rFonts w:hint="eastAsia" w:ascii="Times New Roman" w:hAnsi="Times New Roman" w:cs="Times New Roman"/>
          <w:color w:val="auto"/>
          <w:sz w:val="21"/>
          <w:highlight w:val="none"/>
          <w:u w:val="single"/>
          <w:lang w:val="en-US" w:eastAsia="zh-CN"/>
        </w:rPr>
        <w:t xml:space="preserve">  </w:t>
      </w:r>
      <w:r>
        <w:rPr>
          <w:rFonts w:hint="default" w:ascii="Times New Roman" w:hAnsi="Times New Roman" w:cs="Times New Roman"/>
          <w:color w:val="auto"/>
          <w:sz w:val="21"/>
          <w:highlight w:val="none"/>
          <w:u w:val="single"/>
          <w:lang w:val="en-US" w:eastAsia="zh-CN"/>
        </w:rPr>
        <w:t xml:space="preserve">     </w:t>
      </w:r>
      <w:r/>
    </w:p>
    <w:p>
      <w:pPr>
        <w:pStyle w:val="875"/>
        <w:ind w:firstLine="422"/>
        <w:keepLines w:val="0"/>
        <w:keepNext w:val="0"/>
        <w:pageBreakBefore w:val="0"/>
        <w:spacing w:line="440" w:lineRule="exact"/>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9、货款支付</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9.1 本合同项下所有款项均以人民币支付。 </w:t>
      </w:r>
      <w:r/>
    </w:p>
    <w:p>
      <w:pPr>
        <w:pStyle w:val="875"/>
        <w:ind w:firstLine="420"/>
        <w:keepLines w:val="0"/>
        <w:keepNext w:val="0"/>
        <w:pageBreakBefore w:val="0"/>
        <w:spacing w:line="440" w:lineRule="exact"/>
        <w:rPr>
          <w:rFonts w:hint="default"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rPr>
        <w:t xml:space="preserve">9.2 本合同项下的采购资金由甲方支付，付款前乙方向甲方开具发票。</w:t>
      </w:r>
      <w:r/>
    </w:p>
    <w:p>
      <w:pPr>
        <w:ind w:firstLine="420"/>
        <w:jc w:val="left"/>
        <w:keepLines w:val="0"/>
        <w:keepNext w:val="0"/>
        <w:pageBreakBefore w:val="0"/>
        <w:spacing w:line="440" w:lineRule="exact"/>
        <w:widowControl/>
        <w:rPr>
          <w:rFonts w:hint="default" w:ascii="Times New Roman" w:hAnsi="Times New Roman" w:cs="Times New Roman"/>
          <w:color w:val="auto"/>
          <w:sz w:val="21"/>
          <w:szCs w:val="22"/>
          <w:highlight w:val="none"/>
          <w:u w:val="none"/>
          <w:lang w:val="en-US" w:eastAsia="zh-CN" w:bidi="ar-SA"/>
        </w:rPr>
        <w:suppressLineNumbers w:val="0"/>
      </w:pPr>
      <w:r>
        <w:rPr>
          <w:rFonts w:hint="default" w:ascii="Times New Roman" w:hAnsi="Times New Roman" w:cs="Times New Roman"/>
          <w:color w:val="auto"/>
          <w:sz w:val="21"/>
          <w:szCs w:val="22"/>
          <w:highlight w:val="none"/>
          <w:u w:val="none"/>
          <w:lang w:val="en-US" w:eastAsia="zh-CN" w:bidi="ar-SA"/>
        </w:rPr>
        <w:t xml:space="preserve">9.3履约保证金</w:t>
      </w:r>
      <w:r/>
    </w:p>
    <w:p>
      <w:pPr>
        <w:ind w:firstLine="420"/>
        <w:jc w:val="left"/>
        <w:keepLines w:val="0"/>
        <w:keepNext w:val="0"/>
        <w:pageBreakBefore w:val="0"/>
        <w:spacing w:line="440" w:lineRule="exact"/>
        <w:widowControl/>
        <w:rPr>
          <w:rFonts w:hint="default" w:ascii="Times New Roman" w:hAnsi="Times New Roman" w:cs="Times New Roman"/>
          <w:color w:val="auto"/>
          <w:sz w:val="21"/>
          <w:highlight w:val="none"/>
          <w:u w:val="none"/>
        </w:rPr>
        <w:suppressLineNumbers w:val="0"/>
      </w:pPr>
      <w:r>
        <w:rPr>
          <w:rFonts w:hint="default" w:ascii="Times New Roman" w:hAnsi="Times New Roman" w:cs="Times New Roman"/>
          <w:color w:val="auto"/>
          <w:sz w:val="21"/>
          <w:szCs w:val="22"/>
          <w:highlight w:val="none"/>
          <w:u w:val="single"/>
          <w:lang w:val="en-US" w:eastAsia="zh-CN" w:bidi="ar-SA"/>
        </w:rPr>
        <w:t xml:space="preserve">无</w:t>
      </w:r>
      <w:r>
        <w:rPr>
          <w:rFonts w:hint="default" w:ascii="Times New Roman" w:hAnsi="Times New Roman" w:cs="Times New Roman"/>
          <w:color w:val="auto"/>
          <w:sz w:val="21"/>
          <w:szCs w:val="22"/>
          <w:highlight w:val="none"/>
          <w:u w:val="none"/>
          <w:lang w:val="en-US" w:eastAsia="zh-CN" w:bidi="ar-SA"/>
        </w:rPr>
        <w:t xml:space="preserve"> </w:t>
      </w:r>
      <w:r/>
    </w:p>
    <w:p>
      <w:pPr>
        <w:ind w:firstLine="420"/>
        <w:jc w:val="left"/>
        <w:keepLines w:val="0"/>
        <w:keepNext w:val="0"/>
        <w:pageBreakBefore w:val="0"/>
        <w:spacing w:line="440" w:lineRule="exact"/>
        <w:widowControl/>
        <w:rPr>
          <w:rFonts w:hint="default" w:ascii="Times New Roman" w:hAnsi="Times New Roman" w:cs="Times New Roman"/>
          <w:color w:val="auto"/>
          <w:sz w:val="21"/>
          <w:szCs w:val="22"/>
          <w:highlight w:val="yellow"/>
          <w:u w:val="single"/>
          <w:lang w:val="en-US" w:eastAsia="zh-CN" w:bidi="ar-SA"/>
        </w:rPr>
        <w:suppressLineNumbers w:val="0"/>
      </w:pPr>
      <w:r>
        <w:rPr>
          <w:rFonts w:hint="default" w:ascii="Times New Roman" w:hAnsi="Times New Roman" w:cs="Times New Roman"/>
          <w:color w:val="auto"/>
          <w:sz w:val="21"/>
          <w:highlight w:val="none"/>
        </w:rPr>
        <w:t xml:space="preserve">9.</w:t>
      </w:r>
      <w:r>
        <w:rPr>
          <w:rFonts w:hint="default" w:ascii="Times New Roman" w:hAnsi="Times New Roman" w:cs="Times New Roman"/>
          <w:color w:val="auto"/>
          <w:sz w:val="21"/>
          <w:highlight w:val="none"/>
          <w:lang w:val="en-US" w:eastAsia="zh-CN"/>
        </w:rPr>
        <w:t xml:space="preserve">4</w:t>
      </w:r>
      <w:r>
        <w:rPr>
          <w:rFonts w:hint="default" w:ascii="Times New Roman" w:hAnsi="Times New Roman" w:cs="Times New Roman"/>
          <w:color w:val="auto"/>
          <w:sz w:val="21"/>
          <w:highlight w:val="none"/>
        </w:rPr>
        <w:t xml:space="preserve">付款方式：</w:t>
      </w:r>
      <w:r>
        <w:rPr>
          <w:rFonts w:hint="default" w:ascii="Times New Roman" w:hAnsi="Times New Roman" w:cs="Times New Roman"/>
          <w:color w:val="auto"/>
          <w:sz w:val="21"/>
          <w:highlight w:val="none"/>
          <w:u w:val="single"/>
        </w:rPr>
        <w:t xml:space="preserve">本合同为固定总价合同，成交价即为合同价。</w:t>
      </w:r>
      <w:r>
        <w:rPr>
          <w:rFonts w:hint="default" w:ascii="Times New Roman" w:hAnsi="Times New Roman" w:cs="Times New Roman"/>
          <w:color w:val="auto"/>
          <w:sz w:val="21"/>
          <w:szCs w:val="22"/>
          <w:highlight w:val="none"/>
          <w:u w:val="single"/>
          <w:lang w:val="en-US" w:eastAsia="zh-CN" w:bidi="ar-SA"/>
        </w:rPr>
        <w:t xml:space="preserve">完成合同签订后，支付总合同额的30%；一年服务期满</w:t>
      </w:r>
      <w:r>
        <w:rPr>
          <w:rFonts w:hint="eastAsia" w:cs="Times New Roman"/>
          <w:color w:val="auto"/>
          <w:sz w:val="21"/>
          <w:szCs w:val="22"/>
          <w:highlight w:val="none"/>
          <w:u w:val="single"/>
          <w:lang w:val="en-US" w:eastAsia="zh-CN" w:bidi="ar-SA"/>
        </w:rPr>
        <w:t xml:space="preserve">且</w:t>
      </w:r>
      <w:r>
        <w:rPr>
          <w:rFonts w:hint="default" w:ascii="Times New Roman" w:hAnsi="Times New Roman" w:cs="Times New Roman"/>
          <w:color w:val="auto"/>
          <w:sz w:val="21"/>
          <w:szCs w:val="22"/>
          <w:highlight w:val="none"/>
          <w:u w:val="single"/>
          <w:lang w:val="en-US" w:eastAsia="zh-CN" w:bidi="ar-SA"/>
        </w:rPr>
        <w:t xml:space="preserve">验收通过</w:t>
      </w:r>
      <w:r>
        <w:rPr>
          <w:rFonts w:hint="eastAsia" w:cs="Times New Roman"/>
          <w:color w:val="auto"/>
          <w:sz w:val="21"/>
          <w:szCs w:val="22"/>
          <w:highlight w:val="none"/>
          <w:u w:val="single"/>
          <w:lang w:val="en-US" w:eastAsia="zh-CN" w:bidi="ar-SA"/>
        </w:rPr>
        <w:t xml:space="preserve">后</w:t>
      </w:r>
      <w:r>
        <w:rPr>
          <w:rFonts w:hint="default" w:ascii="Times New Roman" w:hAnsi="Times New Roman" w:cs="Times New Roman"/>
          <w:color w:val="auto"/>
          <w:sz w:val="21"/>
          <w:szCs w:val="22"/>
          <w:highlight w:val="none"/>
          <w:u w:val="single"/>
          <w:lang w:val="en-US" w:eastAsia="zh-CN" w:bidi="ar-SA"/>
        </w:rPr>
        <w:t xml:space="preserve">，支付总合同额的</w:t>
      </w:r>
      <w:r>
        <w:rPr>
          <w:rFonts w:hint="eastAsia" w:cs="Times New Roman"/>
          <w:color w:val="auto"/>
          <w:sz w:val="21"/>
          <w:szCs w:val="22"/>
          <w:highlight w:val="none"/>
          <w:u w:val="single"/>
          <w:lang w:val="en-US" w:eastAsia="zh-CN" w:bidi="ar-SA"/>
        </w:rPr>
        <w:t xml:space="preserve">7</w:t>
      </w:r>
      <w:r>
        <w:rPr>
          <w:rFonts w:hint="default" w:ascii="Times New Roman" w:hAnsi="Times New Roman" w:cs="Times New Roman"/>
          <w:color w:val="auto"/>
          <w:sz w:val="21"/>
          <w:szCs w:val="22"/>
          <w:highlight w:val="none"/>
          <w:u w:val="single"/>
          <w:lang w:val="en-US" w:eastAsia="zh-CN" w:bidi="ar-SA"/>
        </w:rPr>
        <w:t xml:space="preserve">0%</w:t>
      </w:r>
      <w:r>
        <w:rPr>
          <w:rFonts w:hint="eastAsia" w:cs="Times New Roman"/>
          <w:color w:val="auto"/>
          <w:sz w:val="21"/>
          <w:szCs w:val="22"/>
          <w:highlight w:val="none"/>
          <w:u w:val="single"/>
          <w:lang w:val="en-US" w:eastAsia="zh-CN" w:bidi="ar-SA"/>
        </w:rPr>
        <w:t xml:space="preserve">。</w:t>
      </w:r>
      <w:r>
        <w:rPr>
          <w:rFonts w:hint="default" w:ascii="Times New Roman" w:hAnsi="Times New Roman" w:cs="Times New Roman"/>
          <w:color w:val="auto"/>
          <w:sz w:val="21"/>
          <w:szCs w:val="22"/>
          <w:highlight w:val="none"/>
          <w:u w:val="single"/>
          <w:lang w:val="en-US" w:eastAsia="zh-CN" w:bidi="ar-SA"/>
        </w:rPr>
        <w:t xml:space="preserve">（如遇财政年度关账结转，付款日期顺延）。</w:t>
      </w:r>
      <w:r/>
    </w:p>
    <w:p>
      <w:pPr>
        <w:ind w:firstLine="420"/>
        <w:jc w:val="left"/>
        <w:keepLines w:val="0"/>
        <w:keepNext w:val="0"/>
        <w:pageBreakBefore w:val="0"/>
        <w:spacing w:line="440" w:lineRule="exact"/>
        <w:widowControl/>
        <w:rPr>
          <w:rFonts w:hint="default" w:ascii="Times New Roman" w:hAnsi="Times New Roman" w:cs="Times New Roman"/>
          <w:b/>
          <w:bCs/>
          <w:color w:val="auto"/>
          <w:sz w:val="21"/>
          <w:szCs w:val="22"/>
          <w:highlight w:val="none"/>
          <w:u w:val="single"/>
          <w:lang w:val="en-US" w:eastAsia="zh-CN" w:bidi="ar-SA"/>
        </w:rPr>
        <w:suppressLineNumbers w:val="0"/>
      </w:pPr>
      <w:r>
        <w:rPr>
          <w:rFonts w:hint="default" w:ascii="Times New Roman" w:hAnsi="Times New Roman" w:cs="Times New Roman"/>
          <w:b/>
          <w:bCs/>
          <w:color w:val="auto"/>
          <w:sz w:val="21"/>
          <w:szCs w:val="22"/>
          <w:highlight w:val="none"/>
          <w:u w:val="single"/>
          <w:lang w:val="en-US" w:eastAsia="zh-CN" w:bidi="ar-SA"/>
        </w:rPr>
        <w:t xml:space="preserve">(注：每次支付，甲方应自收到乙方发票之日起10个工作日内付款。)</w:t>
      </w:r>
      <w:r/>
    </w:p>
    <w:p>
      <w:pPr>
        <w:pStyle w:val="875"/>
        <w:ind w:firstLine="422"/>
        <w:keepLines w:val="0"/>
        <w:keepNext w:val="0"/>
        <w:pageBreakBefore w:val="0"/>
        <w:spacing w:line="440" w:lineRule="exact"/>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10、税费</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本合同执行中相关的一切税费均由乙方负担。</w:t>
      </w:r>
      <w:r/>
    </w:p>
    <w:p>
      <w:pPr>
        <w:ind w:firstLine="422"/>
        <w:keepLines w:val="0"/>
        <w:keepNext w:val="0"/>
        <w:pageBreakBefore w:val="0"/>
        <w:spacing w:line="440" w:lineRule="exac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11、售后服务</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11.1 乙方应按磋商文件规定及响应文件的承诺向甲方提供服务；若无特殊说明，则按国家有关部门最新颁布的标准及规范为准。</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11.2乙方应保证其提供的服务是全面和规范的，并完全符合采购文件和响应文件。如因乙方提供的服务有瑕疵造成甲方损失的，所需费用由乙方承担。</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11.3 服务期内，乙方应对所提供服务出现的问题负责处理解决并承担一切费用。</w:t>
      </w:r>
      <w:r/>
    </w:p>
    <w:p>
      <w:pPr>
        <w:pStyle w:val="875"/>
        <w:ind w:firstLine="422"/>
        <w:keepLines w:val="0"/>
        <w:keepNext w:val="0"/>
        <w:pageBreakBefore w:val="0"/>
        <w:spacing w:line="440" w:lineRule="exact"/>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12、交付和验收</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12.1 乙方应当在合同签订后合同签订</w:t>
      </w:r>
      <w:r>
        <w:rPr>
          <w:rFonts w:hint="default" w:ascii="Times New Roman" w:hAnsi="Times New Roman" w:cs="Times New Roman"/>
          <w:color w:val="auto"/>
          <w:highlight w:val="none"/>
        </w:rPr>
        <w:t xml:space="preserve">后</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日历天内完成全部工作内容。</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在交付前，乙方应作出全面检查和对验收文件进行整理，并列出清单，作为甲方初验收和使用的技术条件依据，检验的结果交甲方。</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12.2 验收标准：按乙方响应文件的承诺，并不低于国家或行业相关标准。</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对于乙方要交付的服务，甲乙双方须在</w:t>
      </w:r>
      <w:r>
        <w:rPr>
          <w:rFonts w:hint="default" w:ascii="Times New Roman" w:hAnsi="Times New Roman" w:cs="Times New Roman"/>
          <w:color w:val="auto"/>
          <w:szCs w:val="21"/>
          <w:highlight w:val="none"/>
          <w:u w:val="single"/>
        </w:rPr>
        <w:t xml:space="preserve">  7  </w:t>
      </w:r>
      <w:r>
        <w:rPr>
          <w:rFonts w:hint="default" w:ascii="Times New Roman" w:hAnsi="Times New Roman" w:cs="Times New Roman"/>
          <w:color w:val="auto"/>
          <w:szCs w:val="21"/>
          <w:highlight w:val="none"/>
        </w:rPr>
        <w:t xml:space="preserve">工作日内初验收，甲方对乙方提交的服务依据采购文件上的要求进行验收。</w:t>
      </w:r>
      <w:r/>
    </w:p>
    <w:p>
      <w:pPr>
        <w:ind w:firstLine="420"/>
        <w:keepLines w:val="0"/>
        <w:keepNext w:val="0"/>
        <w:pageBreakBefore w:val="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12.3 对技术复杂的服务内容，甲方可请国家认可的专业检测机构参与验收。验收时乙方必须在现场，验收完毕后作出验收结果报告；若聘请第三方中立机构验收，验收费用由甲乙双方协商解决。</w:t>
      </w:r>
      <w:r/>
    </w:p>
    <w:p>
      <w:pPr>
        <w:ind w:firstLine="420"/>
        <w:keepLines w:val="0"/>
        <w:keepNext w:val="0"/>
        <w:pageBreakBefore w:val="0"/>
        <w:spacing w:line="44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12.4甲乙双方关于验收的其他约定：</w:t>
      </w:r>
      <w:r>
        <w:rPr>
          <w:rFonts w:hint="default" w:ascii="Times New Roman" w:hAnsi="Times New Roman" w:cs="Times New Roman"/>
          <w:color w:val="auto"/>
          <w:szCs w:val="21"/>
          <w:highlight w:val="none"/>
          <w:u w:val="single"/>
        </w:rPr>
        <w:t xml:space="preserve">       /      </w:t>
      </w:r>
      <w:r>
        <w:rPr>
          <w:rFonts w:hint="default" w:ascii="Times New Roman" w:hAnsi="Times New Roman" w:cs="Times New Roman"/>
          <w:color w:val="auto"/>
          <w:szCs w:val="21"/>
          <w:highlight w:val="none"/>
        </w:rPr>
        <w:t xml:space="preserve">。</w:t>
      </w:r>
      <w:r/>
    </w:p>
    <w:p>
      <w:pPr>
        <w:pStyle w:val="875"/>
        <w:ind w:firstLine="420"/>
        <w:keepLines w:val="0"/>
        <w:keepNext w:val="0"/>
        <w:pageBreakBefore w:val="0"/>
        <w:spacing w:line="440" w:lineRule="exact"/>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13、安全</w:t>
      </w:r>
      <w:r/>
    </w:p>
    <w:p>
      <w:pPr>
        <w:pStyle w:val="875"/>
        <w:ind w:firstLine="420"/>
        <w:keepLines w:val="0"/>
        <w:keepNext w:val="0"/>
        <w:pageBreakBefore w:val="0"/>
        <w:spacing w:line="440" w:lineRule="exact"/>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13.1在规定的服务期内，发生的风险均由乙方负责。</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bCs/>
          <w:color w:val="auto"/>
          <w:sz w:val="21"/>
          <w:highlight w:val="none"/>
        </w:rPr>
        <w:t xml:space="preserve">13.2 在规定的服务期内，发生一切安全责任事故均由乙方负责，甲方不承担任何责任和补偿。</w:t>
      </w:r>
      <w:r/>
    </w:p>
    <w:p>
      <w:pPr>
        <w:pStyle w:val="875"/>
        <w:ind w:firstLine="422"/>
        <w:keepLines w:val="0"/>
        <w:keepNext w:val="0"/>
        <w:pageBreakBefore w:val="0"/>
        <w:spacing w:line="440" w:lineRule="exact"/>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14、违约责任</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14.1 甲方无正当理由拒绝验收的，甲方应按未付服务项目款金额每日万分之五向乙方支付违约金。</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14.2 甲方无故逾期验收和无故逾期办理款项支付手续的,甲方应按逾期付款金额每日万分之五向乙方支付违约金。</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14.3乙方违约</w:t>
      </w:r>
      <w:r>
        <w:rPr>
          <w:rFonts w:hint="default" w:ascii="Times New Roman" w:hAnsi="Times New Roman" w:cs="Times New Roman"/>
          <w:color w:val="auto"/>
          <w:sz w:val="21"/>
          <w:highlight w:val="none"/>
          <w:lang w:eastAsia="zh-CN"/>
        </w:rPr>
        <w:t xml:space="preserve">，</w:t>
      </w:r>
      <w:r>
        <w:rPr>
          <w:rFonts w:hint="default" w:ascii="Times New Roman" w:hAnsi="Times New Roman" w:cs="Times New Roman"/>
          <w:color w:val="auto"/>
          <w:sz w:val="21"/>
          <w:highlight w:val="none"/>
        </w:rPr>
        <w:t xml:space="preserve">在消除违约情形前，应按本合同项目总额每日千分之二向甲方支付违约金</w:t>
      </w:r>
      <w:r>
        <w:rPr>
          <w:rFonts w:hint="default" w:ascii="Times New Roman" w:hAnsi="Times New Roman" w:cs="Times New Roman"/>
          <w:color w:val="auto"/>
          <w:sz w:val="21"/>
          <w:highlight w:val="none"/>
          <w:lang w:eastAsia="zh-CN"/>
        </w:rPr>
        <w:t xml:space="preserve">，</w:t>
      </w:r>
      <w:r>
        <w:rPr>
          <w:rFonts w:hint="default" w:ascii="Times New Roman" w:hAnsi="Times New Roman" w:cs="Times New Roman"/>
          <w:color w:val="auto"/>
          <w:sz w:val="21"/>
          <w:highlight w:val="none"/>
          <w:lang w:val="en-US" w:eastAsia="zh-CN"/>
        </w:rPr>
        <w:t xml:space="preserve">最高不超过合同总金额的10%</w:t>
      </w:r>
      <w:r>
        <w:rPr>
          <w:rFonts w:hint="default" w:ascii="Times New Roman" w:hAnsi="Times New Roman" w:cs="Times New Roman"/>
          <w:color w:val="auto"/>
          <w:sz w:val="21"/>
          <w:highlight w:val="none"/>
        </w:rPr>
        <w:t xml:space="preserve">，甲方可以从待付款项中扣除。</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14.4乙方因逾期交付服务项目或因其他违约行为，导致甲方解除合同的，乙方应向甲方支付合同总价5%的违约金，如造成甲方损失超过违约金的，超出部分由乙方继续承担赔偿责任。</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14.5 乙方所交的服务项目全部不符合合同规定及采购文件规定的，乙方更换服务但逾期交付的（甲方拒绝接受的除外），按乙方逾期交付处理；乙方拒绝更换的，甲方可选择解除本合同或本合同的一部分，并可追究乙方的其他违约责任。</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14.6合同生效后，发现乙方投标属虚假承诺，或经权威部门监测提供的服务不能满足采购文件要求，造成合同无法继续履行的，乙方应向甲方支付不少于合同总价</w:t>
      </w:r>
      <w:r>
        <w:rPr>
          <w:rFonts w:hint="default" w:ascii="Times New Roman" w:hAnsi="Times New Roman" w:cs="Times New Roman"/>
          <w:color w:val="auto"/>
          <w:sz w:val="21"/>
          <w:highlight w:val="none"/>
          <w:u w:val="single"/>
        </w:rPr>
        <w:t xml:space="preserve"> 10 </w:t>
      </w:r>
      <w:r>
        <w:rPr>
          <w:rFonts w:hint="default" w:ascii="Times New Roman" w:hAnsi="Times New Roman" w:cs="Times New Roman"/>
          <w:color w:val="auto"/>
          <w:sz w:val="21"/>
          <w:highlight w:val="none"/>
        </w:rPr>
        <w:t xml:space="preserve">%违约金。</w:t>
      </w:r>
      <w:r/>
    </w:p>
    <w:p>
      <w:pPr>
        <w:pStyle w:val="875"/>
        <w:ind w:firstLine="422"/>
        <w:keepLines w:val="0"/>
        <w:keepNext w:val="0"/>
        <w:pageBreakBefore w:val="0"/>
        <w:spacing w:line="440" w:lineRule="exact"/>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15、不可抗力事件处理</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75"/>
        <w:ind w:firstLine="422"/>
        <w:keepLines w:val="0"/>
        <w:keepNext w:val="0"/>
        <w:pageBreakBefore w:val="0"/>
        <w:spacing w:line="440" w:lineRule="exact"/>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16、争议解决</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16.1 因服务的品质质量问题发生争议的，可在国家认可的质量检测机构对服务内容质量进行鉴定。服务符合标准的，鉴定费由甲方承担；服务项目不符合质量标准的，鉴定费由乙方承担。</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16.2 因履行本合同引起的或与本合同有关的争议，甲、乙双方应首先通过友好协商解决；如果协商不能解决争议，甲乙双方同意采取下列两种方式的第</w:t>
      </w:r>
      <w:r>
        <w:rPr>
          <w:rFonts w:hint="default" w:ascii="Times New Roman" w:hAnsi="Times New Roman" w:cs="Times New Roman"/>
          <w:color w:val="auto"/>
          <w:sz w:val="21"/>
          <w:highlight w:val="none"/>
          <w:u w:val="single"/>
        </w:rPr>
        <w:t xml:space="preserve">（ 2 ）</w:t>
      </w:r>
      <w:r>
        <w:rPr>
          <w:rFonts w:hint="default" w:ascii="Times New Roman" w:hAnsi="Times New Roman" w:cs="Times New Roman"/>
          <w:color w:val="auto"/>
          <w:sz w:val="21"/>
          <w:highlight w:val="none"/>
        </w:rPr>
        <w:t xml:space="preserve">种方式解决争议：</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（1）向甲方所在地有管辖权的人民法院提起诉讼，适用中华人民共和国法律；</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（2）向扬州仲裁委员会按其仲裁规则申请仲裁。</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16.3 若甲乙双方任何一方都没有选择解除合同的，为避免扩大损失，在诉讼或仲裁期间，双方应继续履行。</w:t>
      </w:r>
      <w:r/>
    </w:p>
    <w:p>
      <w:pPr>
        <w:pStyle w:val="875"/>
        <w:ind w:firstLine="422"/>
        <w:keepLines w:val="0"/>
        <w:keepNext w:val="0"/>
        <w:pageBreakBefore w:val="0"/>
        <w:spacing w:line="440" w:lineRule="exact"/>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17、合同其它</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17.1 乙方应诚实信用，严格按照采购文件要求和响应文件承诺履行合同，不向甲方进行商业贿赂或者提供不正当利益。</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u w:val="single"/>
        </w:rPr>
      </w:pPr>
      <w:r>
        <w:rPr>
          <w:rFonts w:hint="default" w:ascii="Times New Roman" w:hAnsi="Times New Roman" w:cs="Times New Roman"/>
          <w:color w:val="auto"/>
          <w:sz w:val="21"/>
          <w:highlight w:val="none"/>
        </w:rPr>
        <w:t xml:space="preserve">17.2 合同经双方法定代表人或授权代表签字并加盖单位公章，并经扬州览众建设工程咨询服务有限公司见证盖章后生效。</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u w:val="single"/>
        </w:rPr>
      </w:pPr>
      <w:r>
        <w:rPr>
          <w:rFonts w:hint="default" w:ascii="Times New Roman" w:hAnsi="Times New Roman" w:cs="Times New Roman"/>
          <w:color w:val="auto"/>
          <w:sz w:val="21"/>
          <w:highlight w:val="none"/>
        </w:rPr>
        <w:t xml:space="preserve">17.3本合同未尽事宜，遵照《民法典》有关条文执行。</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17.4本合同正本一式陆份，具有同等法律效力，甲方、乙方、见证方各执贰份。</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甲方：</w:t>
      </w:r>
      <w:r>
        <w:rPr>
          <w:rFonts w:hint="default" w:ascii="Times New Roman" w:hAnsi="Times New Roman" w:cs="Times New Roman"/>
          <w:color w:val="auto"/>
          <w:sz w:val="21"/>
          <w:highlight w:val="none"/>
        </w:rPr>
        <w:tab/>
      </w:r>
      <w:r>
        <w:rPr>
          <w:rFonts w:hint="default" w:ascii="Times New Roman" w:hAnsi="Times New Roman" w:cs="Times New Roman"/>
          <w:color w:val="auto"/>
          <w:sz w:val="21"/>
          <w:highlight w:val="none"/>
        </w:rPr>
        <w:t xml:space="preserve">                                    乙方： </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法定代表人或授权代表：                      法定代表人或授权代表：</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日期：      年    月    日                  日期：      年    月    日</w:t>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p>
      <w:pPr>
        <w:pStyle w:val="875"/>
        <w:ind w:firstLine="420"/>
        <w:keepLines w:val="0"/>
        <w:keepNext w:val="0"/>
        <w:pageBreakBefore w:val="0"/>
        <w:spacing w:line="440" w:lineRule="exac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见证方：扬州览众建设工程咨询服务有限公司</w:t>
      </w:r>
      <w:r/>
    </w:p>
    <w:p>
      <w:pPr>
        <w:ind w:firstLine="420"/>
        <w:keepLines w:val="0"/>
        <w:keepNext w:val="0"/>
        <w:pageBreakBefore w:val="0"/>
        <w:spacing w:line="440" w:lineRule="exact"/>
        <w:rPr>
          <w:rFonts w:hint="default" w:ascii="Times New Roman" w:hAnsi="Times New Roman" w:cs="Times New Roman" w:eastAsiaTheme="minorEastAsia"/>
          <w:color w:val="auto"/>
          <w:szCs w:val="21"/>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color w:val="auto"/>
          <w:highlight w:val="none"/>
        </w:rPr>
        <w:t xml:space="preserve">日期：     年    月    日</w:t>
      </w:r>
      <w:r>
        <w:rPr>
          <w:rFonts w:hint="default" w:ascii="Times New Roman" w:hAnsi="Times New Roman" w:cs="Times New Roman" w:eastAsiaTheme="minorEastAsia"/>
          <w:color w:val="auto"/>
          <w:szCs w:val="21"/>
          <w:highlight w:val="none"/>
        </w:rPr>
        <w:t xml:space="preserve">                 </w:t>
      </w:r>
      <w:r/>
    </w:p>
    <w:p>
      <w:pPr>
        <w:pStyle w:val="853"/>
        <w:jc w:val="center"/>
        <w:spacing w:before="0" w:after="0" w:line="360" w:lineRule="auto"/>
        <w:rPr>
          <w:rFonts w:hint="default" w:ascii="Times New Roman" w:hAnsi="Times New Roman" w:cs="Times New Roman"/>
          <w:color w:val="auto"/>
          <w:sz w:val="21"/>
          <w:szCs w:val="21"/>
          <w:highlight w:val="none"/>
          <w:lang w:eastAsia="zh-CN"/>
        </w:rPr>
      </w:pPr>
      <w:r/>
      <w:bookmarkStart w:id="31" w:name="_Toc12580"/>
      <w:r/>
      <w:bookmarkStart w:id="32" w:name="_Toc19587"/>
      <w:r/>
      <w:bookmarkStart w:id="33" w:name="_Toc25006"/>
      <w:r>
        <w:rPr>
          <w:rFonts w:hint="default" w:ascii="Times New Roman" w:hAnsi="Times New Roman" w:cs="Times New Roman"/>
          <w:color w:val="auto"/>
          <w:sz w:val="36"/>
          <w:highlight w:val="none"/>
        </w:rPr>
        <w:t xml:space="preserve">第四章 项目需求</w:t>
      </w:r>
      <w:bookmarkEnd w:id="16"/>
      <w:r/>
      <w:bookmarkEnd w:id="31"/>
      <w:r/>
      <w:bookmarkEnd w:id="32"/>
      <w:r/>
      <w:bookmarkEnd w:id="33"/>
      <w:r/>
      <w:bookmarkStart w:id="34" w:name="_Toc497468126"/>
      <w:r/>
      <w:r/>
    </w:p>
    <w:p>
      <w:pPr>
        <w:spacing w:line="360" w:lineRule="auto"/>
        <w:rPr>
          <w:rFonts w:ascii="宋体" w:hAnsi="宋体" w:cs="宋体"/>
          <w:b/>
          <w:bCs/>
          <w:color w:val="auto"/>
          <w:szCs w:val="21"/>
        </w:rPr>
      </w:pPr>
      <w:r>
        <w:rPr>
          <w:rFonts w:hint="eastAsia" w:ascii="宋体" w:hAnsi="宋体" w:cs="宋体"/>
          <w:b/>
          <w:bCs/>
          <w:color w:val="auto"/>
          <w:szCs w:val="21"/>
        </w:rPr>
        <w:t xml:space="preserve">一、项目概述</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扬州人社原社保系统硬件存储着全市失业、养老、工伤等险种的缴费、待遇支付等重要数据，同时运行着机关保人员（部分）代发系统、就业创业服务查询系统、社保信息查询系统、回流数据库支撑平台、社保卡生命周期管理系统、人社局公共服务平台等。支撑这些数据和系统运行的核心设备主要有IBM小型服务器、EMC存储、X</w:t>
      </w:r>
      <w:r>
        <w:rPr>
          <w:rFonts w:ascii="宋体" w:hAnsi="宋体" w:cs="宋体"/>
          <w:bCs/>
          <w:color w:val="auto"/>
          <w:szCs w:val="21"/>
        </w:rPr>
        <w:t xml:space="preserve">86</w:t>
      </w:r>
      <w:r>
        <w:rPr>
          <w:rFonts w:hint="eastAsia" w:ascii="宋体" w:hAnsi="宋体" w:cs="宋体"/>
          <w:bCs/>
          <w:color w:val="auto"/>
          <w:szCs w:val="21"/>
        </w:rPr>
        <w:t xml:space="preserve">服务器、核心网络设备等；网络设备作为全市金保网运行支撑，为全市各经办机构、乡镇村三级社会保障服务网点提供网络接入服务。自2</w:t>
      </w:r>
      <w:r>
        <w:rPr>
          <w:rFonts w:ascii="宋体" w:hAnsi="宋体" w:cs="宋体"/>
          <w:bCs/>
          <w:color w:val="auto"/>
          <w:szCs w:val="21"/>
        </w:rPr>
        <w:t xml:space="preserve">016</w:t>
      </w:r>
      <w:r>
        <w:rPr>
          <w:rFonts w:hint="eastAsia" w:ascii="宋体" w:hAnsi="宋体" w:cs="宋体"/>
          <w:bCs/>
          <w:color w:val="auto"/>
          <w:szCs w:val="21"/>
        </w:rPr>
        <w:t xml:space="preserve">年上线县区统筹系统以来，目前整体核心设备运行已超过8年，系统逐步进入故障高发及老化阶段，需立即采购维保服务来确保系统稳定运行。本次维保与技术服务主要包含以下内容：扬州市人社局核心业务系统平台设备维保，故障预防、故障解决、系统优化、驻场服务等方面全方位的技术服务；部分应用系统的完善与维护；同时，提供人社局瘦西湖路机房基础环境以及消防维保。</w:t>
      </w:r>
      <w:r/>
    </w:p>
    <w:p>
      <w:pPr>
        <w:spacing w:line="360" w:lineRule="auto"/>
        <w:rPr>
          <w:rFonts w:ascii="宋体" w:hAnsi="宋体" w:cs="宋体"/>
          <w:b/>
          <w:bCs/>
          <w:color w:val="auto"/>
          <w:szCs w:val="21"/>
        </w:rPr>
      </w:pPr>
      <w:r>
        <w:rPr>
          <w:rFonts w:hint="eastAsia" w:ascii="宋体" w:hAnsi="宋体" w:cs="宋体"/>
          <w:b/>
          <w:bCs/>
          <w:color w:val="auto"/>
          <w:szCs w:val="21"/>
        </w:rPr>
        <w:t xml:space="preserve">二、技术要求</w:t>
      </w:r>
      <w:r/>
    </w:p>
    <w:p>
      <w:pPr>
        <w:spacing w:line="360" w:lineRule="auto"/>
        <w:rPr>
          <w:rFonts w:ascii="宋体" w:hAnsi="宋体" w:cs="宋体"/>
          <w:b/>
          <w:bCs/>
          <w:color w:val="auto"/>
          <w:szCs w:val="21"/>
        </w:rPr>
      </w:pPr>
      <w:r>
        <w:rPr>
          <w:rFonts w:hint="eastAsia" w:ascii="宋体" w:hAnsi="宋体" w:cs="宋体"/>
          <w:b/>
          <w:bCs/>
          <w:color w:val="auto"/>
          <w:szCs w:val="21"/>
        </w:rPr>
        <w:t xml:space="preserve">（一）总体要求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1、维保方案：需提供详细的维保方案，确保维护期内信息系统安全稳定运行。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2、机房管理：做好瘦西湖路机房出入人员登记及机房日常管理工作。</w:t>
      </w:r>
      <w:r/>
    </w:p>
    <w:p>
      <w:pPr>
        <w:ind w:firstLine="420"/>
        <w:spacing w:line="360" w:lineRule="auto"/>
        <w:rPr>
          <w:rFonts w:ascii="宋体" w:hAnsi="宋体" w:cs="宋体"/>
          <w:bCs/>
          <w:color w:val="auto"/>
          <w:szCs w:val="21"/>
        </w:rPr>
      </w:pPr>
      <w:r>
        <w:rPr>
          <w:rFonts w:ascii="宋体" w:hAnsi="宋体" w:cs="宋体"/>
          <w:bCs/>
          <w:color w:val="auto"/>
          <w:szCs w:val="21"/>
        </w:rPr>
        <w:t xml:space="preserve">3</w:t>
      </w:r>
      <w:r>
        <w:rPr>
          <w:rFonts w:hint="eastAsia" w:ascii="宋体" w:hAnsi="宋体" w:cs="宋体"/>
          <w:bCs/>
          <w:color w:val="auto"/>
          <w:szCs w:val="21"/>
        </w:rPr>
        <w:t xml:space="preserve">、系统及设备登记、变更：梳理和维护机房内业务系统、设备、数据库、存储等资源信息，形成完整的日常维护服务台账，并及时做好资料整理工作。</w:t>
      </w:r>
      <w:r/>
    </w:p>
    <w:p>
      <w:pPr>
        <w:ind w:firstLine="420"/>
        <w:spacing w:line="360" w:lineRule="auto"/>
        <w:rPr>
          <w:rFonts w:ascii="宋体" w:hAnsi="宋体" w:cs="宋体"/>
          <w:bCs/>
          <w:color w:val="auto"/>
          <w:szCs w:val="21"/>
        </w:rPr>
      </w:pPr>
      <w:r>
        <w:rPr>
          <w:rFonts w:ascii="宋体" w:hAnsi="宋体" w:cs="宋体"/>
          <w:bCs/>
          <w:color w:val="auto"/>
          <w:szCs w:val="21"/>
        </w:rPr>
        <w:t xml:space="preserve">4</w:t>
      </w:r>
      <w:r>
        <w:rPr>
          <w:rFonts w:hint="eastAsia" w:ascii="宋体" w:hAnsi="宋体" w:cs="宋体"/>
          <w:bCs/>
          <w:color w:val="auto"/>
          <w:szCs w:val="21"/>
        </w:rPr>
        <w:t xml:space="preserve">、日常巡检：提供不少于每月一次的设备现场巡检维护，及时发现设备系统隐患，做到防患于未然；每次维护保养及故障修复后均须出具详细全面的相关书面文档，及时提供采购人有关系统运行的状态报告和运行建议。</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硬件设备故障处置：做好小型机、服务器、存储、网络设备常规巡检、保养、故障处理、备件更换，服务器操作系统故障处理等。对维护范围内的设备的所有损坏部件，包含硬件和软件免费更换；当机器发生故障或机件损坏时，保证能及时提供现场更换服务，所提供备件为原装或标准相同的其他品牌且能保证采购人正常运行。当采购人整机崩溃时，供应商保证24小时内提供备机替代以保证业务不致停止。</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6、配合客户进行操作系统国产化替代，提供国产操作系统的安装、配置及日常维护。</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7、对现有服务器操作系统AIX、Linux、windows等日常维护。</w:t>
      </w:r>
      <w:r/>
    </w:p>
    <w:p>
      <w:pPr>
        <w:ind w:firstLine="420"/>
        <w:spacing w:line="360" w:lineRule="auto"/>
        <w:rPr>
          <w:rFonts w:ascii="宋体" w:hAnsi="宋体" w:cs="宋体"/>
          <w:bCs/>
          <w:color w:val="auto"/>
          <w:szCs w:val="21"/>
        </w:rPr>
      </w:pPr>
      <w:r>
        <w:rPr>
          <w:rFonts w:ascii="宋体" w:hAnsi="宋体" w:cs="宋体"/>
          <w:bCs/>
          <w:color w:val="auto"/>
          <w:szCs w:val="21"/>
        </w:rPr>
        <w:t xml:space="preserve">8</w:t>
      </w:r>
      <w:r>
        <w:rPr>
          <w:rFonts w:hint="eastAsia" w:ascii="宋体" w:hAnsi="宋体" w:cs="宋体"/>
          <w:bCs/>
          <w:color w:val="auto"/>
          <w:szCs w:val="21"/>
        </w:rPr>
        <w:t xml:space="preserve">、数据同步复制维护，定期检查现有数据库灾备是否正常，配合采购人应用调整同步内容及策略，确保数据库同步正常。</w:t>
      </w:r>
      <w:r/>
    </w:p>
    <w:p>
      <w:pPr>
        <w:ind w:firstLine="420"/>
        <w:spacing w:line="360" w:lineRule="auto"/>
        <w:rPr>
          <w:rFonts w:ascii="宋体" w:hAnsi="宋体" w:cs="宋体"/>
          <w:bCs/>
          <w:color w:val="auto"/>
          <w:szCs w:val="21"/>
        </w:rPr>
      </w:pPr>
      <w:r>
        <w:rPr>
          <w:rFonts w:ascii="宋体" w:hAnsi="宋体" w:cs="宋体"/>
          <w:bCs/>
          <w:color w:val="auto"/>
          <w:szCs w:val="21"/>
        </w:rPr>
        <w:t xml:space="preserve">9</w:t>
      </w:r>
      <w:r>
        <w:rPr>
          <w:rFonts w:hint="eastAsia" w:ascii="宋体" w:hAnsi="宋体" w:cs="宋体"/>
          <w:bCs/>
          <w:color w:val="auto"/>
          <w:szCs w:val="21"/>
        </w:rPr>
        <w:t xml:space="preserve">、虚拟化软件系统运维：每日定时检查vmware软件系统、虚拟机运行的健康状态。</w:t>
      </w:r>
      <w:r/>
    </w:p>
    <w:p>
      <w:pPr>
        <w:ind w:firstLine="420"/>
        <w:spacing w:line="360" w:lineRule="auto"/>
        <w:rPr>
          <w:rFonts w:ascii="宋体" w:hAnsi="宋体" w:cs="宋体"/>
          <w:bCs/>
          <w:color w:val="auto"/>
          <w:szCs w:val="21"/>
        </w:rPr>
      </w:pPr>
      <w:r>
        <w:rPr>
          <w:rFonts w:ascii="宋体" w:hAnsi="宋体" w:cs="宋体"/>
          <w:bCs/>
          <w:color w:val="auto"/>
          <w:szCs w:val="21"/>
        </w:rPr>
        <w:t xml:space="preserve">1</w:t>
      </w:r>
      <w:r>
        <w:rPr>
          <w:rFonts w:hint="eastAsia" w:ascii="宋体" w:hAnsi="宋体" w:cs="宋体"/>
          <w:bCs/>
          <w:color w:val="auto"/>
          <w:szCs w:val="21"/>
        </w:rPr>
        <w:t xml:space="preserve">0、机房环境检测维护：每季度定期安排专业人员上门对瘦西湖路机房消防设施进行检测维护。</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11、应用软件完善与运维：负责扬州智慧人社微信小程序完善与更新等工作。</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12、支撑平台软、硬件维护清单</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本次项目需要运维的清单主要分为以下三项，具体如下：</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1、瘦西湖路机房基础环境维保清单</w:t>
      </w:r>
      <w:r/>
    </w:p>
    <w:tbl>
      <w:tblPr>
        <w:tblStyle w:val="863"/>
        <w:tblW w:w="8720" w:type="dxa"/>
        <w:tblInd w:w="113" w:type="dxa"/>
        <w:tblLayout w:type="autofit"/>
        <w:tblCellMar>
          <w:left w:w="108" w:type="dxa"/>
          <w:top w:w="0" w:type="dxa"/>
          <w:right w:w="108" w:type="dxa"/>
          <w:bottom w:w="0" w:type="dxa"/>
        </w:tblCellMar>
        <w:tblLook w:val="04A0" w:firstRow="1" w:lastRow="0" w:firstColumn="1" w:lastColumn="0" w:noHBand="0" w:noVBand="1"/>
      </w:tblPr>
      <w:tblGrid>
        <w:gridCol w:w="560"/>
        <w:gridCol w:w="1540"/>
        <w:gridCol w:w="1300"/>
        <w:gridCol w:w="4400"/>
        <w:gridCol w:w="920"/>
      </w:tblGrid>
      <w:tr>
        <w:trPr>
          <w:trHeight w:val="648"/>
        </w:trPr>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品目号</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产品名称</w:t>
            </w:r>
            <w:r/>
          </w:p>
        </w:tc>
        <w:tc>
          <w:tcPr>
            <w:tcBorders>
              <w:top w:val="single" w:color="auto" w:sz="4" w:space="0"/>
              <w:left w:val="none" w:color="000000" w:sz="4" w:space="0"/>
              <w:bottom w:val="single" w:color="auto" w:sz="4" w:space="0"/>
              <w:right w:val="single" w:color="auto" w:sz="4" w:space="0"/>
            </w:tcBorders>
            <w:tcW w:w="440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产品主要规格</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数量</w:t>
            </w:r>
            <w:r/>
          </w:p>
        </w:tc>
      </w:tr>
      <w:tr>
        <w:trPr>
          <w:trHeight w:val="576"/>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机房消防系统</w:t>
            </w:r>
            <w:r/>
          </w:p>
        </w:tc>
        <w:tc>
          <w:tcPr>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机房消防系统</w:t>
            </w:r>
            <w:r/>
          </w:p>
        </w:tc>
        <w:tc>
          <w:tcPr>
            <w:tcBorders>
              <w:top w:val="none" w:color="000000" w:sz="4" w:space="0"/>
              <w:left w:val="none" w:color="000000" w:sz="4" w:space="0"/>
              <w:bottom w:val="single" w:color="auto" w:sz="4" w:space="0"/>
              <w:right w:val="single" w:color="auto" w:sz="4" w:space="0"/>
            </w:tcBorders>
            <w:tcW w:w="4400" w:type="dxa"/>
            <w:vAlign w:val="center"/>
            <w:textDirection w:val="lrTb"/>
            <w:noWrap w:val="false"/>
          </w:tcPr>
          <w:p>
            <w:pPr>
              <w:jc w:val="left"/>
              <w:widowControl/>
              <w:rPr>
                <w:rFonts w:ascii="宋体" w:hAnsi="宋体" w:cs="宋体"/>
                <w:color w:val="auto"/>
                <w:szCs w:val="21"/>
              </w:rPr>
            </w:pPr>
            <w:r>
              <w:rPr>
                <w:rFonts w:hint="eastAsia" w:ascii="宋体" w:hAnsi="宋体" w:cs="宋体"/>
                <w:color w:val="auto"/>
                <w:szCs w:val="21"/>
              </w:rPr>
              <w:t xml:space="preserve">机房钢瓶维保</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r>
      <w:tr>
        <w:trPr>
          <w:trHeight w:val="576"/>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机房监控系统</w:t>
            </w:r>
            <w:r/>
          </w:p>
        </w:tc>
        <w:tc>
          <w:tcPr>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机房监控系统</w:t>
            </w:r>
            <w:r/>
          </w:p>
        </w:tc>
        <w:tc>
          <w:tcPr>
            <w:tcBorders>
              <w:top w:val="none" w:color="000000" w:sz="4" w:space="0"/>
              <w:left w:val="none" w:color="000000" w:sz="4" w:space="0"/>
              <w:bottom w:val="single" w:color="auto" w:sz="4" w:space="0"/>
              <w:right w:val="single" w:color="auto" w:sz="4" w:space="0"/>
            </w:tcBorders>
            <w:tcW w:w="4400" w:type="dxa"/>
            <w:vAlign w:val="center"/>
            <w:textDirection w:val="lrTb"/>
            <w:noWrap w:val="false"/>
          </w:tcPr>
          <w:p>
            <w:pPr>
              <w:jc w:val="left"/>
              <w:widowControl/>
              <w:rPr>
                <w:rFonts w:ascii="宋体" w:hAnsi="宋体" w:cs="宋体"/>
                <w:color w:val="auto"/>
                <w:szCs w:val="21"/>
              </w:rPr>
            </w:pPr>
            <w:r>
              <w:rPr>
                <w:rFonts w:hint="eastAsia" w:ascii="宋体" w:hAnsi="宋体" w:cs="宋体"/>
                <w:color w:val="auto"/>
                <w:szCs w:val="21"/>
              </w:rPr>
              <w:t xml:space="preserve">机房的摄像头、烟感等报警系统</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r>
      <w:tr>
        <w:trPr>
          <w:trHeight w:val="576"/>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机房门禁系统</w:t>
            </w:r>
            <w:r/>
          </w:p>
        </w:tc>
        <w:tc>
          <w:tcPr>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机房门禁系统</w:t>
            </w:r>
            <w:r/>
          </w:p>
        </w:tc>
        <w:tc>
          <w:tcPr>
            <w:tcBorders>
              <w:top w:val="none" w:color="000000" w:sz="4" w:space="0"/>
              <w:left w:val="none" w:color="000000" w:sz="4" w:space="0"/>
              <w:bottom w:val="single" w:color="auto" w:sz="4" w:space="0"/>
              <w:right w:val="single" w:color="auto" w:sz="4" w:space="0"/>
            </w:tcBorders>
            <w:tcW w:w="4400" w:type="dxa"/>
            <w:vAlign w:val="center"/>
            <w:textDirection w:val="lrTb"/>
            <w:noWrap w:val="false"/>
          </w:tcPr>
          <w:p>
            <w:pPr>
              <w:jc w:val="left"/>
              <w:widowControl/>
              <w:rPr>
                <w:rFonts w:ascii="宋体" w:hAnsi="宋体" w:cs="宋体"/>
                <w:color w:val="auto"/>
                <w:szCs w:val="21"/>
              </w:rPr>
            </w:pPr>
            <w:r>
              <w:rPr>
                <w:rFonts w:hint="eastAsia" w:ascii="宋体" w:hAnsi="宋体" w:cs="宋体"/>
                <w:color w:val="auto"/>
                <w:szCs w:val="21"/>
              </w:rPr>
              <w:t xml:space="preserve">机房玻璃门及门禁系统</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r>
      <w:tr>
        <w:trPr>
          <w:trHeight w:val="1656"/>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4</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数据可视化展示基础环境</w:t>
            </w:r>
            <w:r/>
          </w:p>
        </w:tc>
        <w:tc>
          <w:tcPr>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数据可视化展示基础环境</w:t>
            </w:r>
            <w:r/>
          </w:p>
        </w:tc>
        <w:tc>
          <w:tcPr>
            <w:tcBorders>
              <w:top w:val="none" w:color="000000" w:sz="4" w:space="0"/>
              <w:left w:val="none" w:color="000000" w:sz="4" w:space="0"/>
              <w:bottom w:val="single" w:color="auto" w:sz="4" w:space="0"/>
              <w:right w:val="single" w:color="auto" w:sz="4" w:space="0"/>
            </w:tcBorders>
            <w:tcW w:w="4400" w:type="dxa"/>
            <w:vAlign w:val="center"/>
            <w:textDirection w:val="lrTb"/>
            <w:noWrap w:val="false"/>
          </w:tcPr>
          <w:p>
            <w:pPr>
              <w:jc w:val="left"/>
              <w:widowControl/>
              <w:rPr>
                <w:rFonts w:ascii="宋体" w:hAnsi="宋体" w:cs="宋体"/>
                <w:color w:val="auto"/>
                <w:szCs w:val="21"/>
              </w:rPr>
            </w:pPr>
            <w:r>
              <w:rPr>
                <w:rFonts w:hint="eastAsia" w:ascii="宋体" w:hAnsi="宋体" w:cs="宋体"/>
                <w:color w:val="auto"/>
                <w:szCs w:val="21"/>
              </w:rPr>
              <w:t xml:space="preserve">数据库可视化展示大屏，含6块45寸拼接屏；人脸识别门禁系统。</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r>
      <w:tr>
        <w:trPr>
          <w:trHeight w:val="576"/>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5</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智慧大屏</w:t>
            </w:r>
            <w:r/>
          </w:p>
        </w:tc>
        <w:tc>
          <w:tcPr>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华为IdeaHub S86</w:t>
            </w:r>
            <w:r/>
          </w:p>
        </w:tc>
        <w:tc>
          <w:tcPr>
            <w:tcBorders>
              <w:top w:val="none" w:color="000000" w:sz="4" w:space="0"/>
              <w:left w:val="none" w:color="000000" w:sz="4" w:space="0"/>
              <w:bottom w:val="single" w:color="auto" w:sz="4" w:space="0"/>
              <w:right w:val="single" w:color="auto" w:sz="4" w:space="0"/>
            </w:tcBorders>
            <w:tcW w:w="4400" w:type="dxa"/>
            <w:vAlign w:val="bottom"/>
            <w:textDirection w:val="lrTb"/>
            <w:noWrap w:val="false"/>
          </w:tcPr>
          <w:p>
            <w:pPr>
              <w:jc w:val="left"/>
              <w:widowControl/>
              <w:rPr>
                <w:rFonts w:ascii="宋体" w:hAnsi="宋体" w:cs="宋体"/>
                <w:color w:val="auto"/>
                <w:szCs w:val="21"/>
              </w:rPr>
            </w:pPr>
            <w:r>
              <w:rPr>
                <w:rFonts w:hint="eastAsia" w:ascii="宋体" w:hAnsi="宋体" w:cs="宋体"/>
                <w:color w:val="auto"/>
                <w:szCs w:val="21"/>
              </w:rPr>
              <w:t xml:space="preserve">86寸 4K DLED屏幕；运行内存12GB，存储内存64GB。</w:t>
            </w:r>
            <w:r>
              <w:rPr>
                <w:rFonts w:ascii="宋体" w:hAnsi="宋体" w:cs="宋体"/>
                <w:color w:val="auto"/>
                <w:szCs w:val="21"/>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r>
    </w:tbl>
    <w:p>
      <w:pPr>
        <w:ind w:firstLine="420"/>
        <w:spacing w:line="360" w:lineRule="auto"/>
        <w:rPr>
          <w:color w:val="auto"/>
          <w:szCs w:val="21"/>
        </w:rPr>
      </w:pPr>
      <w:r>
        <w:rPr>
          <w:color w:val="auto"/>
          <w:szCs w:val="21"/>
        </w:rPr>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2、托管机房设备及系统软件维保清单</w:t>
      </w:r>
      <w:r/>
    </w:p>
    <w:tbl>
      <w:tblPr>
        <w:tblStyle w:val="863"/>
        <w:tblW w:w="864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2835"/>
        <w:gridCol w:w="3685"/>
        <w:gridCol w:w="1134"/>
      </w:tblGrid>
      <w:tr>
        <w:trPr>
          <w:trHeight w:val="340"/>
        </w:trPr>
        <w:tc>
          <w:tcPr>
            <w:tcW w:w="988"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序号</w:t>
            </w:r>
            <w:r/>
          </w:p>
        </w:tc>
        <w:tc>
          <w:tcPr>
            <w:tcW w:w="2835"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品目号</w:t>
            </w:r>
            <w:r/>
          </w:p>
        </w:tc>
        <w:tc>
          <w:tcPr>
            <w:tcW w:w="3685"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产品名称</w:t>
            </w:r>
            <w:r/>
          </w:p>
        </w:tc>
        <w:tc>
          <w:tcPr>
            <w:tcW w:w="1134"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数量</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生产区数据库服务器</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IBM E850（8408-E8E）</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社保业务中间件服务器</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IBM S824（8286-42A）</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4</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就业业务中间件服务器</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IBM P740（8205-E6D）</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4</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核三测试服务器</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IBM P740（8205-E6D）</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r>
      <w:tr>
        <w:trPr>
          <w:trHeight w:val="340"/>
        </w:trPr>
        <w:tc>
          <w:tcPr>
            <w:tcW w:w="988" w:type="dxa"/>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5</w:t>
            </w:r>
            <w:r/>
          </w:p>
        </w:tc>
        <w:tc>
          <w:tcPr>
            <w:tcW w:w="2835" w:type="dxa"/>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计算资源池</w:t>
            </w:r>
            <w:r/>
          </w:p>
        </w:tc>
        <w:tc>
          <w:tcPr>
            <w:tcW w:w="3685" w:type="dxa"/>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浪潮NF8460M3</w:t>
            </w:r>
            <w:r/>
          </w:p>
        </w:tc>
        <w:tc>
          <w:tcPr>
            <w:tcW w:w="1134" w:type="dxa"/>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4</w:t>
            </w:r>
            <w:r/>
          </w:p>
        </w:tc>
      </w:tr>
      <w:tr>
        <w:trPr>
          <w:trHeight w:val="340"/>
        </w:trPr>
        <w:tc>
          <w:tcPr>
            <w:tcW w:w="988" w:type="dxa"/>
            <w:vAlign w:val="center"/>
            <w:vMerge w:val="continue"/>
            <w:textDirection w:val="lrTb"/>
            <w:noWrap w:val="false"/>
          </w:tcPr>
          <w:p>
            <w:pPr>
              <w:jc w:val="left"/>
              <w:widowControl/>
              <w:rPr>
                <w:rFonts w:ascii="宋体" w:hAnsi="宋体" w:cs="宋体"/>
                <w:color w:val="auto"/>
                <w:szCs w:val="21"/>
              </w:rPr>
            </w:pPr>
            <w:r>
              <w:rPr>
                <w:rFonts w:ascii="宋体" w:hAnsi="宋体" w:cs="宋体"/>
                <w:color w:val="auto"/>
                <w:szCs w:val="21"/>
              </w:rPr>
            </w:r>
            <w:r/>
          </w:p>
        </w:tc>
        <w:tc>
          <w:tcPr>
            <w:tcW w:w="2835" w:type="dxa"/>
            <w:vAlign w:val="center"/>
            <w:vMerge w:val="continue"/>
            <w:textDirection w:val="lrTb"/>
            <w:noWrap w:val="false"/>
          </w:tcPr>
          <w:p>
            <w:pPr>
              <w:jc w:val="left"/>
              <w:widowControl/>
              <w:rPr>
                <w:rFonts w:ascii="宋体" w:hAnsi="宋体" w:cs="宋体"/>
                <w:color w:val="auto"/>
                <w:szCs w:val="21"/>
              </w:rPr>
            </w:pPr>
            <w:r>
              <w:rPr>
                <w:rFonts w:ascii="宋体" w:hAnsi="宋体" w:cs="宋体"/>
                <w:color w:val="auto"/>
                <w:szCs w:val="21"/>
              </w:rPr>
            </w:r>
            <w:r/>
          </w:p>
        </w:tc>
        <w:tc>
          <w:tcPr>
            <w:tcW w:w="3685" w:type="dxa"/>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浪潮NF5280M4</w:t>
            </w:r>
            <w:r/>
          </w:p>
        </w:tc>
        <w:tc>
          <w:tcPr>
            <w:tcW w:w="1134" w:type="dxa"/>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w:t>
            </w:r>
            <w:r/>
          </w:p>
        </w:tc>
      </w:tr>
      <w:tr>
        <w:trPr>
          <w:trHeight w:val="340"/>
        </w:trPr>
        <w:tc>
          <w:tcPr>
            <w:tcW w:w="988" w:type="dxa"/>
            <w:vAlign w:val="center"/>
            <w:vMerge w:val="continue"/>
            <w:textDirection w:val="lrTb"/>
            <w:noWrap w:val="false"/>
          </w:tcPr>
          <w:p>
            <w:pPr>
              <w:jc w:val="left"/>
              <w:widowControl/>
              <w:rPr>
                <w:rFonts w:ascii="宋体" w:hAnsi="宋体" w:cs="宋体"/>
                <w:color w:val="auto"/>
                <w:szCs w:val="21"/>
              </w:rPr>
            </w:pPr>
            <w:r>
              <w:rPr>
                <w:rFonts w:ascii="宋体" w:hAnsi="宋体" w:cs="宋体"/>
                <w:color w:val="auto"/>
                <w:szCs w:val="21"/>
              </w:rPr>
            </w:r>
            <w:r/>
          </w:p>
        </w:tc>
        <w:tc>
          <w:tcPr>
            <w:tcW w:w="2835" w:type="dxa"/>
            <w:vAlign w:val="center"/>
            <w:vMerge w:val="continue"/>
            <w:textDirection w:val="lrTb"/>
            <w:noWrap w:val="false"/>
          </w:tcPr>
          <w:p>
            <w:pPr>
              <w:jc w:val="left"/>
              <w:widowControl/>
              <w:rPr>
                <w:rFonts w:ascii="宋体" w:hAnsi="宋体" w:cs="宋体"/>
                <w:color w:val="auto"/>
                <w:szCs w:val="21"/>
              </w:rPr>
            </w:pPr>
            <w:r>
              <w:rPr>
                <w:rFonts w:ascii="宋体" w:hAnsi="宋体" w:cs="宋体"/>
                <w:color w:val="auto"/>
                <w:szCs w:val="21"/>
              </w:rPr>
            </w:r>
            <w:r/>
          </w:p>
        </w:tc>
        <w:tc>
          <w:tcPr>
            <w:tcW w:w="3685" w:type="dxa"/>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浪潮NF5280M4</w:t>
            </w:r>
            <w:r/>
          </w:p>
        </w:tc>
        <w:tc>
          <w:tcPr>
            <w:tcW w:w="1134" w:type="dxa"/>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r>
      <w:tr>
        <w:trPr>
          <w:trHeight w:val="340"/>
        </w:trPr>
        <w:tc>
          <w:tcPr>
            <w:tcW w:w="988" w:type="dxa"/>
            <w:vAlign w:val="center"/>
            <w:vMerge w:val="continue"/>
            <w:textDirection w:val="lrTb"/>
            <w:noWrap w:val="false"/>
          </w:tcPr>
          <w:p>
            <w:pPr>
              <w:jc w:val="left"/>
              <w:widowControl/>
              <w:rPr>
                <w:rFonts w:ascii="宋体" w:hAnsi="宋体" w:cs="宋体"/>
                <w:color w:val="auto"/>
                <w:szCs w:val="21"/>
              </w:rPr>
            </w:pPr>
            <w:r>
              <w:rPr>
                <w:rFonts w:ascii="宋体" w:hAnsi="宋体" w:cs="宋体"/>
                <w:color w:val="auto"/>
                <w:szCs w:val="21"/>
              </w:rPr>
            </w:r>
            <w:r/>
          </w:p>
        </w:tc>
        <w:tc>
          <w:tcPr>
            <w:tcW w:w="2835" w:type="dxa"/>
            <w:vAlign w:val="center"/>
            <w:vMerge w:val="continue"/>
            <w:textDirection w:val="lrTb"/>
            <w:noWrap w:val="false"/>
          </w:tcPr>
          <w:p>
            <w:pPr>
              <w:jc w:val="left"/>
              <w:widowControl/>
              <w:rPr>
                <w:rFonts w:ascii="宋体" w:hAnsi="宋体" w:cs="宋体"/>
                <w:color w:val="auto"/>
                <w:szCs w:val="21"/>
              </w:rPr>
            </w:pPr>
            <w:r>
              <w:rPr>
                <w:rFonts w:ascii="宋体" w:hAnsi="宋体" w:cs="宋体"/>
                <w:color w:val="auto"/>
                <w:szCs w:val="21"/>
              </w:rPr>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H3C UniServer R6900 G3</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6</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数据存储设备</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华为 5300 V3</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7</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光纤交换机</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Brocade 300</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8</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链路负载均衡设备</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Array APV2600</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9</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集群数据交换机</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华为S6730</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10</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数据共享前置库</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联想SR650</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11</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集群服务器</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联想SR650</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6</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12</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应用集市服务器 </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联想SR650</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13</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核心交换机</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H3C7503x</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8</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14</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接入层交换机</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H3C LS-5130S</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35</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15</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接入层交换机</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H3C LS-5560</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8</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16</w:t>
            </w:r>
            <w:r/>
          </w:p>
        </w:tc>
        <w:tc>
          <w:tcPr>
            <w:tcW w:w="2835" w:type="dxa"/>
            <w:vAlign w:val="center"/>
            <w:textDirection w:val="lrTb"/>
            <w:noWrap w:val="false"/>
          </w:tcPr>
          <w:p>
            <w:pPr>
              <w:jc w:val="center"/>
              <w:widowControl/>
              <w:rPr>
                <w:rFonts w:ascii="宋体" w:hAnsi="宋体" w:cs="宋体"/>
                <w:color w:val="auto"/>
                <w:szCs w:val="21"/>
              </w:rPr>
            </w:pPr>
            <w:r>
              <w:rPr>
                <w:rFonts w:hint="eastAsia"/>
                <w:color w:val="auto"/>
                <w:szCs w:val="21"/>
              </w:rPr>
              <w:t xml:space="preserve">安全设备</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加一运维审计系统</w:t>
            </w:r>
            <w:r/>
          </w:p>
        </w:tc>
        <w:tc>
          <w:tcPr>
            <w:tcW w:w="1134" w:type="dxa"/>
            <w:vAlign w:val="center"/>
            <w:textDirection w:val="lrTb"/>
            <w:noWrap w:val="false"/>
          </w:tcPr>
          <w:p>
            <w:pPr>
              <w:jc w:val="center"/>
              <w:widowControl/>
              <w:rPr>
                <w:rFonts w:ascii="宋体" w:hAnsi="宋体" w:cs="宋体"/>
                <w:color w:val="auto"/>
                <w:szCs w:val="21"/>
              </w:rPr>
            </w:pPr>
            <w:r>
              <w:rPr>
                <w:rFonts w:hint="eastAsia"/>
                <w:color w:val="auto"/>
                <w:szCs w:val="21"/>
              </w:rPr>
              <w:t xml:space="preserve">1</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17</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数据库系统</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Oracle 19c </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18</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同步系统</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Oracle ADG</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w:t>
            </w:r>
            <w:r/>
          </w:p>
        </w:tc>
      </w:tr>
      <w:tr>
        <w:trPr>
          <w:trHeight w:val="340"/>
        </w:trPr>
        <w:tc>
          <w:tcPr>
            <w:tcW w:w="98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19</w:t>
            </w:r>
            <w:r/>
          </w:p>
        </w:tc>
        <w:tc>
          <w:tcPr>
            <w:tcW w:w="283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虚拟化系统</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VMware</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r>
      <w:tr>
        <w:trPr>
          <w:trHeight w:val="340"/>
        </w:trPr>
        <w:tc>
          <w:tcPr>
            <w:tcW w:w="988" w:type="dxa"/>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20</w:t>
            </w:r>
            <w:r/>
          </w:p>
        </w:tc>
        <w:tc>
          <w:tcPr>
            <w:tcW w:w="2835" w:type="dxa"/>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操作系统</w:t>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AIX7.1</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4</w:t>
            </w:r>
            <w:r/>
          </w:p>
        </w:tc>
      </w:tr>
      <w:tr>
        <w:trPr>
          <w:trHeight w:val="340"/>
        </w:trPr>
        <w:tc>
          <w:tcPr>
            <w:tcW w:w="988"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2835" w:type="dxa"/>
            <w:vAlign w:val="center"/>
            <w:vMerge w:val="continue"/>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麒麟V10</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20</w:t>
            </w:r>
            <w:r/>
          </w:p>
        </w:tc>
      </w:tr>
      <w:tr>
        <w:trPr>
          <w:trHeight w:val="340"/>
        </w:trPr>
        <w:tc>
          <w:tcPr>
            <w:tcW w:w="988" w:type="dxa"/>
            <w:vAlign w:val="center"/>
            <w:vMerge w:val="continue"/>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W w:w="2835" w:type="dxa"/>
            <w:vAlign w:val="center"/>
            <w:vMerge w:val="continue"/>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W w:w="368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Windows Server</w:t>
            </w:r>
            <w:r/>
          </w:p>
        </w:tc>
        <w:tc>
          <w:tcPr>
            <w:tcW w:w="113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15</w:t>
            </w:r>
            <w:r/>
          </w:p>
        </w:tc>
      </w:tr>
    </w:tbl>
    <w:p>
      <w:pPr>
        <w:pStyle w:val="865"/>
        <w:rPr>
          <w:color w:val="auto"/>
          <w:szCs w:val="21"/>
        </w:rPr>
      </w:pPr>
      <w:r>
        <w:rPr>
          <w:color w:val="auto"/>
          <w:szCs w:val="21"/>
        </w:rPr>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3、软件完善及日常运维</w:t>
      </w:r>
      <w:r/>
    </w:p>
    <w:tbl>
      <w:tblPr>
        <w:tblStyle w:val="863"/>
        <w:tblW w:w="878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1336"/>
        <w:gridCol w:w="5954"/>
        <w:gridCol w:w="992"/>
      </w:tblGrid>
      <w:tr>
        <w:trPr>
          <w:trHeight w:val="684"/>
        </w:trPr>
        <w:tc>
          <w:tcPr>
            <w:tcW w:w="502"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序号</w:t>
            </w:r>
            <w:r/>
          </w:p>
        </w:tc>
        <w:tc>
          <w:tcPr>
            <w:tcW w:w="1336"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软件名称</w:t>
            </w:r>
            <w:r/>
          </w:p>
        </w:tc>
        <w:tc>
          <w:tcPr>
            <w:tcW w:w="5954"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主要功能</w:t>
            </w:r>
            <w:r/>
          </w:p>
        </w:tc>
        <w:tc>
          <w:tcPr>
            <w:tcW w:w="992"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备注</w:t>
            </w:r>
            <w:r/>
          </w:p>
        </w:tc>
      </w:tr>
      <w:tr>
        <w:trPr>
          <w:trHeight w:val="1154"/>
        </w:trPr>
        <w:tc>
          <w:tcPr>
            <w:tcW w:w="50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c>
          <w:tcPr>
            <w:tcW w:w="133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扬州智慧人社微信小程序</w:t>
            </w:r>
            <w:r/>
          </w:p>
        </w:tc>
        <w:tc>
          <w:tcPr>
            <w:tcW w:w="5954" w:type="dxa"/>
            <w:vAlign w:val="center"/>
            <w:textDirection w:val="lrTb"/>
            <w:noWrap w:val="false"/>
          </w:tcPr>
          <w:p>
            <w:pPr>
              <w:jc w:val="left"/>
              <w:widowControl/>
              <w:rPr>
                <w:rFonts w:ascii="宋体" w:hAnsi="宋体" w:cs="宋体"/>
                <w:color w:val="auto"/>
                <w:szCs w:val="21"/>
              </w:rPr>
            </w:pPr>
            <w:r>
              <w:rPr>
                <w:rFonts w:hint="eastAsia" w:ascii="宋体" w:hAnsi="宋体" w:cs="宋体"/>
                <w:color w:val="auto"/>
                <w:szCs w:val="21"/>
              </w:rPr>
              <w:t xml:space="preserve">个人基本信息查询、个人参保信息查询、企业职工养老保险账户信息查询等。</w:t>
            </w:r>
            <w:r/>
          </w:p>
        </w:tc>
        <w:tc>
          <w:tcPr>
            <w:tcW w:w="99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运维</w:t>
            </w:r>
            <w:r/>
          </w:p>
        </w:tc>
      </w:tr>
    </w:tbl>
    <w:p>
      <w:pPr>
        <w:spacing w:line="360" w:lineRule="auto"/>
        <w:rPr>
          <w:rFonts w:ascii="宋体" w:hAnsi="宋体" w:cs="宋体"/>
          <w:b/>
          <w:bCs/>
          <w:color w:val="auto"/>
          <w:szCs w:val="21"/>
        </w:rPr>
      </w:pPr>
      <w:r>
        <w:rPr>
          <w:rFonts w:ascii="宋体" w:hAnsi="宋体" w:cs="宋体"/>
          <w:b/>
          <w:bCs/>
          <w:color w:val="auto"/>
          <w:szCs w:val="21"/>
        </w:rPr>
      </w:r>
      <w:r/>
    </w:p>
    <w:p>
      <w:pPr>
        <w:spacing w:line="360" w:lineRule="auto"/>
        <w:rPr>
          <w:rFonts w:ascii="宋体" w:hAnsi="宋体" w:cs="宋体"/>
          <w:b/>
          <w:bCs/>
          <w:color w:val="auto"/>
          <w:szCs w:val="21"/>
        </w:rPr>
      </w:pPr>
      <w:r>
        <w:rPr>
          <w:rFonts w:hint="eastAsia" w:ascii="宋体" w:hAnsi="宋体" w:cs="宋体"/>
          <w:b/>
          <w:bCs/>
          <w:color w:val="auto"/>
          <w:szCs w:val="21"/>
        </w:rPr>
        <w:t xml:space="preserve">（二）服务要求</w:t>
      </w:r>
      <w:r/>
    </w:p>
    <w:p>
      <w:pPr>
        <w:ind w:firstLine="211"/>
        <w:spacing w:line="360" w:lineRule="auto"/>
        <w:rPr>
          <w:rFonts w:ascii="宋体" w:hAnsi="宋体" w:cs="宋体"/>
          <w:b/>
          <w:bCs/>
          <w:color w:val="auto"/>
          <w:szCs w:val="21"/>
        </w:rPr>
      </w:pPr>
      <w:r>
        <w:rPr>
          <w:rFonts w:hint="eastAsia" w:ascii="宋体" w:hAnsi="宋体" w:cs="宋体"/>
          <w:b/>
          <w:bCs/>
          <w:color w:val="auto"/>
          <w:szCs w:val="21"/>
        </w:rPr>
        <w:t xml:space="preserve">1、服务响应及故障恢复时间要求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（1）供应商提供7×24小时服务响应及7×24小时技术支持。</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（2）供应商在维护服务期内，负责对硬件设备及软件系统出现的故障进行故障定位，故障排除，保修和技术支持。对于故障服务响应时间和故障恢复时间的要求如下：</w:t>
      </w:r>
      <w:r/>
    </w:p>
    <w:p>
      <w:pPr>
        <w:ind w:firstLine="840"/>
        <w:spacing w:line="360" w:lineRule="auto"/>
        <w:rPr>
          <w:rFonts w:ascii="宋体" w:hAnsi="宋体" w:cs="宋体"/>
          <w:bCs/>
          <w:color w:val="auto"/>
          <w:szCs w:val="21"/>
        </w:rPr>
      </w:pPr>
      <w:r>
        <w:rPr>
          <w:rFonts w:hint="eastAsia" w:ascii="宋体" w:hAnsi="宋体" w:cs="宋体"/>
          <w:bCs/>
          <w:color w:val="auto"/>
          <w:szCs w:val="21"/>
        </w:rPr>
        <w:t xml:space="preserve">1）普通故障响应时间：在接到采购人通知后，具有处理故障能力的维修人员到达故障服务现场的时间应不大于2小时。</w:t>
      </w:r>
      <w:r/>
    </w:p>
    <w:p>
      <w:pPr>
        <w:ind w:firstLine="840"/>
        <w:spacing w:line="360" w:lineRule="auto"/>
        <w:rPr>
          <w:rFonts w:ascii="宋体" w:hAnsi="宋体" w:cs="宋体"/>
          <w:bCs/>
          <w:color w:val="auto"/>
          <w:szCs w:val="21"/>
        </w:rPr>
      </w:pPr>
      <w:r>
        <w:rPr>
          <w:rFonts w:hint="eastAsia" w:ascii="宋体" w:hAnsi="宋体" w:cs="宋体"/>
          <w:bCs/>
          <w:color w:val="auto"/>
          <w:szCs w:val="21"/>
        </w:rPr>
        <w:t xml:space="preserve">2）紧急故障响应时间：出现宕机故障或采购人要求的其他紧急事件，应在5分钟内响应，半小时内达故障服务现场。</w:t>
      </w:r>
      <w:r/>
    </w:p>
    <w:p>
      <w:pPr>
        <w:ind w:firstLine="840"/>
        <w:spacing w:line="360" w:lineRule="auto"/>
        <w:rPr>
          <w:rFonts w:ascii="宋体" w:hAnsi="宋体" w:cs="宋体"/>
          <w:bCs/>
          <w:color w:val="auto"/>
          <w:szCs w:val="21"/>
        </w:rPr>
      </w:pPr>
      <w:r>
        <w:rPr>
          <w:rFonts w:hint="eastAsia" w:ascii="宋体" w:hAnsi="宋体" w:cs="宋体"/>
          <w:bCs/>
          <w:color w:val="auto"/>
          <w:szCs w:val="21"/>
        </w:rPr>
        <w:t xml:space="preserve">3）故障恢复时间：按故障严重程度从高到低分为I～IV级。</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I级故障：核心业务系统不可用或将导致业务数据缺失的，恢复时间不超过1小时；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II级故障：核心业务系统失去冗余但仍能工作的、非核心业务系统不可用的，恢复时间不超过4小时；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III级故障：备份系统发生故障或可能发生故障风险的，恢复时间不超过24小时；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IV级故障：其他隐患类故障，恢复时间由供应商与采购人协商决定，原则上不超过</w:t>
      </w:r>
      <w:r>
        <w:rPr>
          <w:rFonts w:ascii="宋体" w:hAnsi="宋体" w:cs="宋体"/>
          <w:bCs/>
          <w:color w:val="auto"/>
          <w:szCs w:val="21"/>
        </w:rPr>
        <w:t xml:space="preserve">48</w:t>
      </w:r>
      <w:r>
        <w:rPr>
          <w:rFonts w:hint="eastAsia" w:ascii="宋体" w:hAnsi="宋体" w:cs="宋体"/>
          <w:bCs/>
          <w:color w:val="auto"/>
          <w:szCs w:val="21"/>
        </w:rPr>
        <w:t xml:space="preserve">小时。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I、II级故障或III、IV级故障连续发生两次以上的，除提交故障恢复报告以外还应提交问题分析报告，深度分析故障产生的原因，并提出预防性改善建议。</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服务期内若出现故障且供应商的技术能力或备件能力达不到采购人要求，采购人有权请原厂商或第三方公司提供服务或备件，或要求供应商提供性能不低于故障设备的全新备用设备，由此而产生的所有费用由供应商承担。</w:t>
      </w:r>
      <w:r/>
    </w:p>
    <w:p>
      <w:pPr>
        <w:ind w:firstLine="211"/>
        <w:spacing w:line="360" w:lineRule="auto"/>
        <w:rPr>
          <w:rFonts w:ascii="宋体" w:hAnsi="宋体" w:cs="宋体"/>
          <w:b/>
          <w:bCs/>
          <w:color w:val="auto"/>
          <w:szCs w:val="21"/>
        </w:rPr>
      </w:pPr>
      <w:r>
        <w:rPr>
          <w:rFonts w:hint="eastAsia" w:ascii="宋体" w:hAnsi="宋体" w:cs="宋体"/>
          <w:b/>
          <w:bCs/>
          <w:color w:val="auto"/>
          <w:szCs w:val="21"/>
        </w:rPr>
        <w:t xml:space="preserve">2、服务人员要求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（1）服务人员总体要求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磋商响应中提供明确的运维服务人员名单，其技术能力满足采购人运行维护要求。运维团队需要具备信息系统项目管理师(高级)证书、CISP(注册信息安全工程师)证书、ITSS(IT服务工程师)证书、系统架构设计师(高级证书、系统分析师(高级)证书、网络工程师证书、数据库系统工程师证书等。</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（2）驻场人员要求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需提供1名专职驻场工程师，</w:t>
      </w:r>
      <w:r>
        <w:rPr>
          <w:rFonts w:ascii="宋体" w:hAnsi="宋体" w:cs="宋体"/>
          <w:bCs/>
          <w:color w:val="auto"/>
          <w:szCs w:val="21"/>
        </w:rPr>
        <w:t xml:space="preserve">35</w:t>
      </w:r>
      <w:r>
        <w:rPr>
          <w:rFonts w:hint="eastAsia" w:ascii="宋体" w:hAnsi="宋体" w:cs="宋体"/>
          <w:bCs/>
          <w:color w:val="auto"/>
          <w:szCs w:val="21"/>
        </w:rPr>
        <w:t xml:space="preserve">周岁以下，保证不少于5×8小时驻场工作时间，并按照采购人制定的考勤规则进行日常考勤，离开采购人现场必须征得采购人同意。</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驻场服务人员需具备网络及安全、数据库（oracle）、操作系统（Windows、Linux、AIX等）、存储等基础运行环境的技术能力。</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（3）运维支撑技术团队要求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供应商根据现有机房硬件设备、数据库实际情况，提供专业设备、工具等，选取有资质的专业人员组建运维团队，定期对硬件设备、操作系统、中间件、数据库、虚拟化等进行检查，及时发现并处置相关故障。</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硬件支撑人员要求：应具有3年以上与本次服务有关的小型机、存储、网络、安全设备等相关的维护服务经验，每个类别可派遣维护人员不少于2名并具备相应类别资质，常规巡检及故障处理时至少有1人到达现场。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数据库支撑人员要求：应具备3年以上Oracle数据库维护经验和认证资质。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软件人员要求：应具备3年以上软件开发、维护、优化经验,</w:t>
      </w:r>
      <w:r>
        <w:rPr>
          <w:rFonts w:ascii="Segoe UI" w:hAnsi="Segoe UI" w:cs="Segoe UI"/>
          <w:color w:val="auto"/>
          <w:szCs w:val="21"/>
          <w:shd w:val="clear" w:color="auto" w:fill="ffffff"/>
        </w:rPr>
        <w:t xml:space="preserve"> 熟悉云服务平台的使用</w:t>
      </w:r>
      <w:r>
        <w:rPr>
          <w:rFonts w:hint="eastAsia" w:ascii="宋体" w:hAnsi="宋体" w:cs="宋体"/>
          <w:bCs/>
          <w:color w:val="auto"/>
          <w:szCs w:val="21"/>
        </w:rPr>
        <w:t xml:space="preserve">。</w:t>
      </w:r>
      <w:r/>
    </w:p>
    <w:p>
      <w:pPr>
        <w:ind w:firstLine="211"/>
        <w:spacing w:line="360" w:lineRule="auto"/>
        <w:rPr>
          <w:rFonts w:ascii="宋体" w:hAnsi="宋体" w:cs="宋体"/>
          <w:b/>
          <w:bCs/>
          <w:color w:val="auto"/>
          <w:szCs w:val="21"/>
        </w:rPr>
      </w:pPr>
      <w:r>
        <w:rPr>
          <w:rFonts w:hint="eastAsia" w:ascii="宋体" w:hAnsi="宋体" w:cs="宋体"/>
          <w:b/>
          <w:bCs/>
          <w:color w:val="auto"/>
          <w:szCs w:val="21"/>
        </w:rPr>
        <w:t xml:space="preserve">3、备品备件要求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由于本次项目设备是采购人核心业务系统，因此，供应商所提供的所有设备及备品配件，必须全部是全新设备。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备件支持对象在合同执行期间，当采购人设备发生硬件故障时，供应商承诺在约定响应时间之内为采购人提供备件支持，备件费用以及相应产生的备件送达运费由供应商承担；根据采购人维保设备具体情况，供应商为采购人提供的必要的备件（备件型号不低于采购人生产环境中使用的设备型号）。对于维保期内出现维保设备已经停产，造成供应商不能提供相应备件，供应商应明确告知采购人，双方商定一个合理的解决方案予以解决。</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（2）现场备件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供应商应有充足的现场备件（尤其是CPU、内存、电源、硬盘、模块、引擎等），所提供备件必须为全新的，并且是免费的。当机器发生故障或机件损坏时，供应商保证能及时提供现场更换服务。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维保期内，供应商须放置在采购人现场备件和耗材有：</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1）IBM E850小型机电源2套，系统盘3块（备件）；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2）IBM S824小型机电源2套，系统盘3块（备件）；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3）网线2箱、RJ45水晶头4盒（耗材）。</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以上备品备件，须为全新原厂或符合要求的正品。</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上述备件必须在合同签订后一周内到场。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（4）备件响应时间</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供应商对维护范围内的设备的所有损坏部件（包含硬件和软件），必须及时免费更换原厂全新备件。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（5）备件维修</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本次项目要求故障件只换不修，对于更换下的坏件，非经采购人同意供应商不得回收。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（6）备机服务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在维护过程中，若超过24小时仍不能排除故障，供应商必须为采购人提供同档次备机服务，确保采购人业务系统运行正常运行。</w:t>
      </w:r>
      <w:r/>
    </w:p>
    <w:p>
      <w:pPr>
        <w:ind w:firstLine="211"/>
        <w:spacing w:line="360" w:lineRule="auto"/>
        <w:rPr>
          <w:rFonts w:ascii="宋体" w:hAnsi="宋体" w:cs="宋体"/>
          <w:b/>
          <w:bCs/>
          <w:color w:val="auto"/>
          <w:szCs w:val="21"/>
        </w:rPr>
      </w:pPr>
      <w:r>
        <w:rPr>
          <w:rFonts w:hint="eastAsia" w:ascii="宋体" w:hAnsi="宋体" w:cs="宋体"/>
          <w:b/>
          <w:bCs/>
          <w:color w:val="auto"/>
          <w:szCs w:val="21"/>
        </w:rPr>
        <w:t xml:space="preserve">4、文档要求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供应商应建立完整的文档记录，按时向采购人提供装订成册的纸质版与电子版文档，具体要求为：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（1）签订维保合同10天内，维保供应商提交《维保设备信息登记表》，记录保修设备的详细配置信息；维保期及时维护和更新《维保设备信息登记表》，包括位置、参数、配置的变更；</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（2）每个月10日前向采购人提供上月的巡检报告，详细记录巡检日期、巡检人、巡检内容、问题、采取措施及建议、备品备件的使用及储备情况等内容，双方签字确认；</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（3）故障抢修后的1个工作日内向采购人提交“故障检修报告”，每个自然月的10日前向采购人提供上月的抢修统计记录，其中至少记录接报修时间、报修人、到达现场时间、修复时间、故障现象、抢修过程等；</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（4）维保服务合同到期后的3天内，提供维保服务总结报告。</w:t>
      </w:r>
      <w:r/>
    </w:p>
    <w:p>
      <w:pPr>
        <w:ind w:firstLine="211"/>
        <w:spacing w:line="360" w:lineRule="auto"/>
        <w:rPr>
          <w:rFonts w:ascii="宋体" w:hAnsi="宋体" w:cs="宋体"/>
          <w:b/>
          <w:bCs/>
          <w:color w:val="auto"/>
          <w:szCs w:val="21"/>
        </w:rPr>
      </w:pPr>
      <w:r>
        <w:rPr>
          <w:rFonts w:hint="eastAsia" w:ascii="宋体" w:hAnsi="宋体" w:cs="宋体"/>
          <w:b/>
          <w:bCs/>
          <w:color w:val="auto"/>
          <w:szCs w:val="21"/>
        </w:rPr>
        <w:t xml:space="preserve">5、具体服务需求</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（1）常驻现场服务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驻场服务人员需提供机房环境和软硬件设备的定时巡检，并做好巡检登记，发现故障第一时间报告并处理；维护机房的系统、设备、数据库等资源信息，形成完整的日常运维台账，并及时做好资产清单记录工作。如在后续的工作中发现驻场工程师不能胜任此项工作，采购人有权要求供应商更换。供应商因自身原因需要更换驻场工程师的，须提前一个月书面通知采购人，征得同意后方可更换。</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（2）定期优化服务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供应商应针对采购人的存储设备使用情况、服务器、网络系统运行状态进行深度优化维护服务。及时发现设备系统隐患，做到防患于未然，并对设备使用性能进行分析，提出性能优化建议。每次维护保养及故障修复后均须出具详细全面的相关书面文档。</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每季度一次的定期维护主要进行如下工作：</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1）AIX系统日常优化；</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2）存储优化；</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3）ADG日常维护；</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每季度一次的性能优化：数据库性能优化；</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（3）故障排除服务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供应商必须确保维保范围内的设备、网络正常运行，系统运行稳定，并不断优化和提高系统运行性能。当系统出现故障后，供应商必须在要求的时间范围进行维护和修复。要求做到全天候7*24小时的技术服务。如因特殊原因无法在指定处置时间内修复故障的，需将故障原因、过渡方案等和恢复计划在故障发生后的1个工作日内向采购人书面上报，并在此期间积极配合相关应用开发商实施过渡方案，全力保证应用的不间断，临时过渡方案产生的备品、备机及人力成本由成交人自行承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在法定节假日（元旦、春节、五一、十一等）期间、重大活动（由采购人指定并提前告知）前及其举行期间，应根据采购人的具体要求对系统设备进行额外的维护巡检，确保设备及系统在此时期的正常工作，必要时应派专业技术人员在现场实施驻点保障服务。</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（4）备份恢复测试</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每个维护年度内供应商需要提供对数据库数据、虚拟化系统数据的备份进行恢复测试。具体要求如下：</w:t>
      </w:r>
      <w:r/>
    </w:p>
    <w:p>
      <w:pPr>
        <w:pStyle w:val="924"/>
        <w:ind w:left="420"/>
        <w:spacing w:line="360" w:lineRule="auto"/>
        <w:rPr>
          <w:rFonts w:ascii="宋体" w:hAnsi="宋体" w:cs="宋体"/>
          <w:b/>
          <w:color w:val="auto"/>
          <w:szCs w:val="21"/>
        </w:rPr>
      </w:pPr>
      <w:r>
        <w:rPr>
          <w:rFonts w:ascii="Wingdings" w:hAnsi="Wingdings" w:cs="宋体"/>
          <w:b/>
          <w:color w:val="auto"/>
          <w:szCs w:val="21"/>
        </w:rPr>
        <w:t xml:space="preserve"></w:t>
      </w:r>
      <w:r>
        <w:rPr>
          <w:rFonts w:hint="eastAsia" w:ascii="宋体" w:hAnsi="宋体" w:cs="宋体"/>
          <w:b/>
          <w:color w:val="auto"/>
          <w:szCs w:val="21"/>
        </w:rPr>
        <w:t xml:space="preserve">恢复测试演练内容</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需要进行以下备份恢复及测试演练的内容包含以下：</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1）数据库系统的备份恢复测试；</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2）虚拟机恢复测试：生产中心所有虚拟化环境中的虚拟机；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3）双机集群切换测试；</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4）存储单点故障切换测试；</w:t>
      </w:r>
      <w:r/>
    </w:p>
    <w:p>
      <w:pPr>
        <w:pStyle w:val="924"/>
        <w:ind w:left="420"/>
        <w:spacing w:line="360" w:lineRule="auto"/>
        <w:rPr>
          <w:rFonts w:ascii="Wingdings" w:hAnsi="Wingdings" w:cs="宋体"/>
          <w:b/>
          <w:color w:val="auto"/>
          <w:szCs w:val="21"/>
        </w:rPr>
      </w:pPr>
      <w:r>
        <w:rPr>
          <w:rFonts w:ascii="Wingdings" w:hAnsi="Wingdings" w:cs="宋体"/>
          <w:b/>
          <w:color w:val="auto"/>
          <w:szCs w:val="21"/>
        </w:rPr>
        <w:t xml:space="preserve">恢复测试时间安排</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供应商提供备份恢复测试时间计划表，时间不超过8小时；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自维护期开始半年内，供应商应完成所有要求的备份恢复和测试演练任务，并提交完整的恢复测试手册、各个系统恢复过程、各个系统恢复时间等。如供应商在自维护期开始半年内不能完成备份恢复测试的全部内容并通过采购人测试的，采购人可以取消维保合同，并要求乙方退还所有维保款项。</w:t>
      </w:r>
      <w:r/>
    </w:p>
    <w:p>
      <w:pPr>
        <w:pStyle w:val="924"/>
        <w:ind w:left="420"/>
        <w:spacing w:line="360" w:lineRule="auto"/>
        <w:rPr>
          <w:rFonts w:ascii="Wingdings" w:hAnsi="Wingdings" w:cs="宋体"/>
          <w:b/>
          <w:color w:val="auto"/>
          <w:szCs w:val="21"/>
        </w:rPr>
      </w:pPr>
      <w:r>
        <w:rPr>
          <w:rFonts w:ascii="Wingdings" w:hAnsi="Wingdings" w:cs="宋体"/>
          <w:b/>
          <w:color w:val="auto"/>
          <w:szCs w:val="21"/>
        </w:rPr>
        <w:t xml:space="preserve">恢复测试演练要求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1）供应商根据整个备份恢复测试计划，合理安排恢复测试内容。恢复测试不得造成业务中断、数据丢失、不得超过预定时间。</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考虑到恢复测试与计划内巡检时间存在时间的冲突性，因此供应商应分别成立恢复测试项目组与日常巡检维护项目组人员，且同一人员不得同时担任两个项目组任务。供应商参与磋商时需提交恢复测试项目组与日常巡检维护项目组人员名单。</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3）提交完整的备份恢复测试计划、恢复测试流程、恢复测试组织、恢复测试文档，恢复测试总结报告。</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（5）原厂技术支持</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本项目涉及的设备为信息系统核心关键设备,为确保服务质量和产品配件的响应及时性,核心设备及系统软件需要提供原厂维保服务。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需要提供原厂技术支持服务的系统软件有：Oracle数据库。确保采购人得到原厂在线7*24小时实时服务。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对于其它所有保修设备在出现供应商工程师现场支持1天无法解决时，应安排购买原厂商的现场技术支持服务，所需一切费用由供应商自行承担。</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（6）系统软件维护服务</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1）软件安装服务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若采购人安装软件维护版本时遇到困难，供应商应提供电话咨询服务，如在电话咨询未能解决问题时，供应商应提供现场支持服务。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供应商应提供原设备厂商技术改进的微码版本以提高设备的稳定性，此项服务需免费提供给采购人。</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2）软件版本补丁/升级服务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供应商将对软件已知错误及故障不定时发布标准维护版本并将其免费提供给采购人。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软件补丁服务主要包括预防性和修复性补丁服务。供应商应定期向采购人公布最新的补丁版本，并提供以下信息：补丁说明书（包括补丁功能描述和目的）；补丁的测试结果；补丁加载的计划、步骤，采购人需做的准备工作，可能对系统造成的影响。</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供应商负责向采购人提供软件补丁或升级版本，并完成软件补丁安装或版本升级操作，采购人人员配合。软件补丁或升级完成后，供应商技术人员配合采购人观察系统运行一至两天，并提供升级报告。</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供应商应提供软件补丁或升级版本的安装、维护操作指导，并对采购人维护人员进行培训。</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软件版本补丁服务包括对采购人现有的备品备件的版本升级服务。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3）对服务器平台上系统软件的维护</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A、供应商应对软件产品的基本的日常维护和管理。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B、供应商对所报告的问题进行问题根源的分析和诊断。</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C、对于软件本身的问题，供应商应根据需要向采购人免费提供相关的修正性软件。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D、供应商在应用软件安装完毕后应进行基本系统测试。</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（7）应用软件维护</w:t>
      </w:r>
      <w:r/>
    </w:p>
    <w:p>
      <w:pPr>
        <w:spacing w:line="360" w:lineRule="auto"/>
        <w:rPr>
          <w:rFonts w:ascii="宋体" w:hAnsi="宋体" w:cs="宋体"/>
          <w:bCs/>
          <w:color w:val="auto"/>
          <w:szCs w:val="21"/>
        </w:rPr>
      </w:pPr>
      <w:r>
        <w:rPr>
          <w:rFonts w:hint="eastAsia"/>
          <w:color w:val="auto"/>
          <w:szCs w:val="21"/>
        </w:rPr>
        <w:t xml:space="preserve"> </w:t>
      </w:r>
      <w:r>
        <w:rPr>
          <w:color w:val="auto"/>
          <w:szCs w:val="21"/>
        </w:rPr>
        <w:t xml:space="preserve"> </w:t>
      </w:r>
      <w:r>
        <w:rPr>
          <w:rFonts w:hint="eastAsia"/>
          <w:color w:val="auto"/>
          <w:szCs w:val="21"/>
        </w:rPr>
        <w:t xml:space="preserve">  </w:t>
      </w:r>
      <w:r>
        <w:rPr>
          <w:rFonts w:hint="eastAsia" w:ascii="宋体" w:hAnsi="宋体" w:cs="宋体"/>
          <w:bCs/>
          <w:color w:val="auto"/>
          <w:szCs w:val="21"/>
        </w:rPr>
        <w:t xml:space="preserve">供应商需对扬州市智慧人社微信小程序中个人基本信息查询、个人参保信息查询、企业职工养老保险账户信息查询等现有功能的维护，保障平台的正常运行。</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（8）瘦西湖路机房基础环境维护服务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1）维保服务频次为：每季度安排专业人员（需要具有相应上岗资质</w:t>
      </w:r>
      <w:r>
        <w:rPr>
          <w:rFonts w:ascii="宋体" w:hAnsi="宋体" w:cs="宋体"/>
          <w:bCs/>
          <w:color w:val="auto"/>
          <w:szCs w:val="21"/>
        </w:rPr>
        <w:t xml:space="preserve">）</w:t>
      </w:r>
      <w:r>
        <w:rPr>
          <w:rFonts w:hint="eastAsia" w:ascii="宋体" w:hAnsi="宋体" w:cs="宋体"/>
          <w:bCs/>
          <w:color w:val="auto"/>
          <w:szCs w:val="21"/>
        </w:rPr>
        <w:t xml:space="preserve">上门对瘦西湖路53号机房消防设施进行检测维护。每年进行一次消防演练。</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2）提供专业消防维护（相关维护人员需要具有相应上岗资质），保养内容如下：</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①机械部分维护保养；</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钢瓶返厂(需要有特种设备(气瓶)检验检测机构核准证)检测一次，每月巡检时核准无管网七氟丙烷灭火装置是否在规定的压力范围之内；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高压软管检查；</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钢瓶电控投检查，动作复位；</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气体喷头检查；</w:t>
      </w:r>
      <w:r/>
    </w:p>
    <w:p>
      <w:pPr>
        <w:ind w:firstLine="525"/>
        <w:spacing w:line="360" w:lineRule="auto"/>
        <w:rPr>
          <w:rFonts w:ascii="宋体" w:hAnsi="宋体" w:cs="宋体"/>
          <w:bCs/>
          <w:color w:val="auto"/>
          <w:szCs w:val="21"/>
        </w:rPr>
      </w:pPr>
      <w:r>
        <w:rPr>
          <w:rFonts w:hint="eastAsia" w:ascii="宋体" w:hAnsi="宋体" w:cs="宋体"/>
          <w:bCs/>
          <w:color w:val="auto"/>
          <w:szCs w:val="21"/>
        </w:rPr>
        <w:t xml:space="preserve">② 电气控制部分维护保养；</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各报警回总线电压测定；</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火灾控制器拆卸，管线路检测；</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手动启动按钮性能检测；</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输入输出模块性能检测；</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灭火控制器检查；</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备电充电功能检测；</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讯响器功能检测。</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3）安防系统</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保证瘦西湖路机房九个监控探头及硬盘录相机、流媒体服务器正常使用，定期清洁探头和服务器内、外灰尘。</w:t>
      </w:r>
      <w:r/>
    </w:p>
    <w:p>
      <w:pPr>
        <w:ind w:firstLine="211"/>
        <w:spacing w:line="360" w:lineRule="auto"/>
        <w:rPr>
          <w:rFonts w:ascii="宋体" w:hAnsi="宋体" w:cs="宋体"/>
          <w:b/>
          <w:bCs/>
          <w:color w:val="auto"/>
          <w:szCs w:val="21"/>
        </w:rPr>
      </w:pPr>
      <w:r>
        <w:rPr>
          <w:rFonts w:hint="eastAsia" w:ascii="宋体" w:hAnsi="宋体" w:cs="宋体"/>
          <w:b/>
          <w:bCs/>
          <w:color w:val="auto"/>
          <w:szCs w:val="21"/>
        </w:rPr>
        <w:t xml:space="preserve">6、服务违约责任</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供应商必须承诺维保服务的违约责任：如果由于供应商未能履行服务承诺，造成采购人整个系统崩溃并形成实际经济损失，或者由于供应商技术人员责任造成买方设备损坏或其它责任事故，并由于上述原因造成采购人实际损失时，供应商必须承担相应赔偿。</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事故所造成损失的具体金额评估，由经双方认可的第三方权威机构执行；并且为评估所产生的其它费用，同样由事故责任方承担。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（1）违约通报</w:t>
      </w:r>
      <w:r/>
    </w:p>
    <w:p>
      <w:pPr>
        <w:ind w:firstLine="735"/>
        <w:spacing w:line="360" w:lineRule="auto"/>
        <w:rPr>
          <w:rFonts w:ascii="宋体" w:hAnsi="宋体" w:cs="宋体"/>
          <w:bCs/>
          <w:color w:val="auto"/>
          <w:szCs w:val="21"/>
        </w:rPr>
      </w:pPr>
      <w:r>
        <w:rPr>
          <w:rFonts w:hint="eastAsia" w:ascii="宋体" w:hAnsi="宋体" w:cs="宋体"/>
          <w:bCs/>
          <w:color w:val="auto"/>
          <w:szCs w:val="21"/>
        </w:rPr>
        <w:t xml:space="preserve">1）服务响应时间：未在规定时间内响应的、或未在规定时间内修复故障的、或未能按照要求提供备品备件备机的，处以通报一次；</w:t>
      </w:r>
      <w:r/>
    </w:p>
    <w:p>
      <w:pPr>
        <w:ind w:firstLine="735"/>
        <w:spacing w:line="360" w:lineRule="auto"/>
        <w:rPr>
          <w:rFonts w:ascii="宋体" w:hAnsi="宋体" w:cs="宋体"/>
          <w:bCs/>
          <w:color w:val="auto"/>
          <w:szCs w:val="21"/>
        </w:rPr>
      </w:pPr>
      <w:r>
        <w:rPr>
          <w:rFonts w:hint="eastAsia" w:ascii="宋体" w:hAnsi="宋体" w:cs="宋体"/>
          <w:bCs/>
          <w:color w:val="auto"/>
          <w:szCs w:val="21"/>
        </w:rPr>
        <w:t xml:space="preserve">2）未按合同要求按时完成每月巡检养护工作的，或提供的服务能力和水平不能满足采购人日常运行要求的，处以通报一次；</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3）未在规定时间内提交巡检记录、抢修记录、运维总结的，处以通报一次。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（2）整改通知</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产生以下情况的采购人将对成交人处以整改通知书：</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1）成交人一个季度内被通报2次（含）以上的；</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2）业务系统发生I级（含）以上故障的；</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3）一个月内同一系统发生II级（含）以上故障2次（含）以上的或一个季度内同一系统发生II级（含）以上故障3次（含）以上的；</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4）采购人有权根据管理需求提出的与金保工程相关的其他服务质量保证条款，并提前一个月告知维保单位，作为补充条款。成交人不接受采购人提出的补充条款的；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（3）具体违约责任：</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成交人发生以下情况，采购人有权中止合同，另选供应商继续当年的运维工作，期间产生的费用由原供应商自行承担，采购人不再支付任何合同款项：</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1）维护期内发生数据（或部分数据）丢失的（无论是否为成交人原因造成）；</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2）核心业务系统中断超过4小时的、或非核心业务系统中断超过</w:t>
      </w:r>
      <w:r>
        <w:rPr>
          <w:rFonts w:ascii="宋体" w:hAnsi="宋体" w:cs="宋体"/>
          <w:bCs/>
          <w:color w:val="auto"/>
          <w:szCs w:val="21"/>
        </w:rPr>
        <w:t xml:space="preserve">12</w:t>
      </w:r>
      <w:r>
        <w:rPr>
          <w:rFonts w:hint="eastAsia" w:ascii="宋体" w:hAnsi="宋体" w:cs="宋体"/>
          <w:bCs/>
          <w:color w:val="auto"/>
          <w:szCs w:val="21"/>
        </w:rPr>
        <w:t xml:space="preserve">小时的；</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3）供应商收到整改通知书后应于一周内向采购人提交整改报告，逾期不提交整改报告的，或未能按时整改的，或整改未能满足采购人要求的；</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4）维护期内一年之间（连续十二个月内）被二次处以整改通知书的；</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5）自维护期开始半年内不能完成备份恢复及测试演练全部内容并通过采购人测试的；</w:t>
      </w:r>
      <w:r/>
    </w:p>
    <w:p>
      <w:pPr>
        <w:ind w:firstLine="211"/>
        <w:spacing w:line="360" w:lineRule="auto"/>
        <w:rPr>
          <w:rFonts w:ascii="宋体" w:hAnsi="宋体" w:cs="宋体"/>
          <w:b/>
          <w:bCs/>
          <w:color w:val="auto"/>
          <w:szCs w:val="21"/>
        </w:rPr>
      </w:pPr>
      <w:r>
        <w:rPr>
          <w:rFonts w:hint="eastAsia" w:ascii="宋体" w:hAnsi="宋体" w:cs="宋体"/>
          <w:b/>
          <w:bCs/>
          <w:color w:val="auto"/>
          <w:szCs w:val="21"/>
        </w:rPr>
        <w:t xml:space="preserve">7、绩效评估方案</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绩效考核遵循 “量化指标、客观公正、权责对等、持续改进” 原则，根据采购人有关规定，投标人需在响应文件中编制绩效评估方案。明确绩效指标的权重、评价标准、评价方法和评价流程，在实施过程中开展项目自评。</w:t>
      </w:r>
      <w:r/>
    </w:p>
    <w:p>
      <w:pPr>
        <w:spacing w:line="360" w:lineRule="auto"/>
        <w:rPr>
          <w:rFonts w:ascii="宋体" w:hAnsi="宋体" w:cs="宋体"/>
          <w:b/>
          <w:bCs/>
          <w:color w:val="auto"/>
          <w:szCs w:val="21"/>
        </w:rPr>
      </w:pPr>
      <w:r>
        <w:rPr>
          <w:rFonts w:hint="eastAsia" w:ascii="宋体" w:hAnsi="宋体" w:cs="宋体"/>
          <w:b/>
          <w:bCs/>
          <w:color w:val="auto"/>
          <w:szCs w:val="21"/>
        </w:rPr>
        <w:t xml:space="preserve">三、其他要求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1、本次招标全部内容为“交钥匙”工程，整个项目所必须的各项检测费用、恢复演练费及伴随服务费用等均包含在报价内，请各供应商认真考虑其各种风险。除合同另有规定之外，采购人不再另行支付。</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2、供应商应了解采购人信息系统现状，承诺确保负责采购人社保系统的运行安全。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供应商应提前了解采购人社保系统部署情况和真实的业务需求，成交后应在必须满足采购人业务要求和技术要求的情况下予以提供服务；供应商应充分考虑可能影响报价的各种因素，任何因忽视采购人真实需求情况而导致的索赔申请将不被批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供应商应具有完善的服务支撑保障体系，能提供及时高效的运行、安全服务保障和技术要求。免费对采购人技术人员进行运行、安全等方面的培训；在规定的响应时间内提供运行、安全等技术服务，并且提供免费的技术咨询服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5、供应商在备份恢复和测试演练时，应自行提供测试设备，采购人不再提供测试设备，费用由供应商自行承担。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供应商在响应文件里应提供完善的维保方案，并提供安全承诺书。承诺在服务期内确保系统稳定、安全运行，不得造成任何数据泄露、病毒感染等恶性事件。如因系统配置不当或维护原因造成安全事故的，采购人有选权追究其责任并要求赔偿。</w:t>
      </w:r>
      <w:r/>
    </w:p>
    <w:p>
      <w:pPr>
        <w:rPr>
          <w:color w:val="auto"/>
        </w:rPr>
      </w:pPr>
      <w:r>
        <w:rPr>
          <w:color w:val="auto"/>
        </w:rPr>
      </w:r>
      <w:r/>
    </w:p>
    <w:p>
      <w:pPr>
        <w:pStyle w:val="892"/>
        <w:ind w:firstLine="420"/>
        <w:jc w:val="both"/>
        <w:spacing w:before="0" w:beforeAutospacing="0" w:after="0" w:afterAutospacing="0" w:line="360" w:lineRule="auto"/>
        <w:shd w:val="clear" w:color="auto" w:fill="ffffff"/>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p>
      <w:pPr>
        <w:pStyle w:val="892"/>
        <w:ind w:firstLine="420"/>
        <w:jc w:val="both"/>
        <w:spacing w:before="0" w:beforeAutospacing="0" w:after="0" w:afterAutospacing="0" w:line="360" w:lineRule="auto"/>
        <w:shd w:val="clear" w:color="auto" w:fill="ffffff"/>
        <w:rPr>
          <w:rFonts w:hint="default" w:ascii="Times New Roman" w:hAnsi="Times New Roman" w:cs="Times New Roman"/>
          <w:color w:val="auto"/>
          <w:sz w:val="21"/>
          <w:szCs w:val="21"/>
          <w:highlight w:val="none"/>
          <w:lang w:val="en-US" w:eastAsia="zh-CN"/>
        </w:rPr>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color w:val="auto"/>
          <w:sz w:val="21"/>
          <w:szCs w:val="21"/>
          <w:highlight w:val="none"/>
          <w:lang w:val="en-US" w:eastAsia="zh-CN"/>
        </w:rPr>
      </w:r>
      <w:r/>
    </w:p>
    <w:p>
      <w:pPr>
        <w:pStyle w:val="892"/>
        <w:ind w:firstLine="420"/>
        <w:jc w:val="both"/>
        <w:spacing w:before="0" w:beforeAutospacing="0" w:after="0" w:afterAutospacing="0" w:line="360" w:lineRule="auto"/>
        <w:shd w:val="clear" w:color="auto" w:fill="ffffff"/>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p>
      <w:pPr>
        <w:numPr>
          <w:ilvl w:val="0"/>
          <w:numId w:val="8"/>
        </w:numPr>
        <w:ind w:firstLine="723"/>
        <w:jc w:val="center"/>
        <w:spacing w:line="360" w:lineRule="auto"/>
        <w:widowControl/>
        <w:rPr>
          <w:rFonts w:hint="default" w:ascii="Times New Roman" w:hAnsi="Times New Roman" w:cs="Times New Roman"/>
          <w:b/>
          <w:bCs/>
          <w:color w:val="auto"/>
          <w:sz w:val="36"/>
          <w:highlight w:val="none"/>
        </w:rPr>
        <w:outlineLvl w:val="0"/>
      </w:pPr>
      <w:r/>
      <w:bookmarkStart w:id="35" w:name="_Toc21855"/>
      <w:r/>
      <w:bookmarkStart w:id="36" w:name="_Toc497145843"/>
      <w:r/>
      <w:bookmarkStart w:id="37" w:name="_Toc5502"/>
      <w:r>
        <w:rPr>
          <w:rFonts w:hint="default" w:ascii="Times New Roman" w:hAnsi="Times New Roman" w:cs="Times New Roman"/>
          <w:b/>
          <w:bCs/>
          <w:color w:val="auto"/>
          <w:sz w:val="36"/>
          <w:highlight w:val="none"/>
        </w:rPr>
        <w:t xml:space="preserve">评审方法和评审标准</w:t>
      </w:r>
      <w:bookmarkEnd w:id="35"/>
      <w:r/>
      <w:bookmarkEnd w:id="36"/>
      <w:r/>
      <w:bookmarkEnd w:id="37"/>
      <w:r/>
      <w:r/>
    </w:p>
    <w:p>
      <w:pPr>
        <w:ind w:firstLine="422"/>
        <w:keepLines w:val="0"/>
        <w:keepNext w:val="0"/>
        <w:pageBreakBefore w:val="0"/>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一、评标方法</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本项目采用综合评分法，评委会将对确定为实质性响应磋商文件要求的投标文件进行评价和比较。评标结果按评审后得分由高到低顺序排列。得分相同的，按投标报价由低到高顺序排列。得分且投标报价相同的并列，投标文件满足磋商文件全部实质性要求，且按照评审因素的量化指标评审得分最高的供应商为排名第一的成交候选人。</w:t>
      </w:r>
      <w:r/>
    </w:p>
    <w:p>
      <w:pPr>
        <w:ind w:firstLine="422"/>
        <w:keepLines w:val="0"/>
        <w:keepNext w:val="0"/>
        <w:pageBreakBefore w:val="0"/>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二、小型和微型企业产品价格扣除及政府采购不诚信记录扣分评审</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1、小微型企业价格扣除</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（1）对小型和微型企业提供的服务给予20%的扣除价格，用扣除后的价格参与评审。</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（2）供应商需按照采购文件的要求提供相应的《小微企业声明函》。</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（3）企业标准请参照《关于印发中小企业划型标准规定的通知》（工信部联企业[2011]300号）文件规定自行填写。</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2、残疾人福利单位价格扣除</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（1）对残疾人福利性单位视同小型、微型企业，给予20%的价格扣除，用扣除后的价格参与评审。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（2）残疾人福利单位需按照采购文件的要求提供《残疾人福利性单位声明函》。</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（3）残疾人福利单位标准请参照《关于促进残疾人就业政府采购政策的通知》（财库〔2017〕141号）。</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3、监狱和戒毒企业价格扣除</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（1）对监狱和戒毒企业（简称监狱企业）视同小型、微型企业，给予20%的价格扣除，用扣除后的价格参与评审。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（3）监狱企业标准请参照《关于政府采购支持监狱企业发展有关问题的通知》（财库[2014]68号）。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4、残疾人福利单位、监狱企业属于小型、微型企业的，不重复享受政策。</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6、联合体各方均为小型、微型企业（残疾人福利单位、监狱企业）的，联合体享受20%价格扣除，用扣除后的价格参与评审。</w:t>
      </w:r>
      <w:r/>
    </w:p>
    <w:p>
      <w:pPr>
        <w:ind w:firstLine="422"/>
        <w:keepLines w:val="0"/>
        <w:keepNext w:val="0"/>
        <w:pageBreakBefore w:val="0"/>
        <w:spacing w:line="360" w:lineRule="auto"/>
        <w:widowControl w:val="off"/>
        <w:rPr>
          <w:b/>
          <w:color w:val="auto"/>
        </w:rPr>
      </w:pPr>
      <w:r>
        <w:rPr>
          <w:rFonts w:hint="eastAsia" w:ascii="宋体" w:hAnsi="宋体" w:cs="宋体"/>
          <w:b/>
          <w:bCs/>
          <w:color w:val="auto"/>
          <w:lang w:val="en-US" w:eastAsia="zh-CN"/>
        </w:rPr>
        <w:t xml:space="preserve">三</w:t>
      </w:r>
      <w:r>
        <w:rPr>
          <w:rFonts w:hint="eastAsia" w:ascii="宋体" w:hAnsi="宋体" w:eastAsia="宋体" w:cs="宋体"/>
          <w:b/>
          <w:bCs/>
          <w:color w:val="auto"/>
        </w:rPr>
        <w:t xml:space="preserve">、评分标准</w:t>
      </w:r>
      <w:r/>
    </w:p>
    <w:tbl>
      <w:tblPr>
        <w:tblStyle w:val="86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5"/>
        <w:gridCol w:w="6994"/>
      </w:tblGrid>
      <w:tr>
        <w:trPr>
          <w:jc w:val="center"/>
        </w:trPr>
        <w:tc>
          <w:tcPr>
            <w:tcW w:w="895" w:type="pct"/>
            <w:vAlign w:val="center"/>
            <w:textDirection w:val="lrTb"/>
            <w:noWrap w:val="false"/>
          </w:tcPr>
          <w:p>
            <w:pPr>
              <w:jc w:val="center"/>
              <w:spacing w:line="360" w:lineRule="auto"/>
              <w:rPr>
                <w:rFonts w:ascii="宋体" w:hAnsi="宋体" w:cs="宋体"/>
                <w:b/>
                <w:color w:val="auto"/>
                <w:sz w:val="24"/>
                <w:szCs w:val="24"/>
              </w:rPr>
            </w:pPr>
            <w:r>
              <w:rPr>
                <w:rFonts w:hint="eastAsia" w:ascii="宋体" w:hAnsi="宋体" w:cs="宋体"/>
                <w:b/>
                <w:color w:val="auto"/>
                <w:sz w:val="24"/>
                <w:szCs w:val="24"/>
              </w:rPr>
              <w:t xml:space="preserve">项目</w:t>
            </w:r>
            <w:r/>
          </w:p>
        </w:tc>
        <w:tc>
          <w:tcPr>
            <w:tcW w:w="4105" w:type="pct"/>
            <w:vAlign w:val="center"/>
            <w:textDirection w:val="lrTb"/>
            <w:noWrap w:val="false"/>
          </w:tcPr>
          <w:p>
            <w:pPr>
              <w:jc w:val="center"/>
              <w:spacing w:line="360" w:lineRule="auto"/>
              <w:rPr>
                <w:rFonts w:ascii="宋体" w:hAnsi="宋体" w:cs="宋体"/>
                <w:b/>
                <w:color w:val="auto"/>
                <w:sz w:val="24"/>
                <w:szCs w:val="24"/>
              </w:rPr>
            </w:pPr>
            <w:r>
              <w:rPr>
                <w:rFonts w:hint="eastAsia" w:ascii="宋体" w:hAnsi="宋体" w:cs="宋体"/>
                <w:b/>
                <w:color w:val="auto"/>
                <w:sz w:val="24"/>
                <w:szCs w:val="24"/>
              </w:rPr>
              <w:t xml:space="preserve">评分标准</w:t>
            </w:r>
            <w:r/>
          </w:p>
        </w:tc>
      </w:tr>
      <w:tr>
        <w:trPr>
          <w:jc w:val="center"/>
        </w:trPr>
        <w:tc>
          <w:tcPr>
            <w:tcW w:w="895"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报价</w:t>
            </w:r>
            <w:r/>
          </w:p>
          <w:p>
            <w:pPr>
              <w:jc w:val="center"/>
              <w:spacing w:line="360" w:lineRule="auto"/>
              <w:rPr>
                <w:rFonts w:ascii="宋体" w:hAnsi="宋体" w:cs="宋体"/>
                <w:color w:val="auto"/>
              </w:rPr>
            </w:pPr>
            <w:r>
              <w:rPr>
                <w:rFonts w:hint="eastAsia" w:ascii="宋体" w:hAnsi="宋体" w:cs="宋体"/>
                <w:color w:val="auto"/>
              </w:rPr>
              <w:t xml:space="preserve">（10分）</w:t>
            </w:r>
            <w:r/>
          </w:p>
        </w:tc>
        <w:tc>
          <w:tcPr>
            <w:tcW w:w="410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以满足招标文件要求的最低报投标价为评标基准价，得满分1</w:t>
            </w:r>
            <w:r>
              <w:rPr>
                <w:rFonts w:hint="eastAsia" w:ascii="宋体" w:hAnsi="宋体" w:cs="宋体"/>
                <w:color w:val="auto"/>
                <w:lang w:val="en-US" w:eastAsia="zh-CN"/>
              </w:rPr>
              <w:t xml:space="preserve">0</w:t>
            </w:r>
            <w:bookmarkStart w:id="56" w:name="_GoBack"/>
            <w:r/>
            <w:bookmarkEnd w:id="56"/>
            <w:r>
              <w:rPr>
                <w:rFonts w:hint="eastAsia" w:ascii="宋体" w:hAnsi="宋体" w:cs="宋体"/>
                <w:color w:val="auto"/>
              </w:rPr>
              <w:t xml:space="preserve">分，其他投标报价得分=（评标基准价/其他投标报价）×10×100%。</w:t>
            </w:r>
            <w:r/>
          </w:p>
        </w:tc>
      </w:tr>
      <w:tr>
        <w:trPr>
          <w:jc w:val="center"/>
          <w:trHeight w:val="2177"/>
        </w:trPr>
        <w:tc>
          <w:tcPr>
            <w:tcW w:w="895"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运维服务总体方案</w:t>
            </w:r>
            <w:r/>
          </w:p>
          <w:p>
            <w:pPr>
              <w:jc w:val="center"/>
              <w:spacing w:line="360" w:lineRule="auto"/>
              <w:rPr>
                <w:color w:val="auto"/>
              </w:rPr>
            </w:pPr>
            <w:r>
              <w:rPr>
                <w:rFonts w:hint="eastAsia" w:ascii="宋体" w:hAnsi="宋体" w:cs="宋体"/>
                <w:color w:val="auto"/>
              </w:rPr>
              <w:t xml:space="preserve">（12分）</w:t>
            </w:r>
            <w:r/>
          </w:p>
        </w:tc>
        <w:tc>
          <w:tcPr>
            <w:tcW w:w="410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运维服务方案:供应商提供的运维服务方案，有技术服务措施说明，完整的服务体系、服务计划，对方案的完整性、可靠性、先进性等进行评分：</w:t>
            </w:r>
            <w:r/>
          </w:p>
          <w:p>
            <w:pPr>
              <w:spacing w:line="360" w:lineRule="auto"/>
              <w:rPr>
                <w:rFonts w:ascii="宋体" w:hAnsi="宋体" w:cs="宋体"/>
                <w:color w:val="auto"/>
              </w:rPr>
            </w:pPr>
            <w:r>
              <w:rPr>
                <w:rFonts w:hint="eastAsia" w:ascii="宋体" w:hAnsi="宋体" w:cs="宋体"/>
                <w:color w:val="auto"/>
              </w:rPr>
              <w:t xml:space="preserve">（1）方案细致全面、合理、可行性强，完全响应需求得12分；</w:t>
            </w:r>
            <w:r/>
          </w:p>
          <w:p>
            <w:pPr>
              <w:spacing w:line="360" w:lineRule="auto"/>
              <w:rPr>
                <w:rFonts w:ascii="宋体" w:hAnsi="宋体" w:cs="宋体"/>
                <w:color w:val="auto"/>
              </w:rPr>
            </w:pPr>
            <w:r>
              <w:rPr>
                <w:rFonts w:hint="eastAsia" w:ascii="宋体" w:hAnsi="宋体" w:cs="宋体"/>
                <w:color w:val="auto"/>
              </w:rPr>
              <w:t xml:space="preserve">（2）方案较为完整，内容、针对性、合理性一般得8分；</w:t>
            </w:r>
            <w:r/>
          </w:p>
          <w:p>
            <w:pPr>
              <w:spacing w:line="360" w:lineRule="auto"/>
              <w:rPr>
                <w:rFonts w:ascii="宋体" w:hAnsi="宋体" w:cs="宋体"/>
                <w:color w:val="auto"/>
              </w:rPr>
            </w:pPr>
            <w:r>
              <w:rPr>
                <w:rFonts w:hint="eastAsia" w:ascii="宋体" w:hAnsi="宋体" w:cs="宋体"/>
                <w:color w:val="auto"/>
              </w:rPr>
              <w:t xml:space="preserve">（3）方案基本响应需求，内容不够详细全面、针对性及合理性较差得4分；</w:t>
            </w:r>
            <w:r/>
          </w:p>
          <w:p>
            <w:pPr>
              <w:spacing w:line="360" w:lineRule="auto"/>
              <w:rPr>
                <w:rFonts w:ascii="宋体" w:hAnsi="宋体" w:cs="宋体"/>
                <w:color w:val="auto"/>
              </w:rPr>
            </w:pPr>
            <w:r>
              <w:rPr>
                <w:rFonts w:hint="eastAsia" w:ascii="宋体" w:hAnsi="宋体" w:cs="宋体"/>
                <w:color w:val="auto"/>
              </w:rPr>
              <w:t xml:space="preserve">（4）方案可行性较低，响应度低得1分；</w:t>
            </w:r>
            <w:r/>
          </w:p>
          <w:p>
            <w:pPr>
              <w:spacing w:line="360" w:lineRule="auto"/>
              <w:rPr>
                <w:rFonts w:ascii="宋体" w:hAnsi="宋体" w:cs="宋体"/>
                <w:color w:val="auto"/>
              </w:rPr>
            </w:pPr>
            <w:r>
              <w:rPr>
                <w:rFonts w:hint="eastAsia" w:ascii="宋体" w:hAnsi="宋体" w:cs="宋体"/>
                <w:color w:val="auto"/>
              </w:rPr>
              <w:t xml:space="preserve">（5）方案太简单不完整或未提供不得分。</w:t>
            </w:r>
            <w:r/>
          </w:p>
        </w:tc>
      </w:tr>
      <w:tr>
        <w:trPr>
          <w:jc w:val="center"/>
          <w:trHeight w:val="2177"/>
        </w:trPr>
        <w:tc>
          <w:tcPr>
            <w:tcW w:w="895"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巡检方案</w:t>
            </w:r>
            <w:r/>
          </w:p>
          <w:p>
            <w:pPr>
              <w:jc w:val="center"/>
              <w:spacing w:line="360" w:lineRule="auto"/>
              <w:rPr>
                <w:color w:val="auto"/>
              </w:rPr>
            </w:pPr>
            <w:r>
              <w:rPr>
                <w:rFonts w:hint="eastAsia" w:ascii="宋体" w:hAnsi="宋体" w:cs="宋体"/>
                <w:color w:val="auto"/>
              </w:rPr>
              <w:t xml:space="preserve">（12分）</w:t>
            </w:r>
            <w:r/>
          </w:p>
        </w:tc>
        <w:tc>
          <w:tcPr>
            <w:tcW w:w="410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供应商提供的巡检方案覆盖度高、针对性强，对故障排查流程、预备解决措施和响应方案进行评分；</w:t>
            </w:r>
            <w:r/>
          </w:p>
          <w:p>
            <w:pPr>
              <w:spacing w:line="360" w:lineRule="auto"/>
              <w:rPr>
                <w:rFonts w:ascii="宋体" w:hAnsi="宋体" w:cs="宋体"/>
                <w:color w:val="auto"/>
              </w:rPr>
            </w:pPr>
            <w:r>
              <w:rPr>
                <w:rFonts w:hint="eastAsia" w:ascii="宋体" w:hAnsi="宋体" w:cs="宋体"/>
                <w:color w:val="auto"/>
              </w:rPr>
              <w:t xml:space="preserve">（1）方案规划科学、严谨合理，精准到位且针对性强的得12分；</w:t>
            </w:r>
            <w:r/>
          </w:p>
          <w:p>
            <w:pPr>
              <w:spacing w:line="360" w:lineRule="auto"/>
              <w:rPr>
                <w:rFonts w:ascii="宋体" w:hAnsi="宋体" w:cs="宋体"/>
                <w:color w:val="auto"/>
              </w:rPr>
            </w:pPr>
            <w:r>
              <w:rPr>
                <w:rFonts w:hint="eastAsia" w:ascii="宋体" w:hAnsi="宋体" w:cs="宋体"/>
                <w:color w:val="auto"/>
              </w:rPr>
              <w:t xml:space="preserve">（2）方案规划恰当、实用可行、描述详细且有一定针对性的得8分；</w:t>
            </w:r>
            <w:r/>
          </w:p>
          <w:p>
            <w:pPr>
              <w:spacing w:line="360" w:lineRule="auto"/>
              <w:rPr>
                <w:rFonts w:ascii="宋体" w:hAnsi="宋体" w:cs="宋体"/>
                <w:color w:val="auto"/>
              </w:rPr>
            </w:pPr>
            <w:r>
              <w:rPr>
                <w:rFonts w:hint="eastAsia" w:ascii="宋体" w:hAnsi="宋体" w:cs="宋体"/>
                <w:color w:val="auto"/>
              </w:rPr>
              <w:t xml:space="preserve">（3）方案规划合理、基本可行、可操作性基本可行的得4分；</w:t>
            </w:r>
            <w:r/>
          </w:p>
          <w:p>
            <w:pPr>
              <w:spacing w:line="360" w:lineRule="auto"/>
              <w:rPr>
                <w:rFonts w:ascii="宋体" w:hAnsi="宋体" w:cs="宋体"/>
                <w:color w:val="auto"/>
              </w:rPr>
            </w:pPr>
            <w:r>
              <w:rPr>
                <w:rFonts w:hint="eastAsia" w:ascii="宋体" w:hAnsi="宋体" w:cs="宋体"/>
                <w:color w:val="auto"/>
              </w:rPr>
              <w:t xml:space="preserve">（4）方案规划可行、不够详细、可操作性稍有欠缺的得1分；</w:t>
            </w:r>
            <w:r/>
          </w:p>
          <w:p>
            <w:pPr>
              <w:spacing w:line="360" w:lineRule="auto"/>
              <w:rPr>
                <w:rFonts w:ascii="宋体" w:hAnsi="宋体" w:cs="宋体"/>
                <w:color w:val="auto"/>
              </w:rPr>
            </w:pPr>
            <w:r>
              <w:rPr>
                <w:rFonts w:hint="eastAsia" w:ascii="宋体" w:hAnsi="宋体" w:cs="宋体"/>
                <w:color w:val="auto"/>
              </w:rPr>
              <w:t xml:space="preserve">（5）方案太简单不完整或未提供不得分。</w:t>
            </w:r>
            <w:r/>
          </w:p>
        </w:tc>
      </w:tr>
      <w:tr>
        <w:trPr>
          <w:jc w:val="center"/>
          <w:trHeight w:val="2177"/>
        </w:trPr>
        <w:tc>
          <w:tcPr>
            <w:tcW w:w="895"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系统备份恢复、优化升级方案</w:t>
            </w:r>
            <w:r/>
          </w:p>
          <w:p>
            <w:pPr>
              <w:jc w:val="center"/>
              <w:spacing w:line="360" w:lineRule="auto"/>
              <w:rPr>
                <w:rFonts w:ascii="宋体" w:hAnsi="宋体" w:cs="宋体"/>
                <w:color w:val="auto"/>
              </w:rPr>
            </w:pPr>
            <w:r>
              <w:rPr>
                <w:rFonts w:hint="eastAsia" w:ascii="宋体" w:hAnsi="宋体" w:cs="宋体"/>
                <w:color w:val="auto"/>
              </w:rPr>
              <w:t xml:space="preserve">（12分）</w:t>
            </w:r>
            <w:r/>
          </w:p>
        </w:tc>
        <w:tc>
          <w:tcPr>
            <w:tcW w:w="410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根据供应商提供的系统备份恢复、优化升级方案的的全面详细性、计划科学合理、符合现场情况具体安排，实施措施切实可行等进行评分：</w:t>
            </w:r>
            <w:r/>
          </w:p>
          <w:p>
            <w:pPr>
              <w:spacing w:line="360" w:lineRule="auto"/>
              <w:rPr>
                <w:rFonts w:ascii="宋体" w:hAnsi="宋体" w:cs="宋体"/>
                <w:color w:val="auto"/>
              </w:rPr>
            </w:pPr>
            <w:r>
              <w:rPr>
                <w:rFonts w:hint="eastAsia" w:ascii="宋体" w:hAnsi="宋体" w:cs="宋体"/>
                <w:color w:val="auto"/>
              </w:rPr>
              <w:t xml:space="preserve">（1）项目实施方案全面详细、计划科学合理、分析措施切实可行的得12分；</w:t>
            </w:r>
            <w:r/>
          </w:p>
          <w:p>
            <w:pPr>
              <w:spacing w:line="360" w:lineRule="auto"/>
              <w:rPr>
                <w:rFonts w:ascii="宋体" w:hAnsi="宋体" w:cs="宋体"/>
                <w:color w:val="auto"/>
              </w:rPr>
            </w:pPr>
            <w:r>
              <w:rPr>
                <w:rFonts w:hint="eastAsia" w:ascii="宋体" w:hAnsi="宋体" w:cs="宋体"/>
                <w:color w:val="auto"/>
              </w:rPr>
              <w:t xml:space="preserve">（2）项目实施方案全面、计划合理、分析措施具体可行的得8分；</w:t>
            </w:r>
            <w:r/>
          </w:p>
          <w:p>
            <w:pPr>
              <w:spacing w:line="360" w:lineRule="auto"/>
              <w:rPr>
                <w:rFonts w:ascii="宋体" w:hAnsi="宋体" w:cs="宋体"/>
                <w:color w:val="auto"/>
              </w:rPr>
            </w:pPr>
            <w:r>
              <w:rPr>
                <w:rFonts w:hint="eastAsia" w:ascii="宋体" w:hAnsi="宋体" w:cs="宋体"/>
                <w:color w:val="auto"/>
              </w:rPr>
              <w:t xml:space="preserve">（3）项目实施方案较全面、计划合理性基本可行、分析措施基本可行的得4分；</w:t>
            </w:r>
            <w:r/>
          </w:p>
          <w:p>
            <w:pPr>
              <w:spacing w:line="360" w:lineRule="auto"/>
              <w:rPr>
                <w:rFonts w:ascii="宋体" w:hAnsi="宋体" w:cs="宋体"/>
                <w:color w:val="auto"/>
              </w:rPr>
            </w:pPr>
            <w:r>
              <w:rPr>
                <w:rFonts w:hint="eastAsia" w:ascii="宋体" w:hAnsi="宋体" w:cs="宋体"/>
                <w:color w:val="auto"/>
              </w:rPr>
              <w:t xml:space="preserve">（4）项目实施方案不够全面、计划科学合理性一般、分析措施操作性略有欠缺的得1分；</w:t>
            </w:r>
            <w:r/>
          </w:p>
          <w:p>
            <w:pPr>
              <w:spacing w:line="360" w:lineRule="auto"/>
              <w:rPr>
                <w:rFonts w:ascii="宋体" w:hAnsi="宋体" w:cs="宋体"/>
                <w:color w:val="auto"/>
              </w:rPr>
            </w:pPr>
            <w:r>
              <w:rPr>
                <w:rFonts w:hint="eastAsia" w:ascii="宋体" w:hAnsi="宋体" w:cs="宋体"/>
                <w:color w:val="auto"/>
              </w:rPr>
              <w:t xml:space="preserve">（5）方案太简单不完整或未提供不得分。</w:t>
            </w:r>
            <w:r/>
          </w:p>
        </w:tc>
      </w:tr>
      <w:tr>
        <w:trPr>
          <w:jc w:val="center"/>
          <w:trHeight w:val="2177"/>
        </w:trPr>
        <w:tc>
          <w:tcPr>
            <w:tcW w:w="895"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应急预案</w:t>
            </w:r>
            <w:r/>
          </w:p>
          <w:p>
            <w:pPr>
              <w:jc w:val="center"/>
              <w:spacing w:line="360" w:lineRule="auto"/>
              <w:rPr>
                <w:color w:val="auto"/>
              </w:rPr>
            </w:pPr>
            <w:r>
              <w:rPr>
                <w:rFonts w:hint="eastAsia" w:ascii="宋体" w:hAnsi="宋体" w:cs="宋体"/>
                <w:color w:val="auto"/>
              </w:rPr>
              <w:t xml:space="preserve">（10分）</w:t>
            </w:r>
            <w:r/>
          </w:p>
        </w:tc>
        <w:tc>
          <w:tcPr>
            <w:tcW w:w="410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根据供应商提供的应急预案符合项目的实际要求，考虑全面，对于紧急情况下实施的基本对策方法和措施，对预案的完整性、可靠性、先进性等进行评分：</w:t>
            </w:r>
            <w:r/>
          </w:p>
          <w:p>
            <w:pPr>
              <w:spacing w:line="360" w:lineRule="auto"/>
              <w:rPr>
                <w:rFonts w:ascii="宋体" w:hAnsi="宋体" w:cs="宋体"/>
                <w:color w:val="auto"/>
              </w:rPr>
            </w:pPr>
            <w:r>
              <w:rPr>
                <w:rFonts w:hint="eastAsia" w:ascii="宋体" w:hAnsi="宋体" w:cs="宋体"/>
                <w:color w:val="auto"/>
              </w:rPr>
              <w:t xml:space="preserve">（1）预案细致全面、合理、可行性强，完全响应需求得10分；</w:t>
            </w:r>
            <w:r/>
          </w:p>
          <w:p>
            <w:pPr>
              <w:spacing w:line="360" w:lineRule="auto"/>
              <w:rPr>
                <w:rFonts w:ascii="宋体" w:hAnsi="宋体" w:cs="宋体"/>
                <w:color w:val="auto"/>
              </w:rPr>
            </w:pPr>
            <w:r>
              <w:rPr>
                <w:rFonts w:hint="eastAsia" w:ascii="宋体" w:hAnsi="宋体" w:cs="宋体"/>
                <w:color w:val="auto"/>
              </w:rPr>
              <w:t xml:space="preserve">（2）预案较为完整，内容、针对性、合理性一般得7分；</w:t>
            </w:r>
            <w:r/>
          </w:p>
          <w:p>
            <w:pPr>
              <w:spacing w:line="360" w:lineRule="auto"/>
              <w:rPr>
                <w:rFonts w:ascii="宋体" w:hAnsi="宋体" w:cs="宋体"/>
                <w:color w:val="auto"/>
              </w:rPr>
            </w:pPr>
            <w:r>
              <w:rPr>
                <w:rFonts w:hint="eastAsia" w:ascii="宋体" w:hAnsi="宋体" w:cs="宋体"/>
                <w:color w:val="auto"/>
              </w:rPr>
              <w:t xml:space="preserve">（3）预案基本响应需求，并没有完善的保证措施得4分；</w:t>
            </w:r>
            <w:r/>
          </w:p>
          <w:p>
            <w:pPr>
              <w:spacing w:line="360" w:lineRule="auto"/>
              <w:rPr>
                <w:rFonts w:ascii="宋体" w:hAnsi="宋体" w:cs="宋体"/>
                <w:color w:val="auto"/>
              </w:rPr>
            </w:pPr>
            <w:r>
              <w:rPr>
                <w:rFonts w:hint="eastAsia" w:ascii="宋体" w:hAnsi="宋体" w:cs="宋体"/>
                <w:color w:val="auto"/>
              </w:rPr>
              <w:t xml:space="preserve">（4）预案可行性较低，响应度低得1分；</w:t>
            </w:r>
            <w:r/>
          </w:p>
          <w:p>
            <w:pPr>
              <w:spacing w:line="360" w:lineRule="auto"/>
              <w:rPr>
                <w:rFonts w:ascii="宋体" w:hAnsi="宋体" w:cs="宋体"/>
                <w:color w:val="auto"/>
              </w:rPr>
            </w:pPr>
            <w:r>
              <w:rPr>
                <w:rFonts w:hint="eastAsia" w:ascii="宋体" w:hAnsi="宋体" w:cs="宋体"/>
                <w:color w:val="auto"/>
              </w:rPr>
              <w:t xml:space="preserve">（5）预案太简单不完整或未提供不得分。</w:t>
            </w:r>
            <w:r/>
          </w:p>
        </w:tc>
      </w:tr>
      <w:tr>
        <w:trPr>
          <w:jc w:val="center"/>
          <w:trHeight w:val="2177"/>
        </w:trPr>
        <w:tc>
          <w:tcPr>
            <w:tcW w:w="895"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绩效评估方案</w:t>
            </w:r>
            <w:r/>
          </w:p>
          <w:p>
            <w:pPr>
              <w:jc w:val="center"/>
              <w:spacing w:line="360" w:lineRule="auto"/>
              <w:rPr>
                <w:rFonts w:ascii="宋体" w:hAnsi="宋体" w:cs="宋体"/>
                <w:color w:val="auto"/>
              </w:rPr>
            </w:pPr>
            <w:r>
              <w:rPr>
                <w:rFonts w:hint="eastAsia" w:ascii="宋体" w:hAnsi="宋体" w:cs="宋体"/>
                <w:color w:val="auto"/>
              </w:rPr>
              <w:t xml:space="preserve">（10分）</w:t>
            </w:r>
            <w:r/>
          </w:p>
        </w:tc>
        <w:tc>
          <w:tcPr>
            <w:tcW w:w="410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根据供应商提供的项目的绩效评估方案，根据绩效指标权重、评价标准、评价方法和评价流程，对方案的全面性、合理性、可行性等进行评分：</w:t>
            </w:r>
            <w:r/>
          </w:p>
          <w:p>
            <w:pPr>
              <w:spacing w:line="360" w:lineRule="auto"/>
              <w:rPr>
                <w:rFonts w:ascii="宋体" w:hAnsi="宋体" w:cs="宋体"/>
                <w:color w:val="auto"/>
              </w:rPr>
            </w:pPr>
            <w:r>
              <w:rPr>
                <w:rFonts w:hint="eastAsia" w:ascii="宋体" w:hAnsi="宋体" w:cs="宋体"/>
                <w:color w:val="auto"/>
              </w:rPr>
              <w:t xml:space="preserve">（1）方案全面、合理、可行性强，完全响应需求得10分；</w:t>
            </w:r>
            <w:r/>
          </w:p>
          <w:p>
            <w:pPr>
              <w:spacing w:line="360" w:lineRule="auto"/>
              <w:rPr>
                <w:rFonts w:ascii="宋体" w:hAnsi="宋体" w:cs="宋体"/>
                <w:color w:val="auto"/>
              </w:rPr>
            </w:pPr>
            <w:r>
              <w:rPr>
                <w:rFonts w:hint="eastAsia" w:ascii="宋体" w:hAnsi="宋体" w:cs="宋体"/>
                <w:color w:val="auto"/>
              </w:rPr>
              <w:t xml:space="preserve">（2）方案较为完整，考虑、合理性一般的得7分；</w:t>
            </w:r>
            <w:r/>
          </w:p>
          <w:p>
            <w:pPr>
              <w:spacing w:line="360" w:lineRule="auto"/>
              <w:rPr>
                <w:rFonts w:ascii="宋体" w:hAnsi="宋体" w:cs="宋体"/>
                <w:color w:val="auto"/>
              </w:rPr>
            </w:pPr>
            <w:r>
              <w:rPr>
                <w:rFonts w:hint="eastAsia" w:ascii="宋体" w:hAnsi="宋体" w:cs="宋体"/>
                <w:color w:val="auto"/>
              </w:rPr>
              <w:t xml:space="preserve">（3）方案基本响应需求，并没有完善的保证措施得4分；</w:t>
            </w:r>
            <w:r/>
          </w:p>
          <w:p>
            <w:pPr>
              <w:spacing w:line="360" w:lineRule="auto"/>
              <w:rPr>
                <w:rFonts w:ascii="宋体" w:hAnsi="宋体" w:cs="宋体"/>
                <w:color w:val="auto"/>
              </w:rPr>
            </w:pPr>
            <w:r>
              <w:rPr>
                <w:rFonts w:hint="eastAsia" w:ascii="宋体" w:hAnsi="宋体" w:cs="宋体"/>
                <w:color w:val="auto"/>
              </w:rPr>
              <w:t xml:space="preserve">（4）方案可行性较低，响应度低得1分；</w:t>
            </w:r>
            <w:r/>
          </w:p>
          <w:p>
            <w:pPr>
              <w:spacing w:line="360" w:lineRule="auto"/>
              <w:rPr>
                <w:rFonts w:ascii="宋体" w:hAnsi="宋体" w:cs="宋体"/>
                <w:color w:val="auto"/>
              </w:rPr>
            </w:pPr>
            <w:r>
              <w:rPr>
                <w:rFonts w:hint="eastAsia" w:ascii="宋体" w:hAnsi="宋体" w:cs="宋体"/>
                <w:color w:val="auto"/>
              </w:rPr>
              <w:t xml:space="preserve">（5）方案没有可行性，响应度过低的不得分。</w:t>
            </w:r>
            <w:r/>
          </w:p>
        </w:tc>
      </w:tr>
      <w:tr>
        <w:trPr>
          <w:jc w:val="center"/>
          <w:trHeight w:val="2177"/>
        </w:trPr>
        <w:tc>
          <w:tcPr>
            <w:tcW w:w="895"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技术支持服务</w:t>
            </w:r>
            <w:r/>
          </w:p>
          <w:p>
            <w:pPr>
              <w:jc w:val="center"/>
              <w:spacing w:line="360" w:lineRule="auto"/>
              <w:rPr>
                <w:rFonts w:ascii="宋体" w:hAnsi="宋体" w:cs="宋体"/>
                <w:color w:val="auto"/>
              </w:rPr>
            </w:pPr>
            <w:r>
              <w:rPr>
                <w:rFonts w:hint="eastAsia" w:ascii="宋体" w:hAnsi="宋体" w:cs="宋体"/>
                <w:color w:val="auto"/>
              </w:rPr>
              <w:t xml:space="preserve">（10分）</w:t>
            </w:r>
            <w:r/>
          </w:p>
        </w:tc>
        <w:tc>
          <w:tcPr>
            <w:tcW w:w="4105" w:type="pct"/>
            <w:vAlign w:val="center"/>
            <w:textDirection w:val="lrTb"/>
            <w:noWrap w:val="false"/>
          </w:tcPr>
          <w:p>
            <w:pPr>
              <w:jc w:val="left"/>
              <w:spacing w:line="360" w:lineRule="auto"/>
              <w:rPr>
                <w:rFonts w:ascii="宋体" w:hAnsi="宋体" w:cs="宋体"/>
                <w:color w:val="auto"/>
              </w:rPr>
            </w:pPr>
            <w:r>
              <w:rPr>
                <w:rFonts w:hint="eastAsia" w:ascii="宋体" w:hAnsi="宋体" w:cs="宋体"/>
                <w:color w:val="auto"/>
              </w:rPr>
              <w:t xml:space="preserve">供应商结合本次数据库系统，能够在用户发生数据库疑难问题，协助提供数据库原厂技术支持的得5分。(投标时提供数据库厂商针对本次项目的技术服务承诺函)</w:t>
            </w:r>
            <w:r/>
          </w:p>
          <w:p>
            <w:pPr>
              <w:jc w:val="left"/>
              <w:spacing w:line="360" w:lineRule="auto"/>
              <w:rPr>
                <w:rFonts w:ascii="宋体" w:hAnsi="宋体" w:cs="宋体"/>
                <w:color w:val="auto"/>
              </w:rPr>
            </w:pPr>
            <w:r>
              <w:rPr>
                <w:rFonts w:hint="eastAsia" w:ascii="宋体" w:hAnsi="宋体" w:cs="宋体"/>
                <w:color w:val="auto"/>
              </w:rPr>
              <w:t xml:space="preserve">供应商结合本次数据库、中间件维保，提供官方7x24小时后台技术支持的，得5分。(投标时提供数据系统官方支持账号)</w:t>
            </w:r>
            <w:r/>
          </w:p>
        </w:tc>
      </w:tr>
      <w:tr>
        <w:trPr>
          <w:jc w:val="center"/>
          <w:trHeight w:val="2301"/>
        </w:trPr>
        <w:tc>
          <w:tcPr>
            <w:tcW w:w="895"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企业实力</w:t>
            </w:r>
            <w:r/>
          </w:p>
          <w:p>
            <w:pPr>
              <w:jc w:val="center"/>
              <w:spacing w:line="360" w:lineRule="auto"/>
              <w:rPr>
                <w:rFonts w:ascii="宋体" w:hAnsi="宋体" w:cs="宋体"/>
                <w:color w:val="auto"/>
              </w:rPr>
            </w:pPr>
            <w:r>
              <w:rPr>
                <w:rFonts w:hint="eastAsia" w:ascii="宋体" w:hAnsi="宋体" w:cs="宋体"/>
                <w:color w:val="auto"/>
              </w:rPr>
              <w:t xml:space="preserve">（6分）</w:t>
            </w:r>
            <w:r/>
          </w:p>
        </w:tc>
        <w:tc>
          <w:tcPr>
            <w:tcW w:w="410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供应商具有有效期内的质量管理体系认证证书(ISO9001)、信息安全管理体系认证证书(ISO27001)、数据存储安全管理体系认证证书(ISO27040)，每提供1个证书得2分，此项满分6分。（提供证书原件扫描件，不提供不得分）</w:t>
            </w:r>
            <w:r/>
          </w:p>
        </w:tc>
      </w:tr>
      <w:tr>
        <w:trPr>
          <w:jc w:val="center"/>
        </w:trPr>
        <w:tc>
          <w:tcPr>
            <w:tcW w:w="895"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项目人员</w:t>
            </w:r>
            <w:r/>
          </w:p>
          <w:p>
            <w:pPr>
              <w:jc w:val="center"/>
              <w:spacing w:line="360" w:lineRule="auto"/>
              <w:rPr>
                <w:rFonts w:ascii="宋体" w:hAnsi="宋体" w:cs="宋体"/>
                <w:color w:val="auto"/>
              </w:rPr>
            </w:pPr>
            <w:r>
              <w:rPr>
                <w:rFonts w:hint="eastAsia" w:ascii="宋体" w:hAnsi="宋体" w:cs="宋体"/>
                <w:color w:val="auto"/>
              </w:rPr>
              <w:t xml:space="preserve">（8分）</w:t>
            </w:r>
            <w:r/>
          </w:p>
        </w:tc>
        <w:tc>
          <w:tcPr>
            <w:tcW w:w="410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供应商拟派项目经理具有网络工程师、信息安全保障人员证书、ITSS服务工程师，有一个证书得1分。本项最多得3分。（本项目只能委派一名项目经理，须提供有效期内证书原件扫描件及供应商近一年内任意一个月为其缴纳的社保证明材料)</w:t>
            </w:r>
            <w:r/>
          </w:p>
          <w:p>
            <w:pPr>
              <w:spacing w:line="360" w:lineRule="auto"/>
              <w:rPr>
                <w:rFonts w:ascii="宋体" w:hAnsi="宋体" w:cs="宋体"/>
                <w:color w:val="auto"/>
              </w:rPr>
            </w:pPr>
            <w:r>
              <w:rPr>
                <w:rFonts w:hint="eastAsia" w:ascii="宋体" w:hAnsi="宋体" w:cs="宋体"/>
                <w:color w:val="auto"/>
              </w:rPr>
              <w:t xml:space="preserve">2、供应商拟投入项目团队成员(项目经理除外)具有信息系统项目管理师(高级)证书、CISP(注册信息安全工程师)证书、ITSS(IT服务工程师)证书、系统架构设计师(高级)证书、系统分析师(高级)证书、网络工程师证书、数据库系统工程师证书的，每一种证书最多得1分(同一证书不重复计分)，本项最多得5分。（须提供有效期内证书原件扫描件及供应商近一年内任意一个月为其缴纳的社保证明材料)</w:t>
            </w:r>
            <w:r/>
          </w:p>
        </w:tc>
      </w:tr>
      <w:tr>
        <w:trPr>
          <w:jc w:val="center"/>
        </w:trPr>
        <w:tc>
          <w:tcPr>
            <w:tcW w:w="895"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业绩</w:t>
            </w:r>
            <w:r/>
          </w:p>
          <w:p>
            <w:pPr>
              <w:jc w:val="center"/>
              <w:spacing w:line="360" w:lineRule="auto"/>
              <w:rPr>
                <w:rFonts w:ascii="宋体" w:hAnsi="宋体" w:cs="宋体"/>
                <w:color w:val="auto"/>
              </w:rPr>
            </w:pPr>
            <w:r>
              <w:rPr>
                <w:rFonts w:hint="eastAsia" w:ascii="宋体" w:hAnsi="宋体" w:cs="宋体"/>
                <w:color w:val="auto"/>
              </w:rPr>
              <w:t xml:space="preserve">（10分）</w:t>
            </w:r>
            <w:r/>
          </w:p>
        </w:tc>
        <w:tc>
          <w:tcPr>
            <w:tcW w:w="410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自2022年01月01日起至今，供应商具有类似项目案例，每有一个得2分，满分10分。（须提供完整合同，否则不得分，时间以合同签订为准。）</w:t>
            </w:r>
            <w:r/>
          </w:p>
        </w:tc>
      </w:tr>
    </w:tbl>
    <w:p>
      <w:pPr>
        <w:spacing w:line="360" w:lineRule="auto"/>
        <w:rPr>
          <w:rFonts w:hint="default" w:ascii="Times New Roman" w:hAnsi="Times New Roman" w:cs="Times New Roman"/>
          <w:b/>
          <w:bCs/>
          <w:color w:val="auto"/>
          <w:highlight w:val="none"/>
        </w:rPr>
        <w:outlineLvl w:val="9"/>
      </w:pPr>
      <w:r>
        <w:rPr>
          <w:rFonts w:hint="default" w:ascii="Times New Roman" w:hAnsi="Times New Roman" w:cs="Times New Roman"/>
          <w:b/>
          <w:bCs/>
          <w:color w:val="auto"/>
          <w:highlight w:val="none"/>
        </w:rPr>
      </w:r>
      <w:r/>
    </w:p>
    <w:p>
      <w:pPr>
        <w:pStyle w:val="1084"/>
        <w:ind w:left="0" w:firstLine="422"/>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注：1、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pStyle w:val="1084"/>
        <w:ind w:firstLine="422"/>
        <w:rPr>
          <w:rFonts w:hint="default" w:ascii="Times New Roman" w:hAnsi="Times New Roman" w:cs="Times New Roman"/>
          <w:color w:val="auto"/>
          <w:sz w:val="36"/>
          <w:highlight w:val="none"/>
        </w:rPr>
      </w:pPr>
      <w:r>
        <w:rPr>
          <w:rFonts w:hint="default" w:ascii="Times New Roman" w:hAnsi="Times New Roman" w:eastAsia="宋体" w:cs="Times New Roman"/>
          <w:b/>
          <w:color w:val="auto"/>
          <w:sz w:val="21"/>
          <w:szCs w:val="21"/>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34"/>
      <w:r/>
      <w:r/>
    </w:p>
    <w:p>
      <w:pPr>
        <w:rPr>
          <w:rFonts w:hint="default" w:ascii="Times New Roman" w:hAnsi="Times New Roman" w:cs="Times New Roman"/>
          <w:color w:val="auto"/>
          <w:highlight w:val="none"/>
          <w:lang w:eastAsia="zh-CN"/>
        </w:rPr>
      </w:pPr>
      <w:r/>
      <w:bookmarkStart w:id="38" w:name="_Toc109304976"/>
      <w:r/>
      <w:bookmarkStart w:id="39" w:name="_Toc10463"/>
      <w:r/>
      <w:bookmarkStart w:id="40" w:name="_Toc12681"/>
      <w:r/>
      <w:bookmarkStart w:id="41" w:name="_Toc24729"/>
      <w:r>
        <w:rPr>
          <w:rFonts w:hint="default" w:ascii="Times New Roman" w:hAnsi="Times New Roman" w:cs="Times New Roman"/>
          <w:color w:val="auto"/>
          <w:highlight w:val="none"/>
          <w:lang w:eastAsia="zh-CN"/>
        </w:rPr>
        <w:br w:type="page" w:clear="all"/>
      </w:r>
      <w:r/>
    </w:p>
    <w:p>
      <w:pPr>
        <w:pStyle w:val="1105"/>
        <w:jc w:val="center"/>
        <w:spacing w:line="360" w:lineRule="auto"/>
        <w:rPr>
          <w:rFonts w:hint="default" w:ascii="Times New Roman" w:hAnsi="Times New Roman" w:cs="Times New Roman"/>
          <w:color w:val="auto"/>
          <w:sz w:val="52"/>
          <w:highlight w:val="none"/>
          <w:lang w:eastAsia="zh-CN"/>
        </w:rPr>
      </w:pPr>
      <w:r>
        <w:rPr>
          <w:rFonts w:hint="default" w:ascii="Times New Roman" w:hAnsi="Times New Roman" w:cs="Times New Roman"/>
          <w:color w:val="auto"/>
          <w:highlight w:val="none"/>
          <w:lang w:eastAsia="zh-CN"/>
        </w:rPr>
        <w:t xml:space="preserve">第六章 竞争性磋商响应文件格式</w:t>
      </w:r>
      <w:bookmarkEnd w:id="38"/>
      <w:r/>
      <w:bookmarkEnd w:id="39"/>
      <w:r/>
      <w:bookmarkEnd w:id="40"/>
      <w:r/>
      <w:bookmarkEnd w:id="41"/>
      <w:r/>
      <w:r/>
    </w:p>
    <w:p>
      <w:pPr>
        <w:jc w:val="center"/>
        <w:spacing w:line="360" w:lineRule="auto"/>
        <w:rPr>
          <w:rFonts w:hint="default" w:ascii="Times New Roman" w:hAnsi="Times New Roman" w:cs="Times New Roman"/>
          <w:b/>
          <w:color w:val="auto"/>
          <w:sz w:val="22"/>
          <w:highlight w:val="none"/>
        </w:rPr>
      </w:pPr>
      <w:r>
        <w:rPr>
          <w:rFonts w:hint="default" w:ascii="Times New Roman" w:hAnsi="Times New Roman" w:cs="Times New Roman"/>
          <w:b/>
          <w:color w:val="auto"/>
          <w:sz w:val="22"/>
          <w:highlight w:val="none"/>
        </w:rPr>
      </w:r>
      <w:r/>
    </w:p>
    <w:p>
      <w:pPr>
        <w:jc w:val="center"/>
        <w:spacing w:line="360" w:lineRule="auto"/>
        <w:rPr>
          <w:rFonts w:hint="default" w:ascii="Times New Roman" w:hAnsi="Times New Roman" w:cs="Times New Roman"/>
          <w:b/>
          <w:bCs/>
          <w:color w:val="auto"/>
          <w:sz w:val="72"/>
          <w:szCs w:val="72"/>
          <w:highlight w:val="none"/>
        </w:rPr>
      </w:pPr>
      <w:r>
        <w:rPr>
          <w:rFonts w:hint="default" w:ascii="Times New Roman" w:hAnsi="Times New Roman" w:cs="Times New Roman"/>
          <w:b/>
          <w:bCs/>
          <w:color w:val="auto"/>
          <w:sz w:val="72"/>
          <w:szCs w:val="72"/>
          <w:highlight w:val="none"/>
        </w:rPr>
        <w:t xml:space="preserve">竞争性磋商</w:t>
      </w:r>
      <w:r/>
    </w:p>
    <w:p>
      <w:pPr>
        <w:jc w:val="center"/>
        <w:spacing w:line="360" w:lineRule="auto"/>
        <w:rPr>
          <w:rFonts w:hint="default" w:ascii="Times New Roman" w:hAnsi="Times New Roman" w:cs="Times New Roman"/>
          <w:b/>
          <w:bCs/>
          <w:color w:val="auto"/>
          <w:sz w:val="72"/>
          <w:szCs w:val="72"/>
          <w:highlight w:val="none"/>
        </w:rPr>
      </w:pPr>
      <w:r>
        <w:rPr>
          <w:rFonts w:hint="default" w:ascii="Times New Roman" w:hAnsi="Times New Roman" w:cs="Times New Roman"/>
          <w:b/>
          <w:bCs/>
          <w:color w:val="auto"/>
          <w:sz w:val="72"/>
          <w:szCs w:val="72"/>
          <w:highlight w:val="none"/>
        </w:rPr>
        <w:t xml:space="preserve">响应文件</w:t>
      </w:r>
      <w:r/>
    </w:p>
    <w:p>
      <w:pPr>
        <w:jc w:val="both"/>
        <w:spacing w:line="360" w:lineRule="auto"/>
        <w:rPr>
          <w:rFonts w:hint="default" w:ascii="Times New Roman" w:hAnsi="Times New Roman" w:cs="Times New Roman"/>
          <w:b/>
          <w:color w:val="auto"/>
          <w:sz w:val="36"/>
          <w:szCs w:val="21"/>
          <w:highlight w:val="none"/>
        </w:rPr>
      </w:pPr>
      <w:r>
        <w:rPr>
          <w:rFonts w:hint="default" w:ascii="Times New Roman" w:hAnsi="Times New Roman" w:cs="Times New Roman"/>
          <w:b/>
          <w:color w:val="auto"/>
          <w:sz w:val="36"/>
          <w:szCs w:val="21"/>
          <w:highlight w:val="none"/>
        </w:rPr>
      </w:r>
      <w:r/>
    </w:p>
    <w:p>
      <w:pPr>
        <w:jc w:val="both"/>
        <w:spacing w:line="360" w:lineRule="auto"/>
        <w:rPr>
          <w:rFonts w:hint="default" w:ascii="Times New Roman" w:hAnsi="Times New Roman" w:cs="Times New Roman"/>
          <w:b/>
          <w:color w:val="auto"/>
          <w:sz w:val="36"/>
          <w:szCs w:val="21"/>
          <w:highlight w:val="none"/>
        </w:rPr>
      </w:pPr>
      <w:r>
        <w:rPr>
          <w:rFonts w:hint="default" w:ascii="Times New Roman" w:hAnsi="Times New Roman" w:cs="Times New Roman"/>
          <w:b/>
          <w:color w:val="auto"/>
          <w:sz w:val="36"/>
          <w:szCs w:val="21"/>
          <w:highlight w:val="none"/>
        </w:rPr>
      </w:r>
      <w:r/>
    </w:p>
    <w:p>
      <w:pPr>
        <w:jc w:val="center"/>
        <w:spacing w:line="360" w:lineRule="auto"/>
        <w:rPr>
          <w:rFonts w:hint="default" w:ascii="Times New Roman" w:hAnsi="Times New Roman" w:cs="Times New Roman"/>
          <w:b/>
          <w:color w:val="auto"/>
          <w:sz w:val="36"/>
          <w:szCs w:val="21"/>
          <w:highlight w:val="none"/>
        </w:rPr>
      </w:pPr>
      <w:r>
        <w:rPr>
          <w:rFonts w:hint="default" w:ascii="Times New Roman" w:hAnsi="Times New Roman" w:cs="Times New Roman"/>
          <w:b/>
          <w:color w:val="auto"/>
          <w:sz w:val="36"/>
          <w:szCs w:val="21"/>
          <w:highlight w:val="none"/>
        </w:rPr>
      </w:r>
      <w:r/>
    </w:p>
    <w:p>
      <w:pPr>
        <w:jc w:val="both"/>
        <w:spacing w:line="360" w:lineRule="auto"/>
        <w:rPr>
          <w:rFonts w:hint="default" w:ascii="Times New Roman" w:hAnsi="Times New Roman" w:cs="Times New Roman"/>
          <w:b/>
          <w:color w:val="auto"/>
          <w:sz w:val="36"/>
          <w:szCs w:val="21"/>
          <w:highlight w:val="none"/>
        </w:rPr>
      </w:pPr>
      <w:r>
        <w:rPr>
          <w:rFonts w:hint="default" w:ascii="Times New Roman" w:hAnsi="Times New Roman" w:cs="Times New Roman"/>
          <w:b/>
          <w:color w:val="auto"/>
          <w:sz w:val="36"/>
          <w:szCs w:val="21"/>
          <w:highlight w:val="none"/>
        </w:rPr>
      </w:r>
      <w:r/>
    </w:p>
    <w:p>
      <w:pPr>
        <w:spacing w:line="360" w:lineRule="auto"/>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ind w:firstLine="1084"/>
        <w:spacing w:line="360" w:lineRule="auto"/>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t xml:space="preserve">项 目 名 称：</w:t>
      </w:r>
      <w:r>
        <w:rPr>
          <w:rFonts w:hint="default" w:ascii="Times New Roman" w:hAnsi="Times New Roman" w:cs="Times New Roman"/>
          <w:b/>
          <w:color w:val="auto"/>
          <w:sz w:val="36"/>
          <w:highlight w:val="none"/>
          <w:u w:val="single"/>
        </w:rPr>
        <w:t xml:space="preserve">                   </w:t>
      </w:r>
      <w:r/>
    </w:p>
    <w:p>
      <w:pPr>
        <w:ind w:firstLine="1084"/>
        <w:spacing w:line="360" w:lineRule="auto"/>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rPr>
        <w:t xml:space="preserve">项 目 编 号：</w:t>
      </w:r>
      <w:r>
        <w:rPr>
          <w:rFonts w:hint="default" w:ascii="Times New Roman" w:hAnsi="Times New Roman" w:cs="Times New Roman"/>
          <w:b/>
          <w:color w:val="auto"/>
          <w:sz w:val="36"/>
          <w:highlight w:val="none"/>
          <w:u w:val="single"/>
        </w:rPr>
        <w:t xml:space="preserve">                   </w:t>
      </w:r>
      <w:r/>
    </w:p>
    <w:p>
      <w:pPr>
        <w:spacing w:line="360" w:lineRule="auto"/>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rPr>
        <w:t xml:space="preserve">      磋商供应商名称 ：</w:t>
      </w:r>
      <w:r>
        <w:rPr>
          <w:rFonts w:hint="default" w:ascii="Times New Roman" w:hAnsi="Times New Roman" w:cs="Times New Roman"/>
          <w:b/>
          <w:color w:val="auto"/>
          <w:sz w:val="36"/>
          <w:highlight w:val="none"/>
          <w:u w:val="single"/>
        </w:rPr>
        <w:t xml:space="preserve">               </w:t>
      </w:r>
      <w:r/>
    </w:p>
    <w:p>
      <w:pPr>
        <w:spacing w:line="360" w:lineRule="auto"/>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rPr>
        <w:t xml:space="preserve">      日      期 ：</w:t>
      </w:r>
      <w:r>
        <w:rPr>
          <w:rFonts w:hint="default" w:ascii="Times New Roman" w:hAnsi="Times New Roman" w:cs="Times New Roman"/>
          <w:b/>
          <w:color w:val="auto"/>
          <w:sz w:val="36"/>
          <w:highlight w:val="none"/>
          <w:u w:val="single"/>
        </w:rPr>
        <w:t xml:space="preserve">                   </w:t>
      </w:r>
      <w:r/>
    </w:p>
    <w:p>
      <w:pPr>
        <w:ind w:firstLine="1084"/>
        <w:spacing w:line="360" w:lineRule="auto"/>
        <w:rPr>
          <w:rFonts w:hint="default" w:ascii="Times New Roman" w:hAnsi="Times New Roman" w:cs="Times New Roman"/>
          <w:color w:val="auto"/>
          <w:highlight w:val="none"/>
        </w:rPr>
      </w:pPr>
      <w:r>
        <w:rPr>
          <w:rFonts w:hint="default" w:ascii="Times New Roman" w:hAnsi="Times New Roman" w:cs="Times New Roman"/>
          <w:b/>
          <w:color w:val="auto"/>
          <w:sz w:val="36"/>
          <w:highlight w:val="none"/>
        </w:rPr>
        <w:t xml:space="preserve">供  应  商：</w:t>
      </w:r>
      <w:r>
        <w:rPr>
          <w:rFonts w:hint="default" w:ascii="Times New Roman" w:hAnsi="Times New Roman" w:cs="Times New Roman"/>
          <w:b/>
          <w:color w:val="auto"/>
          <w:sz w:val="36"/>
          <w:highlight w:val="none"/>
          <w:u w:val="single"/>
        </w:rPr>
        <w:t xml:space="preserve">         </w:t>
      </w:r>
      <w:r>
        <w:rPr>
          <w:rFonts w:hint="default" w:ascii="Times New Roman" w:hAnsi="Times New Roman" w:cs="Times New Roman"/>
          <w:b/>
          <w:color w:val="auto"/>
          <w:sz w:val="36"/>
          <w:highlight w:val="none"/>
        </w:rPr>
        <w:t xml:space="preserve">（电子签章）</w:t>
      </w:r>
      <w:r/>
    </w:p>
    <w:p>
      <w:pPr>
        <w:jc w:val="center"/>
        <w:spacing w:line="360" w:lineRule="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jc w:val="center"/>
        <w:spacing w:line="360" w:lineRule="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br w:type="page" w:clear="all"/>
      </w:r>
      <w:r/>
    </w:p>
    <w:p>
      <w:pPr>
        <w:jc w:val="center"/>
        <w:spacing w:line="360" w:lineRule="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 xml:space="preserve">磋商主要文件目录</w:t>
      </w:r>
      <w:r/>
    </w:p>
    <w:p>
      <w:pPr>
        <w:jc w:val="center"/>
        <w:spacing w:line="360" w:lineRule="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一、资格审查响应对照表</w:t>
      </w:r>
      <w:r/>
    </w:p>
    <w:p>
      <w:pPr>
        <w:ind w:left="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二、符合性审查响应对照表</w:t>
      </w:r>
      <w:r/>
    </w:p>
    <w:p>
      <w:pPr>
        <w:ind w:left="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三、非实质性响应对照表</w:t>
      </w:r>
      <w:r/>
    </w:p>
    <w:p>
      <w:pPr>
        <w:ind w:firstLine="480"/>
        <w:spacing w:line="360" w:lineRule="auto"/>
        <w:rPr>
          <w:rFonts w:hint="default" w:ascii="Times New Roman" w:hAnsi="Times New Roman" w:cs="Times New Roman"/>
          <w:b/>
          <w:bCs/>
          <w:color w:val="auto"/>
          <w:sz w:val="24"/>
          <w:highlight w:val="none"/>
        </w:rPr>
      </w:pPr>
      <w:r>
        <w:rPr>
          <w:rFonts w:hint="default" w:ascii="Times New Roman" w:hAnsi="Times New Roman" w:cs="Times New Roman"/>
          <w:color w:val="auto"/>
          <w:sz w:val="24"/>
          <w:highlight w:val="none"/>
        </w:rPr>
        <w:t xml:space="preserve">四</w:t>
      </w:r>
      <w:r>
        <w:rPr>
          <w:rFonts w:hint="default" w:ascii="Times New Roman" w:hAnsi="Times New Roman" w:cs="Times New Roman"/>
          <w:b/>
          <w:bCs/>
          <w:color w:val="auto"/>
          <w:sz w:val="24"/>
          <w:highlight w:val="none"/>
        </w:rPr>
        <w:t xml:space="preserve">、</w:t>
      </w:r>
      <w:r>
        <w:rPr>
          <w:rFonts w:hint="default" w:ascii="Times New Roman" w:hAnsi="Times New Roman" w:cs="Times New Roman"/>
          <w:i/>
          <w:color w:val="auto"/>
          <w:sz w:val="24"/>
          <w:highlight w:val="none"/>
          <w:u w:val="single"/>
        </w:rPr>
        <w:t xml:space="preserve">磋商响应报价表</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五、</w:t>
      </w:r>
      <w:r>
        <w:rPr>
          <w:rFonts w:hint="default" w:ascii="Times New Roman" w:hAnsi="Times New Roman" w:cs="Times New Roman"/>
          <w:color w:val="auto"/>
          <w:sz w:val="24"/>
          <w:szCs w:val="24"/>
          <w:highlight w:val="none"/>
        </w:rPr>
        <w:t xml:space="preserve">技术参数响应及偏离表</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六</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highlight w:val="none"/>
        </w:rPr>
        <w:t xml:space="preserve">商务条款响应及偏离表</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七、拟投入人员一览表</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八、其他 （供应商认为有必要提供的声明和文件，如有自拟并自行添加）</w:t>
      </w:r>
      <w:r/>
    </w:p>
    <w:p>
      <w:pPr>
        <w:spacing w:line="360" w:lineRule="auto"/>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u w:val="single"/>
        </w:rPr>
      </w:r>
      <w:r/>
    </w:p>
    <w:p>
      <w:pPr>
        <w:pStyle w:val="906"/>
        <w:spacing w:line="360" w:lineRule="auto"/>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u w:val="single"/>
        </w:rPr>
      </w:r>
      <w:r/>
    </w:p>
    <w:p>
      <w:pPr>
        <w:pStyle w:val="911"/>
        <w:spacing w:line="360" w:lineRule="auto"/>
        <w:rPr>
          <w:rFonts w:hint="default" w:ascii="Times New Roman" w:hAnsi="Times New Roman" w:cs="Times New Roman"/>
          <w:b/>
          <w:color w:val="auto"/>
          <w:sz w:val="36"/>
          <w:highlight w:val="none"/>
          <w:u w:val="single"/>
          <w:lang w:eastAsia="zh-CN"/>
        </w:rPr>
      </w:pPr>
      <w:r>
        <w:rPr>
          <w:rFonts w:hint="default" w:ascii="Times New Roman" w:hAnsi="Times New Roman" w:cs="Times New Roman"/>
          <w:b/>
          <w:color w:val="auto"/>
          <w:sz w:val="36"/>
          <w:highlight w:val="none"/>
          <w:u w:val="single"/>
          <w:lang w:eastAsia="zh-CN"/>
        </w:rPr>
      </w:r>
      <w:r/>
    </w:p>
    <w:p>
      <w:pPr>
        <w:pStyle w:val="912"/>
        <w:spacing w:line="360" w:lineRule="auto"/>
        <w:rPr>
          <w:rFonts w:hint="default" w:ascii="Times New Roman" w:hAnsi="Times New Roman" w:cs="Times New Roman"/>
          <w:b/>
          <w:color w:val="auto"/>
          <w:sz w:val="36"/>
          <w:highlight w:val="none"/>
          <w:u w:val="single"/>
        </w:rPr>
        <w:outlineLvl w:val="9"/>
      </w:pPr>
      <w:r>
        <w:rPr>
          <w:rFonts w:hint="default" w:ascii="Times New Roman" w:hAnsi="Times New Roman" w:cs="Times New Roman"/>
          <w:b/>
          <w:color w:val="auto"/>
          <w:sz w:val="36"/>
          <w:highlight w:val="none"/>
          <w:u w:val="single"/>
        </w:rPr>
      </w:r>
      <w:r/>
    </w:p>
    <w:p>
      <w:pPr>
        <w:pStyle w:val="914"/>
        <w:ind w:firstLine="723"/>
        <w:spacing w:line="360" w:lineRule="auto"/>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u w:val="single"/>
        </w:rPr>
      </w:r>
      <w:r/>
    </w:p>
    <w:p>
      <w:pPr>
        <w:spacing w:line="360" w:lineRule="auto"/>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u w:val="single"/>
        </w:rPr>
      </w:r>
      <w:r/>
    </w:p>
    <w:p>
      <w:pPr>
        <w:pStyle w:val="906"/>
        <w:spacing w:line="360" w:lineRule="auto"/>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u w:val="single"/>
        </w:rPr>
      </w:r>
      <w:r/>
    </w:p>
    <w:p>
      <w:pPr>
        <w:pStyle w:val="911"/>
        <w:spacing w:line="360" w:lineRule="auto"/>
        <w:rPr>
          <w:rFonts w:hint="default" w:ascii="Times New Roman" w:hAnsi="Times New Roman" w:cs="Times New Roman"/>
          <w:b/>
          <w:color w:val="auto"/>
          <w:sz w:val="36"/>
          <w:highlight w:val="none"/>
          <w:u w:val="single"/>
          <w:lang w:eastAsia="zh-CN"/>
        </w:rPr>
      </w:pPr>
      <w:r>
        <w:rPr>
          <w:rFonts w:hint="default" w:ascii="Times New Roman" w:hAnsi="Times New Roman" w:cs="Times New Roman"/>
          <w:b/>
          <w:color w:val="auto"/>
          <w:sz w:val="36"/>
          <w:highlight w:val="none"/>
          <w:u w:val="single"/>
          <w:lang w:eastAsia="zh-CN"/>
        </w:rPr>
      </w:r>
      <w:r/>
    </w:p>
    <w:p>
      <w:pPr>
        <w:pStyle w:val="912"/>
        <w:spacing w:line="360" w:lineRule="auto"/>
        <w:rPr>
          <w:rFonts w:hint="default" w:ascii="Times New Roman" w:hAnsi="Times New Roman" w:cs="Times New Roman"/>
          <w:b/>
          <w:color w:val="auto"/>
          <w:sz w:val="36"/>
          <w:highlight w:val="none"/>
          <w:u w:val="single"/>
        </w:rPr>
        <w:outlineLvl w:val="9"/>
      </w:pPr>
      <w:r>
        <w:rPr>
          <w:rFonts w:hint="default" w:ascii="Times New Roman" w:hAnsi="Times New Roman" w:cs="Times New Roman"/>
          <w:b/>
          <w:color w:val="auto"/>
          <w:sz w:val="36"/>
          <w:highlight w:val="none"/>
          <w:u w:val="single"/>
        </w:rPr>
      </w:r>
      <w:r/>
    </w:p>
    <w:p>
      <w:pPr>
        <w:pStyle w:val="914"/>
        <w:ind w:firstLine="723"/>
        <w:spacing w:line="360" w:lineRule="auto"/>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u w:val="single"/>
        </w:rPr>
      </w:r>
      <w:r/>
    </w:p>
    <w:p>
      <w:pPr>
        <w:spacing w:line="360" w:lineRule="auto"/>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u w:val="single"/>
        </w:rPr>
      </w:r>
      <w:r/>
    </w:p>
    <w:p>
      <w:pPr>
        <w:spacing w:line="360" w:lineRule="auto"/>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u w:val="single"/>
        </w:rPr>
      </w:r>
      <w:r/>
    </w:p>
    <w:p>
      <w:pPr>
        <w:pStyle w:val="911"/>
        <w:spacing w:line="360" w:lineRule="auto"/>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r>
      <w:r/>
    </w:p>
    <w:p>
      <w:pPr>
        <w:jc w:val="cente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jc w:val="cente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一、资格审查响应对照表</w:t>
      </w:r>
      <w:r/>
    </w:p>
    <w:tbl>
      <w:tblPr>
        <w:tblStyle w:val="8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793"/>
        <w:gridCol w:w="1812"/>
      </w:tblGrid>
      <w:tr>
        <w:trPr>
          <w:trHeight w:val="647"/>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W w:w="579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资格审查响应内容</w:t>
            </w:r>
            <w:r/>
          </w:p>
        </w:tc>
        <w:tc>
          <w:tcPr>
            <w:tcW w:w="1812"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是否响应</w:t>
            </w:r>
            <w:r/>
          </w:p>
          <w:p>
            <w:pPr>
              <w:jc w:val="center"/>
              <w:keepLines w:val="0"/>
              <w:keepNext w:val="0"/>
              <w:pageBreakBefore w:val="0"/>
              <w:spacing w:line="36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（填是或者否）</w:t>
            </w:r>
            <w:r/>
          </w:p>
        </w:tc>
      </w:tr>
      <w:tr>
        <w:trPr>
          <w:trHeight w:val="335"/>
        </w:trPr>
        <w:tc>
          <w:tcPr>
            <w:gridSpan w:val="3"/>
            <w:tcW w:w="8251"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通用资格条件</w:t>
            </w:r>
            <w:r/>
          </w:p>
        </w:tc>
      </w:tr>
      <w:tr>
        <w:trPr>
          <w:trHeight w:val="761"/>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color w:val="auto"/>
                <w:szCs w:val="21"/>
                <w:highlight w:val="none"/>
              </w:rPr>
              <w:t xml:space="preserve">1</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rPr>
              <w:t xml:space="preserve">法人或者其他组织的营业执照等证明文件，自然人的身份证明（身份证为正、反面）</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r>
      <w:tr>
        <w:trPr>
          <w:trHeight w:val="585"/>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rPr>
              <w:t xml:space="preserve">依法缴纳职工社会保障资金的证明材料</w:t>
            </w:r>
            <w:r>
              <w:rPr>
                <w:rFonts w:hint="default" w:ascii="Times New Roman" w:hAnsi="Times New Roman" w:cs="Times New Roman"/>
                <w:b/>
                <w:bCs/>
                <w:color w:val="auto"/>
                <w:szCs w:val="21"/>
                <w:highlight w:val="none"/>
              </w:rPr>
              <w:t xml:space="preserve">(税务、银行或社会保险基金管理部门出具的近三个月内任意一个月缴纳职工社会保障资金的缴款凭证或缴款证明)</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585"/>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rPr>
              <w:t xml:space="preserve">供应商近三个月内任意一份依法纳税的缴款凭证</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515"/>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rPr>
              <w:t xml:space="preserve">上一年度的财务报告情况</w:t>
            </w:r>
            <w:r>
              <w:rPr>
                <w:rFonts w:hint="default" w:ascii="Times New Roman" w:hAnsi="Times New Roman" w:cs="Times New Roman"/>
                <w:b/>
                <w:bCs/>
                <w:color w:val="auto"/>
                <w:szCs w:val="21"/>
                <w:highlight w:val="none"/>
              </w:rPr>
              <w:t xml:space="preserve">（成立不满一年不需提供）</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662"/>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rPr>
              <w:t xml:space="preserve">具备履行合同所必需的设备和专业技术能力的证明材料</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780"/>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rPr>
              <w:t xml:space="preserve">参加本次政府采购活动前3年内在经营活动中没有重大违法记录的书面声明</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780"/>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780"/>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供应商信用承诺</w:t>
            </w:r>
            <w:r>
              <w:rPr>
                <w:rFonts w:hint="default" w:ascii="Times New Roman" w:hAnsi="Times New Roman" w:cs="Times New Roman"/>
                <w:color w:val="auto"/>
                <w:szCs w:val="21"/>
                <w:highlight w:val="none"/>
                <w:lang w:val="en-US" w:eastAsia="zh-CN"/>
              </w:rPr>
              <w:t xml:space="preserve">书</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90"/>
        </w:trPr>
        <w:tc>
          <w:tcPr>
            <w:gridSpan w:val="3"/>
            <w:tcW w:w="8251"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eastAsia" w:cs="Times New Roman"/>
                <w:i/>
                <w:iCs/>
                <w:color w:val="auto"/>
                <w:szCs w:val="21"/>
                <w:highlight w:val="none"/>
                <w:u w:val="single"/>
                <w:lang w:val="en-US" w:eastAsia="zh-CN"/>
              </w:rPr>
              <w:t xml:space="preserve">无</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400"/>
        </w:trPr>
        <w:tc>
          <w:tcPr>
            <w:gridSpan w:val="3"/>
            <w:tcW w:w="8251"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 xml:space="preserve">特定资格条件</w:t>
            </w:r>
            <w:r/>
          </w:p>
        </w:tc>
      </w:tr>
      <w:tr>
        <w:trPr>
          <w:trHeight w:val="389"/>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lang w:val="en-US" w:eastAsia="zh-CN"/>
              </w:rPr>
            </w:pPr>
            <w:r>
              <w:rPr>
                <w:rFonts w:hint="eastAsia" w:cs="Times New Roman"/>
                <w:i/>
                <w:iCs/>
                <w:color w:val="auto"/>
                <w:szCs w:val="21"/>
                <w:highlight w:val="none"/>
                <w:u w:val="single"/>
                <w:lang w:val="en-US" w:eastAsia="zh-CN"/>
              </w:rPr>
              <w:t xml:space="preserve">无</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400"/>
        </w:trPr>
        <w:tc>
          <w:tcPr>
            <w:gridSpan w:val="3"/>
            <w:tcW w:w="8251"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 xml:space="preserve">其他资格条件</w:t>
            </w:r>
            <w:r/>
          </w:p>
        </w:tc>
      </w:tr>
      <w:tr>
        <w:trPr>
          <w:trHeight w:val="400"/>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rPr>
                <w:rFonts w:hint="eastAsia" w:cs="Times New Roman"/>
                <w:color w:val="auto"/>
                <w:szCs w:val="21"/>
                <w:highlight w:val="none"/>
                <w:lang w:val="en-US" w:eastAsia="zh-CN"/>
              </w:rPr>
              <w:t xml:space="preserve">1</w:t>
            </w:r>
            <w:r/>
          </w:p>
        </w:tc>
        <w:tc>
          <w:tcPr>
            <w:tcW w:w="5793"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cs="Times New Roman"/>
                <w:iCs/>
                <w:color w:val="auto"/>
                <w:szCs w:val="21"/>
                <w:highlight w:val="none"/>
              </w:rPr>
            </w:pPr>
            <w:r>
              <w:rPr>
                <w:rFonts w:hint="default" w:ascii="Times New Roman" w:hAnsi="Times New Roman" w:cs="Times New Roman"/>
                <w:iCs/>
                <w:color w:val="auto"/>
                <w:szCs w:val="21"/>
                <w:highlight w:val="none"/>
              </w:rPr>
              <w:t xml:space="preserve">磋商响应函</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400"/>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rPr>
                <w:rFonts w:hint="eastAsia" w:cs="Times New Roman"/>
                <w:color w:val="auto"/>
                <w:szCs w:val="21"/>
                <w:highlight w:val="none"/>
                <w:lang w:val="en-US" w:eastAsia="zh-CN"/>
              </w:rPr>
              <w:t xml:space="preserve">2</w:t>
            </w:r>
            <w:r/>
          </w:p>
        </w:tc>
        <w:tc>
          <w:tcPr>
            <w:tcW w:w="5793"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cs="Times New Roman"/>
                <w:iCs/>
                <w:color w:val="auto"/>
                <w:szCs w:val="21"/>
                <w:highlight w:val="none"/>
              </w:rPr>
            </w:pPr>
            <w:r>
              <w:rPr>
                <w:rFonts w:hint="default" w:ascii="Times New Roman" w:hAnsi="Times New Roman" w:cs="Times New Roman"/>
                <w:iCs/>
                <w:color w:val="auto"/>
                <w:szCs w:val="21"/>
                <w:highlight w:val="none"/>
              </w:rPr>
              <w:t xml:space="preserve">法人授权书</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pStyle w:val="911"/>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2"/>
        <w:spacing w:line="360" w:lineRule="auto"/>
        <w:rPr>
          <w:rFonts w:hint="default" w:ascii="Times New Roman" w:hAnsi="Times New Roman" w:cs="Times New Roman"/>
          <w:color w:val="auto"/>
          <w:highlight w:val="none"/>
        </w:rPr>
        <w:outlineLvl w:val="9"/>
      </w:pPr>
      <w:r>
        <w:rPr>
          <w:rFonts w:hint="default" w:ascii="Times New Roman" w:hAnsi="Times New Roman" w:cs="Times New Roman"/>
          <w:color w:val="auto"/>
          <w:highlight w:val="none"/>
        </w:rPr>
      </w:r>
      <w:r/>
    </w:p>
    <w:p>
      <w:pP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br w:type="page" w:clear="all"/>
      </w:r>
      <w:r/>
    </w:p>
    <w:p>
      <w:pPr>
        <w:jc w:val="center"/>
        <w:spacing w:before="156" w:after="156"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具备履行合同所必需的设备和专业技术能力的书面声明</w:t>
      </w:r>
      <w:r/>
    </w:p>
    <w:p>
      <w:pPr>
        <w:ind w:firstLine="492"/>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主要设备有：</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rPr>
        <w:t xml:space="preserve">。</w:t>
      </w:r>
      <w:r/>
    </w:p>
    <w:p>
      <w:pPr>
        <w:ind w:firstLine="492"/>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主要专业技术能力有：</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rPr>
        <w:t xml:space="preserve">。</w:t>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br w:type="page" w:clear="all"/>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参加本次政府采购活动前 3 年内在经营活动中没有重大违法记录的书面声明</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spacing w:after="312"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声  明</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
          <w:bCs/>
          <w:color w:val="auto"/>
          <w:highlight w:val="none"/>
        </w:rPr>
        <w:t xml:space="preserve">    </w:t>
      </w:r>
      <w:r>
        <w:rPr>
          <w:rFonts w:hint="default" w:ascii="Times New Roman" w:hAnsi="Times New Roman" w:cs="Times New Roman"/>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default" w:ascii="Times New Roman" w:hAnsi="Times New Roman" w:cs="Times New Roman"/>
          <w:bCs/>
          <w:color w:val="auto"/>
          <w:highlight w:val="none"/>
          <w:u w:val="single"/>
        </w:rPr>
      </w:pPr>
      <w:r>
        <w:rPr>
          <w:rFonts w:hint="default" w:ascii="Times New Roman" w:hAnsi="Times New Roman" w:cs="Times New Roman"/>
          <w:bCs/>
          <w:color w:val="auto"/>
          <w:highlight w:val="none"/>
        </w:rPr>
        <w:t xml:space="preserve">                               供应商名称（公章）：</w:t>
      </w:r>
      <w:r>
        <w:rPr>
          <w:rFonts w:hint="default" w:ascii="Times New Roman" w:hAnsi="Times New Roman" w:cs="Times New Roman"/>
          <w:bCs/>
          <w:color w:val="auto"/>
          <w:highlight w:val="none"/>
          <w:u w:val="single"/>
        </w:rPr>
        <w:t xml:space="preserve">               </w:t>
      </w:r>
      <w:r/>
    </w:p>
    <w:p>
      <w:pPr>
        <w:spacing w:line="360" w:lineRule="auto"/>
        <w:rPr>
          <w:rFonts w:hint="default" w:ascii="Times New Roman" w:hAnsi="Times New Roman" w:cs="Times New Roman"/>
          <w:bCs/>
          <w:color w:val="auto"/>
          <w:highlight w:val="none"/>
          <w:u w:val="single"/>
        </w:rPr>
      </w:pPr>
      <w:r>
        <w:rPr>
          <w:rFonts w:hint="default" w:ascii="Times New Roman" w:hAnsi="Times New Roman" w:cs="Times New Roman"/>
          <w:bCs/>
          <w:color w:val="auto"/>
          <w:highlight w:val="none"/>
        </w:rPr>
        <w:t xml:space="preserve">                               法定代表人签章：</w:t>
      </w:r>
      <w:r>
        <w:rPr>
          <w:rFonts w:hint="default" w:ascii="Times New Roman" w:hAnsi="Times New Roman" w:cs="Times New Roman"/>
          <w:bCs/>
          <w:color w:val="auto"/>
          <w:highlight w:val="none"/>
          <w:u w:val="single"/>
        </w:rPr>
        <w:t xml:space="preserve">                   </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spacing w:line="360" w:lineRule="auto"/>
        <w:rPr>
          <w:rFonts w:hint="default" w:ascii="Times New Roman" w:hAnsi="Times New Roman" w:cs="Times New Roman"/>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供应商信用承诺书</w:t>
      </w:r>
      <w:r/>
    </w:p>
    <w:p>
      <w:pPr>
        <w:spacing w:line="360" w:lineRule="auto"/>
        <w:rPr>
          <w:rFonts w:hint="default" w:ascii="Times New Roman" w:hAnsi="Times New Roman" w:cs="Times New Roman"/>
          <w:color w:val="auto"/>
          <w:szCs w:val="32"/>
          <w:highlight w:val="none"/>
        </w:rPr>
      </w:pPr>
      <w:r>
        <w:rPr>
          <w:rFonts w:hint="default" w:ascii="Times New Roman" w:hAnsi="Times New Roman" w:cs="Times New Roman"/>
          <w:color w:val="auto"/>
          <w:szCs w:val="32"/>
          <w:highlight w:val="none"/>
        </w:rPr>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承诺主体名称：</w:t>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统一社会信用代码：</w:t>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四、自觉接受行政管理部门、行业组织、社会公众、新闻舆论的监督；</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七、严格遵守信用信息公示相关规定，向社会公示信用信息；</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八、在“信用中国”和“中国政府采购网”网站中无违法违规、较重或严重失信记录；</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十、本承诺书自签订之日起生效。</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（注：法定代表人或负责人、主体名称发生变更的应当重新做出承诺。）</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w:t>
      </w:r>
      <w:r/>
    </w:p>
    <w:p>
      <w:pPr>
        <w:jc w:val="righ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承诺单位（签章）： </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法定代表人（负责人）：</w:t>
      </w:r>
      <w:r/>
    </w:p>
    <w:p>
      <w:pPr>
        <w:jc w:val="righ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年 月 日</w:t>
      </w:r>
      <w:r/>
    </w:p>
    <w:p>
      <w:pPr>
        <w:jc w:val="center"/>
        <w:spacing w:line="360" w:lineRule="auto"/>
        <w:rPr>
          <w:rFonts w:hint="default" w:ascii="Times New Roman" w:hAnsi="Times New Roman" w:cs="Times New Roman"/>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磋商响应函</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致：扬州览众建设工程咨询服务有限公司</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根据贵方的</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据此函，__________（签字人）兹宣布同意如下：</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1.按磋商文件规定的各项要求，向买方提供所需服务。</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2.我们已详细审核全部磋商文件及其有效补充文件，我们知道必须放弃提出含糊不清或误解问题的权利。</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3.我们同意从规定的响应文件接收截止时间起遵循本响应文件，并在规定的磋商有效期期满之前均具有约束力。</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6.遵守磋商文件中要求的收费项目和标准。</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7.与本磋商采购有关的正式通讯地址为：</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地 址：                         邮 编：</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电 话：                         传 真：</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供应商开户行：                  账 户： </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法定代表人姓名（签章）：         联系电话：</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供应商名称（公章）：            </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 期：_____年____月____日</w:t>
      </w:r>
      <w:r/>
    </w:p>
    <w:p>
      <w:pPr>
        <w:pStyle w:val="1094"/>
        <w:ind w:firstLine="422"/>
        <w:jc w:val="center"/>
        <w:spacing w:after="312" w:line="360" w:lineRule="auto"/>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br w:type="page" w:clear="all"/>
      </w:r>
      <w:r>
        <w:rPr>
          <w:rFonts w:hint="default" w:ascii="Times New Roman" w:hAnsi="Times New Roman" w:cs="Times New Roman"/>
          <w:b/>
          <w:color w:val="auto"/>
          <w:sz w:val="21"/>
          <w:szCs w:val="21"/>
          <w:highlight w:val="none"/>
        </w:rPr>
        <w:t xml:space="preserve">法人授权书</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本授权书声明：________________（供应商名称）授权__________（被授权人的姓名）为我方就</w:t>
      </w:r>
      <w:r>
        <w:rPr>
          <w:rFonts w:hint="default" w:ascii="Times New Roman" w:hAnsi="Times New Roman" w:cs="Times New Roman"/>
          <w:color w:val="auto"/>
          <w:sz w:val="21"/>
          <w:szCs w:val="21"/>
          <w:highlight w:val="none"/>
          <w:u w:val="single"/>
        </w:rPr>
        <w:t xml:space="preserve">         号</w:t>
      </w:r>
      <w:r>
        <w:rPr>
          <w:rFonts w:hint="default" w:ascii="Times New Roman" w:hAnsi="Times New Roman" w:cs="Times New Roman"/>
          <w:color w:val="auto"/>
          <w:sz w:val="21"/>
          <w:szCs w:val="21"/>
          <w:highlight w:val="none"/>
        </w:rPr>
        <w:t xml:space="preserve">（项目编号）</w:t>
      </w:r>
      <w:r>
        <w:rPr>
          <w:rFonts w:hint="eastAsia" w:cs="Times New Roman"/>
          <w:color w:val="auto"/>
          <w:sz w:val="21"/>
          <w:szCs w:val="21"/>
          <w:highlight w:val="none"/>
          <w:u w:val="single"/>
          <w:lang w:eastAsia="zh-CN"/>
        </w:rPr>
        <w:t xml:space="preserve">2025年度扬州社保系统硬件维保项目</w:t>
      </w:r>
      <w:r>
        <w:rPr>
          <w:rFonts w:hint="default" w:ascii="Times New Roman" w:hAnsi="Times New Roman" w:cs="Times New Roman"/>
          <w:color w:val="auto"/>
          <w:sz w:val="21"/>
          <w:szCs w:val="21"/>
          <w:highlight w:val="none"/>
          <w:u w:val="single"/>
        </w:rPr>
        <w:t xml:space="preserve">项目</w:t>
      </w:r>
      <w:r>
        <w:rPr>
          <w:rFonts w:hint="default" w:ascii="Times New Roman" w:hAnsi="Times New Roman" w:cs="Times New Roman"/>
          <w:color w:val="auto"/>
          <w:sz w:val="21"/>
          <w:szCs w:val="21"/>
          <w:highlight w:val="none"/>
        </w:rPr>
        <w:t xml:space="preserve">采购活动的合法代理人，以本公司名义全权处理一切与该项目采购有关的事务。</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本授权书于______年____月____日起生效，特此声明。</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被授权人姓名：____________________   </w:t>
      </w:r>
      <w:r/>
    </w:p>
    <w:p>
      <w:pPr>
        <w:pStyle w:val="1094"/>
        <w:ind w:firstLine="420"/>
        <w:spacing w:line="360" w:lineRule="auto"/>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 xml:space="preserve">联系电话（手机）：</w:t>
      </w:r>
      <w:r>
        <w:rPr>
          <w:rFonts w:hint="default" w:ascii="Times New Roman" w:hAnsi="Times New Roman" w:cs="Times New Roman"/>
          <w:color w:val="auto"/>
          <w:sz w:val="21"/>
          <w:szCs w:val="21"/>
          <w:highlight w:val="none"/>
          <w:u w:val="single"/>
        </w:rPr>
        <w:t xml:space="preserve">                </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单位名称（公章）：________________</w:t>
      </w:r>
      <w:r/>
    </w:p>
    <w:p>
      <w:pPr>
        <w:pStyle w:val="1094"/>
        <w:ind w:firstLine="420"/>
        <w:spacing w:line="360" w:lineRule="auto"/>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 xml:space="preserve">单位地址：</w:t>
      </w:r>
      <w:r>
        <w:rPr>
          <w:rFonts w:hint="default" w:ascii="Times New Roman" w:hAnsi="Times New Roman" w:cs="Times New Roman"/>
          <w:color w:val="auto"/>
          <w:sz w:val="21"/>
          <w:szCs w:val="21"/>
          <w:highlight w:val="none"/>
          <w:u w:val="single"/>
        </w:rPr>
        <w:t xml:space="preserve">                        </w:t>
      </w:r>
      <w:r/>
    </w:p>
    <w:p>
      <w:pPr>
        <w:pStyle w:val="1094"/>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w:t>
      </w:r>
      <w:r>
        <w:rPr>
          <w:rFonts w:hint="default" w:ascii="Times New Roman" w:hAnsi="Times New Roman" w:cs="Times New Roman"/>
          <w:color w:val="auto"/>
          <w:sz w:val="21"/>
          <w:szCs w:val="21"/>
          <w:highlight w:val="none"/>
          <w:u w:val="single"/>
        </w:rPr>
        <w:t xml:space="preserve">                          </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r>
      <w:r/>
    </w:p>
    <w:p>
      <w:pPr>
        <w:ind w:firstLine="420"/>
        <w:spacing w:line="360" w:lineRule="auto"/>
        <w:rPr>
          <w:rFonts w:hint="default" w:ascii="Times New Roman" w:hAnsi="Times New Roman" w:cs="Times New Roman"/>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bCs/>
          <w:color w:val="auto"/>
          <w:highlight w:val="none"/>
        </w:rPr>
        <w:t xml:space="preserve">被授权人身份证复印件</w:t>
      </w:r>
      <w:r/>
    </w:p>
    <w:p>
      <w:pPr>
        <w:numPr>
          <w:ilvl w:val="0"/>
          <w:numId w:val="9"/>
        </w:numPr>
        <w:jc w:val="cente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符合性审查响应对照表</w:t>
      </w:r>
      <w:r/>
    </w:p>
    <w:tbl>
      <w:tblPr>
        <w:tblStyle w:val="863"/>
        <w:tblW w:w="87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W w:w="4792" w:type="dxa"/>
            <w:vAlign w:val="center"/>
            <w:textDirection w:val="lrTb"/>
            <w:noWrap w:val="false"/>
          </w:tcPr>
          <w:p>
            <w:pPr>
              <w:jc w:val="cente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符合性审查响应内容</w:t>
            </w:r>
            <w:r/>
          </w:p>
        </w:tc>
        <w:tc>
          <w:tcPr>
            <w:tcW w:w="2006" w:type="dxa"/>
            <w:vAlign w:val="center"/>
            <w:textDirection w:val="lrTb"/>
            <w:noWrap w:val="false"/>
          </w:tcPr>
          <w:p>
            <w:pPr>
              <w:jc w:val="cente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是否响应</w:t>
            </w:r>
            <w:r/>
          </w:p>
          <w:p>
            <w:pPr>
              <w:jc w:val="cente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（填是或者否）</w:t>
            </w:r>
            <w:r/>
          </w:p>
        </w:tc>
        <w:tc>
          <w:tcPr>
            <w:tcW w:w="1348" w:type="dxa"/>
            <w:vAlign w:val="center"/>
            <w:textDirection w:val="lrTb"/>
            <w:noWrap w:val="false"/>
          </w:tcPr>
          <w:p>
            <w:pPr>
              <w:jc w:val="cente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w:t>
            </w:r>
            <w:r/>
          </w:p>
        </w:tc>
        <w:tc>
          <w:tcPr>
            <w:tcW w:w="4792" w:type="dxa"/>
            <w:vAlign w:val="center"/>
            <w:textDirection w:val="lrTb"/>
            <w:noWrap w:val="false"/>
          </w:tcPr>
          <w:p>
            <w:pPr>
              <w:spacing w:line="360" w:lineRule="auto"/>
              <w:rPr>
                <w:rFonts w:hint="default" w:ascii="Times New Roman" w:hAnsi="Times New Roman" w:cs="Times New Roman"/>
                <w:iCs/>
                <w:color w:val="auto"/>
                <w:szCs w:val="21"/>
                <w:highlight w:val="none"/>
              </w:rPr>
            </w:pPr>
            <w:r>
              <w:rPr>
                <w:rFonts w:hint="default" w:ascii="Times New Roman" w:hAnsi="Times New Roman" w:cs="Times New Roman"/>
                <w:iCs/>
                <w:color w:val="auto"/>
                <w:szCs w:val="21"/>
                <w:highlight w:val="none"/>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c>
          <w:tcPr>
            <w:tcW w:w="1348" w:type="dxa"/>
            <w:vAlign w:val="center"/>
            <w:textDirection w:val="lrTb"/>
            <w:noWrap w:val="false"/>
          </w:tcPr>
          <w:p>
            <w:pP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r>
      <w:tr>
        <w:trPr>
          <w:trHeight w:val="585"/>
        </w:trPr>
        <w:tc>
          <w:tcPr>
            <w:tcW w:w="64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p>
        </w:tc>
        <w:tc>
          <w:tcPr>
            <w:tcW w:w="4792" w:type="dxa"/>
            <w:vAlign w:val="center"/>
            <w:textDirection w:val="lrTb"/>
            <w:noWrap w:val="false"/>
          </w:tcPr>
          <w:p>
            <w:pPr>
              <w:spacing w:line="360" w:lineRule="auto"/>
              <w:rPr>
                <w:rFonts w:hint="default" w:ascii="Times New Roman" w:hAnsi="Times New Roman" w:cs="Times New Roman"/>
                <w:iCs/>
                <w:color w:val="auto"/>
                <w:szCs w:val="21"/>
                <w:highlight w:val="none"/>
              </w:rPr>
            </w:pPr>
            <w:r>
              <w:rPr>
                <w:rFonts w:hint="default" w:ascii="Times New Roman" w:hAnsi="Times New Roman" w:cs="Times New Roman"/>
                <w:iCs/>
                <w:color w:val="auto"/>
                <w:szCs w:val="21"/>
                <w:highlight w:val="none"/>
              </w:rPr>
            </w:r>
            <w:r/>
          </w:p>
        </w:tc>
        <w:tc>
          <w:tcPr>
            <w:tcW w:w="2006"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48"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585"/>
        </w:trPr>
        <w:tc>
          <w:tcPr>
            <w:tcW w:w="64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p>
        </w:tc>
        <w:tc>
          <w:tcPr>
            <w:tcW w:w="4792" w:type="dxa"/>
            <w:vAlign w:val="center"/>
            <w:textDirection w:val="lrTb"/>
            <w:noWrap w:val="false"/>
          </w:tcPr>
          <w:p>
            <w:pPr>
              <w:spacing w:line="360" w:lineRule="auto"/>
              <w:rPr>
                <w:rFonts w:hint="default" w:ascii="Times New Roman" w:hAnsi="Times New Roman" w:cs="Times New Roman"/>
                <w:iCs/>
                <w:color w:val="auto"/>
                <w:szCs w:val="21"/>
                <w:highlight w:val="none"/>
              </w:rPr>
            </w:pPr>
            <w:r>
              <w:rPr>
                <w:rFonts w:hint="default" w:ascii="Times New Roman" w:hAnsi="Times New Roman" w:cs="Times New Roman"/>
                <w:iCs/>
                <w:color w:val="auto"/>
                <w:szCs w:val="21"/>
                <w:highlight w:val="none"/>
              </w:rPr>
            </w:r>
            <w:r/>
          </w:p>
        </w:tc>
        <w:tc>
          <w:tcPr>
            <w:tcW w:w="2006"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48"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417"/>
        </w:trPr>
        <w:tc>
          <w:tcPr>
            <w:tcW w:w="64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w:t>
            </w:r>
            <w:r/>
          </w:p>
        </w:tc>
        <w:tc>
          <w:tcPr>
            <w:tcW w:w="4792" w:type="dxa"/>
            <w:vAlign w:val="center"/>
            <w:textDirection w:val="lrTb"/>
            <w:noWrap w:val="false"/>
          </w:tcPr>
          <w:p>
            <w:pPr>
              <w:spacing w:line="360" w:lineRule="auto"/>
              <w:rPr>
                <w:rFonts w:hint="default" w:ascii="Times New Roman" w:hAnsi="Times New Roman" w:cs="Times New Roman"/>
                <w:iCs/>
                <w:color w:val="auto"/>
                <w:szCs w:val="21"/>
                <w:highlight w:val="none"/>
              </w:rPr>
            </w:pPr>
            <w:r>
              <w:rPr>
                <w:rFonts w:hint="default" w:ascii="Times New Roman" w:hAnsi="Times New Roman" w:cs="Times New Roman"/>
                <w:iCs/>
                <w:color w:val="auto"/>
                <w:szCs w:val="21"/>
                <w:highlight w:val="none"/>
              </w:rPr>
            </w:r>
            <w:r/>
          </w:p>
        </w:tc>
        <w:tc>
          <w:tcPr>
            <w:tcW w:w="2006"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48"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w:t>
            </w:r>
            <w:r/>
          </w:p>
        </w:tc>
        <w:tc>
          <w:tcPr>
            <w:tcW w:w="4792" w:type="dxa"/>
            <w:vAlign w:val="center"/>
            <w:textDirection w:val="lrTb"/>
            <w:noWrap w:val="false"/>
          </w:tcPr>
          <w:p>
            <w:pPr>
              <w:spacing w:line="360" w:lineRule="auto"/>
              <w:rPr>
                <w:rFonts w:hint="default" w:ascii="Times New Roman" w:hAnsi="Times New Roman" w:cs="Times New Roman"/>
                <w:iCs/>
                <w:color w:val="auto"/>
                <w:szCs w:val="21"/>
                <w:highlight w:val="none"/>
              </w:rPr>
            </w:pPr>
            <w:r>
              <w:rPr>
                <w:rFonts w:hint="default" w:ascii="Times New Roman" w:hAnsi="Times New Roman" w:cs="Times New Roman"/>
                <w:iCs/>
                <w:color w:val="auto"/>
                <w:szCs w:val="21"/>
                <w:highlight w:val="none"/>
              </w:rPr>
              <w:t xml:space="preserve">……</w:t>
            </w:r>
            <w:r/>
          </w:p>
        </w:tc>
        <w:tc>
          <w:tcPr>
            <w:tcW w:w="2006"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48"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contextualSpacing/>
        <w:jc w:val="center"/>
        <w:spacing w:line="360" w:lineRule="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br w:type="page" w:clear="all"/>
      </w:r>
      <w:r/>
    </w:p>
    <w:p>
      <w:pPr>
        <w:numPr>
          <w:ilvl w:val="0"/>
          <w:numId w:val="9"/>
        </w:numPr>
        <w:jc w:val="cente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非实质性响应对照表</w:t>
      </w:r>
      <w:r/>
    </w:p>
    <w:p>
      <w:pP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tbl>
      <w:tblPr>
        <w:tblStyle w:val="863"/>
        <w:tblW w:w="86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W w:w="4572" w:type="dxa"/>
            <w:vAlign w:val="center"/>
            <w:textDirection w:val="lrTb"/>
            <w:noWrap w:val="false"/>
          </w:tcPr>
          <w:p>
            <w:pPr>
              <w:jc w:val="cente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非实质性响应内容</w:t>
            </w:r>
            <w:r/>
          </w:p>
        </w:tc>
        <w:tc>
          <w:tcPr>
            <w:tcW w:w="1968" w:type="dxa"/>
            <w:vAlign w:val="center"/>
            <w:textDirection w:val="lrTb"/>
            <w:noWrap w:val="false"/>
          </w:tcPr>
          <w:p>
            <w:pPr>
              <w:jc w:val="cente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是否响应</w:t>
            </w:r>
            <w:r/>
          </w:p>
          <w:p>
            <w:pPr>
              <w:jc w:val="cente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（填是或者否）</w:t>
            </w:r>
            <w:r/>
          </w:p>
        </w:tc>
        <w:tc>
          <w:tcPr>
            <w:tcW w:w="1491" w:type="dxa"/>
            <w:vAlign w:val="center"/>
            <w:textDirection w:val="lrTb"/>
            <w:noWrap w:val="false"/>
          </w:tcPr>
          <w:p>
            <w:pPr>
              <w:jc w:val="cente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w:t>
            </w:r>
            <w:r/>
          </w:p>
        </w:tc>
        <w:tc>
          <w:tcPr>
            <w:tcW w:w="4572" w:type="dxa"/>
            <w:vAlign w:val="center"/>
            <w:textDirection w:val="lrTb"/>
            <w:noWrap w:val="false"/>
          </w:tcPr>
          <w:p>
            <w:pPr>
              <w:spacing w:line="360" w:lineRule="auto"/>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rPr>
              <w:t xml:space="preserve">《企业声明函》</w:t>
            </w:r>
            <w:r/>
          </w:p>
        </w:tc>
        <w:tc>
          <w:tcPr>
            <w:tcW w:w="1968" w:type="dxa"/>
            <w:vAlign w:val="center"/>
            <w:textDirection w:val="lrTb"/>
            <w:noWrap w:val="false"/>
          </w:tcPr>
          <w:p>
            <w:pP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c>
          <w:tcPr>
            <w:tcW w:w="1491" w:type="dxa"/>
            <w:vAlign w:val="center"/>
            <w:textDirection w:val="lrTb"/>
            <w:noWrap w:val="false"/>
          </w:tcPr>
          <w:p>
            <w:pP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r>
      <w:tr>
        <w:trPr>
          <w:trHeight w:val="585"/>
        </w:trPr>
        <w:tc>
          <w:tcPr>
            <w:tcW w:w="64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p>
        </w:tc>
        <w:tc>
          <w:tcPr>
            <w:tcW w:w="4572" w:type="dxa"/>
            <w:vAlign w:val="center"/>
            <w:textDirection w:val="lrTb"/>
            <w:noWrap w:val="false"/>
          </w:tcPr>
          <w:p>
            <w:pPr>
              <w:spacing w:line="360" w:lineRule="auto"/>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rPr>
              <w:t xml:space="preserve">《残疾人福利性单位声明函》</w:t>
            </w:r>
            <w:r/>
          </w:p>
        </w:tc>
        <w:tc>
          <w:tcPr>
            <w:tcW w:w="1968"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91"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p>
        </w:tc>
        <w:tc>
          <w:tcPr>
            <w:tcW w:w="4572" w:type="dxa"/>
            <w:vAlign w:val="center"/>
            <w:textDirection w:val="lrTb"/>
            <w:noWrap w:val="false"/>
          </w:tcPr>
          <w:p>
            <w:pPr>
              <w:spacing w:line="360" w:lineRule="auto"/>
              <w:rPr>
                <w:rFonts w:hint="default" w:ascii="Times New Roman" w:hAnsi="Times New Roman" w:cs="Times New Roman"/>
                <w:iCs/>
                <w:color w:val="auto"/>
                <w:szCs w:val="21"/>
                <w:highlight w:val="none"/>
              </w:rPr>
            </w:pPr>
            <w:r>
              <w:rPr>
                <w:rFonts w:hint="default" w:ascii="Times New Roman" w:hAnsi="Times New Roman" w:cs="Times New Roman"/>
                <w:iCs/>
                <w:color w:val="auto"/>
                <w:szCs w:val="21"/>
                <w:highlight w:val="none"/>
              </w:rPr>
              <w:t xml:space="preserve">……</w:t>
            </w:r>
            <w:r/>
          </w:p>
        </w:tc>
        <w:tc>
          <w:tcPr>
            <w:tcW w:w="1968"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91"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jc w:val="left"/>
        <w:spacing w:line="360" w:lineRule="auto"/>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pStyle w:val="907"/>
        <w:jc w:val="center"/>
        <w:keepLines w:val="0"/>
        <w:keepNext w:val="0"/>
        <w:pageBreakBefore w:val="0"/>
        <w:spacing w:before="312" w:after="312" w:line="440" w:lineRule="exact"/>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br w:type="page" w:clear="all"/>
      </w:r>
      <w:r>
        <w:rPr>
          <w:rFonts w:hint="default" w:ascii="Times New Roman" w:hAnsi="Times New Roman" w:cs="Times New Roman"/>
          <w:b/>
          <w:bCs/>
          <w:color w:val="auto"/>
          <w:highlight w:val="none"/>
        </w:rPr>
        <w:t xml:space="preserve">中小企业声明函（工程、服务）</w:t>
      </w:r>
      <w:r/>
    </w:p>
    <w:p>
      <w:pPr>
        <w:pStyle w:val="907"/>
        <w:ind w:firstLine="420"/>
        <w:jc w:val="left"/>
        <w:keepLines w:val="0"/>
        <w:keepNext w:val="0"/>
        <w:pageBreakBefore w:val="0"/>
        <w:spacing w:line="42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本公司（联合体）郑重声明，根据《政府采购促进中小企业发展管理办法》（财库﹝2020﹞46 号）的规定，本公司（联合体）参加</w:t>
      </w:r>
      <w:r>
        <w:rPr>
          <w:rFonts w:hint="default" w:ascii="Times New Roman" w:hAnsi="Times New Roman" w:cs="Times New Roman"/>
          <w:color w:val="auto"/>
          <w:highlight w:val="none"/>
          <w:u w:val="single"/>
        </w:rPr>
        <w:t xml:space="preserve">         （单位名称）</w:t>
      </w:r>
      <w:r>
        <w:rPr>
          <w:rFonts w:hint="default" w:ascii="Times New Roman" w:hAnsi="Times New Roman" w:cs="Times New Roman"/>
          <w:color w:val="auto"/>
          <w:highlight w:val="none"/>
        </w:rPr>
        <w:t xml:space="preserve">的</w:t>
      </w:r>
      <w:r>
        <w:rPr>
          <w:rFonts w:hint="default" w:ascii="Times New Roman" w:hAnsi="Times New Roman" w:cs="Times New Roman"/>
          <w:color w:val="auto"/>
          <w:highlight w:val="none"/>
          <w:u w:val="single"/>
        </w:rPr>
        <w:t xml:space="preserve">      （项目名称）</w:t>
      </w:r>
      <w:r>
        <w:rPr>
          <w:rFonts w:hint="default" w:ascii="Times New Roman" w:hAnsi="Times New Roman" w:cs="Times New Roman"/>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07"/>
        <w:ind w:firstLine="420"/>
        <w:jc w:val="left"/>
        <w:keepLines w:val="0"/>
        <w:keepNext w:val="0"/>
        <w:pageBreakBefore w:val="0"/>
        <w:spacing w:line="420" w:lineRule="exact"/>
        <w:widowControl w:val="off"/>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1. </w:t>
      </w:r>
      <w:r>
        <w:rPr>
          <w:rFonts w:hint="default" w:ascii="Times New Roman" w:hAnsi="Times New Roman" w:cs="Times New Roman"/>
          <w:color w:val="auto"/>
          <w:highlight w:val="none"/>
          <w:u w:val="single"/>
        </w:rPr>
        <w:t xml:space="preserve">（标的名称） </w:t>
      </w:r>
      <w:r>
        <w:rPr>
          <w:rFonts w:hint="default" w:ascii="Times New Roman" w:hAnsi="Times New Roman" w:cs="Times New Roman"/>
          <w:color w:val="auto"/>
          <w:highlight w:val="none"/>
        </w:rPr>
        <w:t xml:space="preserve">，属于</w:t>
      </w:r>
      <w:r>
        <w:rPr>
          <w:rFonts w:hint="default" w:ascii="Times New Roman" w:hAnsi="Times New Roman" w:cs="Times New Roman"/>
          <w:b/>
          <w:bCs/>
          <w:color w:val="auto"/>
          <w:highlight w:val="none"/>
          <w:u w:val="single"/>
        </w:rPr>
        <w:t xml:space="preserve">（</w:t>
      </w:r>
      <w:r>
        <w:rPr>
          <w:rFonts w:hint="default" w:ascii="Times New Roman" w:hAnsi="Times New Roman" w:cs="Times New Roman"/>
          <w:color w:val="auto"/>
          <w:highlight w:val="none"/>
          <w:u w:val="single"/>
          <w:lang w:eastAsia="zh-CN"/>
        </w:rPr>
        <w:t xml:space="preserve">软件和信息技术服务业</w:t>
      </w:r>
      <w:r>
        <w:rPr>
          <w:rFonts w:hint="default" w:ascii="Times New Roman" w:hAnsi="Times New Roman" w:cs="Times New Roman"/>
          <w:b/>
          <w:bCs/>
          <w:color w:val="auto"/>
          <w:highlight w:val="none"/>
          <w:u w:val="single"/>
        </w:rPr>
        <w:t xml:space="preserve">）</w:t>
      </w:r>
      <w:r>
        <w:rPr>
          <w:rFonts w:hint="default" w:ascii="Times New Roman" w:hAnsi="Times New Roman" w:cs="Times New Roman"/>
          <w:color w:val="auto"/>
          <w:highlight w:val="none"/>
          <w:u w:val="single"/>
        </w:rPr>
        <w:t xml:space="preserve">（该行业类别不可修改）</w:t>
      </w:r>
      <w:r>
        <w:rPr>
          <w:rFonts w:hint="default" w:ascii="Times New Roman" w:hAnsi="Times New Roman" w:cs="Times New Roman"/>
          <w:color w:val="auto"/>
          <w:highlight w:val="none"/>
        </w:rPr>
        <w:t xml:space="preserve">；承建（承接）企业为</w:t>
      </w:r>
      <w:r>
        <w:rPr>
          <w:rFonts w:hint="default" w:ascii="Times New Roman" w:hAnsi="Times New Roman" w:cs="Times New Roman"/>
          <w:color w:val="auto"/>
          <w:highlight w:val="none"/>
          <w:u w:val="single"/>
        </w:rPr>
        <w:t xml:space="preserve">（企业名称）</w:t>
      </w:r>
      <w:r>
        <w:rPr>
          <w:rFonts w:hint="default" w:ascii="Times New Roman" w:hAnsi="Times New Roman" w:cs="Times New Roman"/>
          <w:color w:val="auto"/>
          <w:highlight w:val="none"/>
        </w:rPr>
        <w:t xml:space="preserve">，从业人员</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人，营业收入为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万元，资产总额为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万元</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"br1" </w:instrText>
      </w:r>
      <w:r>
        <w:rPr>
          <w:rFonts w:hint="default" w:ascii="Times New Roman" w:hAnsi="Times New Roman" w:cs="Times New Roman"/>
          <w:color w:val="auto"/>
          <w:highlight w:val="none"/>
        </w:rPr>
        <w:fldChar w:fldCharType="separate"/>
      </w:r>
      <w:r>
        <w:rPr>
          <w:rFonts w:hint="default" w:ascii="Times New Roman" w:hAnsi="Times New Roman" w:eastAsia="Times New Roman" w:cs="Times New Roman"/>
          <w:color w:val="auto"/>
          <w:spacing w:val="-1"/>
          <w:highlight w:val="none"/>
          <w:vertAlign w:val="superscript"/>
        </w:rPr>
        <w:t xml:space="preserve">1</w:t>
      </w:r>
      <w:r>
        <w:rPr>
          <w:rFonts w:hint="default" w:ascii="Times New Roman" w:hAnsi="Times New Roman" w:eastAsia="Times New Roman" w:cs="Times New Roman"/>
          <w:color w:val="auto"/>
          <w:spacing w:val="-1"/>
          <w:highlight w:val="none"/>
          <w:vertAlign w:val="superscript"/>
        </w:rPr>
        <w:fldChar w:fldCharType="end"/>
      </w:r>
      <w:r>
        <w:rPr>
          <w:rFonts w:hint="default" w:ascii="Times New Roman" w:hAnsi="Times New Roman" w:cs="Times New Roman"/>
          <w:color w:val="auto"/>
          <w:highlight w:val="none"/>
        </w:rPr>
        <w:t xml:space="preserve">，属于</w:t>
      </w:r>
      <w:r>
        <w:rPr>
          <w:rFonts w:hint="default" w:ascii="Times New Roman" w:hAnsi="Times New Roman" w:cs="Times New Roman"/>
          <w:color w:val="auto"/>
          <w:highlight w:val="none"/>
          <w:u w:val="single"/>
        </w:rPr>
        <w:t xml:space="preserve">（中型企业、小型企业、微型企业）；</w:t>
      </w:r>
      <w:r/>
    </w:p>
    <w:p>
      <w:pPr>
        <w:pStyle w:val="907"/>
        <w:ind w:firstLine="420"/>
        <w:jc w:val="left"/>
        <w:keepLines w:val="0"/>
        <w:keepNext w:val="0"/>
        <w:pageBreakBefore w:val="0"/>
        <w:spacing w:line="420" w:lineRule="exact"/>
        <w:widowControl w:val="off"/>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2. </w:t>
      </w:r>
      <w:r>
        <w:rPr>
          <w:rFonts w:hint="default" w:ascii="Times New Roman" w:hAnsi="Times New Roman" w:cs="Times New Roman"/>
          <w:color w:val="auto"/>
          <w:highlight w:val="none"/>
          <w:u w:val="single"/>
        </w:rPr>
        <w:t xml:space="preserve">（标的名称）</w:t>
      </w:r>
      <w:r>
        <w:rPr>
          <w:rFonts w:hint="default" w:ascii="Times New Roman" w:hAnsi="Times New Roman" w:cs="Times New Roman"/>
          <w:color w:val="auto"/>
          <w:highlight w:val="none"/>
        </w:rPr>
        <w:t xml:space="preserve"> ，属于</w:t>
      </w:r>
      <w:r>
        <w:rPr>
          <w:rFonts w:hint="default" w:ascii="Times New Roman" w:hAnsi="Times New Roman" w:cs="Times New Roman"/>
          <w:b/>
          <w:bCs/>
          <w:color w:val="auto"/>
          <w:highlight w:val="none"/>
          <w:u w:val="single"/>
        </w:rPr>
        <w:t xml:space="preserve">（</w:t>
      </w:r>
      <w:r>
        <w:rPr>
          <w:rFonts w:hint="default" w:ascii="Times New Roman" w:hAnsi="Times New Roman" w:cs="Times New Roman"/>
          <w:color w:val="auto"/>
          <w:highlight w:val="none"/>
          <w:u w:val="single"/>
          <w:lang w:eastAsia="zh-CN"/>
        </w:rPr>
        <w:t xml:space="preserve">软件和信息技术服务业</w:t>
      </w:r>
      <w:r>
        <w:rPr>
          <w:rFonts w:hint="default" w:ascii="Times New Roman" w:hAnsi="Times New Roman" w:cs="Times New Roman"/>
          <w:b/>
          <w:bCs/>
          <w:color w:val="auto"/>
          <w:highlight w:val="none"/>
          <w:u w:val="single"/>
        </w:rPr>
        <w:t xml:space="preserve">）</w:t>
      </w:r>
      <w:r>
        <w:rPr>
          <w:rFonts w:hint="default" w:ascii="Times New Roman" w:hAnsi="Times New Roman" w:cs="Times New Roman"/>
          <w:color w:val="auto"/>
          <w:highlight w:val="none"/>
          <w:u w:val="single"/>
        </w:rPr>
        <w:t xml:space="preserve">（该行业类别不可修改）</w:t>
      </w:r>
      <w:r>
        <w:rPr>
          <w:rFonts w:hint="default" w:ascii="Times New Roman" w:hAnsi="Times New Roman" w:cs="Times New Roman"/>
          <w:color w:val="auto"/>
          <w:highlight w:val="none"/>
        </w:rPr>
        <w:t xml:space="preserve">；承建（承接）企业为</w:t>
      </w:r>
      <w:r>
        <w:rPr>
          <w:rFonts w:hint="default" w:ascii="Times New Roman" w:hAnsi="Times New Roman" w:cs="Times New Roman"/>
          <w:color w:val="auto"/>
          <w:highlight w:val="none"/>
          <w:u w:val="single"/>
        </w:rPr>
        <w:t xml:space="preserve">（企业名称）</w:t>
      </w:r>
      <w:r>
        <w:rPr>
          <w:rFonts w:hint="default" w:ascii="Times New Roman" w:hAnsi="Times New Roman" w:cs="Times New Roman"/>
          <w:color w:val="auto"/>
          <w:highlight w:val="none"/>
        </w:rPr>
        <w:t xml:space="preserve">，从业人员</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人，营业收入为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万元，资产总额为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万元，属于</w:t>
      </w:r>
      <w:r>
        <w:rPr>
          <w:rFonts w:hint="default" w:ascii="Times New Roman" w:hAnsi="Times New Roman" w:cs="Times New Roman"/>
          <w:color w:val="auto"/>
          <w:highlight w:val="none"/>
          <w:u w:val="single"/>
        </w:rPr>
        <w:t xml:space="preserve">（中型企业、小型企业、微型企业）；</w:t>
      </w:r>
      <w:r/>
    </w:p>
    <w:p>
      <w:pPr>
        <w:pStyle w:val="907"/>
        <w:ind w:firstLine="420"/>
        <w:jc w:val="left"/>
        <w:keepLines w:val="0"/>
        <w:keepNext w:val="0"/>
        <w:pageBreakBefore w:val="0"/>
        <w:spacing w:line="42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p>
    <w:p>
      <w:pPr>
        <w:pStyle w:val="907"/>
        <w:ind w:firstLine="420"/>
        <w:jc w:val="left"/>
        <w:keepLines w:val="0"/>
        <w:keepNext w:val="0"/>
        <w:pageBreakBefore w:val="0"/>
        <w:spacing w:line="42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以上企业，不属于大企业的分支机构，不存在控股股东为大企业的情形，也不存在与大企业的负责人为同一人的情形。</w:t>
      </w:r>
      <w:r/>
    </w:p>
    <w:p>
      <w:pPr>
        <w:pStyle w:val="907"/>
        <w:ind w:firstLine="420"/>
        <w:jc w:val="left"/>
        <w:keepLines w:val="0"/>
        <w:keepNext w:val="0"/>
        <w:pageBreakBefore w:val="0"/>
        <w:spacing w:line="42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本企业对上述声明内容的真实性负责。如有虚假，将依法承担相应责任。</w:t>
      </w:r>
      <w:r/>
    </w:p>
    <w:p>
      <w:pPr>
        <w:pStyle w:val="907"/>
        <w:keepLines w:val="0"/>
        <w:keepNext w:val="0"/>
        <w:pageBreakBefore w:val="0"/>
        <w:spacing w:line="420" w:lineRule="exact"/>
        <w:widowControl w:val="off"/>
        <w:rPr>
          <w:rFonts w:hint="default" w:ascii="Times New Roman" w:hAnsi="Times New Roman" w:cs="Times New Roman"/>
          <w:color w:val="auto"/>
          <w:highlight w:val="none"/>
        </w:rPr>
      </w:pPr>
      <w:r>
        <w:rPr>
          <w:rFonts w:hint="default" w:ascii="Times New Roman" w:hAnsi="Times New Roman" w:cs="Times New Roman"/>
          <w:b/>
          <w:bCs/>
          <w:color w:val="auto"/>
          <w:highlight w:val="none"/>
        </w:rPr>
        <w:t xml:space="preserve">注</w:t>
      </w:r>
      <w:r>
        <w:rPr>
          <w:rFonts w:hint="default" w:ascii="Times New Roman" w:hAnsi="Times New Roman" w:cs="Times New Roman"/>
          <w:color w:val="auto"/>
          <w:highlight w:val="none"/>
        </w:rPr>
        <w:t xml:space="preserve">：1、从业人员（不仅指在职职工）、营业收入、资产总额填报上一年度数据，无上一年度数据的新成立企业可不填报。</w:t>
      </w:r>
      <w:r/>
    </w:p>
    <w:p>
      <w:pPr>
        <w:pStyle w:val="907"/>
        <w:ind w:firstLine="420"/>
        <w:keepLines w:val="0"/>
        <w:keepNext w:val="0"/>
        <w:pageBreakBefore w:val="0"/>
        <w:spacing w:line="42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2、供应商如不提供此声明函，价格将不做相应扣除。</w:t>
      </w:r>
      <w:r/>
    </w:p>
    <w:p>
      <w:pPr>
        <w:pStyle w:val="907"/>
        <w:keepLines w:val="0"/>
        <w:keepNext w:val="0"/>
        <w:pageBreakBefore w:val="0"/>
        <w:spacing w:line="42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3、企业声明函请完整填写，</w:t>
      </w:r>
      <w:r>
        <w:rPr>
          <w:rFonts w:hint="default" w:ascii="Times New Roman" w:hAnsi="Times New Roman" w:cs="Times New Roman"/>
          <w:color w:val="auto"/>
          <w:highlight w:val="none"/>
          <w:lang w:eastAsia="zh-CN"/>
        </w:rPr>
        <w:t xml:space="preserve">成交</w:t>
      </w:r>
      <w:r>
        <w:rPr>
          <w:rFonts w:hint="default" w:ascii="Times New Roman" w:hAnsi="Times New Roman" w:cs="Times New Roman"/>
          <w:color w:val="auto"/>
          <w:highlight w:val="none"/>
        </w:rPr>
        <w:t xml:space="preserve">后将公示。</w:t>
      </w:r>
      <w:r/>
    </w:p>
    <w:p>
      <w:pPr>
        <w:pStyle w:val="907"/>
        <w:ind w:firstLine="420"/>
        <w:jc w:val="left"/>
        <w:keepLines w:val="0"/>
        <w:keepNext w:val="0"/>
        <w:pageBreakBefore w:val="0"/>
        <w:spacing w:line="42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4、供应商应当对其出具的《中小企业声明函》真实性负责，供应商出具的《中小企业声明函》内容不实的，属于提供虚假材料谋取</w:t>
      </w:r>
      <w:r>
        <w:rPr>
          <w:rFonts w:hint="default" w:ascii="Times New Roman" w:hAnsi="Times New Roman" w:cs="Times New Roman"/>
          <w:color w:val="auto"/>
          <w:highlight w:val="none"/>
          <w:lang w:eastAsia="zh-CN"/>
        </w:rPr>
        <w:t xml:space="preserve">成交</w:t>
      </w:r>
      <w:r>
        <w:rPr>
          <w:rFonts w:hint="default" w:ascii="Times New Roman" w:hAnsi="Times New Roman" w:cs="Times New Roman"/>
          <w:color w:val="auto"/>
          <w:highlight w:val="none"/>
        </w:rPr>
        <w:t xml:space="preserve">。对相关制造商信息了解不充分，或者不能确定相关信息真实、准确的，不建议出具《中小企业声明函》。</w:t>
      </w:r>
      <w:r/>
    </w:p>
    <w:p>
      <w:pPr>
        <w:pStyle w:val="907"/>
        <w:ind w:firstLine="420"/>
        <w:jc w:val="left"/>
        <w:keepLines w:val="0"/>
        <w:keepNext w:val="0"/>
        <w:pageBreakBefore w:val="0"/>
        <w:spacing w:line="42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5、中小企业不得属于大企业的分支机构，不得存在控股股东为大企业的情形，不得存在与大企业的负责人为同一人的情形。</w:t>
      </w:r>
      <w:r/>
    </w:p>
    <w:p>
      <w:pPr>
        <w:pStyle w:val="907"/>
        <w:ind w:firstLine="420"/>
        <w:jc w:val="left"/>
        <w:keepLines w:val="0"/>
        <w:keepNext w:val="0"/>
        <w:pageBreakBefore w:val="0"/>
        <w:spacing w:line="42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6、《政府采购法》第七十七条第一款：提供虚假材料谋取</w:t>
      </w:r>
      <w:r>
        <w:rPr>
          <w:rFonts w:hint="default" w:ascii="Times New Roman" w:hAnsi="Times New Roman" w:cs="Times New Roman"/>
          <w:color w:val="auto"/>
          <w:highlight w:val="none"/>
          <w:lang w:eastAsia="zh-CN"/>
        </w:rPr>
        <w:t xml:space="preserve">成交</w:t>
      </w:r>
      <w:r>
        <w:rPr>
          <w:rFonts w:hint="default" w:ascii="Times New Roman" w:hAnsi="Times New Roman" w:cs="Times New Roman"/>
          <w:color w:val="auto"/>
          <w:highlight w:val="none"/>
        </w:rPr>
        <w:t xml:space="preserve">、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907"/>
        <w:ind w:firstLine="4620"/>
        <w:jc w:val="left"/>
        <w:keepLines w:val="0"/>
        <w:keepNext w:val="0"/>
        <w:pageBreakBefore w:val="0"/>
        <w:spacing w:line="42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企业名称（盖章）：</w:t>
      </w:r>
      <w:r/>
    </w:p>
    <w:p>
      <w:pPr>
        <w:pStyle w:val="907"/>
        <w:ind w:firstLine="4620"/>
        <w:jc w:val="left"/>
        <w:keepLines w:val="0"/>
        <w:keepNext w:val="0"/>
        <w:pageBreakBefore w:val="0"/>
        <w:spacing w:line="42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 xml:space="preserve">日 期：</w:t>
      </w:r>
      <w:bookmarkStart w:id="42" w:name="_Toc109304977"/>
      <w:r/>
      <w:r/>
    </w:p>
    <w:p>
      <w:pPr>
        <w:pStyle w:val="1099"/>
        <w:jc w:val="center"/>
        <w:spacing w:before="300" w:after="300" w:line="360" w:lineRule="auto"/>
        <w:widowControl/>
        <w:rPr>
          <w:rFonts w:hint="default" w:ascii="Times New Roman" w:hAnsi="Times New Roman" w:eastAsia="宋体" w:cs="Times New Roman"/>
          <w:color w:val="auto"/>
          <w:sz w:val="21"/>
          <w:szCs w:val="21"/>
          <w:highlight w:val="none"/>
          <w:lang w:eastAsia="zh-CN"/>
        </w:rPr>
        <w:outlineLvl w:val="9"/>
      </w:pPr>
      <w:r/>
      <w:bookmarkStart w:id="43" w:name="_Toc32128"/>
      <w:r>
        <w:rPr>
          <w:rFonts w:hint="default" w:ascii="Times New Roman" w:hAnsi="Times New Roman" w:cs="Times New Roman"/>
          <w:bCs w:val="0"/>
          <w:color w:val="auto"/>
          <w:sz w:val="21"/>
          <w:szCs w:val="21"/>
          <w:highlight w:val="none"/>
        </w:rPr>
        <w:t xml:space="preserve">中小微企业划型标准</w:t>
      </w:r>
      <w:bookmarkEnd w:id="42"/>
      <w:r/>
      <w:bookmarkEnd w:id="43"/>
      <w:r/>
      <w:r/>
    </w:p>
    <w:p>
      <w:pPr>
        <w:pStyle w:val="1106"/>
        <w:ind w:firstLine="420"/>
        <w:spacing w:before="300" w:after="452" w:line="360" w:lineRule="auto"/>
        <w:widowControl/>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w:t>
      </w:r>
      <w:r>
        <w:rPr>
          <w:rStyle w:val="1107"/>
          <w:rFonts w:hint="default" w:ascii="Times New Roman" w:hAnsi="Times New Roman" w:cs="Times New Roman"/>
          <w:color w:val="auto"/>
          <w:szCs w:val="21"/>
          <w:highlight w:val="none"/>
        </w:rPr>
        <w:t xml:space="preserve">中小微企业划型标准如下：</w:t>
      </w:r>
      <w:r/>
    </w:p>
    <w:tbl>
      <w:tblPr>
        <w:tblStyle w:val="863"/>
        <w:tblW w:w="0" w:type="auto"/>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91"/>
        <w:gridCol w:w="1769"/>
        <w:gridCol w:w="535"/>
        <w:gridCol w:w="2119"/>
        <w:gridCol w:w="1739"/>
        <w:gridCol w:w="1545"/>
      </w:tblGrid>
      <w:tr>
        <w:trPr>
          <w:jc w:val="cente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46"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微型</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Z＜300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X＜5</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Y＜1000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Y＜200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Y＜2000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Y＜500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Y＜100</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106"/>
              <w:jc w:val="center"/>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1106"/>
              <w:spacing w:line="360" w:lineRule="auto"/>
              <w:widowControl/>
              <w:rPr>
                <w:rFonts w:hint="default" w:ascii="Times New Roman" w:hAnsi="Times New Roman" w:cs="Times New Roman"/>
                <w:color w:val="auto"/>
                <w:sz w:val="21"/>
                <w:szCs w:val="21"/>
                <w:highlight w:val="none"/>
              </w:rPr>
            </w:pPr>
            <w:r>
              <w:rPr>
                <w:rStyle w:val="1107"/>
                <w:rFonts w:hint="default" w:ascii="Times New Roman" w:hAnsi="Times New Roman" w:cs="Times New Roman"/>
                <w:color w:val="auto"/>
                <w:szCs w:val="21"/>
                <w:highlight w:val="none"/>
              </w:rPr>
              <w:t xml:space="preserve">X＜10</w:t>
            </w:r>
            <w:r/>
          </w:p>
        </w:tc>
      </w:tr>
    </w:tbl>
    <w:p>
      <w:pPr>
        <w:pStyle w:val="1106"/>
        <w:ind w:firstLine="420"/>
        <w:spacing w:before="300" w:after="452" w:line="360" w:lineRule="auto"/>
        <w:widowControl/>
        <w:rPr>
          <w:rStyle w:val="1107"/>
          <w:rFonts w:hint="default" w:ascii="Times New Roman" w:hAnsi="Times New Roman" w:cs="Times New Roman"/>
          <w:color w:val="auto"/>
          <w:szCs w:val="21"/>
          <w:highlight w:val="none"/>
        </w:rPr>
      </w:pPr>
      <w:r>
        <w:rPr>
          <w:rStyle w:val="1107"/>
          <w:rFonts w:hint="default" w:ascii="Times New Roman" w:hAnsi="Times New Roman" w:cs="Times New Roman"/>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106"/>
        <w:ind w:firstLine="420"/>
        <w:spacing w:before="300" w:after="452" w:line="360" w:lineRule="auto"/>
        <w:widowControl/>
        <w:rPr>
          <w:rStyle w:val="1107"/>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1106"/>
        <w:spacing w:before="300" w:after="452" w:line="360" w:lineRule="auto"/>
        <w:widowControl/>
        <w:rPr>
          <w:rStyle w:val="1107"/>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 xml:space="preserve">残疾人福利性单位声明函</w:t>
      </w:r>
      <w:r/>
    </w:p>
    <w:p>
      <w:pPr>
        <w:ind w:firstLine="624"/>
        <w:spacing w:line="360" w:lineRule="auto"/>
        <w:rPr>
          <w:rFonts w:hint="default" w:ascii="Times New Roman" w:hAnsi="Times New Roman" w:eastAsia="仿宋_GB2312" w:cs="Times New Roman"/>
          <w:color w:val="auto"/>
          <w:spacing w:val="6"/>
          <w:sz w:val="30"/>
          <w:szCs w:val="30"/>
          <w:highlight w:val="none"/>
        </w:rPr>
      </w:pPr>
      <w:r>
        <w:rPr>
          <w:rFonts w:hint="default" w:ascii="Times New Roman" w:hAnsi="Times New Roman" w:eastAsia="仿宋_GB2312" w:cs="Times New Roman"/>
          <w:color w:val="auto"/>
          <w:spacing w:val="6"/>
          <w:sz w:val="30"/>
          <w:szCs w:val="30"/>
          <w:highlight w:val="none"/>
        </w:rPr>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单位的采购文件编号为</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的</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本单位在本次政府采购活动中提供的残疾人福利单位产品报价合计为人民币（大写）</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圆整（￥：     ）。</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本单位对上述声明的真实性负责。如有虚假，将依法承担相应责任。</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default" w:ascii="Times New Roman" w:hAnsi="Times New Roman" w:eastAsia="仿宋_GB2312" w:cs="Times New Roman"/>
          <w:color w:val="auto"/>
          <w:spacing w:val="6"/>
          <w:szCs w:val="21"/>
          <w:highlight w:val="none"/>
        </w:rPr>
      </w:pPr>
      <w:r>
        <w:rPr>
          <w:rFonts w:hint="default" w:ascii="Times New Roman" w:hAnsi="Times New Roman" w:eastAsia="仿宋_GB2312" w:cs="Times New Roman"/>
          <w:color w:val="auto"/>
          <w:spacing w:val="6"/>
          <w:szCs w:val="21"/>
          <w:highlight w:val="none"/>
        </w:rPr>
      </w:r>
      <w:r/>
    </w:p>
    <w:p>
      <w:pPr>
        <w:ind w:right="1560" w:firstLine="444"/>
        <w:jc w:val="center"/>
        <w:spacing w:line="360" w:lineRule="auto"/>
        <w:tabs>
          <w:tab w:val="left" w:pos="4860" w:leader="none"/>
        </w:tabs>
        <w:rPr>
          <w:rFonts w:hint="default" w:ascii="Times New Roman" w:hAnsi="Times New Roman" w:cs="Times New Roman"/>
          <w:color w:val="auto"/>
          <w:szCs w:val="21"/>
          <w:highlight w:val="none"/>
        </w:rPr>
      </w:pPr>
      <w:r>
        <w:rPr>
          <w:rFonts w:hint="default" w:ascii="Times New Roman" w:hAnsi="Times New Roman" w:eastAsia="仿宋_GB2312" w:cs="Times New Roman"/>
          <w:color w:val="auto"/>
          <w:spacing w:val="6"/>
          <w:szCs w:val="21"/>
          <w:highlight w:val="none"/>
        </w:rPr>
        <w:t xml:space="preserve">             </w:t>
      </w:r>
      <w:r>
        <w:rPr>
          <w:rFonts w:hint="default" w:ascii="Times New Roman" w:hAnsi="Times New Roman" w:cs="Times New Roman"/>
          <w:color w:val="auto"/>
          <w:szCs w:val="21"/>
          <w:highlight w:val="none"/>
        </w:rPr>
        <w:t xml:space="preserve">               供应商全称（盖章）：</w:t>
      </w:r>
      <w:r/>
    </w:p>
    <w:p>
      <w:pPr>
        <w:ind w:right="1560" w:firstLine="420"/>
        <w:jc w:val="center"/>
        <w:spacing w:line="360" w:lineRule="auto"/>
        <w:tabs>
          <w:tab w:val="left" w:pos="486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日  期：</w:t>
      </w:r>
      <w:r/>
    </w:p>
    <w:p>
      <w:pPr>
        <w:pStyle w:val="855"/>
        <w:spacing w:line="360" w:lineRule="auto"/>
        <w:rPr>
          <w:rFonts w:hint="default" w:ascii="Times New Roman" w:hAnsi="Times New Roman" w:cs="Times New Roman"/>
          <w:color w:val="auto"/>
          <w:highlight w:val="none"/>
        </w:rPr>
        <w:outlineLvl w:val="9"/>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06"/>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1"/>
        <w:spacing w:line="360" w:lineRule="auto"/>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r>
      <w:r/>
    </w:p>
    <w:p>
      <w:pPr>
        <w:pStyle w:val="912"/>
        <w:spacing w:line="360" w:lineRule="auto"/>
        <w:rPr>
          <w:rFonts w:hint="default" w:ascii="Times New Roman" w:hAnsi="Times New Roman" w:cs="Times New Roman"/>
          <w:color w:val="auto"/>
          <w:highlight w:val="none"/>
        </w:rPr>
        <w:outlineLvl w:val="9"/>
      </w:pPr>
      <w:r>
        <w:rPr>
          <w:rFonts w:hint="default" w:ascii="Times New Roman" w:hAnsi="Times New Roman" w:cs="Times New Roman"/>
          <w:color w:val="auto"/>
          <w:highlight w:val="none"/>
        </w:rPr>
      </w:r>
      <w:r/>
    </w:p>
    <w:p>
      <w:pPr>
        <w:pStyle w:val="914"/>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06"/>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1"/>
        <w:spacing w:line="360" w:lineRule="auto"/>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r>
      <w:r/>
    </w:p>
    <w:p>
      <w:pPr>
        <w:pStyle w:val="912"/>
        <w:spacing w:line="360" w:lineRule="auto"/>
        <w:rPr>
          <w:rFonts w:hint="default" w:ascii="Times New Roman" w:hAnsi="Times New Roman" w:cs="Times New Roman"/>
          <w:color w:val="auto"/>
          <w:highlight w:val="none"/>
        </w:rPr>
        <w:outlineLvl w:val="9"/>
      </w:pPr>
      <w:r>
        <w:rPr>
          <w:rFonts w:hint="default" w:ascii="Times New Roman" w:hAnsi="Times New Roman" w:cs="Times New Roman"/>
          <w:color w:val="auto"/>
          <w:highlight w:val="none"/>
        </w:rPr>
      </w:r>
      <w:r/>
    </w:p>
    <w:p>
      <w:pPr>
        <w:jc w:val="left"/>
        <w:spacing w:line="360" w:lineRule="auto"/>
        <w:widowControl/>
        <w:rPr>
          <w:rFonts w:hint="default" w:ascii="Times New Roman" w:hAnsi="Times New Roman" w:cs="Times New Roman"/>
          <w:b/>
          <w:bCs/>
          <w:color w:val="auto"/>
          <w:highlight w:val="none"/>
        </w:rPr>
      </w:pPr>
      <w:r/>
      <w:bookmarkStart w:id="44" w:name="_Toc120614284"/>
      <w:r/>
      <w:r/>
    </w:p>
    <w:p>
      <w:pPr>
        <w:jc w:val="center"/>
        <w:spacing w:line="360" w:lineRule="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jc w:val="center"/>
        <w:spacing w:line="360" w:lineRule="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br w:type="page" w:clear="all"/>
      </w:r>
      <w:r/>
    </w:p>
    <w:p>
      <w:pPr>
        <w:jc w:val="center"/>
        <w:spacing w:line="360" w:lineRule="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 xml:space="preserve">四、磋商响应报价表</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1108"/>
        <w:spacing w:line="360" w:lineRule="auto"/>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 xml:space="preserve">项目名称： </w:t>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 xml:space="preserve">项目编号：                                                   </w:t>
      </w:r>
      <w:r/>
    </w:p>
    <w:tbl>
      <w:tblPr>
        <w:tblStyle w:val="8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5"/>
        <w:gridCol w:w="6307"/>
      </w:tblGrid>
      <w:tr>
        <w:trPr>
          <w:cantSplit/>
          <w:jc w:val="center"/>
          <w:trHeight w:val="1071"/>
        </w:trPr>
        <w:tc>
          <w:tcPr>
            <w:tcW w:w="2215" w:type="dxa"/>
            <w:vAlign w:val="center"/>
            <w:textDirection w:val="lrTb"/>
            <w:noWrap w:val="false"/>
          </w:tcPr>
          <w:p>
            <w:pPr>
              <w:pStyle w:val="1103"/>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服务名称</w:t>
            </w:r>
            <w:r/>
          </w:p>
        </w:tc>
        <w:tc>
          <w:tcPr>
            <w:tcW w:w="6307" w:type="dxa"/>
            <w:vAlign w:val="center"/>
            <w:textDirection w:val="lrTb"/>
            <w:noWrap w:val="false"/>
          </w:tcPr>
          <w:p>
            <w:pPr>
              <w:pStyle w:val="907"/>
              <w:jc w:val="center"/>
              <w:spacing w:after="200"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第一轮报价</w:t>
            </w:r>
            <w:r/>
          </w:p>
        </w:tc>
      </w:tr>
      <w:tr>
        <w:trPr>
          <w:cantSplit/>
          <w:jc w:val="center"/>
          <w:trHeight w:val="1964"/>
        </w:trPr>
        <w:tc>
          <w:tcPr>
            <w:tcW w:w="2215" w:type="dxa"/>
            <w:vAlign w:val="center"/>
            <w:textDirection w:val="lrTb"/>
            <w:noWrap w:val="false"/>
          </w:tcPr>
          <w:p>
            <w:pPr>
              <w:jc w:val="center"/>
              <w:spacing w:line="360" w:lineRule="auto"/>
              <w:rPr>
                <w:rFonts w:hint="default" w:ascii="Times New Roman" w:hAnsi="Times New Roman" w:eastAsia="宋体" w:cs="Times New Roman"/>
                <w:color w:val="auto"/>
                <w:szCs w:val="21"/>
                <w:highlight w:val="none"/>
                <w:lang w:eastAsia="zh-CN"/>
              </w:rPr>
            </w:pPr>
            <w:r>
              <w:rPr>
                <w:rFonts w:hint="eastAsia" w:cs="Times New Roman"/>
                <w:color w:val="auto"/>
                <w:highlight w:val="none"/>
                <w:lang w:eastAsia="zh-CN"/>
              </w:rPr>
              <w:t xml:space="preserve">2025年度扬州社保系统硬件维保项目</w:t>
            </w:r>
            <w:r/>
          </w:p>
        </w:tc>
        <w:tc>
          <w:tcPr>
            <w:tcW w:w="6307" w:type="dxa"/>
            <w:vAlign w:val="center"/>
            <w:textDirection w:val="lrTb"/>
            <w:noWrap w:val="false"/>
          </w:tcPr>
          <w:p>
            <w:pPr>
              <w:pStyle w:val="1103"/>
              <w:ind w:firstLine="168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大写：</w:t>
            </w:r>
            <w:r/>
          </w:p>
          <w:p>
            <w:pPr>
              <w:pStyle w:val="1084"/>
              <w:ind w:firstLine="0"/>
              <w:jc w:val="center"/>
              <w:spacing w:before="0" w:after="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小写：             （人民币）</w:t>
            </w:r>
            <w:r/>
          </w:p>
        </w:tc>
      </w:tr>
      <w:tr>
        <w:trPr>
          <w:cantSplit/>
          <w:jc w:val="center"/>
          <w:trHeight w:val="1362"/>
        </w:trPr>
        <w:tc>
          <w:tcPr>
            <w:tcW w:w="2215" w:type="dxa"/>
            <w:vAlign w:val="center"/>
            <w:textDirection w:val="lrTb"/>
            <w:noWrap w:val="false"/>
          </w:tcPr>
          <w:p>
            <w:pPr>
              <w:pStyle w:val="871"/>
              <w:jc w:val="cente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是否小微企业</w:t>
            </w:r>
            <w:r/>
          </w:p>
        </w:tc>
        <w:tc>
          <w:tcPr>
            <w:tcW w:w="6307" w:type="dxa"/>
            <w:vAlign w:val="center"/>
            <w:textDirection w:val="lrTb"/>
            <w:noWrap w:val="false"/>
          </w:tcPr>
          <w:p>
            <w:pPr>
              <w:pStyle w:val="871"/>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□是             □否</w:t>
            </w:r>
            <w:r/>
          </w:p>
        </w:tc>
      </w:tr>
    </w:tbl>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907"/>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法定代表人或者授权代表（签字或盖章）：                    </w:t>
      </w:r>
      <w:r/>
    </w:p>
    <w:p>
      <w:pPr>
        <w:pStyle w:val="907"/>
        <w:spacing w:line="360" w:lineRule="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磋商供应商全称（盖章）：</w:t>
      </w:r>
      <w:r>
        <w:rPr>
          <w:rFonts w:hint="default" w:ascii="Times New Roman" w:hAnsi="Times New Roman" w:cs="Times New Roman"/>
          <w:color w:val="auto"/>
          <w:szCs w:val="21"/>
          <w:highlight w:val="none"/>
          <w:u w:val="single"/>
        </w:rPr>
        <w:t xml:space="preserve">                         </w:t>
      </w:r>
      <w:r/>
    </w:p>
    <w:p>
      <w:pPr>
        <w:pStyle w:val="907"/>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日期：    年   月    日</w:t>
      </w:r>
      <w:r/>
    </w:p>
    <w:p>
      <w:pPr>
        <w:pStyle w:val="1099"/>
        <w:jc w:val="center"/>
        <w:spacing w:line="360" w:lineRule="auto"/>
        <w:rPr>
          <w:rFonts w:hint="default" w:ascii="Times New Roman" w:hAnsi="Times New Roman" w:cs="Times New Roman"/>
          <w:bCs w:val="0"/>
          <w:color w:val="auto"/>
          <w:highlight w:val="none"/>
        </w:rPr>
        <w:outlineLvl w:val="9"/>
      </w:pPr>
      <w:r>
        <w:rPr>
          <w:rFonts w:hint="default" w:ascii="Times New Roman" w:hAnsi="Times New Roman" w:cs="Times New Roman"/>
          <w:bCs w:val="0"/>
          <w:color w:val="auto"/>
          <w:highlight w:val="none"/>
        </w:rPr>
      </w:r>
      <w:r/>
    </w:p>
    <w:p>
      <w:pPr>
        <w:pStyle w:val="1099"/>
        <w:jc w:val="center"/>
        <w:spacing w:line="360" w:lineRule="auto"/>
        <w:rPr>
          <w:rFonts w:hint="default" w:ascii="Times New Roman" w:hAnsi="Times New Roman" w:cs="Times New Roman"/>
          <w:bCs w:val="0"/>
          <w:color w:val="auto"/>
          <w:highlight w:val="none"/>
        </w:rPr>
        <w:outlineLvl w:val="9"/>
      </w:pPr>
      <w:r>
        <w:rPr>
          <w:rFonts w:hint="default" w:ascii="Times New Roman" w:hAnsi="Times New Roman" w:cs="Times New Roman"/>
          <w:bCs w:val="0"/>
          <w:color w:val="auto"/>
          <w:highlight w:val="none"/>
        </w:rPr>
      </w:r>
      <w:r/>
    </w:p>
    <w:p>
      <w:pPr>
        <w:pStyle w:val="1099"/>
        <w:jc w:val="center"/>
        <w:spacing w:line="360" w:lineRule="auto"/>
        <w:rPr>
          <w:rFonts w:hint="default" w:ascii="Times New Roman" w:hAnsi="Times New Roman" w:cs="Times New Roman"/>
          <w:bCs w:val="0"/>
          <w:color w:val="auto"/>
          <w:highlight w:val="none"/>
        </w:rPr>
        <w:outlineLvl w:val="9"/>
      </w:pPr>
      <w:r>
        <w:rPr>
          <w:rFonts w:hint="default" w:ascii="Times New Roman" w:hAnsi="Times New Roman" w:cs="Times New Roman"/>
          <w:bCs w:val="0"/>
          <w:color w:val="auto"/>
          <w:highlight w:val="none"/>
        </w:rPr>
      </w:r>
      <w:r/>
    </w:p>
    <w:p>
      <w:pPr>
        <w:pStyle w:val="1099"/>
        <w:spacing w:line="360" w:lineRule="auto"/>
        <w:rPr>
          <w:rFonts w:hint="default" w:ascii="Times New Roman" w:hAnsi="Times New Roman" w:cs="Times New Roman"/>
          <w:bCs w:val="0"/>
          <w:color w:val="auto"/>
          <w:highlight w:val="none"/>
        </w:rPr>
        <w:outlineLvl w:val="9"/>
      </w:pPr>
      <w:r>
        <w:rPr>
          <w:rFonts w:hint="default" w:ascii="Times New Roman" w:hAnsi="Times New Roman" w:cs="Times New Roman"/>
          <w:bCs w:val="0"/>
          <w:color w:val="auto"/>
          <w:highlight w:val="none"/>
        </w:rPr>
      </w:r>
      <w:r/>
    </w:p>
    <w:p>
      <w:pPr>
        <w:pStyle w:val="110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bCs w:val="0"/>
          <w:color w:val="auto"/>
          <w:highlight w:val="none"/>
        </w:rPr>
      </w:pPr>
      <w:r/>
      <w:bookmarkStart w:id="45" w:name="_Toc13815"/>
      <w:r>
        <w:rPr>
          <w:rFonts w:hint="default" w:ascii="Times New Roman" w:hAnsi="Times New Roman" w:cs="Times New Roman"/>
          <w:bCs w:val="0"/>
          <w:color w:val="auto"/>
          <w:highlight w:val="none"/>
        </w:rPr>
        <w:br w:type="page" w:clear="all"/>
      </w:r>
      <w:r/>
    </w:p>
    <w:p>
      <w:pPr>
        <w:pStyle w:val="1099"/>
        <w:jc w:val="center"/>
        <w:spacing w:line="360" w:lineRule="auto"/>
        <w:rPr>
          <w:rFonts w:hint="default" w:ascii="Times New Roman" w:hAnsi="Times New Roman" w:cs="Times New Roman"/>
          <w:bCs w:val="0"/>
          <w:color w:val="auto"/>
          <w:highlight w:val="none"/>
        </w:rPr>
        <w:outlineLvl w:val="9"/>
      </w:pPr>
      <w:r>
        <w:rPr>
          <w:rFonts w:hint="default" w:ascii="Times New Roman" w:hAnsi="Times New Roman" w:cs="Times New Roman"/>
          <w:bCs w:val="0"/>
          <w:color w:val="auto"/>
          <w:highlight w:val="none"/>
        </w:rPr>
        <w:t xml:space="preserve">五、技术参数响应及偏离表</w:t>
      </w:r>
      <w:bookmarkEnd w:id="45"/>
      <w:r/>
      <w:r/>
    </w:p>
    <w:tbl>
      <w:tblPr>
        <w:tblStyle w:val="863"/>
        <w:tblW w:w="88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tcW w:w="2409"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采购要求</w:t>
            </w:r>
            <w:r/>
          </w:p>
        </w:tc>
        <w:tc>
          <w:tcPr>
            <w:tcW w:w="22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磋商响应</w:t>
            </w:r>
            <w:r/>
          </w:p>
        </w:tc>
        <w:tc>
          <w:tcPr>
            <w:tcW w:w="201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超出、符合或偏离</w:t>
            </w:r>
            <w:r/>
          </w:p>
        </w:tc>
        <w:tc>
          <w:tcPr>
            <w:tcW w:w="1137"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409"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2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16"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37"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409"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2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16"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37"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409"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2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16"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37"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409"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2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16"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37"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409"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2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16"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37"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409"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2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16"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37"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409"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2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16"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37"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409"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284"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16"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37" w:type="dxa"/>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注：1、按照基本技术要求详细填列。</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2、行数不够，可自行添加。</w:t>
      </w:r>
      <w:r/>
    </w:p>
    <w:p>
      <w:pPr>
        <w:pStyle w:val="1099"/>
        <w:jc w:val="center"/>
        <w:spacing w:line="360" w:lineRule="auto"/>
        <w:rPr>
          <w:rFonts w:hint="default" w:ascii="Times New Roman" w:hAnsi="Times New Roman" w:cs="Times New Roman"/>
          <w:bCs w:val="0"/>
          <w:color w:val="auto"/>
          <w:highlight w:val="none"/>
        </w:rPr>
        <w:outlineLvl w:val="9"/>
      </w:pPr>
      <w:r/>
      <w:bookmarkStart w:id="46" w:name="_Hlt26955054"/>
      <w:r/>
      <w:bookmarkEnd w:id="46"/>
      <w:r>
        <w:rPr>
          <w:rFonts w:hint="default" w:ascii="Times New Roman" w:hAnsi="Times New Roman" w:cs="Times New Roman"/>
          <w:bCs w:val="0"/>
          <w:color w:val="auto"/>
          <w:highlight w:val="none"/>
        </w:rPr>
        <w:br w:type="page" w:clear="all"/>
      </w:r>
      <w:bookmarkStart w:id="47" w:name="_Toc2735"/>
      <w:r>
        <w:rPr>
          <w:rFonts w:hint="default" w:ascii="Times New Roman" w:hAnsi="Times New Roman" w:cs="Times New Roman"/>
          <w:bCs w:val="0"/>
          <w:color w:val="auto"/>
          <w:highlight w:val="none"/>
        </w:rPr>
        <w:t xml:space="preserve">六、商务条款响应及偏离表</w:t>
      </w:r>
      <w:bookmarkEnd w:id="47"/>
      <w:r/>
      <w:r/>
    </w:p>
    <w:tbl>
      <w:tblPr>
        <w:tblStyle w:val="863"/>
        <w:tblW w:w="8540"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cs="Times New Roman"/>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cs="Times New Roman"/>
                <w:color w:val="auto"/>
                <w:szCs w:val="21"/>
                <w:highlight w:val="none"/>
              </w:rPr>
              <w:t xml:space="preserve">采购文件要求</w:t>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cs="Times New Roman"/>
                <w:color w:val="auto"/>
                <w:szCs w:val="21"/>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2563"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cs="Times New Roman"/>
                <w:color w:val="auto"/>
                <w:szCs w:val="21"/>
                <w:highlight w:val="none"/>
              </w:rPr>
              <w:t xml:space="preserve">供应商的承诺或说明</w:t>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cs="Times New Roman"/>
                <w:color w:val="auto"/>
                <w:szCs w:val="21"/>
                <w:highlight w:val="none"/>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63" w:type="dxa"/>
            <w:textDirection w:val="lrTb"/>
            <w:noWrap w:val="false"/>
          </w:tcPr>
          <w:p>
            <w:pPr>
              <w:ind w:left="43"/>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交货方式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63" w:type="dxa"/>
            <w:textDirection w:val="lrTb"/>
            <w:noWrap w:val="false"/>
          </w:tcPr>
          <w:p>
            <w:pPr>
              <w:ind w:left="43"/>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交货地点</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63" w:type="dxa"/>
            <w:textDirection w:val="lrTb"/>
            <w:noWrap w:val="false"/>
          </w:tcPr>
          <w:p>
            <w:pPr>
              <w:ind w:left="43"/>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cs="Times New Roman"/>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63"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r>
      <w:tr>
        <w:trPr>
          <w:trHeight w:val="61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维护管理期</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63"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r>
      <w:tr>
        <w:trPr>
          <w:trHeight w:val="61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cs="Times New Roman"/>
                <w:color w:val="auto"/>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63" w:type="dxa"/>
            <w:textDirection w:val="lrTb"/>
            <w:noWrap w:val="false"/>
          </w:tcPr>
          <w:p>
            <w:pPr>
              <w:jc w:val="center"/>
              <w:spacing w:before="156" w:line="360" w:lineRule="auto"/>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tc>
      </w:tr>
    </w:tbl>
    <w:p>
      <w:pPr>
        <w:jc w:val="left"/>
        <w:spacing w:line="360" w:lineRule="auto"/>
        <w:widowControl/>
        <w:rPr>
          <w:rFonts w:hint="default" w:ascii="Times New Roman" w:hAnsi="Times New Roman" w:cs="Times New Roman"/>
          <w:b/>
          <w:color w:val="auto"/>
          <w:highlight w:val="none"/>
        </w:rPr>
      </w:pPr>
      <w:r/>
      <w:bookmarkStart w:id="48" w:name="_Hlt26580838"/>
      <w:r/>
      <w:bookmarkEnd w:id="48"/>
      <w:r/>
      <w:bookmarkStart w:id="49" w:name="_Hlt26955064"/>
      <w:r/>
      <w:bookmarkEnd w:id="49"/>
      <w:r/>
      <w:bookmarkStart w:id="50" w:name="_Hlt26782999"/>
      <w:r/>
      <w:bookmarkEnd w:id="50"/>
      <w:r/>
      <w:bookmarkStart w:id="51" w:name="_Hlt26671372"/>
      <w:r/>
      <w:bookmarkEnd w:id="51"/>
      <w:r/>
      <w:bookmarkStart w:id="52" w:name="_Hlt24879081"/>
      <w:r/>
      <w:bookmarkEnd w:id="52"/>
      <w:r/>
      <w:bookmarkStart w:id="53" w:name="_Hlt26609391"/>
      <w:r/>
      <w:bookmarkEnd w:id="53"/>
      <w:r/>
      <w:bookmarkStart w:id="54" w:name="_Hlt26671343"/>
      <w:r/>
      <w:bookmarkEnd w:id="54"/>
      <w:r/>
      <w:bookmarkStart w:id="55" w:name="_Hlt26955056"/>
      <w:r/>
      <w:bookmarkEnd w:id="55"/>
      <w:r>
        <w:rPr>
          <w:rFonts w:hint="default" w:ascii="Times New Roman" w:hAnsi="Times New Roman" w:cs="Times New Roman"/>
          <w:b/>
          <w:color w:val="auto"/>
          <w:highlight w:val="none"/>
        </w:rPr>
        <w:br w:type="page" w:clear="all"/>
      </w:r>
      <w:r/>
    </w:p>
    <w:p>
      <w:pPr>
        <w:ind w:right="-2"/>
        <w:jc w:val="cente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七、拟投入人员一览表</w:t>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供应商全称（加盖公章）：     </w:t>
      </w:r>
      <w:r/>
    </w:p>
    <w:p>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color w:val="auto"/>
          <w:szCs w:val="21"/>
          <w:highlight w:val="none"/>
        </w:rPr>
        <w:t xml:space="preserve">项目名称：</w:t>
      </w:r>
      <w:r/>
    </w:p>
    <w:tbl>
      <w:tblPr>
        <w:tblStyle w:val="863"/>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697"/>
        <w:gridCol w:w="744"/>
        <w:gridCol w:w="801"/>
        <w:gridCol w:w="687"/>
        <w:gridCol w:w="1072"/>
        <w:gridCol w:w="823"/>
        <w:gridCol w:w="1117"/>
        <w:gridCol w:w="1709"/>
        <w:gridCol w:w="1409"/>
      </w:tblGrid>
      <w:tr>
        <w:trPr>
          <w:jc w:val="center"/>
          <w:trHeight w:val="781"/>
        </w:trPr>
        <w:tc>
          <w:tcPr>
            <w:tcW w:w="722" w:type="dxa"/>
            <w:vAlign w:val="center"/>
            <w:textDirection w:val="lrTb"/>
            <w:noWrap w:val="false"/>
          </w:tcPr>
          <w:p>
            <w:pPr>
              <w:ind w:right="-2"/>
              <w:jc w:val="center"/>
              <w:spacing w:before="312"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tcW w:w="697" w:type="dxa"/>
            <w:vAlign w:val="center"/>
            <w:textDirection w:val="lrTb"/>
            <w:noWrap w:val="false"/>
          </w:tcPr>
          <w:p>
            <w:pPr>
              <w:ind w:right="-2"/>
              <w:jc w:val="center"/>
              <w:spacing w:before="312"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性别</w:t>
            </w:r>
            <w:r/>
          </w:p>
        </w:tc>
        <w:tc>
          <w:tcPr>
            <w:tcW w:w="687" w:type="dxa"/>
            <w:vAlign w:val="center"/>
            <w:textDirection w:val="lrTb"/>
            <w:noWrap w:val="false"/>
          </w:tcPr>
          <w:p>
            <w:pPr>
              <w:ind w:right="-2"/>
              <w:jc w:val="center"/>
              <w:spacing w:before="312"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学历</w:t>
            </w:r>
            <w:r/>
          </w:p>
        </w:tc>
        <w:tc>
          <w:tcPr>
            <w:tcW w:w="1072" w:type="dxa"/>
            <w:vAlign w:val="center"/>
            <w:textDirection w:val="lrTb"/>
            <w:noWrap w:val="false"/>
          </w:tcPr>
          <w:p>
            <w:pPr>
              <w:ind w:right="-2"/>
              <w:jc w:val="center"/>
              <w:spacing w:before="312"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出生年月</w:t>
            </w:r>
            <w:r/>
          </w:p>
        </w:tc>
        <w:tc>
          <w:tcPr>
            <w:tcW w:w="823" w:type="dxa"/>
            <w:vAlign w:val="center"/>
            <w:textDirection w:val="lrTb"/>
            <w:noWrap w:val="false"/>
          </w:tcPr>
          <w:p>
            <w:pPr>
              <w:ind w:right="-2"/>
              <w:jc w:val="center"/>
              <w:spacing w:before="312"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w:t>
            </w:r>
            <w:r/>
          </w:p>
        </w:tc>
        <w:tc>
          <w:tcPr>
            <w:tcW w:w="1117" w:type="dxa"/>
            <w:vAlign w:val="center"/>
            <w:textDirection w:val="lrTb"/>
            <w:noWrap w:val="false"/>
          </w:tcPr>
          <w:p>
            <w:pPr>
              <w:ind w:right="-2"/>
              <w:jc w:val="center"/>
              <w:spacing w:before="312"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职称</w:t>
            </w:r>
            <w:r/>
          </w:p>
        </w:tc>
        <w:tc>
          <w:tcPr>
            <w:tcW w:w="1709" w:type="dxa"/>
            <w:vAlign w:val="center"/>
            <w:textDirection w:val="lrTb"/>
            <w:noWrap w:val="false"/>
          </w:tcPr>
          <w:p>
            <w:pPr>
              <w:ind w:right="-2"/>
              <w:jc w:val="center"/>
              <w:spacing w:before="312"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证书及编号</w:t>
            </w:r>
            <w:r/>
          </w:p>
        </w:tc>
        <w:tc>
          <w:tcPr>
            <w:tcW w:w="1409" w:type="dxa"/>
            <w:vAlign w:val="center"/>
            <w:textDirection w:val="lrTb"/>
            <w:noWrap w:val="false"/>
          </w:tcPr>
          <w:p>
            <w:pPr>
              <w:ind w:right="-2"/>
              <w:jc w:val="center"/>
              <w:spacing w:before="312"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备注</w:t>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83"/>
        </w:trPr>
        <w:tc>
          <w:tcPr>
            <w:tcW w:w="72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法定代表人或授权代表签字：</w:t>
      </w:r>
      <w:r/>
    </w:p>
    <w:p>
      <w:pPr>
        <w:jc w:val="righ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jc w:val="righ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     年    月     日</w:t>
      </w:r>
      <w:bookmarkEnd w:id="44"/>
      <w:r/>
      <w:r/>
    </w:p>
    <w:p>
      <w:pPr>
        <w:jc w:val="righ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right="-2"/>
        <w:jc w:val="cente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ind w:right="-2"/>
        <w:jc w:val="cente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ind w:right="-2"/>
        <w:jc w:val="cente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ind w:right="-2"/>
        <w:jc w:val="cente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ind w:right="-2"/>
        <w:jc w:val="cente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ind w:right="-2"/>
        <w:jc w:val="cente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ind w:right="-2"/>
        <w:jc w:val="cente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ind w:right="-2"/>
        <w:jc w:val="cente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br w:type="page" w:clear="all"/>
      </w:r>
      <w:r/>
    </w:p>
    <w:p>
      <w:pPr>
        <w:ind w:right="-2"/>
        <w:jc w:val="center"/>
        <w:spacing w:line="360" w:lineRule="auto"/>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八、其他</w:t>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供应商认为有必要提供的声明和文件，如有自拟并自行添加</w:t>
      </w:r>
      <w:r/>
    </w:p>
    <w:sectPr>
      <w:headerReference w:type="default" r:id="rId12"/>
      <w:footerReference w:type="default" r:id="rId17"/>
      <w:footnotePr/>
      <w:endnotePr/>
      <w:type w:val="nextPage"/>
      <w:pgSz w:w="11906" w:h="16838" w:orient="portrait"/>
      <w:pgMar w:top="1440" w:right="1800" w:bottom="1440" w:left="180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Calibri">
    <w:panose1 w:val="020F0502020204030204"/>
  </w:font>
  <w:font w:name="Cambria">
    <w:panose1 w:val="02040503050406030204"/>
  </w:font>
  <w:font w:name="楷体_GB2312">
    <w:panose1 w:val="02010609060101010101"/>
  </w:font>
  <w:font w:name="Courier New">
    <w:panose1 w:val="02070309020205020404"/>
  </w:font>
  <w:font w:name="宋体_GB2312">
    <w:panose1 w:val="0201060003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Fonts w:ascii="宋体_GB2312" w:eastAsia="宋体_GB2312"/>
      </w:rPr>
    </w:pPr>
    <w:r>
      <w:rPr>
        <w:rFonts w:hint="eastAsia" w:ascii="宋体_GB2312" w:eastAsia="宋体_GB2312"/>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2576830</wp:posOffset>
              </wp:positionH>
              <wp:positionV relativeFrom="paragraph">
                <wp:posOffset>0</wp:posOffset>
              </wp:positionV>
              <wp:extent cx="403860" cy="26860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403860" cy="2686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02.9pt;mso-position-horizontal:absolute;mso-position-vertical-relative:text;margin-top:0.0pt;mso-position-vertical:absolute;width:31.8pt;height:21.1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2415" cy="14922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72415" cy="1492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1.4pt;height:11.8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04800" cy="116205"/>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304800" cy="116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24.0pt;height:9.2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both"/>
    </w:pPr>
    <w:r>
      <w:rPr>
        <w:rFonts w:hint="eastAsia"/>
        <w:lang w:eastAsia="zh-CN"/>
      </w:rPr>
      <w:t xml:space="preserve">JSZC-321000-YZLZ-C2025-0011</w:t>
    </w:r>
    <w:r>
      <w:rPr>
        <w:rFonts w:hint="eastAsia"/>
      </w:rPr>
      <w:t xml:space="preserve">                                扬州览众建设工程咨询服务有限公司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rFonts w:hint="eastAsia"/>
        <w:lang w:eastAsia="zh-CN"/>
      </w:rPr>
      <w:t xml:space="preserve">JSZC-321000-YZLZ-C2025-0011</w:t>
    </w:r>
    <w:r>
      <w:rPr>
        <w:rFonts w:hint="eastAsia"/>
      </w:rPr>
      <w:t xml:space="preserve"> </w:t>
    </w:r>
    <w:r>
      <w:t xml:space="preserve">                               </w:t>
    </w:r>
    <w:r>
      <w:rPr>
        <w:rFonts w:hint="eastAsia"/>
      </w:rPr>
      <w:t xml:space="preserve">扬州览众建设工程咨询服务有限公司</w:t>
    </w:r>
    <w:r/>
  </w:p>
  <w:p>
    <w:pPr>
      <w:pStyle w:val="110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rFonts w:hint="eastAsia"/>
        <w:lang w:eastAsia="zh-CN"/>
      </w:rPr>
      <w:t xml:space="preserve">JSZC-321000-YZLZ-C2025-0011</w:t>
    </w:r>
    <w:r>
      <w:rPr>
        <w:rFonts w:hint="eastAsia"/>
      </w:rPr>
      <w:t xml:space="preserve">                                扬州览众建设工程咨询服务有限公司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both"/>
    </w:pPr>
    <w:r>
      <w:rPr>
        <w:rFonts w:hint="eastAsia"/>
        <w:lang w:eastAsia="zh-CN"/>
      </w:rPr>
      <w:t xml:space="preserve">JSZC-321000-YZLZ-C2025-0011</w:t>
    </w:r>
    <w:r>
      <w:rPr>
        <w:rFonts w:hint="eastAsia"/>
      </w:rPr>
      <w:t xml:space="preserve">                                扬州览众建设工程咨询服务有限公司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13"/>
      <w:isLgl w:val="false"/>
      <w:suff w:val="nothing"/>
      <w:lvlText w:val="表%1　"/>
      <w:lvlJc w:val="left"/>
      <w:pPr>
        <w:ind w:left="0" w:firstLine="0"/>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7" w:hanging="567"/>
        <w:tabs>
          <w:tab w:val="left" w:pos="1417" w:leader="none"/>
        </w:tabs>
      </w:pPr>
    </w:lvl>
    <w:lvl w:ilvl="3">
      <w:start w:val="1"/>
      <w:numFmt w:val="decimal"/>
      <w:isLgl w:val="false"/>
      <w:suff w:val="tab"/>
      <w:lvlText w:val="%1.%2.%3.%4"/>
      <w:lvlJc w:val="left"/>
      <w:pPr>
        <w:ind w:left="1984" w:hanging="708"/>
        <w:tabs>
          <w:tab w:val="left" w:pos="1984"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3">
    <w:multiLevelType w:val="hybridMultilevel"/>
    <w:lvl w:ilvl="0">
      <w:start w:val="1"/>
      <w:numFmt w:val="bullet"/>
      <w:pStyle w:val="108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7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088"/>
      <w:isLgl/>
      <w:suff w:val="tab"/>
      <w:lvlText w:val="%1.%2"/>
      <w:lvlJc w:val="left"/>
      <w:pPr>
        <w:ind w:left="0" w:firstLine="0"/>
        <w:tabs>
          <w:tab w:val="left" w:pos="851" w:leader="none"/>
        </w:tabs>
      </w:pPr>
    </w:lvl>
    <w:lvl w:ilvl="2">
      <w:start w:val="1"/>
      <w:numFmt w:val="decimal"/>
      <w:pStyle w:val="1089"/>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default="1">
    <w:name w:val="Normal"/>
    <w:next w:val="86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3">
    <w:name w:val="Heading 1"/>
    <w:basedOn w:val="852"/>
    <w:next w:val="852"/>
    <w:link w:val="1072"/>
    <w:uiPriority w:val="9"/>
    <w:qFormat/>
    <w:pPr>
      <w:keepLines/>
      <w:keepNext/>
      <w:spacing w:before="340" w:after="330" w:line="578" w:lineRule="auto"/>
      <w:outlineLvl w:val="0"/>
    </w:pPr>
    <w:rPr>
      <w:b/>
      <w:bCs/>
      <w:sz w:val="44"/>
      <w:szCs w:val="44"/>
    </w:rPr>
  </w:style>
  <w:style w:type="paragraph" w:styleId="854">
    <w:name w:val="Heading 2"/>
    <w:basedOn w:val="852"/>
    <w:next w:val="852"/>
    <w:link w:val="1073"/>
    <w:uiPriority w:val="0"/>
    <w:qFormat/>
    <w:pPr>
      <w:jc w:val="center"/>
      <w:keepLines/>
      <w:keepNext/>
      <w:spacing w:before="260" w:after="260" w:line="416" w:lineRule="auto"/>
      <w:outlineLvl w:val="1"/>
    </w:pPr>
    <w:rPr>
      <w:rFonts w:ascii="Arial" w:hAnsi="Arial" w:eastAsia="幼圆"/>
      <w:b/>
      <w:bCs/>
      <w:sz w:val="44"/>
      <w:szCs w:val="44"/>
    </w:rPr>
  </w:style>
  <w:style w:type="paragraph" w:styleId="855">
    <w:name w:val="Heading 3"/>
    <w:basedOn w:val="852"/>
    <w:next w:val="852"/>
    <w:link w:val="1071"/>
    <w:uiPriority w:val="0"/>
    <w:qFormat/>
    <w:pPr>
      <w:keepLines/>
      <w:keepNext/>
      <w:spacing w:before="260" w:after="260" w:line="416" w:lineRule="auto"/>
      <w:outlineLvl w:val="2"/>
    </w:pPr>
    <w:rPr>
      <w:b/>
      <w:bCs/>
      <w:sz w:val="32"/>
      <w:szCs w:val="32"/>
    </w:rPr>
  </w:style>
  <w:style w:type="paragraph" w:styleId="856">
    <w:name w:val="Heading 4"/>
    <w:basedOn w:val="852"/>
    <w:next w:val="852"/>
    <w:uiPriority w:val="9"/>
    <w:qFormat/>
    <w:pPr>
      <w:keepLines/>
      <w:keepNext/>
      <w:spacing w:before="280" w:after="290" w:line="376" w:lineRule="auto"/>
      <w:outlineLvl w:val="3"/>
    </w:pPr>
    <w:rPr>
      <w:rFonts w:ascii="Arial" w:hAnsi="Arial" w:eastAsia="黑体"/>
      <w:b/>
      <w:bCs/>
      <w:sz w:val="28"/>
      <w:szCs w:val="28"/>
    </w:rPr>
  </w:style>
  <w:style w:type="paragraph" w:styleId="857">
    <w:name w:val="Heading 5"/>
    <w:basedOn w:val="852"/>
    <w:next w:val="852"/>
    <w:link w:val="919"/>
    <w:uiPriority w:val="9"/>
    <w:unhideWhenUsed/>
    <w:qFormat/>
    <w:pPr>
      <w:keepLines/>
      <w:keepNext/>
      <w:spacing w:before="320" w:after="200"/>
      <w:outlineLvl w:val="4"/>
    </w:pPr>
    <w:rPr>
      <w:rFonts w:ascii="Arial" w:hAnsi="Arial" w:eastAsia="Arial" w:cs="Arial"/>
      <w:b/>
      <w:bCs/>
      <w:sz w:val="24"/>
      <w:szCs w:val="24"/>
    </w:rPr>
  </w:style>
  <w:style w:type="paragraph" w:styleId="858">
    <w:name w:val="Heading 6"/>
    <w:basedOn w:val="852"/>
    <w:next w:val="852"/>
    <w:link w:val="920"/>
    <w:uiPriority w:val="9"/>
    <w:unhideWhenUsed/>
    <w:qFormat/>
    <w:pPr>
      <w:keepLines/>
      <w:keepNext/>
      <w:spacing w:before="320" w:after="200"/>
      <w:outlineLvl w:val="5"/>
    </w:pPr>
    <w:rPr>
      <w:rFonts w:ascii="Arial" w:hAnsi="Arial" w:eastAsia="Arial" w:cs="Arial"/>
      <w:b/>
      <w:bCs/>
      <w:sz w:val="22"/>
      <w:szCs w:val="22"/>
    </w:rPr>
  </w:style>
  <w:style w:type="paragraph" w:styleId="859">
    <w:name w:val="Heading 7"/>
    <w:basedOn w:val="852"/>
    <w:next w:val="852"/>
    <w:uiPriority w:val="1"/>
    <w:qFormat/>
    <w:pPr>
      <w:ind w:left="1320"/>
      <w:outlineLvl w:val="6"/>
    </w:pPr>
    <w:rPr>
      <w:b/>
      <w:bCs/>
      <w:szCs w:val="21"/>
    </w:rPr>
  </w:style>
  <w:style w:type="paragraph" w:styleId="860">
    <w:name w:val="Heading 8"/>
    <w:basedOn w:val="852"/>
    <w:next w:val="852"/>
    <w:link w:val="922"/>
    <w:uiPriority w:val="9"/>
    <w:unhideWhenUsed/>
    <w:qFormat/>
    <w:pPr>
      <w:keepLines/>
      <w:keepNext/>
      <w:spacing w:before="320" w:after="200"/>
      <w:outlineLvl w:val="7"/>
    </w:pPr>
    <w:rPr>
      <w:rFonts w:ascii="Arial" w:hAnsi="Arial" w:eastAsia="Arial" w:cs="Arial"/>
      <w:i/>
      <w:iCs/>
      <w:sz w:val="22"/>
      <w:szCs w:val="22"/>
    </w:rPr>
  </w:style>
  <w:style w:type="paragraph" w:styleId="861">
    <w:name w:val="Heading 9"/>
    <w:basedOn w:val="852"/>
    <w:next w:val="852"/>
    <w:link w:val="923"/>
    <w:uiPriority w:val="9"/>
    <w:unhideWhenUsed/>
    <w:qFormat/>
    <w:pPr>
      <w:keepLines/>
      <w:keepNext/>
      <w:spacing w:before="320" w:after="200"/>
      <w:outlineLvl w:val="8"/>
    </w:pPr>
    <w:rPr>
      <w:rFonts w:ascii="Arial" w:hAnsi="Arial" w:eastAsia="Arial" w:cs="Arial"/>
      <w:i/>
      <w:iCs/>
      <w:sz w:val="21"/>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Body Text Indent"/>
    <w:basedOn w:val="852"/>
    <w:next w:val="865"/>
    <w:uiPriority w:val="99"/>
    <w:unhideWhenUsed/>
    <w:qFormat/>
    <w:pPr>
      <w:ind w:left="420"/>
      <w:spacing w:after="120"/>
    </w:pPr>
    <w:rPr>
      <w:szCs w:val="24"/>
    </w:rPr>
  </w:style>
  <w:style w:type="paragraph" w:styleId="865">
    <w:name w:val="envelope return"/>
    <w:basedOn w:val="852"/>
    <w:uiPriority w:val="0"/>
    <w:qFormat/>
    <w:rPr>
      <w:rFonts w:ascii="Arial" w:hAnsi="Arial"/>
    </w:rPr>
  </w:style>
  <w:style w:type="paragraph" w:styleId="866">
    <w:name w:val="toc 7"/>
    <w:basedOn w:val="852"/>
    <w:next w:val="852"/>
    <w:uiPriority w:val="39"/>
    <w:unhideWhenUsed/>
    <w:qFormat/>
    <w:pPr>
      <w:ind w:left="1701" w:right="0" w:firstLine="0"/>
      <w:spacing w:after="57"/>
    </w:pPr>
  </w:style>
  <w:style w:type="paragraph" w:styleId="867">
    <w:name w:val="table of authorities"/>
    <w:next w:val="852"/>
    <w:uiPriority w:val="0"/>
    <w:qFormat/>
    <w:pPr>
      <w:ind w:left="420"/>
      <w:jc w:val="both"/>
      <w:widowControl w:val="off"/>
    </w:pPr>
    <w:rPr>
      <w:rFonts w:hint="default" w:ascii="Times New Roman" w:hAnsi="Times New Roman" w:eastAsia="宋体" w:cs="Times New Roman"/>
      <w:sz w:val="21"/>
      <w:szCs w:val="22"/>
      <w:lang w:val="en-US" w:eastAsia="zh-CN" w:bidi="ar-SA"/>
    </w:rPr>
  </w:style>
  <w:style w:type="paragraph" w:styleId="868">
    <w:name w:val="Normal Indent"/>
    <w:basedOn w:val="852"/>
    <w:link w:val="1074"/>
    <w:uiPriority w:val="0"/>
    <w:qFormat/>
    <w:pPr>
      <w:ind w:firstLine="420"/>
    </w:pPr>
    <w:rPr>
      <w:sz w:val="20"/>
      <w:szCs w:val="21"/>
    </w:rPr>
  </w:style>
  <w:style w:type="paragraph" w:styleId="869">
    <w:name w:val="Caption"/>
    <w:basedOn w:val="852"/>
    <w:next w:val="8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0">
    <w:name w:val="annotation text"/>
    <w:basedOn w:val="852"/>
    <w:link w:val="1075"/>
    <w:uiPriority w:val="99"/>
    <w:unhideWhenUsed/>
    <w:qFormat/>
    <w:pPr>
      <w:jc w:val="left"/>
    </w:pPr>
  </w:style>
  <w:style w:type="paragraph" w:styleId="871">
    <w:name w:val="Body Text"/>
    <w:basedOn w:val="852"/>
    <w:uiPriority w:val="99"/>
    <w:unhideWhenUsed/>
    <w:qFormat/>
    <w:pPr>
      <w:spacing w:line="500" w:lineRule="exact"/>
      <w:tabs>
        <w:tab w:val="left" w:pos="0" w:leader="none"/>
        <w:tab w:val="left" w:pos="993" w:leader="none"/>
        <w:tab w:val="left" w:pos="1134" w:leader="none"/>
      </w:tabs>
    </w:pPr>
    <w:rPr>
      <w:rFonts w:ascii="宋体"/>
      <w:sz w:val="28"/>
      <w:szCs w:val="20"/>
    </w:rPr>
  </w:style>
  <w:style w:type="paragraph" w:styleId="872">
    <w:name w:val="List Bullet 2"/>
    <w:basedOn w:val="852"/>
    <w:uiPriority w:val="1"/>
    <w:unhideWhenUsed/>
    <w:qFormat/>
    <w:pPr>
      <w:numPr>
        <w:ilvl w:val="0"/>
        <w:numId w:val="1"/>
      </w:numPr>
    </w:pPr>
  </w:style>
  <w:style w:type="paragraph" w:styleId="873">
    <w:name w:val="toc 5"/>
    <w:basedOn w:val="852"/>
    <w:next w:val="852"/>
    <w:uiPriority w:val="39"/>
    <w:unhideWhenUsed/>
    <w:qFormat/>
    <w:pPr>
      <w:ind w:left="1134" w:right="0" w:firstLine="0"/>
      <w:spacing w:after="57"/>
    </w:pPr>
  </w:style>
  <w:style w:type="paragraph" w:styleId="874">
    <w:name w:val="toc 3"/>
    <w:basedOn w:val="852"/>
    <w:next w:val="852"/>
    <w:uiPriority w:val="39"/>
    <w:unhideWhenUsed/>
    <w:qFormat/>
    <w:pPr>
      <w:ind w:left="567" w:right="0" w:firstLine="0"/>
      <w:spacing w:after="57"/>
    </w:pPr>
  </w:style>
  <w:style w:type="paragraph" w:styleId="875">
    <w:name w:val="Plain Text"/>
    <w:basedOn w:val="852"/>
    <w:link w:val="1076"/>
    <w:uiPriority w:val="99"/>
    <w:qFormat/>
    <w:rPr>
      <w:rFonts w:ascii="宋体" w:hAnsi="Courier New"/>
      <w:sz w:val="20"/>
      <w:szCs w:val="21"/>
    </w:rPr>
  </w:style>
  <w:style w:type="paragraph" w:styleId="876">
    <w:name w:val="toc 8"/>
    <w:basedOn w:val="852"/>
    <w:next w:val="852"/>
    <w:uiPriority w:val="39"/>
    <w:unhideWhenUsed/>
    <w:qFormat/>
    <w:pPr>
      <w:ind w:left="1984" w:right="0" w:firstLine="0"/>
      <w:spacing w:after="57"/>
    </w:pPr>
  </w:style>
  <w:style w:type="paragraph" w:styleId="877">
    <w:name w:val="Date"/>
    <w:basedOn w:val="852"/>
    <w:next w:val="852"/>
    <w:link w:val="1077"/>
    <w:uiPriority w:val="0"/>
    <w:qFormat/>
    <w:rPr>
      <w:sz w:val="24"/>
      <w:szCs w:val="20"/>
    </w:rPr>
  </w:style>
  <w:style w:type="paragraph" w:styleId="878">
    <w:name w:val="Body Text Indent 2"/>
    <w:basedOn w:val="852"/>
    <w:uiPriority w:val="0"/>
    <w:qFormat/>
    <w:pPr>
      <w:ind w:firstLine="562"/>
      <w:spacing w:line="480" w:lineRule="exact"/>
    </w:pPr>
    <w:rPr>
      <w:rFonts w:ascii="楷体_GB2312" w:eastAsia="楷体_GB2312"/>
      <w:b/>
      <w:bCs/>
      <w:sz w:val="28"/>
      <w:szCs w:val="24"/>
    </w:rPr>
  </w:style>
  <w:style w:type="paragraph" w:styleId="879">
    <w:name w:val="endnote text"/>
    <w:basedOn w:val="852"/>
    <w:link w:val="1061"/>
    <w:uiPriority w:val="99"/>
    <w:semiHidden/>
    <w:unhideWhenUsed/>
    <w:qFormat/>
    <w:pPr>
      <w:spacing w:after="0" w:line="240" w:lineRule="auto"/>
    </w:pPr>
    <w:rPr>
      <w:sz w:val="20"/>
    </w:rPr>
  </w:style>
  <w:style w:type="paragraph" w:styleId="880">
    <w:name w:val="Balloon Text"/>
    <w:basedOn w:val="852"/>
    <w:link w:val="1078"/>
    <w:uiPriority w:val="99"/>
    <w:unhideWhenUsed/>
    <w:qFormat/>
    <w:rPr>
      <w:sz w:val="18"/>
      <w:szCs w:val="18"/>
    </w:rPr>
  </w:style>
  <w:style w:type="paragraph" w:styleId="881">
    <w:name w:val="Footer"/>
    <w:basedOn w:val="852"/>
    <w:link w:val="1079"/>
    <w:uiPriority w:val="99"/>
    <w:unhideWhenUsed/>
    <w:qFormat/>
    <w:pPr>
      <w:jc w:val="left"/>
      <w:tabs>
        <w:tab w:val="center" w:pos="4153" w:leader="none"/>
        <w:tab w:val="right" w:pos="8306" w:leader="none"/>
      </w:tabs>
    </w:pPr>
    <w:rPr>
      <w:sz w:val="18"/>
      <w:szCs w:val="18"/>
    </w:rPr>
  </w:style>
  <w:style w:type="paragraph" w:styleId="882">
    <w:name w:val="Header"/>
    <w:basedOn w:val="852"/>
    <w:link w:val="10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3">
    <w:name w:val="toc 1"/>
    <w:basedOn w:val="852"/>
    <w:next w:val="852"/>
    <w:uiPriority w:val="39"/>
    <w:unhideWhenUsed/>
    <w:qFormat/>
  </w:style>
  <w:style w:type="paragraph" w:styleId="884">
    <w:name w:val="toc 4"/>
    <w:basedOn w:val="852"/>
    <w:next w:val="852"/>
    <w:uiPriority w:val="39"/>
    <w:unhideWhenUsed/>
    <w:qFormat/>
    <w:pPr>
      <w:ind w:left="850" w:right="0" w:firstLine="0"/>
      <w:spacing w:after="57"/>
    </w:pPr>
  </w:style>
  <w:style w:type="paragraph" w:styleId="885">
    <w:name w:val="Subtitle"/>
    <w:basedOn w:val="852"/>
    <w:next w:val="852"/>
    <w:link w:val="927"/>
    <w:uiPriority w:val="11"/>
    <w:qFormat/>
    <w:pPr>
      <w:spacing w:before="200" w:after="200"/>
    </w:pPr>
    <w:rPr>
      <w:sz w:val="24"/>
      <w:szCs w:val="24"/>
    </w:rPr>
  </w:style>
  <w:style w:type="paragraph" w:styleId="886">
    <w:name w:val="footnote text"/>
    <w:basedOn w:val="852"/>
    <w:link w:val="1060"/>
    <w:uiPriority w:val="99"/>
    <w:semiHidden/>
    <w:unhideWhenUsed/>
    <w:qFormat/>
    <w:pPr>
      <w:spacing w:after="40" w:line="240" w:lineRule="auto"/>
    </w:pPr>
    <w:rPr>
      <w:sz w:val="18"/>
    </w:rPr>
  </w:style>
  <w:style w:type="paragraph" w:styleId="887">
    <w:name w:val="toc 6"/>
    <w:basedOn w:val="852"/>
    <w:next w:val="852"/>
    <w:uiPriority w:val="39"/>
    <w:unhideWhenUsed/>
    <w:qFormat/>
    <w:pPr>
      <w:ind w:left="1417" w:right="0" w:firstLine="0"/>
      <w:spacing w:after="57"/>
    </w:pPr>
  </w:style>
  <w:style w:type="paragraph" w:styleId="888">
    <w:name w:val="table of figures"/>
    <w:basedOn w:val="852"/>
    <w:next w:val="852"/>
    <w:uiPriority w:val="99"/>
    <w:unhideWhenUsed/>
    <w:qFormat/>
    <w:pPr>
      <w:spacing w:after="0" w:afterAutospacing="0"/>
    </w:pPr>
  </w:style>
  <w:style w:type="paragraph" w:styleId="889">
    <w:name w:val="toc 2"/>
    <w:basedOn w:val="852"/>
    <w:next w:val="852"/>
    <w:uiPriority w:val="39"/>
    <w:unhideWhenUsed/>
    <w:qFormat/>
    <w:pPr>
      <w:ind w:left="420"/>
    </w:pPr>
  </w:style>
  <w:style w:type="paragraph" w:styleId="890">
    <w:name w:val="toc 9"/>
    <w:basedOn w:val="852"/>
    <w:next w:val="852"/>
    <w:uiPriority w:val="0"/>
    <w:semiHidden/>
    <w:qFormat/>
    <w:pPr>
      <w:ind w:left="3360"/>
    </w:pPr>
  </w:style>
  <w:style w:type="paragraph" w:styleId="891">
    <w:name w:val="Body Text 2"/>
    <w:basedOn w:val="852"/>
    <w:uiPriority w:val="0"/>
    <w:qFormat/>
    <w:pPr>
      <w:spacing w:after="120" w:line="480" w:lineRule="auto"/>
    </w:pPr>
  </w:style>
  <w:style w:type="paragraph" w:styleId="892">
    <w:name w:val="Normal (Web)"/>
    <w:basedOn w:val="852"/>
    <w:uiPriority w:val="0"/>
    <w:unhideWhenUsed/>
    <w:qFormat/>
    <w:pPr>
      <w:spacing w:before="100" w:beforeAutospacing="1" w:after="100" w:afterAutospacing="1"/>
    </w:pPr>
    <w:rPr>
      <w:rFonts w:ascii="宋体" w:hAnsi="宋体" w:cs="宋体"/>
      <w:sz w:val="24"/>
      <w:szCs w:val="24"/>
    </w:rPr>
  </w:style>
  <w:style w:type="paragraph" w:styleId="893">
    <w:name w:val="Title"/>
    <w:basedOn w:val="852"/>
    <w:next w:val="852"/>
    <w:uiPriority w:val="10"/>
    <w:qFormat/>
    <w:pPr>
      <w:jc w:val="center"/>
      <w:spacing w:before="240" w:after="60"/>
      <w:outlineLvl w:val="0"/>
    </w:pPr>
    <w:rPr>
      <w:rFonts w:ascii="Cambria" w:hAnsi="Cambria"/>
      <w:b/>
      <w:bCs/>
      <w:sz w:val="32"/>
      <w:szCs w:val="32"/>
    </w:rPr>
  </w:style>
  <w:style w:type="paragraph" w:styleId="894">
    <w:name w:val="annotation subject"/>
    <w:basedOn w:val="870"/>
    <w:next w:val="870"/>
    <w:link w:val="1081"/>
    <w:uiPriority w:val="99"/>
    <w:unhideWhenUsed/>
    <w:qFormat/>
    <w:rPr>
      <w:b/>
      <w:bCs/>
    </w:rPr>
  </w:style>
  <w:style w:type="paragraph" w:styleId="895">
    <w:name w:val="Body Text First Indent"/>
    <w:uiPriority w:val="0"/>
    <w:qFormat/>
    <w:pPr>
      <w:ind w:firstLine="420"/>
      <w:jc w:val="both"/>
      <w:widowControl w:val="off"/>
    </w:pPr>
    <w:rPr>
      <w:rFonts w:hint="default" w:ascii="Times New Roman" w:hAnsi="Times New Roman" w:eastAsia="楷体_GB2312" w:cs="Times New Roman"/>
      <w:sz w:val="28"/>
      <w:szCs w:val="20"/>
      <w:lang w:val="en-US" w:eastAsia="zh-CN" w:bidi="ar-SA"/>
    </w:rPr>
  </w:style>
  <w:style w:type="paragraph" w:styleId="896">
    <w:name w:val="Body Text First Indent 2"/>
    <w:basedOn w:val="864"/>
    <w:uiPriority w:val="0"/>
    <w:qFormat/>
    <w:pPr>
      <w:ind w:firstLine="420"/>
    </w:pPr>
  </w:style>
  <w:style w:type="table" w:styleId="897">
    <w:name w:val="Table Grid"/>
    <w:basedOn w:val="86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Strong"/>
    <w:basedOn w:val="862"/>
    <w:uiPriority w:val="1"/>
    <w:qFormat/>
    <w:rPr>
      <w:b/>
    </w:rPr>
  </w:style>
  <w:style w:type="character" w:styleId="899">
    <w:name w:val="endnote reference"/>
    <w:basedOn w:val="862"/>
    <w:uiPriority w:val="99"/>
    <w:semiHidden/>
    <w:unhideWhenUsed/>
    <w:qFormat/>
    <w:rPr>
      <w:vertAlign w:val="superscript"/>
    </w:rPr>
  </w:style>
  <w:style w:type="character" w:styleId="900">
    <w:name w:val="page number"/>
    <w:uiPriority w:val="0"/>
    <w:qFormat/>
  </w:style>
  <w:style w:type="character" w:styleId="901">
    <w:name w:val="Emphasis"/>
    <w:uiPriority w:val="1"/>
    <w:qFormat/>
    <w:rPr>
      <w:i/>
    </w:rPr>
  </w:style>
  <w:style w:type="character" w:styleId="902">
    <w:name w:val="Hyperlink"/>
    <w:uiPriority w:val="99"/>
    <w:unhideWhenUsed/>
    <w:qFormat/>
    <w:rPr>
      <w:color w:val="222222"/>
      <w:u w:val="none"/>
    </w:rPr>
  </w:style>
  <w:style w:type="character" w:styleId="903">
    <w:name w:val="annotation reference"/>
    <w:uiPriority w:val="99"/>
    <w:unhideWhenUsed/>
    <w:qFormat/>
    <w:rPr>
      <w:sz w:val="21"/>
      <w:szCs w:val="21"/>
    </w:rPr>
  </w:style>
  <w:style w:type="character" w:styleId="904">
    <w:name w:val="footnote reference"/>
    <w:basedOn w:val="862"/>
    <w:uiPriority w:val="99"/>
    <w:unhideWhenUsed/>
    <w:qFormat/>
    <w:rPr>
      <w:vertAlign w:val="superscript"/>
    </w:rPr>
  </w:style>
  <w:style w:type="paragraph" w:styleId="905" w:customStyle="1">
    <w:name w:val="Default"/>
    <w:next w:val="852"/>
    <w:uiPriority w:val="0"/>
    <w:qFormat/>
    <w:pPr>
      <w:widowControl w:val="off"/>
    </w:pPr>
    <w:rPr>
      <w:rFonts w:hint="default" w:ascii="宋体" w:hAnsi="Times New Roman" w:eastAsia="宋体" w:cs="宋体"/>
      <w:color w:val="000000"/>
      <w:sz w:val="24"/>
      <w:szCs w:val="24"/>
      <w:lang w:val="en-US" w:eastAsia="zh-CN" w:bidi="ar-SA"/>
    </w:rPr>
  </w:style>
  <w:style w:type="paragraph" w:styleId="906" w:customStyle="1">
    <w:name w:val="正文1"/>
    <w:basedOn w:val="907"/>
    <w:next w:val="911"/>
    <w:uiPriority w:val="0"/>
    <w:qFormat/>
    <w:pPr>
      <w:jc w:val="left"/>
      <w:spacing w:line="360" w:lineRule="atLeast"/>
    </w:pPr>
    <w:rPr>
      <w:rFonts w:ascii="宋体" w:hAnsi="Calibri"/>
      <w:sz w:val="24"/>
      <w:szCs w:val="20"/>
    </w:rPr>
  </w:style>
  <w:style w:type="paragraph" w:styleId="907" w:customStyle="1">
    <w:name w:val="正文11"/>
    <w:next w:val="90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8" w:customStyle="1">
    <w:name w:val="正文首行缩进 21"/>
    <w:basedOn w:val="909"/>
    <w:next w:val="852"/>
    <w:uiPriority w:val="0"/>
    <w:qFormat/>
    <w:pPr>
      <w:ind w:firstLine="420"/>
    </w:pPr>
  </w:style>
  <w:style w:type="paragraph" w:styleId="909" w:customStyle="1">
    <w:name w:val="正文文本缩进1"/>
    <w:basedOn w:val="907"/>
    <w:next w:val="910"/>
    <w:uiPriority w:val="0"/>
    <w:qFormat/>
    <w:pPr>
      <w:ind w:firstLine="540"/>
      <w:spacing w:line="400" w:lineRule="exact"/>
    </w:pPr>
    <w:rPr>
      <w:sz w:val="24"/>
    </w:rPr>
  </w:style>
  <w:style w:type="paragraph" w:styleId="910" w:customStyle="1">
    <w:name w:val="寄信人地址1"/>
    <w:basedOn w:val="852"/>
    <w:uiPriority w:val="0"/>
    <w:qFormat/>
    <w:rPr>
      <w:rFonts w:ascii="Arial" w:hAnsi="Arial" w:eastAsia="宋体" w:cs="Times New Roman"/>
    </w:rPr>
  </w:style>
  <w:style w:type="paragraph" w:styleId="911" w:customStyle="1">
    <w:name w:val="正文文本1"/>
    <w:basedOn w:val="906"/>
    <w:next w:val="912"/>
    <w:uiPriority w:val="0"/>
    <w:qFormat/>
    <w:pPr>
      <w:spacing w:after="120"/>
    </w:pPr>
    <w:rPr>
      <w:lang w:eastAsia="en-US"/>
    </w:rPr>
  </w:style>
  <w:style w:type="paragraph" w:styleId="912" w:customStyle="1">
    <w:name w:val="一级条标题"/>
    <w:basedOn w:val="913"/>
    <w:next w:val="91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3" w:customStyle="1">
    <w:name w:val="章标题"/>
    <w:next w:val="8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4" w:customStyle="1">
    <w:name w:val="段"/>
    <w:next w:val="852"/>
    <w:uiPriority w:val="0"/>
    <w:qFormat/>
    <w:pPr>
      <w:ind w:firstLine="200"/>
      <w:jc w:val="both"/>
    </w:pPr>
    <w:rPr>
      <w:rFonts w:hint="default" w:ascii="宋体" w:hAnsi="Times New Roman" w:eastAsia="Times New Roman" w:cs="Times New Roman"/>
      <w:sz w:val="21"/>
      <w:lang w:val="en-US" w:eastAsia="zh-CN" w:bidi="ar-SA"/>
    </w:rPr>
  </w:style>
  <w:style w:type="character" w:styleId="915" w:customStyle="1">
    <w:name w:val="Heading 1 Char"/>
    <w:basedOn w:val="862"/>
    <w:uiPriority w:val="9"/>
    <w:qFormat/>
    <w:rPr>
      <w:rFonts w:ascii="Arial" w:hAnsi="Arial" w:eastAsia="Arial" w:cs="Arial"/>
      <w:sz w:val="40"/>
      <w:szCs w:val="40"/>
    </w:rPr>
  </w:style>
  <w:style w:type="character" w:styleId="916" w:customStyle="1">
    <w:name w:val="Heading 2 Char"/>
    <w:basedOn w:val="862"/>
    <w:uiPriority w:val="9"/>
    <w:qFormat/>
    <w:rPr>
      <w:rFonts w:ascii="Arial" w:hAnsi="Arial" w:eastAsia="Arial" w:cs="Arial"/>
      <w:sz w:val="34"/>
    </w:rPr>
  </w:style>
  <w:style w:type="character" w:styleId="917" w:customStyle="1">
    <w:name w:val="Heading 3 Char"/>
    <w:basedOn w:val="862"/>
    <w:uiPriority w:val="9"/>
    <w:qFormat/>
    <w:rPr>
      <w:rFonts w:ascii="Arial" w:hAnsi="Arial" w:eastAsia="Arial" w:cs="Arial"/>
      <w:sz w:val="30"/>
      <w:szCs w:val="30"/>
    </w:rPr>
  </w:style>
  <w:style w:type="character" w:styleId="918" w:customStyle="1">
    <w:name w:val="Heading 4 Char"/>
    <w:basedOn w:val="862"/>
    <w:uiPriority w:val="9"/>
    <w:qFormat/>
    <w:rPr>
      <w:rFonts w:ascii="Arial" w:hAnsi="Arial" w:eastAsia="Arial" w:cs="Arial"/>
      <w:b/>
      <w:bCs/>
      <w:sz w:val="26"/>
      <w:szCs w:val="26"/>
    </w:rPr>
  </w:style>
  <w:style w:type="character" w:styleId="919" w:customStyle="1">
    <w:name w:val="Heading 5 Char"/>
    <w:basedOn w:val="862"/>
    <w:link w:val="857"/>
    <w:uiPriority w:val="9"/>
    <w:qFormat/>
    <w:rPr>
      <w:rFonts w:ascii="Arial" w:hAnsi="Arial" w:eastAsia="Arial" w:cs="Arial"/>
      <w:b/>
      <w:bCs/>
      <w:sz w:val="24"/>
      <w:szCs w:val="24"/>
    </w:rPr>
  </w:style>
  <w:style w:type="character" w:styleId="920" w:customStyle="1">
    <w:name w:val="Heading 6 Char"/>
    <w:basedOn w:val="862"/>
    <w:link w:val="858"/>
    <w:uiPriority w:val="9"/>
    <w:qFormat/>
    <w:rPr>
      <w:rFonts w:ascii="Arial" w:hAnsi="Arial" w:eastAsia="Arial" w:cs="Arial"/>
      <w:b/>
      <w:bCs/>
      <w:sz w:val="22"/>
      <w:szCs w:val="22"/>
    </w:rPr>
  </w:style>
  <w:style w:type="character" w:styleId="921" w:customStyle="1">
    <w:name w:val="Heading 7 Char"/>
    <w:basedOn w:val="862"/>
    <w:uiPriority w:val="9"/>
    <w:qFormat/>
    <w:rPr>
      <w:rFonts w:ascii="Arial" w:hAnsi="Arial" w:eastAsia="Arial" w:cs="Arial"/>
      <w:b/>
      <w:bCs/>
      <w:i/>
      <w:iCs/>
      <w:sz w:val="22"/>
      <w:szCs w:val="22"/>
    </w:rPr>
  </w:style>
  <w:style w:type="character" w:styleId="922" w:customStyle="1">
    <w:name w:val="Heading 8 Char"/>
    <w:basedOn w:val="862"/>
    <w:link w:val="860"/>
    <w:uiPriority w:val="9"/>
    <w:qFormat/>
    <w:rPr>
      <w:rFonts w:ascii="Arial" w:hAnsi="Arial" w:eastAsia="Arial" w:cs="Arial"/>
      <w:i/>
      <w:iCs/>
      <w:sz w:val="22"/>
      <w:szCs w:val="22"/>
    </w:rPr>
  </w:style>
  <w:style w:type="character" w:styleId="923" w:customStyle="1">
    <w:name w:val="Heading 9 Char"/>
    <w:basedOn w:val="862"/>
    <w:link w:val="861"/>
    <w:uiPriority w:val="9"/>
    <w:qFormat/>
    <w:rPr>
      <w:rFonts w:ascii="Arial" w:hAnsi="Arial" w:eastAsia="Arial" w:cs="Arial"/>
      <w:i/>
      <w:iCs/>
      <w:sz w:val="21"/>
      <w:szCs w:val="21"/>
    </w:rPr>
  </w:style>
  <w:style w:type="paragraph" w:styleId="924">
    <w:name w:val="List Paragraph"/>
    <w:basedOn w:val="852"/>
    <w:uiPriority w:val="34"/>
    <w:qFormat/>
    <w:pPr>
      <w:contextualSpacing/>
      <w:ind w:left="720"/>
    </w:pPr>
  </w:style>
  <w:style w:type="paragraph" w:styleId="925">
    <w:name w:val="No Spacing"/>
    <w:uiPriority w:val="1"/>
    <w:qFormat/>
    <w:pPr>
      <w:spacing w:before="0" w:after="0" w:line="240" w:lineRule="auto"/>
    </w:pPr>
    <w:rPr>
      <w:rFonts w:hint="default" w:ascii="Times New Roman" w:hAnsi="Times New Roman" w:eastAsia="宋体" w:cs="Times New Roman"/>
    </w:rPr>
  </w:style>
  <w:style w:type="character" w:styleId="926" w:customStyle="1">
    <w:name w:val="Title Char"/>
    <w:basedOn w:val="862"/>
    <w:uiPriority w:val="10"/>
    <w:qFormat/>
    <w:rPr>
      <w:sz w:val="48"/>
      <w:szCs w:val="48"/>
    </w:rPr>
  </w:style>
  <w:style w:type="character" w:styleId="927" w:customStyle="1">
    <w:name w:val="Subtitle Char"/>
    <w:basedOn w:val="862"/>
    <w:link w:val="885"/>
    <w:uiPriority w:val="11"/>
    <w:qFormat/>
    <w:rPr>
      <w:sz w:val="24"/>
      <w:szCs w:val="24"/>
    </w:rPr>
  </w:style>
  <w:style w:type="paragraph" w:styleId="928">
    <w:name w:val="Quote"/>
    <w:basedOn w:val="852"/>
    <w:next w:val="852"/>
    <w:link w:val="929"/>
    <w:uiPriority w:val="29"/>
    <w:qFormat/>
    <w:pPr>
      <w:ind w:left="720" w:right="720"/>
    </w:pPr>
    <w:rPr>
      <w:i/>
    </w:rPr>
  </w:style>
  <w:style w:type="character" w:styleId="929" w:customStyle="1">
    <w:name w:val="Quote Char"/>
    <w:link w:val="928"/>
    <w:uiPriority w:val="29"/>
    <w:qFormat/>
    <w:rPr>
      <w:i/>
    </w:rPr>
  </w:style>
  <w:style w:type="paragraph" w:styleId="930">
    <w:name w:val="Intense Quote"/>
    <w:basedOn w:val="852"/>
    <w:next w:val="852"/>
    <w:link w:val="9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Intense Quote Char"/>
    <w:link w:val="930"/>
    <w:uiPriority w:val="30"/>
    <w:qFormat/>
    <w:rPr>
      <w:i/>
    </w:rPr>
  </w:style>
  <w:style w:type="character" w:styleId="932" w:customStyle="1">
    <w:name w:val="Header Char"/>
    <w:basedOn w:val="862"/>
    <w:uiPriority w:val="99"/>
    <w:qFormat/>
  </w:style>
  <w:style w:type="character" w:styleId="933" w:customStyle="1">
    <w:name w:val="Footer Char"/>
    <w:basedOn w:val="862"/>
    <w:uiPriority w:val="99"/>
    <w:qFormat/>
  </w:style>
  <w:style w:type="character" w:styleId="934" w:customStyle="1">
    <w:name w:val="Caption Char"/>
    <w:uiPriority w:val="99"/>
    <w:qFormat/>
  </w:style>
  <w:style w:type="table" w:styleId="935" w:customStyle="1">
    <w:name w:val="Table Grid Light"/>
    <w:basedOn w:val="8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6" w:customStyle="1">
    <w:name w:val="Plain Table 1"/>
    <w:basedOn w:val="8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2"/>
    <w:basedOn w:val="8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3"/>
    <w:basedOn w:val="8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Plain Table 4"/>
    <w:basedOn w:val="8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Plain Table 5"/>
    <w:basedOn w:val="8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Grid Table 1 Light"/>
    <w:basedOn w:val="8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basedOn w:val="86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basedOn w:val="86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basedOn w:val="86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basedOn w:val="86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basedOn w:val="86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basedOn w:val="86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Grid Table 2"/>
    <w:basedOn w:val="8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basedOn w:val="86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basedOn w:val="86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basedOn w:val="86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basedOn w:val="86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basedOn w:val="86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basedOn w:val="86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Grid Table 3"/>
    <w:basedOn w:val="8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basedOn w:val="86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basedOn w:val="86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basedOn w:val="86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basedOn w:val="86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basedOn w:val="86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basedOn w:val="86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4"/>
    <w:basedOn w:val="8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basedOn w:val="86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4" w:customStyle="1">
    <w:name w:val="Grid Table 4 - Accent 2"/>
    <w:basedOn w:val="86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5" w:customStyle="1">
    <w:name w:val="Grid Table 4 - Accent 3"/>
    <w:basedOn w:val="86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6" w:customStyle="1">
    <w:name w:val="Grid Table 4 - Accent 4"/>
    <w:basedOn w:val="86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basedOn w:val="86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basedOn w:val="86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Grid Table 5 Dark"/>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5 Dark- Accent 1"/>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1" w:customStyle="1">
    <w:name w:val="Grid Table 5 Dark - Accent 2"/>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2" w:customStyle="1">
    <w:name w:val="Grid Table 5 Dark - Accent 3"/>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3" w:customStyle="1">
    <w:name w:val="Grid Table 5 Dark- Accent 4"/>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4" w:customStyle="1">
    <w:name w:val="Grid Table 5 Dark - Accent 5"/>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5 Dark - Accent 6"/>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6" w:customStyle="1">
    <w:name w:val="Grid Table 6 Colorful"/>
    <w:basedOn w:val="8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6 Colorful - Accent 1"/>
    <w:basedOn w:val="86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8" w:customStyle="1">
    <w:name w:val="Grid Table 6 Colorful - Accent 2"/>
    <w:basedOn w:val="86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9" w:customStyle="1">
    <w:name w:val="Grid Table 6 Colorful - Accent 3"/>
    <w:basedOn w:val="86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0" w:customStyle="1">
    <w:name w:val="Grid Table 6 Colorful - Accent 4"/>
    <w:basedOn w:val="86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1" w:customStyle="1">
    <w:name w:val="Grid Table 6 Colorful - Accent 5"/>
    <w:basedOn w:val="86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6 Colorful - Accent 6"/>
    <w:basedOn w:val="86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7 Colorful"/>
    <w:basedOn w:val="8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basedOn w:val="86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basedOn w:val="86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basedOn w:val="86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basedOn w:val="86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basedOn w:val="86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basedOn w:val="86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0" w:customStyle="1">
    <w:name w:val="List Table 1 Light"/>
    <w:basedOn w:val="8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basedOn w:val="86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basedOn w:val="86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basedOn w:val="86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basedOn w:val="86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basedOn w:val="86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basedOn w:val="86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List Table 2"/>
    <w:basedOn w:val="8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8" w:customStyle="1">
    <w:name w:val="List Table 2 - Accent 1"/>
    <w:basedOn w:val="86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basedOn w:val="86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0" w:customStyle="1">
    <w:name w:val="List Table 2 - Accent 3"/>
    <w:basedOn w:val="86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basedOn w:val="86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basedOn w:val="86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basedOn w:val="86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List Table 3"/>
    <w:basedOn w:val="8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basedOn w:val="86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basedOn w:val="86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7" w:customStyle="1">
    <w:name w:val="List Table 3 - Accent 3"/>
    <w:basedOn w:val="86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8" w:customStyle="1">
    <w:name w:val="List Table 3 - Accent 4"/>
    <w:basedOn w:val="86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basedOn w:val="86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basedOn w:val="86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List Table 4"/>
    <w:basedOn w:val="8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basedOn w:val="86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basedOn w:val="86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basedOn w:val="86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basedOn w:val="86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basedOn w:val="86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basedOn w:val="86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List Table 5 Dark"/>
    <w:basedOn w:val="8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1"/>
    <w:basedOn w:val="86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2"/>
    <w:basedOn w:val="86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3"/>
    <w:basedOn w:val="86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4"/>
    <w:basedOn w:val="86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5"/>
    <w:basedOn w:val="86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6"/>
    <w:basedOn w:val="86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6 Colorful"/>
    <w:basedOn w:val="8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6 Colorful - Accent 1"/>
    <w:basedOn w:val="86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7" w:customStyle="1">
    <w:name w:val="List Table 6 Colorful - Accent 2"/>
    <w:basedOn w:val="86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8" w:customStyle="1">
    <w:name w:val="List Table 6 Colorful - Accent 3"/>
    <w:basedOn w:val="86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9" w:customStyle="1">
    <w:name w:val="List Table 6 Colorful - Accent 4"/>
    <w:basedOn w:val="86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0" w:customStyle="1">
    <w:name w:val="List Table 6 Colorful - Accent 5"/>
    <w:basedOn w:val="86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1" w:customStyle="1">
    <w:name w:val="List Table 6 Colorful - Accent 6"/>
    <w:basedOn w:val="86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2" w:customStyle="1">
    <w:name w:val="List Table 7 Colorful"/>
    <w:basedOn w:val="8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basedOn w:val="86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basedOn w:val="86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basedOn w:val="86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basedOn w:val="86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basedOn w:val="86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basedOn w:val="86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9" w:customStyle="1">
    <w:name w:val="Lined - Accent"/>
    <w:basedOn w:val="8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Lined - Accent 1"/>
    <w:basedOn w:val="8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Lined - Accent 2"/>
    <w:basedOn w:val="8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Lined - Accent 3"/>
    <w:basedOn w:val="8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Lined - Accent 4"/>
    <w:basedOn w:val="8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Lined - Accent 5"/>
    <w:basedOn w:val="8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Lined - Accent 6"/>
    <w:basedOn w:val="8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amp; Lined - Accent"/>
    <w:basedOn w:val="86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Bordered &amp; Lined - Accent 1"/>
    <w:basedOn w:val="86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Bordered &amp; Lined - Accent 2"/>
    <w:basedOn w:val="86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Bordered &amp; Lined - Accent 3"/>
    <w:basedOn w:val="86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Bordered &amp; Lined - Accent 4"/>
    <w:basedOn w:val="86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Bordered &amp; Lined - Accent 5"/>
    <w:basedOn w:val="86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Bordered &amp; Lined - Accent 6"/>
    <w:basedOn w:val="86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w:basedOn w:val="86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4" w:customStyle="1">
    <w:name w:val="Bordered - Accent 1"/>
    <w:basedOn w:val="86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5" w:customStyle="1">
    <w:name w:val="Bordered - Accent 2"/>
    <w:basedOn w:val="86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6" w:customStyle="1">
    <w:name w:val="Bordered - Accent 3"/>
    <w:basedOn w:val="86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7" w:customStyle="1">
    <w:name w:val="Bordered - Accent 4"/>
    <w:basedOn w:val="86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8" w:customStyle="1">
    <w:name w:val="Bordered - Accent 5"/>
    <w:basedOn w:val="86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9" w:customStyle="1">
    <w:name w:val="Bordered - Accent 6"/>
    <w:basedOn w:val="86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0" w:customStyle="1">
    <w:name w:val="Footnote Text Char"/>
    <w:link w:val="886"/>
    <w:uiPriority w:val="99"/>
    <w:qFormat/>
    <w:rPr>
      <w:sz w:val="18"/>
    </w:rPr>
  </w:style>
  <w:style w:type="character" w:styleId="1061" w:customStyle="1">
    <w:name w:val="Endnote Text Char"/>
    <w:link w:val="879"/>
    <w:uiPriority w:val="99"/>
    <w:qFormat/>
    <w:rPr>
      <w:sz w:val="20"/>
    </w:rPr>
  </w:style>
  <w:style w:type="paragraph" w:styleId="1062" w:customStyle="1">
    <w:name w:val="TOC Heading"/>
    <w:uiPriority w:val="39"/>
    <w:unhideWhenUsed/>
    <w:qFormat/>
    <w:rPr>
      <w:rFonts w:hint="default" w:ascii="Times New Roman" w:hAnsi="Times New Roman" w:eastAsia="宋体" w:cs="Times New Roman"/>
    </w:rPr>
  </w:style>
  <w:style w:type="paragraph" w:styleId="1063" w:customStyle="1">
    <w:name w:val="正文2"/>
    <w:basedOn w:val="852"/>
    <w:uiPriority w:val="0"/>
    <w:qFormat/>
    <w:pPr>
      <w:ind w:firstLine="420"/>
      <w:spacing w:line="360" w:lineRule="auto"/>
    </w:pPr>
  </w:style>
  <w:style w:type="paragraph" w:styleId="1064" w:customStyle="1">
    <w:name w:val="正文（缩进）"/>
    <w:basedOn w:val="852"/>
    <w:next w:val="1065"/>
    <w:uiPriority w:val="0"/>
    <w:qFormat/>
    <w:pPr>
      <w:ind w:firstLine="480"/>
    </w:pPr>
  </w:style>
  <w:style w:type="paragraph" w:styleId="1065" w:customStyle="1">
    <w:name w:val="Char Char Char Char Char Char Char Char Char"/>
    <w:basedOn w:val="852"/>
    <w:next w:val="1066"/>
    <w:uiPriority w:val="0"/>
    <w:qFormat/>
    <w:pPr>
      <w:ind w:left="360" w:hanging="360"/>
      <w:tabs>
        <w:tab w:val="left" w:pos="360" w:leader="none"/>
      </w:tabs>
    </w:pPr>
    <w:rPr>
      <w:rFonts w:eastAsia="Calibri"/>
      <w:sz w:val="24"/>
      <w:szCs w:val="24"/>
      <w:lang w:val="zh-CN"/>
    </w:rPr>
  </w:style>
  <w:style w:type="paragraph" w:styleId="1066" w:customStyle="1">
    <w:name w:val="正文文本 21"/>
    <w:basedOn w:val="852"/>
    <w:next w:val="1067"/>
    <w:uiPriority w:val="0"/>
    <w:qFormat/>
    <w:pPr>
      <w:ind w:left="720" w:hanging="720"/>
      <w:widowControl/>
    </w:pPr>
    <w:rPr>
      <w:rFonts w:eastAsia="Calibri"/>
      <w:sz w:val="24"/>
      <w:szCs w:val="20"/>
      <w:lang w:val="en-GB"/>
    </w:rPr>
  </w:style>
  <w:style w:type="paragraph" w:styleId="1067" w:customStyle="1">
    <w:name w:val="默认段落字体 Para Char Char Char Char Char Char Char"/>
    <w:basedOn w:val="852"/>
    <w:next w:val="1068"/>
    <w:uiPriority w:val="0"/>
    <w:qFormat/>
    <w:rPr>
      <w:rFonts w:eastAsia="Calibri"/>
      <w:sz w:val="20"/>
      <w:szCs w:val="20"/>
      <w:lang w:val="zh-CN"/>
    </w:rPr>
  </w:style>
  <w:style w:type="paragraph" w:styleId="1068" w:customStyle="1">
    <w:name w:val="样式 首行缩进:  2 字符"/>
    <w:basedOn w:val="852"/>
    <w:next w:val="1069"/>
    <w:uiPriority w:val="0"/>
    <w:qFormat/>
    <w:pPr>
      <w:ind w:firstLine="480"/>
      <w:spacing w:line="360" w:lineRule="auto"/>
    </w:pPr>
    <w:rPr>
      <w:sz w:val="24"/>
      <w:szCs w:val="20"/>
    </w:rPr>
  </w:style>
  <w:style w:type="paragraph" w:styleId="1069" w:customStyle="1">
    <w:name w:val="样式 段后: 0.25 行"/>
    <w:basedOn w:val="852"/>
    <w:next w:val="1070"/>
    <w:uiPriority w:val="0"/>
    <w:qFormat/>
    <w:pPr>
      <w:ind w:firstLine="420"/>
      <w:jc w:val="left"/>
      <w:spacing w:line="300" w:lineRule="auto"/>
      <w:widowControl/>
    </w:pPr>
    <w:rPr>
      <w:rFonts w:ascii="Arial" w:hAnsi="Arial" w:eastAsia="Calibri"/>
      <w:sz w:val="22"/>
      <w:szCs w:val="20"/>
      <w:lang w:val="zh-CN" w:eastAsia="en-US" w:bidi="en-US"/>
    </w:rPr>
  </w:style>
  <w:style w:type="paragraph" w:styleId="1070" w:customStyle="1">
    <w:name w:val="正文 New New New New New New New New New New New New New New"/>
    <w:next w:val="890"/>
    <w:uiPriority w:val="0"/>
    <w:qFormat/>
    <w:pPr>
      <w:jc w:val="both"/>
      <w:widowControl w:val="off"/>
    </w:pPr>
    <w:rPr>
      <w:rFonts w:hint="eastAsia" w:ascii="Calibri" w:hAnsi="Calibri" w:eastAsia="宋体" w:cs="宋体"/>
      <w:sz w:val="21"/>
      <w:lang w:val="en-US" w:eastAsia="zh-CN" w:bidi="ar-SA"/>
    </w:rPr>
  </w:style>
  <w:style w:type="character" w:styleId="1071" w:customStyle="1">
    <w:name w:val="标题 3 Char"/>
    <w:link w:val="855"/>
    <w:uiPriority w:val="0"/>
    <w:qFormat/>
    <w:rPr>
      <w:rFonts w:ascii="Times New Roman" w:hAnsi="Times New Roman" w:eastAsia="宋体" w:cs="Times New Roman"/>
      <w:b/>
      <w:bCs/>
      <w:sz w:val="32"/>
      <w:szCs w:val="32"/>
    </w:rPr>
  </w:style>
  <w:style w:type="character" w:styleId="1072" w:customStyle="1">
    <w:name w:val="标题 1 Char"/>
    <w:link w:val="853"/>
    <w:uiPriority w:val="9"/>
    <w:qFormat/>
    <w:rPr>
      <w:b/>
      <w:bCs/>
      <w:sz w:val="44"/>
      <w:szCs w:val="44"/>
    </w:rPr>
  </w:style>
  <w:style w:type="character" w:styleId="1073" w:customStyle="1">
    <w:name w:val="标题 2 Char"/>
    <w:link w:val="854"/>
    <w:uiPriority w:val="0"/>
    <w:qFormat/>
    <w:rPr>
      <w:rFonts w:ascii="Arial" w:hAnsi="Arial" w:eastAsia="幼圆" w:cs="Times New Roman"/>
      <w:b/>
      <w:bCs/>
      <w:sz w:val="44"/>
      <w:szCs w:val="44"/>
    </w:rPr>
  </w:style>
  <w:style w:type="character" w:styleId="1074" w:customStyle="1">
    <w:name w:val="正文缩进 Char"/>
    <w:link w:val="868"/>
    <w:uiPriority w:val="0"/>
    <w:qFormat/>
    <w:rPr>
      <w:rFonts w:ascii="Times New Roman" w:hAnsi="Times New Roman" w:eastAsia="宋体" w:cs="Times New Roman"/>
      <w:szCs w:val="21"/>
    </w:rPr>
  </w:style>
  <w:style w:type="character" w:styleId="1075" w:customStyle="1">
    <w:name w:val="批注文字 Char"/>
    <w:link w:val="870"/>
    <w:uiPriority w:val="99"/>
    <w:qFormat/>
    <w:rPr>
      <w:sz w:val="21"/>
      <w:szCs w:val="22"/>
    </w:rPr>
  </w:style>
  <w:style w:type="character" w:styleId="1076" w:customStyle="1">
    <w:name w:val="纯文本 Char"/>
    <w:link w:val="875"/>
    <w:uiPriority w:val="99"/>
    <w:qFormat/>
    <w:rPr>
      <w:rFonts w:ascii="宋体" w:hAnsi="Courier New" w:eastAsia="宋体" w:cs="Times New Roman"/>
      <w:szCs w:val="21"/>
    </w:rPr>
  </w:style>
  <w:style w:type="character" w:styleId="1077" w:customStyle="1">
    <w:name w:val="日期 Char"/>
    <w:link w:val="877"/>
    <w:uiPriority w:val="0"/>
    <w:qFormat/>
    <w:rPr>
      <w:rFonts w:ascii="Times New Roman" w:hAnsi="Times New Roman" w:eastAsia="宋体" w:cs="Times New Roman"/>
      <w:sz w:val="24"/>
      <w:szCs w:val="20"/>
    </w:rPr>
  </w:style>
  <w:style w:type="character" w:styleId="1078" w:customStyle="1">
    <w:name w:val="批注框文本 Char"/>
    <w:link w:val="880"/>
    <w:uiPriority w:val="99"/>
    <w:semiHidden/>
    <w:qFormat/>
    <w:rPr>
      <w:sz w:val="18"/>
      <w:szCs w:val="18"/>
    </w:rPr>
  </w:style>
  <w:style w:type="character" w:styleId="1079" w:customStyle="1">
    <w:name w:val="页脚 Char"/>
    <w:link w:val="881"/>
    <w:uiPriority w:val="99"/>
    <w:qFormat/>
    <w:rPr>
      <w:sz w:val="18"/>
      <w:szCs w:val="18"/>
    </w:rPr>
  </w:style>
  <w:style w:type="character" w:styleId="1080" w:customStyle="1">
    <w:name w:val="页眉 Char"/>
    <w:link w:val="882"/>
    <w:uiPriority w:val="99"/>
    <w:qFormat/>
    <w:rPr>
      <w:sz w:val="18"/>
      <w:szCs w:val="18"/>
    </w:rPr>
  </w:style>
  <w:style w:type="character" w:styleId="1081" w:customStyle="1">
    <w:name w:val="批注主题 Char"/>
    <w:link w:val="894"/>
    <w:uiPriority w:val="99"/>
    <w:semiHidden/>
    <w:qFormat/>
    <w:rPr>
      <w:b/>
      <w:bCs/>
      <w:sz w:val="21"/>
      <w:szCs w:val="22"/>
    </w:rPr>
  </w:style>
  <w:style w:type="paragraph" w:styleId="1082" w:customStyle="1">
    <w:name w:val="ListBullet2"/>
    <w:basedOn w:val="852"/>
    <w:uiPriority w:val="0"/>
    <w:qFormat/>
    <w:pPr>
      <w:numPr>
        <w:ilvl w:val="0"/>
        <w:numId w:val="2"/>
      </w:numPr>
      <w:tabs>
        <w:tab w:val="decimal" w:pos="780" w:leader="none"/>
      </w:tabs>
    </w:pPr>
  </w:style>
  <w:style w:type="character" w:styleId="1083" w:customStyle="1">
    <w:name w:val="htd0"/>
    <w:uiPriority w:val="0"/>
    <w:qFormat/>
  </w:style>
  <w:style w:type="paragraph" w:styleId="1084" w:customStyle="1">
    <w:name w:val="普通正文"/>
    <w:basedOn w:val="906"/>
    <w:uiPriority w:val="0"/>
    <w:qFormat/>
    <w:pPr>
      <w:ind w:firstLine="480"/>
      <w:jc w:val="left"/>
      <w:spacing w:before="120" w:after="120" w:line="360" w:lineRule="auto"/>
    </w:pPr>
    <w:rPr>
      <w:rFonts w:ascii="Arial" w:hAnsi="Arial"/>
      <w:sz w:val="24"/>
      <w:szCs w:val="24"/>
    </w:rPr>
  </w:style>
  <w:style w:type="paragraph" w:styleId="1085" w:customStyle="1">
    <w:name w:val="正文空2格  1."/>
    <w:basedOn w:val="852"/>
    <w:uiPriority w:val="0"/>
    <w:qFormat/>
    <w:pPr>
      <w:ind w:firstLine="480"/>
    </w:pPr>
    <w:rPr>
      <w:rFonts w:cs="宋体"/>
      <w:sz w:val="28"/>
      <w:szCs w:val="20"/>
    </w:rPr>
  </w:style>
  <w:style w:type="paragraph" w:styleId="1086" w:customStyle="1">
    <w:name w:val="正文_0"/>
    <w:uiPriority w:val="0"/>
    <w:qFormat/>
    <w:pPr>
      <w:ind w:firstLine="360"/>
      <w:jc w:val="both"/>
      <w:widowControl w:val="off"/>
    </w:pPr>
    <w:rPr>
      <w:rFonts w:hint="default" w:ascii="Times New Roman" w:hAnsi="Times New Roman" w:eastAsia="宋体" w:cs="Times New Roman"/>
      <w:sz w:val="21"/>
      <w:szCs w:val="22"/>
      <w:lang w:val="en-US" w:eastAsia="zh-CN" w:bidi="ar-SA"/>
    </w:rPr>
  </w:style>
  <w:style w:type="paragraph" w:styleId="1087" w:customStyle="1">
    <w:name w:val="列出段落1"/>
    <w:basedOn w:val="852"/>
    <w:uiPriority w:val="34"/>
    <w:qFormat/>
    <w:pPr>
      <w:ind w:firstLine="420"/>
    </w:pPr>
  </w:style>
  <w:style w:type="paragraph" w:styleId="1088" w:customStyle="1">
    <w:name w:val="正文 1.1"/>
    <w:basedOn w:val="852"/>
    <w:next w:val="1089"/>
    <w:uiPriority w:val="0"/>
    <w:qFormat/>
    <w:pPr>
      <w:numPr>
        <w:ilvl w:val="1"/>
        <w:numId w:val="3"/>
      </w:numPr>
      <w:ind w:firstLine="550"/>
      <w:outlineLvl w:val="1"/>
    </w:pPr>
    <w:rPr>
      <w:rFonts w:ascii="仿宋" w:hAnsi="仿宋"/>
      <w:b/>
    </w:rPr>
  </w:style>
  <w:style w:type="paragraph" w:styleId="1089" w:customStyle="1">
    <w:name w:val="正文 1.1.1"/>
    <w:basedOn w:val="852"/>
    <w:next w:val="852"/>
    <w:uiPriority w:val="0"/>
    <w:qFormat/>
    <w:pPr>
      <w:numPr>
        <w:ilvl w:val="2"/>
        <w:numId w:val="3"/>
      </w:numPr>
      <w:outlineLvl w:val="2"/>
    </w:pPr>
    <w:rPr>
      <w:rFonts w:hAnsi="宋体"/>
      <w:color w:val="ff0000"/>
    </w:rPr>
  </w:style>
  <w:style w:type="paragraph" w:styleId="1090" w:customStyle="1">
    <w:name w:val="样式 目录 1 + 宋体"/>
    <w:basedOn w:val="883"/>
    <w:uiPriority w:val="0"/>
    <w:qFormat/>
    <w:pPr>
      <w:jc w:val="left"/>
      <w:spacing w:before="120" w:after="120"/>
    </w:pPr>
    <w:rPr>
      <w:rFonts w:ascii="宋体" w:hAnsi="宋体"/>
      <w:b/>
      <w:bCs/>
      <w:caps/>
      <w:sz w:val="28"/>
      <w:szCs w:val="20"/>
    </w:rPr>
  </w:style>
  <w:style w:type="paragraph" w:styleId="1091" w:customStyle="1">
    <w:name w:val="Table Paragraph"/>
    <w:basedOn w:val="852"/>
    <w:uiPriority w:val="99"/>
    <w:qFormat/>
    <w:pPr>
      <w:jc w:val="left"/>
    </w:pPr>
    <w:rPr>
      <w:rFonts w:ascii="Calibri" w:hAnsi="Calibri" w:cs="Calibri"/>
      <w:sz w:val="22"/>
      <w:lang w:eastAsia="en-US"/>
    </w:rPr>
  </w:style>
  <w:style w:type="paragraph" w:styleId="1092" w:customStyle="1">
    <w:name w:val="正文_2_0"/>
    <w:uiPriority w:val="0"/>
    <w:qFormat/>
    <w:rPr>
      <w:rFonts w:hint="default" w:ascii="Times New Roman" w:hAnsi="Times New Roman" w:eastAsia="宋体" w:cs="Times New Roman"/>
      <w:lang w:val="en-US" w:eastAsia="zh-CN" w:bidi="ar-SA"/>
    </w:rPr>
  </w:style>
  <w:style w:type="paragraph" w:styleId="1093" w:customStyle="1">
    <w:name w:val="Blockquote"/>
    <w:basedOn w:val="852"/>
    <w:uiPriority w:val="0"/>
    <w:qFormat/>
    <w:pPr>
      <w:ind w:left="360" w:right="360"/>
      <w:spacing w:before="100" w:after="100"/>
    </w:pPr>
    <w:rPr>
      <w:sz w:val="24"/>
    </w:rPr>
  </w:style>
  <w:style w:type="paragraph" w:styleId="1094" w:customStyle="1">
    <w:name w:val="Char"/>
    <w:basedOn w:val="852"/>
    <w:uiPriority w:val="0"/>
    <w:qFormat/>
    <w:pPr>
      <w:ind w:firstLine="200"/>
      <w:tabs>
        <w:tab w:val="left" w:pos="360" w:leader="none"/>
      </w:tabs>
    </w:pPr>
    <w:rPr>
      <w:sz w:val="28"/>
      <w:szCs w:val="30"/>
    </w:rPr>
  </w:style>
  <w:style w:type="paragraph" w:styleId="1095" w:customStyle="1">
    <w:name w:val="列出段落11"/>
    <w:basedOn w:val="852"/>
    <w:uiPriority w:val="0"/>
    <w:qFormat/>
    <w:pPr>
      <w:contextualSpacing/>
      <w:ind w:left="720"/>
      <w:jc w:val="left"/>
      <w:widowControl/>
    </w:pPr>
    <w:rPr>
      <w:sz w:val="24"/>
      <w:lang w:eastAsia="en-US" w:bidi="en-US"/>
    </w:rPr>
  </w:style>
  <w:style w:type="paragraph" w:styleId="1096" w:customStyle="1">
    <w:name w:val="样式3"/>
    <w:basedOn w:val="852"/>
    <w:uiPriority w:val="0"/>
    <w:qFormat/>
    <w:pPr>
      <w:spacing w:before="330" w:after="160" w:line="490" w:lineRule="exact"/>
    </w:pPr>
    <w:rPr>
      <w:rFonts w:ascii="Arial" w:hAnsi="Arial" w:eastAsia="黑体"/>
      <w:sz w:val="28"/>
    </w:rPr>
  </w:style>
  <w:style w:type="paragraph" w:styleId="1097" w:customStyle="1">
    <w:name w:val="样式"/>
    <w:uiPriority w:val="0"/>
    <w:qFormat/>
    <w:pPr>
      <w:widowControl w:val="off"/>
    </w:pPr>
    <w:rPr>
      <w:rFonts w:hint="default" w:ascii="宋体" w:hAnsi="宋体" w:eastAsia="宋体" w:cs="宋体"/>
      <w:sz w:val="24"/>
      <w:szCs w:val="24"/>
      <w:lang w:val="en-US" w:eastAsia="zh-CN" w:bidi="ar-SA"/>
    </w:rPr>
  </w:style>
  <w:style w:type="paragraph" w:styleId="1098" w:customStyle="1">
    <w:name w:val="修订1"/>
    <w:hidden/>
    <w:uiPriority w:val="99"/>
    <w:unhideWhenUsed/>
    <w:qFormat/>
    <w:rPr>
      <w:rFonts w:hint="default" w:ascii="Times New Roman" w:hAnsi="Times New Roman" w:eastAsia="宋体" w:cs="Times New Roman"/>
      <w:sz w:val="21"/>
      <w:szCs w:val="22"/>
      <w:lang w:val="en-US" w:eastAsia="zh-CN" w:bidi="ar-SA"/>
    </w:rPr>
  </w:style>
  <w:style w:type="paragraph" w:styleId="1099" w:customStyle="1">
    <w:name w:val="标题 21"/>
    <w:basedOn w:val="907"/>
    <w:next w:val="1100"/>
    <w:uiPriority w:val="0"/>
    <w:qFormat/>
    <w:pPr>
      <w:keepLines/>
      <w:keepNext/>
      <w:spacing w:before="260" w:after="260" w:line="416" w:lineRule="auto"/>
      <w:outlineLvl w:val="1"/>
    </w:pPr>
    <w:rPr>
      <w:rFonts w:ascii="Cambria" w:hAnsi="Cambria"/>
      <w:b/>
      <w:bCs/>
      <w:sz w:val="32"/>
      <w:szCs w:val="32"/>
    </w:rPr>
  </w:style>
  <w:style w:type="paragraph" w:styleId="1100" w:customStyle="1">
    <w:name w:val="正文缩进1"/>
    <w:basedOn w:val="907"/>
    <w:uiPriority w:val="0"/>
    <w:qFormat/>
    <w:pPr>
      <w:ind w:firstLine="420"/>
    </w:pPr>
    <w:rPr>
      <w:rFonts w:ascii="Calibri" w:hAnsi="Calibri"/>
    </w:rPr>
  </w:style>
  <w:style w:type="paragraph" w:styleId="1101" w:customStyle="1">
    <w:name w:val="纯文本1"/>
    <w:basedOn w:val="907"/>
    <w:uiPriority w:val="0"/>
    <w:qFormat/>
    <w:rPr>
      <w:rFonts w:ascii="宋体" w:hAnsi="Courier New"/>
      <w:sz w:val="20"/>
      <w:szCs w:val="20"/>
    </w:rPr>
  </w:style>
  <w:style w:type="paragraph" w:styleId="1102" w:customStyle="1">
    <w:name w:val="页眉1"/>
    <w:basedOn w:val="907"/>
    <w:uiPriority w:val="0"/>
    <w:qFormat/>
    <w:pPr>
      <w:jc w:val="center"/>
      <w:tabs>
        <w:tab w:val="center" w:pos="4153" w:leader="none"/>
        <w:tab w:val="right" w:pos="8306" w:leader="none"/>
      </w:tabs>
      <w:pBdr>
        <w:bottom w:val="single" w:color="000000" w:sz="6" w:space="1"/>
      </w:pBdr>
    </w:pPr>
    <w:rPr>
      <w:sz w:val="18"/>
      <w:szCs w:val="18"/>
    </w:rPr>
  </w:style>
  <w:style w:type="paragraph" w:styleId="1103" w:customStyle="1">
    <w:name w:val="正文文本11"/>
    <w:basedOn w:val="907"/>
    <w:next w:val="1066"/>
    <w:uiPriority w:val="0"/>
    <w:qFormat/>
    <w:rPr>
      <w:rFonts w:ascii="楷体_GB2312" w:hAnsi="Arial" w:eastAsia="楷体_GB2312"/>
      <w:sz w:val="28"/>
      <w:szCs w:val="28"/>
    </w:rPr>
  </w:style>
  <w:style w:type="paragraph" w:styleId="1104" w:customStyle="1">
    <w:name w:val="页脚1"/>
    <w:basedOn w:val="907"/>
    <w:uiPriority w:val="0"/>
    <w:qFormat/>
    <w:pPr>
      <w:jc w:val="left"/>
      <w:tabs>
        <w:tab w:val="center" w:pos="4153" w:leader="none"/>
        <w:tab w:val="right" w:pos="8306" w:leader="none"/>
      </w:tabs>
    </w:pPr>
    <w:rPr>
      <w:sz w:val="18"/>
      <w:szCs w:val="18"/>
    </w:rPr>
  </w:style>
  <w:style w:type="paragraph" w:styleId="1105" w:customStyle="1">
    <w:name w:val="标题 11"/>
    <w:basedOn w:val="852"/>
    <w:next w:val="852"/>
    <w:uiPriority w:val="9"/>
    <w:qFormat/>
    <w:pPr>
      <w:keepLines/>
      <w:keepNext/>
      <w:spacing w:before="340" w:after="330" w:line="578" w:lineRule="auto"/>
      <w:outlineLvl w:val="0"/>
    </w:pPr>
    <w:rPr>
      <w:rFonts w:ascii="Calibri" w:hAnsi="Calibri"/>
      <w:b/>
      <w:bCs/>
      <w:sz w:val="44"/>
      <w:szCs w:val="44"/>
      <w:lang w:eastAsia="en-US"/>
    </w:rPr>
  </w:style>
  <w:style w:type="paragraph" w:styleId="1106" w:customStyle="1">
    <w:name w:val="普通(网站)1"/>
    <w:basedOn w:val="852"/>
    <w:uiPriority w:val="0"/>
    <w:unhideWhenUsed/>
    <w:qFormat/>
    <w:pPr>
      <w:jc w:val="left"/>
    </w:pPr>
    <w:rPr>
      <w:rFonts w:ascii="Calibri" w:hAnsi="Calibri"/>
      <w:sz w:val="24"/>
      <w:szCs w:val="24"/>
    </w:rPr>
  </w:style>
  <w:style w:type="character" w:styleId="1107" w:customStyle="1">
    <w:name w:val="要点1"/>
    <w:uiPriority w:val="0"/>
    <w:qFormat/>
    <w:rPr>
      <w:rFonts w:ascii="Times New Roman" w:hAnsi="Times New Roman" w:eastAsia="宋体" w:cs="Times New Roman"/>
      <w:sz w:val="21"/>
      <w:szCs w:val="22"/>
      <w:lang w:val="en-US" w:eastAsia="zh-CN" w:bidi="ar-SA"/>
    </w:rPr>
  </w:style>
  <w:style w:type="paragraph" w:styleId="1108" w:customStyle="1">
    <w:name w:val="日期1"/>
    <w:basedOn w:val="852"/>
    <w:next w:val="852"/>
    <w:uiPriority w:val="0"/>
    <w:qFormat/>
    <w:rPr>
      <w:sz w:val="24"/>
      <w:szCs w:val="20"/>
      <w:lang w:eastAsia="en-US"/>
    </w:rPr>
  </w:style>
  <w:style w:type="paragraph" w:styleId="1109" w:customStyle="1">
    <w:name w:val="纯文本111"/>
    <w:basedOn w:val="852"/>
    <w:uiPriority w:val="99"/>
    <w:unhideWhenUsed/>
    <w:qFormat/>
    <w:rPr>
      <w:rFonts w:ascii="宋体" w:hAnsi="Courier New"/>
      <w:sz w:val="20"/>
      <w:szCs w:val="20"/>
    </w:rPr>
  </w:style>
  <w:style w:type="paragraph" w:styleId="1110" w:customStyle="1">
    <w:name w:val="标题 41"/>
    <w:basedOn w:val="852"/>
    <w:next w:val="852"/>
    <w:uiPriority w:val="0"/>
    <w:qFormat/>
    <w:pPr>
      <w:spacing w:before="280" w:after="290" w:line="377" w:lineRule="auto"/>
      <w:outlineLvl w:val="3"/>
    </w:pPr>
    <w:rPr>
      <w:rFonts w:ascii="Arial" w:hAnsi="Arial" w:eastAsia="黑体"/>
      <w:b/>
      <w:bCs/>
      <w:sz w:val="28"/>
      <w:szCs w:val="28"/>
    </w:rPr>
  </w:style>
  <w:style w:type="paragraph" w:styleId="1111" w:customStyle="1">
    <w:name w:val="WPSOffice手动目录 1"/>
    <w:uiPriority w:val="0"/>
    <w:qFormat/>
    <w:rPr>
      <w:rFonts w:hint="default" w:ascii="Times New Roman" w:hAnsi="Times New Roman" w:eastAsia="宋体" w:cs="Times New Roman"/>
      <w:sz w:val="20"/>
      <w:szCs w:val="20"/>
    </w:rPr>
  </w:style>
  <w:style w:type="paragraph" w:styleId="1112" w:customStyle="1">
    <w:name w:val="报告书 正文"/>
    <w:uiPriority w:val="0"/>
    <w:qFormat/>
    <w:pPr>
      <w:ind w:firstLine="200"/>
      <w:jc w:val="both"/>
      <w:spacing w:line="500" w:lineRule="exact"/>
      <w:widowControl w:val="off"/>
    </w:pPr>
    <w:rPr>
      <w:rFonts w:hint="default" w:ascii="Times New Roman" w:hAnsi="Times New Roman" w:eastAsia="仿宋_GB2312" w:cs="Times New Roman"/>
      <w:sz w:val="28"/>
      <w:szCs w:val="24"/>
      <w:lang w:val="en-US" w:eastAsia="zh-CN" w:bidi="ar-SA"/>
    </w:rPr>
  </w:style>
  <w:style w:type="paragraph" w:styleId="1113" w:customStyle="1">
    <w:name w:val="标准文件_正文表标题"/>
    <w:next w:val="1114"/>
    <w:uiPriority w:val="0"/>
    <w:qFormat/>
    <w:pPr>
      <w:numPr>
        <w:ilvl w:val="0"/>
        <w:numId w:val="4"/>
      </w:numPr>
      <w:jc w:val="center"/>
      <w:tabs>
        <w:tab w:val="left" w:pos="0" w:leader="none"/>
      </w:tabs>
    </w:pPr>
    <w:rPr>
      <w:rFonts w:hint="default" w:ascii="黑体" w:hAnsi="Times New Roman" w:eastAsia="黑体" w:cs="Times New Roman"/>
      <w:sz w:val="21"/>
      <w:szCs w:val="20"/>
      <w:lang w:val="en-US" w:eastAsia="zh-CN" w:bidi="ar-SA"/>
    </w:rPr>
  </w:style>
  <w:style w:type="paragraph" w:styleId="1114" w:customStyle="1">
    <w:name w:val="标准文件_段"/>
    <w:uiPriority w:val="0"/>
    <w:qFormat/>
    <w:pPr>
      <w:ind w:firstLine="200"/>
      <w:jc w:val="both"/>
    </w:pPr>
    <w:rPr>
      <w:rFonts w:hint="default" w:ascii="宋体" w:hAnsi="宋体" w:eastAsia="宋体" w:cstheme="minorBidi"/>
      <w:sz w:val="21"/>
      <w:szCs w:val="22"/>
      <w:lang w:val="en-US" w:eastAsia="zh-CN" w:bidi="ar-SA"/>
    </w:rPr>
  </w:style>
  <w:style w:type="table" w:styleId="1115" w:customStyle="1">
    <w:name w:val="Table Normal"/>
    <w:uiPriority w:val="0"/>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paragraph" w:styleId="1116" w:customStyle="1">
    <w:name w:val="Fließtext"/>
    <w:basedOn w:val="852"/>
    <w:uiPriority w:val="0"/>
    <w:qFormat/>
  </w:style>
  <w:style w:type="paragraph" w:styleId="1117" w:customStyle="1">
    <w:name w:val="正文首行缩进1"/>
    <w:basedOn w:val="871"/>
    <w:uiPriority w:val="0"/>
    <w:qFormat/>
    <w:pPr>
      <w:ind w:firstLine="200"/>
      <w:spacing w:after="0" w:line="360" w:lineRule="auto"/>
    </w:pPr>
    <w:rPr>
      <w:rFonts w:ascii="仿宋_GB2312" w:hAnsi="Arial" w:eastAsia="仿宋_GB2312"/>
      <w:sz w:val="30"/>
      <w:szCs w:val="30"/>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360xt.cn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ZWKYZCGDLC-20191101号</dc:title>
  <dc:creator>admin</dc:creator>
  <cp:lastModifiedBy>许诚哲</cp:lastModifiedBy>
  <cp:revision>10</cp:revision>
  <dcterms:created xsi:type="dcterms:W3CDTF">2024-03-23T13:09:00Z</dcterms:created>
  <dcterms:modified xsi:type="dcterms:W3CDTF">2025-12-05T06:10:12Z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37937E2D70124EB183D9A85FE5A63FB1_13</vt:lpwstr>
  </property>
  <property fmtid="{D5CDD505-2E9C-101B-9397-08002B2CF9AE}" pid="4" name="KSOTemplateDocerSaveRecord">
    <vt:lpwstr>eyJoZGlkIjoiMzdlZmMyYzg4YTZkMGMyMjc5YzRmYTEyYjI4NjYyY2UiLCJ1c2VySWQiOiIyMjg0MDg0MzQifQ==</vt:lpwstr>
  </property>
</Properties>
</file>