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ind w:firstLine="2249"/>
        <w:jc w:val="left"/>
        <w:spacing w:before="120" w:after="120" w:line="360" w:lineRule="auto"/>
        <w:rPr>
          <w:rFonts w:ascii="Arial" w:hAnsi="Arial"/>
          <w:b/>
          <w:bCs/>
          <w:color w:val="000000"/>
          <w:sz w:val="32"/>
          <w:szCs w:val="24"/>
        </w:rPr>
      </w:pPr>
      <w:r>
        <w:rPr>
          <w:rFonts w:ascii="Arial" w:hAnsi="Arial"/>
          <w:b/>
          <w:bCs/>
          <w:color w:val="000000"/>
          <w:sz w:val="32"/>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    项目名称：扬州市邗江区劳动就业服务中心人社基层信息发布终端（含软件）项目</w:t>
      </w:r>
      <w:r/>
    </w:p>
    <w:p>
      <w:pPr>
        <w:ind w:firstLine="643"/>
        <w:spacing w:before="120" w:after="120" w:line="360" w:lineRule="auto"/>
        <w:rPr>
          <w:b/>
          <w:sz w:val="28"/>
          <w:szCs w:val="28"/>
        </w:rPr>
      </w:pPr>
      <w:r>
        <w:rPr>
          <w:rFonts w:hint="eastAsia" w:ascii="Arial" w:hAnsi="Arial"/>
          <w:b/>
          <w:bCs/>
          <w:color w:val="000000"/>
          <w:sz w:val="32"/>
          <w:szCs w:val="24"/>
        </w:rPr>
        <w:t xml:space="preserve">项目编号：JSZC-321003-JZCG-G2025-0022   </w:t>
      </w:r>
      <w:r>
        <w:rPr>
          <w:rFonts w:hint="eastAsia" w:ascii="Arial" w:hAnsi="Arial"/>
          <w:b/>
          <w:bCs/>
          <w:sz w:val="32"/>
          <w:szCs w:val="24"/>
        </w:rPr>
        <w:t xml:space="preserve">  </w:t>
      </w:r>
      <w:r>
        <w:rPr>
          <w:rFonts w:hint="eastAsia"/>
          <w:b/>
          <w:sz w:val="28"/>
          <w:szCs w:val="28"/>
        </w:rPr>
        <w:t xml:space="preserve"> </w:t>
      </w:r>
      <w:r/>
    </w:p>
    <w:p>
      <w:pPr>
        <w:ind w:left="2295" w:hanging="1560"/>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扬州市公共资源交易中心邗江分中心</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t xml:space="preserve">2025</w:t>
      </w:r>
      <w:r>
        <w:rPr>
          <w:rFonts w:hint="eastAsia" w:ascii="Arial" w:hAnsi="Arial"/>
          <w:b/>
          <w:bCs/>
          <w:color w:val="000000"/>
          <w:sz w:val="32"/>
          <w:szCs w:val="24"/>
        </w:rPr>
        <w:t xml:space="preserve">年12月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pStyle w:val="698"/>
        <w:rPr>
          <w:rFonts w:ascii="Arial" w:hAnsi="Arial"/>
        </w:rPr>
      </w:pPr>
      <w:r>
        <w:rPr>
          <w:rFonts w:ascii="Arial" w:hAnsi="Arial"/>
        </w:rPr>
      </w:r>
      <w:r/>
    </w:p>
    <w:p>
      <w:pPr>
        <w:rPr>
          <w:rFonts w:ascii="Arial" w:hAnsi="Arial"/>
          <w:color w:val="000000"/>
          <w:sz w:val="24"/>
          <w:szCs w:val="24"/>
        </w:rPr>
      </w:pPr>
      <w:r>
        <w:rPr>
          <w:rFonts w:ascii="Arial" w:hAnsi="Arial"/>
          <w:color w:val="000000"/>
          <w:sz w:val="24"/>
          <w:szCs w:val="24"/>
        </w:rPr>
      </w:r>
      <w:r/>
    </w:p>
    <w:p>
      <w:pPr>
        <w:pStyle w:val="698"/>
      </w:pPr>
      <w:r/>
      <w:r/>
    </w:p>
    <w:p>
      <w:pPr>
        <w:jc w:val="center"/>
        <w:spacing w:line="480" w:lineRule="auto"/>
        <w:rPr>
          <w:rFonts w:ascii="黑体" w:hAnsi="Arial" w:eastAsia="黑体"/>
          <w:b/>
          <w:color w:val="000000"/>
          <w:sz w:val="44"/>
          <w:szCs w:val="21"/>
        </w:rPr>
        <w:outlineLvl w:val="0"/>
      </w:pPr>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…………………………………03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……………………………07  </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…………………………………17</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…………………………………33</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……………………44</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……………………………47</w:t>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扬州市邗江区劳动就业服务中心]委托，扬州市公共资源交易中心就[扬州市邗江区劳动就业服务中心人社基层信息发布终端（含软件）项目]（项目编号：JSZC-321003-JZCG-G2025-0022）进行公开招标，欢迎符合条件的供应商投标。</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color w:val="000000"/>
          <w:sz w:val="24"/>
          <w:szCs w:val="24"/>
        </w:rPr>
        <w:t xml:space="preserve"> 扬州市邗江区劳动就业服务中心人社基层信息发布终端（含软件）项目招标项目的潜在投标人可在</w:t>
      </w:r>
      <w:r>
        <w:rPr>
          <w:rFonts w:hint="eastAsia" w:ascii="宋体" w:hAnsi="宋体"/>
          <w:color w:val="000000"/>
          <w:sz w:val="24"/>
          <w:szCs w:val="24"/>
          <w:u w:val="single"/>
        </w:rPr>
        <w:t xml:space="preserve">“江苏政府采购网、扬州市政府采购网、扬州市邗江区政府采购网”</w:t>
      </w:r>
      <w:r>
        <w:rPr>
          <w:rFonts w:hint="eastAsia" w:ascii="宋体" w:hAnsi="宋体"/>
          <w:color w:val="000000"/>
          <w:sz w:val="24"/>
          <w:szCs w:val="24"/>
        </w:rPr>
        <w:t xml:space="preserve">自行免费下载招标文件，并于</w:t>
      </w:r>
      <w:r>
        <w:rPr>
          <w:rFonts w:ascii="宋体" w:hAnsi="宋体"/>
          <w:color w:val="000000"/>
          <w:sz w:val="24"/>
          <w:szCs w:val="24"/>
          <w:u w:val="single"/>
        </w:rPr>
        <w:t xml:space="preserve">202</w:t>
      </w:r>
      <w:r>
        <w:rPr>
          <w:rFonts w:hint="eastAsia" w:ascii="宋体" w:hAnsi="宋体"/>
          <w:color w:val="000000"/>
          <w:sz w:val="24"/>
          <w:szCs w:val="24"/>
          <w:u w:val="single"/>
          <w:lang w:val="en-US" w:eastAsia="zh-CN"/>
        </w:rPr>
        <w:t xml:space="preserve">6</w:t>
      </w:r>
      <w:r>
        <w:rPr>
          <w:rFonts w:hint="eastAsia" w:ascii="宋体" w:hAnsi="宋体"/>
          <w:bCs/>
          <w:color w:val="000000"/>
          <w:sz w:val="24"/>
          <w:szCs w:val="24"/>
          <w:u w:val="single"/>
        </w:rPr>
        <w:t xml:space="preserve">年1月</w:t>
      </w:r>
      <w:r>
        <w:rPr>
          <w:rFonts w:hint="eastAsia" w:ascii="宋体" w:hAnsi="宋体"/>
          <w:bCs/>
          <w:color w:val="000000"/>
          <w:sz w:val="24"/>
          <w:szCs w:val="24"/>
          <w:u w:val="single"/>
          <w:lang w:val="en-US" w:eastAsia="zh-CN"/>
        </w:rPr>
        <w:t xml:space="preserve">6</w:t>
      </w:r>
      <w:r>
        <w:rPr>
          <w:rFonts w:hint="eastAsia" w:ascii="宋体" w:hAnsi="宋体"/>
          <w:bCs/>
          <w:color w:val="000000"/>
          <w:sz w:val="24"/>
          <w:szCs w:val="24"/>
          <w:u w:val="single"/>
        </w:rPr>
        <w:t xml:space="preserve">日09点3</w:t>
      </w:r>
      <w:r>
        <w:rPr>
          <w:rFonts w:hint="eastAsia" w:ascii="宋体" w:hAnsi="宋体"/>
          <w:bCs/>
          <w:color w:val="000000"/>
          <w:sz w:val="24"/>
          <w:szCs w:val="24"/>
          <w:highlight w:val="white"/>
          <w:u w:val="single"/>
        </w:rPr>
        <w:t xml:space="preserve">0分（</w:t>
      </w:r>
      <w:r>
        <w:rPr>
          <w:rFonts w:hint="eastAsia" w:ascii="宋体" w:hAnsi="宋体"/>
          <w:bCs/>
          <w:color w:val="000000"/>
          <w:sz w:val="24"/>
          <w:szCs w:val="24"/>
          <w:highlight w:val="white"/>
        </w:rPr>
        <w:t xml:space="preserve">北京时间）前</w:t>
      </w:r>
      <w:r>
        <w:rPr>
          <w:rFonts w:hint="eastAsia" w:ascii="宋体" w:hAnsi="宋体"/>
          <w:bCs/>
          <w:color w:val="000000"/>
          <w:sz w:val="24"/>
          <w:szCs w:val="24"/>
        </w:rPr>
        <w:t xml:space="preserve">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before="156" w:after="156" w:line="400" w:lineRule="exact"/>
        <w:rPr>
          <w:b/>
          <w:bCs/>
          <w:color w:val="000000"/>
          <w:sz w:val="32"/>
          <w:szCs w:val="32"/>
        </w:rPr>
        <w:outlineLvl w:val="2"/>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1.项目编号：JSZC-321003-JZCG-G2025-0022</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扬州市邗江区劳动就业服务中心人社基层信息发布终端（含软件）项目</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p>
    <w:tbl>
      <w:tblPr>
        <w:tblStyle w:val="697"/>
        <w:tblW w:w="7917"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6507"/>
      </w:tblGrid>
      <w:tr>
        <w:trPr/>
        <w:tc>
          <w:tcPr>
            <w:tcW w:w="141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6507"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41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6507" w:type="dxa"/>
            <w:textDirection w:val="lrTb"/>
            <w:noWrap w:val="false"/>
          </w:tcPr>
          <w:p>
            <w:pPr>
              <w:jc w:val="center"/>
              <w:spacing w:line="0" w:lineRule="atLeast"/>
              <w:rPr>
                <w:rFonts w:ascii="宋体" w:hAnsi="宋体"/>
                <w:sz w:val="24"/>
                <w:szCs w:val="24"/>
              </w:rPr>
            </w:pPr>
            <w:r>
              <w:rPr>
                <w:rFonts w:hint="eastAsia" w:cs="Arial" w:asciiTheme="minorEastAsia" w:hAnsiTheme="minorEastAsia" w:eastAsiaTheme="minorEastAsia"/>
                <w:color w:val="1f2329"/>
                <w:sz w:val="24"/>
                <w:szCs w:val="24"/>
                <w:shd w:val="clear" w:color="auto" w:fill="ffffff"/>
              </w:rPr>
              <w:t xml:space="preserve">35.13</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p>
    <w:tbl>
      <w:tblPr>
        <w:tblStyle w:val="697"/>
        <w:tblW w:w="790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2"/>
        <w:gridCol w:w="2970"/>
        <w:gridCol w:w="3510"/>
      </w:tblGrid>
      <w:tr>
        <w:trPr/>
        <w:tc>
          <w:tcPr>
            <w:tcW w:w="1422"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97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51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422"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97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510" w:type="dxa"/>
            <w:textDirection w:val="lrTb"/>
            <w:noWrap w:val="false"/>
          </w:tcPr>
          <w:p>
            <w:pPr>
              <w:jc w:val="center"/>
              <w:spacing w:line="0" w:lineRule="atLeast"/>
              <w:rPr>
                <w:rFonts w:ascii="宋体" w:hAnsi="宋体"/>
                <w:sz w:val="24"/>
                <w:szCs w:val="24"/>
              </w:rPr>
            </w:pPr>
            <w:r>
              <w:rPr>
                <w:rFonts w:hint="eastAsia" w:cs="Arial" w:asciiTheme="minorEastAsia" w:hAnsiTheme="minorEastAsia" w:eastAsiaTheme="minorEastAsia"/>
                <w:color w:val="1f2329"/>
                <w:sz w:val="24"/>
                <w:szCs w:val="24"/>
                <w:shd w:val="clear" w:color="auto" w:fill="ffffff"/>
              </w:rPr>
              <w:t xml:space="preserve">35.13</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5.采购需求(简介)：扬州市邗江区劳动就业服务中心人社基层信息发布终端（含软件）项目。（详细内容见本招标文件第四章）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6.合同履行期限：合同签订后30日内完成货物运输，送达后15日内完成安装调试。</w:t>
      </w:r>
      <w:r/>
    </w:p>
    <w:p>
      <w:pPr>
        <w:ind w:firstLine="498"/>
        <w:keepLines/>
        <w:keepNext/>
        <w:spacing w:before="156" w:after="156" w:line="360" w:lineRule="auto"/>
        <w:rPr>
          <w:b/>
          <w:bCs/>
          <w:color w:val="000000"/>
          <w:sz w:val="32"/>
          <w:szCs w:val="32"/>
        </w:rPr>
        <w:outlineLvl w:val="2"/>
      </w:pPr>
      <w:r/>
      <w:bookmarkStart w:id="12" w:name="_Toc28359080"/>
      <w:r/>
      <w:bookmarkStart w:id="13" w:name="_Toc35393622"/>
      <w:r/>
      <w:bookmarkStart w:id="14" w:name="_Toc35393791"/>
      <w:r/>
      <w:bookmarkStart w:id="15" w:name="_Toc38985264"/>
      <w:r/>
      <w:bookmarkStart w:id="16" w:name="_Toc28359003"/>
      <w:r>
        <w:rPr>
          <w:rFonts w:hint="eastAsia"/>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sz w:val="28"/>
          <w:szCs w:val="28"/>
        </w:rPr>
      </w:pPr>
      <w:r/>
      <w:bookmarkStart w:id="17" w:name="_Toc35393792"/>
      <w:r/>
      <w:bookmarkStart w:id="18" w:name="_Toc28359081"/>
      <w:r/>
      <w:bookmarkStart w:id="19" w:name="_Toc35393623"/>
      <w:r/>
      <w:bookmarkStart w:id="20" w:name="_Toc28359004"/>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1.6供应商信用承诺函。</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3.落实政府采购政策需满足的资格要求：</w:t>
      </w:r>
      <w:r>
        <w:rPr>
          <w:rFonts w:ascii="宋体" w:hAnsi="宋体" w:cs="宋体"/>
          <w:b/>
          <w:bCs/>
          <w:color w:val="000000" w:themeColor="text1"/>
          <w:sz w:val="24"/>
          <w14:textFill>
            <w14:solidFill>
              <w14:schemeClr w14:val="tx1"/>
            </w14:solidFill>
          </w14:textFill>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744"/>
        <w:tblW w:w="902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3643"/>
        <w:gridCol w:w="43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1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44"/>
        <w:tblW w:w="901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7882"/>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82"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8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744"/>
        <w:tblW w:w="901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8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8"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8" w:type="dxa"/>
            <w:textDirection w:val="lrTb"/>
            <w:noWrap w:val="false"/>
          </w:tcPr>
          <w:p>
            <w:pPr>
              <w:ind w:firstLine="3600"/>
              <w:spacing w:line="400" w:lineRule="exact"/>
            </w:pPr>
            <w:r>
              <w:rPr>
                <w:rFonts w:hint="eastAsia" w:ascii="宋体" w:hAnsi="宋体"/>
                <w:color w:val="000000"/>
                <w:sz w:val="24"/>
                <w:szCs w:val="24"/>
              </w:rPr>
              <w:t xml:space="preserve">无</w:t>
            </w:r>
            <w:r/>
          </w:p>
        </w:tc>
      </w:tr>
    </w:tbl>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w:t>
      </w:r>
      <w:r>
        <w:rPr>
          <w:rFonts w:hint="eastAsia" w:ascii="宋体" w:hAnsi="宋体"/>
          <w:color w:val="000000"/>
          <w:sz w:val="24"/>
          <w:szCs w:val="24"/>
        </w:rPr>
        <w:t xml:space="preserve">江苏政府采购网、扬州市政府采购网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ind w:firstLine="498"/>
        <w:keepLines/>
        <w:keepNext/>
        <w:spacing w:before="156" w:after="156" w:line="400" w:lineRule="exact"/>
        <w:rPr>
          <w:b/>
          <w:bCs/>
          <w:color w:val="000000"/>
          <w:sz w:val="32"/>
          <w:szCs w:val="32"/>
        </w:rPr>
        <w:outlineLvl w:val="2"/>
      </w:pPr>
      <w:r/>
      <w:bookmarkStart w:id="22" w:name="_Toc28359082"/>
      <w:r/>
      <w:bookmarkStart w:id="23" w:name="_Toc28359005"/>
      <w:r/>
      <w:bookmarkStart w:id="24" w:name="_Toc38985266"/>
      <w:r/>
      <w:bookmarkStart w:id="25" w:name="_Toc35393793"/>
      <w:r/>
      <w:bookmarkStart w:id="26" w:name="_Toc35393624"/>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ascii="宋体" w:hAnsi="宋体"/>
          <w:bCs/>
          <w:color w:val="000000"/>
          <w:sz w:val="24"/>
          <w:szCs w:val="24"/>
        </w:rPr>
        <w:t xml:space="preserve">202</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年</w:t>
      </w: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月</w:t>
      </w:r>
      <w:r>
        <w:rPr>
          <w:rFonts w:hint="eastAsia" w:ascii="宋体" w:hAnsi="宋体"/>
          <w:bCs/>
          <w:color w:val="000000"/>
          <w:sz w:val="24"/>
          <w:szCs w:val="24"/>
          <w:lang w:val="en-US" w:eastAsia="zh-CN"/>
        </w:rPr>
        <w:t xml:space="preserve">6</w:t>
      </w:r>
      <w:r>
        <w:rPr>
          <w:rFonts w:hint="eastAsia" w:ascii="宋体" w:hAnsi="宋体"/>
          <w:bCs/>
          <w:color w:val="000000"/>
          <w:sz w:val="24"/>
          <w:szCs w:val="24"/>
        </w:rPr>
        <w:t xml:space="preserve">日9点3</w:t>
      </w:r>
      <w:r>
        <w:rPr>
          <w:rFonts w:ascii="宋体" w:hAnsi="宋体"/>
          <w:bCs/>
          <w:color w:val="000000"/>
          <w:sz w:val="24"/>
          <w:szCs w:val="24"/>
        </w:rPr>
        <w:t xml:space="preserve">0</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56" w:after="156" w:line="360" w:lineRule="auto"/>
        <w:rPr>
          <w:b/>
          <w:bCs/>
          <w:color w:val="000000"/>
          <w:sz w:val="32"/>
          <w:szCs w:val="32"/>
        </w:rPr>
        <w:outlineLvl w:val="2"/>
      </w:pPr>
      <w:r/>
      <w:bookmarkStart w:id="27" w:name="_Toc35393794"/>
      <w:r/>
      <w:bookmarkStart w:id="28" w:name="_Toc28359084"/>
      <w:r/>
      <w:bookmarkStart w:id="29" w:name="_Toc38985267"/>
      <w:r/>
      <w:bookmarkStart w:id="30" w:name="_Toc35393625"/>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ind w:firstLine="498"/>
        <w:keepLines/>
        <w:keepNext/>
        <w:spacing w:before="156" w:after="156" w:line="400" w:lineRule="exact"/>
        <w:rPr>
          <w:b/>
          <w:bCs/>
          <w:color w:val="000000"/>
          <w:sz w:val="32"/>
          <w:szCs w:val="32"/>
        </w:rPr>
        <w:outlineLvl w:val="2"/>
      </w:pPr>
      <w:r/>
      <w:bookmarkStart w:id="32" w:name="_Toc38985268"/>
      <w:r/>
      <w:bookmarkStart w:id="33" w:name="_Toc35393626"/>
      <w:r/>
      <w:bookmarkStart w:id="34" w:name="_Toc35393795"/>
      <w:r>
        <w:rPr>
          <w:rFonts w:hint="eastAsia"/>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8"/>
        <w:keepLines/>
        <w:keepNext/>
        <w:spacing w:before="156" w:after="156" w:line="400" w:lineRule="exact"/>
        <w:rPr>
          <w:b/>
          <w:bCs/>
          <w:color w:val="000000"/>
          <w:sz w:val="32"/>
          <w:szCs w:val="32"/>
        </w:rPr>
        <w:outlineLvl w:val="2"/>
      </w:pPr>
      <w:r/>
      <w:bookmarkStart w:id="35" w:name="_Toc35393627"/>
      <w:r/>
      <w:bookmarkStart w:id="36" w:name="_Toc38985269"/>
      <w:r/>
      <w:bookmarkStart w:id="37" w:name="_Toc28359008"/>
      <w:r/>
      <w:bookmarkStart w:id="38" w:name="_Toc28359085"/>
      <w:r/>
      <w:bookmarkStart w:id="39" w:name="_Toc35393796"/>
      <w:r>
        <w:rPr>
          <w:rFonts w:hint="eastAsia"/>
          <w:b/>
          <w:bCs/>
          <w:color w:val="000000"/>
          <w:sz w:val="32"/>
          <w:szCs w:val="32"/>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称：扬州市邗江区劳动就业服务中心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址：扬州市江阳西路101号月城科技广场2号楼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联系人：王先生                   </w:t>
      </w:r>
      <w:r/>
    </w:p>
    <w:p>
      <w:pPr>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联系方式：0514-80321516 　　　　 </w:t>
      </w:r>
      <w:bookmarkStart w:id="40" w:name="_Toc28359086"/>
      <w:r/>
      <w:bookmarkStart w:id="41" w:name="_Toc28359009"/>
      <w:r/>
      <w:r/>
    </w:p>
    <w:p>
      <w:pPr>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2.扬州市公共资源交易中心信息</w:t>
      </w:r>
      <w:bookmarkEnd w:id="40"/>
      <w:r/>
      <w:bookmarkEnd w:id="4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地　址：扬州市邗江区国展路28号恒通AI科创大厦三楼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联系人：姚红俊    </w:t>
      </w:r>
      <w:r>
        <w:rPr>
          <w:rFonts w:ascii="宋体" w:hAnsi="宋体"/>
          <w:color w:val="000000"/>
          <w:sz w:val="24"/>
          <w:szCs w:val="24"/>
        </w:rPr>
        <w:t xml:space="preserve">            </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rPr>
        <w:t xml:space="preserve">0</w:t>
      </w:r>
      <w:r>
        <w:rPr>
          <w:rFonts w:ascii="宋体" w:hAnsi="宋体"/>
          <w:color w:val="000000"/>
          <w:sz w:val="24"/>
          <w:szCs w:val="24"/>
        </w:rPr>
        <w:t xml:space="preserve">514-82882</w:t>
      </w:r>
      <w:r>
        <w:rPr>
          <w:rFonts w:hint="eastAsia" w:ascii="宋体" w:hAnsi="宋体"/>
          <w:color w:val="000000"/>
          <w:sz w:val="24"/>
          <w:szCs w:val="24"/>
        </w:rPr>
        <w:t xml:space="preserve">2275　　　</w:t>
      </w:r>
      <w:bookmarkEnd w:id="42"/>
      <w:r/>
      <w:bookmarkEnd w:id="43"/>
      <w:r/>
      <w:r/>
    </w:p>
    <w:p>
      <w:pPr>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p>
    <w:p>
      <w:pPr>
        <w:ind w:firstLine="420"/>
        <w:jc w:val="left"/>
        <w:spacing w:line="360" w:lineRule="auto"/>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领取CA和办理电子签章（请至扬州市文昌东路9号广陵新城市民中心1号楼5楼办理，具体联系方式：18952716110）。</w:t>
      </w:r>
      <w:r/>
    </w:p>
    <w:p>
      <w:pPr>
        <w:ind w:firstLine="480"/>
        <w:spacing w:line="560" w:lineRule="exact"/>
        <w:tabs>
          <w:tab w:val="left" w:pos="900" w:leader="none"/>
        </w:tabs>
        <w:rPr>
          <w:rFonts w:ascii="宋体" w:hAnsi="宋体"/>
          <w:bCs/>
          <w:sz w:val="24"/>
          <w:szCs w:val="24"/>
        </w:rPr>
      </w:pPr>
      <w:r>
        <w:rPr>
          <w:rFonts w:hint="eastAsia" w:ascii="宋体" w:hAnsi="宋体"/>
          <w:bCs/>
          <w:sz w:val="24"/>
          <w:szCs w:val="24"/>
        </w:rPr>
        <w:t xml:space="preserve">2. 有关本次招标的事项若存在变动或修改，敬请及时关注扬州市公共资源交易中心在“江苏政府采购网”、“扬州市政府采购网”、“扬州市邗江区政府采购网”发布的更正公告。</w:t>
      </w:r>
      <w:r/>
    </w:p>
    <w:p>
      <w:pPr>
        <w:ind w:firstLine="480"/>
        <w:spacing w:line="560" w:lineRule="exact"/>
        <w:tabs>
          <w:tab w:val="left" w:pos="900" w:leader="none"/>
        </w:tabs>
        <w:rPr>
          <w:rFonts w:ascii="宋体" w:hAnsi="宋体"/>
          <w:color w:val="000000"/>
          <w:sz w:val="24"/>
          <w:szCs w:val="24"/>
        </w:rPr>
      </w:pPr>
      <w:r>
        <w:rPr>
          <w:rFonts w:hint="eastAsia" w:ascii="宋体" w:hAnsi="宋体"/>
          <w:bCs/>
          <w:sz w:val="24"/>
          <w:szCs w:val="24"/>
        </w:rPr>
        <w:t xml:space="preserve">3. 本次招标不收取投标保证金。</w:t>
      </w:r>
      <w:r>
        <w:rPr>
          <w:rFonts w:ascii="宋体" w:hAnsi="宋体"/>
          <w:color w:val="000000"/>
          <w:sz w:val="24"/>
          <w:szCs w:val="24"/>
        </w:rPr>
        <w:br w:type="page" w:clear="all"/>
      </w:r>
      <w:r/>
    </w:p>
    <w:p>
      <w:pPr>
        <w:ind w:firstLine="2429"/>
        <w:keepLines/>
        <w:keepNext/>
        <w:spacing w:before="260" w:after="260" w:line="416" w:lineRule="auto"/>
        <w:rPr>
          <w:rFonts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20823274"/>
      <w:r/>
      <w:bookmarkStart w:id="48" w:name="_Toc16938518"/>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8"/>
        <w:spacing w:before="145" w:after="145" w:line="400" w:lineRule="atLeast"/>
        <w:rPr>
          <w:rFonts w:ascii="宋体" w:hAnsi="宋体" w:cs="宋体"/>
          <w:b/>
          <w:color w:val="000000"/>
          <w:sz w:val="32"/>
          <w:szCs w:val="21"/>
        </w:rPr>
        <w:pBdr>
          <w:top w:val="none" w:color="000000" w:sz="0" w:space="0"/>
          <w:left w:val="none" w:color="000000" w:sz="0" w:space="0"/>
          <w:bottom w:val="none" w:color="000000" w:sz="0" w:space="0"/>
          <w:right w:val="none" w:color="000000" w:sz="0" w:space="0"/>
        </w:pBdr>
      </w:pPr>
      <w:r/>
      <w:bookmarkStart w:id="49" w:name="_Hlt16619475"/>
      <w:r/>
      <w:bookmarkEnd w:id="49"/>
      <w:r/>
      <w:bookmarkStart w:id="50" w:name="_Toc16938558"/>
      <w:r/>
      <w:bookmarkStart w:id="51" w:name="_Toc479757207"/>
      <w:r/>
      <w:bookmarkStart w:id="52" w:name="_Toc20823314"/>
      <w:r/>
      <w:bookmarkStart w:id="53" w:name="_Toc120614221"/>
      <w:r/>
      <w:bookmarkStart w:id="54" w:name="_Toc513029242"/>
      <w:r>
        <w:rPr>
          <w:rFonts w:hint="eastAsia" w:ascii="宋体" w:hAnsi="宋体" w:cs="宋体"/>
          <w:b/>
          <w:color w:val="000000"/>
          <w:sz w:val="32"/>
          <w:szCs w:val="21"/>
        </w:rPr>
        <w:t xml:space="preserve">一、总则</w:t>
      </w:r>
      <w:r/>
    </w:p>
    <w:p>
      <w:pPr>
        <w:pStyle w:val="962"/>
        <w:spacing w:before="0" w:after="0" w:line="400" w:lineRule="exact"/>
        <w:rPr>
          <w:b w:val="0"/>
          <w:bCs w:val="0"/>
          <w:color w:val="000000"/>
        </w:rPr>
      </w:pPr>
      <w:r/>
      <w:bookmarkStart w:id="55" w:name="_Toc458694821"/>
      <w:r/>
      <w:bookmarkStart w:id="56" w:name="_Toc20823276"/>
      <w:r/>
      <w:bookmarkStart w:id="57" w:name="_Toc513029204"/>
      <w:r/>
      <w:bookmarkStart w:id="58" w:name="_Toc16938520"/>
      <w:r>
        <w:rPr>
          <w:rFonts w:hint="eastAsia"/>
          <w:b w:val="0"/>
          <w:bCs w:val="0"/>
          <w:color w:val="000000"/>
        </w:rPr>
        <w:t xml:space="preserve">1</w:t>
      </w:r>
      <w:bookmarkEnd w:id="55"/>
      <w:r>
        <w:rPr>
          <w:rFonts w:hint="eastAsia"/>
          <w:b w:val="0"/>
          <w:bCs w:val="0"/>
          <w:color w:val="000000"/>
        </w:rPr>
        <w:t xml:space="preserve">、招标方式</w:t>
      </w:r>
      <w:bookmarkEnd w:id="56"/>
      <w:r/>
      <w:bookmarkEnd w:id="57"/>
      <w:r/>
      <w:bookmarkEnd w:id="58"/>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1.1本次招标采取公开招标方式，本招标文件仅适用于招标公告中所述项目。</w:t>
      </w:r>
      <w:r/>
    </w:p>
    <w:p>
      <w:pPr>
        <w:pStyle w:val="962"/>
        <w:spacing w:before="0" w:after="0" w:line="400" w:lineRule="exact"/>
        <w:rPr>
          <w:b w:val="0"/>
          <w:bCs w:val="0"/>
          <w:color w:val="000000"/>
        </w:rPr>
      </w:pPr>
      <w:r/>
      <w:bookmarkStart w:id="59" w:name="_Toc513029205"/>
      <w:r/>
      <w:bookmarkStart w:id="60" w:name="_Toc16938521"/>
      <w:r/>
      <w:bookmarkStart w:id="61" w:name="_Toc20823277"/>
      <w:r>
        <w:rPr>
          <w:rFonts w:hint="eastAsia"/>
          <w:b w:val="0"/>
          <w:bCs w:val="0"/>
          <w:color w:val="000000"/>
        </w:rPr>
        <w:t xml:space="preserve">2、合格的投标人</w:t>
      </w:r>
      <w:bookmarkEnd w:id="59"/>
      <w:r/>
      <w:bookmarkEnd w:id="60"/>
      <w:r/>
      <w:bookmarkEnd w:id="61"/>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2.1满足招标公告中供应商的资格要求的规定。</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2.2满足本文件实质性要求的规定。</w:t>
      </w:r>
      <w:r/>
    </w:p>
    <w:p>
      <w:pPr>
        <w:pStyle w:val="962"/>
        <w:spacing w:before="0" w:after="0" w:line="400" w:lineRule="exact"/>
        <w:rPr>
          <w:b w:val="0"/>
          <w:bCs w:val="0"/>
          <w:color w:val="000000"/>
        </w:rPr>
      </w:pPr>
      <w:r/>
      <w:bookmarkStart w:id="62" w:name="_Toc20823278"/>
      <w:r/>
      <w:bookmarkStart w:id="63" w:name="_Toc513029206"/>
      <w:r/>
      <w:bookmarkStart w:id="64" w:name="_Toc16938522"/>
      <w:r>
        <w:rPr>
          <w:rFonts w:hint="eastAsia"/>
          <w:b w:val="0"/>
          <w:bCs w:val="0"/>
          <w:color w:val="000000"/>
        </w:rPr>
        <w:t xml:space="preserve">3、适用法律</w:t>
      </w:r>
      <w:bookmarkEnd w:id="62"/>
      <w:r/>
      <w:bookmarkEnd w:id="63"/>
      <w:r/>
      <w:bookmarkEnd w:id="64"/>
      <w:r/>
      <w:r/>
    </w:p>
    <w:p>
      <w:pPr>
        <w:ind w:firstLine="480"/>
        <w:spacing w:line="400" w:lineRule="exact"/>
        <w:rPr>
          <w:rFonts w:ascii="宋体" w:hAnsi="宋体"/>
          <w:bCs/>
          <w:color w:val="000000"/>
        </w:rPr>
      </w:pPr>
      <w:r>
        <w:rPr>
          <w:rFonts w:hint="eastAsia" w:ascii="宋体" w:hAnsi="宋体"/>
          <w:bCs/>
          <w:color w:val="000000"/>
          <w:sz w:val="24"/>
          <w:szCs w:val="24"/>
        </w:rPr>
        <w:t xml:space="preserve">3.1本次招标及由此产生的合同受中华人民共和国有关的法律法规制约和保护。</w:t>
      </w:r>
      <w:r/>
    </w:p>
    <w:p>
      <w:pPr>
        <w:pStyle w:val="962"/>
        <w:spacing w:before="0" w:after="0" w:line="400" w:lineRule="exact"/>
        <w:rPr>
          <w:b w:val="0"/>
          <w:bCs w:val="0"/>
          <w:color w:val="000000"/>
        </w:rPr>
      </w:pPr>
      <w:r/>
      <w:bookmarkStart w:id="65" w:name="_Toc20823279"/>
      <w:r/>
      <w:bookmarkStart w:id="66" w:name="_Toc513029207"/>
      <w:r/>
      <w:bookmarkStart w:id="67" w:name="_Toc16938523"/>
      <w:r/>
      <w:bookmarkStart w:id="68" w:name="_Toc462564067"/>
      <w:r>
        <w:rPr>
          <w:rFonts w:hint="eastAsia"/>
          <w:b w:val="0"/>
          <w:bCs w:val="0"/>
          <w:color w:val="000000"/>
        </w:rPr>
        <w:t xml:space="preserve">4、投标费用</w:t>
      </w:r>
      <w:bookmarkEnd w:id="65"/>
      <w:r/>
      <w:bookmarkEnd w:id="66"/>
      <w:r/>
      <w:bookmarkEnd w:id="67"/>
      <w:r/>
      <w:bookmarkEnd w:id="68"/>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4.1</w:t>
      </w:r>
      <w:r>
        <w:rPr>
          <w:rFonts w:hint="eastAsia" w:ascii="宋体" w:hAnsi="宋体"/>
          <w:color w:val="000000"/>
          <w:sz w:val="24"/>
          <w:szCs w:val="24"/>
        </w:rPr>
        <w:t xml:space="preserve">投标人应自行承担所有与参加投标有关的费用，无论投标过程中的做法和结果如何，扬州市公共资源交易中心邗江分中心（以下简称交易中心）在任何情况下均无义务和责任承担这些费用。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4.2本次招标交易中心和采购人不收取标书工本费与中标服务费。</w:t>
      </w:r>
      <w:r/>
    </w:p>
    <w:p>
      <w:pPr>
        <w:pStyle w:val="96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ind w:firstLine="498"/>
        <w:spacing w:before="145" w:after="145" w:line="400" w:lineRule="atLeast"/>
        <w:rPr>
          <w:rFonts w:ascii="宋体" w:hAnsi="宋体" w:cs="宋体"/>
          <w:b/>
          <w:color w:val="000000"/>
          <w:sz w:val="32"/>
          <w:szCs w:val="21"/>
        </w:rPr>
        <w:pBdr>
          <w:top w:val="none" w:color="000000" w:sz="0" w:space="0"/>
          <w:left w:val="none" w:color="000000" w:sz="0" w:space="0"/>
          <w:bottom w:val="none" w:color="000000" w:sz="0" w:space="0"/>
          <w:right w:val="none" w:color="000000" w:sz="0" w:space="0"/>
        </w:pBdr>
      </w:pPr>
      <w:r/>
      <w:bookmarkStart w:id="69" w:name="_Toc20823281"/>
      <w:r/>
      <w:bookmarkStart w:id="70" w:name="_Toc16938525"/>
      <w:r/>
      <w:bookmarkStart w:id="71" w:name="_Toc513029209"/>
      <w:r/>
      <w:bookmarkStart w:id="72" w:name="_Toc120614215"/>
      <w:r>
        <w:rPr>
          <w:rFonts w:hint="eastAsia" w:ascii="宋体" w:hAnsi="宋体" w:cs="宋体"/>
          <w:b/>
          <w:color w:val="000000"/>
          <w:sz w:val="32"/>
          <w:szCs w:val="21"/>
        </w:rPr>
        <w:t xml:space="preserve">二、招标文件</w:t>
      </w:r>
      <w:bookmarkEnd w:id="69"/>
      <w:r/>
      <w:bookmarkEnd w:id="70"/>
      <w:r/>
      <w:bookmarkEnd w:id="71"/>
      <w:r/>
      <w:bookmarkEnd w:id="72"/>
      <w:r/>
      <w:r/>
    </w:p>
    <w:p>
      <w:pPr>
        <w:pStyle w:val="962"/>
        <w:spacing w:before="0" w:after="0" w:line="400" w:lineRule="exact"/>
        <w:rPr>
          <w:b w:val="0"/>
          <w:bCs w:val="0"/>
          <w:color w:val="000000"/>
        </w:rPr>
      </w:pPr>
      <w:r/>
      <w:bookmarkStart w:id="73" w:name="_Toc16938526"/>
      <w:r/>
      <w:bookmarkStart w:id="74" w:name="_Toc513029210"/>
      <w:r/>
      <w:bookmarkStart w:id="75" w:name="_Toc20823282"/>
      <w:r>
        <w:rPr>
          <w:rFonts w:hint="eastAsia"/>
          <w:b w:val="0"/>
          <w:bCs w:val="0"/>
          <w:color w:val="000000"/>
        </w:rPr>
        <w:t xml:space="preserve">6、招标文件构成</w:t>
      </w:r>
      <w:bookmarkEnd w:id="73"/>
      <w:r/>
      <w:bookmarkEnd w:id="74"/>
      <w:r/>
      <w:bookmarkEnd w:id="75"/>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6.1</w:t>
      </w:r>
      <w:r>
        <w:rPr>
          <w:rFonts w:hint="eastAsia" w:ascii="宋体" w:hAnsi="宋体"/>
          <w:color w:val="000000"/>
          <w:sz w:val="24"/>
          <w:szCs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请仔细检查招标文件是否齐全，如有缺漏请立即与交易中心联系解决。</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6.2</w:t>
      </w:r>
      <w:r>
        <w:rPr>
          <w:rFonts w:hint="eastAsia" w:ascii="宋体" w:hAnsi="宋体"/>
          <w:color w:val="000000"/>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2"/>
        <w:ind w:firstLine="560"/>
        <w:spacing w:before="0" w:after="0" w:line="400" w:lineRule="exact"/>
        <w:rPr>
          <w:b w:val="0"/>
          <w:bCs w:val="0"/>
          <w:color w:val="000000"/>
        </w:rPr>
      </w:pPr>
      <w:r/>
      <w:bookmarkStart w:id="76" w:name="_Toc20823284"/>
      <w:r/>
      <w:bookmarkStart w:id="77" w:name="_Toc462564071"/>
      <w:r/>
      <w:bookmarkStart w:id="78" w:name="_Toc513029212"/>
      <w:r/>
      <w:bookmarkStart w:id="79" w:name="_Toc16938528"/>
      <w:r>
        <w:rPr>
          <w:b w:val="0"/>
          <w:bCs w:val="0"/>
          <w:color w:val="000000"/>
        </w:rPr>
        <w:t xml:space="preserve">7</w:t>
      </w:r>
      <w:r>
        <w:rPr>
          <w:rFonts w:hint="eastAsia"/>
          <w:b w:val="0"/>
          <w:bCs w:val="0"/>
          <w:color w:val="000000"/>
        </w:rPr>
        <w:t xml:space="preserve">、招标文件的修改</w:t>
      </w:r>
      <w:bookmarkEnd w:id="76"/>
      <w:r/>
      <w:bookmarkEnd w:id="77"/>
      <w:r/>
      <w:bookmarkEnd w:id="78"/>
      <w:r/>
      <w:bookmarkEnd w:id="79"/>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7.1</w:t>
      </w:r>
      <w:r>
        <w:rPr>
          <w:rFonts w:hint="eastAsia" w:ascii="宋体" w:hAnsi="宋体"/>
          <w:color w:val="000000"/>
          <w:sz w:val="24"/>
          <w:szCs w:val="24"/>
        </w:rPr>
        <w:t xml:space="preserve"> 在投标截止时间</w:t>
      </w:r>
      <w:r>
        <w:rPr>
          <w:rFonts w:hint="eastAsia" w:ascii="仿宋_GB2312" w:hAnsi="仿宋_GB2312"/>
          <w:color w:val="000000"/>
          <w:sz w:val="24"/>
          <w:szCs w:val="24"/>
        </w:rPr>
        <w:t xml:space="preserve">前</w:t>
      </w:r>
      <w:r>
        <w:rPr>
          <w:rFonts w:hint="eastAsia" w:ascii="宋体" w:hAnsi="宋体"/>
          <w:color w:val="000000"/>
          <w:sz w:val="24"/>
          <w:szCs w:val="24"/>
        </w:rPr>
        <w:t xml:space="preserve">，交易中心可以对招标文件进行修改。</w:t>
      </w:r>
      <w:r/>
    </w:p>
    <w:p>
      <w:pPr>
        <w:ind w:firstLine="480"/>
        <w:spacing w:line="400" w:lineRule="exact"/>
        <w:rPr>
          <w:rFonts w:ascii="宋体" w:hAnsi="Arial"/>
          <w:color w:val="000000"/>
          <w:sz w:val="24"/>
          <w:szCs w:val="24"/>
        </w:rPr>
      </w:pPr>
      <w:r>
        <w:rPr>
          <w:rFonts w:hint="eastAsia" w:ascii="宋体" w:hAnsi="宋体"/>
          <w:bCs/>
          <w:color w:val="000000"/>
          <w:sz w:val="24"/>
          <w:szCs w:val="24"/>
        </w:rPr>
        <w:t xml:space="preserve">7.2 </w:t>
      </w:r>
      <w:r>
        <w:rPr>
          <w:rFonts w:hint="eastAsia" w:ascii="宋体" w:hAnsi="宋体"/>
          <w:color w:val="000000"/>
          <w:sz w:val="24"/>
          <w:szCs w:val="24"/>
        </w:rPr>
        <w:t xml:space="preserve">交易中心有权按照法定的要求推迟投标截止日期和开标日期。</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7.3</w:t>
      </w:r>
      <w:r>
        <w:rPr>
          <w:rFonts w:hint="eastAsia" w:ascii="宋体" w:hAnsi="宋体"/>
          <w:color w:val="000000"/>
          <w:sz w:val="24"/>
          <w:szCs w:val="24"/>
        </w:rPr>
        <w:t xml:space="preserve">招标文件的修改将在江苏政府采购网、扬州市政府采购网、扬州市邗江区政府采购网公布，补充文件将作为招标文件的组成部分，并对投标人具有约束力。</w:t>
      </w:r>
      <w:r/>
    </w:p>
    <w:p>
      <w:pPr>
        <w:ind w:firstLine="498"/>
        <w:spacing w:before="145" w:after="145" w:line="400" w:lineRule="atLeast"/>
        <w:rPr>
          <w:rFonts w:ascii="宋体" w:hAnsi="宋体" w:cs="宋体"/>
          <w:b/>
          <w:color w:val="000000"/>
          <w:sz w:val="32"/>
          <w:szCs w:val="21"/>
        </w:rPr>
        <w:pBdr>
          <w:top w:val="none" w:color="000000" w:sz="0" w:space="0"/>
          <w:left w:val="none" w:color="000000" w:sz="0" w:space="0"/>
          <w:bottom w:val="none" w:color="000000" w:sz="0" w:space="0"/>
          <w:right w:val="none" w:color="000000" w:sz="0" w:space="0"/>
        </w:pBdr>
      </w:pPr>
      <w:r/>
      <w:bookmarkStart w:id="80" w:name="_Toc120614216"/>
      <w:r/>
      <w:bookmarkStart w:id="81" w:name="_Toc462564072"/>
      <w:r/>
      <w:bookmarkStart w:id="82" w:name="_Toc513029213"/>
      <w:r/>
      <w:bookmarkStart w:id="83" w:name="_Toc16938529"/>
      <w:r/>
      <w:bookmarkStart w:id="84" w:name="_Toc20823285"/>
      <w:r>
        <w:rPr>
          <w:rFonts w:hint="eastAsia" w:ascii="宋体" w:hAnsi="宋体" w:cs="宋体"/>
          <w:b/>
          <w:color w:val="000000"/>
          <w:sz w:val="32"/>
          <w:szCs w:val="21"/>
        </w:rPr>
        <w:t xml:space="preserve">三、投标文件的编制</w:t>
      </w:r>
      <w:bookmarkEnd w:id="80"/>
      <w:r/>
      <w:bookmarkEnd w:id="81"/>
      <w:r/>
      <w:bookmarkEnd w:id="82"/>
      <w:r/>
      <w:bookmarkEnd w:id="83"/>
      <w:r/>
      <w:bookmarkEnd w:id="84"/>
      <w:r/>
      <w:r/>
    </w:p>
    <w:p>
      <w:pPr>
        <w:pStyle w:val="962"/>
        <w:ind w:firstLine="560"/>
        <w:spacing w:before="0" w:after="0" w:line="400" w:lineRule="exact"/>
        <w:rPr>
          <w:bCs w:val="0"/>
          <w:color w:val="000000"/>
        </w:rPr>
      </w:pPr>
      <w:r/>
      <w:bookmarkStart w:id="85" w:name="_Toc20823286"/>
      <w:r/>
      <w:bookmarkStart w:id="86" w:name="_Toc462564073"/>
      <w:r/>
      <w:bookmarkStart w:id="87" w:name="_Toc513029214"/>
      <w:r/>
      <w:bookmarkStart w:id="88" w:name="_Toc16938530"/>
      <w:r>
        <w:rPr>
          <w:b w:val="0"/>
          <w:bCs w:val="0"/>
          <w:color w:val="000000"/>
        </w:rPr>
        <w:t xml:space="preserve">8</w:t>
      </w:r>
      <w:r>
        <w:rPr>
          <w:rFonts w:hint="eastAsia"/>
          <w:b w:val="0"/>
          <w:bCs w:val="0"/>
          <w:color w:val="000000"/>
        </w:rPr>
        <w:t xml:space="preserve">、投标文件的语言及度量衡单位</w:t>
      </w:r>
      <w:bookmarkEnd w:id="85"/>
      <w:r/>
      <w:bookmarkEnd w:id="86"/>
      <w:r/>
      <w:bookmarkEnd w:id="87"/>
      <w:r/>
      <w:bookmarkEnd w:id="88"/>
      <w:r/>
      <w:r/>
    </w:p>
    <w:p>
      <w:pPr>
        <w:ind w:firstLine="480"/>
        <w:spacing w:line="400" w:lineRule="exact"/>
        <w:rPr>
          <w:rFonts w:ascii="宋体" w:hAnsi="宋体"/>
          <w:color w:val="000000"/>
          <w:sz w:val="24"/>
          <w:szCs w:val="24"/>
        </w:rPr>
      </w:pPr>
      <w:r>
        <w:rPr>
          <w:rFonts w:ascii="宋体" w:hAnsi="宋体"/>
          <w:bCs/>
          <w:color w:val="000000"/>
          <w:sz w:val="24"/>
          <w:szCs w:val="24"/>
        </w:rPr>
        <w:t xml:space="preserve">8</w:t>
      </w:r>
      <w:r>
        <w:rPr>
          <w:rFonts w:hint="eastAsia" w:ascii="宋体" w:hAnsi="宋体"/>
          <w:bCs/>
          <w:color w:val="000000"/>
          <w:sz w:val="24"/>
          <w:szCs w:val="24"/>
        </w:rPr>
        <w:t xml:space="preserve">.1</w:t>
      </w:r>
      <w:r>
        <w:rPr>
          <w:rFonts w:hint="eastAsia" w:ascii="宋体" w:hAnsi="宋体"/>
          <w:color w:val="000000"/>
          <w:sz w:val="24"/>
          <w:szCs w:val="24"/>
        </w:rPr>
        <w:t xml:space="preserve">投标人提交的投标文件以及投标人与交易中心就有关投标的所有来往通知、函件和文件均应使用</w:t>
      </w:r>
      <w:r>
        <w:rPr>
          <w:rFonts w:hint="eastAsia" w:ascii="宋体" w:hAnsi="宋体"/>
          <w:b/>
          <w:bCs/>
          <w:color w:val="000000"/>
          <w:sz w:val="24"/>
          <w:szCs w:val="24"/>
        </w:rPr>
        <w:t xml:space="preserve">简体中文</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ascii="宋体" w:hAnsi="宋体"/>
          <w:bCs/>
          <w:color w:val="000000"/>
          <w:sz w:val="24"/>
          <w:szCs w:val="24"/>
        </w:rPr>
        <w:t xml:space="preserve">8</w:t>
      </w:r>
      <w:r>
        <w:rPr>
          <w:rFonts w:hint="eastAsia" w:ascii="宋体" w:hAnsi="宋体"/>
          <w:bCs/>
          <w:color w:val="000000"/>
          <w:sz w:val="24"/>
          <w:szCs w:val="24"/>
        </w:rPr>
        <w:t xml:space="preserve">.2</w:t>
      </w:r>
      <w:r>
        <w:rPr>
          <w:rFonts w:hint="eastAsia" w:ascii="宋体" w:hAnsi="宋体"/>
          <w:color w:val="000000"/>
          <w:sz w:val="24"/>
          <w:szCs w:val="24"/>
        </w:rPr>
        <w:t xml:space="preserve">除技术性能另有规定外，投标文件所使用的度量衡单位，均须采用国家法定计量单位。</w:t>
      </w:r>
      <w:r/>
    </w:p>
    <w:p>
      <w:pPr>
        <w:pStyle w:val="962"/>
        <w:spacing w:before="0" w:after="0" w:line="400" w:lineRule="exact"/>
        <w:rPr>
          <w:b w:val="0"/>
          <w:bCs w:val="0"/>
          <w:color w:val="000000"/>
        </w:rPr>
      </w:pPr>
      <w:r/>
      <w:bookmarkStart w:id="89" w:name="_Toc16938531"/>
      <w:r/>
      <w:bookmarkStart w:id="90" w:name="_Toc20823287"/>
      <w:r/>
      <w:bookmarkStart w:id="91" w:name="_Toc462564074"/>
      <w:r/>
      <w:bookmarkStart w:id="92" w:name="_Toc513029215"/>
      <w:r>
        <w:rPr>
          <w:b w:val="0"/>
          <w:bCs w:val="0"/>
          <w:color w:val="000000"/>
        </w:rPr>
        <w:t xml:space="preserve">9</w:t>
      </w:r>
      <w:r>
        <w:rPr>
          <w:rFonts w:hint="eastAsia"/>
          <w:b w:val="0"/>
          <w:bCs w:val="0"/>
          <w:color w:val="000000"/>
        </w:rPr>
        <w:t xml:space="preserve">、投标文件构成</w:t>
      </w:r>
      <w:bookmarkEnd w:id="89"/>
      <w:r/>
      <w:bookmarkEnd w:id="90"/>
      <w:r/>
      <w:bookmarkEnd w:id="91"/>
      <w:r/>
      <w:bookmarkEnd w:id="92"/>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9.1投标人编写的投标文件应包括基本目录、资格审查内容、符合性审查内容、价格扣除证明文件等部分。</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9.2如标书制作工具中格式和内容与“江苏政府采购网、扬州市政府采购网、扬州市邗江区政府采购网”发布的招标文件不一致，请以“江苏政府采购网、扬州市政府采购网”发布的招标文件为准。</w:t>
      </w:r>
      <w:r/>
    </w:p>
    <w:p>
      <w:pPr>
        <w:pStyle w:val="962"/>
        <w:spacing w:before="0" w:after="0" w:line="400" w:lineRule="exact"/>
        <w:rPr>
          <w:b w:val="0"/>
          <w:bCs w:val="0"/>
          <w:color w:val="000000"/>
        </w:rPr>
      </w:pPr>
      <w:r/>
      <w:bookmarkStart w:id="93" w:name="_Hlt26954838"/>
      <w:r/>
      <w:bookmarkEnd w:id="93"/>
      <w:r/>
      <w:bookmarkStart w:id="94" w:name="_Hlt26670360"/>
      <w:r/>
      <w:bookmarkEnd w:id="94"/>
      <w:r/>
      <w:bookmarkStart w:id="95" w:name="_Hlt26668975"/>
      <w:r/>
      <w:bookmarkEnd w:id="95"/>
      <w:r/>
      <w:bookmarkStart w:id="96" w:name="_Toc14577357"/>
      <w:r/>
      <w:bookmarkStart w:id="97" w:name="_Toc49090507"/>
      <w:r/>
      <w:bookmarkStart w:id="98" w:name="_Toc513029216"/>
      <w:r/>
      <w:bookmarkStart w:id="99" w:name="_Toc14577354"/>
      <w:r/>
      <w:bookmarkStart w:id="100" w:name="_Toc49090509"/>
      <w:r/>
      <w:bookmarkStart w:id="101" w:name="_Toc513029219"/>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6"/>
      <w:r/>
      <w:bookmarkEnd w:id="97"/>
      <w:r/>
      <w:bookmarkEnd w:id="98"/>
      <w:r/>
      <w:bookmarkEnd w:id="99"/>
      <w:r/>
      <w:bookmarkEnd w:id="100"/>
      <w:r/>
      <w:bookmarkEnd w:id="101"/>
      <w:r/>
      <w:r/>
    </w:p>
    <w:p>
      <w:pPr>
        <w:spacing w:line="400" w:lineRule="exact"/>
        <w:rPr>
          <w:rFonts w:ascii="宋体" w:hAnsi="宋体"/>
          <w:color w:val="000000"/>
          <w:sz w:val="24"/>
          <w:szCs w:val="24"/>
        </w:rPr>
      </w:pPr>
      <w:r/>
      <w:bookmarkStart w:id="102" w:name="_Toc14577355"/>
      <w:r/>
      <w:bookmarkStart w:id="103"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98"/>
        <w:spacing w:before="145" w:after="145" w:line="400" w:lineRule="atLeast"/>
        <w:rPr>
          <w:rFonts w:ascii="宋体" w:hAnsi="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962"/>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2"/>
      <w:r/>
      <w:bookmarkStart w:id="104" w:name="_Hlt26670373"/>
      <w:r/>
      <w:bookmarkEnd w:id="104"/>
      <w:r>
        <w:rPr>
          <w:rFonts w:hint="eastAsia"/>
          <w:b w:val="0"/>
          <w:bCs w:val="0"/>
          <w:color w:val="000000"/>
        </w:rPr>
        <w:t xml:space="preserve">表</w:t>
      </w:r>
      <w:bookmarkEnd w:id="103"/>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1</w:t>
      </w:r>
      <w:r>
        <w:rPr>
          <w:rFonts w:hint="eastAsia" w:ascii="宋体" w:hAnsi="宋体"/>
          <w:bCs/>
          <w:color w:val="000000"/>
          <w:sz w:val="24"/>
          <w:szCs w:val="24"/>
        </w:rPr>
        <w:t xml:space="preserve">.1</w:t>
      </w:r>
      <w:r>
        <w:rPr>
          <w:rFonts w:hint="eastAsia" w:ascii="宋体" w:hAnsi="宋体"/>
          <w:color w:val="000000"/>
          <w:sz w:val="24"/>
          <w:szCs w:val="24"/>
        </w:rPr>
        <w:t xml:space="preserve">投</w:t>
      </w:r>
      <w:bookmarkStart w:id="105" w:name="_Hlt26954840"/>
      <w:r/>
      <w:bookmarkEnd w:id="105"/>
      <w:r>
        <w:rPr>
          <w:rFonts w:hint="eastAsia" w:ascii="宋体" w:hAnsi="宋体"/>
          <w:color w:val="000000"/>
          <w:sz w:val="24"/>
          <w:szCs w:val="24"/>
        </w:rPr>
        <w:t xml:space="preserve">标人按照招标文件规定格式填报投标分项报价表</w:t>
      </w:r>
      <w:bookmarkStart w:id="106" w:name="_Hlt26670399"/>
      <w:r/>
      <w:bookmarkEnd w:id="106"/>
      <w:r>
        <w:rPr>
          <w:rFonts w:hint="eastAsia" w:ascii="宋体" w:hAnsi="宋体"/>
          <w:color w:val="000000"/>
          <w:sz w:val="24"/>
          <w:szCs w:val="24"/>
        </w:rPr>
        <w:t xml:space="preserve">。</w:t>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Cs/>
          <w:color w:val="000000"/>
          <w:sz w:val="24"/>
          <w:szCs w:val="24"/>
        </w:rPr>
        <w:t xml:space="preserve">投标货币。投标文件中的单价和总价无特殊规定的采用人民币报价，以元为单位标注。</w:t>
      </w:r>
      <w:r>
        <w:rPr>
          <w:rFonts w:hint="eastAsia" w:ascii="宋体" w:hAnsi="宋体"/>
          <w:color w:val="000000"/>
          <w:sz w:val="24"/>
          <w:szCs w:val="24"/>
        </w:rPr>
        <w:t xml:space="preserve">招标文件中另有规定的按规定执行。</w:t>
      </w:r>
      <w:r/>
    </w:p>
    <w:p>
      <w:pPr>
        <w:pStyle w:val="962"/>
        <w:spacing w:before="0" w:after="0" w:line="400" w:lineRule="exact"/>
        <w:rPr>
          <w:b w:val="0"/>
          <w:bCs w:val="0"/>
          <w:color w:val="000000"/>
        </w:rPr>
      </w:pPr>
      <w:r/>
      <w:bookmarkStart w:id="107" w:name="_Hlt26668983"/>
      <w:r/>
      <w:bookmarkEnd w:id="107"/>
      <w:r/>
      <w:bookmarkStart w:id="108" w:name="_Hlt26670482"/>
      <w:r/>
      <w:bookmarkEnd w:id="108"/>
      <w:r/>
      <w:bookmarkStart w:id="109" w:name="_Hlt26954731"/>
      <w:r/>
      <w:bookmarkEnd w:id="109"/>
      <w:r/>
      <w:bookmarkStart w:id="110" w:name="_Hlt26670425"/>
      <w:r/>
      <w:bookmarkEnd w:id="110"/>
      <w:r/>
      <w:bookmarkStart w:id="111" w:name="_Hlt26670486"/>
      <w:r/>
      <w:bookmarkEnd w:id="111"/>
      <w:r/>
      <w:bookmarkStart w:id="112" w:name="_Hlt26954848"/>
      <w:r/>
      <w:bookmarkEnd w:id="112"/>
      <w:r/>
      <w:bookmarkStart w:id="113" w:name="_Hlt26670403"/>
      <w:r/>
      <w:bookmarkEnd w:id="113"/>
      <w:r/>
      <w:bookmarkStart w:id="114" w:name="_Hlt26954842"/>
      <w:r/>
      <w:bookmarkEnd w:id="114"/>
      <w:r/>
      <w:bookmarkStart w:id="115" w:name="_Hlt26954844"/>
      <w:r/>
      <w:bookmarkEnd w:id="115"/>
      <w:r/>
      <w:bookmarkStart w:id="116" w:name="_Hlt26954846"/>
      <w:r/>
      <w:bookmarkEnd w:id="116"/>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szCs w:val="24"/>
          <w:lang w:val="zh-CN"/>
        </w:rPr>
      </w:pPr>
      <w:r>
        <w:rPr>
          <w:rFonts w:ascii="宋体" w:hAnsi="Arial" w:cs="宋体"/>
          <w:bCs/>
          <w:color w:val="000000"/>
          <w:sz w:val="24"/>
          <w:szCs w:val="24"/>
          <w:lang w:val="zh-CN"/>
        </w:rPr>
        <w:t xml:space="preserve">12.1</w:t>
      </w:r>
      <w:r>
        <w:rPr>
          <w:rFonts w:hint="eastAsia" w:ascii="宋体" w:hAnsi="Arial" w:cs="宋体"/>
          <w:color w:val="000000"/>
          <w:sz w:val="24"/>
          <w:szCs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szCs w:val="24"/>
          <w:lang w:val="zh-CN"/>
        </w:rPr>
      </w:pPr>
      <w:r/>
      <w:bookmarkStart w:id="117" w:name="_Toc49090510"/>
      <w:r/>
      <w:bookmarkStart w:id="118" w:name="_Toc14577359"/>
      <w:r>
        <w:rPr>
          <w:rFonts w:hint="eastAsia" w:ascii="宋体" w:hAnsi="Arial" w:cs="宋体"/>
          <w:color w:val="000000"/>
          <w:sz w:val="24"/>
          <w:szCs w:val="24"/>
          <w:lang w:val="zh-CN"/>
        </w:rPr>
        <w:t xml:space="preserve">1</w:t>
      </w:r>
      <w:r>
        <w:rPr>
          <w:rFonts w:ascii="宋体" w:hAnsi="Arial" w:cs="宋体"/>
          <w:color w:val="000000"/>
          <w:sz w:val="24"/>
          <w:szCs w:val="24"/>
          <w:lang w:val="zh-CN"/>
        </w:rPr>
        <w:t xml:space="preserve">2</w:t>
      </w:r>
      <w:r>
        <w:rPr>
          <w:rFonts w:hint="eastAsia" w:ascii="宋体" w:hAnsi="Arial" w:cs="宋体"/>
          <w:color w:val="000000"/>
          <w:sz w:val="24"/>
          <w:szCs w:val="24"/>
          <w:lang w:val="zh-CN"/>
        </w:rPr>
        <w:t xml:space="preserve">.2投标人需按照招标文件要求，在投标文件中提供与技术要求和商务要求相关的证明材料。</w:t>
      </w:r>
      <w:r/>
    </w:p>
    <w:p>
      <w:pPr>
        <w:pStyle w:val="962"/>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w:t>
      </w:r>
      <w:r>
        <w:rPr>
          <w:rFonts w:hint="eastAsia" w:ascii="宋体" w:hAnsi="宋体"/>
          <w:color w:val="000000"/>
          <w:sz w:val="24"/>
          <w:szCs w:val="24"/>
        </w:rPr>
        <w:t xml:space="preserve">投标人应按照招标文件中提供的格式完整、正确填写投标函、开标一览表。</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.2</w:t>
      </w:r>
      <w:r>
        <w:rPr>
          <w:rFonts w:hint="eastAsia" w:ascii="宋体" w:hAnsi="宋体"/>
          <w:color w:val="000000"/>
          <w:sz w:val="24"/>
          <w:szCs w:val="24"/>
        </w:rPr>
        <w:t xml:space="preserve">对于采用货币报价的项目，</w:t>
      </w:r>
      <w:r>
        <w:rPr>
          <w:rFonts w:hint="eastAsia" w:ascii="宋体" w:hAnsi="宋体"/>
          <w:bCs/>
          <w:color w:val="000000"/>
          <w:sz w:val="24"/>
          <w:szCs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szCs w:val="24"/>
        </w:rPr>
        <w:t xml:space="preserve">，但评标时按开标一览表中价格为准</w:t>
      </w:r>
      <w:r>
        <w:rPr>
          <w:rFonts w:hint="eastAsia" w:ascii="宋体" w:hAnsi="宋体"/>
          <w:b/>
          <w:bCs/>
          <w:color w:val="000000"/>
          <w:sz w:val="24"/>
          <w:szCs w:val="24"/>
        </w:rPr>
        <w:t xml:space="preserve">。</w:t>
      </w:r>
      <w:bookmarkEnd w:id="117"/>
      <w:r/>
      <w:bookmarkEnd w:id="118"/>
      <w:r/>
      <w:r/>
    </w:p>
    <w:p>
      <w:pPr>
        <w:pStyle w:val="962"/>
        <w:spacing w:before="0" w:after="0" w:line="400" w:lineRule="exact"/>
        <w:rPr>
          <w:b w:val="0"/>
          <w:bCs w:val="0"/>
          <w:color w:val="000000"/>
        </w:rPr>
      </w:pPr>
      <w:r/>
      <w:bookmarkStart w:id="119" w:name="_Hlt26954734"/>
      <w:r/>
      <w:bookmarkEnd w:id="119"/>
      <w:r/>
      <w:bookmarkStart w:id="120" w:name="_Hlt26670489"/>
      <w:r/>
      <w:bookmarkEnd w:id="120"/>
      <w:r/>
      <w:bookmarkStart w:id="121" w:name="_Hlt26954850"/>
      <w:r/>
      <w:bookmarkEnd w:id="121"/>
      <w:r/>
      <w:bookmarkStart w:id="122" w:name="_Toc14577360"/>
      <w:r/>
      <w:bookmarkStart w:id="123"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2"/>
      <w:r/>
      <w:bookmarkEnd w:id="123"/>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4</w:t>
      </w:r>
      <w:r>
        <w:rPr>
          <w:rFonts w:hint="eastAsia" w:ascii="宋体" w:hAnsi="宋体"/>
          <w:color w:val="000000"/>
          <w:sz w:val="24"/>
          <w:szCs w:val="24"/>
        </w:rPr>
        <w:t xml:space="preserve">.1</w:t>
      </w:r>
      <w:r>
        <w:rPr>
          <w:rFonts w:hint="eastAsia" w:ascii="宋体" w:hAnsi="宋体"/>
          <w:bCs/>
          <w:color w:val="000000"/>
          <w:sz w:val="24"/>
          <w:szCs w:val="24"/>
        </w:rPr>
        <w:t xml:space="preserve">投标有效期为交易中心规定的开标之日后</w:t>
      </w:r>
      <w:r>
        <w:rPr>
          <w:rFonts w:hint="eastAsia" w:ascii="仿宋_GB2312" w:hAnsi="仿宋_GB2312"/>
          <w:b/>
          <w:color w:val="000000"/>
          <w:sz w:val="24"/>
          <w:szCs w:val="24"/>
          <w:u w:val="single"/>
        </w:rPr>
        <w:t xml:space="preserve">六十（60）天</w:t>
      </w:r>
      <w:r>
        <w:rPr>
          <w:rFonts w:hint="eastAsia" w:ascii="宋体" w:hAnsi="宋体"/>
          <w:bCs/>
          <w:color w:val="000000"/>
          <w:sz w:val="24"/>
          <w:szCs w:val="24"/>
        </w:rPr>
        <w:t xml:space="preserve">。投标有效期比规定短的将被视为未实质性响应招标</w:t>
      </w:r>
      <w:r>
        <w:rPr>
          <w:rFonts w:ascii="宋体" w:hAnsi="宋体"/>
          <w:bCs/>
          <w:color w:val="000000"/>
          <w:sz w:val="24"/>
          <w:szCs w:val="24"/>
        </w:rPr>
        <w:t xml:space="preserve">文件</w:t>
      </w:r>
      <w:r>
        <w:rPr>
          <w:rFonts w:hint="eastAsia" w:ascii="宋体" w:hAnsi="宋体"/>
          <w:bCs/>
          <w:color w:val="000000"/>
          <w:sz w:val="24"/>
          <w:szCs w:val="24"/>
        </w:rPr>
        <w:t xml:space="preserve">而予以拒绝。</w:t>
      </w:r>
      <w:r/>
    </w:p>
    <w:p>
      <w:pPr>
        <w:pStyle w:val="962"/>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5</w:t>
      </w:r>
      <w:r>
        <w:rPr>
          <w:rFonts w:hint="eastAsia" w:ascii="宋体" w:hAnsi="宋体"/>
          <w:color w:val="000000"/>
          <w:sz w:val="24"/>
          <w:szCs w:val="24"/>
        </w:rPr>
        <w:t xml:space="preserve">.1</w:t>
      </w:r>
      <w:r>
        <w:rPr>
          <w:rFonts w:hint="eastAsia" w:ascii="宋体" w:hAnsi="宋体"/>
          <w:bCs/>
          <w:color w:val="000000"/>
          <w:sz w:val="24"/>
          <w:szCs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szCs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4"/>
        </w:rPr>
        <w:t xml:space="preserve">。</w:t>
      </w:r>
      <w:r/>
    </w:p>
    <w:p>
      <w:pPr>
        <w:ind w:firstLine="498"/>
        <w:spacing w:before="145" w:after="145" w:line="400" w:lineRule="atLeast"/>
        <w:rPr>
          <w:rFonts w:ascii="宋体" w:hAnsi="宋体" w:cs="宋体"/>
          <w:b/>
          <w:color w:val="000000"/>
          <w:sz w:val="32"/>
          <w:szCs w:val="21"/>
        </w:rPr>
        <w:pBdr>
          <w:top w:val="none" w:color="000000" w:sz="0" w:space="0"/>
          <w:left w:val="none" w:color="000000" w:sz="0" w:space="0"/>
          <w:bottom w:val="none" w:color="000000" w:sz="0" w:space="0"/>
          <w:right w:val="none" w:color="000000" w:sz="0" w:space="0"/>
        </w:pBdr>
      </w:pPr>
      <w:r/>
      <w:bookmarkStart w:id="124" w:name="_Hlt26954739"/>
      <w:r/>
      <w:bookmarkEnd w:id="124"/>
      <w:r/>
      <w:bookmarkStart w:id="125" w:name="_Hlt26954852"/>
      <w:r/>
      <w:bookmarkEnd w:id="125"/>
      <w:r/>
      <w:bookmarkStart w:id="126" w:name="_Toc16938540"/>
      <w:r/>
      <w:bookmarkStart w:id="127" w:name="_Toc120614217"/>
      <w:r/>
      <w:bookmarkStart w:id="128" w:name="_Toc20823296"/>
      <w:r/>
      <w:bookmarkStart w:id="129" w:name="_Toc513029224"/>
      <w:r>
        <w:rPr>
          <w:rFonts w:hint="eastAsia" w:ascii="宋体" w:hAnsi="宋体" w:cs="宋体"/>
          <w:b/>
          <w:color w:val="000000"/>
          <w:sz w:val="32"/>
          <w:szCs w:val="21"/>
        </w:rPr>
        <w:t xml:space="preserve">四、投标文件的递交</w:t>
      </w:r>
      <w:bookmarkEnd w:id="126"/>
      <w:r/>
      <w:bookmarkEnd w:id="127"/>
      <w:r/>
      <w:bookmarkEnd w:id="128"/>
      <w:r/>
      <w:bookmarkEnd w:id="129"/>
      <w:r/>
      <w:r/>
    </w:p>
    <w:p>
      <w:pPr>
        <w:pStyle w:val="962"/>
        <w:ind w:firstLine="560"/>
        <w:spacing w:before="0" w:after="0" w:line="400" w:lineRule="exact"/>
        <w:rPr>
          <w:rFonts w:ascii="黑体"/>
          <w:b w:val="0"/>
          <w:bCs w:val="0"/>
          <w:color w:val="000000"/>
        </w:rPr>
      </w:pPr>
      <w:r/>
      <w:bookmarkStart w:id="130" w:name="_Toc20823297"/>
      <w:r/>
      <w:bookmarkStart w:id="131" w:name="_Toc16938541"/>
      <w:r/>
      <w:bookmarkStart w:id="132" w:name="_Toc513029225"/>
      <w:r/>
      <w:bookmarkStart w:id="133" w:name="_Toc462564084"/>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30"/>
      <w:r/>
      <w:bookmarkEnd w:id="131"/>
      <w:r/>
      <w:bookmarkEnd w:id="132"/>
      <w:r/>
      <w:bookmarkEnd w:id="133"/>
      <w:r>
        <w:rPr>
          <w:rFonts w:hint="eastAsia" w:ascii="黑体"/>
          <w:b w:val="0"/>
          <w:bCs w:val="0"/>
          <w:color w:val="000000"/>
        </w:rPr>
        <w:t xml:space="preserve">的递交</w:t>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6</w:t>
      </w:r>
      <w:r>
        <w:rPr>
          <w:rFonts w:hint="eastAsia" w:ascii="宋体" w:hAnsi="宋体"/>
          <w:color w:val="000000"/>
          <w:sz w:val="24"/>
          <w:szCs w:val="24"/>
        </w:rPr>
        <w:t xml:space="preserve">.1</w:t>
      </w:r>
      <w:r>
        <w:rPr>
          <w:rFonts w:hint="eastAsia" w:ascii="宋体" w:hAnsi="宋体"/>
          <w:bCs/>
          <w:color w:val="000000"/>
          <w:sz w:val="24"/>
          <w:szCs w:val="24"/>
        </w:rPr>
        <w:t xml:space="preserve">投标人应当按照《操作手册》规定，在投标截止时间前</w:t>
      </w:r>
      <w:r>
        <w:rPr>
          <w:rFonts w:ascii="宋体" w:hAnsi="宋体"/>
          <w:bCs/>
          <w:color w:val="000000"/>
          <w:sz w:val="24"/>
          <w:szCs w:val="24"/>
        </w:rPr>
        <w:t xml:space="preserve">制作</w:t>
      </w:r>
      <w:r>
        <w:rPr>
          <w:rFonts w:hint="eastAsia" w:ascii="宋体" w:hAnsi="宋体"/>
          <w:bCs/>
          <w:color w:val="000000"/>
          <w:sz w:val="24"/>
          <w:szCs w:val="24"/>
        </w:rPr>
        <w:t xml:space="preserve">并上传电子投标文件。</w:t>
      </w:r>
      <w:bookmarkStart w:id="134" w:name="_Toc20823298"/>
      <w:r/>
      <w:bookmarkStart w:id="135" w:name="_Toc16938542"/>
      <w:r/>
      <w:bookmarkStart w:id="136" w:name="_Toc513029226"/>
      <w:r/>
      <w:r/>
    </w:p>
    <w:p>
      <w:pPr>
        <w:ind w:firstLine="480"/>
        <w:spacing w:line="400" w:lineRule="exact"/>
        <w:rPr>
          <w:rFonts w:ascii="Arial" w:hAnsi="Arial" w:eastAsia="黑体" w:cs="Arial"/>
          <w:color w:val="000000"/>
          <w:sz w:val="28"/>
          <w:szCs w:val="28"/>
        </w:rPr>
      </w:pPr>
      <w:r>
        <w:rPr>
          <w:rFonts w:hint="eastAsia" w:ascii="Arial" w:hAnsi="Arial" w:eastAsia="黑体" w:cs="Arial"/>
          <w:color w:val="000000"/>
          <w:sz w:val="28"/>
          <w:szCs w:val="28"/>
        </w:rPr>
        <w:t xml:space="preserve">17、投标截止</w:t>
      </w:r>
      <w:bookmarkEnd w:id="134"/>
      <w:r/>
      <w:bookmarkEnd w:id="135"/>
      <w:r/>
      <w:bookmarkEnd w:id="136"/>
      <w:r>
        <w:rPr>
          <w:rFonts w:hint="eastAsia" w:ascii="Arial" w:hAnsi="Arial" w:eastAsia="黑体" w:cs="Arial"/>
          <w:color w:val="000000"/>
          <w:sz w:val="28"/>
          <w:szCs w:val="28"/>
        </w:rPr>
        <w:t xml:space="preserve">时间</w:t>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17.1</w:t>
      </w:r>
      <w:r>
        <w:rPr>
          <w:rFonts w:hint="eastAsia" w:ascii="宋体" w:hAnsi="宋体"/>
          <w:bCs/>
          <w:color w:val="000000"/>
          <w:sz w:val="24"/>
          <w:szCs w:val="24"/>
        </w:rPr>
        <w:t xml:space="preserve">投标人上传电子投标文件的时间不得迟于招标公告中规定的投标截止时间。</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17.2</w:t>
      </w:r>
      <w:r>
        <w:rPr>
          <w:rFonts w:hint="eastAsia" w:ascii="宋体" w:hAnsi="宋体"/>
          <w:bCs/>
          <w:color w:val="000000"/>
          <w:sz w:val="24"/>
          <w:szCs w:val="24"/>
        </w:rPr>
        <w:t xml:space="preserve">交易中心可以按照规定，通过修改招标文件酌情延长投标截止时间，在此情况下，投标人的所有权利和义务以及投标人受制的截止时间均应以延长后新的截止时间为准。</w:t>
      </w:r>
      <w:r/>
    </w:p>
    <w:p>
      <w:pPr>
        <w:pStyle w:val="962"/>
        <w:spacing w:before="0" w:after="0" w:line="400" w:lineRule="exact"/>
        <w:rPr>
          <w:b w:val="0"/>
          <w:bCs w:val="0"/>
          <w:color w:val="000000"/>
        </w:rPr>
      </w:pPr>
      <w:r/>
      <w:bookmarkStart w:id="137" w:name="_Toc20823299"/>
      <w:r/>
      <w:bookmarkStart w:id="138" w:name="_Toc513029227"/>
      <w:r/>
      <w:bookmarkStart w:id="139"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7"/>
      <w:r/>
      <w:bookmarkEnd w:id="138"/>
      <w:r/>
      <w:bookmarkEnd w:id="139"/>
      <w:r>
        <w:rPr>
          <w:rFonts w:hint="eastAsia"/>
          <w:b w:val="0"/>
          <w:bCs w:val="0"/>
          <w:color w:val="000000"/>
        </w:rPr>
        <w:t xml:space="preserve">的拒收</w:t>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8</w:t>
      </w:r>
      <w:r>
        <w:rPr>
          <w:rFonts w:hint="eastAsia" w:ascii="宋体" w:hAnsi="宋体"/>
          <w:color w:val="000000"/>
          <w:sz w:val="24"/>
          <w:szCs w:val="24"/>
        </w:rPr>
        <w:t xml:space="preserve">.1</w:t>
      </w:r>
      <w:r>
        <w:rPr>
          <w:rFonts w:hint="eastAsia" w:ascii="宋体" w:hAnsi="宋体"/>
          <w:bCs/>
          <w:color w:val="000000"/>
          <w:sz w:val="24"/>
          <w:szCs w:val="24"/>
        </w:rPr>
        <w:t xml:space="preserve">交易中心拒绝接收在其规定的投标截止时间后上传的任何投标文件。</w:t>
      </w:r>
      <w:r/>
    </w:p>
    <w:p>
      <w:pPr>
        <w:pStyle w:val="962"/>
        <w:spacing w:before="0" w:after="0" w:line="400" w:lineRule="exact"/>
        <w:rPr>
          <w:b w:val="0"/>
          <w:bCs w:val="0"/>
          <w:color w:val="000000"/>
        </w:rPr>
      </w:pPr>
      <w:r/>
      <w:bookmarkStart w:id="140" w:name="_Toc16938544"/>
      <w:r/>
      <w:bookmarkStart w:id="141" w:name="_Toc20823300"/>
      <w:r/>
      <w:bookmarkStart w:id="142" w:name="_Toc513029228"/>
      <w:r>
        <w:rPr>
          <w:b w:val="0"/>
          <w:bCs w:val="0"/>
          <w:color w:val="000000"/>
        </w:rPr>
        <w:t xml:space="preserve">19</w:t>
      </w:r>
      <w:r>
        <w:rPr>
          <w:rFonts w:hint="eastAsia"/>
          <w:b w:val="0"/>
          <w:bCs w:val="0"/>
          <w:color w:val="000000"/>
        </w:rPr>
        <w:t xml:space="preserve">、投标文件的撤回和修改</w:t>
      </w:r>
      <w:bookmarkEnd w:id="140"/>
      <w:r/>
      <w:bookmarkEnd w:id="141"/>
      <w:r/>
      <w:bookmarkEnd w:id="142"/>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19.1 投标文件的撤回</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.1.1 电子投标文件的撤回</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19.2.2</w:t>
      </w:r>
      <w:r>
        <w:rPr>
          <w:rFonts w:hint="eastAsia" w:ascii="宋体" w:hAnsi="宋体"/>
          <w:bCs/>
          <w:color w:val="000000"/>
          <w:sz w:val="24"/>
          <w:szCs w:val="24"/>
        </w:rPr>
        <w:t xml:space="preserve"> 在投标截止时间之后，投标人不得对其电子投标文件作任何修改。</w:t>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19.3</w:t>
      </w:r>
      <w:r>
        <w:rPr>
          <w:rFonts w:hint="eastAsia" w:ascii="宋体" w:hAnsi="宋体"/>
          <w:bCs/>
          <w:color w:val="000000"/>
          <w:sz w:val="24"/>
          <w:szCs w:val="24"/>
        </w:rPr>
        <w:t xml:space="preserve">在投标截止时间至招标文件中规定的投标有效期满之间的这段时间内，投标人不得撤回其投标。</w:t>
      </w:r>
      <w:r/>
    </w:p>
    <w:p>
      <w:pPr>
        <w:ind w:firstLine="498"/>
        <w:spacing w:before="145" w:after="145" w:line="400" w:lineRule="atLeast"/>
        <w:rPr>
          <w:rFonts w:ascii="宋体" w:hAnsi="宋体" w:cs="宋体"/>
          <w:b/>
          <w:color w:val="000000"/>
          <w:sz w:val="32"/>
          <w:szCs w:val="21"/>
        </w:rPr>
        <w:pBdr>
          <w:top w:val="none" w:color="000000" w:sz="0" w:space="0"/>
          <w:left w:val="none" w:color="000000" w:sz="0" w:space="0"/>
          <w:bottom w:val="none" w:color="000000" w:sz="0" w:space="0"/>
          <w:right w:val="none" w:color="000000" w:sz="0" w:space="0"/>
        </w:pBdr>
      </w:pPr>
      <w:r/>
      <w:bookmarkStart w:id="143" w:name="_Toc120614218"/>
      <w:r/>
      <w:bookmarkStart w:id="144" w:name="_Toc16938545"/>
      <w:r/>
      <w:bookmarkStart w:id="145" w:name="_Toc20823301"/>
      <w:r/>
      <w:bookmarkStart w:id="146" w:name="_Toc513029229"/>
      <w:r>
        <w:rPr>
          <w:rFonts w:hint="eastAsia" w:ascii="宋体" w:hAnsi="宋体" w:cs="宋体"/>
          <w:b/>
          <w:color w:val="000000"/>
          <w:sz w:val="32"/>
          <w:szCs w:val="21"/>
        </w:rPr>
        <w:t xml:space="preserve">五、开标与评标</w:t>
      </w:r>
      <w:bookmarkEnd w:id="143"/>
      <w:r/>
      <w:bookmarkEnd w:id="144"/>
      <w:r/>
      <w:bookmarkEnd w:id="145"/>
      <w:r/>
      <w:bookmarkEnd w:id="146"/>
      <w:r/>
      <w:r/>
    </w:p>
    <w:p>
      <w:pPr>
        <w:pStyle w:val="962"/>
        <w:spacing w:before="0" w:after="0" w:line="400" w:lineRule="exact"/>
        <w:rPr>
          <w:b w:val="0"/>
          <w:bCs w:val="0"/>
          <w:color w:val="000000"/>
        </w:rPr>
      </w:pPr>
      <w:r/>
      <w:bookmarkStart w:id="147" w:name="_Toc20823302"/>
      <w:r/>
      <w:bookmarkStart w:id="148" w:name="_Toc16938546"/>
      <w:r/>
      <w:bookmarkStart w:id="149"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7"/>
      <w:r/>
      <w:bookmarkEnd w:id="148"/>
      <w:r/>
      <w:bookmarkEnd w:id="149"/>
      <w:r/>
      <w:r/>
    </w:p>
    <w:p>
      <w:pPr>
        <w:ind w:firstLine="480"/>
        <w:spacing w:line="400" w:lineRule="exact"/>
        <w:rPr>
          <w:color w:val="000000"/>
          <w:sz w:val="24"/>
          <w:szCs w:val="24"/>
        </w:rPr>
      </w:pPr>
      <w:r>
        <w:rPr>
          <w:rFonts w:hint="eastAsia" w:ascii="宋体" w:hAnsi="宋体"/>
          <w:color w:val="000000"/>
          <w:sz w:val="24"/>
          <w:szCs w:val="24"/>
        </w:rPr>
        <w:t xml:space="preserve">20.1</w:t>
      </w:r>
      <w:r>
        <w:rPr>
          <w:rFonts w:hint="eastAsia" w:ascii="宋体" w:hAnsi="宋体"/>
          <w:bCs/>
          <w:color w:val="000000"/>
          <w:sz w:val="24"/>
          <w:szCs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962"/>
        <w:spacing w:before="0" w:after="0" w:line="400" w:lineRule="exact"/>
        <w:rPr>
          <w:b w:val="0"/>
          <w:bCs w:val="0"/>
          <w:color w:val="000000"/>
        </w:rPr>
      </w:pPr>
      <w:r/>
      <w:bookmarkStart w:id="150" w:name="_Toc513029231"/>
      <w:r/>
      <w:bookmarkStart w:id="151" w:name="_Toc16938547"/>
      <w:r/>
      <w:bookmarkStart w:id="152"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ascii="PingFang SC" w:hAnsi="PingFang SC" w:eastAsia="PingFang SC" w:cs="PingFang SC"/>
          <w:i w:val="0"/>
          <w:caps w:val="0"/>
          <w:color w:val="202329"/>
          <w:spacing w:val="0"/>
          <w:sz w:val="24"/>
          <w:szCs w:val="24"/>
          <w:shd w:val="clear" w:color="auto" w:fill="ffffff"/>
        </w:rPr>
        <w:t xml:space="preserve">候</w:t>
      </w:r>
      <w:r>
        <w:rPr>
          <w:rFonts w:hint="eastAsia" w:ascii="宋体" w:hAnsi="宋体"/>
          <w:color w:val="000000"/>
          <w:sz w:val="24"/>
          <w:szCs w:val="24"/>
        </w:rPr>
        <w:t xml:space="preserve">选人。</w:t>
      </w:r>
      <w:r/>
    </w:p>
    <w:p>
      <w:pPr>
        <w:pStyle w:val="962"/>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50"/>
      <w:r/>
      <w:bookmarkEnd w:id="151"/>
      <w:r/>
      <w:bookmarkEnd w:id="152"/>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22.1</w:t>
      </w:r>
      <w:r>
        <w:rPr>
          <w:rFonts w:hint="eastAsia" w:ascii="宋体" w:hAnsi="宋体"/>
          <w:bCs/>
          <w:color w:val="000000"/>
          <w:sz w:val="24"/>
          <w:szCs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22.2在评标过程中，投标人不得以任何行为影响评标过程，否则其投标文件将被作为无效投标文件。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22.4采用综合评分法的项目，未中标的投标人可于中标结果公告期限届满之日起通过苏采云系统查看自己的评审得分及排序情况。</w:t>
      </w:r>
      <w:r/>
    </w:p>
    <w:p>
      <w:pPr>
        <w:pStyle w:val="962"/>
        <w:spacing w:before="0" w:after="0" w:line="400" w:lineRule="exact"/>
        <w:rPr>
          <w:b w:val="0"/>
          <w:bCs w:val="0"/>
          <w:color w:val="000000"/>
        </w:rPr>
      </w:pPr>
      <w:r/>
      <w:bookmarkStart w:id="153" w:name="_Toc513029232"/>
      <w:r/>
      <w:bookmarkStart w:id="154" w:name="_Toc16938548"/>
      <w:r/>
      <w:bookmarkStart w:id="155"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3"/>
      <w:r/>
      <w:bookmarkEnd w:id="154"/>
      <w:r/>
      <w:bookmarkEnd w:id="155"/>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23.3接到评委会澄清、说明和补正要求的投标人如未按规定做出澄清、说明和补正，其风险由投标人自行承担。</w:t>
      </w:r>
      <w:r/>
    </w:p>
    <w:p>
      <w:pPr>
        <w:pStyle w:val="962"/>
        <w:spacing w:before="0" w:after="0" w:line="400" w:lineRule="exact"/>
        <w:rPr>
          <w:b w:val="0"/>
          <w:bCs w:val="0"/>
          <w:color w:val="000000"/>
        </w:rPr>
      </w:pPr>
      <w:r/>
      <w:bookmarkStart w:id="156" w:name="_Toc16938549"/>
      <w:r/>
      <w:bookmarkStart w:id="157" w:name="_Toc513029233"/>
      <w:r/>
      <w:bookmarkStart w:id="158"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6"/>
      <w:r/>
      <w:bookmarkEnd w:id="157"/>
      <w:r/>
      <w:bookmarkEnd w:id="158"/>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24.1</w:t>
      </w:r>
      <w:r>
        <w:rPr>
          <w:rFonts w:hint="eastAsia" w:ascii="宋体" w:hAnsi="宋体"/>
          <w:bCs/>
          <w:color w:val="000000"/>
          <w:sz w:val="24"/>
          <w:szCs w:val="24"/>
        </w:rPr>
        <w:t xml:space="preserve">投标文件初审分为资格审查和符合性审查。</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szCs w:val="24"/>
        </w:rPr>
        <w:t xml:space="preserve">查询投标人的信用记录，以确定投标人是否具备投标资格,查询结果留存并归档。</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24.</w:t>
      </w:r>
      <w:r>
        <w:rPr>
          <w:rFonts w:ascii="宋体" w:hAnsi="宋体"/>
          <w:bCs/>
          <w:color w:val="000000"/>
          <w:sz w:val="24"/>
          <w:szCs w:val="24"/>
        </w:rPr>
        <w:t xml:space="preserve">1.</w:t>
      </w:r>
      <w:r>
        <w:rPr>
          <w:rFonts w:hint="eastAsia" w:ascii="宋体" w:hAnsi="宋体"/>
          <w:bCs/>
          <w:color w:val="000000"/>
          <w:sz w:val="24"/>
          <w:szCs w:val="24"/>
        </w:rPr>
        <w:t xml:space="preserve">3未通过资格审查或符合性审查的投标人，交易中心将在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szCs w:val="24"/>
        </w:rPr>
        <w:t xml:space="preserve">中告知未通过资格审查或符合性审查的原因，</w:t>
      </w:r>
      <w:r>
        <w:rPr>
          <w:rFonts w:ascii="宋体" w:hAnsi="宋体"/>
          <w:bCs/>
          <w:color w:val="000000"/>
          <w:sz w:val="24"/>
          <w:szCs w:val="24"/>
        </w:rPr>
        <w:t xml:space="preserve">评</w:t>
      </w:r>
      <w:r>
        <w:rPr>
          <w:rFonts w:hint="eastAsia" w:ascii="宋体" w:hAnsi="宋体"/>
          <w:bCs/>
          <w:color w:val="000000"/>
          <w:sz w:val="24"/>
          <w:szCs w:val="24"/>
        </w:rPr>
        <w:t xml:space="preserve">审</w:t>
      </w:r>
      <w:r>
        <w:rPr>
          <w:rFonts w:ascii="宋体" w:hAnsi="宋体"/>
          <w:bCs/>
          <w:color w:val="000000"/>
          <w:sz w:val="24"/>
          <w:szCs w:val="24"/>
        </w:rPr>
        <w:t xml:space="preserve">结束后，</w:t>
      </w:r>
      <w:r>
        <w:rPr>
          <w:rFonts w:hint="eastAsia" w:ascii="宋体" w:hAnsi="宋体"/>
          <w:bCs/>
          <w:color w:val="000000"/>
          <w:sz w:val="24"/>
          <w:szCs w:val="24"/>
        </w:rPr>
        <w:t xml:space="preserve">交易</w:t>
      </w:r>
      <w:r>
        <w:rPr>
          <w:rFonts w:ascii="宋体" w:hAnsi="宋体"/>
          <w:bCs/>
          <w:color w:val="000000"/>
          <w:sz w:val="24"/>
          <w:szCs w:val="24"/>
        </w:rPr>
        <w:t xml:space="preserve">中心将不再告知未通过资格审查</w:t>
      </w:r>
      <w:r>
        <w:rPr>
          <w:rFonts w:hint="eastAsia" w:ascii="宋体" w:hAnsi="宋体"/>
          <w:bCs/>
          <w:color w:val="000000"/>
          <w:sz w:val="24"/>
          <w:szCs w:val="24"/>
        </w:rPr>
        <w:t xml:space="preserve">或符合性</w:t>
      </w:r>
      <w:r>
        <w:rPr>
          <w:rFonts w:ascii="宋体" w:hAnsi="宋体"/>
          <w:bCs/>
          <w:color w:val="000000"/>
          <w:sz w:val="24"/>
          <w:szCs w:val="24"/>
        </w:rPr>
        <w:t xml:space="preserve">审查的原因。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24.</w:t>
      </w:r>
      <w:r>
        <w:rPr>
          <w:rFonts w:ascii="宋体" w:hAnsi="宋体"/>
          <w:color w:val="000000"/>
          <w:sz w:val="24"/>
          <w:szCs w:val="24"/>
        </w:rPr>
        <w:t xml:space="preserve">4</w:t>
      </w:r>
      <w:r>
        <w:rPr>
          <w:rFonts w:hint="eastAsia" w:ascii="宋体" w:hAnsi="宋体"/>
          <w:bCs/>
          <w:color w:val="000000"/>
          <w:sz w:val="24"/>
          <w:szCs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（2）大写金额和小写金额不一致的，以大写金额为准。</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（4）总价金额与按单价汇总金额不一致的，以单价金额计算结果为准。</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同时出现两种以上错误的，按照前款规定的顺序修正。</w:t>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24.</w:t>
      </w:r>
      <w:r>
        <w:rPr>
          <w:rFonts w:ascii="宋体" w:hAnsi="宋体"/>
          <w:color w:val="000000"/>
          <w:sz w:val="24"/>
          <w:szCs w:val="24"/>
        </w:rPr>
        <w:t xml:space="preserve">5</w:t>
      </w:r>
      <w:r>
        <w:rPr>
          <w:rFonts w:hint="eastAsia" w:ascii="宋体" w:hAnsi="宋体"/>
          <w:bCs/>
          <w:color w:val="000000"/>
          <w:sz w:val="24"/>
          <w:szCs w:val="24"/>
        </w:rPr>
        <w:t xml:space="preserve">评委会将按上述修正错误的方法调整投标文件中的投标报价，并</w:t>
      </w:r>
      <w:r>
        <w:rPr>
          <w:rFonts w:ascii="宋体" w:hAnsi="宋体"/>
          <w:bCs/>
          <w:color w:val="000000"/>
          <w:sz w:val="24"/>
          <w:szCs w:val="24"/>
        </w:rPr>
        <w:t xml:space="preserve">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告知</w:t>
      </w:r>
      <w:r>
        <w:rPr>
          <w:rFonts w:ascii="宋体" w:hAnsi="宋体"/>
          <w:bCs/>
          <w:color w:val="000000"/>
          <w:sz w:val="24"/>
          <w:szCs w:val="24"/>
        </w:rPr>
        <w:t xml:space="preserve">投标人，</w:t>
      </w:r>
      <w:r>
        <w:rPr>
          <w:rFonts w:hint="eastAsia" w:ascii="宋体" w:hAnsi="宋体"/>
          <w:bCs/>
          <w:color w:val="000000"/>
          <w:sz w:val="24"/>
          <w:szCs w:val="24"/>
        </w:rPr>
        <w:t xml:space="preserve">调整后的价格应对投标人具有约束力。如果投标人不接受修正后的价格，则其投标将被拒绝。</w:t>
      </w:r>
      <w:r/>
    </w:p>
    <w:p>
      <w:pPr>
        <w:spacing w:line="400" w:lineRule="exact"/>
        <w:rPr>
          <w:rFonts w:ascii="宋体" w:hAnsi="宋体"/>
          <w:color w:val="000000"/>
          <w:sz w:val="24"/>
          <w:szCs w:val="24"/>
        </w:rPr>
      </w:pPr>
      <w:r/>
      <w:bookmarkStart w:id="159" w:name="_Toc16938550"/>
      <w:r/>
      <w:bookmarkStart w:id="160" w:name="_Toc20823306"/>
      <w:r/>
      <w:bookmarkStart w:id="161" w:name="_Toc513029234"/>
      <w:r>
        <w:rPr>
          <w:rFonts w:hint="eastAsia" w:ascii="宋体" w:hAnsi="宋体"/>
          <w:color w:val="000000"/>
          <w:sz w:val="24"/>
          <w:szCs w:val="24"/>
        </w:rPr>
        <w:t xml:space="preserve">24.6投标人在开、评标全过程中应保持通讯畅通，及时登录苏采云系统查阅</w:t>
      </w:r>
      <w:r>
        <w:rPr>
          <w:rFonts w:ascii="宋体" w:hAnsi="宋体"/>
          <w:color w:val="000000"/>
          <w:sz w:val="24"/>
          <w:szCs w:val="24"/>
        </w:rPr>
        <w:t xml:space="preserve">、答复相关</w:t>
      </w:r>
      <w:r>
        <w:rPr>
          <w:rFonts w:hint="eastAsia" w:ascii="宋体" w:hAnsi="宋体"/>
          <w:color w:val="000000"/>
          <w:sz w:val="24"/>
          <w:szCs w:val="24"/>
        </w:rPr>
        <w:t xml:space="preserve">信息</w:t>
      </w:r>
      <w:r>
        <w:rPr>
          <w:rFonts w:ascii="宋体" w:hAnsi="宋体"/>
          <w:color w:val="000000"/>
          <w:sz w:val="24"/>
          <w:szCs w:val="24"/>
        </w:rPr>
        <w:t xml:space="preserve">，</w:t>
      </w:r>
      <w:r>
        <w:rPr>
          <w:rFonts w:hint="eastAsia" w:ascii="宋体" w:hAnsi="宋体"/>
          <w:color w:val="000000"/>
          <w:sz w:val="24"/>
          <w:szCs w:val="24"/>
        </w:rPr>
        <w:t xml:space="preserve">并安排专人与交易中心及评委会联系。</w:t>
      </w:r>
      <w:r/>
    </w:p>
    <w:p>
      <w:pPr>
        <w:pStyle w:val="962"/>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9"/>
      <w:r/>
      <w:bookmarkEnd w:id="160"/>
      <w:r/>
      <w:bookmarkEnd w:id="161"/>
      <w:r>
        <w:rPr>
          <w:rFonts w:hint="eastAsia"/>
          <w:b w:val="0"/>
          <w:bCs w:val="0"/>
          <w:color w:val="000000"/>
        </w:rPr>
        <w:t xml:space="preserve">无效投标条款和废标条款</w:t>
      </w:r>
      <w:r/>
    </w:p>
    <w:p>
      <w:pPr>
        <w:ind w:firstLine="480"/>
        <w:spacing w:line="400" w:lineRule="exact"/>
        <w:rPr>
          <w:rFonts w:ascii="宋体" w:hAnsi="宋体"/>
          <w:color w:val="000000"/>
          <w:sz w:val="24"/>
          <w:szCs w:val="24"/>
        </w:rPr>
      </w:pPr>
      <w:r/>
      <w:bookmarkStart w:id="162" w:name="_Toc16938551"/>
      <w:r/>
      <w:bookmarkStart w:id="163" w:name="_Toc513029235"/>
      <w:r/>
      <w:bookmarkStart w:id="164" w:name="_Toc20823307"/>
      <w:r>
        <w:rPr>
          <w:rFonts w:hint="eastAsia" w:ascii="宋体" w:hAnsi="宋体"/>
          <w:color w:val="000000"/>
          <w:sz w:val="24"/>
          <w:szCs w:val="24"/>
        </w:rPr>
        <w:t xml:space="preserve">25.1无效投标条款</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25.1.1 投标人在苏采云系统规定的时间内未成功解密电子投标文件的。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25.1.2 投标人未按照招标文件要求上传电子投标文件的。</w:t>
      </w:r>
      <w:r/>
    </w:p>
    <w:p>
      <w:pPr>
        <w:ind w:firstLine="480"/>
        <w:spacing w:line="400" w:lineRule="exact"/>
        <w:rPr>
          <w:rFonts w:ascii="宋体" w:hAnsi="宋体"/>
          <w:bCs/>
          <w:color w:val="000000"/>
          <w:sz w:val="24"/>
          <w:szCs w:val="24"/>
        </w:rPr>
      </w:pPr>
      <w:r>
        <w:rPr>
          <w:rFonts w:hint="eastAsia" w:ascii="宋体" w:hAnsi="宋体"/>
          <w:color w:val="000000"/>
          <w:sz w:val="24"/>
          <w:szCs w:val="24"/>
        </w:rPr>
        <w:t xml:space="preserve">25.1.3 投标人同一采购包提交两个（含两个）以上不同的投标报价的。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25.1.4投标人不具备招标文件中规定资格要求的。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25.1.5投标人的报价超过了采购预算或最高限价的。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25.1.6未通过符合性审查的。</w:t>
      </w:r>
      <w:r/>
    </w:p>
    <w:p>
      <w:pPr>
        <w:ind w:firstLine="360"/>
        <w:spacing w:line="400" w:lineRule="exact"/>
        <w:rPr>
          <w:rFonts w:ascii="宋体" w:hAnsi="宋体"/>
          <w:bCs/>
          <w:i/>
          <w:color w:val="000000"/>
          <w:sz w:val="24"/>
          <w:szCs w:val="24"/>
          <w:u w:val="single"/>
        </w:rPr>
      </w:pPr>
      <w:r>
        <w:rPr>
          <w:rFonts w:hint="eastAsia" w:ascii="宋体" w:hAnsi="宋体"/>
          <w:bCs/>
          <w:color w:val="000000"/>
          <w:sz w:val="24"/>
          <w:szCs w:val="24"/>
        </w:rPr>
        <w:t xml:space="preserve"> 25.1.7不符合招标文件中规定的实质性要求的</w:t>
      </w:r>
      <w:r>
        <w:rPr>
          <w:rFonts w:hint="eastAsia" w:ascii="宋体" w:hAnsi="宋体"/>
          <w:b/>
          <w:bCs/>
          <w:color w:val="000000"/>
          <w:sz w:val="24"/>
          <w:szCs w:val="24"/>
        </w:rPr>
        <w:t xml:space="preserve">（本招标文件中</w:t>
      </w:r>
      <w:r>
        <w:rPr>
          <w:rFonts w:hint="eastAsia" w:ascii="宋体" w:hAnsi="宋体"/>
          <w:b/>
          <w:bCs/>
          <w:i/>
          <w:color w:val="000000"/>
          <w:sz w:val="24"/>
          <w:szCs w:val="24"/>
          <w:u w:val="single"/>
        </w:rPr>
        <w:t xml:space="preserve">斜体且有下划线部分</w:t>
      </w:r>
      <w:r>
        <w:rPr>
          <w:rFonts w:hint="eastAsia" w:ascii="宋体" w:hAnsi="宋体"/>
          <w:b/>
          <w:bCs/>
          <w:color w:val="000000"/>
          <w:sz w:val="24"/>
          <w:szCs w:val="24"/>
        </w:rPr>
        <w:t xml:space="preserve">为实质性要求）</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szCs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25.1.9 投标文件含有采购人不能接受的附加条件的。</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25.1.</w:t>
      </w:r>
      <w:r>
        <w:rPr>
          <w:rFonts w:ascii="宋体" w:hAnsi="宋体"/>
          <w:bCs/>
          <w:color w:val="ff0000"/>
          <w:sz w:val="24"/>
          <w:szCs w:val="24"/>
        </w:rPr>
        <w:t xml:space="preserve">10</w:t>
      </w:r>
      <w:r>
        <w:rPr>
          <w:rFonts w:hint="eastAsia" w:ascii="宋体" w:hAnsi="宋体"/>
          <w:bCs/>
          <w:color w:val="ff0000"/>
          <w:sz w:val="24"/>
          <w:szCs w:val="24"/>
        </w:rPr>
        <w:t xml:space="preserve"> 异常低价投标（响应）</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25.1.10.1投标（响应）报价低于采购项目预算 50% 的，即投标（响应）报价&lt;采购项目预算×50% ；</w:t>
      </w:r>
      <w:r/>
    </w:p>
    <w:p>
      <w:pPr>
        <w:ind w:firstLine="480"/>
        <w:spacing w:line="400" w:lineRule="exact"/>
        <w:rPr>
          <w:rFonts w:ascii="宋体" w:hAnsi="宋体"/>
          <w:bCs/>
          <w:color w:val="ff0000"/>
          <w:sz w:val="24"/>
          <w:szCs w:val="24"/>
        </w:rPr>
      </w:pPr>
      <w:r>
        <w:rPr>
          <w:rFonts w:hint="eastAsia" w:ascii="宋体" w:hAnsi="宋体"/>
          <w:bCs/>
          <w:color w:val="ff0000"/>
          <w:sz w:val="24"/>
          <w:szCs w:val="24"/>
        </w:rPr>
        <w:t xml:space="preserve">25.1.10.2投标（响应）报价低于采购项目最高限价 45% 的，即投标（响应）报价&lt;采购项目最高限价×45% ；</w:t>
      </w:r>
      <w:r/>
    </w:p>
    <w:p>
      <w:pPr>
        <w:ind w:firstLine="480"/>
        <w:spacing w:line="400" w:lineRule="exact"/>
        <w:rPr>
          <w:rFonts w:ascii="宋体" w:hAnsi="宋体"/>
          <w:bCs/>
          <w:color w:val="ff0000"/>
          <w:sz w:val="24"/>
          <w:szCs w:val="24"/>
        </w:rPr>
      </w:pPr>
      <w:r>
        <w:rPr>
          <w:rFonts w:hint="eastAsia" w:ascii="宋体" w:hAnsi="宋体"/>
          <w:color w:val="ff0000"/>
          <w:sz w:val="24"/>
          <w:szCs w:val="24"/>
        </w:rPr>
        <w:t xml:space="preserve">25.1.10.3</w:t>
      </w:r>
      <w:r>
        <w:rPr>
          <w:rFonts w:hint="eastAsia" w:ascii="宋体" w:hAnsi="宋体"/>
          <w:bCs/>
          <w:color w:val="ff0000"/>
          <w:sz w:val="24"/>
          <w:szCs w:val="24"/>
        </w:rPr>
        <w:t xml:space="preserve">评审委员会认定的供应商报价过低、有可能影响产品质量或者不能诚信履约的其他情形。</w:t>
      </w:r>
      <w:r/>
    </w:p>
    <w:p>
      <w:pPr>
        <w:ind w:firstLine="480"/>
        <w:spacing w:line="400" w:lineRule="exact"/>
        <w:rPr>
          <w:rFonts w:ascii="宋体" w:hAnsi="宋体"/>
          <w:bCs/>
          <w:color w:val="ff0000"/>
          <w:sz w:val="24"/>
          <w:szCs w:val="24"/>
        </w:rPr>
      </w:pPr>
      <w:r>
        <w:rPr>
          <w:rFonts w:hint="eastAsia" w:ascii="宋体" w:hAnsi="宋体"/>
          <w:color w:val="ff0000"/>
          <w:sz w:val="24"/>
          <w:szCs w:val="24"/>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25.1.11 投标文件未按照招标文件要求加盖CA</w:t>
      </w:r>
      <w:r>
        <w:rPr>
          <w:rFonts w:ascii="宋体" w:hAnsi="宋体"/>
          <w:bCs/>
          <w:color w:val="000000"/>
          <w:sz w:val="24"/>
          <w:szCs w:val="24"/>
        </w:rPr>
        <w:t xml:space="preserve">电子公章的</w:t>
      </w:r>
      <w:r>
        <w:rPr>
          <w:rFonts w:hint="eastAsia" w:ascii="宋体" w:hAnsi="宋体"/>
          <w:bCs/>
          <w:color w:val="000000"/>
          <w:sz w:val="24"/>
          <w:szCs w:val="24"/>
        </w:rPr>
        <w:t xml:space="preserve">。</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25.1.12其他法律、法规及本招标文件规定的属无效投标的情形。</w:t>
      </w:r>
      <w:r/>
    </w:p>
    <w:p>
      <w:pPr>
        <w:ind w:firstLine="480"/>
        <w:spacing w:line="400" w:lineRule="exact"/>
        <w:rPr>
          <w:rFonts w:ascii="宋体" w:hAnsi="宋体"/>
          <w:sz w:val="24"/>
          <w:szCs w:val="24"/>
        </w:rPr>
      </w:pPr>
      <w:r>
        <w:rPr>
          <w:rFonts w:hint="eastAsia" w:ascii="宋体" w:hAnsi="宋体"/>
          <w:sz w:val="24"/>
          <w:szCs w:val="24"/>
        </w:rPr>
        <w:t xml:space="preserve">25.2废标条款</w:t>
      </w:r>
      <w:r/>
    </w:p>
    <w:p>
      <w:pPr>
        <w:ind w:firstLine="480"/>
        <w:spacing w:line="400" w:lineRule="exact"/>
        <w:rPr>
          <w:rFonts w:ascii="宋体" w:hAnsi="宋体"/>
          <w:sz w:val="24"/>
          <w:szCs w:val="24"/>
        </w:rPr>
      </w:pPr>
      <w:r>
        <w:rPr>
          <w:rFonts w:hint="eastAsia" w:ascii="宋体" w:hAnsi="宋体"/>
          <w:sz w:val="24"/>
          <w:szCs w:val="24"/>
        </w:rPr>
        <w:t xml:space="preserve">25.2.1符合专业条件的供应商或者对招标文件作实质响应的供应商不足三家的。</w:t>
      </w:r>
      <w:r/>
    </w:p>
    <w:p>
      <w:pPr>
        <w:ind w:firstLine="480"/>
        <w:spacing w:line="400" w:lineRule="exact"/>
        <w:rPr>
          <w:rFonts w:ascii="宋体" w:hAnsi="宋体"/>
          <w:sz w:val="24"/>
          <w:szCs w:val="24"/>
        </w:rPr>
      </w:pPr>
      <w:r>
        <w:rPr>
          <w:rFonts w:hint="eastAsia" w:ascii="宋体" w:hAnsi="宋体"/>
          <w:sz w:val="24"/>
          <w:szCs w:val="24"/>
        </w:rPr>
        <w:t xml:space="preserve">25.2.2出现影响采购公正的违法、违规行为的。</w:t>
      </w:r>
      <w:r/>
    </w:p>
    <w:p>
      <w:pPr>
        <w:ind w:firstLine="480"/>
        <w:spacing w:line="400" w:lineRule="exact"/>
        <w:rPr>
          <w:rFonts w:ascii="宋体" w:hAnsi="宋体"/>
          <w:sz w:val="24"/>
          <w:szCs w:val="24"/>
        </w:rPr>
      </w:pPr>
      <w:r>
        <w:rPr>
          <w:rFonts w:hint="eastAsia" w:ascii="宋体" w:hAnsi="宋体"/>
          <w:sz w:val="24"/>
          <w:szCs w:val="24"/>
        </w:rPr>
        <w:t xml:space="preserve">25.2.3因重大变故，采购任务取消的。</w:t>
      </w:r>
      <w:r/>
    </w:p>
    <w:p>
      <w:pPr>
        <w:ind w:firstLine="480"/>
        <w:spacing w:line="400" w:lineRule="exact"/>
        <w:rPr>
          <w:rFonts w:ascii="宋体" w:hAnsi="宋体"/>
          <w:sz w:val="24"/>
          <w:szCs w:val="24"/>
        </w:rPr>
      </w:pPr>
      <w:r>
        <w:rPr>
          <w:rFonts w:hint="eastAsia" w:ascii="宋体" w:hAnsi="宋体"/>
          <w:sz w:val="24"/>
          <w:szCs w:val="24"/>
        </w:rPr>
        <w:t xml:space="preserve">25.2.4评委会认定招标文件存在歧义、重大缺陷导致评审工作无法进行。</w:t>
      </w:r>
      <w:r/>
    </w:p>
    <w:p>
      <w:pPr>
        <w:ind w:firstLine="480"/>
        <w:spacing w:line="400" w:lineRule="exact"/>
        <w:rPr>
          <w:rFonts w:ascii="宋体" w:hAnsi="宋体"/>
          <w:sz w:val="24"/>
          <w:szCs w:val="24"/>
        </w:rPr>
      </w:pPr>
      <w:r>
        <w:rPr>
          <w:rFonts w:hint="eastAsia" w:ascii="宋体" w:hAnsi="宋体"/>
          <w:sz w:val="24"/>
          <w:szCs w:val="24"/>
        </w:rPr>
        <w:t xml:space="preserve">25.2.5因苏采云系统系统故障原因造成开标不成功的。</w:t>
      </w:r>
      <w:r/>
    </w:p>
    <w:p>
      <w:pPr>
        <w:ind w:firstLine="480"/>
        <w:spacing w:line="400" w:lineRule="exact"/>
        <w:rPr>
          <w:rFonts w:ascii="宋体" w:hAnsi="宋体"/>
          <w:sz w:val="24"/>
          <w:szCs w:val="24"/>
        </w:rPr>
      </w:pPr>
      <w:r>
        <w:rPr>
          <w:rFonts w:hint="eastAsia" w:ascii="宋体" w:hAnsi="宋体"/>
          <w:sz w:val="24"/>
          <w:szCs w:val="24"/>
        </w:rPr>
        <w:t xml:space="preserve">25.3 投标截止时间结束后参加投标的供应商不足三家的处理：</w:t>
      </w:r>
      <w:r/>
    </w:p>
    <w:p>
      <w:pPr>
        <w:ind w:firstLine="480"/>
        <w:spacing w:line="400" w:lineRule="exact"/>
        <w:rPr>
          <w:rFonts w:ascii="宋体" w:hAnsi="宋体"/>
          <w:sz w:val="24"/>
          <w:szCs w:val="24"/>
        </w:rPr>
      </w:pPr>
      <w:r>
        <w:rPr>
          <w:rFonts w:hint="eastAsia" w:ascii="宋体" w:hAnsi="宋体"/>
          <w:sz w:val="24"/>
          <w:szCs w:val="24"/>
        </w:rPr>
        <w:t xml:space="preserve">25.3.1如出现投标截止时间结束后参加投标的供应商或者在评标期间对招标文件做出实质响应的供应商不足三家情况，按政府采购相关规定执行。</w:t>
      </w:r>
      <w:r/>
    </w:p>
    <w:p>
      <w:pPr>
        <w:ind w:firstLine="498"/>
        <w:spacing w:before="145" w:after="145" w:line="400" w:lineRule="atLeast"/>
        <w:rPr>
          <w:rFonts w:ascii="宋体" w:hAnsi="宋体" w:cs="宋体"/>
          <w:b/>
          <w:color w:val="000000"/>
          <w:sz w:val="32"/>
          <w:szCs w:val="21"/>
        </w:rPr>
        <w:pBdr>
          <w:top w:val="none" w:color="000000" w:sz="0" w:space="0"/>
          <w:left w:val="none" w:color="000000" w:sz="0" w:space="0"/>
          <w:bottom w:val="none" w:color="000000" w:sz="0" w:space="0"/>
          <w:right w:val="none" w:color="000000" w:sz="0" w:space="0"/>
        </w:pBdr>
      </w:pPr>
      <w:r/>
      <w:bookmarkStart w:id="165" w:name="_Toc120614219"/>
      <w:r>
        <w:rPr>
          <w:rFonts w:hint="eastAsia" w:ascii="宋体" w:hAnsi="宋体" w:cs="宋体"/>
          <w:b/>
          <w:color w:val="000000"/>
          <w:sz w:val="32"/>
          <w:szCs w:val="21"/>
        </w:rPr>
        <w:t xml:space="preserve">六、</w:t>
      </w:r>
      <w:bookmarkEnd w:id="162"/>
      <w:r/>
      <w:bookmarkEnd w:id="163"/>
      <w:r/>
      <w:bookmarkEnd w:id="164"/>
      <w:r>
        <w:rPr>
          <w:rFonts w:hint="eastAsia" w:ascii="宋体" w:hAnsi="宋体" w:cs="宋体"/>
          <w:b/>
          <w:color w:val="000000"/>
          <w:sz w:val="32"/>
          <w:szCs w:val="21"/>
        </w:rPr>
        <w:t xml:space="preserve">定标</w:t>
      </w:r>
      <w:bookmarkEnd w:id="165"/>
      <w:r/>
      <w:r/>
    </w:p>
    <w:p>
      <w:pPr>
        <w:pStyle w:val="962"/>
        <w:ind w:firstLine="600"/>
        <w:spacing w:before="0" w:after="0" w:line="400" w:lineRule="exact"/>
        <w:rPr>
          <w:rFonts w:ascii="黑体" w:hAnsi="宋体" w:cs="Times New Roman"/>
          <w:b w:val="0"/>
          <w:color w:val="000000"/>
          <w:sz w:val="30"/>
          <w:szCs w:val="30"/>
        </w:rPr>
      </w:pPr>
      <w:r/>
      <w:bookmarkStart w:id="166" w:name="_Toc513029238"/>
      <w:r/>
      <w:bookmarkStart w:id="167" w:name="_Toc20823310"/>
      <w:r/>
      <w:bookmarkStart w:id="168"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6"/>
      <w:r>
        <w:rPr>
          <w:rFonts w:hint="eastAsia" w:ascii="黑体" w:hAnsi="宋体" w:cs="Times New Roman"/>
          <w:b w:val="0"/>
          <w:color w:val="000000"/>
          <w:sz w:val="30"/>
          <w:szCs w:val="30"/>
        </w:rPr>
        <w:t xml:space="preserve">确定</w:t>
      </w:r>
      <w:bookmarkEnd w:id="167"/>
      <w:r/>
      <w:bookmarkEnd w:id="168"/>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26.1中标候选人的选取原则和数量见招标文件第五章规定。 </w:t>
      </w:r>
      <w:r/>
    </w:p>
    <w:p>
      <w:pPr>
        <w:ind w:firstLine="480"/>
        <w:spacing w:line="400" w:lineRule="exact"/>
        <w:rPr>
          <w:rFonts w:ascii="宋体" w:hAnsi="宋体"/>
          <w:bCs/>
          <w:color w:val="000000"/>
          <w:sz w:val="24"/>
          <w:szCs w:val="24"/>
        </w:rPr>
      </w:pPr>
      <w:r>
        <w:rPr>
          <w:rFonts w:hint="eastAsia" w:ascii="宋体" w:hAnsi="宋体"/>
          <w:bCs/>
          <w:color w:val="000000"/>
          <w:sz w:val="24"/>
          <w:szCs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w:t>
      </w:r>
      <w:r>
        <w:rPr>
          <w:rFonts w:hint="eastAsia" w:ascii="宋体" w:hAnsi="宋体"/>
          <w:color w:val="000000"/>
          <w:sz w:val="24"/>
          <w:szCs w:val="24"/>
        </w:rPr>
        <w:t xml:space="preserve">交易中心将在“江苏政府采购网、扬州市政府采购网，扬州市邗江区政府采购网”发布中标公告，公告期限为1个工作日。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9" w:name="_Toc200451960"/>
      <w:r>
        <w:rPr>
          <w:rFonts w:hint="eastAsia" w:ascii="宋体" w:hAnsi="宋体"/>
          <w:color w:val="000000"/>
          <w:sz w:val="24"/>
          <w:szCs w:val="24"/>
        </w:rPr>
        <w:t xml:space="preserve">26.5 有下列情形之一的，视为投标人串通投标，投标无效：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26.5.3不同投标人的投标文件载明的项目管理成员或者联系人员为同一人。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962"/>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9"/>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27.1提出质疑的供应商应当是参与所质疑项目采购活动的供应商。潜在供应商依法获取其可质疑的采购文件的，可以对采购文件提出质疑。</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27.2.1对可以质疑的采购文件提出质疑的，为收到采购文件之日或者采购文件公告期限届满之日；</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27.2.2对采购过程提出质疑的，为各采购程序环节结束之日；</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27.2.3对中标或者成交结果提出质疑的，为中标或者成交结果公告期限届满之日。</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27.5 以下情形的质疑不予受理</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27.5.4未参加投标活动的供应商或在投标活动中自身权益未受到损害的供应商所提出的质疑。</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962"/>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498"/>
        <w:spacing w:before="145" w:after="145" w:line="400" w:lineRule="atLeast"/>
        <w:rPr>
          <w:rFonts w:ascii="宋体" w:hAnsi="宋体" w:cs="宋体"/>
          <w:b/>
          <w:color w:val="000000"/>
          <w:sz w:val="32"/>
          <w:szCs w:val="21"/>
        </w:rPr>
        <w:pBdr>
          <w:top w:val="none" w:color="000000" w:sz="0" w:space="0"/>
          <w:left w:val="none" w:color="000000" w:sz="0" w:space="0"/>
          <w:bottom w:val="none" w:color="000000" w:sz="0" w:space="0"/>
          <w:right w:val="none" w:color="000000" w:sz="0" w:space="0"/>
        </w:pBdr>
      </w:pPr>
      <w:r/>
      <w:bookmarkStart w:id="170" w:name="_Toc16938552"/>
      <w:r/>
      <w:bookmarkStart w:id="171" w:name="_Toc513029236"/>
      <w:r/>
      <w:bookmarkStart w:id="172" w:name="_Toc20823308"/>
      <w:r/>
      <w:bookmarkStart w:id="173" w:name="_Toc120614220"/>
      <w:r>
        <w:rPr>
          <w:rFonts w:hint="eastAsia" w:ascii="宋体" w:hAnsi="宋体" w:cs="宋体"/>
          <w:b/>
          <w:color w:val="000000"/>
          <w:sz w:val="32"/>
          <w:szCs w:val="21"/>
        </w:rPr>
        <w:t xml:space="preserve">七、授予合同</w:t>
      </w:r>
      <w:bookmarkEnd w:id="170"/>
      <w:r/>
      <w:bookmarkEnd w:id="171"/>
      <w:r/>
      <w:bookmarkEnd w:id="172"/>
      <w:r/>
      <w:bookmarkEnd w:id="173"/>
      <w:r/>
      <w:r/>
    </w:p>
    <w:p>
      <w:pPr>
        <w:pStyle w:val="962"/>
        <w:ind w:firstLine="600"/>
        <w:spacing w:before="0" w:after="0" w:line="400" w:lineRule="exact"/>
        <w:rPr>
          <w:rFonts w:ascii="黑体" w:hAnsi="宋体" w:cs="Times New Roman"/>
          <w:b w:val="0"/>
          <w:color w:val="000000"/>
          <w:sz w:val="30"/>
          <w:szCs w:val="30"/>
        </w:rPr>
      </w:pPr>
      <w:r/>
      <w:bookmarkStart w:id="174" w:name="_Toc513029237"/>
      <w:r/>
      <w:bookmarkStart w:id="175" w:name="_Toc20823309"/>
      <w:r/>
      <w:bookmarkStart w:id="176"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29.2招标文件、中标供应商的投标文件及招标过程中有关澄清、承诺文件均应作为合同附件。</w:t>
      </w:r>
      <w:r/>
    </w:p>
    <w:p>
      <w:pPr>
        <w:ind w:firstLine="600"/>
        <w:spacing w:line="400" w:lineRule="exact"/>
        <w:rPr>
          <w:rFonts w:ascii="宋体" w:hAnsi="宋体"/>
          <w:bCs/>
          <w:color w:val="000000"/>
          <w:sz w:val="24"/>
          <w:szCs w:val="24"/>
        </w:rPr>
      </w:pPr>
      <w:r>
        <w:rPr>
          <w:rFonts w:hint="eastAsia" w:ascii="宋体" w:hAnsi="宋体"/>
          <w:color w:val="000000"/>
          <w:sz w:val="24"/>
          <w:szCs w:val="24"/>
        </w:rPr>
        <w:t xml:space="preserve">29.3签订合同后，中标供应商不得将合同标的进行转包。未经采购人同意，中标供应商也不得采用分包的形式履行合同，否则采购人有权终止合同。转包或分包造成采购人</w:t>
      </w:r>
      <w:r>
        <w:rPr>
          <w:rFonts w:hint="eastAsia" w:ascii="宋体" w:hAnsi="宋体"/>
          <w:bCs/>
          <w:color w:val="000000"/>
          <w:sz w:val="24"/>
          <w:szCs w:val="24"/>
        </w:rPr>
        <w:t xml:space="preserve">损失的，中标供应商应承担相应赔偿责任。</w:t>
      </w:r>
      <w:bookmarkEnd w:id="174"/>
      <w:r/>
      <w:bookmarkEnd w:id="175"/>
      <w:r/>
      <w:bookmarkEnd w:id="176"/>
      <w:r/>
      <w:r/>
    </w:p>
    <w:p>
      <w:pPr>
        <w:pStyle w:val="962"/>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30、政府采购履约资金扶持政策</w:t>
      </w:r>
      <w:r/>
    </w:p>
    <w:p>
      <w:pPr>
        <w:ind w:firstLine="600"/>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rPr>
          <w:color w:val="000000"/>
        </w:rPr>
      </w:pPr>
      <w:r>
        <w:rPr>
          <w:color w:val="000000"/>
        </w:rPr>
      </w:r>
      <w:r/>
    </w:p>
    <w:p>
      <w:pPr>
        <w:ind w:firstLine="420"/>
        <w:spacing w:line="400" w:lineRule="exact"/>
        <w:rPr>
          <w:color w:val="000000"/>
          <w:szCs w:val="21"/>
        </w:rPr>
      </w:pPr>
      <w:r>
        <w:rPr>
          <w:color w:val="000000"/>
          <w:szCs w:val="21"/>
        </w:rPr>
      </w:r>
      <w:r/>
    </w:p>
    <w:p>
      <w:pPr>
        <w:spacing w:line="500" w:lineRule="exact"/>
        <w:rPr>
          <w:rFonts w:ascii="宋体" w:hAnsi="宋体"/>
          <w:bCs/>
          <w:color w:val="000000"/>
          <w:sz w:val="24"/>
          <w:szCs w:val="24"/>
        </w:rPr>
      </w:pPr>
      <w:r>
        <w:rPr>
          <w:rFonts w:ascii="宋体" w:hAnsi="宋体"/>
          <w:bCs/>
          <w:color w:val="000000"/>
          <w:sz w:val="24"/>
          <w:szCs w:val="24"/>
        </w:rPr>
      </w:r>
      <w:r/>
    </w:p>
    <w:p>
      <w:pPr>
        <w:jc w:val="left"/>
        <w:widowControl/>
        <w:rPr>
          <w:rFonts w:ascii="黑体" w:eastAsia="黑体"/>
          <w:bCs/>
          <w:color w:val="000000"/>
          <w:sz w:val="44"/>
          <w:szCs w:val="28"/>
        </w:rPr>
      </w:pPr>
      <w:r>
        <w:rPr>
          <w:rFonts w:ascii="黑体" w:eastAsia="黑体"/>
          <w:bCs/>
          <w:color w:val="000000"/>
          <w:sz w:val="44"/>
          <w:szCs w:val="28"/>
        </w:rPr>
        <w:br w:type="page" w:clear="all"/>
      </w:r>
      <w:r/>
    </w:p>
    <w:p>
      <w:pPr>
        <w:ind w:firstLine="2640"/>
        <w:jc w:val="left"/>
        <w:keepNext/>
        <w:rPr>
          <w:rFonts w:ascii="黑体" w:eastAsia="黑体"/>
          <w:bCs/>
          <w:color w:val="000000"/>
          <w:sz w:val="44"/>
          <w:szCs w:val="28"/>
        </w:rPr>
        <w:outlineLvl w:val="0"/>
      </w:pPr>
      <w:r>
        <w:rPr>
          <w:rFonts w:hint="eastAsia" w:ascii="黑体" w:eastAsia="黑体"/>
          <w:bCs/>
          <w:color w:val="000000"/>
          <w:sz w:val="44"/>
          <w:szCs w:val="28"/>
        </w:rPr>
        <w:t xml:space="preserve">第三章  合同</w:t>
      </w:r>
      <w:bookmarkEnd w:id="50"/>
      <w:r/>
      <w:bookmarkEnd w:id="51"/>
      <w:r/>
      <w:bookmarkEnd w:id="52"/>
      <w:r/>
      <w:bookmarkEnd w:id="53"/>
      <w:r/>
      <w:bookmarkEnd w:id="54"/>
      <w:r>
        <w:rPr>
          <w:rFonts w:hint="eastAsia" w:ascii="黑体" w:eastAsia="黑体"/>
          <w:bCs/>
          <w:color w:val="000000"/>
          <w:sz w:val="44"/>
          <w:szCs w:val="28"/>
        </w:rPr>
        <w:t xml:space="preserve">文本</w:t>
      </w:r>
      <w:r/>
    </w:p>
    <w:p>
      <w:pPr>
        <w:pStyle w:val="705"/>
        <w:jc w:val="center"/>
        <w:rPr>
          <w:rFonts w:ascii="宋体" w:hAnsi="宋体" w:eastAsia="宋体" w:cs="宋体"/>
          <w:b/>
          <w:bCs/>
          <w:spacing w:val="-20"/>
          <w:sz w:val="32"/>
          <w:szCs w:val="32"/>
        </w:rPr>
      </w:pPr>
      <w:r/>
      <w:bookmarkStart w:id="177" w:name="_Hlt16619350"/>
      <w:r/>
      <w:bookmarkStart w:id="178" w:name="_Toc20823346"/>
      <w:r/>
      <w:bookmarkStart w:id="179" w:name="_Toc120614244"/>
      <w:r/>
      <w:bookmarkStart w:id="180" w:name="_Toc16938590"/>
      <w:r/>
      <w:bookmarkStart w:id="181" w:name="_Toc479757211"/>
      <w:r/>
      <w:bookmarkStart w:id="182" w:name="_Toc462564139"/>
      <w:r/>
      <w:r/>
    </w:p>
    <w:p>
      <w:pPr>
        <w:pStyle w:val="70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05"/>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2239" w:hanging="1680"/>
        <w:spacing w:line="400" w:lineRule="exact"/>
        <w:rPr>
          <w:rFonts w:ascii="宋体" w:hAnsi="宋体" w:cs="宋体"/>
          <w:sz w:val="28"/>
          <w:szCs w:val="28"/>
          <w:u w:val="single"/>
        </w:rPr>
      </w:pPr>
      <w:r>
        <w:rPr>
          <w:rFonts w:hint="eastAsia" w:ascii="宋体" w:hAnsi="宋体" w:cs="宋体"/>
          <w:sz w:val="28"/>
          <w:szCs w:val="28"/>
        </w:rPr>
        <w:t xml:space="preserve">项目名称：</w:t>
      </w:r>
      <w:r>
        <w:rPr>
          <w:rFonts w:hint="eastAsia"/>
          <w:sz w:val="28"/>
          <w:szCs w:val="28"/>
          <w:u w:val="single"/>
        </w:rPr>
        <w:t xml:space="preserve"> </w:t>
      </w:r>
      <w:r>
        <w:rPr>
          <w:rFonts w:hint="eastAsia" w:ascii="宋体" w:hAnsi="宋体" w:cs="宋体"/>
          <w:sz w:val="28"/>
          <w:szCs w:val="28"/>
          <w:u w:val="single"/>
        </w:rPr>
        <w:t xml:space="preserve">扬州市邗江区劳动就业服务中心人社基层信息发布终端（含软件）项目</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44"/>
          <w:szCs w:val="44"/>
        </w:rPr>
      </w:r>
      <w:r/>
    </w:p>
    <w:p>
      <w:pPr>
        <w:pStyle w:val="688"/>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spacing w:line="400" w:lineRule="exact"/>
        <w:rPr>
          <w:rFonts w:ascii="黑体" w:hAnsi="华文中宋" w:eastAsia="黑体"/>
          <w:sz w:val="28"/>
          <w:szCs w:val="28"/>
        </w:rPr>
      </w:pPr>
      <w:r>
        <w:rPr>
          <w:rFonts w:ascii="黑体" w:hAnsi="华文中宋" w:eastAsia="黑体"/>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ascii="Segoe UI" w:hAnsi="Segoe UI" w:eastAsia="Segoe UI" w:cs="Segoe UI"/>
          <w:szCs w:val="21"/>
          <w:u w:val="single"/>
          <w:shd w:val="clear" w:color="auto" w:fill="ffffff"/>
        </w:rPr>
        <w:t xml:space="preserve">扬州市邗江区劳动就业服务中心</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709"/>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2"/>
        <w:spacing w:line="400" w:lineRule="exact"/>
        <w:rPr>
          <w:rFonts w:ascii="宋体" w:hAnsi="宋体"/>
          <w:b/>
          <w:szCs w:val="21"/>
        </w:rPr>
      </w:pPr>
      <w:r>
        <w:rPr>
          <w:rFonts w:hint="eastAsia" w:ascii="宋体" w:hAnsi="宋体"/>
          <w:b/>
          <w:szCs w:val="21"/>
        </w:rPr>
        <w:t xml:space="preserve">项目信息</w:t>
      </w:r>
      <w:r/>
    </w:p>
    <w:p>
      <w:pPr>
        <w:pStyle w:val="709"/>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Segoe UI" w:hAnsi="Segoe UI" w:eastAsia="Segoe UI" w:cs="Segoe UI"/>
          <w:szCs w:val="21"/>
          <w:u w:val="single"/>
          <w:shd w:val="clear" w:color="auto" w:fill="ffffff"/>
        </w:rPr>
        <w:t xml:space="preserve">扬州市邗江区劳动就业服务中心人社基层信息发布终端（含软件）项目</w:t>
      </w:r>
      <w:r>
        <w:rPr>
          <w:rFonts w:ascii="宋体" w:hAnsi="宋体"/>
          <w:szCs w:val="21"/>
          <w:u w:val="single"/>
        </w:rPr>
        <w:t xml:space="preserve"> </w:t>
      </w:r>
      <w:r/>
    </w:p>
    <w:p>
      <w:pPr>
        <w:pStyle w:val="709"/>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JSZC-321003-JZCG-G2025-00</w:t>
      </w:r>
      <w:r>
        <w:rPr>
          <w:rFonts w:hint="eastAsia" w:ascii="宋体" w:hAnsi="宋体"/>
          <w:szCs w:val="21"/>
          <w:u w:val="single"/>
        </w:rPr>
        <w:t xml:space="preserve">22   </w:t>
      </w:r>
      <w:r>
        <w:rPr>
          <w:rFonts w:ascii="宋体" w:hAnsi="宋体"/>
          <w:szCs w:val="21"/>
          <w:u w:val="single"/>
        </w:rPr>
        <w:t xml:space="preserve">       </w:t>
      </w:r>
      <w:r/>
    </w:p>
    <w:p>
      <w:pPr>
        <w:pStyle w:val="709"/>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5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59"/>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59"/>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5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59"/>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59"/>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59"/>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59"/>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59"/>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59"/>
        <w:ind w:firstLine="220"/>
        <w:rPr>
          <w:rFonts w:ascii="宋体" w:hAnsi="宋体" w:eastAsia="宋体" w:cs="Times New Roman"/>
          <w:sz w:val="21"/>
        </w:rPr>
      </w:pPr>
      <w:r>
        <w:rPr>
          <w:rFonts w:hint="eastAsia" w:ascii="宋体" w:hAnsi="宋体"/>
        </w:rPr>
        <w:t xml:space="preserve"> （</w:t>
      </w:r>
      <w:r>
        <w:rPr>
          <w:rFonts w:ascii="宋体" w:hAnsi="宋体"/>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59"/>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59"/>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59"/>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59"/>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27"/>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分期付款：</w:t>
      </w:r>
      <w:r/>
    </w:p>
    <w:p>
      <w:pPr>
        <w:ind w:firstLine="480"/>
        <w:spacing w:before="120" w:after="120" w:line="85" w:lineRule="atLeast"/>
        <w:rPr>
          <w:rFonts w:ascii="宋体" w:hAnsi="宋体" w:cs="宋体"/>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1、合同签订后</w:t>
      </w:r>
      <w:r>
        <w:rPr>
          <w:rFonts w:hint="eastAsia" w:asciiTheme="minorEastAsia" w:hAnsiTheme="minorEastAsia" w:eastAsiaTheme="minorEastAsia"/>
          <w:color w:val="000000"/>
          <w:szCs w:val="21"/>
          <w:u w:val="single"/>
        </w:rPr>
        <w:t xml:space="preserve">，</w:t>
      </w:r>
      <w:r>
        <w:rPr>
          <w:rFonts w:hint="eastAsia" w:ascii="宋体" w:hAnsi="宋体" w:cs="宋体"/>
          <w:color w:val="000000"/>
          <w:szCs w:val="21"/>
          <w:u w:val="single"/>
        </w:rPr>
        <w:t xml:space="preserve">甲方自收到乙方的发票1</w:t>
      </w:r>
      <w:r>
        <w:rPr>
          <w:rFonts w:ascii="宋体" w:hAnsi="宋体" w:cs="宋体"/>
          <w:color w:val="000000"/>
          <w:szCs w:val="21"/>
          <w:u w:val="single"/>
        </w:rPr>
        <w:t xml:space="preserve">0</w:t>
      </w:r>
      <w:r>
        <w:rPr>
          <w:rFonts w:hint="eastAsia" w:ascii="宋体" w:hAnsi="宋体" w:cs="宋体"/>
          <w:color w:val="000000"/>
          <w:szCs w:val="21"/>
          <w:u w:val="single"/>
        </w:rPr>
        <w:t xml:space="preserve">个工作日内支付项目合同价的</w:t>
      </w:r>
      <w:r>
        <w:rPr>
          <w:rFonts w:hint="eastAsia" w:eastAsia="Times New Roman"/>
          <w:color w:val="000000"/>
          <w:szCs w:val="21"/>
          <w:u w:val="single"/>
        </w:rPr>
        <w:t xml:space="preserve">30%</w:t>
      </w:r>
      <w:r>
        <w:rPr>
          <w:rFonts w:hint="eastAsia" w:ascii="宋体" w:hAnsi="宋体" w:cs="宋体"/>
          <w:color w:val="000000"/>
          <w:szCs w:val="21"/>
          <w:u w:val="single"/>
        </w:rPr>
        <w:t xml:space="preserve">，</w:t>
      </w:r>
      <w:r/>
    </w:p>
    <w:p>
      <w:pPr>
        <w:ind w:firstLine="420"/>
        <w:jc w:val="left"/>
        <w:spacing w:line="380" w:lineRule="exact"/>
        <w:widowControl/>
        <w:rPr>
          <w:rFonts w:ascii="宋体" w:hAnsi="宋体" w:cs="宋体"/>
          <w:color w:val="000000"/>
          <w:szCs w:val="21"/>
          <w:u w:val="single"/>
        </w:rPr>
      </w:pPr>
      <w:r>
        <w:rPr>
          <w:rFonts w:hint="eastAsia" w:ascii="宋体" w:hAnsi="宋体" w:cs="宋体"/>
          <w:color w:val="000000"/>
          <w:szCs w:val="21"/>
          <w:u w:val="single"/>
        </w:rPr>
        <w:t xml:space="preserve">2、主要设备到货安装调试完毕后，甲方自收到乙方的发票10个工作日内支付项目至合同价的70%，验收合格后，甲方自收到乙方的发票10个工作日内支付剩余尾款。</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p>
    <w:p>
      <w:pPr>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59"/>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无                    </w:t>
      </w:r>
      <w:r/>
    </w:p>
    <w:p>
      <w:pPr>
        <w:pStyle w:val="959"/>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无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无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5"/>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rPr>
        <w:t xml:space="preserve">/</w:t>
      </w:r>
      <w:r>
        <w:rPr>
          <w:rFonts w:hint="eastAsia" w:ascii="宋体" w:hAnsi="宋体"/>
          <w:bCs/>
          <w:szCs w:val="21"/>
          <w:u w:val="single"/>
        </w:rPr>
        <w:t xml:space="preserve">分项验收的工作安排）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59"/>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59"/>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spacing w:line="400" w:lineRule="exact"/>
        <w:rPr>
          <w:rFonts w:ascii="宋体" w:hAnsi="宋体"/>
          <w:szCs w:val="21"/>
        </w:rPr>
      </w:pPr>
      <w:r>
        <w:t xml:space="preserve">   </w:t>
      </w:r>
      <w:r/>
    </w:p>
    <w:p>
      <w:pPr>
        <w:pStyle w:val="927"/>
        <w:rPr>
          <w:lang w:eastAsia="zh-CN"/>
        </w:rPr>
      </w:pPr>
      <w:r>
        <w:rPr>
          <w:lang w:eastAsia="zh-CN"/>
        </w:rPr>
      </w:r>
      <w:r/>
    </w:p>
    <w:tbl>
      <w:tblPr>
        <w:tblStyle w:val="697"/>
        <w:tblW w:w="8181"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42"/>
        <w:gridCol w:w="2350"/>
        <w:gridCol w:w="1927"/>
        <w:gridCol w:w="2062"/>
      </w:tblGrid>
      <w:tr>
        <w:trPr>
          <w:trHeight w:val="490"/>
        </w:trPr>
        <w:tc>
          <w:tcPr>
            <w:gridSpan w:val="2"/>
            <w:tcBorders>
              <w:bottom w:val="single" w:color="auto" w:sz="2" w:space="0"/>
              <w:right w:val="single" w:color="auto" w:sz="2" w:space="0"/>
            </w:tcBorders>
            <w:tcW w:w="4192"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3989"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42"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350"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4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350"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181" w:type="dxa"/>
            <w:vAlign w:val="center"/>
            <w:textDirection w:val="lrTb"/>
            <w:noWrap w:val="false"/>
          </w:tcPr>
          <w:p>
            <w:pPr>
              <w:pStyle w:val="70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688"/>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59"/>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14"/>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14"/>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59"/>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9"/>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59"/>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59"/>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59"/>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9"/>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59"/>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59"/>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59"/>
        <w:ind w:firstLine="420"/>
        <w:jc w:val="both"/>
        <w:rPr>
          <w:rFonts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59"/>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5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688"/>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69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59"/>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705"/>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05"/>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7"/>
      <w:r>
        <w:rPr>
          <w:rFonts w:hint="eastAsia" w:ascii="黑体" w:hAnsi="Courier New" w:eastAsia="黑体" w:cs="Courier New"/>
          <w:bCs/>
          <w:color w:val="000000"/>
          <w:sz w:val="44"/>
          <w:szCs w:val="21"/>
        </w:rPr>
        <w:t xml:space="preserve">四章 采购需求</w:t>
      </w:r>
      <w:bookmarkEnd w:id="178"/>
      <w:r/>
      <w:bookmarkEnd w:id="179"/>
      <w:r/>
      <w:bookmarkEnd w:id="180"/>
      <w:r/>
      <w:r/>
    </w:p>
    <w:p>
      <w:pPr>
        <w:spacing w:line="0" w:lineRule="atLeast"/>
        <w:rPr>
          <w:rFonts w:ascii="宋体" w:hAnsi="宋体"/>
          <w:b/>
          <w:color w:val="000000"/>
          <w:sz w:val="24"/>
          <w:szCs w:val="24"/>
        </w:rPr>
      </w:pPr>
      <w:r/>
      <w:bookmarkStart w:id="183" w:name="_Toc26554093"/>
      <w:r/>
      <w:bookmarkStart w:id="184" w:name="_Toc49090575"/>
      <w:r/>
      <w:r/>
    </w:p>
    <w:p>
      <w:pPr>
        <w:ind w:firstLine="480"/>
        <w:spacing w:line="360" w:lineRule="auto"/>
        <w:rPr>
          <w:bCs/>
          <w:iCs/>
          <w:sz w:val="24"/>
          <w:szCs w:val="24"/>
        </w:rPr>
      </w:pPr>
      <w:r/>
      <w:bookmarkStart w:id="185" w:name="_Toc120614281"/>
      <w:r>
        <w:rPr>
          <w:rFonts w:hint="eastAsia"/>
          <w:bCs/>
          <w:iCs/>
          <w:sz w:val="24"/>
          <w:szCs w:val="24"/>
        </w:rPr>
        <w:t xml:space="preserve">项目属性：货物类项目。</w:t>
      </w:r>
      <w:r/>
    </w:p>
    <w:p>
      <w:pPr>
        <w:pStyle w:val="688"/>
        <w:jc w:val="left"/>
        <w:spacing w:before="120" w:after="0" w:line="280" w:lineRule="exac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sz w:val="24"/>
          <w:szCs w:val="24"/>
        </w:rPr>
        <w:t xml:space="preserve">一、其他要求</w:t>
      </w:r>
      <w:r/>
    </w:p>
    <w:p>
      <w:pPr>
        <w:ind w:firstLine="482"/>
        <w:spacing w:before="120" w:line="360" w:lineRule="auto"/>
        <w:rPr>
          <w:bCs/>
          <w:iCs/>
          <w:sz w:val="24"/>
          <w:szCs w:val="24"/>
        </w:rPr>
      </w:pPr>
      <w:r>
        <w:rPr>
          <w:rFonts w:hint="eastAsia"/>
          <w:bCs/>
          <w:iCs/>
          <w:sz w:val="24"/>
          <w:szCs w:val="24"/>
        </w:rPr>
        <w:t xml:space="preserve">1、严格执行政府采购关于支持节能产品、环境</w:t>
      </w:r>
      <w:r>
        <w:rPr>
          <w:rFonts w:hint="eastAsia"/>
          <w:bCs/>
          <w:iCs/>
          <w:sz w:val="24"/>
          <w:szCs w:val="24"/>
        </w:rPr>
        <w:t xml:space="preserve">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本项目节能产品</w:t>
      </w:r>
      <w:r>
        <w:rPr>
          <w:rFonts w:hint="eastAsia"/>
          <w:bCs/>
          <w:iCs/>
          <w:color w:val="ff0000"/>
          <w:sz w:val="24"/>
          <w:szCs w:val="24"/>
        </w:rPr>
        <w:t xml:space="preserve">：无</w:t>
      </w:r>
      <w:r>
        <w:rPr>
          <w:rFonts w:hint="eastAsia"/>
          <w:b/>
          <w:bCs/>
          <w:iCs/>
          <w:color w:val="ff0000"/>
          <w:sz w:val="24"/>
          <w:szCs w:val="24"/>
        </w:rPr>
        <w:t xml:space="preserve">。</w:t>
      </w:r>
      <w:r/>
    </w:p>
    <w:p>
      <w:pPr>
        <w:ind w:firstLine="482"/>
        <w:spacing w:before="120" w:line="360" w:lineRule="auto"/>
        <w:rPr>
          <w:bCs/>
          <w:iCs/>
          <w:sz w:val="24"/>
          <w:szCs w:val="24"/>
        </w:rPr>
      </w:pPr>
      <w:r>
        <w:rPr>
          <w:rFonts w:hint="eastAsia"/>
          <w:bCs/>
          <w:iCs/>
          <w:sz w:val="24"/>
          <w:szCs w:val="24"/>
        </w:rPr>
        <w:t xml:space="preserve">2、供应商对于投标产品的包装应按照“财办库〔2020〕123号《关于印发《商品装政府采购需求标准（试行）》、《快递包装政府采购需求标准（试行）》的通知》”执行。</w:t>
      </w:r>
      <w:r/>
    </w:p>
    <w:p>
      <w:pPr>
        <w:ind w:firstLine="422"/>
        <w:spacing w:line="360" w:lineRule="auto"/>
        <w:rPr>
          <w:rFonts w:ascii="宋体" w:hAnsi="宋体" w:cs="宋体"/>
          <w:b/>
          <w:iCs/>
          <w:szCs w:val="21"/>
        </w:rPr>
      </w:pPr>
      <w:r>
        <w:rPr>
          <w:rFonts w:hint="eastAsia" w:ascii="宋体" w:hAnsi="宋体" w:cs="宋体"/>
          <w:b/>
          <w:iCs/>
          <w:szCs w:val="21"/>
        </w:rPr>
        <w:t xml:space="preserve">二、核心产品</w:t>
      </w:r>
      <w:r/>
    </w:p>
    <w:p>
      <w:pPr>
        <w:ind w:firstLine="422"/>
        <w:spacing w:line="360" w:lineRule="auto"/>
        <w:rPr>
          <w:rFonts w:ascii="宋体" w:hAnsi="宋体" w:cs="宋体"/>
          <w:b/>
          <w:iCs/>
          <w:szCs w:val="21"/>
        </w:rPr>
      </w:pPr>
      <w:r>
        <w:rPr>
          <w:rFonts w:hint="eastAsia" w:ascii="宋体" w:hAnsi="宋体" w:cs="宋体"/>
          <w:b/>
          <w:iCs/>
          <w:szCs w:val="21"/>
        </w:rPr>
        <w:t xml:space="preserve">核心产品：人社自助查询打印一体机系统</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三、采购标的对应的中小企业划分标准所属行业一览表</w:t>
      </w:r>
      <w:r/>
    </w:p>
    <w:tbl>
      <w:tblPr>
        <w:tblStyle w:val="697"/>
        <w:tblW w:w="94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4198"/>
        <w:gridCol w:w="4338"/>
      </w:tblGrid>
      <w:tr>
        <w:trPr>
          <w:cantSplit/>
          <w:trHeight w:val="466"/>
        </w:trPr>
        <w:tc>
          <w:tcPr>
            <w:tcW w:w="913"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序号</w:t>
            </w:r>
            <w:r/>
          </w:p>
        </w:tc>
        <w:tc>
          <w:tcPr>
            <w:tcW w:w="4198"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采购标的</w:t>
            </w:r>
            <w:r/>
          </w:p>
        </w:tc>
        <w:tc>
          <w:tcPr>
            <w:tcW w:w="4338"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对应中小企业划分标准所属行业</w:t>
            </w:r>
            <w:r/>
          </w:p>
        </w:tc>
      </w:tr>
      <w:tr>
        <w:trPr>
          <w:cantSplit/>
          <w:trHeight w:val="431"/>
        </w:trPr>
        <w:tc>
          <w:tcPr>
            <w:tcW w:w="91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4198" w:type="dxa"/>
            <w:vAlign w:val="center"/>
            <w:textDirection w:val="lrTb"/>
            <w:noWrap w:val="false"/>
          </w:tcPr>
          <w:p>
            <w:pPr>
              <w:jc w:val="center"/>
              <w:rPr>
                <w:rFonts w:ascii="宋体" w:hAnsi="宋体" w:cs="宋体"/>
                <w:sz w:val="24"/>
                <w:szCs w:val="24"/>
              </w:rPr>
            </w:pPr>
            <w:r>
              <w:rPr>
                <w:rFonts w:ascii="Segoe UI" w:hAnsi="Segoe UI" w:eastAsia="Segoe UI" w:cs="Segoe UI"/>
                <w:szCs w:val="21"/>
                <w:shd w:val="clear" w:color="auto" w:fill="ffffff"/>
              </w:rPr>
              <w:t xml:space="preserve">扬州市邗江区劳动就业服务中心人社基层信息发布终端（含软件）项目</w:t>
            </w:r>
            <w:r/>
          </w:p>
        </w:tc>
        <w:tc>
          <w:tcPr>
            <w:tcW w:w="433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工业</w:t>
            </w:r>
            <w:r/>
          </w:p>
        </w:tc>
      </w:tr>
    </w:tbl>
    <w:p>
      <w:pPr>
        <w:numPr>
          <w:ilvl w:val="0"/>
          <w:numId w:val="12"/>
        </w:numPr>
        <w:ind w:firstLine="480"/>
        <w:jc w:val="left"/>
        <w:spacing w:line="380" w:lineRule="exact"/>
        <w:widowControl/>
      </w:pPr>
      <w:r>
        <w:rPr>
          <w:rFonts w:ascii="黑体" w:hAnsi="黑体" w:eastAsia="黑体" w:cs="Arial"/>
          <w:color w:val="1f2329"/>
          <w:sz w:val="24"/>
          <w:szCs w:val="24"/>
          <w:shd w:val="clear" w:color="auto" w:fill="ffffff"/>
        </w:rPr>
        <w:t xml:space="preserve">项目规范</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1.人社自助查询打印一体机需符合人社部社会保障卡规范、省人社厅《统一公共服务外设对接规范》；</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2.身份证阅读器需通过公安部认证，符合国家标准及ISO14443、ISO15693、ISO7816、PC/SC标准；</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3.LED显示屏及配套设备需符合国家电子设备质量标准、安全标准及行业规范；</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4.所有产品符合国家环保要求，无禁止使用的有害物质。</w:t>
      </w:r>
      <w:r/>
    </w:p>
    <w:p>
      <w:pPr>
        <w:ind w:firstLine="480"/>
        <w:jc w:val="left"/>
        <w:spacing w:line="380" w:lineRule="exact"/>
        <w:widowControl/>
        <w:rPr>
          <w:rFonts w:ascii="黑体" w:hAnsi="黑体" w:eastAsia="黑体" w:cs="Arial"/>
          <w:color w:val="1f2329"/>
          <w:sz w:val="24"/>
          <w:szCs w:val="24"/>
          <w:shd w:val="clear" w:color="auto" w:fill="ffffff"/>
        </w:rPr>
      </w:pPr>
      <w:r>
        <w:rPr>
          <w:rFonts w:hint="eastAsia" w:ascii="黑体" w:hAnsi="黑体" w:eastAsia="黑体" w:cs="Arial"/>
          <w:color w:val="1f2329"/>
          <w:sz w:val="24"/>
          <w:szCs w:val="24"/>
          <w:shd w:val="clear" w:color="auto" w:fill="ffffff"/>
        </w:rPr>
        <w:t xml:space="preserve">五、项目清单及技术参数要求</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1.数量要求：人社自助查询打印一体机系统集成4套；7.31平方国产室内全彩LED显示屏1套、6.41平方国产室内全彩LED显示屏2套、8.61平方国产室内全彩LED显示屏1套，各规格LED显示屏均含配套视频控制系统、多媒体控制器及施工服务（含骨架、装饰、线缆铺设）；</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2.项目目标：通过部署自助查询打印设备与LED信息发布设备，实现群众人社信息自助查询、证明打印、政策及招聘信息展示等功能，提升基层人社服务效率</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3.质量要求：所有产品须为全新原装正品，符合招标文件规定的技术参数，无质量瑕疵；设备平均无故障工作时间（MTBF）≥5000小时；质保期内，产品出现质量问题，中标人需免费维修或更换；</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4.安全要求：人社自助查询打印一体机采用大堂式全钢制流线型柜体，高度不低于1.8m，具备防尘、防水、防暴特性；触摸屏防清洁剂、防腐蚀、防爆；所有设备电气性能符合国家电气安全标准，具备过压保护功能。</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5.质保期：1年</w:t>
      </w:r>
      <w:r/>
    </w:p>
    <w:p>
      <w:pPr>
        <w:pStyle w:val="698"/>
      </w:pPr>
      <w:r/>
      <w:r/>
    </w:p>
    <w:p>
      <w:pPr>
        <w:ind w:firstLine="420"/>
        <w:spacing w:line="3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具体项目清单及技术参数要求如下：</w:t>
      </w:r>
      <w:r/>
    </w:p>
    <w:tbl>
      <w:tblPr>
        <w:tblStyle w:val="697"/>
        <w:tblW w:w="908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4"/>
        <w:gridCol w:w="1710"/>
        <w:gridCol w:w="700"/>
        <w:gridCol w:w="5969"/>
      </w:tblGrid>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名称</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参数要求</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人社自助查询打印一体机系统</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4套</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▲通过身份证、社保卡、电子社保卡、永居证登录查询个人社保基本信息（提供证明，截图或照片复印件加盖投标人公章）；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▲养老待遇发放查询（提供证明，截图或照片复印件加盖投标人公章）；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工伤待遇发放查询；</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离退休状态查询；</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▲养老保险缴费记录查询（提供证明，截图或照片复印件加盖投标人公章）；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▲工伤保险缴费记录查询（提供证明，截图或照片复印件加盖投标人公章）；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▲失业保险缴费记录查询（提供证明，截图或照片复印件加盖投标人公章）；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▲居民待遇人员发放信息查询（提供证明，截图或照片复印件加盖投标人公章）；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▲居民人员参保信息查询（提供证明，截图或照片复印件加盖投标人公章）；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▲居民人员缴费记录查询（提供证明，截图或照片复印件加盖投标人公章）；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过渡性养老金调整信息查询；</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▲个人参保证明打印（提供证明，截图或照片复印件加盖投标人公章）；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▲展示招聘会列表（提供证明，截图或照片复印件加盖投标人公章）；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▲展示职位列表（提供证明，截图或照片复印件加盖投标人公章）；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培训报名查询；</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培训证书查询；</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失业保险待遇领取信息查询；</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失业保险参保信息查询；</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失业登记查询；</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灵活就业人员社保补贴查询；</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就业创业证查询；</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制卡进度查询；</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▲社保卡信息查询（提供证明，截图或照片复印件加盖投标人公章）；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▲社保卡服务网点查询（提供证明，截图或照片复印件加盖投标人公章）；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在列表中展示附近的人社机构和社银合作网点信息；</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在地图上查询附近的人社机构和社银合作网点信息位置；就业创业、社会保险、人事人才、劳动关系最新的人社相关政策文件；</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就业创业、社会保险、人事人才各类办事指南、服务流程；</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查询各地区档案机构信息；</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在主程序中控制第二块液晶广告屏显示信息，自动获取展示的综合信息；</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展示内容为各级管理员在后台发布的设备操作指南、信息资讯、最新通知等；</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支持节目模版播放，媒体格式包括视频、文字、网页等；</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管理员发布新版本后，设备启动时自动升级；</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▲CPU：六核GPU主频1.8G（提供证明，截图或照片复印件加盖投标人公章）;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▲内存：≥4G（提供证明，截图或照片复印件加盖投标人公章）;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▲存储器：NANDFLASH≥32G（提供证明，截图或照片复印件加盖投标人公章）;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主板：工业级主板;</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接口：支持多种PCI-E3G/4G模块,支持5G模块;支持3840x2160的4K解码;支持LVDS/eDP/HDMIOUT等接口的LCD显示屏、裁剪屏，支持双屏异显;支持5G和2.4GWIFI，独立双天线；支持1000M网口;≥12个USB接口,1路485接口,4路可扩展串口（1路TTL，3路RS232）,GPIO及ADC接口；</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▲显示器：尺寸≥21.5寸（提供证明，截图或照片复印件加盖投标人公章）;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▲分辨率：≥1920*1080（提供证明，截图或照片复印件加盖投标人公章）;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平均亮度：600cd/㎡;</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黑白响应时间：&lt;10ms;</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色彩（真彩）16位颜色。</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触摸屏：尺寸≥21.5寸;</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触控技术：电容式;</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分辨率：≥4096*4096；</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每点触摸寿命500万次，无飘移;</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安全特性：防清洁剂、防腐蚀、防爆。</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▲支持符合人社部社会保障卡规范的一、二、三代社保卡的读写，符合省人社厅《统一公共服务外设对接规范》（提供证明，截图或照片复印件加盖投标人公章）。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工作环境：工作温度-10~50oC;相对湿度5%~93%，无冷凝；</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供卡电流：0~70mA；</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接触式卡：支持符合ISO7816标准的接触式IC卡，卡座插拔卡寿命至少20万次；</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SAM卡座：标配2个，可选配1~2个符合GSM11.11的Sim卡的卡尺寸SAM卡座；</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存储容量：选配16M、32M、64M或定制</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通讯方式：支持USB、RS232</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电源：DC5V，带过压保护</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遵循标准：ISO14443、ISO15693、ISO7816、PC/SC</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▲身份证阅读器：通过公安部认证；货物符合国家标准，结合应用软件实现二代身份证信息的正确读取（提供有资质的第三方检测机构出具的检测报告复印件加盖投标人公章）；</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天线谐振频率：13.56MHz;</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天线能量输出：天线表面磁场强度（Hmax）≤7.5A/mrms;天线表面法线方向5cm处电磁场强度（Hmin）≥1.5A/mrms;</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阅读（验证）机具到居民身份证调制输出:比特率：106Kbit/s（fc/128）;</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调制方式：ASK调制;</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调制系数：8%～14%;</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编码方式：NRZ-L;</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采用副载波调制：副载波频率（fs）847KHz;</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副载波调制方式：BPSK;</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通讯接口：USB;</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阅读距离：不小于5cm;</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读卡时间：≤1秒;</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使用环境：工作温度：0℃～50℃;</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相对湿度：20%～90%。大气压力：86KPa～110KPa;</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可靠性：平均无故障工作时间（MTBF）≥5000小时;</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适用平台：适用于windows/android平台</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彩色≥300万像素，支持监控拍摄;</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人脸识别摄像头≥200万像素，实现高清人像采集、人脸识别功能;</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采集及认证响应时间小于1秒，可进行生物识别实名制认证;</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彩色打印：支持;</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打印速度：≥30ppm;</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最高分辨率：≥600dpi;</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打印纸张：支持A4打印纸;</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自带纸盒：标配250页纸盒;</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接口方式：USB;</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以太网接口：1000BASE-T/100BASE-TX/10BASE-T;</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无线接口：IEEE802.11b/g/n(Wi-Fi4);</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无线直连：支持;</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网络协议：TCP/IPv4,TCP/IPv6;</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标准RS232串口通讯、USB通讯;</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整体设计可实现防尘，防水、防暴;</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采用大堂式全钢制流线型柜体工艺，高度不低于1.8m；立式，防暴、耐磨，带音响、风扇；</w:t>
            </w:r>
            <w:r/>
          </w:p>
          <w:p>
            <w:pPr>
              <w:spacing w:line="380" w:lineRule="exact"/>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rPr>
              <w:t xml:space="preserve">搭载支持与江苏省人社公共服务系统对接软件</w:t>
            </w:r>
            <w:r>
              <w:rPr>
                <w:rFonts w:hint="eastAsia" w:cs="宋体" w:asciiTheme="minorEastAsia" w:hAnsiTheme="minorEastAsia" w:eastAsiaTheme="minorEastAsia"/>
                <w:sz w:val="24"/>
                <w:szCs w:val="24"/>
                <w:lang w:eastAsia="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国产室内全彩LED显示屏（7.31平方）</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1套</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1、LED封装：表贴三合一LED</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2、装方式：SMD表贴三合一，铜线封装，五面黑灯，表面不反光</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3、像素间距：≦1.538mm</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4、单元板像素≧21632Dots</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5、像素结构：1R1G1B</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6、模组尺寸：320mm（宽）*160mm（高）</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7、模组分辨率：208（点）*104（点）</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8、工作电压：在4.2VDC；最大电流：≤4.1A</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9、白平衡亮度：≥700cd/㎡</w:t>
            </w:r>
            <w:r/>
          </w:p>
          <w:p>
            <w:pPr>
              <w:spacing w:line="38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rPr>
              <w:t xml:space="preserve">、水平视角：</w:t>
            </w:r>
            <w:r>
              <w:rPr>
                <w:rFonts w:cs="宋体" w:asciiTheme="minorEastAsia" w:hAnsiTheme="minorEastAsia" w:eastAsiaTheme="minorEastAsia"/>
                <w:sz w:val="24"/>
                <w:szCs w:val="24"/>
              </w:rPr>
              <w:t xml:space="preserve">160</w:t>
            </w:r>
            <w:r>
              <w:rPr>
                <w:rFonts w:hint="eastAsia" w:cs="宋体" w:asciiTheme="minorEastAsia" w:hAnsiTheme="minorEastAsia" w:eastAsiaTheme="minorEastAsia"/>
                <w:sz w:val="24"/>
                <w:szCs w:val="24"/>
              </w:rPr>
              <w:t xml:space="preserve">︒垂直视角：</w:t>
            </w:r>
            <w:r>
              <w:rPr>
                <w:rFonts w:cs="宋体" w:asciiTheme="minorEastAsia" w:hAnsiTheme="minorEastAsia" w:eastAsiaTheme="minorEastAsia"/>
                <w:sz w:val="24"/>
                <w:szCs w:val="24"/>
              </w:rPr>
              <w:t xml:space="preserve">160</w:t>
            </w:r>
            <w:r>
              <w:rPr>
                <w:rFonts w:hint="eastAsia" w:cs="宋体" w:asciiTheme="minorEastAsia" w:hAnsiTheme="minorEastAsia" w:eastAsiaTheme="minorEastAsia"/>
                <w:sz w:val="24"/>
                <w:szCs w:val="24"/>
              </w:rPr>
              <w:t xml:space="preserve">︒</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11、配套视频控制系统</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12、配套多媒体控制器(支持二次开发）</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13、配套施工（含骨架、装饰、线缆铺设）及服务</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国产室内全彩LED显示屏（6.41平方）</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2套</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1、LED封装：表贴三合一LED</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2、装方式：SMD表贴三合一，铜线封装，五面黑灯，表面不反光</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3、像素间距：≦4mm</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4、单元板像素≧4096Dots</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5、像素结构：1R1G1B</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6、模组尺寸：256mm（宽）*256mm（高）</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7、模组分辨率：64（点）*64（点）</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8、工作电压：在4.2VDC；最大电流：≤4.1A</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9、白平衡亮度：≥700cd/㎡</w:t>
            </w:r>
            <w:r/>
          </w:p>
          <w:p>
            <w:pPr>
              <w:spacing w:line="38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rPr>
              <w:t xml:space="preserve">、水平视角：</w:t>
            </w:r>
            <w:r>
              <w:rPr>
                <w:rFonts w:cs="宋体" w:asciiTheme="minorEastAsia" w:hAnsiTheme="minorEastAsia" w:eastAsiaTheme="minorEastAsia"/>
                <w:sz w:val="24"/>
                <w:szCs w:val="24"/>
              </w:rPr>
              <w:t xml:space="preserve">160</w:t>
            </w:r>
            <w:r>
              <w:rPr>
                <w:rFonts w:hint="eastAsia" w:cs="宋体" w:asciiTheme="minorEastAsia" w:hAnsiTheme="minorEastAsia" w:eastAsiaTheme="minorEastAsia"/>
                <w:sz w:val="24"/>
                <w:szCs w:val="24"/>
              </w:rPr>
              <w:t xml:space="preserve">︒垂直视角：</w:t>
            </w:r>
            <w:r>
              <w:rPr>
                <w:rFonts w:cs="宋体" w:asciiTheme="minorEastAsia" w:hAnsiTheme="minorEastAsia" w:eastAsiaTheme="minorEastAsia"/>
                <w:sz w:val="24"/>
                <w:szCs w:val="24"/>
              </w:rPr>
              <w:t xml:space="preserve">160</w:t>
            </w:r>
            <w:r>
              <w:rPr>
                <w:rFonts w:hint="eastAsia" w:cs="宋体" w:asciiTheme="minorEastAsia" w:hAnsiTheme="minorEastAsia" w:eastAsiaTheme="minorEastAsia"/>
                <w:sz w:val="24"/>
                <w:szCs w:val="24"/>
              </w:rPr>
              <w:t xml:space="preserve">︒</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11、配套视频控制系统(支持叫号系统二次开发）</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13、配套施工（含骨架、装饰、线缆铺设）及服务</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710"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国产室内全彩LED显示屏（8.61平方）</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1套</w:t>
            </w:r>
            <w:r/>
          </w:p>
        </w:tc>
        <w:tc>
          <w:tcPr>
            <w:tcBorders>
              <w:top w:val="single" w:color="auto" w:sz="4" w:space="0"/>
              <w:left w:val="single" w:color="auto" w:sz="4" w:space="0"/>
              <w:bottom w:val="single" w:color="auto" w:sz="4" w:space="0"/>
              <w:right w:val="single" w:color="auto" w:sz="4" w:space="0"/>
            </w:tcBorders>
            <w:tcW w:w="5969" w:type="dxa"/>
            <w:vAlign w:val="center"/>
            <w:textDirection w:val="lrTb"/>
            <w:noWrap w:val="false"/>
          </w:tcPr>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1、LED封装：表贴三合一LED</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2、装方式：SMD表贴三合一，铜线封装，五面黑灯，表面不反光</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3、像素间距：≦1.25mm</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4、单元板像素≧32768Dots</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5、像素结构：1R1G1B</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6、模组尺寸：320mm（宽）*160mm（高）</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7、模组分辨率：256（点）*128（点）</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8、工作电压：在4.2VDC；最大电流：≤4.1A</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9、白平衡亮度：≥700cd/㎡</w:t>
            </w:r>
            <w:r/>
          </w:p>
          <w:p>
            <w:pPr>
              <w:spacing w:line="38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rPr>
              <w:t xml:space="preserve">、水平视角：</w:t>
            </w:r>
            <w:r>
              <w:rPr>
                <w:rFonts w:cs="宋体" w:asciiTheme="minorEastAsia" w:hAnsiTheme="minorEastAsia" w:eastAsiaTheme="minorEastAsia"/>
                <w:sz w:val="24"/>
                <w:szCs w:val="24"/>
              </w:rPr>
              <w:t xml:space="preserve">160</w:t>
            </w:r>
            <w:r>
              <w:rPr>
                <w:rFonts w:hint="eastAsia" w:cs="宋体" w:asciiTheme="minorEastAsia" w:hAnsiTheme="minorEastAsia" w:eastAsiaTheme="minorEastAsia"/>
                <w:sz w:val="24"/>
                <w:szCs w:val="24"/>
              </w:rPr>
              <w:t xml:space="preserve">︒垂直视角：</w:t>
            </w:r>
            <w:r>
              <w:rPr>
                <w:rFonts w:cs="宋体" w:asciiTheme="minorEastAsia" w:hAnsiTheme="minorEastAsia" w:eastAsiaTheme="minorEastAsia"/>
                <w:sz w:val="24"/>
                <w:szCs w:val="24"/>
              </w:rPr>
              <w:t xml:space="preserve">160</w:t>
            </w:r>
            <w:r>
              <w:rPr>
                <w:rFonts w:hint="eastAsia" w:cs="宋体" w:asciiTheme="minorEastAsia" w:hAnsiTheme="minorEastAsia" w:eastAsiaTheme="minorEastAsia"/>
                <w:sz w:val="24"/>
                <w:szCs w:val="24"/>
              </w:rPr>
              <w:t xml:space="preserve">︒</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11、配套视频控制系统</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12、配套多媒体控制器(支持二次开发）</w:t>
            </w:r>
            <w:r/>
          </w:p>
          <w:p>
            <w:pP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13、配套施工（含骨架、装饰、线缆铺设）及服务</w:t>
            </w:r>
            <w:r/>
          </w:p>
        </w:tc>
      </w:tr>
    </w:tbl>
    <w:p>
      <w:pPr>
        <w:ind w:firstLine="480"/>
        <w:jc w:val="left"/>
        <w:spacing w:line="380" w:lineRule="exact"/>
        <w:widowControl/>
        <w:rPr>
          <w:rFonts w:ascii="黑体" w:hAnsi="黑体" w:eastAsia="黑体" w:cs="Arial"/>
          <w:color w:val="1f2329"/>
          <w:sz w:val="24"/>
          <w:szCs w:val="24"/>
          <w:shd w:val="clear" w:color="auto" w:fill="ffffff"/>
        </w:rPr>
      </w:pPr>
      <w:r>
        <w:rPr>
          <w:rFonts w:hint="eastAsia" w:ascii="黑体" w:hAnsi="黑体" w:eastAsia="黑体" w:cs="Arial"/>
          <w:color w:val="1f2329"/>
          <w:sz w:val="24"/>
          <w:szCs w:val="24"/>
          <w:shd w:val="clear" w:color="auto" w:fill="ffffff"/>
        </w:rPr>
        <w:t xml:space="preserve">六、技术实施方案</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本项目实施需遵循“功能匹配、性能稳定、成本可控、便于维护”原则，兼顾小企业执行能力与项目核心需求，方案需具备实用性、可操作性，同时满足以下基础要求：</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兼容性：自助查询打印一体机系统需确保与江苏省一体化平台兼容对接，硬件设备（如社保读卡器）需适配现有社保数据接口，保障核心功能（查询、打印、信息展示）正常实现。</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安全性：符合国家个人信息保护及数据安全相关要求，避免个人社保信息（如缴费记录、参保证明）泄露；设备需符合国家电气安全标准，具备过载保护、防短路基础安全功能，保障设备正常运行。</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标准化：设备的接口协议（如USB、RS232）、数据传输格式需符合人社部《社会保障卡规范》及省人社厅《统一公共服务外设对接规范》，确保与现有人社系统数据交互顺畅。</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可管理性：提供基础的设备查询功能（如设备号、所属大厅等），协助采购人记录设备运行日志（如故障时间、维修内容），便于日常管理。</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可维护性：提供详细的用户手册，设备的关键维修部件（如打印机模块）便于拆卸更换；可通过电话、远程指导等方式协助采购人解决基础故障，降低维护难度。</w:t>
      </w:r>
      <w:r/>
    </w:p>
    <w:p>
      <w:pPr>
        <w:ind w:firstLine="480"/>
        <w:jc w:val="left"/>
        <w:spacing w:line="380" w:lineRule="exact"/>
        <w:widowControl/>
        <w:rPr>
          <w:rFonts w:ascii="黑体" w:hAnsi="黑体" w:eastAsia="黑体" w:cs="Arial"/>
          <w:color w:val="1f2329"/>
          <w:sz w:val="24"/>
          <w:szCs w:val="24"/>
          <w:shd w:val="clear" w:color="auto" w:fill="ffffff"/>
        </w:rPr>
      </w:pPr>
      <w:r>
        <w:rPr>
          <w:rFonts w:hint="eastAsia" w:ascii="黑体" w:hAnsi="黑体" w:eastAsia="黑体" w:cs="Arial"/>
          <w:color w:val="1f2329"/>
          <w:sz w:val="24"/>
          <w:szCs w:val="24"/>
          <w:shd w:val="clear" w:color="auto" w:fill="ffffff"/>
        </w:rPr>
        <w:t xml:space="preserve">七、安装建设方案</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中标人需编制简洁可行的安装建设方案，明确组织协调、工期控制、质量保障、安全防护等核心措施，负责完成所有设备的运输、安装调试、系统部署及与现有系统的联调工作；涉及市政协调、绿化或路面恢复的，需配合采购人对接相关单位完成。</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1.组织协调措施：明确1名项目负责人（可兼职），配备至少1名具备现场施工经验的人员，施工前组织人员完成安全操作培训；建立与采购人的定期沟通机制（如每周进度反馈），及时同步施工情况与问题。</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2.工期控制措施：方案需满足招标文件基本工期要求（合同签订后30日内完成货物运输，送达后15日内完成安装调试），明确运输、安装、联调各阶段的时间节点；提前与供应商确认货物到货时间，制定简单的进度计划，若遇设备延迟到货、现场条件变化等情况，需提前3个工作日告知采购人并协商解决方案。</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3.质量保障措施：制定基础质量管理要求，确保设备数量、型号与投标文件一致，到货后与采购人共同核对验收；安装时确保自助查询打印一体机稳固放置（无明显晃动）、LED显示屏骨架符合安全承重要求（避免坠落风险）、装饰面平整美观；线缆铺设规范（穿管保护、无杂乱外露）；联调时逐一测试核心功能（查询、打印、LED屏显示），确保能正常使用。</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4.安全防护措施：施工人员需佩戴安全帽、防滑鞋等基础防护装备，遵守采购人现场安全规定；施工过程中避免破坏原有设施（如墙面、绿化），若不慎损坏需及时告知采购人并配合修复；施工产生的垃圾（如包装材料、线缆废料）需在施工结束后清理离场，保持现场整洁。</w:t>
      </w:r>
      <w:r/>
    </w:p>
    <w:p>
      <w:pPr>
        <w:ind w:firstLine="480"/>
        <w:jc w:val="left"/>
        <w:spacing w:line="380" w:lineRule="exact"/>
        <w:widowControl/>
        <w:rPr>
          <w:rFonts w:ascii="黑体" w:hAnsi="黑体" w:eastAsia="黑体" w:cs="Arial"/>
          <w:color w:val="1f2329"/>
          <w:sz w:val="24"/>
          <w:szCs w:val="24"/>
          <w:shd w:val="clear" w:color="auto" w:fill="ffffff"/>
        </w:rPr>
      </w:pPr>
      <w:r>
        <w:rPr>
          <w:rFonts w:hint="eastAsia" w:ascii="黑体" w:hAnsi="黑体" w:eastAsia="黑体" w:cs="Arial"/>
          <w:color w:val="1f2329"/>
          <w:sz w:val="24"/>
          <w:szCs w:val="24"/>
          <w:shd w:val="clear" w:color="auto" w:fill="ffffff"/>
        </w:rPr>
        <w:t xml:space="preserve">八、与现有系统的对接方案</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中标人需以“配合兼容”为核心，确保本期设备满足采购人业务需求，具体要求如下：</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产品选型适配：优先选择与人社系统协议匹配的设备（如社保读卡器需支持现有社保数据接口），若设备与现有系统存在适配问题，需配合人社系统服务商完成调试，必要时协调设备原厂提供技术支持。</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系统调整配合：如需对现有系统（如网络链路、管理平台）进行简单调整，需提前3个工作日书面告知采购人，配合制定业务过渡方案（如临时人工查询），尽量缩短业务中断时间；若需复杂改造，需协助采购人对接专业系统服务商处理。</w:t>
      </w:r>
      <w:r/>
    </w:p>
    <w:p>
      <w:pPr>
        <w:ind w:firstLine="480"/>
        <w:jc w:val="left"/>
        <w:spacing w:line="380" w:lineRule="exact"/>
        <w:widowControl/>
        <w:rPr>
          <w:rFonts w:ascii="黑体" w:hAnsi="黑体" w:eastAsia="黑体" w:cs="Arial"/>
          <w:color w:val="1f2329"/>
          <w:sz w:val="24"/>
          <w:szCs w:val="24"/>
          <w:shd w:val="clear" w:color="auto" w:fill="ffffff"/>
        </w:rPr>
      </w:pPr>
      <w:r>
        <w:rPr>
          <w:rFonts w:hint="eastAsia" w:ascii="黑体" w:hAnsi="黑体" w:eastAsia="黑体" w:cs="Arial"/>
          <w:color w:val="1f2329"/>
          <w:sz w:val="24"/>
          <w:szCs w:val="24"/>
          <w:shd w:val="clear" w:color="auto" w:fill="ffffff"/>
        </w:rPr>
        <w:t xml:space="preserve">九、网络传输方案</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中标人需配合采购人检查设备部署地点的网络环境，确保设备能接入稳定网络，满足核心功能使用需求，具体要求如下：</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传输稳定性：协助采购人确认网络带宽能支撑自助查询打印一体机的数据查询、打印请求（避免频繁卡顿），LED屏内容更新（如政策文件、图片）能正常同步，保障日常使用流畅。</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基础网络保障：建议采购人提供稳定的有线网络接入（如千兆网线），设备支持基础的网络故障提示（如网络断开时屏幕显示提醒）；若网络不稳定，需协助采购人排查基础问题（如网线松动、IP配置错误），或提出简单优化建议（如更换网线、调整路由器位置）。</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数据安全基础要求：设备数据传输需遵循现有人社系统的加密规范，不泄露个人社保信息；禁止未授权人员操作设备后台或修改网络配置，确保数据传输安全。</w:t>
      </w:r>
      <w:r/>
    </w:p>
    <w:p>
      <w:pPr>
        <w:ind w:firstLine="480"/>
        <w:jc w:val="left"/>
        <w:spacing w:line="380" w:lineRule="exact"/>
        <w:widowControl/>
        <w:rPr>
          <w:rFonts w:ascii="黑体" w:hAnsi="黑体" w:eastAsia="黑体" w:cs="Arial"/>
          <w:color w:val="1f2329"/>
          <w:sz w:val="24"/>
          <w:szCs w:val="24"/>
          <w:shd w:val="clear" w:color="auto" w:fill="ffffff"/>
        </w:rPr>
      </w:pPr>
      <w:r>
        <w:rPr>
          <w:rFonts w:hint="eastAsia" w:ascii="黑体" w:hAnsi="黑体" w:eastAsia="黑体" w:cs="Arial"/>
          <w:color w:val="1f2329"/>
          <w:sz w:val="24"/>
          <w:szCs w:val="24"/>
          <w:shd w:val="clear" w:color="auto" w:fill="ffffff"/>
        </w:rPr>
        <w:t xml:space="preserve">十、售后服务要求</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1.服务机构与人员配置：中标供应商需具备基础服务能力，配备常驻维修人员；具备LED屏检测仪器、自助终端故障诊断设备、线缆测试仪等必要专业维修工具，可根据维修需求协调服务车辆保障紧急现场服务，确保售后服务响应及时性。</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2.日常维护要求：中标供应商需明确至少1名专职维修人员（可根据维护需求协调内部人员或合作方提供支持），结合采购人反馈（如使用问题告知）开展检测；发现自助查询打印一体机（如打印耗材余量不足、触控灵敏度异常）、LED显示屏（如显示画质偏差、控制系统报错）及配套系统问题时，及时跟进处理并向采购人反馈结果。</w:t>
      </w:r>
      <w:r/>
    </w:p>
    <w:p>
      <w:pPr>
        <w:ind w:firstLine="480"/>
        <w:spacing w:line="380" w:lineRule="exact"/>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3.故障响应与维修：中标供应商须为本项目所有设备提供1年免费维修维护服务（与质保期一致）。质保期内设备出现硬件故障（如打印机故障、显示屏黑屏）、软件卡顿、数据同步异常等问题，采购人报修后按以下标准响应：远程可解决的故障24小时内解决；需现场维修的，48小时内到场并72小时内解决。若无法当场修复，需每24小时向采购人反馈维修进度，优先加急维修保障服务连续性，必要时协助采购人启用人工服务等过渡方案。除不可抗力因素外，维修维护产生的配件更换、人工等费用由中标供应商承担。</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4.培训服务：中标供应商需对采购人的技术人员、一线操作人员开展现场实操培训，内容包括自助终端日常操作（如查询、打印流程）、故障基础排查（如卡纸处理、网络连接检测）。培训讲师需熟悉设备操作与维护，可联合设备原厂技术人员提供远程指导或技术支持，所有培训相关费用由中标供应商承担。</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5.付款方式：签订合同后，甲方自收到乙方的发票10个工作日内支付项目合同价的30%，主要设备到货安装调试完毕后，甲方自收到乙方的发票10个工作日内支付项目至合同价的70%，验收合格后，甲方自收到乙方的发票10个工作日内支付剩余尾款。</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6.验收标准：</w:t>
      </w:r>
      <w:r>
        <w:rPr>
          <w:rFonts w:cs="Arial" w:asciiTheme="minorEastAsia" w:hAnsiTheme="minorEastAsia" w:eastAsiaTheme="minorEastAsia"/>
          <w:color w:val="1f2329"/>
          <w:sz w:val="24"/>
          <w:szCs w:val="24"/>
          <w:shd w:val="clear" w:color="auto" w:fill="ffffff"/>
        </w:rPr>
        <w:t xml:space="preserve">（</w:t>
      </w:r>
      <w:r>
        <w:rPr>
          <w:rFonts w:hint="eastAsia" w:cs="Arial" w:asciiTheme="minorEastAsia" w:hAnsiTheme="minorEastAsia" w:eastAsiaTheme="minorEastAsia"/>
          <w:color w:val="1f2329"/>
          <w:sz w:val="24"/>
          <w:szCs w:val="24"/>
          <w:shd w:val="clear" w:color="auto" w:fill="ffffff"/>
        </w:rPr>
        <w:t xml:space="preserve">1</w:t>
      </w:r>
      <w:r>
        <w:rPr>
          <w:rFonts w:cs="Arial" w:asciiTheme="minorEastAsia" w:hAnsiTheme="minorEastAsia" w:eastAsiaTheme="minorEastAsia"/>
          <w:color w:val="1f2329"/>
          <w:sz w:val="24"/>
          <w:szCs w:val="24"/>
          <w:shd w:val="clear" w:color="auto" w:fill="ffffff"/>
        </w:rPr>
        <w:t xml:space="preserve">）</w:t>
      </w:r>
      <w:r>
        <w:rPr>
          <w:rFonts w:hint="eastAsia" w:cs="Arial" w:asciiTheme="minorEastAsia" w:hAnsiTheme="minorEastAsia" w:eastAsiaTheme="minorEastAsia"/>
          <w:color w:val="1f2329"/>
          <w:sz w:val="24"/>
          <w:szCs w:val="24"/>
          <w:shd w:val="clear" w:color="auto" w:fill="ffffff"/>
        </w:rPr>
        <w:t xml:space="preserve">中标人完成设备安装调试后，采购人组织验收，对照招标文件技术参数及数量要求逐项核查，确认设备数量齐全、外观无损坏、核心功能可实现、安装符合规范、系统正常运转即为验收合格；</w:t>
      </w:r>
      <w:r>
        <w:rPr>
          <w:rFonts w:cs="Arial" w:asciiTheme="minorEastAsia" w:hAnsiTheme="minorEastAsia" w:eastAsiaTheme="minorEastAsia"/>
          <w:color w:val="1f2329"/>
          <w:sz w:val="24"/>
          <w:szCs w:val="24"/>
          <w:shd w:val="clear" w:color="auto" w:fill="ffffff"/>
        </w:rPr>
        <w:t xml:space="preserve">（</w:t>
      </w:r>
      <w:r>
        <w:rPr>
          <w:rFonts w:hint="eastAsia" w:cs="Arial" w:asciiTheme="minorEastAsia" w:hAnsiTheme="minorEastAsia" w:eastAsiaTheme="minorEastAsia"/>
          <w:color w:val="1f2329"/>
          <w:sz w:val="24"/>
          <w:szCs w:val="24"/>
          <w:shd w:val="clear" w:color="auto" w:fill="ffffff"/>
        </w:rPr>
        <w:t xml:space="preserve">2</w:t>
      </w:r>
      <w:r>
        <w:rPr>
          <w:rFonts w:cs="Arial" w:asciiTheme="minorEastAsia" w:hAnsiTheme="minorEastAsia" w:eastAsiaTheme="minorEastAsia"/>
          <w:color w:val="1f2329"/>
          <w:sz w:val="24"/>
          <w:szCs w:val="24"/>
          <w:shd w:val="clear" w:color="auto" w:fill="ffffff"/>
        </w:rPr>
        <w:t xml:space="preserve">）</w:t>
      </w:r>
      <w:r>
        <w:rPr>
          <w:rFonts w:hint="eastAsia" w:cs="Arial" w:asciiTheme="minorEastAsia" w:hAnsiTheme="minorEastAsia" w:eastAsiaTheme="minorEastAsia"/>
          <w:color w:val="1f2329"/>
          <w:sz w:val="24"/>
          <w:szCs w:val="24"/>
          <w:shd w:val="clear" w:color="auto" w:fill="ffffff"/>
        </w:rPr>
        <w:t xml:space="preserve">验收过程中若发现设备数量缺失、参数不达标或功能无法实现，中标人需在5个工作日内完成整改，直至验收合格，整改产生的费用由中标人承担；若逾期未整改或整改后仍不合格，采购人有权解除合同并追究中标人责任。</w:t>
      </w:r>
      <w:r/>
    </w:p>
    <w:p>
      <w:pPr>
        <w:ind w:firstLine="480"/>
        <w:jc w:val="left"/>
        <w:spacing w:line="380" w:lineRule="exact"/>
        <w:widowControl/>
        <w:rPr>
          <w:rFonts w:ascii="黑体" w:hAnsi="黑体" w:eastAsia="黑体" w:cs="Arial"/>
          <w:color w:val="1f2329"/>
          <w:sz w:val="24"/>
          <w:szCs w:val="24"/>
          <w:shd w:val="clear" w:color="auto" w:fill="ffffff"/>
        </w:rPr>
      </w:pPr>
      <w:r>
        <w:rPr>
          <w:rFonts w:hint="eastAsia" w:ascii="黑体" w:hAnsi="黑体" w:eastAsia="黑体" w:cs="Arial"/>
          <w:color w:val="1f2329"/>
          <w:sz w:val="24"/>
          <w:szCs w:val="24"/>
          <w:shd w:val="clear" w:color="auto" w:fill="ffffff"/>
        </w:rPr>
        <w:t xml:space="preserve">十一、实施及系统对接要求</w:t>
      </w:r>
      <w:r/>
    </w:p>
    <w:p>
      <w:pPr>
        <w:ind w:firstLine="480"/>
        <w:spacing w:line="380" w:lineRule="exact"/>
        <w:rPr>
          <w:rFonts w:cs="Arial" w:asciiTheme="minorEastAsia" w:hAnsiTheme="minorEastAsia" w:eastAsiaTheme="minorEastAsia"/>
          <w:i/>
          <w:color w:val="1f2329"/>
          <w:sz w:val="24"/>
          <w:szCs w:val="24"/>
          <w:highlight w:val="none"/>
          <w:u w:val="single"/>
          <w:shd w:val="clear" w:color="auto" w:fill="ffffff"/>
        </w:rPr>
      </w:pPr>
      <w:r>
        <w:rPr>
          <w:rFonts w:hint="eastAsia" w:cs="Arial" w:asciiTheme="minorEastAsia" w:hAnsiTheme="minorEastAsia" w:eastAsiaTheme="minorEastAsia"/>
          <w:i/>
          <w:color w:val="1f2329"/>
          <w:sz w:val="24"/>
          <w:szCs w:val="24"/>
          <w:highlight w:val="none"/>
          <w:u w:val="single"/>
          <w:shd w:val="clear" w:color="auto" w:fill="ffffff"/>
        </w:rPr>
        <w:t xml:space="preserve">系统对接与升级：投标人须承诺中标后提供的人社自助查询打印一体机系</w:t>
      </w:r>
      <w:r>
        <w:rPr>
          <w:rFonts w:hint="eastAsia" w:cs="宋体" w:asciiTheme="minorEastAsia" w:hAnsiTheme="minorEastAsia" w:eastAsiaTheme="minorEastAsia"/>
          <w:i/>
          <w:iCs/>
          <w:sz w:val="24"/>
          <w:szCs w:val="24"/>
          <w:highlight w:val="none"/>
          <w:u w:val="single"/>
        </w:rPr>
        <w:t xml:space="preserve">统</w:t>
      </w:r>
      <w:r>
        <w:rPr>
          <w:rFonts w:hint="eastAsia" w:cs="Arial" w:asciiTheme="minorEastAsia" w:hAnsiTheme="minorEastAsia" w:eastAsiaTheme="minorEastAsia"/>
          <w:i/>
          <w:color w:val="1f2329"/>
          <w:sz w:val="24"/>
          <w:szCs w:val="24"/>
          <w:highlight w:val="none"/>
          <w:u w:val="single"/>
          <w:shd w:val="clear" w:color="auto" w:fill="ffffff"/>
        </w:rPr>
        <w:t xml:space="preserve">需完成与江苏省一体化平台的对接，确保数据正常同步；质保期内根据实际使用需求，提供必要的软件优化服务（如故障修复、功能微调）。必要时协调设备原厂提供技术支持，保障系统对接与运行稳定。</w:t>
      </w:r>
      <w:r>
        <w:rPr>
          <w:rFonts w:hint="eastAsia" w:ascii="宋体" w:hAnsi="宋体"/>
          <w:bCs/>
          <w:i/>
          <w:color w:val="000000"/>
          <w:sz w:val="24"/>
          <w:szCs w:val="24"/>
          <w:highlight w:val="none"/>
          <w:u w:val="single"/>
        </w:rPr>
        <w:t xml:space="preserve">(提供承诺函，原件扫描上传)</w:t>
      </w:r>
      <w:r/>
    </w:p>
    <w:p>
      <w:pPr>
        <w:ind w:firstLine="480"/>
        <w:spacing w:line="380" w:lineRule="exact"/>
        <w:rPr>
          <w:rFonts w:cs="Arial" w:asciiTheme="minorEastAsia" w:hAnsiTheme="minorEastAsia" w:eastAsiaTheme="minorEastAsia"/>
          <w:color w:val="1f2329"/>
          <w:sz w:val="24"/>
          <w:szCs w:val="24"/>
          <w:highlight w:val="none"/>
          <w:shd w:val="clear" w:color="auto" w:fill="ffffff"/>
        </w:rPr>
      </w:pPr>
      <w:r>
        <w:rPr>
          <w:rFonts w:hint="eastAsia" w:cs="Arial" w:asciiTheme="minorEastAsia" w:hAnsiTheme="minorEastAsia" w:eastAsiaTheme="minorEastAsia"/>
          <w:i/>
          <w:color w:val="1f2329"/>
          <w:sz w:val="24"/>
          <w:szCs w:val="24"/>
          <w:highlight w:val="none"/>
          <w:u w:val="single"/>
          <w:shd w:val="clear" w:color="auto" w:fill="ffffff"/>
        </w:rPr>
        <w:t xml:space="preserve">产品正品与质保保障：投标人须承诺中标后提供人社自助查询打印一体机的原厂证明及质保承诺文件，确保产品为全新原装正品，且能享受原厂售后支持。</w:t>
      </w:r>
      <w:r>
        <w:rPr>
          <w:rFonts w:hint="eastAsia" w:ascii="宋体" w:hAnsi="宋体"/>
          <w:bCs/>
          <w:i/>
          <w:color w:val="000000"/>
          <w:sz w:val="24"/>
          <w:szCs w:val="24"/>
          <w:highlight w:val="none"/>
          <w:u w:val="single"/>
        </w:rPr>
        <w:t xml:space="preserve">(提供承诺函，原件扫描上传)</w:t>
      </w:r>
      <w:r/>
    </w:p>
    <w:p>
      <w:pPr>
        <w:ind w:firstLine="480"/>
        <w:jc w:val="left"/>
        <w:spacing w:line="380" w:lineRule="exact"/>
        <w:widowControl/>
        <w:rPr>
          <w:rFonts w:ascii="黑体" w:hAnsi="黑体" w:eastAsia="黑体" w:cs="Arial"/>
          <w:color w:val="1f2329"/>
          <w:sz w:val="24"/>
          <w:szCs w:val="24"/>
          <w:shd w:val="clear" w:color="auto" w:fill="ffffff"/>
        </w:rPr>
      </w:pPr>
      <w:r>
        <w:rPr>
          <w:rFonts w:hint="eastAsia" w:ascii="黑体" w:hAnsi="黑体" w:eastAsia="黑体" w:cs="Arial"/>
          <w:color w:val="1f2329"/>
          <w:sz w:val="24"/>
          <w:szCs w:val="24"/>
          <w:shd w:val="clear" w:color="auto" w:fill="ffffff"/>
        </w:rPr>
        <w:t xml:space="preserve">十二、其他要求</w:t>
      </w:r>
      <w:r/>
    </w:p>
    <w:p>
      <w:pPr>
        <w:ind w:firstLine="480"/>
        <w:spacing w:line="3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本项目为交钥匙工程，项目包含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80"/>
        <w:spacing w:line="3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2、项目实施过程中若发生相关的安全事故由投标人自行负责。</w:t>
      </w:r>
      <w:r/>
    </w:p>
    <w:p>
      <w:pPr>
        <w:ind w:firstLine="480"/>
        <w:spacing w:line="3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3、所有货物及部件提供一年基础免费质保及升级，质保期内全免费上门。质保期内乙方实行包修、包换、包退、包维护，期满后甲方可同时享有乙方提供的终身（有偿）维修保养服务。</w:t>
      </w:r>
      <w:r/>
    </w:p>
    <w:p>
      <w:pPr>
        <w:ind w:firstLine="480"/>
        <w:spacing w:line="3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4、按常规或为了确保产品正常使用、维护，中标人需向采购方提供的备品备件及专用工具。</w:t>
      </w:r>
      <w:r/>
    </w:p>
    <w:p>
      <w:pPr>
        <w:ind w:firstLine="480"/>
        <w:spacing w:line="3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安装队伍必须加强管理，遵守现场的一切规章制度，文明安装，注意安全；安装期间，中标人必须服从采购人管理，货物进场须经采购人验货后才能安装；中标人安装人员、安装机械或在运输装卸途中对其他货物及邻近管线等造成损坏，应由中标人负责修复及承担一切费用；无论安装期间或退换过程中，中标人负责及时清理垃圾。</w:t>
      </w:r>
      <w:r/>
    </w:p>
    <w:p>
      <w:pPr>
        <w:ind w:firstLine="480"/>
        <w:spacing w:line="3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6、货物由投标人运至采购人指定地点，验收交货前存放及保管概由投标人负责。</w:t>
      </w:r>
      <w:r/>
    </w:p>
    <w:p>
      <w:pPr>
        <w:ind w:firstLine="480"/>
        <w:spacing w:line="3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7、货物材料的包装均应有良好的防湿、防锈、防潮、防雨、防腐及防碰撞的措施。凡由于包装不良造成的损失和由此产生的费用均由投标人承担。</w:t>
      </w:r>
      <w:r/>
    </w:p>
    <w:p>
      <w:pPr>
        <w:ind w:firstLine="480"/>
        <w:spacing w:line="3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8、中标人应免费对采购人技术人员进行操作、保养、维修等方面的培训，并且提供免费的技术咨询服务。</w:t>
      </w:r>
      <w:r/>
    </w:p>
    <w:p>
      <w:pPr>
        <w:ind w:firstLine="480"/>
        <w:spacing w:line="3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9、投标人应在投标文件中明确售后服务能力（包括交货期、保修期时限、售后服务、维护响应时间等）。</w:t>
      </w:r>
      <w:r/>
    </w:p>
    <w:p>
      <w:pPr>
        <w:ind w:firstLine="480"/>
        <w:spacing w:line="3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10、中标人提供产品必须随货提供出厂产品合格证、质保书和产品使用说明书等相关资料，产品质量和各种技术指标，经验收达不到规范要求、招标文件要求和响应文件承诺的，必须更换货物，并按国家有关规定进行处罚，直至赔偿采购人的一切损失。如发现使用假冒伪劣产品、三无产品，一经查实，立即终止合同，所有款项一律不付、不退，并将来货封存，交由质量监督部门处理，并按其处罚意见，处以罚款。</w:t>
      </w:r>
      <w:r/>
    </w:p>
    <w:p>
      <w:pPr>
        <w:ind w:firstLine="480"/>
        <w:spacing w:line="3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11、若因中标人原因导致采购人项目无法正常对接、安装或使用，采购人有权终止合同，并追究其法律责任。</w:t>
      </w:r>
      <w:r/>
    </w:p>
    <w:p>
      <w:pPr>
        <w:ind w:firstLine="480"/>
        <w:spacing w:line="3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12、投标人</w:t>
      </w:r>
      <w:r>
        <w:rPr>
          <w:rFonts w:hint="eastAsia" w:asciiTheme="minorEastAsia" w:hAnsiTheme="minorEastAsia" w:eastAsiaTheme="minorEastAsia" w:cstheme="minorBidi"/>
          <w:sz w:val="24"/>
          <w:szCs w:val="24"/>
        </w:rPr>
        <w:t xml:space="preserve">2021年1月1日至今承担过与本项目类似业绩</w:t>
      </w:r>
      <w:r>
        <w:rPr>
          <w:rFonts w:hint="eastAsia" w:asciiTheme="minorEastAsia" w:hAnsiTheme="minorEastAsia" w:eastAsiaTheme="minorEastAsia"/>
          <w:sz w:val="24"/>
          <w:szCs w:val="24"/>
        </w:rPr>
        <w:t xml:space="preserve">。</w:t>
      </w:r>
      <w:r/>
    </w:p>
    <w:p>
      <w:pPr>
        <w:ind w:firstLine="480"/>
        <w:jc w:val="left"/>
        <w:spacing w:line="380" w:lineRule="exact"/>
        <w:widowControl/>
        <w:rPr>
          <w:rFonts w:ascii="黑体" w:hAnsi="黑体" w:eastAsia="黑体" w:cs="Arial"/>
          <w:color w:val="1f2329"/>
          <w:sz w:val="24"/>
          <w:szCs w:val="24"/>
          <w:shd w:val="clear" w:color="auto" w:fill="ffffff"/>
        </w:rPr>
      </w:pPr>
      <w:r>
        <w:rPr>
          <w:rFonts w:hint="eastAsia" w:ascii="黑体" w:hAnsi="黑体" w:eastAsia="黑体" w:cs="Arial"/>
          <w:color w:val="1f2329"/>
          <w:sz w:val="24"/>
          <w:szCs w:val="24"/>
          <w:shd w:val="clear" w:color="auto" w:fill="ffffff"/>
        </w:rPr>
        <w:t xml:space="preserve">十三、交付及实施时间</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1.中标人需在合同签订后30个日历日内，完成所有货物运输至采购人指定场地；</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2.货物送达后15个日历日内，完成安装、调试、系统部署及与现有人社系统对接，确保设备正常运行；</w:t>
      </w:r>
      <w:r/>
    </w:p>
    <w:p>
      <w:pPr>
        <w:ind w:firstLine="480"/>
        <w:jc w:val="left"/>
        <w:spacing w:line="380" w:lineRule="exact"/>
        <w:widowControl/>
        <w:rPr>
          <w:rFonts w:cs="Arial" w:asciiTheme="minorEastAsia" w:hAnsiTheme="minorEastAsia" w:eastAsiaTheme="minorEastAsia"/>
          <w:color w:val="1f2329"/>
          <w:sz w:val="24"/>
          <w:szCs w:val="24"/>
          <w:shd w:val="clear" w:color="auto" w:fill="ffffff"/>
        </w:rPr>
      </w:pPr>
      <w:r>
        <w:rPr>
          <w:rFonts w:hint="eastAsia" w:cs="Arial" w:asciiTheme="minorEastAsia" w:hAnsiTheme="minorEastAsia" w:eastAsiaTheme="minorEastAsia"/>
          <w:color w:val="1f2329"/>
          <w:sz w:val="24"/>
          <w:szCs w:val="24"/>
          <w:shd w:val="clear" w:color="auto" w:fill="ffffff"/>
        </w:rPr>
        <w:t xml:space="preserve">3.若需延期交付或实施，中标人需提前3个工作日向采购人提交书面申请，说明延期原因及预计完成时间，经采购人书面同意后方可延期，否则需承担违约责任。延期违约金按合同总金额的0.5%/天计算，累计不超过合同总金额的10%。</w:t>
      </w:r>
      <w:r/>
    </w:p>
    <w:p>
      <w:r/>
      <w:r/>
    </w:p>
    <w:p>
      <w:pPr>
        <w:pStyle w:val="961"/>
      </w:pPr>
      <w:r/>
      <w:r/>
    </w:p>
    <w:p>
      <w:pPr>
        <w:pStyle w:val="961"/>
      </w:pPr>
      <w:r/>
      <w:r/>
    </w:p>
    <w:p>
      <w:pPr>
        <w:pStyle w:val="961"/>
      </w:pPr>
      <w:r/>
      <w:r/>
    </w:p>
    <w:p>
      <w:pPr>
        <w:pStyle w:val="961"/>
      </w:pPr>
      <w:r/>
      <w:r/>
    </w:p>
    <w:p>
      <w:pPr>
        <w:pStyle w:val="961"/>
      </w:pPr>
      <w:r/>
      <w:r/>
    </w:p>
    <w:p>
      <w:pPr>
        <w:pStyle w:val="961"/>
      </w:pPr>
      <w:r/>
      <w:r/>
    </w:p>
    <w:p>
      <w:pPr>
        <w:pStyle w:val="961"/>
      </w:pPr>
      <w:r/>
      <w:r/>
    </w:p>
    <w:p>
      <w:pPr>
        <w:pStyle w:val="961"/>
      </w:pPr>
      <w:r/>
      <w:r/>
    </w:p>
    <w:p>
      <w:pPr>
        <w:pStyle w:val="961"/>
      </w:pPr>
      <w:r/>
      <w:r/>
    </w:p>
    <w:p>
      <w:pPr>
        <w:pStyle w:val="961"/>
      </w:pPr>
      <w:r/>
      <w:r/>
    </w:p>
    <w:p>
      <w:pPr>
        <w:pStyle w:val="961"/>
      </w:pPr>
      <w:r/>
      <w:r/>
    </w:p>
    <w:p>
      <w:pPr>
        <w:pStyle w:val="961"/>
      </w:pPr>
      <w:r/>
      <w:r/>
    </w:p>
    <w:p>
      <w:pPr>
        <w:pStyle w:val="961"/>
      </w:pPr>
      <w:r/>
      <w:r/>
    </w:p>
    <w:p>
      <w:pPr>
        <w:pStyle w:val="961"/>
      </w:pPr>
      <w:r/>
      <w:r/>
    </w:p>
    <w:p>
      <w:pPr>
        <w:pStyle w:val="961"/>
      </w:pPr>
      <w:r/>
      <w:r/>
    </w:p>
    <w:p>
      <w:pPr>
        <w:pStyle w:val="961"/>
      </w:pPr>
      <w:r/>
      <w:r/>
    </w:p>
    <w:p>
      <w:pPr>
        <w:pStyle w:val="961"/>
      </w:pPr>
      <w:r/>
      <w:r/>
    </w:p>
    <w:p>
      <w:pPr>
        <w:pStyle w:val="961"/>
      </w:p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rPr>
          <w:color w:val="000000"/>
          <w:szCs w:val="21"/>
        </w:rPr>
      </w:pPr>
      <w:r>
        <w:rPr>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697"/>
        <w:tblW w:w="773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1581"/>
        <w:gridCol w:w="4813"/>
      </w:tblGrid>
      <w:tr>
        <w:trPr/>
        <w:tc>
          <w:tcPr>
            <w:tcW w:w="1338"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81"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1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38"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81" w:type="dxa"/>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W w:w="4813" w:type="dxa"/>
            <w:vAlign w:val="center"/>
            <w:textDirection w:val="lrTb"/>
            <w:noWrap w:val="false"/>
          </w:tcPr>
          <w:p>
            <w:pPr>
              <w:jc w:val="left"/>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41"/>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本项目专门面向中小企业：否</w:t>
      </w:r>
      <w:r/>
    </w:p>
    <w:tbl>
      <w:tblPr>
        <w:tblStyle w:val="697"/>
        <w:tblW w:w="775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6395"/>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6395"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6395" w:type="dxa"/>
            <w:vAlign w:val="center"/>
            <w:textDirection w:val="lrTb"/>
            <w:noWrap w:val="false"/>
          </w:tcPr>
          <w:p>
            <w:pPr>
              <w:jc w:val="center"/>
              <w:rPr>
                <w:rFonts w:ascii="宋体" w:hAnsi="宋体"/>
                <w:sz w:val="24"/>
                <w:szCs w:val="24"/>
              </w:rPr>
            </w:pPr>
            <w:r>
              <w:rPr>
                <w:rFonts w:hint="eastAsia" w:ascii="宋体" w:hAnsi="宋体"/>
                <w:sz w:val="24"/>
                <w:szCs w:val="24"/>
              </w:rPr>
              <w:t xml:space="preserve">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ascii="宋体" w:hAnsi="宋体" w:cs="宋体"/>
          <w:color w:val="000000"/>
          <w:sz w:val="24"/>
          <w:u w:val="single"/>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ascii="宋体" w:hAnsi="宋体" w:cs="宋体"/>
          <w:color w:val="000000"/>
          <w:sz w:val="24"/>
          <w:u w:val="single"/>
        </w:rPr>
        <w:t xml:space="preserve">/</w:t>
      </w:r>
      <w:r>
        <w:rPr>
          <w:rFonts w:ascii="宋体" w:hAnsi="宋体" w:cs="宋体"/>
          <w:color w:val="000000"/>
          <w:sz w:val="24"/>
        </w:rPr>
        <w:t xml:space="preserve">价格扣除，用扣除后的价格参与评审。</w:t>
      </w:r>
      <w:r/>
    </w:p>
    <w:p>
      <w:pPr>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pStyle w:val="698"/>
        <w:rPr>
          <w:rFonts w:hAnsi="宋体"/>
          <w:b/>
        </w:rPr>
      </w:pPr>
      <w:r>
        <w:rPr>
          <w:rFonts w:hAnsi="宋体"/>
          <w:b/>
        </w:rPr>
      </w:r>
      <w:r/>
    </w:p>
    <w:p>
      <w:r/>
      <w:r/>
    </w:p>
    <w:p>
      <w:pPr>
        <w:ind w:firstLine="482"/>
        <w:jc w:val="left"/>
        <w:spacing w:before="120" w:after="120" w:line="0" w:lineRule="atLeast"/>
        <w:rPr>
          <w:b/>
          <w:szCs w:val="21"/>
        </w:rPr>
      </w:pPr>
      <w:r>
        <w:rPr>
          <w:rFonts w:hint="eastAsia" w:ascii="宋体" w:hAnsi="宋体"/>
          <w:b/>
          <w:color w:val="000000"/>
          <w:sz w:val="24"/>
          <w:szCs w:val="24"/>
        </w:rPr>
        <w:t xml:space="preserve">评标方法与评标标准</w:t>
      </w:r>
      <w:r/>
    </w:p>
    <w:tbl>
      <w:tblPr>
        <w:tblStyle w:val="697"/>
        <w:tblW w:w="843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28" w:type="dxa"/>
          <w:top w:w="64" w:type="dxa"/>
          <w:right w:w="128" w:type="dxa"/>
          <w:bottom w:w="64" w:type="dxa"/>
        </w:tblCellMar>
        <w:tblLook w:val="04A0" w:firstRow="1" w:lastRow="0" w:firstColumn="1" w:lastColumn="0" w:noHBand="0" w:noVBand="1"/>
      </w:tblPr>
      <w:tblGrid>
        <w:gridCol w:w="2680"/>
        <w:gridCol w:w="5751"/>
      </w:tblGrid>
      <w:tr>
        <w:trPr>
          <w:jc w:val="center"/>
          <w:tblHeader/>
        </w:trPr>
        <w:tc>
          <w:tcPr>
            <w:tcW w:w="2680" w:type="dxa"/>
            <w:vAlign w:val="center"/>
            <w:textDirection w:val="lrTb"/>
            <w:noWrap w:val="false"/>
          </w:tcPr>
          <w:p>
            <w:pPr>
              <w:jc w:val="center"/>
              <w:spacing w:line="380" w:lineRule="exact"/>
              <w:widowControl/>
              <w:rPr>
                <w:rFonts w:ascii="宋体" w:hAnsi="宋体" w:cs="宋体"/>
                <w:b/>
                <w:bCs/>
                <w:sz w:val="24"/>
                <w:szCs w:val="24"/>
              </w:rPr>
            </w:pPr>
            <w:r>
              <w:rPr>
                <w:rFonts w:hint="eastAsia" w:cs="Segoe UI" w:asciiTheme="minorEastAsia" w:hAnsiTheme="minorEastAsia" w:eastAsiaTheme="minorEastAsia"/>
                <w:b/>
                <w:bCs/>
                <w:color w:val="000000"/>
                <w:sz w:val="24"/>
                <w:szCs w:val="24"/>
              </w:rPr>
              <w:t xml:space="preserve">评分项目</w:t>
            </w:r>
            <w:r/>
          </w:p>
        </w:tc>
        <w:tc>
          <w:tcPr>
            <w:tcW w:w="5751" w:type="dxa"/>
            <w:vAlign w:val="center"/>
            <w:textDirection w:val="lrTb"/>
            <w:noWrap w:val="false"/>
          </w:tcPr>
          <w:p>
            <w:pPr>
              <w:jc w:val="center"/>
              <w:spacing w:line="380" w:lineRule="exact"/>
              <w:widowControl/>
              <w:rPr>
                <w:rFonts w:ascii="宋体" w:hAnsi="宋体" w:cs="宋体"/>
                <w:b/>
                <w:bCs/>
                <w:sz w:val="24"/>
                <w:szCs w:val="24"/>
              </w:rPr>
            </w:pPr>
            <w:r>
              <w:rPr>
                <w:rFonts w:hint="eastAsia" w:cs="Segoe UI" w:asciiTheme="minorEastAsia" w:hAnsiTheme="minorEastAsia" w:eastAsiaTheme="minorEastAsia"/>
                <w:b/>
                <w:bCs/>
                <w:color w:val="000000"/>
                <w:sz w:val="24"/>
                <w:szCs w:val="24"/>
              </w:rPr>
              <w:t xml:space="preserve">评分标准</w:t>
            </w:r>
            <w:r/>
          </w:p>
        </w:tc>
      </w:tr>
      <w:tr>
        <w:trPr>
          <w:jc w:val="center"/>
        </w:trPr>
        <w:tc>
          <w:tcPr>
            <w:tcW w:w="2680" w:type="dxa"/>
            <w:vAlign w:val="center"/>
            <w:textDirection w:val="lrTb"/>
            <w:noWrap w:val="false"/>
          </w:tcPr>
          <w:p>
            <w:pPr>
              <w:pStyle w:val="933"/>
              <w:ind w:firstLine="0"/>
              <w:jc w:val="center"/>
              <w:spacing w:before="0" w:after="0" w:line="380" w:lineRule="exact"/>
              <w:rPr>
                <w:rFonts w:cs="宋体" w:asciiTheme="minorEastAsia" w:hAnsiTheme="minorEastAsia" w:eastAsiaTheme="minorEastAsia"/>
              </w:rPr>
            </w:pPr>
            <w:r>
              <w:rPr>
                <w:rFonts w:hint="eastAsia" w:cs="宋体" w:asciiTheme="minorEastAsia" w:hAnsiTheme="minorEastAsia" w:eastAsiaTheme="minorEastAsia"/>
              </w:rPr>
              <w:t xml:space="preserve">报价</w:t>
            </w:r>
            <w:r/>
          </w:p>
          <w:p>
            <w:pPr>
              <w:pStyle w:val="933"/>
              <w:ind w:firstLine="0"/>
              <w:jc w:val="center"/>
              <w:spacing w:before="0" w:after="0" w:line="380" w:lineRule="exact"/>
              <w:rPr>
                <w:rFonts w:ascii="宋体" w:hAnsi="宋体" w:cs="宋体"/>
              </w:rPr>
            </w:pPr>
            <w:r>
              <w:rPr>
                <w:rFonts w:hint="eastAsia" w:cs="宋体" w:asciiTheme="minorEastAsia" w:hAnsiTheme="minorEastAsia" w:eastAsiaTheme="minorEastAsia"/>
              </w:rPr>
              <w:t xml:space="preserve">（30分）</w:t>
            </w:r>
            <w:r/>
          </w:p>
        </w:tc>
        <w:tc>
          <w:tcPr>
            <w:tcW w:w="5751" w:type="dxa"/>
            <w:vAlign w:val="center"/>
            <w:textDirection w:val="lrTb"/>
            <w:noWrap w:val="false"/>
          </w:tcPr>
          <w:p>
            <w:pPr>
              <w:pStyle w:val="933"/>
              <w:ind w:firstLine="240"/>
              <w:spacing w:before="0" w:after="0" w:line="380" w:lineRule="exact"/>
              <w:rPr>
                <w:rFonts w:ascii="宋体" w:hAnsi="宋体" w:cs="宋体"/>
              </w:rPr>
            </w:pPr>
            <w:r>
              <w:rPr>
                <w:rFonts w:hint="eastAsia" w:cs="宋体" w:asciiTheme="minorEastAsia" w:hAnsiTheme="minorEastAsia" w:eastAsiaTheme="minorEastAsia"/>
              </w:rPr>
              <w:t xml:space="preserve">以满足招标文件要求的最低报价为评标基准价，得满分30分，其他投标报价得分=（评标基准价/其他投标报价）×30×100%。</w:t>
            </w:r>
            <w:r/>
          </w:p>
        </w:tc>
      </w:tr>
      <w:tr>
        <w:trPr>
          <w:jc w:val="center"/>
        </w:trPr>
        <w:tc>
          <w:tcPr>
            <w:tcW w:w="2680" w:type="dxa"/>
            <w:vAlign w:val="center"/>
            <w:textDirection w:val="lrTb"/>
            <w:noWrap w:val="false"/>
          </w:tcPr>
          <w:p>
            <w:pPr>
              <w:jc w:val="center"/>
              <w:spacing w:line="380" w:lineRule="exact"/>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技术参数</w:t>
            </w:r>
            <w:r/>
          </w:p>
          <w:p>
            <w:pPr>
              <w:pStyle w:val="933"/>
              <w:ind w:firstLine="0"/>
              <w:jc w:val="center"/>
              <w:spacing w:before="0" w:after="0" w:line="380" w:lineRule="exact"/>
              <w:rPr>
                <w:rFonts w:ascii="宋体" w:hAnsi="宋体" w:cs="宋体"/>
              </w:rPr>
            </w:pPr>
            <w:r>
              <w:rPr>
                <w:rFonts w:hint="eastAsia" w:cs="宋体" w:asciiTheme="minorEastAsia" w:hAnsiTheme="minorEastAsia" w:eastAsiaTheme="minorEastAsia"/>
              </w:rPr>
              <w:t xml:space="preserve">（</w:t>
            </w:r>
            <w:r>
              <w:rPr>
                <w:rFonts w:cs="宋体" w:asciiTheme="minorEastAsia" w:hAnsiTheme="minorEastAsia" w:eastAsiaTheme="minorEastAsia"/>
              </w:rPr>
              <w:t xml:space="preserve">40</w:t>
            </w:r>
            <w:r>
              <w:rPr>
                <w:rFonts w:hint="eastAsia" w:cs="宋体" w:asciiTheme="minorEastAsia" w:hAnsiTheme="minorEastAsia" w:eastAsiaTheme="minorEastAsia"/>
              </w:rPr>
              <w:t xml:space="preserve">分）</w:t>
            </w:r>
            <w:r/>
          </w:p>
        </w:tc>
        <w:tc>
          <w:tcPr>
            <w:tcW w:w="5751" w:type="dxa"/>
            <w:textDirection w:val="lrTb"/>
            <w:noWrap w:val="false"/>
          </w:tcPr>
          <w:p>
            <w:pPr>
              <w:pStyle w:val="964"/>
              <w:ind w:firstLine="0"/>
              <w:spacing w:line="380" w:lineRule="exact"/>
              <w:rPr>
                <w:rFonts w:cs="宋体"/>
                <w:sz w:val="24"/>
                <w:szCs w:val="24"/>
              </w:rPr>
            </w:pPr>
            <w:r>
              <w:rPr>
                <w:rFonts w:hint="eastAsia" w:cs="宋体" w:asciiTheme="minorEastAsia" w:hAnsiTheme="minorEastAsia" w:eastAsiaTheme="minorEastAsia"/>
                <w:sz w:val="24"/>
                <w:szCs w:val="24"/>
              </w:rPr>
              <w:t xml:space="preserve">根据投标供应商所提供的服务技术要求完全满足招标文件技术要求的得40分。招标文件技术要求中加“</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”号条款有一项不满足扣2分，扣完为止。</w:t>
            </w:r>
            <w:r>
              <w:rPr>
                <w:rFonts w:hint="eastAsia" w:cs="宋体" w:asciiTheme="minorEastAsia" w:hAnsiTheme="minorEastAsia" w:eastAsiaTheme="minorEastAsia"/>
                <w:b/>
                <w:bCs/>
                <w:sz w:val="24"/>
                <w:szCs w:val="24"/>
              </w:rPr>
              <w:t xml:space="preserve">有具体要求的按照招标文件要求提供证明资料，以验证符合性，不提供的视为不满足</w:t>
            </w:r>
            <w:r>
              <w:rPr>
                <w:rFonts w:hint="eastAsia" w:cs="宋体"/>
                <w:b/>
                <w:bCs/>
              </w:rPr>
              <w:t xml:space="preserve">。</w:t>
            </w:r>
            <w:r/>
          </w:p>
        </w:tc>
      </w:tr>
      <w:tr>
        <w:trPr>
          <w:jc w:val="center"/>
        </w:trPr>
        <w:tc>
          <w:tcPr>
            <w:tcW w:w="2680" w:type="dxa"/>
            <w:vAlign w:val="center"/>
            <w:textDirection w:val="lrTb"/>
            <w:noWrap w:val="false"/>
          </w:tcPr>
          <w:p>
            <w:pPr>
              <w:jc w:val="center"/>
              <w:spacing w:line="38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技术方案</w:t>
            </w:r>
            <w:r/>
          </w:p>
          <w:p>
            <w:pPr>
              <w:jc w:val="center"/>
              <w:spacing w:line="380" w:lineRule="exact"/>
            </w:pPr>
            <w:r>
              <w:rPr>
                <w:rFonts w:hint="eastAsia" w:cs="宋体" w:asciiTheme="minorEastAsia" w:hAnsiTheme="minorEastAsia" w:eastAsiaTheme="minorEastAsia"/>
                <w:sz w:val="24"/>
                <w:szCs w:val="24"/>
              </w:rPr>
              <w:t xml:space="preserve">（18分）</w:t>
            </w:r>
            <w:r/>
          </w:p>
        </w:tc>
        <w:tc>
          <w:tcPr>
            <w:tcW w:w="5751" w:type="dxa"/>
            <w:vAlign w:val="center"/>
            <w:textDirection w:val="lrTb"/>
            <w:noWrap w:val="false"/>
          </w:tcPr>
          <w:p>
            <w:pPr>
              <w:spacing w:line="380" w:lineRule="exact"/>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1、技术实施方案（5分）：方案优于招标文件要求的，得5分；符合招标文件要求的，得3分；不符合招标文件要求或没有相关内容的，得0分。</w:t>
            </w:r>
            <w:r/>
          </w:p>
          <w:p>
            <w:pPr>
              <w:spacing w:line="380" w:lineRule="exact"/>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2、安装建设方案（5分）：方案优于招标文件要求的，得5分；符合招标文件要求的，得3分；不符合招标文件要求或没有相关内容的，得0分。</w:t>
            </w:r>
            <w:r/>
          </w:p>
          <w:p>
            <w:pPr>
              <w:spacing w:line="380" w:lineRule="exact"/>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3、与现有系统的对接方案（4分）：方案优于招标文件要求的，得4分；符合招标文件要求的，得2分；不符合招标文件要求或没有相关内容的，得0分。</w:t>
            </w:r>
            <w:r/>
          </w:p>
          <w:p>
            <w:pPr>
              <w:spacing w:line="380" w:lineRule="exact"/>
              <w:rPr>
                <w:rFonts w:ascii="宋体" w:hAnsi="宋体" w:cs="宋体"/>
                <w:sz w:val="24"/>
                <w:szCs w:val="24"/>
              </w:rPr>
            </w:pPr>
            <w:r>
              <w:rPr>
                <w:rFonts w:hint="eastAsia" w:asciiTheme="minorEastAsia" w:hAnsiTheme="minorEastAsia" w:eastAsiaTheme="minorEastAsia" w:cstheme="minorBidi"/>
                <w:sz w:val="24"/>
                <w:szCs w:val="24"/>
              </w:rPr>
              <w:t xml:space="preserve">4、投标人需提供针对本项目提供合理的网络传输稳定性方案（4分）：方案优于招标文件要求的，得</w:t>
            </w:r>
            <w:r>
              <w:rPr>
                <w:rFonts w:hint="eastAsia" w:asciiTheme="minorEastAsia" w:hAnsiTheme="minorEastAsia" w:eastAsiaTheme="minorEastAsia" w:cstheme="minorBidi"/>
                <w:sz w:val="24"/>
                <w:szCs w:val="24"/>
                <w:lang w:val="en-US" w:eastAsia="zh-CN"/>
              </w:rPr>
              <w:t xml:space="preserve">4</w:t>
            </w:r>
            <w:bookmarkStart w:id="192" w:name="_GoBack"/>
            <w:r/>
            <w:bookmarkEnd w:id="192"/>
            <w:r>
              <w:rPr>
                <w:rFonts w:hint="eastAsia" w:asciiTheme="minorEastAsia" w:hAnsiTheme="minorEastAsia" w:eastAsiaTheme="minorEastAsia" w:cstheme="minorBidi"/>
                <w:sz w:val="24"/>
                <w:szCs w:val="24"/>
              </w:rPr>
              <w:t xml:space="preserve">分；符合招标文件要求的，得2分；不符合招标文件要求或没有相关内容的，得0分。</w:t>
            </w:r>
            <w:r/>
          </w:p>
        </w:tc>
      </w:tr>
      <w:tr>
        <w:trPr>
          <w:jc w:val="center"/>
        </w:trPr>
        <w:tc>
          <w:tcPr>
            <w:tcW w:w="2680" w:type="dxa"/>
            <w:vAlign w:val="center"/>
            <w:textDirection w:val="lrTb"/>
            <w:noWrap w:val="false"/>
          </w:tcPr>
          <w:p>
            <w:pPr>
              <w:spacing w:line="380" w:lineRule="exact"/>
              <w:rPr>
                <w:rFonts w:ascii="宋体" w:hAnsi="宋体" w:cs="宋体"/>
                <w:sz w:val="24"/>
                <w:szCs w:val="24"/>
              </w:rPr>
            </w:pPr>
            <w:r>
              <w:rPr>
                <w:rFonts w:hint="eastAsia" w:cs="宋体" w:asciiTheme="minorEastAsia" w:hAnsiTheme="minorEastAsia" w:eastAsiaTheme="minorEastAsia"/>
                <w:sz w:val="24"/>
                <w:szCs w:val="24"/>
              </w:rPr>
              <w:t xml:space="preserve">售后服务培训方案（4分）</w:t>
            </w:r>
            <w:r/>
          </w:p>
        </w:tc>
        <w:tc>
          <w:tcPr>
            <w:tcW w:w="5751" w:type="dxa"/>
            <w:textDirection w:val="lrTb"/>
            <w:noWrap w:val="false"/>
          </w:tcPr>
          <w:p>
            <w:pPr>
              <w:spacing w:line="380" w:lineRule="exact"/>
              <w:rPr>
                <w:rFonts w:asciiTheme="minorEastAsia" w:hAnsiTheme="minorEastAsia" w:eastAsiaTheme="minorEastAsia" w:cstheme="minorBidi"/>
                <w:sz w:val="24"/>
                <w:szCs w:val="24"/>
              </w:rPr>
            </w:pPr>
            <w:r>
              <w:rPr>
                <w:rFonts w:hint="eastAsia" w:asciiTheme="minorEastAsia" w:hAnsiTheme="minorEastAsia" w:eastAsiaTheme="minorEastAsia" w:cstheme="minorBidi"/>
                <w:sz w:val="24"/>
                <w:szCs w:val="24"/>
              </w:rPr>
              <w:t xml:space="preserve">售后服务培训方案（4分）：方案优于招标文件要求的，得4分；符合招标文件要求的，得2分；不符合招标文件要求或没有相关内容的，得0分。</w:t>
            </w:r>
            <w:r/>
          </w:p>
          <w:p>
            <w:pPr>
              <w:spacing w:line="380" w:lineRule="exact"/>
              <w:rPr>
                <w:rFonts w:asciiTheme="minorEastAsia" w:hAnsiTheme="minorEastAsia" w:eastAsiaTheme="minorEastAsia" w:cstheme="minorBidi"/>
                <w:sz w:val="24"/>
                <w:szCs w:val="24"/>
              </w:rPr>
            </w:pPr>
            <w:r>
              <w:rPr>
                <w:rFonts w:asciiTheme="minorEastAsia" w:hAnsiTheme="minorEastAsia" w:eastAsiaTheme="minorEastAsia" w:cstheme="minorBidi"/>
                <w:sz w:val="24"/>
                <w:szCs w:val="24"/>
              </w:rPr>
            </w:r>
            <w:r/>
          </w:p>
        </w:tc>
      </w:tr>
      <w:tr>
        <w:trPr>
          <w:jc w:val="center"/>
        </w:trPr>
        <w:tc>
          <w:tcPr>
            <w:tcW w:w="2680" w:type="dxa"/>
            <w:textDirection w:val="lrTb"/>
            <w:noWrap w:val="false"/>
          </w:tcPr>
          <w:p>
            <w:pPr>
              <w:ind w:firstLine="240"/>
              <w:spacing w:line="380" w:lineRule="exact"/>
              <w:rPr>
                <w:rFonts w:asciiTheme="minorEastAsia" w:hAnsiTheme="minorEastAsia" w:eastAsiaTheme="minorEastAsia" w:cstheme="minorBidi"/>
                <w:sz w:val="24"/>
                <w:szCs w:val="24"/>
              </w:rPr>
            </w:pPr>
            <w:r>
              <w:rPr>
                <w:rFonts w:asciiTheme="minorEastAsia" w:hAnsiTheme="minorEastAsia" w:eastAsiaTheme="minorEastAsia" w:cstheme="minorBidi"/>
                <w:sz w:val="24"/>
                <w:szCs w:val="24"/>
              </w:rPr>
            </w:r>
            <w:r/>
          </w:p>
          <w:p>
            <w:pPr>
              <w:ind w:firstLine="480"/>
              <w:spacing w:line="380" w:lineRule="exact"/>
              <w:rPr>
                <w:rFonts w:ascii="宋体" w:hAnsi="宋体" w:cs="宋体"/>
                <w:sz w:val="24"/>
                <w:szCs w:val="24"/>
              </w:rPr>
            </w:pPr>
            <w:r>
              <w:rPr>
                <w:rFonts w:hint="eastAsia" w:asciiTheme="minorEastAsia" w:hAnsiTheme="minorEastAsia" w:eastAsiaTheme="minorEastAsia" w:cstheme="minorBidi"/>
                <w:sz w:val="24"/>
                <w:szCs w:val="24"/>
              </w:rPr>
              <w:t xml:space="preserve">业绩（6分）</w:t>
            </w:r>
            <w:r/>
          </w:p>
        </w:tc>
        <w:tc>
          <w:tcPr>
            <w:tcW w:w="5751" w:type="dxa"/>
            <w:textDirection w:val="lrTb"/>
            <w:noWrap w:val="false"/>
          </w:tcPr>
          <w:p>
            <w:pPr>
              <w:jc w:val="left"/>
              <w:spacing w:line="380" w:lineRule="exact"/>
              <w:rPr>
                <w:rFonts w:ascii="宋体" w:hAnsi="宋体" w:cs="宋体"/>
                <w:sz w:val="24"/>
                <w:szCs w:val="24"/>
              </w:rPr>
              <w:outlineLvl w:val="0"/>
            </w:pPr>
            <w:r>
              <w:rPr>
                <w:rFonts w:hint="eastAsia" w:asciiTheme="minorEastAsia" w:hAnsiTheme="minorEastAsia" w:eastAsiaTheme="minorEastAsia" w:cstheme="minorBidi"/>
                <w:sz w:val="24"/>
                <w:szCs w:val="24"/>
              </w:rPr>
              <w:t xml:space="preserve">投标人2021年1月1日至今承担过与本项目类似的项目业绩，每提供一个得2分，满分6分。</w:t>
            </w:r>
            <w:r>
              <w:rPr>
                <w:rFonts w:hint="eastAsia" w:asciiTheme="minorEastAsia" w:hAnsiTheme="minorEastAsia" w:eastAsiaTheme="minorEastAsia" w:cstheme="minorBidi"/>
                <w:b/>
                <w:bCs/>
                <w:sz w:val="24"/>
                <w:szCs w:val="24"/>
              </w:rPr>
              <w:t xml:space="preserve">（以合同签订时间为准，提供合同原件扫描上传，不提供不得分）</w:t>
            </w:r>
            <w:r/>
          </w:p>
        </w:tc>
      </w:tr>
      <w:tr>
        <w:trPr>
          <w:jc w:val="center"/>
        </w:trPr>
        <w:tc>
          <w:tcPr>
            <w:tcW w:w="2680" w:type="dxa"/>
            <w:vAlign w:val="center"/>
            <w:textDirection w:val="lrTb"/>
            <w:noWrap w:val="false"/>
          </w:tcPr>
          <w:p>
            <w:pPr>
              <w:jc w:val="center"/>
              <w:spacing w:line="280" w:lineRule="exact"/>
              <w:rPr>
                <w:rFonts w:ascii="宋体" w:hAnsi="宋体" w:cs="宋体"/>
                <w:sz w:val="24"/>
                <w:szCs w:val="24"/>
              </w:rPr>
            </w:pPr>
            <w:r>
              <w:rPr>
                <w:rFonts w:hint="eastAsia" w:asciiTheme="minorEastAsia" w:hAnsiTheme="minorEastAsia"/>
                <w:sz w:val="24"/>
                <w:szCs w:val="24"/>
              </w:rPr>
              <w:t xml:space="preserve">节能环保（2分）</w:t>
            </w:r>
            <w:r/>
          </w:p>
        </w:tc>
        <w:tc>
          <w:tcPr>
            <w:tcW w:w="575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spacing w:line="280" w:lineRule="exact"/>
              <w:rPr>
                <w:rFonts w:ascii="宋体" w:hAnsi="宋体" w:cs="宋体"/>
                <w:sz w:val="24"/>
                <w:szCs w:val="24"/>
              </w:rPr>
            </w:pPr>
            <w:r>
              <w:rPr>
                <w:rFonts w:hint="eastAsia" w:ascii="宋体" w:hAnsi="宋体" w:cs="宋体"/>
                <w:sz w:val="24"/>
                <w:szCs w:val="24"/>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r>
        <w:trPr>
          <w:jc w:val="center"/>
        </w:trPr>
        <w:tc>
          <w:tcPr>
            <w:tcW w:w="2680" w:type="dxa"/>
            <w:vAlign w:val="center"/>
            <w:textDirection w:val="lrTb"/>
            <w:noWrap w:val="false"/>
          </w:tcPr>
          <w:p>
            <w:pPr>
              <w:jc w:val="center"/>
              <w:spacing w:line="280" w:lineRule="exact"/>
              <w:widowControl/>
              <w:rPr>
                <w:rFonts w:ascii="宋体" w:hAnsi="宋体" w:cs="宋体"/>
                <w:sz w:val="24"/>
                <w:szCs w:val="24"/>
              </w:rPr>
            </w:pPr>
            <w:r>
              <w:rPr>
                <w:rFonts w:hint="eastAsia" w:ascii="宋体" w:hAnsi="宋体" w:cs="宋体"/>
                <w:sz w:val="24"/>
                <w:szCs w:val="24"/>
              </w:rPr>
              <w:t xml:space="preserve">共计</w:t>
            </w:r>
            <w:r/>
          </w:p>
        </w:tc>
        <w:tc>
          <w:tcPr>
            <w:tcW w:w="5751" w:type="dxa"/>
            <w:vAlign w:val="center"/>
            <w:textDirection w:val="lrTb"/>
            <w:noWrap w:val="false"/>
          </w:tcPr>
          <w:p>
            <w:pPr>
              <w:jc w:val="center"/>
              <w:spacing w:line="280" w:lineRule="exact"/>
              <w:widowControl/>
              <w:rPr>
                <w:rFonts w:ascii="宋体" w:hAnsi="宋体" w:cs="宋体"/>
                <w:sz w:val="24"/>
                <w:szCs w:val="24"/>
              </w:rPr>
            </w:pPr>
            <w:r>
              <w:rPr>
                <w:rFonts w:hint="eastAsia" w:ascii="宋体" w:hAnsi="宋体" w:cs="宋体"/>
                <w:sz w:val="24"/>
                <w:szCs w:val="24"/>
              </w:rPr>
              <w:t xml:space="preserve">100分</w:t>
            </w:r>
            <w:r/>
          </w:p>
        </w:tc>
      </w:tr>
    </w:tbl>
    <w:p>
      <w:pPr>
        <w:pStyle w:val="961"/>
      </w:p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color w:val="000000"/>
          <w:sz w:val="44"/>
          <w:szCs w:val="44"/>
        </w:rPr>
        <w:outlineLvl w:val="0"/>
      </w:pPr>
      <w:r>
        <w:rPr>
          <w:rFonts w:ascii="黑体" w:eastAsia="黑体"/>
          <w:bCs/>
          <w:color w:val="000000"/>
          <w:sz w:val="44"/>
          <w:szCs w:val="28"/>
        </w:rPr>
      </w:r>
      <w:r>
        <w:rPr>
          <w:rFonts w:ascii="黑体" w:eastAsia="黑体"/>
          <w:bCs/>
          <w:color w:val="000000"/>
          <w:sz w:val="44"/>
          <w:szCs w:val="28"/>
        </w:rPr>
      </w:r>
    </w:p>
    <w:p>
      <w:pPr>
        <w:jc w:val="center"/>
        <w:keepNext/>
        <w:rPr>
          <w:rFonts w:ascii="黑体" w:eastAsia="黑体"/>
          <w:bCs/>
          <w:color w:val="000000"/>
          <w:sz w:val="44"/>
          <w:szCs w:val="28"/>
        </w:rPr>
        <w:outlineLvl w:val="0"/>
      </w:pPr>
      <w:r>
        <w:rPr>
          <w:rFonts w:ascii="黑体" w:eastAsia="黑体"/>
          <w:bCs/>
          <w:color w:val="000000"/>
          <w:sz w:val="44"/>
          <w:szCs w:val="28"/>
        </w:rPr>
      </w:r>
      <w:r/>
    </w:p>
    <w:p>
      <w:pPr>
        <w:jc w:val="center"/>
        <w:keepNext/>
        <w:rPr>
          <w:rFonts w:ascii="黑体" w:eastAsia="黑体"/>
          <w:bCs/>
          <w:color w:val="000000"/>
          <w:sz w:val="44"/>
          <w:szCs w:val="28"/>
        </w:rPr>
        <w:outlineLvl w:val="0"/>
      </w:pPr>
      <w:r>
        <w:rPr>
          <w:rFonts w:hint="eastAsia" w:ascii="黑体" w:eastAsia="黑体"/>
          <w:bCs/>
          <w:color w:val="000000"/>
          <w:sz w:val="44"/>
          <w:szCs w:val="28"/>
        </w:rPr>
        <w:t xml:space="preserve">第六章  投标</w:t>
      </w:r>
      <w:bookmarkEnd w:id="183"/>
      <w:r/>
      <w:bookmarkEnd w:id="184"/>
      <w:r/>
      <w:bookmarkEnd w:id="185"/>
      <w:r>
        <w:rPr>
          <w:rFonts w:hint="eastAsia" w:ascii="黑体" w:eastAsia="黑体"/>
          <w:bCs/>
          <w:color w:val="000000"/>
          <w:sz w:val="44"/>
          <w:szCs w:val="28"/>
        </w:rPr>
        <w:t xml:space="preserve">文件格式</w:t>
      </w:r>
      <w:r/>
    </w:p>
    <w:p>
      <w:pPr>
        <w:jc w:val="center"/>
        <w:rPr>
          <w:rFonts w:ascii="宋体" w:hAnsi="宋体"/>
          <w:b/>
          <w:color w:val="000000"/>
          <w:sz w:val="72"/>
          <w:szCs w:val="21"/>
        </w:rPr>
      </w:pPr>
      <w:r/>
      <w:bookmarkStart w:id="186" w:name="_Hlt26955039"/>
      <w:r/>
      <w:bookmarkEnd w:id="186"/>
      <w:r/>
      <w:bookmarkStart w:id="187" w:name="_Hlt26671244"/>
      <w:r/>
      <w:bookmarkEnd w:id="187"/>
      <w:r/>
      <w:bookmarkStart w:id="188" w:name="_Toc120614282"/>
      <w:r/>
      <w:bookmarkStart w:id="189" w:name="_Toc26554094"/>
      <w:r/>
      <w:bookmarkStart w:id="190" w:name="_Toc49090576"/>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5.法人授权书（格式见附件5）</w:t>
      </w:r>
      <w:r/>
    </w:p>
    <w:p>
      <w:pPr>
        <w:ind w:left="480"/>
        <w:spacing w:line="400" w:lineRule="exact"/>
        <w:rPr>
          <w:rFonts w:ascii="宋体" w:hAnsi="宋体"/>
          <w:sz w:val="24"/>
          <w:szCs w:val="21"/>
        </w:rPr>
      </w:pPr>
      <w:r>
        <w:rPr>
          <w:rFonts w:hint="eastAsia" w:ascii="宋体" w:hAnsi="宋体"/>
          <w:sz w:val="24"/>
          <w:szCs w:val="21"/>
        </w:rPr>
        <w:t xml:space="preserve">6.投标函（格式见附件6）</w:t>
      </w:r>
      <w:r/>
    </w:p>
    <w:p>
      <w:pPr>
        <w:ind w:left="480"/>
        <w:spacing w:line="400" w:lineRule="exact"/>
        <w:rPr>
          <w:rFonts w:ascii="宋体" w:hAnsi="宋体"/>
          <w:sz w:val="24"/>
          <w:szCs w:val="21"/>
        </w:rPr>
      </w:pPr>
      <w:r>
        <w:rPr>
          <w:rFonts w:hint="eastAsia" w:ascii="宋体" w:hAnsi="宋体"/>
          <w:sz w:val="24"/>
          <w:szCs w:val="21"/>
        </w:rPr>
        <w:t xml:space="preserve">7.主要标的信息（格式见附件7）</w:t>
      </w:r>
      <w:r/>
    </w:p>
    <w:p>
      <w:pPr>
        <w:ind w:left="480"/>
        <w:spacing w:line="400" w:lineRule="exact"/>
        <w:rPr>
          <w:rFonts w:ascii="宋体" w:hAnsi="宋体"/>
          <w:sz w:val="24"/>
          <w:szCs w:val="21"/>
        </w:rPr>
      </w:pPr>
      <w:r>
        <w:rPr>
          <w:rFonts w:hint="eastAsia" w:ascii="宋体" w:hAnsi="宋体"/>
          <w:sz w:val="24"/>
          <w:szCs w:val="21"/>
        </w:rPr>
        <w:t xml:space="preserve">8.其他</w:t>
      </w:r>
      <w:r/>
    </w:p>
    <w:p>
      <w:pPr>
        <w:pStyle w:val="704"/>
        <w:ind w:firstLine="480"/>
        <w:rPr>
          <w:rFonts w:ascii="宋体" w:hAnsi="宋体"/>
          <w:sz w:val="24"/>
          <w:szCs w:val="21"/>
        </w:rPr>
      </w:pPr>
      <w:r>
        <w:rPr>
          <w:rFonts w:hint="eastAsia" w:ascii="宋体" w:hAnsi="宋体"/>
          <w:sz w:val="24"/>
          <w:szCs w:val="21"/>
        </w:rPr>
        <w:t xml:space="preserve">****（格式</w:t>
      </w:r>
      <w:r>
        <w:rPr>
          <w:rFonts w:ascii="宋体" w:hAnsi="宋体"/>
          <w:sz w:val="24"/>
          <w:szCs w:val="21"/>
        </w:rPr>
        <w:t xml:space="preserve">见附件</w:t>
      </w:r>
      <w:r>
        <w:rPr>
          <w:rFonts w:hint="eastAsia" w:ascii="宋体" w:hAnsi="宋体"/>
          <w:sz w:val="24"/>
          <w:szCs w:val="21"/>
        </w:rPr>
        <w:t xml:space="preserve">**）</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firstLine="480"/>
        <w:jc w:val="left"/>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firstLine="480"/>
        <w:jc w:val="left"/>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8）</w:t>
      </w:r>
      <w:r/>
    </w:p>
    <w:p>
      <w:pPr>
        <w:ind w:firstLine="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9）</w:t>
      </w:r>
      <w:r/>
    </w:p>
    <w:p>
      <w:pPr>
        <w:ind w:left="480"/>
        <w:spacing w:line="400" w:lineRule="exact"/>
        <w:rPr>
          <w:rFonts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rPr>
        <w:t xml:space="preserve">10）</w:t>
      </w:r>
      <w:r/>
    </w:p>
    <w:p>
      <w:pPr>
        <w:ind w:firstLine="480"/>
        <w:spacing w:line="400" w:lineRule="exact"/>
        <w:rPr>
          <w:rFonts w:ascii="宋体" w:hAnsi="宋体"/>
          <w:sz w:val="24"/>
          <w:szCs w:val="21"/>
        </w:rPr>
      </w:pPr>
      <w:r>
        <w:rPr>
          <w:rFonts w:hint="eastAsia" w:ascii="宋体" w:hAnsi="宋体"/>
          <w:sz w:val="24"/>
          <w:szCs w:val="21"/>
        </w:rPr>
        <w:t xml:space="preserve">7.</w:t>
      </w:r>
      <w:r>
        <w:rPr>
          <w:rFonts w:ascii="宋体" w:hAnsi="宋体"/>
          <w:sz w:val="24"/>
          <w:szCs w:val="21"/>
        </w:rPr>
        <w:t xml:space="preserve">企业报价折扣证明文件：</w:t>
      </w:r>
      <w:r/>
    </w:p>
    <w:p>
      <w:pPr>
        <w:ind w:firstLine="720"/>
        <w:spacing w:line="400" w:lineRule="exact"/>
        <w:rPr>
          <w:rFonts w:ascii="宋体" w:hAnsi="宋体"/>
          <w:color w:val="ff0000"/>
          <w:sz w:val="24"/>
          <w:szCs w:val="21"/>
        </w:rPr>
      </w:pPr>
      <w:r>
        <w:rPr>
          <w:rFonts w:hint="eastAsia" w:ascii="宋体" w:hAnsi="宋体"/>
          <w:sz w:val="24"/>
          <w:szCs w:val="21"/>
        </w:rPr>
        <w:t xml:space="preserve">中小企业声明函（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spacing w:line="400" w:lineRule="exact"/>
        <w:rPr>
          <w:rFonts w:ascii="宋体" w:hAnsi="宋体"/>
          <w:color w:val="ff0000"/>
          <w:sz w:val="24"/>
          <w:szCs w:val="21"/>
        </w:rPr>
      </w:pPr>
      <w:r>
        <w:rPr>
          <w:rFonts w:hint="eastAsia" w:ascii="宋体" w:hAnsi="宋体"/>
          <w:sz w:val="24"/>
          <w:szCs w:val="21"/>
        </w:rPr>
        <w:t xml:space="preserve">残疾人福利性单位声明函（格式见附件12）。</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spacing w:line="400" w:lineRule="exact"/>
        <w:rPr>
          <w:rFonts w:ascii="宋体" w:hAnsi="宋体"/>
          <w:sz w:val="24"/>
          <w:szCs w:val="21"/>
        </w:rPr>
      </w:pPr>
      <w:r>
        <w:rPr>
          <w:rFonts w:hint="eastAsia" w:ascii="宋体" w:hAnsi="宋体"/>
          <w:sz w:val="24"/>
          <w:szCs w:val="21"/>
        </w:rPr>
        <w:t xml:space="preserve">监狱企业的证明文件。</w:t>
      </w:r>
      <w:r/>
    </w:p>
    <w:p>
      <w:pPr>
        <w:pStyle w:val="704"/>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8.联合体协议（格式见附件13）。</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szCs w:val="21"/>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，则必须提供。</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w:t>
      </w:r>
      <w:r>
        <w:rPr>
          <w:rFonts w:hint="eastAsia" w:ascii="宋体" w:hAnsi="宋体"/>
          <w:sz w:val="24"/>
          <w:szCs w:val="21"/>
        </w:rPr>
        <w:t xml:space="preserve">响应，并按照招标文件要求提供证明材料，否则做无效投标处理。（格式见附件14）</w:t>
      </w:r>
      <w:r/>
    </w:p>
    <w:p>
      <w:pPr>
        <w:ind w:firstLine="482"/>
        <w:spacing w:line="400" w:lineRule="exact"/>
        <w:rPr>
          <w:rFonts w:ascii="宋体" w:hAnsi="宋体"/>
          <w:b/>
          <w:bCs/>
          <w:sz w:val="24"/>
          <w:szCs w:val="21"/>
        </w:rPr>
      </w:pPr>
      <w:r>
        <w:rPr>
          <w:rFonts w:hint="eastAsia" w:ascii="宋体" w:hAnsi="宋体"/>
          <w:b/>
          <w:bCs/>
          <w:sz w:val="24"/>
          <w:szCs w:val="21"/>
        </w:rPr>
        <w:t xml:space="preserve">四、价格扣除证明文件</w:t>
      </w:r>
      <w:r/>
    </w:p>
    <w:p>
      <w:pPr>
        <w:ind w:firstLine="480"/>
        <w:spacing w:line="400" w:lineRule="exact"/>
        <w:rPr>
          <w:rFonts w:ascii="宋体" w:hAnsi="宋体"/>
          <w:sz w:val="24"/>
          <w:szCs w:val="21"/>
        </w:rPr>
      </w:pPr>
      <w:r>
        <w:rPr>
          <w:rFonts w:hint="eastAsia" w:ascii="宋体" w:hAnsi="宋体"/>
          <w:sz w:val="24"/>
          <w:szCs w:val="21"/>
        </w:rPr>
        <w:t xml:space="preserve">1.中小企业声明函（格式见附件11）</w:t>
      </w:r>
      <w:r/>
    </w:p>
    <w:p>
      <w:pPr>
        <w:ind w:firstLine="480"/>
        <w:spacing w:line="400" w:lineRule="exact"/>
        <w:rPr>
          <w:rFonts w:ascii="宋体" w:hAnsi="宋体"/>
          <w:sz w:val="24"/>
          <w:szCs w:val="21"/>
        </w:rPr>
      </w:pPr>
      <w:r>
        <w:rPr>
          <w:rFonts w:hint="eastAsia" w:ascii="宋体" w:hAnsi="宋体"/>
          <w:sz w:val="24"/>
          <w:szCs w:val="21"/>
        </w:rPr>
        <w:t xml:space="preserve">2.残疾人福利性单位声明函（格式见附件12）</w:t>
      </w:r>
      <w:r/>
    </w:p>
    <w:p>
      <w:pPr>
        <w:rPr>
          <w:rFonts w:ascii="宋体" w:hAnsi="宋体"/>
          <w:b/>
          <w:sz w:val="24"/>
          <w:szCs w:val="21"/>
        </w:rPr>
      </w:pPr>
      <w:r>
        <w:rPr>
          <w:rFonts w:ascii="宋体" w:hAnsi="宋体"/>
          <w:b/>
          <w:sz w:val="24"/>
          <w:szCs w:val="21"/>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b/>
          <w:bCs/>
          <w:sz w:val="24"/>
          <w:szCs w:val="24"/>
        </w:rPr>
      </w:pPr>
      <w:r>
        <w:rPr>
          <w:rFonts w:hint="eastAsia" w:ascii="宋体" w:hAnsi="宋体"/>
          <w:sz w:val="24"/>
          <w:szCs w:val="24"/>
        </w:rPr>
        <w:t xml:space="preserve">采购包号：</w:t>
      </w:r>
      <w:r/>
    </w:p>
    <w:tbl>
      <w:tblPr>
        <w:tblStyle w:val="697"/>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b/>
                <w:bCs/>
                <w:sz w:val="24"/>
                <w:szCs w:val="24"/>
              </w:rPr>
            </w:pPr>
            <w:r>
              <w:rPr>
                <w:rFonts w:hint="eastAsia" w:ascii="宋体" w:hAnsi="宋体" w:cs="宋体"/>
                <w:b/>
                <w:bCs/>
                <w:sz w:val="24"/>
                <w:szCs w:val="24"/>
              </w:rPr>
              <w:t xml:space="preserve">                            </w:t>
            </w:r>
            <w:r>
              <w:rPr>
                <w:rFonts w:hint="eastAsia" w:ascii="宋体" w:hAnsi="宋体"/>
                <w:b/>
                <w:bCs/>
                <w:sz w:val="24"/>
                <w:szCs w:val="24"/>
              </w:rPr>
              <w:t xml:space="preserve">投标总报价</w:t>
            </w:r>
            <w:r/>
          </w:p>
        </w:tc>
      </w:tr>
      <w:tr>
        <w:trPr>
          <w:cantSplit/>
          <w:trHeight w:val="725"/>
        </w:trPr>
        <w:tc>
          <w:tcPr>
            <w:gridSpan w:val="2"/>
            <w:tcW w:w="888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 xml:space="preserve">元</w:t>
            </w:r>
            <w:r>
              <w:rPr>
                <w:rFonts w:ascii="宋体" w:hAnsi="宋体" w:cs="宋体"/>
                <w:sz w:val="24"/>
                <w:szCs w:val="24"/>
              </w:rPr>
              <w:t xml:space="preserve">）</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p>
    <w:p>
      <w:pPr>
        <w:rPr>
          <w:rFonts w:ascii="宋体" w:hAnsi="宋体"/>
          <w:b/>
          <w:sz w:val="24"/>
          <w:szCs w:val="24"/>
        </w:rPr>
      </w:pPr>
      <w:r>
        <w:rPr>
          <w:rFonts w:ascii="宋体" w:hAnsi="宋体"/>
          <w:b/>
          <w:sz w:val="24"/>
          <w:szCs w:val="24"/>
        </w:rPr>
      </w:r>
      <w:r/>
    </w:p>
    <w:tbl>
      <w:tblPr>
        <w:tblStyle w:val="697"/>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gridSpan w:val="8"/>
            <w:tcW w:w="803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宋体" w:hAnsi="宋体"/>
          <w:sz w:val="24"/>
          <w:szCs w:val="21"/>
        </w:rPr>
      </w:pPr>
      <w:r>
        <w:rPr>
          <w:rFonts w:hint="eastAsia" w:ascii="宋体" w:hAnsi="宋体"/>
          <w:sz w:val="24"/>
          <w:szCs w:val="21"/>
        </w:rPr>
        <w:t xml:space="preserve">3.投标人需认真填写本报价表，尤其注意规格型号的准确填写。</w:t>
      </w:r>
      <w:r/>
    </w:p>
    <w:p>
      <w:pPr>
        <w:spacing w:line="400" w:lineRule="exact"/>
        <w:rPr>
          <w:rFonts w:ascii="宋体" w:hAnsi="宋体"/>
          <w:sz w:val="24"/>
          <w:szCs w:val="24"/>
        </w:rPr>
      </w:pPr>
      <w:r>
        <w:rPr>
          <w:rFonts w:hint="eastAsia" w:ascii="宋体" w:hAnsi="宋体"/>
          <w:sz w:val="24"/>
          <w:szCs w:val="21"/>
        </w:rPr>
        <w:t xml:space="preserve">4.项目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pStyle w:val="704"/>
        <w:ind w:firstLine="0"/>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p>
      <w:pPr>
        <w:rPr>
          <w:rFonts w:ascii="宋体" w:hAnsi="宋体"/>
          <w:b/>
          <w:sz w:val="24"/>
          <w:szCs w:val="24"/>
        </w:rPr>
      </w:pPr>
      <w:r>
        <w:rPr>
          <w:rFonts w:ascii="宋体" w:hAnsi="宋体"/>
          <w:b/>
          <w:sz w:val="24"/>
          <w:szCs w:val="24"/>
        </w:rPr>
      </w:r>
      <w:r/>
    </w:p>
    <w:tbl>
      <w:tblPr>
        <w:tblStyle w:val="697"/>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704"/>
        <w:ind w:firstLine="0"/>
        <w:rPr>
          <w:rFonts w:ascii="宋体" w:hAnsi="宋体"/>
          <w:sz w:val="24"/>
          <w:szCs w:val="24"/>
        </w:rPr>
      </w:pPr>
      <w:r>
        <w:rPr>
          <w:rFonts w:ascii="宋体" w:hAnsi="宋体"/>
          <w:sz w:val="24"/>
          <w:szCs w:val="24"/>
        </w:rPr>
      </w:r>
      <w:r/>
    </w:p>
    <w:p>
      <w:pPr>
        <w:pStyle w:val="704"/>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p>
      <w:pPr>
        <w:rPr>
          <w:rFonts w:ascii="宋体" w:hAnsi="宋体"/>
          <w:b/>
          <w:sz w:val="24"/>
          <w:szCs w:val="24"/>
        </w:rPr>
      </w:pPr>
      <w:r>
        <w:rPr>
          <w:rFonts w:ascii="宋体" w:hAnsi="宋体"/>
          <w:b/>
          <w:sz w:val="24"/>
          <w:szCs w:val="24"/>
        </w:rPr>
      </w:r>
      <w:r/>
    </w:p>
    <w:tbl>
      <w:tblPr>
        <w:tblStyle w:val="697"/>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                        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致：扬州市公共资源交易中心邗江分中心：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spacing w:line="419" w:lineRule="atLeast"/>
        <w:rPr>
          <w:rFonts w:ascii="宋体" w:hAnsi="宋体"/>
          <w:color w:val="000000"/>
          <w:sz w:val="24"/>
          <w:szCs w:val="21"/>
        </w:rPr>
        <w:pBdr>
          <w:top w:val="none" w:color="000000" w:sz="0" w:space="0"/>
          <w:left w:val="none" w:color="000000" w:sz="0" w:space="0"/>
          <w:bottom w:val="none" w:color="000000" w:sz="0" w:space="0"/>
          <w:right w:val="none" w:color="000000" w:sz="0" w:space="0"/>
        </w:pBdr>
      </w:pPr>
      <w:r>
        <w:rPr>
          <w:rFonts w:ascii="宋体" w:hAnsi="宋体"/>
          <w:color w:val="000000"/>
          <w:sz w:val="24"/>
          <w:szCs w:val="21"/>
        </w:rPr>
        <w:t xml:space="preserve">7.我方为：□大型企业 □中型企业 □小型企业 □微型企业（在对应□内打“√”）</w:t>
      </w:r>
      <w:r/>
    </w:p>
    <w:p>
      <w:pPr>
        <w:ind w:left="425"/>
        <w:jc w:val="left"/>
        <w:spacing w:line="420" w:lineRule="exact"/>
        <w:rPr>
          <w:rFonts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期：______年____月____日</w:t>
      </w:r>
      <w:r/>
    </w:p>
    <w:p>
      <w:pPr>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0"/>
        <w:rPr>
          <w:rFonts w:ascii="宋体" w:hAnsi="宋体"/>
          <w:b/>
          <w:color w:val="0b5fd1"/>
          <w:sz w:val="24"/>
          <w:szCs w:val="24"/>
        </w:rPr>
      </w:pPr>
      <w:r>
        <w:rPr>
          <w:rFonts w:hint="eastAsia" w:ascii="宋体" w:hAnsi="宋体" w:eastAsia="宋体"/>
          <w:b/>
          <w:color w:val="000000"/>
          <w:sz w:val="24"/>
          <w:szCs w:val="21"/>
        </w:rPr>
        <w:t xml:space="preserve">附件7   </w:t>
      </w:r>
      <w:r>
        <w:rPr>
          <w:rFonts w:hint="eastAsia" w:ascii="宋体" w:hAnsi="宋体"/>
          <w:b/>
          <w:color w:val="000000"/>
          <w:sz w:val="24"/>
          <w:szCs w:val="21"/>
        </w:rPr>
        <w:t xml:space="preserve">      </w:t>
      </w:r>
      <w:r>
        <w:rPr>
          <w:rFonts w:hint="eastAsia" w:ascii="宋体" w:hAnsi="宋体" w:eastAsia="宋体"/>
          <w:b/>
          <w:color w:val="000000"/>
          <w:sz w:val="24"/>
          <w:szCs w:val="21"/>
        </w:rPr>
        <w:t xml:space="preserve">  主要标的信息（中标后将公示）</w:t>
      </w:r>
      <w:r/>
    </w:p>
    <w:p>
      <w:pPr>
        <w:spacing w:after="312" w:line="360" w:lineRule="auto"/>
        <w:rPr>
          <w:rFonts w:ascii="宋体" w:hAnsi="宋体"/>
          <w:b/>
          <w:sz w:val="24"/>
          <w:szCs w:val="24"/>
        </w:rPr>
      </w:pPr>
      <w:r>
        <w:rPr>
          <w:rFonts w:hint="eastAsia" w:ascii="宋体" w:hAnsi="宋体"/>
          <w:sz w:val="24"/>
          <w:szCs w:val="24"/>
        </w:rPr>
        <w:t xml:space="preserve">投标人全称：</w:t>
      </w:r>
      <w:r/>
    </w:p>
    <w:tbl>
      <w:tblPr>
        <w:tblStyle w:val="697"/>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482"/>
        <w:rPr>
          <w:rFonts w:ascii="宋体" w:hAnsi="宋体"/>
          <w:b/>
          <w:color w:val="000000"/>
          <w:sz w:val="24"/>
          <w:szCs w:val="21"/>
        </w:rPr>
      </w:pPr>
      <w:r>
        <w:rPr>
          <w:rFonts w:ascii="宋体" w:hAnsi="宋体"/>
          <w:b/>
          <w:color w:val="000000"/>
          <w:sz w:val="24"/>
          <w:szCs w:val="21"/>
        </w:rPr>
      </w:r>
      <w:r/>
    </w:p>
    <w:p>
      <w:pPr>
        <w:pStyle w:val="704"/>
        <w:ind w:firstLine="0"/>
        <w:rPr>
          <w:rFonts w:ascii="宋体" w:hAnsi="宋体" w:eastAsia="宋体"/>
          <w:b/>
          <w:color w:val="000000"/>
          <w:sz w:val="24"/>
          <w:szCs w:val="21"/>
        </w:rPr>
      </w:pPr>
      <w:r>
        <w:rPr>
          <w:rFonts w:hint="eastAsia" w:ascii="宋体" w:hAnsi="宋体" w:eastAsia="宋体"/>
          <w:b/>
          <w:color w:val="000000"/>
          <w:sz w:val="24"/>
          <w:szCs w:val="21"/>
        </w:rPr>
        <w:t xml:space="preserve">附件8</w:t>
      </w:r>
      <w:r/>
    </w:p>
    <w:p>
      <w:pPr>
        <w:ind w:firstLine="1205"/>
        <w:rPr>
          <w:rFonts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spacing w:line="460" w:lineRule="exact"/>
        <w:rPr>
          <w:rFonts w:ascii="宋体" w:hAnsi="宋体"/>
          <w:bCs/>
          <w:color w:val="000000"/>
          <w:sz w:val="24"/>
          <w:szCs w:val="21"/>
        </w:rPr>
      </w:pPr>
      <w:r>
        <w:rPr>
          <w:rFonts w:ascii="宋体" w:hAnsi="宋体"/>
          <w:bCs/>
          <w:color w:val="000000"/>
          <w:sz w:val="24"/>
          <w:szCs w:val="21"/>
        </w:rPr>
      </w:r>
      <w:r/>
    </w:p>
    <w:p>
      <w:pPr>
        <w:pStyle w:val="704"/>
        <w:ind w:firstLine="0"/>
        <w:rPr>
          <w:rFonts w:ascii="宋体" w:hAnsi="宋体"/>
          <w:b/>
          <w:color w:val="000000"/>
          <w:sz w:val="24"/>
          <w:szCs w:val="21"/>
        </w:rPr>
      </w:pPr>
      <w:r>
        <w:rPr>
          <w:rFonts w:hint="eastAsia" w:ascii="宋体" w:hAnsi="宋体" w:eastAsia="宋体"/>
          <w:b/>
          <w:color w:val="000000"/>
          <w:sz w:val="24"/>
          <w:szCs w:val="21"/>
        </w:rPr>
        <w:t xml:space="preserve">附件9</w:t>
      </w:r>
      <w:r>
        <w:rPr>
          <w:rFonts w:hint="eastAsia" w:ascii="宋体" w:hAnsi="宋体"/>
          <w:bCs/>
          <w:color w:val="000000"/>
          <w:sz w:val="24"/>
          <w:szCs w:val="21"/>
        </w:rPr>
        <w:t xml:space="preserve">                        </w:t>
      </w:r>
      <w:r/>
    </w:p>
    <w:p>
      <w:pPr>
        <w:ind w:left="480"/>
        <w:rPr>
          <w:rFonts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bookmarkEnd w:id="188"/>
      <w:r/>
      <w:bookmarkEnd w:id="189"/>
      <w:r/>
      <w:bookmarkEnd w:id="190"/>
      <w:r/>
      <w:bookmarkStart w:id="191" w:name="_Toc120614284"/>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spacing w:line="500" w:lineRule="exact"/>
        <w:rPr>
          <w:rFonts w:ascii="宋体" w:hAnsi="宋体" w:eastAsia="等线"/>
          <w:b/>
          <w:sz w:val="24"/>
          <w:szCs w:val="24"/>
        </w:rPr>
      </w:pPr>
      <w:r>
        <w:rPr>
          <w:rFonts w:hint="eastAsia" w:ascii="宋体" w:hAnsi="宋体"/>
          <w:b/>
          <w:color w:val="000000"/>
          <w:sz w:val="24"/>
          <w:szCs w:val="21"/>
        </w:rPr>
        <w:t xml:space="preserve">附件10  </w:t>
      </w:r>
      <w:r>
        <w:rPr>
          <w:rFonts w:ascii="宋体" w:hAnsi="宋体"/>
          <w:b/>
          <w:color w:val="000000"/>
          <w:sz w:val="24"/>
          <w:szCs w:val="21"/>
        </w:rPr>
        <w:t xml:space="preserve">  </w:t>
      </w:r>
      <w:r>
        <w:rPr>
          <w:rFonts w:hint="eastAsia" w:ascii="宋体" w:hAnsi="宋体"/>
          <w:b/>
          <w:color w:val="000000"/>
          <w:sz w:val="24"/>
          <w:szCs w:val="21"/>
        </w:rPr>
        <w:t xml:space="preserve">                 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t xml:space="preserve">       </w:t>
      </w:r>
      <w:r>
        <w:rPr>
          <w:rFonts w:hint="eastAsia" w:ascii="宋体" w:hAnsi="宋体"/>
          <w:b/>
          <w:color w:val="000000"/>
          <w:sz w:val="24"/>
          <w:szCs w:val="21"/>
        </w:rPr>
        <w:t xml:space="preserve">        </w:t>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keepLines/>
        <w:keepNext/>
        <w:spacing w:before="260" w:after="260" w:line="416" w:lineRule="auto"/>
        <w:rPr>
          <w:rFonts w:ascii="宋体" w:hAnsi="宋体"/>
          <w:b/>
          <w:color w:val="000000"/>
          <w:sz w:val="24"/>
          <w:szCs w:val="21"/>
        </w:rPr>
        <w:outlineLvl w:val="1"/>
      </w:pPr>
      <w:r>
        <w:rPr>
          <w:rFonts w:ascii="宋体" w:hAnsi="宋体"/>
          <w:b/>
          <w:color w:val="000000"/>
          <w:sz w:val="24"/>
          <w:szCs w:val="21"/>
        </w:rPr>
      </w:r>
      <w:r/>
    </w:p>
    <w:p>
      <w:pPr>
        <w:ind w:left="420" w:firstLine="482"/>
        <w:jc w:val="left"/>
        <w:spacing w:line="420" w:lineRule="exact"/>
        <w:rPr>
          <w:rFonts w:ascii="宋体" w:hAnsi="宋体"/>
          <w:color w:val="000000"/>
          <w:sz w:val="24"/>
          <w:szCs w:val="21"/>
        </w:rPr>
      </w:pPr>
      <w:r>
        <w:rPr>
          <w:rFonts w:ascii="宋体" w:hAnsi="宋体"/>
          <w:b/>
          <w:color w:val="000000"/>
          <w:sz w:val="24"/>
          <w:szCs w:val="21"/>
        </w:rPr>
        <w:t xml:space="preserve"> </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698"/>
      </w:pPr>
      <w:r/>
      <w:r/>
    </w:p>
    <w:p>
      <w:pPr>
        <w:spacing w:line="560" w:lineRule="exact"/>
        <w:rPr>
          <w:rFonts w:ascii="宋体" w:hAnsi="宋体"/>
          <w:b/>
          <w:color w:val="ff0000"/>
          <w:sz w:val="24"/>
          <w:szCs w:val="21"/>
        </w:rPr>
      </w:pPr>
      <w:r>
        <w:rPr>
          <w:rFonts w:ascii="宋体" w:hAnsi="宋体"/>
          <w:b/>
          <w:color w:val="ff0000"/>
          <w:sz w:val="24"/>
          <w:szCs w:val="21"/>
        </w:rPr>
      </w:r>
      <w:r/>
    </w:p>
    <w:p>
      <w:pPr>
        <w:ind w:firstLine="241"/>
        <w:spacing w:line="560" w:lineRule="exact"/>
        <w:rPr>
          <w:rFonts w:ascii="宋体" w:hAnsi="宋体"/>
          <w:b/>
          <w:sz w:val="24"/>
          <w:szCs w:val="21"/>
        </w:rPr>
      </w:pPr>
      <w:r>
        <w:rPr>
          <w:rFonts w:hint="eastAsia" w:ascii="宋体" w:hAnsi="宋体"/>
          <w:b/>
          <w:sz w:val="24"/>
          <w:szCs w:val="21"/>
        </w:rPr>
        <w:t xml:space="preserve">附件11 </w:t>
      </w:r>
      <w:r>
        <w:rPr>
          <w:rFonts w:ascii="宋体" w:hAnsi="宋体"/>
          <w:b/>
          <w:sz w:val="24"/>
          <w:szCs w:val="21"/>
        </w:rPr>
        <w:t xml:space="preserve"> </w:t>
      </w:r>
      <w:r>
        <w:rPr>
          <w:rFonts w:hint="eastAsia" w:ascii="宋体" w:hAnsi="宋体"/>
          <w:b/>
          <w:sz w:val="24"/>
          <w:szCs w:val="21"/>
        </w:rPr>
        <w:t xml:space="preserve">    中小企业声明函（货物类项目）（采购包号：**）</w:t>
      </w:r>
      <w:r/>
    </w:p>
    <w:p>
      <w:pPr>
        <w:ind w:firstLine="480"/>
        <w:spacing w:line="400" w:lineRule="exact"/>
        <w:rPr>
          <w:rFonts w:ascii="宋体" w:hAnsi="宋体" w:cs="宋体"/>
          <w:sz w:val="24"/>
          <w:szCs w:val="24"/>
        </w:rPr>
      </w:pPr>
      <w:r>
        <w:rPr>
          <w:rFonts w:ascii="宋体" w:hAnsi="宋体" w:cs="宋体"/>
          <w:sz w:val="24"/>
          <w:szCs w:val="24"/>
        </w:rPr>
      </w:r>
      <w:r/>
    </w:p>
    <w:p>
      <w:pPr>
        <w:ind w:firstLine="480"/>
        <w:spacing w:line="400" w:lineRule="exact"/>
        <w:rPr>
          <w:rFonts w:ascii="宋体" w:hAnsi="宋体" w:cs="宋体"/>
          <w:sz w:val="24"/>
          <w:szCs w:val="24"/>
        </w:rPr>
      </w:pPr>
      <w:r>
        <w:rPr>
          <w:rFonts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rPr>
        <w:t xml:space="preserve">扬州市公共资源交易中心组织</w:t>
      </w:r>
      <w:r>
        <w:rPr>
          <w:rFonts w:ascii="宋体" w:hAnsi="宋体" w:cs="宋体"/>
          <w:sz w:val="24"/>
          <w:szCs w:val="24"/>
        </w:rPr>
        <w:t xml:space="preserve">的</w:t>
      </w:r>
      <w:r>
        <w:rPr>
          <w:rFonts w:ascii="宋体" w:hAnsi="宋体" w:cs="宋体"/>
          <w:sz w:val="24"/>
          <w:szCs w:val="24"/>
          <w:u w:val="single"/>
        </w:rPr>
        <w:t xml:space="preserve">（项目名称）</w:t>
      </w:r>
      <w:r>
        <w:rPr>
          <w:rFonts w:hint="eastAsia" w:ascii="宋体" w:hAnsi="宋体" w:cs="宋体"/>
          <w:sz w:val="24"/>
          <w:szCs w:val="24"/>
          <w:u w:val="single"/>
        </w:rPr>
        <w:t xml:space="preserve">，（项目编号）</w:t>
      </w:r>
      <w:r>
        <w:rPr>
          <w:rFonts w:hint="eastAsia" w:ascii="宋体" w:hAnsi="宋体" w:cs="宋体"/>
          <w:sz w:val="24"/>
          <w:szCs w:val="24"/>
        </w:rPr>
        <w:t xml:space="preserve">的</w:t>
      </w:r>
      <w:r>
        <w:rPr>
          <w:rFonts w:ascii="宋体"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 </w:t>
      </w:r>
      <w:r/>
    </w:p>
    <w:p>
      <w:pPr>
        <w:ind w:firstLine="480"/>
        <w:spacing w:line="400" w:lineRule="exact"/>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 xml:space="preserve">，属于</w:t>
      </w:r>
      <w:r>
        <w:rPr>
          <w:rFonts w:ascii="宋体" w:hAnsi="宋体" w:cs="宋体"/>
          <w:sz w:val="24"/>
          <w:szCs w:val="24"/>
          <w:u w:val="single"/>
        </w:rPr>
        <w:t xml:space="preserve">（</w:t>
      </w:r>
      <w:r>
        <w:rPr>
          <w:rFonts w:hint="eastAsia" w:ascii="宋体" w:hAnsi="宋体" w:cs="宋体"/>
          <w:color w:val="ff0000"/>
          <w:sz w:val="24"/>
          <w:szCs w:val="24"/>
          <w:u w:val="single"/>
        </w:rPr>
        <w:t xml:space="preserve">工业</w:t>
      </w:r>
      <w:r>
        <w:rPr>
          <w:rFonts w:ascii="宋体" w:hAnsi="宋体" w:cs="宋体"/>
          <w:sz w:val="24"/>
          <w:szCs w:val="24"/>
          <w:u w:val="single"/>
        </w:rPr>
        <w:t xml:space="preserve">）</w:t>
      </w:r>
      <w:r>
        <w:rPr>
          <w:rFonts w:ascii="宋体" w:hAnsi="宋体" w:cs="宋体"/>
          <w:sz w:val="24"/>
          <w:szCs w:val="24"/>
        </w:rPr>
        <w:t xml:space="preserve">行业；</w:t>
      </w:r>
      <w:r>
        <w:rPr>
          <w:rFonts w:ascii="宋体" w:hAnsi="宋体" w:cs="宋体"/>
          <w:color w:val="ff0000"/>
          <w:sz w:val="24"/>
          <w:szCs w:val="24"/>
        </w:rPr>
        <w:t xml:space="preserve">制造商</w:t>
      </w:r>
      <w:r>
        <w:rPr>
          <w:rFonts w:ascii="宋体" w:hAnsi="宋体" w:cs="宋体"/>
          <w:sz w:val="24"/>
          <w:szCs w:val="24"/>
        </w:rPr>
        <w:t xml:space="preserve">为</w:t>
      </w:r>
      <w:r>
        <w:rPr>
          <w:rFonts w:ascii="宋体" w:hAnsi="宋体" w:cs="宋体"/>
          <w:sz w:val="24"/>
          <w:szCs w:val="24"/>
          <w:u w:val="single"/>
        </w:rPr>
        <w:t xml:space="preserve">（企业名称）</w:t>
      </w:r>
      <w:r>
        <w:rPr>
          <w:rFonts w:ascii="宋体" w:hAnsi="宋体" w:cs="宋体"/>
          <w:sz w:val="24"/>
          <w:szCs w:val="24"/>
        </w:rPr>
        <w:t xml:space="preserve">，从业人员</w:t>
      </w:r>
      <w:r>
        <w:rPr>
          <w:rFonts w:hint="eastAsia" w:ascii="宋体" w:hAnsi="宋体" w:cs="宋体"/>
          <w:sz w:val="24"/>
          <w:szCs w:val="24"/>
          <w:u w:val="single"/>
        </w:rPr>
        <w:t xml:space="preserve">    </w:t>
      </w:r>
      <w:r>
        <w:rPr>
          <w:rFonts w:ascii="宋体" w:hAnsi="宋体" w:cs="宋体"/>
          <w:sz w:val="24"/>
          <w:szCs w:val="24"/>
        </w:rPr>
        <w:t xml:space="preserve">人，营业收入为</w:t>
      </w:r>
      <w:r>
        <w:rPr>
          <w:rFonts w:ascii="宋体" w:hAnsi="宋体" w:cs="宋体"/>
          <w:sz w:val="24"/>
          <w:szCs w:val="24"/>
          <w:u w:val="single"/>
        </w:rPr>
        <w:t xml:space="preserve"> </w:t>
      </w:r>
      <w:r>
        <w:rPr>
          <w:rFonts w:hint="eastAsia" w:ascii="宋体" w:hAnsi="宋体" w:cs="宋体"/>
          <w:sz w:val="24"/>
          <w:szCs w:val="24"/>
          <w:u w:val="single"/>
        </w:rPr>
        <w:t xml:space="preserve">   </w:t>
      </w:r>
      <w:r>
        <w:rPr>
          <w:rFonts w:ascii="宋体" w:hAnsi="宋体" w:cs="宋体"/>
          <w:sz w:val="24"/>
          <w:szCs w:val="24"/>
        </w:rPr>
        <w:t xml:space="preserve">万元，资产总额为 </w:t>
      </w:r>
      <w:r>
        <w:rPr>
          <w:rFonts w:hint="eastAsia" w:ascii="宋体" w:hAnsi="宋体" w:cs="宋体"/>
          <w:sz w:val="24"/>
          <w:szCs w:val="24"/>
          <w:u w:val="single"/>
        </w:rPr>
        <w:t xml:space="preserve">    </w:t>
      </w:r>
      <w:r>
        <w:rPr>
          <w:rFonts w:ascii="宋体" w:hAnsi="宋体" w:cs="宋体"/>
          <w:sz w:val="24"/>
          <w:szCs w:val="24"/>
        </w:rPr>
        <w:t xml:space="preserve">万元</w:t>
      </w:r>
      <w:r>
        <w:rPr>
          <w:rFonts w:hint="eastAsia" w:ascii="宋体" w:hAnsi="宋体" w:cs="宋体"/>
          <w:sz w:val="24"/>
          <w:szCs w:val="24"/>
        </w:rPr>
        <w:t xml:space="preserve">，</w:t>
      </w:r>
      <w:r>
        <w:rPr>
          <w:rFonts w:ascii="宋体" w:hAnsi="宋体" w:cs="宋体"/>
          <w:sz w:val="24"/>
          <w:szCs w:val="24"/>
        </w:rPr>
        <w:t xml:space="preserve">属于（</w:t>
      </w:r>
      <w:r>
        <w:rPr>
          <w:rFonts w:hint="eastAsia" w:ascii="宋体" w:hAnsi="宋体" w:cs="宋体"/>
          <w:sz w:val="24"/>
          <w:szCs w:val="24"/>
          <w:u w:val="single"/>
        </w:rPr>
        <w:t xml:space="preserve">□</w:t>
      </w:r>
      <w:r>
        <w:rPr>
          <w:rFonts w:ascii="宋体" w:hAnsi="宋体" w:cs="宋体"/>
          <w:sz w:val="24"/>
          <w:szCs w:val="24"/>
          <w:u w:val="single"/>
        </w:rPr>
        <w:t xml:space="preserve">中型企业、</w:t>
      </w:r>
      <w:r>
        <w:rPr>
          <w:rFonts w:hint="eastAsia" w:ascii="宋体" w:hAnsi="宋体" w:cs="宋体"/>
          <w:sz w:val="24"/>
          <w:szCs w:val="24"/>
          <w:u w:val="single"/>
        </w:rPr>
        <w:t xml:space="preserve">□</w:t>
      </w:r>
      <w:r>
        <w:rPr>
          <w:rFonts w:ascii="宋体" w:hAnsi="宋体" w:cs="宋体"/>
          <w:sz w:val="24"/>
          <w:szCs w:val="24"/>
          <w:u w:val="single"/>
        </w:rPr>
        <w:t xml:space="preserve">小型企业、</w:t>
      </w:r>
      <w:r>
        <w:rPr>
          <w:rFonts w:hint="eastAsia" w:ascii="宋体" w:hAnsi="宋体" w:cs="宋体"/>
          <w:sz w:val="24"/>
          <w:szCs w:val="24"/>
          <w:u w:val="single"/>
        </w:rPr>
        <w:t xml:space="preserve">□</w:t>
      </w:r>
      <w:r>
        <w:rPr>
          <w:rFonts w:ascii="宋体" w:hAnsi="宋体" w:cs="宋体"/>
          <w:sz w:val="24"/>
          <w:szCs w:val="24"/>
          <w:u w:val="single"/>
        </w:rPr>
        <w:t xml:space="preserve">微型企业</w:t>
      </w:r>
      <w:r>
        <w:rPr>
          <w:rFonts w:ascii="宋体" w:hAnsi="宋体" w:cs="宋体"/>
          <w:sz w:val="24"/>
          <w:szCs w:val="24"/>
        </w:rPr>
        <w:t xml:space="preserve">）；</w:t>
      </w:r>
      <w:r/>
    </w:p>
    <w:p>
      <w:pPr>
        <w:ind w:firstLine="480"/>
        <w:spacing w:line="400" w:lineRule="exact"/>
        <w:rPr>
          <w:rFonts w:ascii="宋体" w:hAnsi="宋体" w:cs="宋体"/>
          <w:sz w:val="24"/>
          <w:szCs w:val="24"/>
        </w:rPr>
      </w:pPr>
      <w:r>
        <w:rPr>
          <w:rFonts w:ascii="宋体" w:hAnsi="宋体" w:cs="宋体"/>
          <w:sz w:val="24"/>
          <w:szCs w:val="24"/>
        </w:rPr>
        <w:t xml:space="preserve"> …… </w:t>
      </w:r>
      <w:r/>
    </w:p>
    <w:p>
      <w:pPr>
        <w:ind w:firstLine="480"/>
        <w:spacing w:line="400" w:lineRule="exact"/>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sz w:val="24"/>
          <w:szCs w:val="24"/>
        </w:rPr>
      </w:pPr>
      <w:r>
        <w:rPr>
          <w:rFonts w:ascii="宋体" w:hAnsi="宋体" w:cs="宋体"/>
          <w:sz w:val="24"/>
          <w:szCs w:val="24"/>
        </w:rPr>
        <w:t xml:space="preserve">本企业对上述声明内容的真实性负责。如有虚假，将依法承担相应责任。 </w:t>
      </w:r>
      <w:r/>
    </w:p>
    <w:p>
      <w:pPr>
        <w:ind w:firstLine="4080"/>
        <w:spacing w:line="400" w:lineRule="exact"/>
        <w:rPr>
          <w:rFonts w:ascii="宋体" w:hAnsi="宋体" w:cs="宋体"/>
          <w:sz w:val="24"/>
          <w:szCs w:val="24"/>
        </w:rPr>
      </w:pPr>
      <w:r>
        <w:rPr>
          <w:rFonts w:ascii="宋体" w:hAnsi="宋体" w:cs="宋体"/>
          <w:sz w:val="24"/>
          <w:szCs w:val="24"/>
        </w:rPr>
      </w:r>
      <w:r/>
    </w:p>
    <w:p>
      <w:pPr>
        <w:ind w:firstLine="4080"/>
        <w:spacing w:line="400" w:lineRule="exact"/>
        <w:rPr>
          <w:rFonts w:ascii="宋体" w:hAnsi="宋体" w:cs="宋体"/>
          <w:sz w:val="24"/>
          <w:szCs w:val="24"/>
        </w:rPr>
      </w:pPr>
      <w:r>
        <w:rPr>
          <w:rFonts w:ascii="宋体" w:hAnsi="宋体" w:cs="宋体"/>
          <w:sz w:val="24"/>
          <w:szCs w:val="24"/>
        </w:rPr>
        <w:t xml:space="preserve">企业名称（</w:t>
      </w:r>
      <w:r>
        <w:rPr>
          <w:rFonts w:hint="eastAsia" w:ascii="宋体" w:hAnsi="宋体" w:cs="宋体"/>
          <w:sz w:val="24"/>
          <w:szCs w:val="24"/>
        </w:rPr>
        <w:t xml:space="preserve">加盖CA电子公章</w:t>
      </w:r>
      <w:r>
        <w:rPr>
          <w:rFonts w:ascii="宋体" w:hAnsi="宋体" w:cs="宋体"/>
          <w:sz w:val="24"/>
          <w:szCs w:val="24"/>
        </w:rPr>
        <w:t xml:space="preserve">）：</w:t>
      </w:r>
      <w:r/>
    </w:p>
    <w:p>
      <w:pPr>
        <w:ind w:firstLine="4800"/>
        <w:spacing w:line="400" w:lineRule="exact"/>
        <w:rPr>
          <w:rFonts w:ascii="宋体" w:hAnsi="宋体"/>
          <w:sz w:val="24"/>
          <w:szCs w:val="24"/>
        </w:rPr>
      </w:pPr>
      <w:r>
        <w:rPr>
          <w:rFonts w:ascii="宋体" w:hAnsi="宋体" w:cs="宋体"/>
          <w:sz w:val="24"/>
          <w:szCs w:val="24"/>
        </w:rPr>
        <w:t xml:space="preserve">日期</w:t>
      </w:r>
      <w:r>
        <w:rPr>
          <w:rFonts w:hint="eastAsia" w:ascii="宋体" w:hAnsi="宋体" w:cs="宋体"/>
          <w:sz w:val="24"/>
          <w:szCs w:val="24"/>
        </w:rPr>
        <w:t xml:space="preserve">：</w:t>
      </w:r>
      <w:r/>
    </w:p>
    <w:p>
      <w:pPr>
        <w:ind w:firstLine="480"/>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jc w:val="left"/>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sz w:val="24"/>
          <w:szCs w:val="24"/>
        </w:rPr>
        <w:t xml:space="preserve">  </w:t>
      </w:r>
      <w:r>
        <w:rPr>
          <w:rFonts w:ascii="宋体" w:hAnsi="宋体"/>
          <w:color w:val="ff0000"/>
          <w:sz w:val="24"/>
          <w:szCs w:val="24"/>
        </w:rPr>
        <w:t xml:space="preserve">                                      </w:t>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697"/>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szCs w:val="21"/>
        </w:rPr>
      </w:pPr>
      <w:r>
        <w:rPr>
          <w:rFonts w:ascii="宋体" w:hAnsi="宋体"/>
          <w:b/>
          <w:color w:val="000000"/>
          <w:sz w:val="24"/>
          <w:szCs w:val="21"/>
        </w:rPr>
        <w:t xml:space="preserve"> </w:t>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b/>
          <w:color w:val="000000"/>
          <w:sz w:val="24"/>
          <w:szCs w:val="21"/>
        </w:rPr>
      </w:pPr>
      <w:r>
        <w:rPr>
          <w:rFonts w:ascii="宋体" w:hAnsi="宋体"/>
          <w:b/>
          <w:color w:val="000000"/>
          <w:sz w:val="24"/>
          <w:szCs w:val="21"/>
        </w:rPr>
      </w:r>
      <w:r/>
    </w:p>
    <w:p>
      <w:pPr>
        <w:pStyle w:val="698"/>
        <w:rPr>
          <w:rFonts w:hAnsi="宋体"/>
          <w:b/>
          <w:szCs w:val="21"/>
        </w:rPr>
      </w:pPr>
      <w:r>
        <w:rPr>
          <w:rFonts w:hAnsi="宋体"/>
          <w:b/>
          <w:szCs w:val="21"/>
        </w:rPr>
      </w:r>
      <w:r/>
    </w:p>
    <w:p>
      <w:r/>
      <w:r/>
    </w:p>
    <w:p>
      <w:pPr>
        <w:spacing w:line="400" w:lineRule="exact"/>
        <w:rPr>
          <w:rFonts w:ascii="宋体" w:hAnsi="宋体"/>
          <w:b/>
          <w:color w:val="000000"/>
          <w:sz w:val="24"/>
          <w:szCs w:val="21"/>
        </w:rPr>
      </w:pPr>
      <w:r>
        <w:rPr>
          <w:rFonts w:ascii="宋体" w:hAnsi="宋体"/>
          <w:b/>
          <w:color w:val="000000"/>
          <w:sz w:val="24"/>
          <w:szCs w:val="21"/>
        </w:rPr>
      </w:r>
      <w:r/>
    </w:p>
    <w:p>
      <w:pPr>
        <w:spacing w:line="400" w:lineRule="exact"/>
        <w:rPr>
          <w:rFonts w:ascii="宋体" w:hAnsi="宋体"/>
          <w:color w:val="ff0000"/>
          <w:sz w:val="24"/>
          <w:szCs w:val="24"/>
        </w:rPr>
      </w:pPr>
      <w:r>
        <w:rPr>
          <w:rFonts w:hint="eastAsia" w:ascii="宋体" w:hAnsi="宋体"/>
          <w:b/>
          <w:sz w:val="24"/>
          <w:szCs w:val="21"/>
        </w:rPr>
        <w:t xml:space="preserve">附件12  </w:t>
      </w:r>
      <w:r>
        <w:rPr>
          <w:rFonts w:hint="eastAsia" w:ascii="宋体" w:hAnsi="宋体"/>
          <w:b/>
          <w:sz w:val="24"/>
          <w:szCs w:val="24"/>
        </w:rPr>
        <w:t xml:space="preserve">残疾人福利性单位声明函（货物类项目）（采购包号：**）</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1"/>
        </w:rPr>
      </w:pPr>
      <w:r>
        <w:rPr>
          <w:rFonts w:ascii="宋体" w:hAnsi="宋体"/>
          <w:b/>
          <w:sz w:val="24"/>
          <w:szCs w:val="21"/>
        </w:rPr>
      </w:r>
      <w:r/>
    </w:p>
    <w:p>
      <w:pPr>
        <w:spacing w:line="400" w:lineRule="exact"/>
        <w:rPr>
          <w:rFonts w:ascii="宋体" w:hAnsi="宋体"/>
          <w:b/>
          <w:sz w:val="24"/>
          <w:szCs w:val="24"/>
        </w:rPr>
      </w:pPr>
      <w:r>
        <w:rPr>
          <w:rFonts w:hint="eastAsia" w:ascii="宋体" w:hAnsi="宋体"/>
          <w:b/>
          <w:sz w:val="24"/>
          <w:szCs w:val="21"/>
        </w:rPr>
        <w:t xml:space="preserve">附件13</w:t>
      </w:r>
      <w:r>
        <w:rPr>
          <w:rFonts w:ascii="宋体" w:hAnsi="宋体"/>
          <w:b/>
          <w:color w:val="000000"/>
          <w:sz w:val="24"/>
          <w:szCs w:val="21"/>
        </w:rPr>
        <w:t xml:space="preserve"> </w:t>
      </w:r>
      <w:r>
        <w:rPr>
          <w:rFonts w:hint="eastAsia" w:ascii="宋体" w:hAnsi="宋体"/>
          <w:b/>
          <w:color w:val="000000"/>
          <w:sz w:val="24"/>
          <w:szCs w:val="21"/>
        </w:rPr>
        <w:t xml:space="preserve">       </w:t>
      </w:r>
      <w:r>
        <w:rPr>
          <w:rFonts w:hint="eastAsia" w:ascii="宋体" w:hAnsi="宋体"/>
          <w:b/>
          <w:sz w:val="24"/>
          <w:szCs w:val="24"/>
        </w:rPr>
        <w:t xml:space="preserve">联合体协议（参考格式）（采购包号：**）</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自愿组成联合体，参加扬州市公共资源交易中心邗江分中心组织的采购编号为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color w:val="000000"/>
          <w:szCs w:val="21"/>
        </w:rPr>
      </w:pPr>
      <w:r>
        <w:rPr>
          <w:color w:val="000000"/>
          <w:szCs w:val="21"/>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697"/>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bookmarkEnd w:id="181"/>
      <w:bookmarkEnd w:id="182"/>
      <w:bookmarkEnd w:id="191"/>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jc w:val="center"/>
        <w:rPr>
          <w:rFonts w:ascii="黑体" w:hAnsi="黑体" w:eastAsia="黑体"/>
          <w:b/>
          <w:bCs/>
          <w:color w:val="000000"/>
          <w:sz w:val="32"/>
          <w:szCs w:val="32"/>
        </w:rPr>
      </w:pPr>
      <w:r>
        <w:rPr>
          <w:rFonts w:ascii="黑体" w:hAnsi="黑体" w:eastAsia="黑体"/>
          <w:b/>
          <w:bCs/>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05"/>
        <w:jc w:val="center"/>
        <w:rPr>
          <w:rFonts w:ascii="宋体" w:hAnsi="宋体" w:eastAsia="宋体" w:cs="宋体"/>
          <w:b/>
          <w:bCs/>
          <w:spacing w:val="-20"/>
          <w:sz w:val="32"/>
          <w:szCs w:val="32"/>
        </w:rPr>
      </w:pPr>
      <w:r>
        <w:rPr>
          <w:rFonts w:ascii="宋体" w:hAnsi="宋体" w:eastAsia="宋体" w:cs="宋体"/>
          <w:b/>
          <w:bCs/>
          <w:spacing w:val="-20"/>
          <w:sz w:val="32"/>
          <w:szCs w:val="32"/>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w:panose1 w:val="020B0502040204020203"/>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PingFang SC">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jc w:val="center"/>
    </w:pPr>
    <w:r>
      <w:fldChar w:fldCharType="begin"/>
    </w:r>
    <w:r>
      <w:instrText xml:space="preserve">PAGE   \* MERGEFORMAT</w:instrText>
    </w:r>
    <w:r>
      <w:fldChar w:fldCharType="separate"/>
    </w:r>
    <w:r>
      <w:rPr>
        <w:lang w:val="zh-CN"/>
      </w:rPr>
      <w:t xml:space="preserve">18</w:t>
    </w:r>
    <w:r>
      <w:fldChar w:fldCharType="end"/>
    </w:r>
    <w:r/>
  </w:p>
  <w:p>
    <w:pPr>
      <w:pStyle w:val="7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39"/>
        <w:rFonts w:ascii="宋体" w:hAnsi="宋体"/>
      </w:rPr>
      <w:framePr w:wrap="around" w:vAnchor="text" w:hAnchor="margin" w:xAlign="center" w:y="1"/>
    </w:pPr>
    <w:r>
      <w:rPr>
        <w:rFonts w:ascii="宋体" w:hAnsi="宋体"/>
      </w:rPr>
      <w:fldChar w:fldCharType="begin"/>
    </w:r>
    <w:r>
      <w:rPr>
        <w:rStyle w:val="739"/>
        <w:rFonts w:ascii="宋体" w:hAnsi="宋体"/>
      </w:rPr>
      <w:instrText xml:space="preserve">PAGE  </w:instrText>
    </w:r>
    <w:r>
      <w:rPr>
        <w:rFonts w:ascii="宋体" w:hAnsi="宋体"/>
      </w:rPr>
      <w:fldChar w:fldCharType="separate"/>
    </w:r>
    <w:r>
      <w:rPr>
        <w:rStyle w:val="739"/>
        <w:rFonts w:ascii="宋体" w:hAnsi="宋体"/>
      </w:rPr>
      <w:t xml:space="preserve">34</w:t>
    </w:r>
    <w:r>
      <w:rPr>
        <w:rFonts w:ascii="宋体" w:hAnsi="宋体"/>
      </w:rPr>
      <w:fldChar w:fldCharType="end"/>
    </w:r>
    <w:r/>
  </w:p>
  <w:p>
    <w:pPr>
      <w:pStyle w:val="720"/>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39"/>
      </w:rPr>
      <w:framePr w:wrap="around" w:vAnchor="text" w:hAnchor="margin" w:xAlign="center" w:y="1"/>
    </w:pPr>
    <w:r>
      <w:fldChar w:fldCharType="begin"/>
    </w:r>
    <w:r>
      <w:rPr>
        <w:rStyle w:val="739"/>
      </w:rPr>
      <w:instrText xml:space="preserve">PAGE  </w:instrText>
    </w:r>
    <w:r>
      <w:fldChar w:fldCharType="separate"/>
    </w:r>
    <w:r>
      <w:rPr>
        <w:rStyle w:val="739"/>
      </w:rPr>
      <w:t xml:space="preserve">1</w:t>
    </w:r>
    <w:r>
      <w:fldChar w:fldCharType="end"/>
    </w:r>
    <w:r/>
  </w:p>
  <w:p>
    <w:pPr>
      <w:pStyle w:val="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692"/>
      <w:isLgl w:val="false"/>
      <w:suff w:val="nothing"/>
      <w:lvlText w:val=""/>
      <w:lvlJc w:val="left"/>
      <w:pPr>
        <w:ind w:left="0" w:firstLine="0"/>
      </w:pPr>
      <w:rPr>
        <w:rFonts w:hint="eastAsia"/>
      </w:rPr>
    </w:lvl>
    <w:lvl w:ilvl="6">
      <w:start w:val="1"/>
      <w:numFmt w:val="none"/>
      <w:pStyle w:val="693"/>
      <w:isLgl w:val="false"/>
      <w:suff w:val="nothing"/>
      <w:lvlText w:val=""/>
      <w:lvlJc w:val="left"/>
      <w:pPr>
        <w:ind w:left="0" w:firstLine="0"/>
      </w:pPr>
      <w:rPr>
        <w:rFonts w:hint="eastAsia"/>
      </w:rPr>
    </w:lvl>
    <w:lvl w:ilvl="7">
      <w:start w:val="1"/>
      <w:numFmt w:val="none"/>
      <w:pStyle w:val="694"/>
      <w:isLgl w:val="false"/>
      <w:suff w:val="nothing"/>
      <w:lvlText w:val=""/>
      <w:lvlJc w:val="left"/>
      <w:pPr>
        <w:ind w:left="0" w:firstLine="0"/>
      </w:pPr>
      <w:rPr>
        <w:rFonts w:hint="eastAsia"/>
      </w:rPr>
    </w:lvl>
    <w:lvl w:ilvl="8">
      <w:start w:val="1"/>
      <w:numFmt w:val="none"/>
      <w:pStyle w:val="695"/>
      <w:isLgl w:val="false"/>
      <w:suff w:val="nothing"/>
      <w:lvlText w:val=""/>
      <w:lvlJc w:val="left"/>
      <w:pPr>
        <w:ind w:left="0" w:firstLine="0"/>
      </w:pPr>
      <w:rPr>
        <w:rFonts w:hint="eastAsia"/>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3"/>
  </w:num>
  <w:num w:numId="5">
    <w:abstractNumId w:val="2"/>
  </w:num>
  <w:num w:numId="6">
    <w:abstractNumId w:val="7"/>
  </w:num>
  <w:num w:numId="7">
    <w:abstractNumId w:val="8"/>
  </w:num>
  <w:num w:numId="8">
    <w:abstractNumId w:val="11"/>
  </w:num>
  <w:num w:numId="9">
    <w:abstractNumId w:val="6"/>
  </w:num>
  <w:num w:numId="10">
    <w:abstractNumId w:val="0"/>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86" w:default="1">
    <w:name w:val="Normal"/>
    <w:next w:val="698"/>
    <w:uiPriority w:val="0"/>
    <w:qFormat/>
    <w:pPr>
      <w:jc w:val="both"/>
      <w:widowControl w:val="off"/>
    </w:pPr>
    <w:rPr>
      <w:rFonts w:ascii="Times New Roman" w:hAnsi="Times New Roman" w:eastAsia="宋体" w:cs="Times New Roman"/>
      <w:sz w:val="21"/>
      <w:szCs w:val="22"/>
      <w:lang w:val="en-US" w:eastAsia="zh-CN" w:bidi="ar-SA"/>
    </w:rPr>
  </w:style>
  <w:style w:type="paragraph" w:styleId="687">
    <w:name w:val="Heading 1"/>
    <w:basedOn w:val="686"/>
    <w:next w:val="686"/>
    <w:link w:val="897"/>
    <w:uiPriority w:val="0"/>
    <w:qFormat/>
    <w:pPr>
      <w:jc w:val="center"/>
      <w:keepNext/>
      <w:outlineLvl w:val="0"/>
    </w:pPr>
    <w:rPr>
      <w:rFonts w:ascii="楷体_GB2312" w:eastAsia="楷体_GB2312"/>
      <w:sz w:val="28"/>
      <w:szCs w:val="28"/>
    </w:rPr>
  </w:style>
  <w:style w:type="paragraph" w:styleId="688">
    <w:name w:val="Heading 2"/>
    <w:basedOn w:val="686"/>
    <w:next w:val="699"/>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89">
    <w:name w:val="Heading 3"/>
    <w:basedOn w:val="686"/>
    <w:next w:val="699"/>
    <w:link w:val="900"/>
    <w:uiPriority w:val="0"/>
    <w:qFormat/>
    <w:pPr>
      <w:keepLines/>
      <w:keepNext/>
      <w:spacing w:before="260" w:after="260" w:line="416" w:lineRule="auto"/>
      <w:outlineLvl w:val="2"/>
    </w:pPr>
    <w:rPr>
      <w:b/>
      <w:bCs/>
      <w:sz w:val="32"/>
      <w:szCs w:val="32"/>
    </w:rPr>
  </w:style>
  <w:style w:type="paragraph" w:styleId="690">
    <w:name w:val="Heading 4"/>
    <w:basedOn w:val="686"/>
    <w:next w:val="699"/>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691">
    <w:name w:val="Heading 5"/>
    <w:basedOn w:val="686"/>
    <w:next w:val="699"/>
    <w:link w:val="902"/>
    <w:uiPriority w:val="0"/>
    <w:qFormat/>
    <w:pPr>
      <w:keepNext/>
      <w:outlineLvl w:val="4"/>
    </w:pPr>
    <w:rPr>
      <w:rFonts w:ascii="宋体"/>
      <w:color w:val="000000"/>
      <w:sz w:val="28"/>
      <w:szCs w:val="28"/>
    </w:rPr>
  </w:style>
  <w:style w:type="paragraph" w:styleId="692">
    <w:name w:val="Heading 6"/>
    <w:basedOn w:val="686"/>
    <w:next w:val="686"/>
    <w:link w:val="90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3">
    <w:name w:val="Heading 7"/>
    <w:basedOn w:val="686"/>
    <w:next w:val="686"/>
    <w:link w:val="904"/>
    <w:uiPriority w:val="0"/>
    <w:qFormat/>
    <w:pPr>
      <w:numPr>
        <w:ilvl w:val="6"/>
        <w:numId w:val="1"/>
      </w:numPr>
      <w:keepLines/>
      <w:keepNext/>
      <w:spacing w:before="240" w:after="64" w:line="320" w:lineRule="auto"/>
      <w:outlineLvl w:val="6"/>
    </w:pPr>
    <w:rPr>
      <w:b/>
      <w:bCs/>
      <w:sz w:val="24"/>
      <w:szCs w:val="24"/>
    </w:rPr>
  </w:style>
  <w:style w:type="paragraph" w:styleId="694">
    <w:name w:val="Heading 8"/>
    <w:basedOn w:val="686"/>
    <w:next w:val="686"/>
    <w:link w:val="90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5">
    <w:name w:val="Heading 9"/>
    <w:basedOn w:val="686"/>
    <w:next w:val="686"/>
    <w:link w:val="906"/>
    <w:uiPriority w:val="0"/>
    <w:qFormat/>
    <w:pPr>
      <w:numPr>
        <w:ilvl w:val="8"/>
        <w:numId w:val="1"/>
      </w:numPr>
      <w:keepLines/>
      <w:keepNext/>
      <w:spacing w:before="240" w:after="64" w:line="320" w:lineRule="auto"/>
      <w:outlineLvl w:val="8"/>
    </w:pPr>
    <w:rPr>
      <w:rFonts w:ascii="Arial" w:hAnsi="Arial" w:eastAsia="黑体"/>
      <w:szCs w:val="21"/>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Layout w:type="fixed"/>
      <w:tblCellMar>
        <w:left w:w="108" w:type="dxa"/>
        <w:top w:w="0" w:type="dxa"/>
        <w:right w:w="108" w:type="dxa"/>
        <w:bottom w:w="0" w:type="dxa"/>
      </w:tblCellMar>
    </w:tblPr>
  </w:style>
  <w:style w:type="paragraph" w:styleId="698" w:customStyle="1">
    <w:name w:val="Default"/>
    <w:next w:val="686"/>
    <w:uiPriority w:val="0"/>
    <w:qFormat/>
    <w:pPr>
      <w:widowControl w:val="off"/>
    </w:pPr>
    <w:rPr>
      <w:rFonts w:ascii="宋体" w:hAnsi="Times New Roman" w:eastAsia="宋体" w:cs="宋体"/>
      <w:color w:val="000000"/>
      <w:sz w:val="24"/>
      <w:szCs w:val="24"/>
      <w:lang w:val="en-US" w:eastAsia="zh-CN" w:bidi="ar-SA"/>
    </w:rPr>
  </w:style>
  <w:style w:type="paragraph" w:styleId="699">
    <w:name w:val="Normal Indent"/>
    <w:basedOn w:val="686"/>
    <w:link w:val="899"/>
    <w:uiPriority w:val="0"/>
    <w:qFormat/>
    <w:pPr>
      <w:ind w:firstLine="420"/>
    </w:pPr>
    <w:rPr>
      <w:szCs w:val="21"/>
    </w:rPr>
  </w:style>
  <w:style w:type="paragraph" w:styleId="700">
    <w:name w:val="List 3"/>
    <w:basedOn w:val="686"/>
    <w:uiPriority w:val="0"/>
    <w:qFormat/>
    <w:pPr>
      <w:ind w:left="100" w:hanging="200"/>
    </w:pPr>
    <w:rPr>
      <w:szCs w:val="21"/>
    </w:rPr>
  </w:style>
  <w:style w:type="paragraph" w:styleId="701">
    <w:name w:val="annotation subject"/>
    <w:basedOn w:val="702"/>
    <w:next w:val="702"/>
    <w:link w:val="920"/>
    <w:uiPriority w:val="0"/>
    <w:semiHidden/>
    <w:qFormat/>
    <w:rPr>
      <w:b/>
      <w:bCs/>
      <w:szCs w:val="21"/>
    </w:rPr>
  </w:style>
  <w:style w:type="paragraph" w:styleId="702">
    <w:name w:val="annotation text"/>
    <w:basedOn w:val="686"/>
    <w:link w:val="908"/>
    <w:uiPriority w:val="0"/>
    <w:unhideWhenUsed/>
    <w:qFormat/>
    <w:pPr>
      <w:jc w:val="left"/>
    </w:pPr>
  </w:style>
  <w:style w:type="paragraph" w:styleId="703">
    <w:name w:val="toc 7"/>
    <w:basedOn w:val="686"/>
    <w:next w:val="686"/>
    <w:uiPriority w:val="0"/>
    <w:semiHidden/>
    <w:qFormat/>
    <w:pPr>
      <w:ind w:left="1260"/>
      <w:jc w:val="left"/>
    </w:pPr>
    <w:rPr>
      <w:szCs w:val="21"/>
    </w:rPr>
  </w:style>
  <w:style w:type="paragraph" w:styleId="704">
    <w:name w:val="Body Text First Indent"/>
    <w:basedOn w:val="705"/>
    <w:link w:val="921"/>
    <w:uiPriority w:val="0"/>
    <w:qFormat/>
    <w:pPr>
      <w:ind w:firstLine="200"/>
      <w:spacing w:line="360" w:lineRule="auto"/>
    </w:pPr>
    <w:rPr>
      <w:rFonts w:ascii="仿宋_GB2312" w:hAnsi="Times New Roman" w:eastAsia="仿宋_GB2312"/>
      <w:sz w:val="30"/>
      <w:szCs w:val="30"/>
    </w:rPr>
  </w:style>
  <w:style w:type="paragraph" w:styleId="705">
    <w:name w:val="Body Text"/>
    <w:basedOn w:val="686"/>
    <w:link w:val="910"/>
    <w:uiPriority w:val="0"/>
    <w:qFormat/>
    <w:rPr>
      <w:rFonts w:ascii="楷体_GB2312" w:hAnsi="Arial" w:eastAsia="楷体_GB2312"/>
      <w:sz w:val="28"/>
      <w:szCs w:val="28"/>
    </w:rPr>
  </w:style>
  <w:style w:type="paragraph" w:styleId="706">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7">
    <w:name w:val="Document Map"/>
    <w:basedOn w:val="686"/>
    <w:link w:val="907"/>
    <w:uiPriority w:val="0"/>
    <w:semiHidden/>
    <w:qFormat/>
    <w:pPr>
      <w:shd w:val="clear" w:color="auto" w:fill="000080"/>
    </w:pPr>
    <w:rPr>
      <w:szCs w:val="21"/>
    </w:rPr>
  </w:style>
  <w:style w:type="paragraph" w:styleId="708">
    <w:name w:val="Body Text 3"/>
    <w:basedOn w:val="686"/>
    <w:link w:val="909"/>
    <w:uiPriority w:val="0"/>
    <w:qFormat/>
    <w:rPr>
      <w:rFonts w:ascii="仿宋_GB2312" w:hAnsi="Arial" w:eastAsia="仿宋_GB2312"/>
      <w:sz w:val="32"/>
      <w:szCs w:val="32"/>
    </w:rPr>
  </w:style>
  <w:style w:type="paragraph" w:styleId="709">
    <w:name w:val="Body Text Indent"/>
    <w:basedOn w:val="686"/>
    <w:next w:val="710"/>
    <w:link w:val="911"/>
    <w:uiPriority w:val="0"/>
    <w:unhideWhenUsed/>
    <w:qFormat/>
    <w:pPr>
      <w:ind w:left="420"/>
      <w:spacing w:after="120"/>
    </w:pPr>
  </w:style>
  <w:style w:type="paragraph" w:styleId="710">
    <w:name w:val="envelope return"/>
    <w:basedOn w:val="686"/>
    <w:uiPriority w:val="99"/>
    <w:qFormat/>
    <w:rPr>
      <w:rFonts w:ascii="Arial" w:hAnsi="Arial"/>
    </w:rPr>
  </w:style>
  <w:style w:type="paragraph" w:styleId="711">
    <w:name w:val="List 2"/>
    <w:basedOn w:val="686"/>
    <w:uiPriority w:val="0"/>
    <w:qFormat/>
    <w:pPr>
      <w:ind w:left="100" w:hanging="200"/>
    </w:pPr>
    <w:rPr>
      <w:szCs w:val="21"/>
    </w:rPr>
  </w:style>
  <w:style w:type="paragraph" w:styleId="712">
    <w:name w:val="toc 5"/>
    <w:basedOn w:val="686"/>
    <w:next w:val="686"/>
    <w:uiPriority w:val="0"/>
    <w:semiHidden/>
    <w:qFormat/>
    <w:pPr>
      <w:ind w:left="840"/>
      <w:jc w:val="left"/>
    </w:pPr>
    <w:rPr>
      <w:szCs w:val="21"/>
    </w:rPr>
  </w:style>
  <w:style w:type="paragraph" w:styleId="713">
    <w:name w:val="toc 3"/>
    <w:basedOn w:val="686"/>
    <w:next w:val="686"/>
    <w:uiPriority w:val="0"/>
    <w:semiHidden/>
    <w:qFormat/>
    <w:pPr>
      <w:ind w:left="420"/>
      <w:jc w:val="left"/>
    </w:pPr>
    <w:rPr>
      <w:i/>
      <w:iCs/>
      <w:szCs w:val="24"/>
    </w:rPr>
  </w:style>
  <w:style w:type="paragraph" w:styleId="714">
    <w:name w:val="Plain Text"/>
    <w:basedOn w:val="686"/>
    <w:link w:val="912"/>
    <w:uiPriority w:val="0"/>
    <w:qFormat/>
    <w:rPr>
      <w:rFonts w:ascii="宋体" w:hAnsi="Courier New" w:cs="Courier New"/>
      <w:szCs w:val="21"/>
    </w:rPr>
  </w:style>
  <w:style w:type="paragraph" w:styleId="715">
    <w:name w:val="toc 8"/>
    <w:basedOn w:val="686"/>
    <w:next w:val="686"/>
    <w:uiPriority w:val="0"/>
    <w:semiHidden/>
    <w:qFormat/>
    <w:pPr>
      <w:ind w:left="1470"/>
      <w:jc w:val="left"/>
    </w:pPr>
    <w:rPr>
      <w:szCs w:val="21"/>
    </w:rPr>
  </w:style>
  <w:style w:type="paragraph" w:styleId="716">
    <w:name w:val="Date"/>
    <w:basedOn w:val="686"/>
    <w:next w:val="686"/>
    <w:link w:val="913"/>
    <w:uiPriority w:val="0"/>
    <w:qFormat/>
    <w:rPr>
      <w:sz w:val="24"/>
      <w:szCs w:val="24"/>
    </w:rPr>
  </w:style>
  <w:style w:type="paragraph" w:styleId="717">
    <w:name w:val="Body Text Indent 2"/>
    <w:basedOn w:val="686"/>
    <w:link w:val="914"/>
    <w:uiPriority w:val="0"/>
    <w:qFormat/>
    <w:pPr>
      <w:ind w:left="630" w:firstLine="645"/>
    </w:pPr>
    <w:rPr>
      <w:rFonts w:ascii="Arial" w:hAnsi="Arial" w:eastAsia="仿宋_GB2312" w:cs="Arial"/>
      <w:sz w:val="32"/>
      <w:szCs w:val="32"/>
    </w:rPr>
  </w:style>
  <w:style w:type="paragraph" w:styleId="718">
    <w:name w:val="endnote text"/>
    <w:basedOn w:val="686"/>
    <w:link w:val="895"/>
    <w:uiPriority w:val="99"/>
    <w:semiHidden/>
    <w:unhideWhenUsed/>
    <w:qFormat/>
    <w:rPr>
      <w:sz w:val="20"/>
    </w:rPr>
  </w:style>
  <w:style w:type="paragraph" w:styleId="719">
    <w:name w:val="Balloon Text"/>
    <w:basedOn w:val="686"/>
    <w:link w:val="915"/>
    <w:uiPriority w:val="0"/>
    <w:semiHidden/>
    <w:qFormat/>
    <w:rPr>
      <w:sz w:val="18"/>
      <w:szCs w:val="18"/>
    </w:rPr>
  </w:style>
  <w:style w:type="paragraph" w:styleId="720">
    <w:name w:val="Footer"/>
    <w:basedOn w:val="686"/>
    <w:link w:val="916"/>
    <w:uiPriority w:val="99"/>
    <w:qFormat/>
    <w:pPr>
      <w:jc w:val="left"/>
      <w:tabs>
        <w:tab w:val="center" w:pos="4153" w:leader="none"/>
        <w:tab w:val="right" w:pos="8306" w:leader="none"/>
      </w:tabs>
    </w:pPr>
    <w:rPr>
      <w:sz w:val="18"/>
      <w:szCs w:val="18"/>
    </w:rPr>
  </w:style>
  <w:style w:type="paragraph" w:styleId="721">
    <w:name w:val="Body Text First Indent 2"/>
    <w:basedOn w:val="709"/>
    <w:link w:val="922"/>
    <w:uiPriority w:val="0"/>
    <w:qFormat/>
    <w:pPr>
      <w:ind w:left="0" w:firstLine="420"/>
      <w:spacing w:after="0" w:line="360" w:lineRule="auto"/>
    </w:pPr>
    <w:rPr>
      <w:rFonts w:ascii="宋体" w:hAnsi="宋体"/>
      <w:szCs w:val="20"/>
    </w:rPr>
  </w:style>
  <w:style w:type="paragraph" w:styleId="722">
    <w:name w:val="Header"/>
    <w:basedOn w:val="686"/>
    <w:link w:val="917"/>
    <w:uiPriority w:val="0"/>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86"/>
    <w:next w:val="686"/>
    <w:uiPriority w:val="0"/>
    <w:semiHidden/>
    <w:qFormat/>
    <w:pPr>
      <w:jc w:val="left"/>
      <w:spacing w:before="120" w:after="120" w:line="400" w:lineRule="exact"/>
      <w:tabs>
        <w:tab w:val="right" w:pos="8720" w:leader="dot"/>
      </w:tabs>
    </w:pPr>
    <w:rPr>
      <w:rFonts w:ascii="宋体" w:hAnsi="宋体"/>
      <w:caps/>
      <w:sz w:val="24"/>
      <w:szCs w:val="24"/>
    </w:rPr>
  </w:style>
  <w:style w:type="paragraph" w:styleId="724">
    <w:name w:val="toc 4"/>
    <w:basedOn w:val="686"/>
    <w:next w:val="686"/>
    <w:uiPriority w:val="0"/>
    <w:semiHidden/>
    <w:qFormat/>
    <w:pPr>
      <w:ind w:left="630"/>
      <w:jc w:val="left"/>
    </w:pPr>
    <w:rPr>
      <w:szCs w:val="21"/>
    </w:rPr>
  </w:style>
  <w:style w:type="paragraph" w:styleId="725">
    <w:name w:val="Subtitle"/>
    <w:basedOn w:val="686"/>
    <w:next w:val="686"/>
    <w:link w:val="761"/>
    <w:uiPriority w:val="11"/>
    <w:qFormat/>
    <w:pPr>
      <w:spacing w:before="200" w:after="200"/>
    </w:pPr>
    <w:rPr>
      <w:sz w:val="24"/>
      <w:szCs w:val="24"/>
    </w:rPr>
  </w:style>
  <w:style w:type="paragraph" w:styleId="726">
    <w:name w:val="List"/>
    <w:basedOn w:val="686"/>
    <w:uiPriority w:val="0"/>
    <w:qFormat/>
    <w:pPr>
      <w:ind w:left="200" w:hanging="200"/>
    </w:pPr>
    <w:rPr>
      <w:szCs w:val="21"/>
    </w:rPr>
  </w:style>
  <w:style w:type="paragraph" w:styleId="727">
    <w:name w:val="footnote text"/>
    <w:basedOn w:val="686"/>
    <w:link w:val="894"/>
    <w:uiPriority w:val="99"/>
    <w:semiHidden/>
    <w:unhideWhenUsed/>
    <w:qFormat/>
    <w:pPr>
      <w:spacing w:after="40"/>
    </w:pPr>
    <w:rPr>
      <w:sz w:val="18"/>
    </w:rPr>
  </w:style>
  <w:style w:type="paragraph" w:styleId="728">
    <w:name w:val="toc 6"/>
    <w:basedOn w:val="686"/>
    <w:next w:val="686"/>
    <w:uiPriority w:val="0"/>
    <w:semiHidden/>
    <w:qFormat/>
    <w:pPr>
      <w:ind w:left="1050"/>
      <w:jc w:val="left"/>
    </w:pPr>
    <w:rPr>
      <w:szCs w:val="21"/>
    </w:rPr>
  </w:style>
  <w:style w:type="paragraph" w:styleId="729">
    <w:name w:val="Body Text Indent 3"/>
    <w:basedOn w:val="686"/>
    <w:link w:val="918"/>
    <w:uiPriority w:val="0"/>
    <w:qFormat/>
    <w:pPr>
      <w:ind w:left="645" w:firstLine="645"/>
    </w:pPr>
    <w:rPr>
      <w:rFonts w:ascii="Arial" w:hAnsi="Arial" w:eastAsia="仿宋_GB2312" w:cs="Arial"/>
      <w:color w:val="ffff00"/>
      <w:sz w:val="32"/>
      <w:szCs w:val="32"/>
    </w:rPr>
  </w:style>
  <w:style w:type="paragraph" w:styleId="730">
    <w:name w:val="table of figures"/>
    <w:basedOn w:val="686"/>
    <w:next w:val="686"/>
    <w:uiPriority w:val="0"/>
    <w:semiHidden/>
    <w:qFormat/>
    <w:pPr>
      <w:ind w:left="840" w:hanging="420"/>
    </w:pPr>
    <w:rPr>
      <w:szCs w:val="21"/>
    </w:rPr>
  </w:style>
  <w:style w:type="paragraph" w:styleId="731">
    <w:name w:val="toc 2"/>
    <w:basedOn w:val="686"/>
    <w:next w:val="686"/>
    <w:uiPriority w:val="0"/>
    <w:semiHidden/>
    <w:qFormat/>
    <w:pPr>
      <w:ind w:left="210"/>
      <w:jc w:val="left"/>
    </w:pPr>
    <w:rPr>
      <w:smallCaps/>
      <w:szCs w:val="24"/>
    </w:rPr>
  </w:style>
  <w:style w:type="paragraph" w:styleId="732">
    <w:name w:val="toc 9"/>
    <w:basedOn w:val="686"/>
    <w:next w:val="686"/>
    <w:uiPriority w:val="0"/>
    <w:semiHidden/>
    <w:qFormat/>
    <w:pPr>
      <w:ind w:left="1680"/>
      <w:jc w:val="left"/>
    </w:pPr>
    <w:rPr>
      <w:szCs w:val="21"/>
    </w:rPr>
  </w:style>
  <w:style w:type="paragraph" w:styleId="733">
    <w:name w:val="Body Text 2"/>
    <w:basedOn w:val="686"/>
    <w:link w:val="919"/>
    <w:uiPriority w:val="0"/>
    <w:qFormat/>
    <w:pPr>
      <w:jc w:val="center"/>
      <w:widowControl/>
    </w:pPr>
    <w:rPr>
      <w:rFonts w:ascii="楷体_GB2312" w:eastAsia="楷体_GB2312"/>
      <w:sz w:val="28"/>
      <w:szCs w:val="28"/>
    </w:rPr>
  </w:style>
  <w:style w:type="paragraph" w:styleId="734">
    <w:name w:val="Normal (Web)"/>
    <w:basedOn w:val="686"/>
    <w:uiPriority w:val="99"/>
    <w:qFormat/>
    <w:pPr>
      <w:jc w:val="left"/>
      <w:spacing w:before="100" w:beforeAutospacing="1" w:after="100" w:afterAutospacing="1"/>
      <w:widowControl/>
    </w:pPr>
    <w:rPr>
      <w:rFonts w:ascii="宋体" w:hAnsi="宋体" w:cs="宋体"/>
      <w:sz w:val="24"/>
      <w:szCs w:val="24"/>
    </w:rPr>
  </w:style>
  <w:style w:type="paragraph" w:styleId="735">
    <w:name w:val="index 1"/>
    <w:basedOn w:val="686"/>
    <w:next w:val="686"/>
    <w:uiPriority w:val="0"/>
    <w:semiHidden/>
    <w:qFormat/>
    <w:pPr>
      <w:spacing w:line="240" w:lineRule="atLeast"/>
    </w:pPr>
    <w:rPr>
      <w:b/>
      <w:bCs/>
      <w:szCs w:val="21"/>
    </w:rPr>
  </w:style>
  <w:style w:type="paragraph" w:styleId="736">
    <w:name w:val="Title"/>
    <w:basedOn w:val="686"/>
    <w:next w:val="686"/>
    <w:link w:val="760"/>
    <w:uiPriority w:val="10"/>
    <w:qFormat/>
    <w:pPr>
      <w:contextualSpacing/>
      <w:spacing w:before="300" w:after="200"/>
    </w:pPr>
    <w:rPr>
      <w:sz w:val="48"/>
      <w:szCs w:val="48"/>
    </w:rPr>
  </w:style>
  <w:style w:type="character" w:styleId="737">
    <w:name w:val="Strong"/>
    <w:uiPriority w:val="0"/>
    <w:qFormat/>
    <w:rPr>
      <w:b/>
      <w:bCs/>
    </w:rPr>
  </w:style>
  <w:style w:type="character" w:styleId="738">
    <w:name w:val="endnote reference"/>
    <w:basedOn w:val="696"/>
    <w:uiPriority w:val="99"/>
    <w:semiHidden/>
    <w:unhideWhenUsed/>
    <w:qFormat/>
    <w:rPr>
      <w:vertAlign w:val="superscript"/>
    </w:rPr>
  </w:style>
  <w:style w:type="character" w:styleId="739">
    <w:name w:val="page number"/>
    <w:basedOn w:val="696"/>
    <w:uiPriority w:val="0"/>
    <w:qFormat/>
  </w:style>
  <w:style w:type="character" w:styleId="740">
    <w:name w:val="FollowedHyperlink"/>
    <w:uiPriority w:val="0"/>
    <w:qFormat/>
    <w:rPr>
      <w:color w:val="800080"/>
      <w:u w:val="single"/>
    </w:rPr>
  </w:style>
  <w:style w:type="character" w:styleId="741">
    <w:name w:val="Hyperlink"/>
    <w:uiPriority w:val="0"/>
    <w:qFormat/>
    <w:rPr>
      <w:color w:val="0000ff"/>
      <w:u w:val="single"/>
    </w:rPr>
  </w:style>
  <w:style w:type="character" w:styleId="742">
    <w:name w:val="annotation reference"/>
    <w:uiPriority w:val="0"/>
    <w:semiHidden/>
    <w:qFormat/>
    <w:rPr>
      <w:sz w:val="21"/>
      <w:szCs w:val="21"/>
    </w:rPr>
  </w:style>
  <w:style w:type="character" w:styleId="743">
    <w:name w:val="footnote reference"/>
    <w:basedOn w:val="696"/>
    <w:uiPriority w:val="99"/>
    <w:unhideWhenUsed/>
    <w:qFormat/>
    <w:rPr>
      <w:vertAlign w:val="superscript"/>
    </w:rPr>
  </w:style>
  <w:style w:type="table" w:styleId="744">
    <w:name w:val="Table Grid"/>
    <w:basedOn w:val="6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45" w:customStyle="1">
    <w:name w:val="Title Char"/>
    <w:basedOn w:val="696"/>
    <w:uiPriority w:val="10"/>
    <w:qFormat/>
    <w:rPr>
      <w:sz w:val="48"/>
      <w:szCs w:val="48"/>
    </w:rPr>
  </w:style>
  <w:style w:type="character" w:styleId="746" w:customStyle="1">
    <w:name w:val="Subtitle Char"/>
    <w:basedOn w:val="696"/>
    <w:uiPriority w:val="11"/>
    <w:qFormat/>
    <w:rPr>
      <w:sz w:val="24"/>
      <w:szCs w:val="24"/>
    </w:rPr>
  </w:style>
  <w:style w:type="character" w:styleId="747" w:customStyle="1">
    <w:name w:val="Quote Char"/>
    <w:uiPriority w:val="29"/>
    <w:qFormat/>
    <w:rPr>
      <w:i/>
    </w:rPr>
  </w:style>
  <w:style w:type="character" w:styleId="748" w:customStyle="1">
    <w:name w:val="Intense Quote Char"/>
    <w:uiPriority w:val="30"/>
    <w:qFormat/>
    <w:rPr>
      <w:i/>
    </w:rPr>
  </w:style>
  <w:style w:type="character" w:styleId="749" w:customStyle="1">
    <w:name w:val="Footnote Text Char"/>
    <w:uiPriority w:val="99"/>
    <w:qFormat/>
    <w:rPr>
      <w:sz w:val="18"/>
    </w:rPr>
  </w:style>
  <w:style w:type="character" w:styleId="750" w:customStyle="1">
    <w:name w:val="Endnote Text Char"/>
    <w:uiPriority w:val="99"/>
    <w:qFormat/>
    <w:rPr>
      <w:sz w:val="20"/>
    </w:rPr>
  </w:style>
  <w:style w:type="character" w:styleId="751" w:customStyle="1">
    <w:name w:val="Heading 1 Char"/>
    <w:basedOn w:val="696"/>
    <w:uiPriority w:val="9"/>
    <w:qFormat/>
    <w:rPr>
      <w:rFonts w:ascii="Arial" w:hAnsi="Arial" w:eastAsia="Arial" w:cs="Arial"/>
      <w:sz w:val="40"/>
      <w:szCs w:val="40"/>
    </w:rPr>
  </w:style>
  <w:style w:type="character" w:styleId="752" w:customStyle="1">
    <w:name w:val="Heading 2 Char"/>
    <w:basedOn w:val="696"/>
    <w:uiPriority w:val="9"/>
    <w:qFormat/>
    <w:rPr>
      <w:rFonts w:ascii="Arial" w:hAnsi="Arial" w:eastAsia="Arial" w:cs="Arial"/>
      <w:sz w:val="34"/>
    </w:rPr>
  </w:style>
  <w:style w:type="character" w:styleId="753" w:customStyle="1">
    <w:name w:val="Heading 3 Char"/>
    <w:basedOn w:val="696"/>
    <w:uiPriority w:val="9"/>
    <w:qFormat/>
    <w:rPr>
      <w:rFonts w:ascii="Arial" w:hAnsi="Arial" w:eastAsia="Arial" w:cs="Arial"/>
      <w:sz w:val="30"/>
      <w:szCs w:val="30"/>
    </w:rPr>
  </w:style>
  <w:style w:type="character" w:styleId="754" w:customStyle="1">
    <w:name w:val="Heading 4 Char"/>
    <w:basedOn w:val="696"/>
    <w:uiPriority w:val="9"/>
    <w:qFormat/>
    <w:rPr>
      <w:rFonts w:ascii="Arial" w:hAnsi="Arial" w:eastAsia="Arial" w:cs="Arial"/>
      <w:b/>
      <w:bCs/>
      <w:sz w:val="26"/>
      <w:szCs w:val="26"/>
    </w:rPr>
  </w:style>
  <w:style w:type="character" w:styleId="755" w:customStyle="1">
    <w:name w:val="Heading 5 Char"/>
    <w:basedOn w:val="696"/>
    <w:uiPriority w:val="9"/>
    <w:qFormat/>
    <w:rPr>
      <w:rFonts w:ascii="Arial" w:hAnsi="Arial" w:eastAsia="Arial" w:cs="Arial"/>
      <w:b/>
      <w:bCs/>
      <w:sz w:val="24"/>
      <w:szCs w:val="24"/>
    </w:rPr>
  </w:style>
  <w:style w:type="character" w:styleId="756" w:customStyle="1">
    <w:name w:val="Heading 6 Char"/>
    <w:basedOn w:val="696"/>
    <w:uiPriority w:val="9"/>
    <w:qFormat/>
    <w:rPr>
      <w:rFonts w:ascii="Arial" w:hAnsi="Arial" w:eastAsia="Arial" w:cs="Arial"/>
      <w:b/>
      <w:bCs/>
      <w:sz w:val="22"/>
      <w:szCs w:val="22"/>
    </w:rPr>
  </w:style>
  <w:style w:type="character" w:styleId="757" w:customStyle="1">
    <w:name w:val="Heading 7 Char"/>
    <w:basedOn w:val="696"/>
    <w:uiPriority w:val="9"/>
    <w:qFormat/>
    <w:rPr>
      <w:rFonts w:ascii="Arial" w:hAnsi="Arial" w:eastAsia="Arial" w:cs="Arial"/>
      <w:b/>
      <w:bCs/>
      <w:i/>
      <w:iCs/>
      <w:sz w:val="22"/>
      <w:szCs w:val="22"/>
    </w:rPr>
  </w:style>
  <w:style w:type="character" w:styleId="758" w:customStyle="1">
    <w:name w:val="Heading 8 Char"/>
    <w:basedOn w:val="696"/>
    <w:uiPriority w:val="9"/>
    <w:qFormat/>
    <w:rPr>
      <w:rFonts w:ascii="Arial" w:hAnsi="Arial" w:eastAsia="Arial" w:cs="Arial"/>
      <w:i/>
      <w:iCs/>
      <w:sz w:val="22"/>
      <w:szCs w:val="22"/>
    </w:rPr>
  </w:style>
  <w:style w:type="character" w:styleId="759" w:customStyle="1">
    <w:name w:val="Heading 9 Char"/>
    <w:basedOn w:val="696"/>
    <w:uiPriority w:val="9"/>
    <w:qFormat/>
    <w:rPr>
      <w:rFonts w:ascii="Arial" w:hAnsi="Arial" w:eastAsia="Arial" w:cs="Arial"/>
      <w:i/>
      <w:iCs/>
      <w:sz w:val="21"/>
      <w:szCs w:val="21"/>
    </w:rPr>
  </w:style>
  <w:style w:type="character" w:styleId="760" w:customStyle="1">
    <w:name w:val="标题 Char"/>
    <w:basedOn w:val="696"/>
    <w:link w:val="736"/>
    <w:uiPriority w:val="10"/>
    <w:qFormat/>
    <w:rPr>
      <w:sz w:val="48"/>
      <w:szCs w:val="48"/>
    </w:rPr>
  </w:style>
  <w:style w:type="character" w:styleId="761" w:customStyle="1">
    <w:name w:val="副标题 Char"/>
    <w:basedOn w:val="696"/>
    <w:link w:val="725"/>
    <w:uiPriority w:val="11"/>
    <w:qFormat/>
    <w:rPr>
      <w:sz w:val="24"/>
      <w:szCs w:val="24"/>
    </w:rPr>
  </w:style>
  <w:style w:type="paragraph" w:styleId="762">
    <w:name w:val="Quote"/>
    <w:basedOn w:val="686"/>
    <w:next w:val="686"/>
    <w:link w:val="763"/>
    <w:uiPriority w:val="29"/>
    <w:qFormat/>
    <w:pPr>
      <w:ind w:left="720" w:right="720"/>
    </w:pPr>
    <w:rPr>
      <w:i/>
    </w:rPr>
  </w:style>
  <w:style w:type="character" w:styleId="763" w:customStyle="1">
    <w:name w:val="引用 Char"/>
    <w:link w:val="762"/>
    <w:uiPriority w:val="29"/>
    <w:qFormat/>
    <w:rPr>
      <w:i/>
    </w:rPr>
  </w:style>
  <w:style w:type="paragraph" w:styleId="764">
    <w:name w:val="Intense Quote"/>
    <w:basedOn w:val="686"/>
    <w:next w:val="686"/>
    <w:link w:val="7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customStyle="1">
    <w:name w:val="明显引用 Char"/>
    <w:link w:val="764"/>
    <w:uiPriority w:val="30"/>
    <w:qFormat/>
    <w:rPr>
      <w:i/>
    </w:rPr>
  </w:style>
  <w:style w:type="character" w:styleId="766" w:customStyle="1">
    <w:name w:val="Header Char"/>
    <w:basedOn w:val="696"/>
    <w:uiPriority w:val="99"/>
    <w:qFormat/>
  </w:style>
  <w:style w:type="character" w:styleId="767" w:customStyle="1">
    <w:name w:val="Footer Char"/>
    <w:basedOn w:val="696"/>
    <w:uiPriority w:val="99"/>
    <w:qFormat/>
  </w:style>
  <w:style w:type="character" w:styleId="768" w:customStyle="1">
    <w:name w:val="Caption Char"/>
    <w:uiPriority w:val="99"/>
    <w:qFormat/>
  </w:style>
  <w:style w:type="table" w:styleId="769" w:customStyle="1">
    <w:name w:val="Table Grid Light"/>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70" w:customStyle="1">
    <w:name w:val="Plain Table 1"/>
    <w:basedOn w:val="6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6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697"/>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697"/>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697"/>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6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2" w:customStyle="1">
    <w:name w:val="Grid Table 2"/>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3" w:customStyle="1">
    <w:name w:val="Grid Table 2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4" w:customStyle="1">
    <w:name w:val="Grid Table 2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2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2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2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Grid Table 2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Grid Table 3"/>
    <w:basedOn w:val="6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1"/>
    <w:basedOn w:val="6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2"/>
    <w:basedOn w:val="6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3"/>
    <w:basedOn w:val="6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4"/>
    <w:basedOn w:val="6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5"/>
    <w:basedOn w:val="697"/>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6"/>
    <w:basedOn w:val="697"/>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4"/>
    <w:basedOn w:val="6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Grid Table 4 - Accent 1"/>
    <w:basedOn w:val="6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8" w:customStyle="1">
    <w:name w:val="Grid Table 4 - Accent 2"/>
    <w:basedOn w:val="6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9" w:customStyle="1">
    <w:name w:val="Grid Table 4 - Accent 3"/>
    <w:basedOn w:val="6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0" w:customStyle="1">
    <w:name w:val="Grid Table 4 - Accent 4"/>
    <w:basedOn w:val="6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1" w:customStyle="1">
    <w:name w:val="Grid Table 4 - Accent 5"/>
    <w:basedOn w:val="6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2" w:customStyle="1">
    <w:name w:val="Grid Table 4 - Accent 6"/>
    <w:basedOn w:val="6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3" w:customStyle="1">
    <w:name w:val="Grid Table 5 Dark"/>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4" w:customStyle="1">
    <w:name w:val="Grid Table 5 Dark- Accent 1"/>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5" w:customStyle="1">
    <w:name w:val="Grid Table 5 Dark - Accent 2"/>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6" w:customStyle="1">
    <w:name w:val="Grid Table 5 Dark - Accent 3"/>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7" w:customStyle="1">
    <w:name w:val="Grid Table 5 Dark- Accent 4"/>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8" w:customStyle="1">
    <w:name w:val="Grid Table 5 Dark - Accent 5"/>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9" w:customStyle="1">
    <w:name w:val="Grid Table 5 Dark - Accent 6"/>
    <w:basedOn w:val="6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0" w:customStyle="1">
    <w:name w:val="Grid Table 6 Colorful"/>
    <w:basedOn w:val="6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1" w:customStyle="1">
    <w:name w:val="Grid Table 6 Colorful - Accent 1"/>
    <w:basedOn w:val="6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2" w:customStyle="1">
    <w:name w:val="Grid Table 6 Colorful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3" w:customStyle="1">
    <w:name w:val="Grid Table 6 Colorful - Accent 3"/>
    <w:basedOn w:val="6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4" w:customStyle="1">
    <w:name w:val="Grid Table 6 Colorful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5" w:customStyle="1">
    <w:name w:val="Grid Table 6 Colorful - Accent 5"/>
    <w:basedOn w:val="6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6 Colorful - Accent 6"/>
    <w:basedOn w:val="6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7 Colorful"/>
    <w:basedOn w:val="6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Grid Table 7 Colorful - Accent 1"/>
    <w:basedOn w:val="6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9" w:customStyle="1">
    <w:name w:val="Grid Table 7 Colorful - Accent 2"/>
    <w:basedOn w:val="6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7 Colorful - Accent 3"/>
    <w:basedOn w:val="6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7 Colorful - Accent 4"/>
    <w:basedOn w:val="6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7 Colorful - Accent 5"/>
    <w:basedOn w:val="6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3" w:customStyle="1">
    <w:name w:val="Grid Table 7 Colorful - Accent 6"/>
    <w:basedOn w:val="6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4" w:customStyle="1">
    <w:name w:val="List Table 1 Light"/>
    <w:basedOn w:val="697"/>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List Table 1 Light - Accent 1"/>
    <w:basedOn w:val="697"/>
    <w:uiPriority w:val="99"/>
    <w:qFormat/>
    <w:tblPr>
      <w:tblLayout w:type="fixed"/>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1 Light - Accent 2"/>
    <w:basedOn w:val="697"/>
    <w:uiPriority w:val="99"/>
    <w:qFormat/>
    <w:tblPr>
      <w:tblLayout w:type="fixed"/>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7" w:customStyle="1">
    <w:name w:val="List Table 1 Light - Accent 3"/>
    <w:basedOn w:val="697"/>
    <w:uiPriority w:val="99"/>
    <w:qFormat/>
    <w:tblPr>
      <w:tblLayout w:type="fixed"/>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8" w:customStyle="1">
    <w:name w:val="List Table 1 Light - Accent 4"/>
    <w:basedOn w:val="697"/>
    <w:uiPriority w:val="99"/>
    <w:qFormat/>
    <w:tblPr>
      <w:tblLayout w:type="fixed"/>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9" w:customStyle="1">
    <w:name w:val="List Table 1 Light - Accent 5"/>
    <w:basedOn w:val="697"/>
    <w:uiPriority w:val="99"/>
    <w:qFormat/>
    <w:tblPr>
      <w:tblLayout w:type="fixed"/>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0" w:customStyle="1">
    <w:name w:val="List Table 1 Light - Accent 6"/>
    <w:basedOn w:val="697"/>
    <w:uiPriority w:val="99"/>
    <w:qFormat/>
    <w:tblPr>
      <w:tblLayout w:type="fixed"/>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1" w:customStyle="1">
    <w:name w:val="List Table 2"/>
    <w:basedOn w:val="6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2 - Accent 1"/>
    <w:basedOn w:val="6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3" w:customStyle="1">
    <w:name w:val="List Table 2 - Accent 2"/>
    <w:basedOn w:val="6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4" w:customStyle="1">
    <w:name w:val="List Table 2 - Accent 3"/>
    <w:basedOn w:val="6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5" w:customStyle="1">
    <w:name w:val="List Table 2 - Accent 4"/>
    <w:basedOn w:val="6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6" w:customStyle="1">
    <w:name w:val="List Table 2 - Accent 5"/>
    <w:basedOn w:val="6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7" w:customStyle="1">
    <w:name w:val="List Table 2 - Accent 6"/>
    <w:basedOn w:val="6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8" w:customStyle="1">
    <w:name w:val="List Table 3"/>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3 - Accent 1"/>
    <w:basedOn w:val="6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3 - Accent 2"/>
    <w:basedOn w:val="6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1" w:customStyle="1">
    <w:name w:val="List Table 3 - Accent 3"/>
    <w:basedOn w:val="6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2" w:customStyle="1">
    <w:name w:val="List Table 3 - Accent 4"/>
    <w:basedOn w:val="6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3" w:customStyle="1">
    <w:name w:val="List Table 3 - Accent 5"/>
    <w:basedOn w:val="6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4" w:customStyle="1">
    <w:name w:val="List Table 3 - Accent 6"/>
    <w:basedOn w:val="6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5" w:customStyle="1">
    <w:name w:val="List Table 4"/>
    <w:basedOn w:val="6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4 - Accent 1"/>
    <w:basedOn w:val="6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7" w:customStyle="1">
    <w:name w:val="List Table 4 - Accent 2"/>
    <w:basedOn w:val="6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8" w:customStyle="1">
    <w:name w:val="List Table 4 - Accent 3"/>
    <w:basedOn w:val="6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9" w:customStyle="1">
    <w:name w:val="List Table 4 - Accent 4"/>
    <w:basedOn w:val="6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0" w:customStyle="1">
    <w:name w:val="List Table 4 - Accent 5"/>
    <w:basedOn w:val="6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1" w:customStyle="1">
    <w:name w:val="List Table 4 - Accent 6"/>
    <w:basedOn w:val="6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2" w:customStyle="1">
    <w:name w:val="List Table 5 Dark"/>
    <w:basedOn w:val="6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1"/>
    <w:basedOn w:val="6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basedOn w:val="6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basedOn w:val="6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basedOn w:val="6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basedOn w:val="6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basedOn w:val="6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w:basedOn w:val="697"/>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0" w:customStyle="1">
    <w:name w:val="List Table 6 Colorful - Accent 1"/>
    <w:basedOn w:val="697"/>
    <w:uiPriority w:val="99"/>
    <w:qFormat/>
    <w:tblPr>
      <w:tblBorders>
        <w:top w:val="single" w:color="4F81BD" w:themeColor="accent1" w:sz="4" w:space="0"/>
        <w:bottom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1" w:customStyle="1">
    <w:name w:val="List Table 6 Colorful - Accent 2"/>
    <w:basedOn w:val="697"/>
    <w:uiPriority w:val="99"/>
    <w:qFormat/>
    <w:tblPr>
      <w:tblBorders>
        <w:top w:val="single" w:color="D99795" w:themeColor="accent2" w:themeTint="97" w:sz="4" w:space="0"/>
        <w:bottom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2" w:customStyle="1">
    <w:name w:val="List Table 6 Colorful - Accent 3"/>
    <w:basedOn w:val="697"/>
    <w:uiPriority w:val="99"/>
    <w:qFormat/>
    <w:tblPr>
      <w:tblBorders>
        <w:top w:val="single" w:color="C3D69C" w:themeColor="accent3" w:themeTint="98" w:sz="4" w:space="0"/>
        <w:bottom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3" w:customStyle="1">
    <w:name w:val="List Table 6 Colorful - Accent 4"/>
    <w:basedOn w:val="697"/>
    <w:uiPriority w:val="99"/>
    <w:qFormat/>
    <w:tblPr>
      <w:tblBorders>
        <w:top w:val="single" w:color="B2A1C6" w:themeColor="accent4" w:themeTint="9A" w:sz="4" w:space="0"/>
        <w:bottom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4" w:customStyle="1">
    <w:name w:val="List Table 6 Colorful - Accent 5"/>
    <w:basedOn w:val="697"/>
    <w:uiPriority w:val="99"/>
    <w:qFormat/>
    <w:tblPr>
      <w:tblBorders>
        <w:top w:val="single" w:color="92CCDC" w:themeColor="accent5" w:themeTint="9A" w:sz="4" w:space="0"/>
        <w:bottom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5" w:customStyle="1">
    <w:name w:val="List Table 6 Colorful - Accent 6"/>
    <w:basedOn w:val="697"/>
    <w:uiPriority w:val="99"/>
    <w:qFormat/>
    <w:tblPr>
      <w:tblBorders>
        <w:top w:val="single" w:color="FAC090" w:themeColor="accent6" w:themeTint="98" w:sz="4" w:space="0"/>
        <w:bottom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6" w:customStyle="1">
    <w:name w:val="List Table 7 Colorful"/>
    <w:basedOn w:val="697"/>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List Table 7 Colorful - Accent 1"/>
    <w:basedOn w:val="697"/>
    <w:uiPriority w:val="99"/>
    <w:qFormat/>
    <w:tblPr>
      <w:tblBorders>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8" w:customStyle="1">
    <w:name w:val="List Table 7 Colorful - Accent 2"/>
    <w:basedOn w:val="697"/>
    <w:uiPriority w:val="99"/>
    <w:qFormat/>
    <w:tblPr>
      <w:tblBorders>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List Table 7 Colorful - Accent 3"/>
    <w:basedOn w:val="697"/>
    <w:uiPriority w:val="99"/>
    <w:qFormat/>
    <w:tblPr>
      <w:tblBorders>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0" w:customStyle="1">
    <w:name w:val="List Table 7 Colorful - Accent 4"/>
    <w:basedOn w:val="697"/>
    <w:uiPriority w:val="99"/>
    <w:qFormat/>
    <w:tblPr>
      <w:tblBorders>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List Table 7 Colorful - Accent 5"/>
    <w:basedOn w:val="697"/>
    <w:uiPriority w:val="99"/>
    <w:qFormat/>
    <w:tblPr>
      <w:tblBorders>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2" w:customStyle="1">
    <w:name w:val="List Table 7 Colorful - Accent 6"/>
    <w:basedOn w:val="697"/>
    <w:uiPriority w:val="99"/>
    <w:qFormat/>
    <w:tblPr>
      <w:tblBorders>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3" w:customStyle="1">
    <w:name w:val="Lined - Accent"/>
    <w:basedOn w:val="6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Lined - Accent 1"/>
    <w:basedOn w:val="6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Lined - Accent 2"/>
    <w:basedOn w:val="6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Lined - Accent 3"/>
    <w:basedOn w:val="6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Lined - Accent 4"/>
    <w:basedOn w:val="6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Lined - Accent 5"/>
    <w:basedOn w:val="6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Lined - Accent 6"/>
    <w:basedOn w:val="697"/>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amp; Lined - Accent"/>
    <w:basedOn w:val="6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1" w:customStyle="1">
    <w:name w:val="Bordered &amp; Lined - Accent 1"/>
    <w:basedOn w:val="6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2" w:customStyle="1">
    <w:name w:val="Bordered &amp; Lined - Accent 2"/>
    <w:basedOn w:val="6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3" w:customStyle="1">
    <w:name w:val="Bordered &amp; Lined - Accent 3"/>
    <w:basedOn w:val="6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4" w:customStyle="1">
    <w:name w:val="Bordered &amp; Lined - Accent 4"/>
    <w:basedOn w:val="6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5" w:customStyle="1">
    <w:name w:val="Bordered &amp; Lined - Accent 5"/>
    <w:basedOn w:val="6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6" w:customStyle="1">
    <w:name w:val="Bordered &amp; Lined - Accent 6"/>
    <w:basedOn w:val="6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7" w:customStyle="1">
    <w:name w:val="Bordered"/>
    <w:basedOn w:val="6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8" w:customStyle="1">
    <w:name w:val="Bordered - Accent 1"/>
    <w:basedOn w:val="6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9" w:customStyle="1">
    <w:name w:val="Bordered - Accent 2"/>
    <w:basedOn w:val="6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0" w:customStyle="1">
    <w:name w:val="Bordered - Accent 3"/>
    <w:basedOn w:val="6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1" w:customStyle="1">
    <w:name w:val="Bordered - Accent 4"/>
    <w:basedOn w:val="6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2" w:customStyle="1">
    <w:name w:val="Bordered - Accent 5"/>
    <w:basedOn w:val="6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3" w:customStyle="1">
    <w:name w:val="Bordered - Accent 6"/>
    <w:basedOn w:val="6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4" w:customStyle="1">
    <w:name w:val="脚注文本 Char"/>
    <w:link w:val="727"/>
    <w:uiPriority w:val="99"/>
    <w:qFormat/>
    <w:rPr>
      <w:sz w:val="18"/>
    </w:rPr>
  </w:style>
  <w:style w:type="character" w:styleId="895" w:customStyle="1">
    <w:name w:val="尾注文本 Char"/>
    <w:link w:val="718"/>
    <w:uiPriority w:val="99"/>
    <w:qFormat/>
    <w:rPr>
      <w:sz w:val="20"/>
    </w:rPr>
  </w:style>
  <w:style w:type="paragraph" w:styleId="896" w:customStyle="1">
    <w:name w:val="TOC 标题1"/>
    <w:uiPriority w:val="39"/>
    <w:unhideWhenUsed/>
    <w:qFormat/>
    <w:rPr>
      <w:rFonts w:ascii="Times New Roman" w:hAnsi="Times New Roman" w:eastAsia="宋体" w:cs="Times New Roman"/>
      <w:lang w:val="en-US" w:eastAsia="zh-CN" w:bidi="ar-SA"/>
    </w:rPr>
  </w:style>
  <w:style w:type="character" w:styleId="897" w:customStyle="1">
    <w:name w:val="标题 1 Char"/>
    <w:link w:val="687"/>
    <w:uiPriority w:val="0"/>
    <w:qFormat/>
    <w:rPr>
      <w:rFonts w:ascii="楷体_GB2312" w:hAnsi="Times New Roman" w:eastAsia="楷体_GB2312" w:cs="Times New Roman"/>
      <w:sz w:val="28"/>
      <w:szCs w:val="28"/>
    </w:rPr>
  </w:style>
  <w:style w:type="character" w:styleId="898" w:customStyle="1">
    <w:name w:val="标题 2 Char"/>
    <w:link w:val="688"/>
    <w:uiPriority w:val="0"/>
    <w:qFormat/>
    <w:rPr>
      <w:rFonts w:ascii="Arial" w:hAnsi="Arial" w:eastAsia="幼圆" w:cs="Arial"/>
      <w:b/>
      <w:bCs/>
      <w:sz w:val="44"/>
      <w:szCs w:val="44"/>
    </w:rPr>
  </w:style>
  <w:style w:type="character" w:styleId="899" w:customStyle="1">
    <w:name w:val="正文缩进 Char"/>
    <w:link w:val="699"/>
    <w:uiPriority w:val="0"/>
    <w:qFormat/>
    <w:rPr>
      <w:szCs w:val="21"/>
    </w:rPr>
  </w:style>
  <w:style w:type="character" w:styleId="900" w:customStyle="1">
    <w:name w:val="标题 3 Char"/>
    <w:link w:val="689"/>
    <w:uiPriority w:val="0"/>
    <w:qFormat/>
    <w:rPr>
      <w:rFonts w:ascii="Times New Roman" w:hAnsi="Times New Roman" w:eastAsia="宋体" w:cs="Times New Roman"/>
      <w:b/>
      <w:bCs/>
      <w:sz w:val="32"/>
      <w:szCs w:val="32"/>
    </w:rPr>
  </w:style>
  <w:style w:type="character" w:styleId="901" w:customStyle="1">
    <w:name w:val="标题 4 Char"/>
    <w:link w:val="690"/>
    <w:uiPriority w:val="0"/>
    <w:qFormat/>
    <w:rPr>
      <w:rFonts w:ascii="Arial" w:hAnsi="Arial" w:eastAsia="黑体" w:cs="Arial"/>
      <w:b/>
      <w:bCs/>
      <w:sz w:val="28"/>
      <w:szCs w:val="28"/>
    </w:rPr>
  </w:style>
  <w:style w:type="character" w:styleId="902" w:customStyle="1">
    <w:name w:val="标题 5 Char"/>
    <w:link w:val="691"/>
    <w:uiPriority w:val="0"/>
    <w:qFormat/>
    <w:rPr>
      <w:rFonts w:ascii="宋体" w:hAnsi="Times New Roman" w:eastAsia="宋体" w:cs="Times New Roman"/>
      <w:color w:val="000000"/>
      <w:sz w:val="28"/>
      <w:szCs w:val="28"/>
    </w:rPr>
  </w:style>
  <w:style w:type="character" w:styleId="903" w:customStyle="1">
    <w:name w:val="标题 6 Char"/>
    <w:link w:val="692"/>
    <w:uiPriority w:val="0"/>
    <w:qFormat/>
    <w:rPr>
      <w:rFonts w:ascii="Arial" w:hAnsi="Arial" w:eastAsia="黑体" w:cs="Times New Roman"/>
      <w:b/>
      <w:bCs/>
      <w:sz w:val="24"/>
      <w:szCs w:val="24"/>
    </w:rPr>
  </w:style>
  <w:style w:type="character" w:styleId="904" w:customStyle="1">
    <w:name w:val="标题 7 Char"/>
    <w:link w:val="693"/>
    <w:uiPriority w:val="0"/>
    <w:qFormat/>
    <w:rPr>
      <w:rFonts w:ascii="Times New Roman" w:hAnsi="Times New Roman" w:eastAsia="宋体" w:cs="Times New Roman"/>
      <w:b/>
      <w:bCs/>
      <w:sz w:val="24"/>
      <w:szCs w:val="24"/>
    </w:rPr>
  </w:style>
  <w:style w:type="character" w:styleId="905" w:customStyle="1">
    <w:name w:val="标题 8 Char"/>
    <w:link w:val="694"/>
    <w:uiPriority w:val="0"/>
    <w:qFormat/>
    <w:rPr>
      <w:rFonts w:ascii="Arial" w:hAnsi="Arial" w:eastAsia="黑体" w:cs="Times New Roman"/>
      <w:sz w:val="24"/>
      <w:szCs w:val="24"/>
    </w:rPr>
  </w:style>
  <w:style w:type="character" w:styleId="906" w:customStyle="1">
    <w:name w:val="标题 9 Char"/>
    <w:link w:val="695"/>
    <w:uiPriority w:val="0"/>
    <w:qFormat/>
    <w:rPr>
      <w:rFonts w:ascii="Arial" w:hAnsi="Arial" w:eastAsia="黑体" w:cs="Times New Roman"/>
      <w:szCs w:val="21"/>
    </w:rPr>
  </w:style>
  <w:style w:type="character" w:styleId="907" w:customStyle="1">
    <w:name w:val="文档结构图 Char"/>
    <w:link w:val="707"/>
    <w:uiPriority w:val="0"/>
    <w:semiHidden/>
    <w:qFormat/>
    <w:rPr>
      <w:rFonts w:ascii="Times New Roman" w:hAnsi="Times New Roman" w:eastAsia="宋体" w:cs="Times New Roman"/>
      <w:szCs w:val="21"/>
      <w:shd w:val="clear" w:color="auto" w:fill="000080"/>
    </w:rPr>
  </w:style>
  <w:style w:type="character" w:styleId="908" w:customStyle="1">
    <w:name w:val="批注文字 Char"/>
    <w:link w:val="702"/>
    <w:uiPriority w:val="99"/>
    <w:semiHidden/>
    <w:qFormat/>
  </w:style>
  <w:style w:type="character" w:styleId="909" w:customStyle="1">
    <w:name w:val="正文文本 3 Char"/>
    <w:link w:val="708"/>
    <w:uiPriority w:val="0"/>
    <w:qFormat/>
    <w:rPr>
      <w:rFonts w:ascii="仿宋_GB2312" w:hAnsi="Arial" w:eastAsia="仿宋_GB2312" w:cs="Times New Roman"/>
      <w:sz w:val="32"/>
      <w:szCs w:val="32"/>
    </w:rPr>
  </w:style>
  <w:style w:type="character" w:styleId="910" w:customStyle="1">
    <w:name w:val="正文文本 Char"/>
    <w:link w:val="705"/>
    <w:uiPriority w:val="0"/>
    <w:qFormat/>
    <w:rPr>
      <w:rFonts w:ascii="楷体_GB2312" w:hAnsi="Arial" w:eastAsia="楷体_GB2312" w:cs="Times New Roman"/>
      <w:sz w:val="28"/>
      <w:szCs w:val="28"/>
    </w:rPr>
  </w:style>
  <w:style w:type="character" w:styleId="911" w:customStyle="1">
    <w:name w:val="正文文本缩进 Char"/>
    <w:link w:val="709"/>
    <w:uiPriority w:val="99"/>
    <w:semiHidden/>
    <w:qFormat/>
  </w:style>
  <w:style w:type="character" w:styleId="912" w:customStyle="1">
    <w:name w:val="纯文本 Char"/>
    <w:link w:val="714"/>
    <w:uiPriority w:val="0"/>
    <w:qFormat/>
    <w:rPr>
      <w:rFonts w:ascii="宋体" w:hAnsi="Courier New" w:eastAsia="宋体" w:cs="Courier New"/>
      <w:szCs w:val="21"/>
    </w:rPr>
  </w:style>
  <w:style w:type="character" w:styleId="913" w:customStyle="1">
    <w:name w:val="日期 Char"/>
    <w:link w:val="716"/>
    <w:uiPriority w:val="0"/>
    <w:qFormat/>
    <w:rPr>
      <w:rFonts w:ascii="Times New Roman" w:hAnsi="Times New Roman" w:eastAsia="宋体" w:cs="Times New Roman"/>
      <w:sz w:val="24"/>
      <w:szCs w:val="24"/>
    </w:rPr>
  </w:style>
  <w:style w:type="character" w:styleId="914" w:customStyle="1">
    <w:name w:val="正文文本缩进 2 Char"/>
    <w:link w:val="717"/>
    <w:uiPriority w:val="0"/>
    <w:qFormat/>
    <w:rPr>
      <w:rFonts w:ascii="Arial" w:hAnsi="Arial" w:eastAsia="仿宋_GB2312" w:cs="Arial"/>
      <w:sz w:val="32"/>
      <w:szCs w:val="32"/>
    </w:rPr>
  </w:style>
  <w:style w:type="character" w:styleId="915" w:customStyle="1">
    <w:name w:val="批注框文本 Char"/>
    <w:link w:val="719"/>
    <w:uiPriority w:val="0"/>
    <w:semiHidden/>
    <w:qFormat/>
    <w:rPr>
      <w:rFonts w:ascii="Times New Roman" w:hAnsi="Times New Roman" w:eastAsia="宋体" w:cs="Times New Roman"/>
      <w:sz w:val="18"/>
      <w:szCs w:val="18"/>
    </w:rPr>
  </w:style>
  <w:style w:type="character" w:styleId="916" w:customStyle="1">
    <w:name w:val="页脚 Char"/>
    <w:link w:val="720"/>
    <w:uiPriority w:val="99"/>
    <w:qFormat/>
    <w:rPr>
      <w:rFonts w:ascii="Times New Roman" w:hAnsi="Times New Roman" w:eastAsia="宋体" w:cs="Times New Roman"/>
      <w:sz w:val="18"/>
      <w:szCs w:val="18"/>
    </w:rPr>
  </w:style>
  <w:style w:type="character" w:styleId="917" w:customStyle="1">
    <w:name w:val="页眉 Char"/>
    <w:link w:val="722"/>
    <w:uiPriority w:val="0"/>
    <w:qFormat/>
    <w:rPr>
      <w:rFonts w:ascii="Times New Roman" w:hAnsi="Times New Roman" w:eastAsia="宋体" w:cs="Times New Roman"/>
      <w:sz w:val="18"/>
      <w:szCs w:val="18"/>
    </w:rPr>
  </w:style>
  <w:style w:type="character" w:styleId="918" w:customStyle="1">
    <w:name w:val="正文文本缩进 3 Char"/>
    <w:link w:val="729"/>
    <w:uiPriority w:val="0"/>
    <w:qFormat/>
    <w:rPr>
      <w:rFonts w:ascii="Arial" w:hAnsi="Arial" w:eastAsia="仿宋_GB2312" w:cs="Arial"/>
      <w:color w:val="ffff00"/>
      <w:sz w:val="32"/>
      <w:szCs w:val="32"/>
    </w:rPr>
  </w:style>
  <w:style w:type="character" w:styleId="919" w:customStyle="1">
    <w:name w:val="正文文本 2 Char"/>
    <w:link w:val="733"/>
    <w:uiPriority w:val="0"/>
    <w:qFormat/>
    <w:rPr>
      <w:rFonts w:ascii="楷体_GB2312" w:hAnsi="Times New Roman" w:eastAsia="楷体_GB2312" w:cs="Times New Roman"/>
      <w:sz w:val="28"/>
      <w:szCs w:val="28"/>
    </w:rPr>
  </w:style>
  <w:style w:type="character" w:styleId="920" w:customStyle="1">
    <w:name w:val="批注主题 Char"/>
    <w:link w:val="701"/>
    <w:uiPriority w:val="0"/>
    <w:semiHidden/>
    <w:qFormat/>
    <w:rPr>
      <w:rFonts w:ascii="Times New Roman" w:hAnsi="Times New Roman" w:eastAsia="宋体" w:cs="Times New Roman"/>
      <w:b/>
      <w:bCs/>
      <w:szCs w:val="21"/>
    </w:rPr>
  </w:style>
  <w:style w:type="character" w:styleId="921" w:customStyle="1">
    <w:name w:val="正文首行缩进 Char"/>
    <w:link w:val="704"/>
    <w:uiPriority w:val="0"/>
    <w:qFormat/>
    <w:rPr>
      <w:rFonts w:ascii="仿宋_GB2312" w:hAnsi="Times New Roman" w:eastAsia="仿宋_GB2312" w:cs="Times New Roman"/>
      <w:sz w:val="30"/>
      <w:szCs w:val="30"/>
    </w:rPr>
  </w:style>
  <w:style w:type="character" w:styleId="922" w:customStyle="1">
    <w:name w:val="正文首行缩进 2 Char"/>
    <w:link w:val="721"/>
    <w:uiPriority w:val="0"/>
    <w:qFormat/>
    <w:rPr>
      <w:rFonts w:ascii="宋体" w:hAnsi="宋体" w:eastAsia="宋体" w:cs="Times New Roman"/>
      <w:szCs w:val="20"/>
    </w:rPr>
  </w:style>
  <w:style w:type="character" w:styleId="923" w:customStyle="1">
    <w:name w:val="font5 Char"/>
    <w:uiPriority w:val="0"/>
    <w:qFormat/>
    <w:rPr>
      <w:rFonts w:ascii="宋体" w:hAnsi="宋体" w:eastAsia="宋体"/>
      <w:sz w:val="28"/>
      <w:szCs w:val="28"/>
      <w:lang w:val="en-US" w:eastAsia="zh-CN" w:bidi="ar-SA"/>
    </w:rPr>
  </w:style>
  <w:style w:type="character" w:styleId="924" w:customStyle="1">
    <w:name w:val="二级目录 Char"/>
    <w:link w:val="925"/>
    <w:uiPriority w:val="0"/>
    <w:qFormat/>
    <w:rPr>
      <w:b/>
      <w:sz w:val="30"/>
      <w:szCs w:val="28"/>
    </w:rPr>
  </w:style>
  <w:style w:type="paragraph" w:styleId="925" w:customStyle="1">
    <w:name w:val="二级目录"/>
    <w:next w:val="686"/>
    <w:link w:val="924"/>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686"/>
    <w:link w:val="926"/>
    <w:uiPriority w:val="0"/>
    <w:qFormat/>
    <w:pPr>
      <w:contextualSpacing/>
      <w:ind w:left="720"/>
      <w:jc w:val="left"/>
      <w:widowControl/>
    </w:pPr>
    <w:rPr>
      <w:rFonts w:ascii="Calibri" w:hAnsi="Calibri"/>
      <w:sz w:val="24"/>
      <w:szCs w:val="24"/>
      <w:lang w:eastAsia="en-US" w:bidi="en-US"/>
    </w:rPr>
  </w:style>
  <w:style w:type="paragraph" w:styleId="928" w:customStyle="1">
    <w:name w:val="Body Text(ch)"/>
    <w:basedOn w:val="686"/>
    <w:next w:val="705"/>
    <w:uiPriority w:val="0"/>
    <w:qFormat/>
    <w:pPr>
      <w:spacing w:after="120"/>
    </w:pPr>
    <w:rPr>
      <w:rFonts w:ascii="宋体" w:hAnsi="Arial"/>
      <w:bCs/>
      <w:iCs/>
      <w:szCs w:val="24"/>
    </w:rPr>
  </w:style>
  <w:style w:type="paragraph" w:styleId="929" w:customStyle="1">
    <w:name w:val="xl27"/>
    <w:basedOn w:val="6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0" w:customStyle="1">
    <w:name w:val="xl26"/>
    <w:basedOn w:val="6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1" w:customStyle="1">
    <w:name w:val="Char"/>
    <w:basedOn w:val="686"/>
    <w:uiPriority w:val="0"/>
    <w:qFormat/>
    <w:pPr>
      <w:ind w:firstLine="200"/>
      <w:tabs>
        <w:tab w:val="left" w:pos="360" w:leader="none"/>
      </w:tabs>
    </w:pPr>
    <w:rPr>
      <w:sz w:val="28"/>
      <w:szCs w:val="30"/>
    </w:rPr>
  </w:style>
  <w:style w:type="paragraph" w:styleId="932" w:customStyle="1">
    <w:name w:val="Char1"/>
    <w:basedOn w:val="707"/>
    <w:uiPriority w:val="0"/>
    <w:qFormat/>
    <w:rPr>
      <w:rFonts w:ascii="Tahoma" w:hAnsi="Tahoma"/>
      <w:sz w:val="24"/>
      <w:szCs w:val="24"/>
    </w:rPr>
  </w:style>
  <w:style w:type="paragraph" w:styleId="933" w:customStyle="1">
    <w:name w:val="普通正文"/>
    <w:basedOn w:val="686"/>
    <w:uiPriority w:val="0"/>
    <w:qFormat/>
    <w:pPr>
      <w:ind w:firstLine="480"/>
      <w:jc w:val="left"/>
      <w:spacing w:before="120" w:after="120" w:line="360" w:lineRule="auto"/>
    </w:pPr>
    <w:rPr>
      <w:rFonts w:ascii="Arial" w:hAnsi="Arial"/>
      <w:sz w:val="24"/>
      <w:szCs w:val="24"/>
    </w:rPr>
  </w:style>
  <w:style w:type="paragraph" w:styleId="934" w:customStyle="1">
    <w:name w:val="table_lines"/>
    <w:basedOn w:val="686"/>
    <w:uiPriority w:val="0"/>
    <w:qFormat/>
    <w:pPr>
      <w:jc w:val="left"/>
      <w:widowControl/>
    </w:pPr>
    <w:rPr>
      <w:sz w:val="20"/>
      <w:szCs w:val="20"/>
      <w:lang w:val="de-DE" w:eastAsia="de-DE"/>
    </w:rPr>
  </w:style>
  <w:style w:type="paragraph" w:styleId="93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6" w:customStyle="1">
    <w:name w:val="font7"/>
    <w:basedOn w:val="686"/>
    <w:uiPriority w:val="0"/>
    <w:qFormat/>
    <w:pPr>
      <w:jc w:val="left"/>
      <w:spacing w:before="100" w:beforeAutospacing="1" w:after="100" w:afterAutospacing="1"/>
      <w:widowControl/>
    </w:pPr>
    <w:rPr>
      <w:rFonts w:hint="eastAsia" w:ascii="宋体" w:hAnsi="宋体"/>
      <w:sz w:val="18"/>
      <w:szCs w:val="18"/>
    </w:rPr>
  </w:style>
  <w:style w:type="paragraph" w:styleId="937" w:customStyle="1">
    <w:name w:val="Char Char Char Char"/>
    <w:basedOn w:val="707"/>
    <w:uiPriority w:val="0"/>
    <w:qFormat/>
    <w:pPr>
      <w:spacing w:line="360" w:lineRule="auto"/>
    </w:pPr>
    <w:rPr>
      <w:rFonts w:ascii="Tahoma" w:hAnsi="Tahoma"/>
      <w:sz w:val="24"/>
      <w:szCs w:val="24"/>
    </w:rPr>
  </w:style>
  <w:style w:type="paragraph" w:styleId="938">
    <w:name w:val="List Paragraph"/>
    <w:basedOn w:val="686"/>
    <w:uiPriority w:val="0"/>
    <w:qFormat/>
    <w:pPr>
      <w:contextualSpacing/>
      <w:ind w:left="720"/>
      <w:jc w:val="left"/>
      <w:widowControl/>
    </w:pPr>
    <w:rPr>
      <w:rFonts w:ascii="Calibri" w:hAnsi="Calibri"/>
      <w:sz w:val="24"/>
      <w:szCs w:val="24"/>
      <w:lang w:eastAsia="en-US" w:bidi="en-US"/>
    </w:rPr>
  </w:style>
  <w:style w:type="paragraph" w:styleId="939" w:customStyle="1">
    <w:name w:val="4"/>
    <w:basedOn w:val="686"/>
    <w:next w:val="729"/>
    <w:uiPriority w:val="0"/>
    <w:qFormat/>
    <w:pPr>
      <w:ind w:firstLine="420"/>
      <w:spacing w:line="360" w:lineRule="auto"/>
    </w:pPr>
    <w:rPr>
      <w:color w:val="ff0000"/>
      <w:sz w:val="24"/>
      <w:szCs w:val="24"/>
    </w:rPr>
  </w:style>
  <w:style w:type="paragraph" w:styleId="940" w:customStyle="1">
    <w:name w:val="普通 (Web)"/>
    <w:basedOn w:val="686"/>
    <w:uiPriority w:val="0"/>
    <w:qFormat/>
    <w:pPr>
      <w:jc w:val="left"/>
      <w:spacing w:before="100" w:beforeAutospacing="1" w:after="100" w:afterAutospacing="1"/>
      <w:widowControl/>
    </w:pPr>
    <w:rPr>
      <w:rFonts w:ascii="宋体" w:hAnsi="宋体"/>
      <w:sz w:val="24"/>
      <w:szCs w:val="24"/>
    </w:rPr>
  </w:style>
  <w:style w:type="paragraph" w:styleId="941" w:customStyle="1">
    <w:name w:val="Char Char Char Char Char Char Char Char Char Char"/>
    <w:basedOn w:val="686"/>
    <w:uiPriority w:val="0"/>
    <w:qFormat/>
    <w:pPr>
      <w:spacing w:line="360" w:lineRule="auto"/>
    </w:pPr>
    <w:rPr>
      <w:sz w:val="24"/>
      <w:szCs w:val="20"/>
    </w:rPr>
  </w:style>
  <w:style w:type="paragraph" w:styleId="942" w:customStyle="1">
    <w:name w:val="样式1"/>
    <w:basedOn w:val="686"/>
    <w:uiPriority w:val="0"/>
    <w:qFormat/>
    <w:pPr>
      <w:numPr>
        <w:ilvl w:val="0"/>
        <w:numId w:val="3"/>
      </w:numPr>
    </w:pPr>
    <w:rPr>
      <w:rFonts w:ascii="宋体" w:hAnsi="宋体"/>
      <w:szCs w:val="21"/>
    </w:rPr>
  </w:style>
  <w:style w:type="paragraph" w:styleId="943" w:customStyle="1">
    <w:name w:val="font6"/>
    <w:basedOn w:val="686"/>
    <w:uiPriority w:val="0"/>
    <w:qFormat/>
    <w:pPr>
      <w:jc w:val="left"/>
      <w:spacing w:before="100" w:beforeAutospacing="1" w:after="100" w:afterAutospacing="1"/>
      <w:widowControl/>
    </w:pPr>
    <w:rPr>
      <w:rFonts w:hint="eastAsia" w:ascii="宋体" w:hAnsi="宋体"/>
      <w:sz w:val="28"/>
      <w:szCs w:val="28"/>
      <w:u w:val="single"/>
    </w:rPr>
  </w:style>
  <w:style w:type="paragraph" w:styleId="944" w:customStyle="1">
    <w:name w:val="xl25"/>
    <w:basedOn w:val="68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6" w:customStyle="1">
    <w:name w:val="标题3"/>
    <w:basedOn w:val="686"/>
    <w:next w:val="686"/>
    <w:uiPriority w:val="0"/>
    <w:qFormat/>
    <w:pPr>
      <w:ind w:firstLine="624"/>
      <w:spacing w:line="590" w:lineRule="atLeast"/>
    </w:pPr>
    <w:rPr>
      <w:rFonts w:ascii="方正黑体_GBK" w:eastAsia="方正黑体_GBK"/>
      <w:sz w:val="32"/>
      <w:szCs w:val="32"/>
    </w:rPr>
  </w:style>
  <w:style w:type="paragraph" w:styleId="947" w:customStyle="1">
    <w:name w:val="xl24"/>
    <w:basedOn w:val="6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48" w:customStyle="1">
    <w:name w:val="xl29"/>
    <w:basedOn w:val="686"/>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49" w:customStyle="1">
    <w:name w:val="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950" w:customStyle="1">
    <w:name w:val="xl28"/>
    <w:basedOn w:val="68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1" w:customStyle="1">
    <w:name w:val="Char 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952" w:customStyle="1">
    <w:name w:val="xl30"/>
    <w:basedOn w:val="686"/>
    <w:uiPriority w:val="0"/>
    <w:qFormat/>
    <w:pPr>
      <w:jc w:val="center"/>
      <w:spacing w:before="100" w:beforeAutospacing="1" w:after="100" w:afterAutospacing="1"/>
      <w:widowControl/>
    </w:pPr>
    <w:rPr>
      <w:rFonts w:ascii="宋体" w:hAnsi="宋体"/>
      <w:b/>
      <w:bCs/>
      <w:sz w:val="36"/>
      <w:szCs w:val="36"/>
    </w:rPr>
  </w:style>
  <w:style w:type="paragraph" w:styleId="953" w:customStyle="1">
    <w:name w:val="Char Char Char Char1"/>
    <w:basedOn w:val="707"/>
    <w:uiPriority w:val="0"/>
    <w:qFormat/>
    <w:pPr>
      <w:spacing w:line="360" w:lineRule="auto"/>
    </w:pPr>
    <w:rPr>
      <w:rFonts w:ascii="Tahoma" w:hAnsi="Tahoma"/>
      <w:sz w:val="24"/>
      <w:szCs w:val="24"/>
    </w:rPr>
  </w:style>
  <w:style w:type="paragraph" w:styleId="954" w:customStyle="1">
    <w:name w:val="table_1stline"/>
    <w:basedOn w:val="686"/>
    <w:uiPriority w:val="0"/>
    <w:qFormat/>
    <w:pPr>
      <w:jc w:val="left"/>
      <w:spacing w:before="120"/>
      <w:widowControl/>
    </w:pPr>
    <w:rPr>
      <w:bCs/>
      <w:sz w:val="20"/>
      <w:szCs w:val="20"/>
      <w:lang w:val="de-DE" w:eastAsia="de-DE"/>
    </w:rPr>
  </w:style>
  <w:style w:type="paragraph" w:styleId="955" w:customStyle="1">
    <w:name w:val="font5"/>
    <w:basedOn w:val="686"/>
    <w:uiPriority w:val="0"/>
    <w:qFormat/>
    <w:pPr>
      <w:jc w:val="left"/>
      <w:spacing w:before="100" w:beforeAutospacing="1" w:after="100" w:afterAutospacing="1"/>
      <w:widowControl/>
    </w:pPr>
    <w:rPr>
      <w:rFonts w:hint="eastAsia" w:ascii="宋体" w:hAnsi="宋体"/>
      <w:sz w:val="28"/>
      <w:szCs w:val="28"/>
    </w:rPr>
  </w:style>
  <w:style w:type="paragraph" w:styleId="956" w:customStyle="1">
    <w:name w:val="标题1"/>
    <w:basedOn w:val="686"/>
    <w:next w:val="68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57" w:customStyle="1">
    <w:name w:val="_Style 110"/>
    <w:uiPriority w:val="99"/>
    <w:semiHidden/>
    <w:qFormat/>
    <w:rPr>
      <w:rFonts w:ascii="Times New Roman" w:hAnsi="Times New Roman" w:eastAsia="宋体" w:cs="Times New Roman"/>
      <w:sz w:val="21"/>
      <w:szCs w:val="21"/>
      <w:lang w:val="en-US" w:eastAsia="zh-CN" w:bidi="ar-SA"/>
    </w:rPr>
  </w:style>
  <w:style w:type="paragraph" w:styleId="958">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5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60" w:customStyle="1">
    <w:name w:val="索引 41"/>
    <w:next w:val="686"/>
    <w:uiPriority w:val="0"/>
    <w:qFormat/>
    <w:pPr>
      <w:ind w:left="1260"/>
      <w:jc w:val="both"/>
      <w:widowControl w:val="off"/>
    </w:pPr>
    <w:rPr>
      <w:rFonts w:ascii="Calibri" w:hAnsi="Calibri" w:eastAsia="宋体" w:cs="Times New Roman"/>
      <w:sz w:val="21"/>
      <w:lang w:val="en-US" w:eastAsia="zh-CN" w:bidi="ar-SA"/>
    </w:rPr>
  </w:style>
  <w:style w:type="paragraph" w:styleId="961" w:customStyle="1">
    <w:name w:val="正文文本首行缩进"/>
    <w:uiPriority w:val="99"/>
    <w:qFormat/>
    <w:pPr>
      <w:ind w:firstLine="420"/>
      <w:spacing w:after="120" w:line="360" w:lineRule="atLeast"/>
      <w:widowControl w:val="off"/>
    </w:pPr>
    <w:rPr>
      <w:rFonts w:ascii="宋体" w:hAnsi="Calibri" w:eastAsia="宋体" w:cs="Times New Roman"/>
      <w:sz w:val="24"/>
      <w:lang w:val="en-US" w:eastAsia="en-US" w:bidi="ar-SA"/>
    </w:rPr>
  </w:style>
  <w:style w:type="paragraph" w:styleId="962" w:customStyle="1">
    <w:name w:val="标题 41"/>
    <w:basedOn w:val="686"/>
    <w:next w:val="963"/>
    <w:uiPriority w:val="0"/>
    <w:qFormat/>
    <w:pPr>
      <w:keepLines/>
      <w:keepNext/>
      <w:spacing w:before="280" w:after="290" w:line="376" w:lineRule="auto"/>
      <w:outlineLvl w:val="3"/>
    </w:pPr>
    <w:rPr>
      <w:rFonts w:ascii="Arial" w:hAnsi="Arial" w:eastAsia="黑体" w:cs="Arial"/>
      <w:b/>
      <w:bCs/>
      <w:sz w:val="28"/>
      <w:szCs w:val="28"/>
    </w:rPr>
  </w:style>
  <w:style w:type="paragraph" w:styleId="963" w:customStyle="1">
    <w:name w:val="正文缩进1"/>
    <w:basedOn w:val="686"/>
    <w:uiPriority w:val="0"/>
    <w:qFormat/>
  </w:style>
  <w:style w:type="paragraph" w:styleId="964" w:customStyle="1">
    <w:name w:val="正文（缩进）"/>
    <w:basedOn w:val="686"/>
    <w:next w:val="686"/>
    <w:uiPriority w:val="0"/>
    <w:qFormat/>
    <w:pPr>
      <w:ind w:firstLine="200"/>
      <w:spacing w:line="360" w:lineRule="auto"/>
    </w:pPr>
    <w:rPr>
      <w:rFonts w:ascii="宋体" w:hAnsi="宋体"/>
    </w:rPr>
  </w:style>
  <w:style w:type="numbering" w:styleId="13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姚红俊</cp:lastModifiedBy>
  <cp:revision>4</cp:revision>
  <dcterms:created xsi:type="dcterms:W3CDTF">2025-12-04T01:57:00Z</dcterms:created>
  <dcterms:modified xsi:type="dcterms:W3CDTF">2025-12-15T02:43:48Z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eyJoZGlkIjoiOGQ5N2JiYTg0ZTQyZTk0NDMzZGQzNGRiMTRiZDdkN2QiLCJ1c2VySWQiOiIyOTIxMzcxMTIifQ==</vt:lpwstr>
  </property>
  <property fmtid="{D5CDD505-2E9C-101B-9397-08002B2CF9AE}" pid="3" name="KSOProductBuildVer">
    <vt:lpwstr>2052-10.8.2.7072</vt:lpwstr>
  </property>
  <property fmtid="{D5CDD505-2E9C-101B-9397-08002B2CF9AE}" pid="4" name="ICV">
    <vt:lpwstr>7BA975D8ED494933BDE9A7991B32DA70_13</vt:lpwstr>
  </property>
</Properties>
</file>