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JSZC-321000-JSWC-C2026-0001</w:t>
      </w:r>
      <w:r/>
    </w:p>
    <w:p>
      <w:pPr>
        <w:pStyle w:val="961"/>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扬州市农业农村局高标准农田建设项目工程质量</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验证服务项目竞争性磋商文件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384800" cy="3549650"/>
                <wp:effectExtent l="0" t="0" r="6350" b="1206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384800" cy="355028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0pt;height:279.5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pStyle w:val="724"/>
        <w:rPr>
          <w:color w:val="auto"/>
          <w:highlight w:val="none"/>
        </w:rPr>
      </w:pPr>
      <w:r>
        <w:rPr>
          <w:color w:val="auto"/>
          <w:highlight w:val="none"/>
        </w:rPr>
      </w:r>
      <w:r/>
    </w:p>
    <w:p>
      <w:pPr>
        <w:jc w:val="center"/>
        <w:spacing w:line="360" w:lineRule="auto"/>
        <w:rPr>
          <w:rFonts w:ascii="宋体" w:hAnsi="宋体" w:cs="宋体"/>
          <w:b/>
          <w:bCs/>
          <w:color w:val="auto"/>
          <w:sz w:val="36"/>
          <w:highlight w:val="none"/>
        </w:rPr>
      </w:pPr>
      <w:r/>
      <w:bookmarkStart w:id="3" w:name="FMFBSJ_1"/>
      <w:r>
        <w:rPr>
          <w:rFonts w:hint="eastAsia" w:ascii="宋体" w:hAnsi="宋体" w:cs="宋体"/>
          <w:b/>
          <w:bCs/>
          <w:color w:val="auto"/>
          <w:sz w:val="36"/>
          <w:highlight w:val="none"/>
        </w:rPr>
        <w:t xml:space="preserve">江苏唯诚建设咨询有限公司</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1</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9</w:t>
      </w:r>
      <w:r>
        <w:rPr>
          <w:rFonts w:hint="eastAsia" w:ascii="宋体" w:hAnsi="宋体" w:cs="宋体"/>
          <w:b/>
          <w:bCs/>
          <w:color w:val="auto"/>
          <w:sz w:val="36"/>
          <w:highlight w:val="none"/>
        </w:rPr>
        <w:t xml:space="preserve">日</w:t>
      </w:r>
      <w:bookmarkEnd w:id="3"/>
      <w:r/>
      <w:r/>
    </w:p>
    <w:p>
      <w:pPr>
        <w:jc w:val="center"/>
        <w:spacing w:line="360" w:lineRule="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987"/>
        <w:jc w:val="center"/>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987"/>
        <w:jc w:val="center"/>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987"/>
        <w:jc w:val="center"/>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17</w:t>
      </w:r>
      <w:r>
        <w:rPr>
          <w:rFonts w:hint="eastAsia" w:ascii="宋体" w:hAnsi="宋体" w:cs="宋体"/>
          <w:color w:val="auto"/>
          <w:highlight w:val="none"/>
        </w:rPr>
        <w:fldChar w:fldCharType="end"/>
      </w:r>
      <w:r/>
    </w:p>
    <w:p>
      <w:pPr>
        <w:pStyle w:val="987"/>
        <w:jc w:val="center"/>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_Toc109304974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22</w:t>
      </w:r>
      <w:r>
        <w:rPr>
          <w:rFonts w:hint="eastAsia" w:ascii="宋体" w:hAnsi="宋体" w:cs="宋体"/>
          <w:color w:val="auto"/>
          <w:highlight w:val="none"/>
        </w:rPr>
        <w:fldChar w:fldCharType="end"/>
      </w:r>
      <w:r/>
    </w:p>
    <w:p>
      <w:pPr>
        <w:pStyle w:val="987"/>
        <w:jc w:val="center"/>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_Toc109304975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24</w:t>
      </w:r>
      <w:r>
        <w:rPr>
          <w:rFonts w:hint="eastAsia" w:ascii="宋体" w:hAnsi="宋体" w:cs="宋体"/>
          <w:color w:val="auto"/>
          <w:highlight w:val="none"/>
        </w:rPr>
        <w:fldChar w:fldCharType="end"/>
      </w:r>
      <w:r/>
    </w:p>
    <w:p>
      <w:pPr>
        <w:pStyle w:val="987"/>
        <w:jc w:val="center"/>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_Toc109304976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27</w:t>
      </w:r>
      <w:r>
        <w:rPr>
          <w:rFonts w:hint="eastAsia" w:ascii="宋体" w:hAnsi="宋体" w:cs="宋体"/>
          <w:color w:val="auto"/>
          <w:highlight w:val="none"/>
        </w:rPr>
        <w:fldChar w:fldCharType="end"/>
      </w:r>
      <w:r/>
    </w:p>
    <w:p>
      <w:pPr>
        <w:jc w:val="center"/>
        <w:spacing w:line="360" w:lineRule="auto"/>
        <w:rPr>
          <w:rFonts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958"/>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109304962"/>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受扬州市农业农村局的委托，江苏唯诚建设咨询有限公司就扬州市农业农村局高标准农田建设项目工程质量验证服务项目实施政府采购，本次采购采用竞争性磋商方式，欢迎符合条件的供应商参加磋商。</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扬州市农业农村局高标准农田建设项目工程质量验证服务项目</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w:t>
      </w:r>
      <w:r>
        <w:rPr>
          <w:rFonts w:hint="eastAsia" w:ascii="宋体" w:hAnsi="宋体" w:cs="宋体"/>
          <w:bCs/>
          <w:color w:val="auto"/>
          <w:szCs w:val="21"/>
          <w:highlight w:val="none"/>
          <w:u w:val="single"/>
        </w:rPr>
        <w:t xml:space="preserve">日9点30分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59"/>
        <w:ind w:firstLine="422"/>
        <w:spacing w:before="0" w:after="0" w:line="360" w:lineRule="auto"/>
        <w:rPr>
          <w:rFonts w:ascii="宋体" w:hAnsi="宋体" w:cs="宋体"/>
          <w:bCs w:val="0"/>
          <w:color w:val="auto"/>
          <w:sz w:val="21"/>
          <w:szCs w:val="21"/>
          <w:highlight w:val="none"/>
        </w:rPr>
      </w:pPr>
      <w:r/>
      <w:bookmarkStart w:id="6" w:name="_Toc109304963"/>
      <w:r>
        <w:rPr>
          <w:rFonts w:hint="eastAsia" w:ascii="宋体" w:hAnsi="宋体" w:cs="宋体"/>
          <w:bCs w:val="0"/>
          <w:color w:val="auto"/>
          <w:sz w:val="21"/>
          <w:szCs w:val="21"/>
          <w:highlight w:val="none"/>
        </w:rPr>
        <w:t xml:space="preserve">一、项目基本情况</w:t>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JSZC-321000-JSWC-C2026-0001</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2.项目名称：扬州市农业农村局高标准农田建设项目工程质量验证服务项目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4.预算金额：220万元</w:t>
      </w:r>
      <w:r/>
    </w:p>
    <w:p>
      <w:pPr>
        <w:ind w:firstLine="420"/>
        <w:spacing w:line="360" w:lineRule="auto"/>
        <w:rPr>
          <w:rFonts w:ascii="宋体" w:hAnsi="宋体" w:cs="宋体"/>
          <w:color w:val="auto"/>
          <w:szCs w:val="21"/>
          <w:highlight w:val="none"/>
          <w:u w:val="single"/>
        </w:rPr>
      </w:pPr>
      <w:r>
        <w:rPr>
          <w:rFonts w:hint="eastAsia" w:ascii="宋体" w:hAnsi="宋体" w:cs="宋体"/>
          <w:color w:val="auto"/>
          <w:highlight w:val="none"/>
        </w:rPr>
        <w:t xml:space="preserve">5.最高限价：</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万元</w:t>
      </w:r>
      <w:r>
        <w:rPr>
          <w:rFonts w:hint="eastAsia" w:ascii="宋体" w:hAnsi="宋体" w:cs="宋体"/>
          <w:color w:val="auto"/>
          <w:highlight w:val="none"/>
        </w:rPr>
        <w:t xml:space="preserve">(报价超过最高限价做无效响应文件处理)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6.采购需求：见采购文件第四章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7.合同履行期限：见采购文件第四章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8.本项目不接受联合体响应。</w:t>
      </w:r>
      <w:r/>
    </w:p>
    <w:p>
      <w:pPr>
        <w:pStyle w:val="959"/>
        <w:ind w:firstLine="422"/>
        <w:spacing w:before="0" w:after="0" w:line="360" w:lineRule="auto"/>
        <w:rPr>
          <w:rFonts w:ascii="宋体" w:hAnsi="宋体" w:cs="宋体"/>
          <w:bCs w:val="0"/>
          <w:color w:val="auto"/>
          <w:sz w:val="21"/>
          <w:szCs w:val="21"/>
          <w:highlight w:val="none"/>
        </w:rPr>
      </w:pPr>
      <w:r/>
      <w:bookmarkStart w:id="7" w:name="_Toc109304964"/>
      <w:r>
        <w:rPr>
          <w:rFonts w:hint="eastAsia" w:ascii="宋体" w:hAnsi="宋体" w:cs="宋体"/>
          <w:bCs w:val="0"/>
          <w:color w:val="auto"/>
          <w:sz w:val="21"/>
          <w:szCs w:val="21"/>
          <w:highlight w:val="none"/>
        </w:rPr>
        <w:t xml:space="preserve">二、申请人的资格要求：</w:t>
      </w:r>
      <w:bookmarkEnd w:id="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 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供应商近三个月内任意一份依法纳税的缴款凭证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lang w:val="en-US" w:eastAsia="zh-CN"/>
        </w:rPr>
        <w:t xml:space="preserve">2024年度）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bCs/>
          <w:iCs/>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本项目采购标的按中小企业划分标准所属行业区分为：其他未列明行业（中小微企业划型标准网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4"/>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3.1供应商须具有水利工程质量检测（至少包含岩土工程、混凝土工程、金属结构、机械电气和量测）乙级及以上资质；</w:t>
      </w:r>
      <w:r/>
    </w:p>
    <w:p>
      <w:pPr>
        <w:ind w:firstLine="424"/>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3.2供应商拟派项目负责人须具有水利类中级及以上技术职称。</w:t>
      </w:r>
      <w:r/>
    </w:p>
    <w:p>
      <w:pPr>
        <w:ind w:firstLine="424"/>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3.3供应商具有资质认定证书（计量认证证书）（提供证明材料加盖供应商公章）</w:t>
      </w:r>
      <w:r/>
    </w:p>
    <w:p>
      <w:pPr>
        <w:pStyle w:val="959"/>
        <w:ind w:firstLine="422"/>
        <w:spacing w:before="0" w:after="0" w:line="360" w:lineRule="auto"/>
        <w:rPr>
          <w:rFonts w:ascii="宋体" w:hAnsi="宋体" w:cs="宋体"/>
          <w:bCs w:val="0"/>
          <w:color w:val="auto"/>
          <w:sz w:val="21"/>
          <w:szCs w:val="21"/>
          <w:highlight w:val="none"/>
        </w:rPr>
      </w:pPr>
      <w:r/>
      <w:bookmarkStart w:id="8" w:name="_Toc109304965"/>
      <w:r>
        <w:rPr>
          <w:rFonts w:hint="eastAsia" w:ascii="宋体" w:hAnsi="宋体" w:cs="宋体"/>
          <w:bCs w:val="0"/>
          <w:color w:val="auto"/>
          <w:sz w:val="21"/>
          <w:szCs w:val="21"/>
          <w:highlight w:val="none"/>
        </w:rPr>
        <w:t xml:space="preserve">三、获取采购文件</w:t>
      </w:r>
      <w:bookmarkEnd w:id="8"/>
      <w:r/>
      <w:r/>
    </w:p>
    <w:p>
      <w:pPr>
        <w:ind w:firstLine="420"/>
        <w:spacing w:line="360" w:lineRule="auto"/>
        <w:rPr>
          <w:rFonts w:ascii="宋体" w:hAnsi="宋体" w:cs="宋体"/>
          <w:color w:val="auto"/>
          <w:highlight w:val="none"/>
        </w:rPr>
      </w:pPr>
      <w:r/>
      <w:bookmarkStart w:id="9" w:name="_Toc109304966"/>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pStyle w:val="959"/>
        <w:ind w:firstLine="422"/>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9"/>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rPr>
        <w:t xml:space="preserve">日9点30分</w:t>
      </w:r>
      <w:r>
        <w:rPr>
          <w:rFonts w:hint="eastAsia" w:ascii="宋体" w:hAnsi="宋体" w:cs="宋体"/>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59"/>
        <w:ind w:firstLine="422"/>
        <w:spacing w:before="0" w:after="0" w:line="360" w:lineRule="auto"/>
        <w:rPr>
          <w:rFonts w:ascii="宋体" w:hAnsi="宋体" w:cs="宋体"/>
          <w:bCs w:val="0"/>
          <w:color w:val="auto"/>
          <w:sz w:val="21"/>
          <w:szCs w:val="21"/>
          <w:highlight w:val="none"/>
        </w:rPr>
      </w:pPr>
      <w:r/>
      <w:bookmarkStart w:id="10" w:name="_Toc109304967"/>
      <w:r>
        <w:rPr>
          <w:rFonts w:hint="eastAsia" w:ascii="宋体" w:hAnsi="宋体" w:cs="宋体"/>
          <w:bCs w:val="0"/>
          <w:color w:val="auto"/>
          <w:sz w:val="21"/>
          <w:szCs w:val="21"/>
          <w:highlight w:val="none"/>
        </w:rPr>
        <w:t xml:space="preserve">五、开启</w:t>
      </w:r>
      <w:bookmarkEnd w:id="10"/>
      <w:r/>
      <w:r/>
    </w:p>
    <w:p>
      <w:pPr>
        <w:pStyle w:val="96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年1月</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rPr>
        <w:t xml:space="preserve">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59"/>
        <w:ind w:firstLine="422"/>
        <w:spacing w:before="0" w:after="0" w:line="360" w:lineRule="auto"/>
        <w:rPr>
          <w:rFonts w:ascii="宋体" w:hAnsi="宋体" w:cs="宋体"/>
          <w:bCs w:val="0"/>
          <w:color w:val="auto"/>
          <w:sz w:val="21"/>
          <w:szCs w:val="21"/>
          <w:highlight w:val="none"/>
        </w:rPr>
      </w:pPr>
      <w:r/>
      <w:bookmarkStart w:id="11" w:name="_Toc109304968"/>
      <w:r>
        <w:rPr>
          <w:rFonts w:hint="eastAsia" w:ascii="宋体" w:hAnsi="宋体" w:cs="宋体"/>
          <w:bCs w:val="0"/>
          <w:color w:val="auto"/>
          <w:sz w:val="21"/>
          <w:szCs w:val="21"/>
          <w:highlight w:val="none"/>
        </w:rPr>
        <w:t xml:space="preserve">六、公告期限</w:t>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59"/>
        <w:ind w:firstLine="422"/>
        <w:spacing w:before="0" w:after="0" w:line="360" w:lineRule="auto"/>
        <w:rPr>
          <w:rFonts w:ascii="宋体" w:hAnsi="宋体" w:cs="宋体"/>
          <w:color w:val="auto"/>
          <w:sz w:val="21"/>
          <w:szCs w:val="21"/>
          <w:highlight w:val="none"/>
        </w:rPr>
      </w:pPr>
      <w:r/>
      <w:bookmarkStart w:id="12" w:name="_Toc109304969"/>
      <w:r>
        <w:rPr>
          <w:rFonts w:hint="eastAsia" w:ascii="宋体" w:hAnsi="宋体" w:cs="宋体"/>
          <w:color w:val="auto"/>
          <w:sz w:val="21"/>
          <w:szCs w:val="21"/>
          <w:highlight w:val="none"/>
        </w:rPr>
        <w:t xml:space="preserve">七、其他补充事宜</w:t>
      </w:r>
      <w:bookmarkEnd w:id="1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p>
      <w:pPr>
        <w:pStyle w:val="959"/>
        <w:ind w:firstLine="422"/>
        <w:spacing w:before="0" w:after="0" w:line="360" w:lineRule="auto"/>
        <w:rPr>
          <w:rFonts w:ascii="宋体" w:hAnsi="宋体" w:cs="宋体"/>
          <w:bCs w:val="0"/>
          <w:color w:val="auto"/>
          <w:sz w:val="21"/>
          <w:szCs w:val="21"/>
          <w:highlight w:val="none"/>
        </w:rPr>
      </w:pPr>
      <w:r/>
      <w:bookmarkStart w:id="13" w:name="_Toc109304970"/>
      <w:r>
        <w:rPr>
          <w:rFonts w:hint="eastAsia" w:ascii="宋体" w:hAnsi="宋体" w:cs="宋体"/>
          <w:bCs w:val="0"/>
          <w:color w:val="auto"/>
          <w:sz w:val="21"/>
          <w:szCs w:val="21"/>
          <w:highlight w:val="none"/>
        </w:rPr>
        <w:t xml:space="preserve">八、本次竞争性磋商联系方式</w:t>
      </w:r>
      <w:bookmarkEnd w:id="13"/>
      <w:r/>
      <w:r/>
    </w:p>
    <w:p>
      <w:pPr>
        <w:pStyle w:val="976"/>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名    称：扬州市农业农村局</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地    址：扬州市文昌中路460号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联系方式：</w:t>
      </w:r>
      <w:r>
        <w:rPr>
          <w:rFonts w:hint="eastAsia" w:ascii="宋体" w:hAnsi="宋体" w:cs="宋体"/>
          <w:color w:val="auto"/>
          <w:szCs w:val="21"/>
          <w:highlight w:val="none"/>
        </w:rPr>
        <w:t xml:space="preserve">0514-80309339</w:t>
      </w:r>
      <w:r/>
    </w:p>
    <w:p>
      <w:pPr>
        <w:pStyle w:val="976"/>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76"/>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76"/>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联 系 人：林祖超</w:t>
      </w:r>
      <w:r/>
    </w:p>
    <w:p>
      <w:pPr>
        <w:pStyle w:val="976"/>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联系方式：18652401357</w:t>
      </w:r>
      <w:r/>
    </w:p>
    <w:p>
      <w:pPr>
        <w:ind w:firstLine="422"/>
        <w:spacing w:line="360" w:lineRule="auto"/>
        <w:tabs>
          <w:tab w:val="left" w:pos="266" w:leader="none"/>
        </w:tabs>
        <w:rPr>
          <w:rFonts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59"/>
        <w:ind w:firstLine="422"/>
        <w:spacing w:before="0" w:after="0" w:line="360" w:lineRule="auto"/>
        <w:rPr>
          <w:rFonts w:ascii="宋体" w:hAnsi="宋体" w:cs="宋体"/>
          <w:color w:val="auto"/>
          <w:sz w:val="21"/>
          <w:szCs w:val="21"/>
          <w:highlight w:val="none"/>
        </w:rPr>
      </w:pPr>
      <w:r/>
      <w:bookmarkStart w:id="14" w:name="_Toc109304971"/>
      <w:r>
        <w:rPr>
          <w:rFonts w:hint="eastAsia" w:ascii="宋体" w:hAnsi="宋体" w:cs="宋体"/>
          <w:color w:val="auto"/>
          <w:sz w:val="21"/>
          <w:szCs w:val="21"/>
          <w:highlight w:val="none"/>
        </w:rPr>
        <w:t xml:space="preserve">十、其他</w:t>
      </w:r>
      <w:bookmarkEnd w:id="14"/>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783"/>
        <w:ind w:firstLine="422"/>
        <w:spacing w:line="360" w:lineRule="auto"/>
        <w:shd w:val="clear" w:color="auto" w:fill="ffffff"/>
        <w:rPr>
          <w:rFonts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有关本次采购的事项若存在变动或修改，敬请及时关注“扬州市政府采购网”、“江苏省政府采购网”、“中国政府采购网”发布的信息。</w:t>
      </w:r>
      <w:r/>
    </w:p>
    <w:p>
      <w:pPr>
        <w:ind w:firstLine="422"/>
        <w:spacing w:line="360" w:lineRule="auto"/>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958"/>
        <w:jc w:val="center"/>
        <w:spacing w:line="360" w:lineRule="auto"/>
        <w:rPr>
          <w:rFonts w:ascii="宋体" w:hAnsi="宋体" w:cs="宋体"/>
          <w:color w:val="auto"/>
          <w:highlight w:val="none"/>
        </w:rPr>
      </w:pPr>
      <w:r>
        <w:rPr>
          <w:rFonts w:hint="eastAsia" w:ascii="宋体" w:hAnsi="宋体" w:cs="宋体"/>
          <w:color w:val="auto"/>
          <w:sz w:val="36"/>
          <w:highlight w:val="none"/>
        </w:rPr>
        <w:br w:type="page" w:clear="all"/>
      </w:r>
      <w:bookmarkStart w:id="15" w:name="_Toc109304972"/>
      <w:r>
        <w:rPr>
          <w:rFonts w:hint="eastAsia" w:ascii="宋体" w:hAnsi="宋体" w:cs="宋体"/>
          <w:color w:val="auto"/>
          <w:highlight w:val="none"/>
        </w:rPr>
        <w:t xml:space="preserve">第二章 磋商须知</w:t>
      </w:r>
      <w:bookmarkEnd w:id="15"/>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JSZC-321000-JSWC-C2026-0001</w:t>
      </w:r>
      <w:r>
        <w:rPr>
          <w:rFonts w:hint="eastAsia" w:ascii="宋体" w:hAnsi="宋体" w:cs="宋体"/>
          <w:color w:val="auto"/>
          <w:highlight w:val="none"/>
        </w:rPr>
        <w:t xml:space="preserve">号项目。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2.2合格的供应商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4、参加磋商费用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w:t>
      </w:r>
      <w:bookmarkStart w:id="16" w:name="_Hlk115095815"/>
      <w:r>
        <w:rPr>
          <w:rFonts w:hint="eastAsia" w:ascii="宋体" w:hAnsi="宋体" w:cs="宋体"/>
          <w:color w:val="auto"/>
          <w:highlight w:val="none"/>
        </w:rPr>
        <w:t xml:space="preserve">本次采购由成交单位在领取成交通知书前按照国家计委印发的《招标代理服务收费管理暂行办法》(计价格【2002】1980 号文)服务类的标准80%一次性支付给招标代理机构代理服务费。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bookmarkEnd w:id="16"/>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招标代理服务费开户银行：江苏银行扬州广陵支行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开户帐号：</w:t>
      </w:r>
      <w:r>
        <w:rPr>
          <w:rFonts w:hint="eastAsia" w:ascii="宋体" w:hAnsi="宋体" w:cs="宋体"/>
          <w:color w:val="auto"/>
          <w:highlight w:val="none"/>
        </w:rPr>
        <w:t xml:space="preserve">05000140900000685</w:t>
      </w:r>
      <w:r>
        <w:rPr>
          <w:rFonts w:hint="eastAsia"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7、采购文件的澄清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8、采购文件的修改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color w:val="auto"/>
          <w:highlight w:val="none"/>
        </w:rPr>
      </w:pPr>
      <w:r/>
      <w:bookmarkStart w:id="17" w:name="_Toc16938541"/>
      <w:r/>
      <w:bookmarkStart w:id="18" w:name="_Toc20823297"/>
      <w:r>
        <w:rPr>
          <w:rFonts w:hint="eastAsia" w:ascii="宋体" w:hAnsi="宋体" w:cs="宋体"/>
          <w:color w:val="auto"/>
          <w:highlight w:val="none"/>
        </w:rPr>
        <w:t xml:space="preserve">17、响应文件</w:t>
      </w:r>
      <w:bookmarkEnd w:id="17"/>
      <w:r/>
      <w:bookmarkEnd w:id="18"/>
      <w:r>
        <w:rPr>
          <w:rFonts w:hint="eastAsia" w:ascii="宋体" w:hAnsi="宋体" w:cs="宋体"/>
          <w:color w:val="auto"/>
          <w:highlight w:val="none"/>
        </w:rPr>
        <w:t xml:space="preserve">的递交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2"/>
        <w:spacing w:line="360" w:lineRule="auto"/>
        <w:rPr>
          <w:rFonts w:ascii="宋体" w:hAnsi="宋体" w:cs="宋体"/>
          <w:color w:val="auto"/>
          <w:sz w:val="24"/>
          <w:highlight w:val="none"/>
        </w:rPr>
      </w:pPr>
      <w:r>
        <w:rPr>
          <w:rFonts w:hint="eastAsia" w:ascii="宋体" w:hAnsi="宋体" w:cs="宋体"/>
          <w:color w:val="auto"/>
          <w:highlight w:val="none"/>
        </w:rPr>
        <w:t xml:space="preserve">18、磋商响应截止日期</w:t>
      </w:r>
      <w:bookmarkEnd w:id="19"/>
      <w:r/>
      <w:bookmarkEnd w:id="20"/>
      <w:r/>
      <w:r/>
    </w:p>
    <w:p>
      <w:pPr>
        <w:ind w:firstLine="420"/>
        <w:spacing w:line="360" w:lineRule="auto"/>
        <w:rPr>
          <w:rFonts w:ascii="宋体" w:hAnsi="宋体" w:cs="宋体"/>
          <w:i/>
          <w:color w:val="auto"/>
          <w:highlight w:val="none"/>
          <w:u w:val="single"/>
        </w:rPr>
      </w:pPr>
      <w:r>
        <w:rPr>
          <w:rFonts w:hint="eastAsia" w:ascii="宋体" w:hAnsi="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color w:val="auto"/>
          <w:highlight w:val="none"/>
        </w:rPr>
      </w:pPr>
      <w:r/>
      <w:bookmarkStart w:id="21" w:name="_Toc16938543"/>
      <w:r/>
      <w:bookmarkStart w:id="22" w:name="_Toc20823299"/>
      <w:r>
        <w:rPr>
          <w:rFonts w:hint="eastAsia" w:ascii="宋体" w:hAnsi="宋体" w:cs="宋体"/>
          <w:color w:val="auto"/>
          <w:highlight w:val="none"/>
        </w:rPr>
        <w:t xml:space="preserve">19、响应文件</w:t>
      </w:r>
      <w:bookmarkEnd w:id="21"/>
      <w:r/>
      <w:bookmarkEnd w:id="22"/>
      <w:r>
        <w:rPr>
          <w:rFonts w:hint="eastAsia" w:ascii="宋体" w:hAnsi="宋体" w:cs="宋体"/>
          <w:color w:val="auto"/>
          <w:highlight w:val="none"/>
        </w:rPr>
        <w:t xml:space="preserve">的拒收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ascii="宋体" w:hAnsi="宋体" w:cs="宋体"/>
          <w:color w:val="auto"/>
          <w:highlight w:val="none"/>
        </w:rPr>
      </w:pPr>
      <w:r/>
      <w:bookmarkStart w:id="23" w:name="_Toc16938544"/>
      <w:r/>
      <w:bookmarkStart w:id="24" w:name="_Toc20823300"/>
      <w:r>
        <w:rPr>
          <w:rFonts w:hint="eastAsia" w:ascii="宋体" w:hAnsi="宋体" w:cs="宋体"/>
          <w:color w:val="auto"/>
          <w:highlight w:val="none"/>
        </w:rPr>
        <w:t xml:space="preserve">20、响应文件的撤回和修改</w:t>
      </w:r>
      <w:bookmarkEnd w:id="23"/>
      <w:r/>
      <w:bookmarkEnd w:id="24"/>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22、磋商小组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24、磋商的澄清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26.1磋商程序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26.2 评审方法和标准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26.2.2评审标准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27.1无效响应条款</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spacing w:line="360" w:lineRule="auto"/>
        <w:rPr>
          <w:rFonts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spacing w:line="360" w:lineRule="auto"/>
        <w:rPr>
          <w:rFonts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.1投标（响应）报价低于采购项目预算 50% 的，即投标（响应）报价&lt;采购项目预算×50% ；</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.2投标（响应）报价低于采购项目最高限价 45% 的，即投标（响应）报价&lt;采购项目最高限价×45% ；</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.3评审委员会认定的供应商报价过低、有可能影响产品质量或者不能诚信履约的其他情形。</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28.3 代理机构将在“扬州市政府采购网”、”江苏省政府采购网”、“中国政府采购网”发布成交公告，公告期限为1个工作日。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 签订合同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32、其他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58"/>
        <w:jc w:val="center"/>
        <w:spacing w:line="360" w:lineRule="auto"/>
        <w:rPr>
          <w:rFonts w:ascii="宋体" w:hAnsi="宋体" w:cs="宋体"/>
          <w:color w:val="auto"/>
          <w:highlight w:val="none"/>
        </w:rPr>
      </w:pPr>
      <w:r/>
      <w:bookmarkStart w:id="25"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5"/>
      <w:r/>
      <w:r/>
    </w:p>
    <w:p>
      <w:pPr>
        <w:pStyle w:val="976"/>
        <w:ind w:firstLine="422"/>
        <w:jc w:val="center"/>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扬州市政府采购合同（服务）（合同编号）</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项目名称：_________                                       </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项目编号：_________</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甲方：（买方）扬州市农业农村局</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乙方：（卖方）_________</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甲、乙双方根据江苏唯诚建设咨询有限公司组织</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竞争性磋商的结果，签署本合同。</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一、服务及产品内容</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1.1 项目名称：</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1.2 项目服务内容：</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二、合同金额</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2.1 本合同金额为（大写）：人民币____________元（____________元）。</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三、技术资料</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3.1乙方应按采购文件规定的时间向甲方提供使用服务或产品的有关技术资料。</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四、知识产权</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五、产权担保</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5.1 乙方保证所交付的服务或产品的所有权完全属于乙方且无任何抵押、查封等产权瑕疵。</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六、履约保证金</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6.4 履约保证金收取：无</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七、转包或分包</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7.1本合同范围的服务或产品，应由乙方直接供应，不得转让他人供应；</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7.2 除非得到甲方的书面同意，乙方不得部分分包给他人供应。</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7.3如有转让和未经甲方同意的分包行为，甲方有权给予终止合同。</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八、服务期</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8.1 服务期：_________</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九、交付期、交付方式及交付地点</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9.1 交付期：_________</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9.2 交付方式：_________</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9.3 交付地点：_________</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甲方付款方式：合同签订后，收到乙方开具的正规发票后10个工作日内，支付合同款30%； </w:t>
      </w:r>
      <w:r>
        <w:rPr>
          <w:rFonts w:hint="eastAsia" w:ascii="宋体" w:hAnsi="宋体" w:cs="宋体"/>
          <w:color w:val="auto"/>
          <w:szCs w:val="21"/>
          <w:highlight w:val="none"/>
          <w:lang w:val="en-US" w:eastAsia="zh-CN"/>
        </w:rPr>
        <w:t xml:space="preserve">乙方完成所有工作并以项目为单位出具工程质量检测报告</w:t>
      </w:r>
      <w:r>
        <w:rPr>
          <w:rFonts w:hint="eastAsia" w:ascii="宋体" w:hAnsi="宋体" w:cs="宋体"/>
          <w:color w:val="auto"/>
          <w:szCs w:val="21"/>
          <w:highlight w:val="none"/>
        </w:rPr>
        <w:t xml:space="preserve">后，收到乙方开具的正规发票后10个工作日内，支付合同款余款。</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十一、税费</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11.1本合同执行中相关的一切税费均由乙方负担。</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十二、质量保证及售后服务</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12.1 乙方应按采购文件规定的服务或产品性能、技术要求、质量标准向甲方提供。</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⑴更换：由乙方承担所发生的全部费用。</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⑵贬值处理：由甲乙双方合议定价。</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⑶退还处理：乙方应退还甲方支付的合同款，同时应承担该服务或产品的直接费用（运输、保险、检验、款项利息及银行手续费等）。</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12.3 如在使用过程中发生质量问题，乙方在接到甲方通知后在______小时内到达甲方现场。</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12.4 在质保期内，乙方应对服务或产品出现的质量及安全问题负责处理解决并承担一切费用。</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十三、调试和验收</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13.4 对技术复杂的服务或产品，甲方可请国家认可的专业检测机构参与初步验收及最终验收，并由其出具质量检测报告。</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13.5 验收时乙方必须在现场，验收完毕后作出验收结果报告；验收费用由甲乙双方协商解决。</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十四、服务或产品包装、发运及运输</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14.1 乙方应在服务或产品发运前对其进行满足运输距离、防潮、防震、防锈和防破损装卸等要求包装，以保证服务或产品安全运达甲方指定地点。</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14.2 使用说明书、质量检验证明书、随配附件和工具以及清单一并交付甲方。</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14.3 乙方在服务或产品发运手续办理完毕后24小时内或交付到甲方48小时前通知甲方，以准备接受交付。</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14.4 服务在交付甲方前发生的风险均由乙方负责。</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14.5 服务或产品在规定的交付期限内由乙方送达甲方指定的地点视为交付，乙方同时需通知甲方服务或产品已送达。</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十五、违约责任</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15.1 甲方无正当理由拒收服务或产品的，甲方向乙方偿付拒收款项总值的百分之五违约金。</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15.2 甲方无故逾期验收和办理款项支付手续的,甲方应按逾期付款总额每日万分之五向乙方支付违约金。</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十六、不可抗力事件处理</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16.2 不可抗力事件发生后，应立即通知对方，并寄送有关权威机构出具的证明。</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16.3 不可抗力事件延续120天以上，双方应通过友好协商，确定是否继续履行合同。</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十七、诉讼</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76"/>
        <w:ind w:firstLine="422"/>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十九、合同生效及其它</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19.1 合同经双方法定代表人签章并加盖单位公章，并经江苏唯诚建设咨询有限公司见证盖章后生效。</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19.2本合同未尽事宜，遵照《中华人民共和国民法典》有关条文执行。</w:t>
      </w:r>
      <w:r/>
    </w:p>
    <w:p>
      <w:pPr>
        <w:pStyle w:val="976"/>
        <w:ind w:firstLine="42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19.3 本合同正本一式伍份，具有同等法律效力，甲方、乙方各执贰份、见证方执壹份。    </w:t>
      </w:r>
      <w:r/>
    </w:p>
    <w:tbl>
      <w:tblPr>
        <w:tblStyle w:val="713"/>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w:t>
            </w:r>
            <w:r/>
          </w:p>
        </w:tc>
      </w:tr>
    </w:tbl>
    <w:p>
      <w:pPr>
        <w:pStyle w:val="976"/>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 </w:t>
      </w:r>
      <w:r/>
    </w:p>
    <w:p>
      <w:pPr>
        <w:pStyle w:val="976"/>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见证方：江苏唯诚建设咨询有限公司</w:t>
      </w:r>
      <w:r/>
    </w:p>
    <w:p>
      <w:pPr>
        <w:pStyle w:val="976"/>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项目经办人：</w:t>
      </w:r>
      <w:r/>
    </w:p>
    <w:p>
      <w:pPr>
        <w:pStyle w:val="976"/>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w:t>
      </w:r>
      <w:r/>
    </w:p>
    <w:p>
      <w:pPr>
        <w:ind w:firstLine="84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76"/>
        <w:ind w:firstLine="210"/>
        <w:spacing w:before="120" w:after="120"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58"/>
        <w:jc w:val="center"/>
        <w:spacing w:line="360" w:lineRule="auto"/>
        <w:rPr>
          <w:rFonts w:ascii="宋体" w:hAnsi="宋体" w:cs="宋体"/>
          <w:color w:val="auto"/>
          <w:highlight w:val="none"/>
        </w:rPr>
      </w:pPr>
      <w:r/>
      <w:bookmarkStart w:id="26" w:name="_Toc109304974"/>
      <w:r>
        <w:rPr>
          <w:rFonts w:hint="eastAsia" w:ascii="宋体" w:hAnsi="宋体" w:cs="宋体"/>
          <w:color w:val="auto"/>
          <w:highlight w:val="none"/>
        </w:rPr>
        <w:br w:type="page" w:clear="all"/>
      </w:r>
      <w:r>
        <w:rPr>
          <w:rFonts w:hint="eastAsia" w:ascii="宋体" w:hAnsi="宋体" w:cs="宋体"/>
          <w:color w:val="auto"/>
          <w:highlight w:val="none"/>
        </w:rPr>
        <w:t xml:space="preserve">第四章 项目需求</w:t>
      </w:r>
      <w:bookmarkEnd w:id="26"/>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一、项目简要内容：</w:t>
      </w:r>
      <w:r/>
    </w:p>
    <w:p>
      <w:pPr>
        <w:ind w:firstLine="420"/>
        <w:spacing w:line="360" w:lineRule="auto"/>
        <w:widowControl/>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为深化高标准农田建设专项整治“总体战”、打赢高标准农田建设招投标领域“突击战”,落实高标准农田建设专项整治推进会议要求，摸清高标准农田工程质量底数，根据《关于开展高标准农田建设项目工程质量验证式检测工作的通知》(苏农办建[2025]1号)要求，市级委托第三方检测机构对2019-2022年度高标准农田建设项目开展工程质量验证工作，重点检测泵站、渠(管)道、机耕路、机耕桥、涵闸、渡槽、机电井等中沟以上建筑物内容。</w:t>
      </w:r>
      <w:r/>
    </w:p>
    <w:p>
      <w:pPr>
        <w:ind w:firstLine="420"/>
        <w:spacing w:line="360" w:lineRule="auto"/>
        <w:widowControl/>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（2）扬州市2019-2022年度高标准农田建设面积共77.53万亩，按照不低于60%的比例，重点检测泵站、渠（管）道、机耕路、机耕桥、涵闸、渡槽、机电井等建筑物内容。</w:t>
      </w:r>
      <w:r/>
    </w:p>
    <w:p>
      <w:pPr>
        <w:ind w:firstLine="422"/>
        <w:spacing w:line="360" w:lineRule="auto"/>
        <w:widowControl/>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二、具体技术要求及内容</w:t>
      </w:r>
      <w:r/>
    </w:p>
    <w:p>
      <w:pPr>
        <w:numPr>
          <w:ilvl w:val="0"/>
          <w:numId w:val="3"/>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泵站、水闸、</w:t>
      </w:r>
      <w:r>
        <w:rPr>
          <w:rFonts w:hint="eastAsia" w:ascii="宋体" w:hAnsi="宋体" w:cs="宋体"/>
          <w:color w:val="auto"/>
          <w:szCs w:val="21"/>
          <w:highlight w:val="none"/>
        </w:rPr>
        <w:t xml:space="preserve">机电井、涵洞</w:t>
      </w:r>
      <w:r>
        <w:rPr>
          <w:rFonts w:hint="eastAsia" w:ascii="宋体" w:hAnsi="宋体" w:cs="宋体"/>
          <w:color w:val="auto"/>
          <w:highlight w:val="none"/>
        </w:rPr>
        <w:t xml:space="preserve">等中沟以上建筑物。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主要检查检测外观、几何尺寸、构筑物混凝土强度（回弹法）、钢筋保护层厚度、高程等是否符合设计要求，检测比例为建设数量（按项目工程编号计算）的60%。</w:t>
      </w:r>
      <w:r/>
    </w:p>
    <w:p>
      <w:pPr>
        <w:numPr>
          <w:ilvl w:val="0"/>
          <w:numId w:val="3"/>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渠道工程（明渠、暗渠、生态护坡）。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主要检查检测外观、几何尺寸、平整度、构筑物混凝土强度（取芯法）、渠道厚度（取芯法）、钢筋保护层厚度等是否符合设计要求。检测比例不低于建设数量60%，每个工程每200米在渠壁两侧中部钻孔取芯，单项工程总长低于200米的取1个点位。</w:t>
      </w:r>
      <w:r/>
    </w:p>
    <w:p>
      <w:pPr>
        <w:numPr>
          <w:ilvl w:val="0"/>
          <w:numId w:val="3"/>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机耕路工程（砂石、混凝土、沥青道路）。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主要检查检测路面外观、几何尺寸、平整度、伸缩缝尺寸、混凝土厚度与强度（取芯法）、沥青厚度与强度（取芯法）等，以及路肩宽度、路肩衔接等是否符合设计要求，检测比例为建设数量的</w:t>
      </w:r>
      <w:r>
        <w:rPr>
          <w:rFonts w:ascii="宋体" w:hAnsi="宋体" w:cs="宋体"/>
          <w:color w:val="auto"/>
          <w:highlight w:val="none"/>
        </w:rPr>
        <w:t xml:space="preserve">60%</w:t>
      </w:r>
      <w:r>
        <w:rPr>
          <w:rFonts w:hint="eastAsia" w:ascii="宋体" w:hAnsi="宋体" w:cs="宋体"/>
          <w:color w:val="auto"/>
          <w:highlight w:val="none"/>
        </w:rPr>
        <w:t xml:space="preserve">，混凝土路面每400米内在对角线方向等距离抽3个点位钻孔为一组取芯，取芯直径不小于10厘米。</w:t>
      </w:r>
      <w:r/>
    </w:p>
    <w:p>
      <w:pPr>
        <w:numPr>
          <w:ilvl w:val="0"/>
          <w:numId w:val="3"/>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机耕桥工程。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主要检查检测外观、几何尺寸、平整度、构筑物混凝土强度（回弹法）、构筑物混凝土钢筋保护层厚度、限载标识等是否符合设计要求，检测比例为建设数量（按项目工程编号计算）的</w:t>
      </w:r>
      <w:r>
        <w:rPr>
          <w:rFonts w:ascii="宋体" w:hAnsi="宋体" w:cs="宋体"/>
          <w:color w:val="auto"/>
          <w:highlight w:val="none"/>
        </w:rPr>
        <w:t xml:space="preserve">60</w:t>
      </w:r>
      <w:r>
        <w:rPr>
          <w:rFonts w:hint="eastAsia" w:ascii="宋体" w:hAnsi="宋体" w:cs="宋体"/>
          <w:color w:val="auto"/>
          <w:highlight w:val="none"/>
        </w:rPr>
        <w:t xml:space="preserve">%。</w:t>
      </w:r>
      <w:r/>
    </w:p>
    <w:p>
      <w:pPr>
        <w:numPr>
          <w:ilvl w:val="0"/>
          <w:numId w:val="3"/>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管道工程。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主要检查检测管道回填压实度、钢管焊缝探伤、钢管防腐涂层、PE管材、出水口结构等是否符合设计要求,目视管道是否连接牢固，是否存在渗漏、锈蚀等，对现场检查有疑问的工程，检测单位可开挖部分隐蔽管道对管道埋深、垫层、管径、材质等进行检测，检测比例为建设数量（按项目工程编号计算）的</w:t>
      </w:r>
      <w:r>
        <w:rPr>
          <w:rFonts w:ascii="宋体" w:hAnsi="宋体" w:cs="宋体"/>
          <w:color w:val="auto"/>
          <w:highlight w:val="none"/>
        </w:rPr>
        <w:t xml:space="preserve">60</w:t>
      </w:r>
      <w:r>
        <w:rPr>
          <w:rFonts w:hint="eastAsia" w:ascii="宋体" w:hAnsi="宋体" w:cs="宋体"/>
          <w:color w:val="auto"/>
          <w:highlight w:val="none"/>
        </w:rPr>
        <w:t xml:space="preserve">%。</w:t>
      </w:r>
      <w:r/>
    </w:p>
    <w:p>
      <w:pPr>
        <w:numPr>
          <w:ilvl w:val="0"/>
          <w:numId w:val="3"/>
        </w:numPr>
        <w:ind w:firstLine="420"/>
        <w:spacing w:line="360" w:lineRule="auto"/>
        <w:rPr>
          <w:rFonts w:ascii="宋体" w:hAnsi="宋体" w:cs="宋体"/>
          <w:color w:val="auto"/>
          <w:highlight w:val="none"/>
        </w:rPr>
      </w:pPr>
      <w:r>
        <w:rPr>
          <w:rFonts w:hint="eastAsia" w:ascii="宋体" w:hAnsi="宋体" w:cs="宋体"/>
          <w:color w:val="auto"/>
          <w:highlight w:val="none"/>
        </w:rPr>
        <w:t xml:space="preserve">金属结构及机电设备。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金属结构主要检查检测外观、几何尺寸、闸门钢板力学性能、钢闸门制造安装质量、钢闸门焊缝探伤、闸门防腐涂层厚度、铸铁闸门制造安装质量，启闭机组试运行、拦污栅等是否符合设计要求，检测比例为建设数量的</w:t>
      </w:r>
      <w:r>
        <w:rPr>
          <w:rFonts w:ascii="宋体" w:hAnsi="宋体" w:cs="宋体"/>
          <w:color w:val="auto"/>
          <w:highlight w:val="none"/>
        </w:rPr>
        <w:t xml:space="preserve">60%</w:t>
      </w:r>
      <w:r>
        <w:rPr>
          <w:rFonts w:hint="eastAsia" w:ascii="宋体" w:hAnsi="宋体" w:cs="宋体"/>
          <w:color w:val="auto"/>
          <w:highlight w:val="none"/>
        </w:rPr>
        <w:t xml:space="preserve">。机电设备主要检查检测主机组安装质量、变压器、断路器、电气盘柜、封闭开关设备、防雷与接地、现场具备检测条件的项目等是否符合设计要求，检测比例为建设数量的60%。</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具体详见清单</w:t>
      </w:r>
      <w:r/>
    </w:p>
    <w:tbl>
      <w:tblPr>
        <w:tblStyle w:val="71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040"/>
        <w:gridCol w:w="820"/>
        <w:gridCol w:w="1850"/>
        <w:gridCol w:w="878"/>
        <w:gridCol w:w="878"/>
        <w:gridCol w:w="1837"/>
        <w:gridCol w:w="1216"/>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年度</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建设数量</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抽查比例不低于60%</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备注（详见上述具体要求）</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2019年-2022年</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二（1）、二（6）</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现浇渠</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预制渠、插板渠</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生态沟</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生态护坡</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二（2）</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水闸</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农桥</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二（4）</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涵洞</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二（1）</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混凝土路</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沥青路</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二（3）</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灌溉管道、路渠</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二（5）</w:t>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717"/>
        <w:ind w:firstLine="422"/>
        <w:spacing w:line="360" w:lineRule="auto"/>
        <w:tabs>
          <w:tab w:val="left" w:pos="5250"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三、服务要求</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验证成果根据质量检测结果，研判项目工程质量，疑似有重大质量问题的，延伸检查施工原材料（钢筋、水泥、骨料等）、构配件及设备是否有合格证、是否有检验记录等。检测结束后2周内，以项目为单位出具工程质量检测报告，包括检测项目总体情况、工程概况、检测内容与方法、检测结果分析与评价、存在问题及整改建议等。并给出工程质量是否合格的明确结论。</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1、检测要求：</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（1）检测机构应当严格按照现行有效的国家和行业标准、规范和规程独立开展检测工作，不受任何干扰和影响，保证检测数据客观、公正、准确。</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（2）检测机构应当建立严密、完善、运行有效的质量保证体系。应当按照有关质量标准及合同规定时限开展检测工作。</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（3）检测机构应当建立健全档案制度，保证档案齐备，原始记录和试验检测报告内容必须清晰、完整、规范。</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2、安全要求</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（1）建立完善的安全管理体系，包括安全责任制、安全制度等。</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（2）开展安全培训和教育，包括安全操作培训、职业健康教育等。</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（3）建立事故防控措施，包括安全设施、防护装备和应急预案等。</w:t>
      </w:r>
      <w:r/>
    </w:p>
    <w:p>
      <w:pPr>
        <w:pStyle w:val="7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（4）确保作业安全，验证式检测期间供应商作业人员安全概由供应商自行负责。</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3、验收要求</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（1）由采购人组织对成交供应商工作情况进行综合评估，达到要求则验收通过。</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（2）对未按要求提交材料，或未通过验收的，采购人有权要求成交供应商整改，并重新提供服务。</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4、时间要求</w:t>
      </w:r>
      <w:r/>
    </w:p>
    <w:p>
      <w:pPr>
        <w:pStyle w:val="717"/>
        <w:ind w:firstLine="420"/>
        <w:spacing w:line="360" w:lineRule="auto"/>
        <w:tabs>
          <w:tab w:val="left" w:pos="525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2026年3月30日前完成，具体时间安排根据省、市最新要求进行调整。</w:t>
      </w:r>
      <w:r/>
    </w:p>
    <w:p>
      <w:pPr>
        <w:ind w:firstLine="422"/>
        <w:spacing w:line="360" w:lineRule="auto"/>
        <w:widowControl/>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四、人员及实施要求</w:t>
      </w:r>
      <w:r/>
    </w:p>
    <w:p>
      <w:pPr>
        <w:ind w:firstLine="420"/>
        <w:spacing w:line="360" w:lineRule="auto"/>
        <w:widowControl/>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供应商拟派项目负责人须具有水利工程质量检测员资格证书，项目组分3个工作组，每个工作组成员不少于3人，均需具有水利类中级及以上技术职称。工作开始前，服务单位需要在了解相关政策后制定详细工作方案（指南），经采购方审核同意后正式实施。工作完成后两周内提交检测报告。</w:t>
      </w:r>
      <w:r/>
    </w:p>
    <w:p>
      <w:pPr>
        <w:ind w:firstLine="420"/>
        <w:spacing w:line="360" w:lineRule="auto"/>
        <w:widowControl/>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2、中标供应商拟派人员未经采购人批准，不得擅自更换。</w:t>
      </w:r>
      <w:r/>
    </w:p>
    <w:p>
      <w:pPr>
        <w:ind w:left="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五、其他要求</w:t>
      </w:r>
      <w:r/>
    </w:p>
    <w:p>
      <w:pPr>
        <w:numPr>
          <w:ilvl w:val="0"/>
          <w:numId w:val="4"/>
        </w:num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采购方有权检查监督中标单位服务质量，对不称职的工作人员有权要求中标单位在一周内更换，直至人选合格为止。</w:t>
      </w:r>
      <w:r/>
    </w:p>
    <w:p>
      <w:pPr>
        <w:numPr>
          <w:ilvl w:val="0"/>
          <w:numId w:val="4"/>
        </w:num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报价要求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报价包括在承包期内完成合格服务所需的人工、餐费、耗材、通讯、服装、办公设备、巡检器材、各种税费、保险、劳保、维护、利润、税金、国家政策性文件规定及合同包含的所有风险、责任等各项应有费用。采购人不再支付其他任何费用。</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3、供应商须为本项目配备的所有服务人员按规定缴纳社会保险及人身意外险，若工作人员在服务期间内出现的工伤及其他意外事故，均由供应商自行负责，采购人不承担任何责任。</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4、投标单位必须遵守《中华人民共和国劳动法》的规定，为采购人提供的服务人员如遇到工资纠纷问题由成交供应商自行解决。</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5、本次采购活动不接受联合报价及分包、转包。</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6、成交后，成交供应商无故不与采购人签订合同的；或签订合同后，成交供应商无故解除合同的，采购人将其不履行合同的行为进行追责并上报相关部门。</w:t>
      </w:r>
      <w:r/>
    </w:p>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958"/>
        <w:jc w:val="center"/>
        <w:spacing w:line="360" w:lineRule="auto"/>
        <w:rPr>
          <w:rFonts w:ascii="宋体" w:hAnsi="宋体" w:cs="宋体"/>
          <w:color w:val="auto"/>
          <w:highlight w:val="none"/>
        </w:rPr>
      </w:pPr>
      <w:r/>
      <w:bookmarkStart w:id="27" w:name="_Toc109304975"/>
      <w:r>
        <w:rPr>
          <w:rFonts w:hint="eastAsia" w:ascii="宋体" w:hAnsi="宋体" w:cs="宋体"/>
          <w:color w:val="auto"/>
          <w:highlight w:val="none"/>
        </w:rPr>
        <w:t xml:space="preserve">第五章 评审方法及评审标准</w:t>
      </w:r>
      <w:bookmarkEnd w:id="1"/>
      <w:r/>
      <w:bookmarkEnd w:id="27"/>
      <w:r/>
      <w:r/>
    </w:p>
    <w:p>
      <w:pPr>
        <w:pStyle w:val="994"/>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b/>
          <w:color w:val="auto"/>
          <w:szCs w:val="21"/>
          <w:highlight w:val="none"/>
        </w:rPr>
      </w:pPr>
      <w:r/>
      <w:bookmarkStart w:id="28" w:name="_Toc449017024"/>
      <w:r/>
      <w:bookmarkStart w:id="29" w:name="_Toc449016388"/>
      <w:r>
        <w:rPr>
          <w:rFonts w:hint="eastAsia" w:ascii="宋体" w:hAnsi="宋体"/>
          <w:b/>
          <w:color w:val="auto"/>
          <w:szCs w:val="21"/>
          <w:highlight w:val="none"/>
        </w:rPr>
        <w:t xml:space="preserve">二、政府采购政策功能落实</w:t>
      </w:r>
      <w:bookmarkEnd w:id="28"/>
      <w:r/>
      <w:bookmarkEnd w:id="29"/>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94"/>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94"/>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6405"/>
        <w:gridCol w:w="864"/>
      </w:tblGrid>
      <w:tr>
        <w:trPr>
          <w:trHeight w:val="567"/>
        </w:trPr>
        <w:tc>
          <w:tcPr>
            <w:tcW w:w="735" w:type="pct"/>
            <w:vAlign w:val="center"/>
            <w:textDirection w:val="lrTb"/>
            <w:noWrap/>
          </w:tcPr>
          <w:p>
            <w:pPr>
              <w:jc w:val="center"/>
              <w:spacing w:line="360" w:lineRule="auto"/>
              <w:widowControl/>
              <w:rPr>
                <w:rFonts w:ascii="宋体" w:hAnsi="宋体" w:cs="宋体"/>
                <w:b/>
                <w:bCs/>
                <w:color w:val="auto"/>
                <w:szCs w:val="21"/>
                <w:highlight w:val="none"/>
                <w:lang w:val="en-GB"/>
              </w:rPr>
            </w:pPr>
            <w:r>
              <w:rPr>
                <w:rFonts w:hint="eastAsia" w:ascii="宋体" w:hAnsi="宋体" w:cs="宋体"/>
                <w:b/>
                <w:bCs/>
                <w:color w:val="auto"/>
                <w:szCs w:val="21"/>
                <w:highlight w:val="none"/>
              </w:rPr>
              <w:t xml:space="preserve">评分项目</w:t>
            </w:r>
            <w:r/>
          </w:p>
        </w:tc>
        <w:tc>
          <w:tcPr>
            <w:tcW w:w="3757" w:type="pct"/>
            <w:vAlign w:val="center"/>
            <w:textDirection w:val="lrTb"/>
            <w:noWrap/>
          </w:tcPr>
          <w:p>
            <w:pPr>
              <w:jc w:val="center"/>
              <w:spacing w:line="360" w:lineRule="auto"/>
              <w:widowControl/>
              <w:rPr>
                <w:rFonts w:ascii="宋体" w:hAnsi="宋体" w:cs="宋体"/>
                <w:b/>
                <w:bCs/>
                <w:color w:val="auto"/>
                <w:szCs w:val="21"/>
                <w:highlight w:val="none"/>
                <w:lang w:val="en-GB"/>
              </w:rPr>
            </w:pPr>
            <w:r>
              <w:rPr>
                <w:rFonts w:hint="eastAsia" w:ascii="宋体" w:hAnsi="宋体" w:cs="宋体"/>
                <w:b/>
                <w:bCs/>
                <w:color w:val="auto"/>
                <w:szCs w:val="21"/>
                <w:highlight w:val="none"/>
              </w:rPr>
              <w:t xml:space="preserve">内容</w:t>
            </w:r>
            <w:r/>
          </w:p>
        </w:tc>
        <w:tc>
          <w:tcPr>
            <w:tcW w:w="506" w:type="pct"/>
            <w:vAlign w:val="center"/>
            <w:textDirection w:val="lrTb"/>
            <w:noWrap/>
          </w:tcPr>
          <w:p>
            <w:pPr>
              <w:jc w:val="center"/>
              <w:spacing w:line="360" w:lineRule="auto"/>
              <w:widowControl/>
              <w:rPr>
                <w:rFonts w:ascii="宋体" w:hAnsi="宋体" w:cs="宋体"/>
                <w:b/>
                <w:bCs/>
                <w:color w:val="auto"/>
                <w:szCs w:val="21"/>
                <w:highlight w:val="none"/>
                <w:lang w:val="en-GB"/>
              </w:rPr>
            </w:pPr>
            <w:r>
              <w:rPr>
                <w:rFonts w:hint="eastAsia" w:ascii="宋体" w:hAnsi="宋体" w:cs="宋体"/>
                <w:b/>
                <w:bCs/>
                <w:color w:val="auto"/>
                <w:szCs w:val="21"/>
                <w:highlight w:val="none"/>
                <w:lang w:val="en-GB"/>
              </w:rPr>
              <w:t xml:space="preserve">分值</w:t>
            </w:r>
            <w:r/>
          </w:p>
        </w:tc>
      </w:tr>
      <w:tr>
        <w:trPr>
          <w:trHeight w:val="567"/>
        </w:trPr>
        <w:tc>
          <w:tcPr>
            <w:gridSpan w:val="3"/>
            <w:tcW w:w="5000" w:type="pct"/>
            <w:vAlign w:val="center"/>
            <w:textDirection w:val="lrTb"/>
            <w:noWrap/>
          </w:tcPr>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价格因素（10分）</w:t>
            </w:r>
            <w:r/>
          </w:p>
        </w:tc>
      </w:tr>
      <w:tr>
        <w:trPr>
          <w:trHeight w:val="567"/>
        </w:trPr>
        <w:tc>
          <w:tcPr>
            <w:tcW w:w="735" w:type="pct"/>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报价</w:t>
            </w:r>
            <w:r/>
          </w:p>
        </w:tc>
        <w:tc>
          <w:tcPr>
            <w:tcW w:w="3757" w:type="pct"/>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价格分采用低价优先法计算，即满足采购文件要求且投标价格最低的投标报价为评标基准价，其价格分为满分，即10分。其他响应单位的价格分按照下列公式计算（计算结果四舍五入保留两位小数）。</w:t>
            </w:r>
            <w:r/>
          </w:p>
        </w:tc>
        <w:tc>
          <w:tcPr>
            <w:tcW w:w="506" w:type="pct"/>
            <w:vAlign w:val="center"/>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gridSpan w:val="2"/>
            <w:tcW w:w="4493" w:type="pct"/>
            <w:vAlign w:val="center"/>
            <w:textDirection w:val="lrTb"/>
            <w:noWrap/>
          </w:tcPr>
          <w:p>
            <w:pPr>
              <w:jc w:val="left"/>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服务方案（55）</w:t>
            </w:r>
            <w:r/>
          </w:p>
        </w:tc>
        <w:tc>
          <w:tcPr>
            <w:tcW w:w="506" w:type="pct"/>
            <w:vAlign w:val="center"/>
            <w:textDirection w:val="lrTb"/>
            <w:noWrap/>
          </w:tcPr>
          <w:p>
            <w:pPr>
              <w:jc w:val="center"/>
              <w:spacing w:line="360" w:lineRule="auto"/>
              <w:widowControl/>
              <w:rPr>
                <w:rFonts w:ascii="宋体" w:hAnsi="宋体" w:cs="宋体"/>
                <w:b/>
                <w:color w:val="auto"/>
                <w:szCs w:val="21"/>
                <w:highlight w:val="none"/>
                <w:lang w:val="en-GB"/>
              </w:rPr>
            </w:pPr>
            <w:r>
              <w:rPr>
                <w:rFonts w:ascii="宋体" w:hAnsi="宋体" w:cs="宋体"/>
                <w:b/>
                <w:color w:val="auto"/>
                <w:szCs w:val="21"/>
                <w:highlight w:val="none"/>
                <w:lang w:val="en-GB"/>
              </w:rPr>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项目内容实施方案</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供应商提供对项目</w:t>
            </w:r>
            <w:r>
              <w:rPr>
                <w:rFonts w:hint="eastAsia" w:ascii="宋体" w:hAnsi="宋体" w:cs="宋体"/>
                <w:color w:val="auto"/>
                <w:szCs w:val="21"/>
                <w:highlight w:val="none"/>
              </w:rPr>
              <w:t xml:space="preserve">检测</w:t>
            </w:r>
            <w:r>
              <w:rPr>
                <w:rFonts w:ascii="宋体" w:hAnsi="宋体" w:cs="宋体"/>
                <w:color w:val="auto"/>
                <w:szCs w:val="21"/>
                <w:highlight w:val="none"/>
              </w:rPr>
              <w:t xml:space="preserve">内容实施方案科学、完整、合理可行，结合本项目实际编制实施方案。提供项目方案完整、科学、技术保障全面得</w:t>
            </w:r>
            <w:r>
              <w:rPr>
                <w:rFonts w:hint="eastAsia" w:ascii="宋体" w:hAnsi="宋体" w:cs="宋体"/>
                <w:color w:val="auto"/>
                <w:szCs w:val="21"/>
                <w:highlight w:val="none"/>
              </w:rPr>
              <w:t xml:space="preserve">10</w:t>
            </w:r>
            <w:r>
              <w:rPr>
                <w:rFonts w:ascii="宋体" w:hAnsi="宋体" w:cs="宋体"/>
                <w:color w:val="auto"/>
                <w:szCs w:val="21"/>
                <w:highlight w:val="none"/>
              </w:rPr>
              <w:t xml:space="preserve">分；项目方案较为完整、较为 科学、技术保障较为全面得</w:t>
            </w:r>
            <w:r>
              <w:rPr>
                <w:rFonts w:hint="eastAsia" w:ascii="宋体" w:hAnsi="宋体" w:cs="宋体"/>
                <w:color w:val="auto"/>
                <w:szCs w:val="21"/>
                <w:highlight w:val="none"/>
              </w:rPr>
              <w:t xml:space="preserve">7</w:t>
            </w:r>
            <w:r>
              <w:rPr>
                <w:rFonts w:ascii="宋体" w:hAnsi="宋体" w:cs="宋体"/>
                <w:color w:val="auto"/>
                <w:szCs w:val="21"/>
                <w:highlight w:val="none"/>
              </w:rPr>
              <w:t xml:space="preserve">分；项目方案较差、基本科学、技术保障一般得</w:t>
            </w:r>
            <w:r>
              <w:rPr>
                <w:rFonts w:hint="eastAsia" w:ascii="宋体" w:hAnsi="宋体" w:cs="宋体"/>
                <w:color w:val="auto"/>
                <w:szCs w:val="21"/>
                <w:highlight w:val="none"/>
              </w:rPr>
              <w:t xml:space="preserve">4</w:t>
            </w:r>
            <w:r>
              <w:rPr>
                <w:rFonts w:ascii="宋体" w:hAnsi="宋体" w:cs="宋体"/>
                <w:color w:val="auto"/>
                <w:szCs w:val="21"/>
                <w:highlight w:val="none"/>
              </w:rPr>
              <w:t xml:space="preserve">分； 未提供得0分</w:t>
            </w:r>
            <w:r>
              <w:rPr>
                <w:rFonts w:hint="eastAsia" w:ascii="宋体" w:hAnsi="宋体" w:cs="宋体"/>
                <w:color w:val="auto"/>
                <w:szCs w:val="21"/>
                <w:highlight w:val="none"/>
              </w:rPr>
              <w:t xml:space="preserve">，最高得10分</w:t>
            </w:r>
            <w:r>
              <w:rPr>
                <w:rFonts w:ascii="宋体" w:hAnsi="宋体" w:cs="宋体"/>
                <w:color w:val="auto"/>
                <w:szCs w:val="21"/>
                <w:highlight w:val="none"/>
              </w:rPr>
              <w:t xml:space="preserve">。</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重点</w:t>
            </w:r>
            <w:r>
              <w:rPr>
                <w:rFonts w:hint="eastAsia" w:ascii="宋体" w:hAnsi="宋体" w:cs="宋体"/>
                <w:color w:val="auto"/>
                <w:szCs w:val="21"/>
                <w:highlight w:val="none"/>
              </w:rPr>
              <w:t xml:space="preserve">检测</w:t>
            </w:r>
            <w:r>
              <w:rPr>
                <w:rFonts w:ascii="宋体" w:hAnsi="宋体" w:cs="宋体"/>
                <w:color w:val="auto"/>
                <w:szCs w:val="21"/>
                <w:highlight w:val="none"/>
              </w:rPr>
              <w:t xml:space="preserve">项目方案</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供应商对重点</w:t>
            </w:r>
            <w:r>
              <w:rPr>
                <w:rFonts w:hint="eastAsia" w:ascii="宋体" w:hAnsi="宋体" w:cs="宋体"/>
                <w:color w:val="auto"/>
                <w:szCs w:val="21"/>
                <w:highlight w:val="none"/>
              </w:rPr>
              <w:t xml:space="preserve">检测</w:t>
            </w:r>
            <w:r>
              <w:rPr>
                <w:rFonts w:ascii="宋体" w:hAnsi="宋体" w:cs="宋体"/>
                <w:color w:val="auto"/>
                <w:szCs w:val="21"/>
                <w:highlight w:val="none"/>
              </w:rPr>
              <w:t xml:space="preserve">项目工程建设质量是否符合设计要求、是否符合标准，检查工程设施、电气设备等是否正常运行，提供相关</w:t>
            </w:r>
            <w:r>
              <w:rPr>
                <w:rFonts w:hint="eastAsia" w:ascii="宋体" w:hAnsi="宋体" w:cs="宋体"/>
                <w:color w:val="auto"/>
                <w:szCs w:val="21"/>
                <w:highlight w:val="none"/>
              </w:rPr>
              <w:t xml:space="preserve">检测</w:t>
            </w:r>
            <w:r>
              <w:rPr>
                <w:rFonts w:ascii="宋体" w:hAnsi="宋体" w:cs="宋体"/>
                <w:color w:val="auto"/>
                <w:szCs w:val="21"/>
                <w:highlight w:val="none"/>
              </w:rPr>
              <w:t xml:space="preserve">方案。方案详细、可行、完善，措施得当，得</w:t>
            </w:r>
            <w:r>
              <w:rPr>
                <w:rFonts w:hint="eastAsia" w:ascii="宋体" w:hAnsi="宋体" w:cs="宋体"/>
                <w:color w:val="auto"/>
                <w:szCs w:val="21"/>
                <w:highlight w:val="none"/>
              </w:rPr>
              <w:t xml:space="preserve">10</w:t>
            </w:r>
            <w:r>
              <w:rPr>
                <w:rFonts w:ascii="宋体" w:hAnsi="宋体" w:cs="宋体"/>
                <w:color w:val="auto"/>
                <w:szCs w:val="21"/>
                <w:highlight w:val="none"/>
              </w:rPr>
              <w:t xml:space="preserve">分；方案基本详细、基本可行、基本完善，措施基本得当，得7分；方案简单、要素不完整、可行性较低，得4分；其他情况或未提供得0分</w:t>
            </w:r>
            <w:r>
              <w:rPr>
                <w:rFonts w:hint="eastAsia" w:ascii="宋体" w:hAnsi="宋体" w:cs="宋体"/>
                <w:color w:val="auto"/>
                <w:szCs w:val="21"/>
                <w:highlight w:val="none"/>
              </w:rPr>
              <w:t xml:space="preserve">，最高得10分</w:t>
            </w:r>
            <w:r>
              <w:rPr>
                <w:rFonts w:ascii="宋体" w:hAnsi="宋体" w:cs="宋体"/>
                <w:color w:val="auto"/>
                <w:szCs w:val="21"/>
                <w:highlight w:val="none"/>
              </w:rPr>
              <w:t xml:space="preserve">。</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检测报告与结论</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供应商提供对本项目检测报告与结论相关内容计划与方案。检测报告与结论的计划与方案严谨、得当、可行，得</w:t>
            </w:r>
            <w:r>
              <w:rPr>
                <w:rFonts w:hint="eastAsia" w:ascii="宋体" w:hAnsi="宋体" w:cs="宋体"/>
                <w:color w:val="auto"/>
                <w:szCs w:val="21"/>
                <w:highlight w:val="none"/>
              </w:rPr>
              <w:t xml:space="preserve">10</w:t>
            </w:r>
            <w:r>
              <w:rPr>
                <w:rFonts w:ascii="宋体" w:hAnsi="宋体" w:cs="宋体"/>
                <w:color w:val="auto"/>
                <w:szCs w:val="21"/>
                <w:highlight w:val="none"/>
              </w:rPr>
              <w:t xml:space="preserve">分；检测报告与结论的计划与方较严谨、较得当、基本可行，得7分；检测报告与结论的计划与方严谨性一般、基本得当、可行性较低，得4分；其他情况或未提供得0分</w:t>
            </w:r>
            <w:r>
              <w:rPr>
                <w:rFonts w:hint="eastAsia" w:ascii="宋体" w:hAnsi="宋体" w:cs="宋体"/>
                <w:color w:val="auto"/>
                <w:szCs w:val="21"/>
                <w:highlight w:val="none"/>
              </w:rPr>
              <w:t xml:space="preserve">，最高得10分</w:t>
            </w:r>
            <w:r>
              <w:rPr>
                <w:rFonts w:ascii="宋体" w:hAnsi="宋体" w:cs="宋体"/>
                <w:color w:val="auto"/>
                <w:szCs w:val="21"/>
                <w:highlight w:val="none"/>
              </w:rPr>
              <w:t xml:space="preserve">。</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项目重难点分析</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供应商对本项目实施过程重难点进行分析，并阐述相应措施。表述全面、准确、针对性强的，得</w:t>
            </w:r>
            <w:r>
              <w:rPr>
                <w:rFonts w:hint="eastAsia" w:ascii="宋体" w:hAnsi="宋体" w:cs="宋体"/>
                <w:color w:val="auto"/>
                <w:szCs w:val="21"/>
                <w:highlight w:val="none"/>
              </w:rPr>
              <w:t xml:space="preserve">10</w:t>
            </w:r>
            <w:r>
              <w:rPr>
                <w:rFonts w:ascii="宋体" w:hAnsi="宋体" w:cs="宋体"/>
                <w:color w:val="auto"/>
                <w:szCs w:val="21"/>
                <w:highlight w:val="none"/>
              </w:rPr>
              <w:t xml:space="preserve">分；表述较为全面、基本准确、针对性较强的，得7分；表述全面、准确、针对性一般的，得4分； 其他情况或未提供得0分</w:t>
            </w:r>
            <w:r>
              <w:rPr>
                <w:rFonts w:hint="eastAsia" w:ascii="宋体" w:hAnsi="宋体" w:cs="宋体"/>
                <w:color w:val="auto"/>
                <w:szCs w:val="21"/>
                <w:highlight w:val="none"/>
              </w:rPr>
              <w:t xml:space="preserve">，最高得10分</w:t>
            </w:r>
            <w:r>
              <w:rPr>
                <w:rFonts w:ascii="宋体" w:hAnsi="宋体" w:cs="宋体"/>
                <w:color w:val="auto"/>
                <w:szCs w:val="21"/>
                <w:highlight w:val="none"/>
              </w:rPr>
              <w:t xml:space="preserve">。</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进度安排及保证措施</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进度计划满足</w:t>
            </w:r>
            <w:r>
              <w:rPr>
                <w:rFonts w:hint="eastAsia" w:ascii="宋体" w:hAnsi="宋体" w:cs="宋体"/>
                <w:color w:val="auto"/>
                <w:szCs w:val="21"/>
                <w:highlight w:val="none"/>
              </w:rPr>
              <w:t xml:space="preserve">招标</w:t>
            </w:r>
            <w:r>
              <w:rPr>
                <w:rFonts w:ascii="宋体" w:hAnsi="宋体" w:cs="宋体"/>
                <w:color w:val="auto"/>
                <w:szCs w:val="21"/>
                <w:highlight w:val="none"/>
              </w:rPr>
              <w:t xml:space="preserve">文件要求，进度保证措施合理，包括异议处理、应急等，具体可行的得</w:t>
            </w:r>
            <w:r>
              <w:rPr>
                <w:rFonts w:hint="eastAsia" w:ascii="宋体" w:hAnsi="宋体" w:cs="宋体"/>
                <w:color w:val="auto"/>
                <w:szCs w:val="21"/>
                <w:highlight w:val="none"/>
              </w:rPr>
              <w:t xml:space="preserve">10</w:t>
            </w:r>
            <w:r>
              <w:rPr>
                <w:rFonts w:ascii="宋体" w:hAnsi="宋体" w:cs="宋体"/>
                <w:color w:val="auto"/>
                <w:szCs w:val="21"/>
                <w:highlight w:val="none"/>
              </w:rPr>
              <w:t xml:space="preserve">分，较可行的得7分，可行性一般的得4分，其他情况或未提供得0分</w:t>
            </w:r>
            <w:r>
              <w:rPr>
                <w:rFonts w:hint="eastAsia" w:ascii="宋体" w:hAnsi="宋体" w:cs="宋体"/>
                <w:color w:val="auto"/>
                <w:szCs w:val="21"/>
                <w:highlight w:val="none"/>
              </w:rPr>
              <w:t xml:space="preserve">，最高得10分</w:t>
            </w:r>
            <w:r>
              <w:rPr>
                <w:rFonts w:ascii="宋体" w:hAnsi="宋体" w:cs="宋体"/>
                <w:color w:val="auto"/>
                <w:szCs w:val="21"/>
                <w:highlight w:val="none"/>
              </w:rPr>
              <w:t xml:space="preserve">。</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合理化建议</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本项目合理化建议内容详实、与采购需求贴合度高且条理清晰的，得5分；本项目合理化建议内容简略、基本满足采购需求且有逻辑性的，得3分；本项目合理化建议内容简单且方案存在瑕的，得1分。</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trHeight w:val="556"/>
        </w:trPr>
        <w:tc>
          <w:tcPr>
            <w:gridSpan w:val="2"/>
            <w:tcW w:w="4493" w:type="pct"/>
            <w:vAlign w:val="center"/>
            <w:textDirection w:val="lrTb"/>
            <w:noWrap w:val="false"/>
          </w:tcPr>
          <w:p>
            <w:pPr>
              <w:jc w:val="left"/>
              <w:spacing w:line="360" w:lineRule="auto"/>
              <w:widowControl/>
              <w:rPr>
                <w:rFonts w:ascii="宋体" w:hAnsi="宋体" w:cs="宋体"/>
                <w:color w:val="auto"/>
                <w:szCs w:val="21"/>
                <w:highlight w:val="none"/>
                <w:lang w:val="en-GB"/>
              </w:rPr>
            </w:pPr>
            <w:r>
              <w:rPr>
                <w:rFonts w:hint="eastAsia" w:ascii="宋体" w:hAnsi="宋体" w:cs="宋体"/>
                <w:b/>
                <w:bCs/>
                <w:color w:val="auto"/>
                <w:szCs w:val="21"/>
                <w:highlight w:val="none"/>
              </w:rPr>
              <w:t xml:space="preserve">综合实力比较（35）</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35" w:type="pct"/>
            <w:vAlign w:val="center"/>
            <w:vMerge w:val="restart"/>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团队成员</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1、项目负责人：具备水利高级工程师职称的，得2分；并具有水利工程质量检测员资格证书，得2分，此项最多4分。</w:t>
            </w:r>
            <w:r/>
          </w:p>
        </w:tc>
        <w:tc>
          <w:tcPr>
            <w:tcW w:w="506" w:type="pct"/>
            <w:vAlign w:val="center"/>
            <w:vMerge w:val="restart"/>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trHeight w:val="567"/>
        </w:trPr>
        <w:tc>
          <w:tcPr>
            <w:tcW w:w="735" w:type="pct"/>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2、技术负责人：具备水利高级工程师职称的，得2分，具备水利中级工程师职称的，得1分；</w:t>
            </w:r>
            <w:r/>
          </w:p>
        </w:tc>
        <w:tc>
          <w:tcPr>
            <w:tcW w:w="506" w:type="pct"/>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35" w:type="pct"/>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3、团队成员（除项目负责人、技术负责人）具备水利中级及以上工程师职称的，得1分，最多得10分。</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（提供相关证明</w:t>
            </w:r>
            <w:r>
              <w:rPr>
                <w:rFonts w:hint="eastAsia" w:ascii="宋体" w:hAnsi="宋体" w:cs="宋体"/>
                <w:color w:val="auto"/>
                <w:szCs w:val="21"/>
                <w:highlight w:val="none"/>
              </w:rPr>
              <w:t xml:space="preserve">扫描件</w:t>
            </w:r>
            <w:r>
              <w:rPr>
                <w:rFonts w:ascii="宋体" w:hAnsi="宋体" w:cs="宋体"/>
                <w:color w:val="auto"/>
                <w:szCs w:val="21"/>
                <w:highlight w:val="none"/>
              </w:rPr>
              <w:t xml:space="preserve">加盖公章及供应商为其缴纳的近</w:t>
            </w:r>
            <w:r>
              <w:rPr>
                <w:rFonts w:hint="eastAsia" w:ascii="宋体" w:hAnsi="宋体" w:cs="宋体"/>
                <w:color w:val="auto"/>
                <w:szCs w:val="21"/>
                <w:highlight w:val="none"/>
              </w:rPr>
              <w:t xml:space="preserve">3</w:t>
            </w:r>
            <w:r>
              <w:rPr>
                <w:rFonts w:ascii="宋体" w:hAnsi="宋体" w:cs="宋体"/>
                <w:color w:val="auto"/>
                <w:szCs w:val="21"/>
                <w:highlight w:val="none"/>
              </w:rPr>
              <w:t xml:space="preserve">个月</w:t>
            </w:r>
            <w:r>
              <w:rPr>
                <w:rFonts w:hint="eastAsia" w:ascii="宋体" w:hAnsi="宋体" w:cs="宋体"/>
                <w:color w:val="auto"/>
                <w:szCs w:val="21"/>
                <w:highlight w:val="none"/>
              </w:rPr>
              <w:t xml:space="preserve">内任意1月</w:t>
            </w:r>
            <w:r>
              <w:rPr>
                <w:rFonts w:ascii="宋体" w:hAnsi="宋体" w:cs="宋体"/>
                <w:color w:val="auto"/>
                <w:szCs w:val="21"/>
                <w:highlight w:val="none"/>
              </w:rPr>
              <w:t xml:space="preserve">的社保缴纳证明</w:t>
            </w:r>
            <w:r>
              <w:rPr>
                <w:rFonts w:hint="eastAsia" w:ascii="宋体" w:hAnsi="宋体" w:cs="宋体"/>
                <w:color w:val="auto"/>
                <w:szCs w:val="21"/>
                <w:highlight w:val="none"/>
              </w:rPr>
              <w:t xml:space="preserve">材料及劳动合同加盖公章</w:t>
            </w:r>
            <w:r>
              <w:rPr>
                <w:rFonts w:ascii="宋体" w:hAnsi="宋体" w:cs="宋体"/>
                <w:color w:val="auto"/>
                <w:szCs w:val="21"/>
                <w:highlight w:val="none"/>
              </w:rPr>
              <w:t xml:space="preserve">，缺一不</w:t>
            </w:r>
            <w:r>
              <w:rPr>
                <w:rFonts w:hint="eastAsia" w:ascii="宋体" w:hAnsi="宋体" w:cs="宋体"/>
                <w:color w:val="auto"/>
                <w:szCs w:val="21"/>
                <w:highlight w:val="none"/>
              </w:rPr>
              <w:t xml:space="preserve">可）</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lang w:val="en-GB"/>
              </w:rPr>
            </w:pPr>
            <w:r>
              <w:rPr>
                <w:rFonts w:ascii="宋体" w:hAnsi="宋体" w:cs="宋体"/>
                <w:color w:val="auto"/>
                <w:szCs w:val="21"/>
                <w:highlight w:val="none"/>
              </w:rPr>
              <w:t xml:space="preserve">服务业绩</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lang w:val="en-GB"/>
              </w:rPr>
            </w:pPr>
            <w:r>
              <w:rPr>
                <w:rFonts w:ascii="宋体" w:hAnsi="宋体" w:cs="宋体"/>
                <w:color w:val="auto"/>
                <w:szCs w:val="21"/>
                <w:highlight w:val="none"/>
              </w:rPr>
              <w:t xml:space="preserve">供应商自202</w:t>
            </w:r>
            <w:r>
              <w:rPr>
                <w:rFonts w:hint="eastAsia" w:ascii="宋体" w:hAnsi="宋体" w:cs="宋体"/>
                <w:color w:val="auto"/>
                <w:szCs w:val="21"/>
                <w:highlight w:val="none"/>
              </w:rPr>
              <w:t xml:space="preserve">3</w:t>
            </w:r>
            <w:r>
              <w:rPr>
                <w:rFonts w:ascii="宋体" w:hAnsi="宋体" w:cs="宋体"/>
                <w:color w:val="auto"/>
                <w:szCs w:val="21"/>
                <w:highlight w:val="none"/>
              </w:rPr>
              <w:t xml:space="preserve">年1月1日（含</w:t>
            </w:r>
            <w:r>
              <w:rPr>
                <w:rFonts w:hint="eastAsia" w:ascii="宋体" w:hAnsi="宋体" w:cs="宋体"/>
                <w:color w:val="auto"/>
                <w:szCs w:val="21"/>
                <w:highlight w:val="none"/>
              </w:rPr>
              <w:t xml:space="preserve">）</w:t>
            </w:r>
            <w:r>
              <w:rPr>
                <w:rFonts w:ascii="宋体" w:hAnsi="宋体" w:cs="宋体"/>
                <w:color w:val="auto"/>
                <w:szCs w:val="21"/>
                <w:highlight w:val="none"/>
              </w:rPr>
              <w:t xml:space="preserve">以来</w:t>
            </w:r>
            <w:r>
              <w:rPr>
                <w:rFonts w:hint="eastAsia" w:ascii="宋体" w:hAnsi="宋体" w:cs="宋体"/>
                <w:color w:val="auto"/>
                <w:szCs w:val="21"/>
                <w:highlight w:val="none"/>
              </w:rPr>
              <w:t xml:space="preserve">（以合同签订时间为准）</w:t>
            </w:r>
            <w:r>
              <w:rPr>
                <w:rFonts w:ascii="宋体" w:hAnsi="宋体" w:cs="宋体"/>
                <w:color w:val="auto"/>
                <w:szCs w:val="21"/>
                <w:highlight w:val="none"/>
              </w:rPr>
              <w:t xml:space="preserve">，承担农田建设</w:t>
            </w:r>
            <w:r>
              <w:rPr>
                <w:rFonts w:hint="eastAsia" w:ascii="宋体" w:hAnsi="宋体" w:cs="宋体"/>
                <w:color w:val="auto"/>
                <w:szCs w:val="21"/>
                <w:highlight w:val="none"/>
              </w:rPr>
              <w:t xml:space="preserve">方面的质量监督、质量验证类似业绩</w:t>
            </w:r>
            <w:r>
              <w:rPr>
                <w:rFonts w:ascii="宋体" w:hAnsi="宋体" w:cs="宋体"/>
                <w:color w:val="auto"/>
                <w:szCs w:val="21"/>
                <w:highlight w:val="none"/>
              </w:rPr>
              <w:t xml:space="preserve">的，每提供一个得</w:t>
            </w:r>
            <w:r>
              <w:rPr>
                <w:rFonts w:hint="eastAsia" w:ascii="宋体" w:hAnsi="宋体" w:cs="宋体"/>
                <w:color w:val="auto"/>
                <w:szCs w:val="21"/>
                <w:highlight w:val="none"/>
              </w:rPr>
              <w:t xml:space="preserve">2</w:t>
            </w:r>
            <w:r>
              <w:rPr>
                <w:rFonts w:ascii="宋体" w:hAnsi="宋体" w:cs="宋体"/>
                <w:color w:val="auto"/>
                <w:szCs w:val="21"/>
                <w:highlight w:val="none"/>
              </w:rPr>
              <w:t xml:space="preserve">分，最高得分</w:t>
            </w:r>
            <w:r>
              <w:rPr>
                <w:rFonts w:hint="eastAsia" w:ascii="宋体" w:hAnsi="宋体" w:cs="宋体"/>
                <w:color w:val="auto"/>
                <w:szCs w:val="21"/>
                <w:highlight w:val="none"/>
              </w:rPr>
              <w:t xml:space="preserve">12</w:t>
            </w:r>
            <w:r>
              <w:rPr>
                <w:rFonts w:ascii="宋体" w:hAnsi="宋体" w:cs="宋体"/>
                <w:color w:val="auto"/>
                <w:szCs w:val="21"/>
                <w:highlight w:val="none"/>
              </w:rPr>
              <w:t xml:space="preserve">分。（提供合同</w:t>
            </w:r>
            <w:r>
              <w:rPr>
                <w:rFonts w:hint="eastAsia" w:ascii="宋体" w:hAnsi="宋体" w:cs="宋体"/>
                <w:color w:val="auto"/>
                <w:szCs w:val="21"/>
                <w:highlight w:val="none"/>
              </w:rPr>
              <w:t xml:space="preserve">扫描件加盖公章</w:t>
            </w:r>
            <w:r>
              <w:rPr>
                <w:rFonts w:ascii="宋体" w:hAnsi="宋体" w:cs="宋体"/>
                <w:color w:val="auto"/>
                <w:szCs w:val="21"/>
                <w:highlight w:val="none"/>
              </w:rPr>
              <w:t xml:space="preserve">）</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检测设备</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供应商针对本项目配备的工具：</w:t>
            </w:r>
            <w:r>
              <w:rPr>
                <w:rFonts w:hint="eastAsia" w:ascii="宋体" w:hAnsi="宋体" w:cs="宋体"/>
                <w:color w:val="auto"/>
                <w:szCs w:val="21"/>
                <w:highlight w:val="none"/>
              </w:rPr>
              <w:t xml:space="preserve">蓝牙数字回弹仪、钢筋位置测定仪、非金属超声检测分析仪、超声波探伤仪、接地电阻测试仪、绝缘电阻测试仪、涂层测厚仪、恒加载压力试验机，每提供1个得0.5分。（提供购买发票或租赁合同加盖公章）</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567"/>
        </w:trPr>
        <w:tc>
          <w:tcPr>
            <w:tcW w:w="735"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综合实力</w:t>
            </w:r>
            <w:r/>
          </w:p>
        </w:tc>
        <w:tc>
          <w:tcPr>
            <w:tcW w:w="375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供应商具备有效期内的质量管理体系认证证书、环境管理体系认证证书、职业健康安全管理体系认证证书的，每提供一项证书得1分，最高得3分。</w:t>
            </w:r>
            <w:r>
              <w:rPr>
                <w:rFonts w:hint="eastAsia" w:ascii="宋体" w:hAnsi="宋体" w:cs="宋体"/>
                <w:b/>
                <w:bCs/>
                <w:color w:val="auto"/>
                <w:highlight w:val="none"/>
              </w:rPr>
              <w:t xml:space="preserve">（提供相关证书扫描件及网站截图，提供的体系认证证书须在国家市场监督管理总局-全国认证认可信息公告服务平台查询，网址：http://cx.cnca.cn/CertECloud/result/skipResultList?certItemOne=A&amp;currentPosition=undefined）上的查询结果截图，要求证书在有效期内、通过最新的年检、并在该网址查询结果为有效，不提供不得分）</w:t>
            </w:r>
            <w:r/>
          </w:p>
        </w:tc>
        <w:tc>
          <w:tcPr>
            <w:tcW w:w="506"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r>
    </w:tbl>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720"/>
        <w:spacing w:line="360" w:lineRule="auto"/>
        <w:rPr>
          <w:rFonts w:ascii="宋体" w:hAnsi="宋体" w:cs="宋体"/>
          <w:color w:val="auto"/>
          <w:sz w:val="36"/>
          <w:highlight w:val="none"/>
        </w:rPr>
      </w:pPr>
      <w:r>
        <w:rPr>
          <w:rFonts w:hint="eastAsia" w:ascii="宋体" w:hAnsi="宋体" w:cs="宋体"/>
          <w:color w:val="auto"/>
          <w:sz w:val="36"/>
          <w:highlight w:val="none"/>
        </w:rPr>
        <w:br w:type="page" w:clear="all"/>
      </w:r>
      <w:r/>
    </w:p>
    <w:p>
      <w:pPr>
        <w:pStyle w:val="958"/>
        <w:jc w:val="center"/>
        <w:spacing w:line="360" w:lineRule="auto"/>
        <w:rPr>
          <w:rFonts w:ascii="宋体" w:hAnsi="宋体" w:cs="宋体"/>
          <w:color w:val="auto"/>
          <w:highlight w:val="none"/>
        </w:rPr>
      </w:pPr>
      <w:r/>
      <w:bookmarkStart w:id="30" w:name="_Toc109304976"/>
      <w:r/>
      <w:r/>
    </w:p>
    <w:p>
      <w:pPr>
        <w:pStyle w:val="958"/>
        <w:jc w:val="center"/>
        <w:spacing w:line="360" w:lineRule="auto"/>
        <w:rPr>
          <w:rFonts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
      <w:r/>
      <w:bookmarkEnd w:id="30"/>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13"/>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供应商近三个月内任意一份依法纳税的缴款凭证</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上一年度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2024年度）</w:t>
            </w:r>
            <w:r>
              <w:rPr>
                <w:rFonts w:hint="eastAsia" w:ascii="宋体" w:hAnsi="宋体" w:cs="宋体"/>
                <w:color w:val="auto"/>
                <w:szCs w:val="21"/>
                <w:highlight w:val="none"/>
              </w:rPr>
              <w:t xml:space="preserve">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bookmarkStart w:id="45" w:name="_GoBack"/>
            <w:r/>
            <w:bookmarkEnd w:id="45"/>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ascii="宋体" w:hAnsi="宋体" w:cs="宋体"/>
                <w:bCs/>
                <w:i/>
                <w:color w:val="auto"/>
                <w:highlight w:val="none"/>
                <w:u w:val="single"/>
              </w:rPr>
            </w:pP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本项目采购标的按中小企业划分标准所属行业区分为：其他未列明行业（中小微企业划型标准网http://www.ccgp.gov.cn/zcfg/mof/201310/t20131029_3587674.htm）。</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3.1供应商须具有水利工程质量检测（至少包含岩土工程、混凝土工程、金属结构、机械电气和量测）乙级及以上资质；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3.2供应商拟派项目负责人须具有水利类中级及以上技术职称。</w:t>
            </w:r>
            <w:r/>
          </w:p>
          <w:p>
            <w:pPr>
              <w:spacing w:line="360" w:lineRule="auto"/>
              <w:rPr>
                <w:rFonts w:ascii="宋体" w:hAnsi="宋体" w:cs="宋体"/>
                <w:color w:val="auto"/>
                <w:szCs w:val="21"/>
                <w:highlight w:val="none"/>
              </w:rPr>
            </w:pPr>
            <w:r>
              <w:rPr>
                <w:rFonts w:hint="eastAsia" w:ascii="宋体" w:hAnsi="宋体" w:cs="宋体"/>
                <w:strike w:val="0"/>
                <w:color w:val="auto"/>
                <w:szCs w:val="21"/>
                <w:highlight w:val="none"/>
              </w:rPr>
              <w:t xml:space="preserve">3.3具有资质认定证书（计量认证证书）（提供证明材料加盖供应商公章）</w:t>
            </w:r>
            <w:r/>
          </w:p>
        </w:tc>
        <w:tc>
          <w:tcPr>
            <w:tcW w:w="1824" w:type="dxa"/>
            <w:vAlign w:val="center"/>
            <w:textDirection w:val="lrTb"/>
            <w:noWrap w:val="false"/>
          </w:tcPr>
          <w:p>
            <w:pPr>
              <w:pStyle w:val="961"/>
              <w:rPr>
                <w:rFonts w:ascii="宋体" w:hAnsi="宋体" w:cs="宋体"/>
                <w:color w:val="auto"/>
                <w:sz w:val="21"/>
                <w:szCs w:val="21"/>
                <w:highlight w:val="none"/>
              </w:rPr>
            </w:pPr>
            <w:r>
              <w:rPr>
                <w:rFonts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99"/>
        <w:ind w:firstLine="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999"/>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99"/>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99"/>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9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5"/>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1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5"/>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71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65"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959"/>
        <w:jc w:val="center"/>
        <w:spacing w:before="300" w:after="300" w:line="360" w:lineRule="auto"/>
        <w:widowControl/>
        <w:rPr>
          <w:rFonts w:ascii="宋体" w:hAnsi="宋体" w:cs="宋体"/>
          <w:color w:val="auto"/>
          <w:sz w:val="21"/>
          <w:szCs w:val="21"/>
          <w:highlight w:val="none"/>
        </w:rPr>
      </w:pPr>
      <w:r/>
      <w:bookmarkStart w:id="31" w:name="_Toc109304977"/>
      <w:r>
        <w:rPr>
          <w:rFonts w:hint="eastAsia" w:ascii="宋体" w:hAnsi="宋体" w:cs="宋体"/>
          <w:bCs w:val="0"/>
          <w:color w:val="auto"/>
          <w:sz w:val="21"/>
          <w:szCs w:val="21"/>
          <w:highlight w:val="none"/>
        </w:rPr>
        <w:t xml:space="preserve">中小微企业划型标准</w:t>
      </w:r>
      <w:bookmarkEnd w:id="31"/>
      <w:r>
        <w:rPr>
          <w:rFonts w:hint="eastAsia" w:ascii="宋体" w:hAnsi="宋体" w:cs="宋体"/>
          <w:bCs w:val="0"/>
          <w:color w:val="auto"/>
          <w:sz w:val="21"/>
          <w:szCs w:val="21"/>
          <w:highlight w:val="none"/>
        </w:rPr>
        <w:t xml:space="preserve"> </w:t>
      </w:r>
      <w:r/>
    </w:p>
    <w:p>
      <w:pPr>
        <w:pStyle w:val="989"/>
        <w:ind w:firstLine="420"/>
        <w:spacing w:before="300" w:after="452"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中小微企业划型标准如下：</w:t>
      </w:r>
      <w:r/>
    </w:p>
    <w:tbl>
      <w:tblPr>
        <w:tblStyle w:val="71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89"/>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89"/>
              <w:jc w:val="center"/>
              <w:spacing w:line="360" w:lineRule="auto"/>
              <w:widowControl/>
              <w:rPr>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X＜10</w:t>
            </w:r>
            <w:r/>
          </w:p>
        </w:tc>
      </w:tr>
    </w:tbl>
    <w:p>
      <w:pPr>
        <w:pStyle w:val="989"/>
        <w:ind w:firstLine="420"/>
        <w:spacing w:before="300" w:after="452" w:line="360" w:lineRule="auto"/>
        <w:widowControl/>
        <w:rPr>
          <w:rStyle w:val="992"/>
          <w:rFonts w:ascii="宋体" w:hAnsi="宋体" w:cs="宋体"/>
          <w:color w:val="auto"/>
          <w:sz w:val="21"/>
          <w:szCs w:val="21"/>
          <w:highlight w:val="none"/>
        </w:rPr>
      </w:pPr>
      <w:r>
        <w:rPr>
          <w:rStyle w:val="99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auto"/>
          <w:highlight w:val="none"/>
        </w:rPr>
      </w:pPr>
      <w:r>
        <w:rPr>
          <w:rStyle w:val="992"/>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pStyle w:val="97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项目编号：                                           分包号：                   </w:t>
      </w:r>
      <w:r/>
    </w:p>
    <w:tbl>
      <w:tblPr>
        <w:tblStyle w:val="71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028"/>
        <w:gridCol w:w="1457"/>
        <w:gridCol w:w="1244"/>
        <w:gridCol w:w="1340"/>
        <w:gridCol w:w="1694"/>
      </w:tblGrid>
      <w:tr>
        <w:trPr>
          <w:cantSplit/>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序号</w:t>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产品、服务名称</w:t>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分项单位</w:t>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数量</w:t>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单价</w:t>
            </w:r>
            <w:r/>
          </w:p>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（元）</w:t>
            </w:r>
            <w:r/>
          </w:p>
        </w:tc>
        <w:tc>
          <w:tcPr>
            <w:tcW w:w="169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单项合计价</w:t>
            </w:r>
            <w:r/>
          </w:p>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（元）</w:t>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00"/>
        </w:trPr>
        <w:tc>
          <w:tcPr>
            <w:gridSpan w:val="3"/>
            <w:tcW w:w="42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总</w:t>
            </w:r>
            <w:r>
              <w:rPr>
                <w:rFonts w:hint="eastAsia" w:ascii="宋体" w:hAnsi="宋体" w:cs="宋体"/>
                <w:color w:val="auto"/>
                <w:highlight w:val="none"/>
              </w:rPr>
              <w:t xml:space="preserve">报价</w:t>
            </w:r>
            <w:r/>
          </w:p>
        </w:tc>
        <w:tc>
          <w:tcPr>
            <w:gridSpan w:val="3"/>
            <w:tcW w:w="427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highlight w:val="none"/>
              </w:rPr>
              <w:t xml:space="preserve">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圆整</w:t>
            </w:r>
            <w:r/>
          </w:p>
          <w:p>
            <w:pPr>
              <w:spacing w:line="360" w:lineRule="auto"/>
              <w:rPr>
                <w:rFonts w:ascii="宋体" w:hAnsi="宋体" w:cs="宋体"/>
                <w:color w:val="auto"/>
                <w:szCs w:val="21"/>
                <w:highlight w:val="none"/>
                <w:u w:val="single"/>
              </w:rPr>
            </w:pP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p>
        </w:tc>
      </w:tr>
    </w:tbl>
    <w:p>
      <w:pPr>
        <w:spacing w:line="360" w:lineRule="auto"/>
        <w:rPr>
          <w:rFonts w:ascii="宋体" w:hAnsi="宋体" w:cs="宋体"/>
          <w:color w:val="auto"/>
          <w:highlight w:val="none"/>
        </w:rPr>
      </w:pPr>
      <w:r>
        <w:rPr>
          <w:rFonts w:hint="eastAsia" w:ascii="宋体" w:hAnsi="宋体" w:cs="宋体"/>
          <w:color w:val="auto"/>
          <w:highlight w:val="none"/>
        </w:rPr>
        <w:t xml:space="preserve">                                               </w:t>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959"/>
        <w:jc w:val="center"/>
        <w:spacing w:line="360" w:lineRule="auto"/>
        <w:rPr>
          <w:rFonts w:ascii="宋体" w:hAnsi="宋体" w:cs="宋体"/>
          <w:bCs w:val="0"/>
          <w:color w:val="auto"/>
          <w:highlight w:val="none"/>
        </w:rPr>
      </w:pPr>
      <w:r/>
      <w:bookmarkStart w:id="32" w:name="_Toc109304978"/>
      <w:r>
        <w:rPr>
          <w:rFonts w:hint="eastAsia" w:ascii="宋体" w:hAnsi="宋体" w:cs="宋体"/>
          <w:bCs w:val="0"/>
          <w:color w:val="auto"/>
          <w:highlight w:val="none"/>
        </w:rPr>
        <w:t xml:space="preserve">五、技术参数响应及偏离表</w:t>
      </w:r>
      <w:bookmarkEnd w:id="32"/>
      <w:r/>
      <w:r/>
    </w:p>
    <w:tbl>
      <w:tblPr>
        <w:tblStyle w:val="71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59"/>
        <w:jc w:val="center"/>
        <w:spacing w:line="360" w:lineRule="auto"/>
        <w:rPr>
          <w:rFonts w:ascii="宋体" w:hAnsi="宋体" w:cs="宋体"/>
          <w:bCs w:val="0"/>
          <w:color w:val="auto"/>
          <w:highlight w:val="none"/>
        </w:rPr>
      </w:pPr>
      <w:r/>
      <w:bookmarkStart w:id="33" w:name="_Hlt26955054"/>
      <w:r/>
      <w:bookmarkEnd w:id="33"/>
      <w:r/>
      <w:bookmarkStart w:id="34"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34"/>
      <w:r/>
      <w:r/>
    </w:p>
    <w:tbl>
      <w:tblPr>
        <w:tblStyle w:val="713"/>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widowControl/>
        <w:rPr>
          <w:rFonts w:ascii="宋体" w:hAnsi="宋体" w:cs="宋体"/>
          <w:b/>
          <w:color w:val="auto"/>
          <w:highlight w:val="none"/>
        </w:rPr>
      </w:pPr>
      <w:r/>
      <w:bookmarkStart w:id="35" w:name="_Hlt26609391"/>
      <w:r/>
      <w:bookmarkEnd w:id="35"/>
      <w:r/>
      <w:bookmarkStart w:id="36" w:name="_Hlt26671343"/>
      <w:r/>
      <w:bookmarkEnd w:id="36"/>
      <w:r/>
      <w:bookmarkStart w:id="37" w:name="_Hlt26671372"/>
      <w:r/>
      <w:bookmarkEnd w:id="37"/>
      <w:r/>
      <w:bookmarkStart w:id="38" w:name="_Hlt26955056"/>
      <w:r/>
      <w:bookmarkEnd w:id="38"/>
      <w:r/>
      <w:bookmarkStart w:id="39" w:name="_Hlt26580838"/>
      <w:r/>
      <w:bookmarkEnd w:id="39"/>
      <w:r/>
      <w:bookmarkStart w:id="40" w:name="_Hlt26955064"/>
      <w:r/>
      <w:bookmarkEnd w:id="40"/>
      <w:r/>
      <w:bookmarkStart w:id="41" w:name="_Hlt24879081"/>
      <w:r/>
      <w:bookmarkEnd w:id="41"/>
      <w:r/>
      <w:bookmarkStart w:id="42" w:name="_Hlt26782999"/>
      <w:r/>
      <w:bookmarkEnd w:id="42"/>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1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highlight w:val="none"/>
        </w:rPr>
      </w:pPr>
      <w:r>
        <w:rPr>
          <w:rFonts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黑体">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fldChar w:fldCharType="begin"/>
    </w:r>
    <w:r>
      <w:instrText xml:space="preserve">PAGE   \* MERGEFORMAT</w:instrText>
    </w:r>
    <w:r>
      <w:fldChar w:fldCharType="separate"/>
    </w:r>
    <w:r>
      <w:rPr>
        <w:lang w:val="zh-CN"/>
      </w:rPr>
      <w:t xml:space="preserve">30</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fldChar w:fldCharType="begin"/>
    </w:r>
    <w:r>
      <w:instrText xml:space="preserve">PAGE   \* MERGEFORMAT</w:instrText>
    </w:r>
    <w:r>
      <w:fldChar w:fldCharType="separate"/>
    </w:r>
    <w:r>
      <w:rPr>
        <w:lang w:val="zh-CN"/>
      </w:rPr>
      <w:t xml:space="preserve">47</w: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szCs w:val="22"/>
      </w:rPr>
    </w:pPr>
    <w:r/>
    <w:bookmarkStart w:id="43" w:name="_Hlk69393956"/>
    <w:r/>
    <w:bookmarkStart w:id="44" w:name="_Hlk69393955"/>
    <w:r>
      <w:rPr>
        <w:rFonts w:hint="eastAsia"/>
        <w:lang w:eastAsia="zh-CN"/>
      </w:rPr>
      <w:t xml:space="preserve">JSZC-321000-JSWC-C2026-0001</w:t>
    </w:r>
    <w:r>
      <w:t xml:space="preserve">                                    </w:t>
    </w:r>
    <w:r>
      <w:rPr>
        <w:rFonts w:hint="eastAsia"/>
      </w:rPr>
      <w:t xml:space="preserve"> </w:t>
    </w:r>
    <w:r>
      <w:t xml:space="preserve">   </w:t>
    </w:r>
    <w:bookmarkEnd w:id="43"/>
    <w:r/>
    <w:bookmarkEnd w:id="44"/>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9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8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TOC Heading"/>
    <w:uiPriority w:val="39"/>
    <w:unhideWhenUsed/>
  </w:style>
  <w:style w:type="paragraph" w:styleId="70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03">
    <w:name w:val="Heading 1"/>
    <w:basedOn w:val="702"/>
    <w:next w:val="702"/>
    <w:link w:val="829"/>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830"/>
    <w:uiPriority w:val="9"/>
    <w:qFormat/>
    <w:pPr>
      <w:keepLines/>
      <w:keepNext/>
      <w:spacing w:before="360" w:after="200"/>
      <w:outlineLvl w:val="1"/>
    </w:pPr>
    <w:rPr>
      <w:rFonts w:ascii="Arial" w:hAnsi="Arial" w:eastAsia="Arial" w:cs="Arial"/>
      <w:sz w:val="34"/>
    </w:rPr>
  </w:style>
  <w:style w:type="paragraph" w:styleId="705">
    <w:name w:val="Heading 3"/>
    <w:basedOn w:val="702"/>
    <w:next w:val="702"/>
    <w:link w:val="831"/>
    <w:uiPriority w:val="9"/>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832"/>
    <w:uiPriority w:val="9"/>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33"/>
    <w:uiPriority w:val="9"/>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834"/>
    <w:uiPriority w:val="9"/>
    <w:qFormat/>
    <w:pPr>
      <w:keepLines/>
      <w:keepNext/>
      <w:spacing w:before="320" w:after="200"/>
      <w:outlineLvl w:val="5"/>
    </w:pPr>
    <w:rPr>
      <w:rFonts w:ascii="Arial" w:hAnsi="Arial" w:eastAsia="Arial" w:cs="Arial"/>
      <w:b/>
      <w:bCs/>
      <w:sz w:val="22"/>
    </w:rPr>
  </w:style>
  <w:style w:type="paragraph" w:styleId="709">
    <w:name w:val="Heading 7"/>
    <w:basedOn w:val="702"/>
    <w:next w:val="702"/>
    <w:link w:val="835"/>
    <w:uiPriority w:val="9"/>
    <w:qFormat/>
    <w:pPr>
      <w:keepLines/>
      <w:keepNext/>
      <w:spacing w:before="320" w:after="200"/>
      <w:outlineLvl w:val="6"/>
    </w:pPr>
    <w:rPr>
      <w:rFonts w:ascii="Arial" w:hAnsi="Arial" w:eastAsia="Arial" w:cs="Arial"/>
      <w:b/>
      <w:bCs/>
      <w:i/>
      <w:iCs/>
      <w:sz w:val="22"/>
    </w:rPr>
  </w:style>
  <w:style w:type="paragraph" w:styleId="710">
    <w:name w:val="Heading 8"/>
    <w:basedOn w:val="702"/>
    <w:next w:val="702"/>
    <w:link w:val="836"/>
    <w:uiPriority w:val="9"/>
    <w:qFormat/>
    <w:pPr>
      <w:keepLines/>
      <w:keepNext/>
      <w:spacing w:before="320" w:after="200"/>
      <w:outlineLvl w:val="7"/>
    </w:pPr>
    <w:rPr>
      <w:rFonts w:ascii="Arial" w:hAnsi="Arial" w:eastAsia="Arial" w:cs="Arial"/>
      <w:i/>
      <w:iCs/>
      <w:sz w:val="22"/>
    </w:rPr>
  </w:style>
  <w:style w:type="paragraph" w:styleId="711">
    <w:name w:val="Heading 9"/>
    <w:basedOn w:val="702"/>
    <w:next w:val="702"/>
    <w:link w:val="837"/>
    <w:uiPriority w:val="9"/>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qFormat/>
    <w:pPr>
      <w:ind w:left="1701"/>
      <w:spacing w:after="57"/>
    </w:pPr>
  </w:style>
  <w:style w:type="paragraph" w:styleId="715">
    <w:name w:val="Normal Indent"/>
    <w:basedOn w:val="702"/>
    <w:uiPriority w:val="0"/>
    <w:qFormat/>
    <w:pPr>
      <w:ind w:firstLine="482"/>
      <w:spacing w:line="360" w:lineRule="atLeast"/>
    </w:pPr>
    <w:rPr>
      <w:sz w:val="24"/>
      <w:szCs w:val="20"/>
    </w:rPr>
  </w:style>
  <w:style w:type="paragraph" w:styleId="716">
    <w:name w:val="Caption"/>
    <w:basedOn w:val="702"/>
    <w:next w:val="702"/>
    <w:uiPriority w:val="35"/>
    <w:qFormat/>
    <w:pPr>
      <w:spacing w:line="276" w:lineRule="auto"/>
    </w:pPr>
    <w:rPr>
      <w:b/>
      <w:bCs/>
      <w:color w:val="4f81bd"/>
      <w:sz w:val="18"/>
      <w:szCs w:val="18"/>
    </w:rPr>
  </w:style>
  <w:style w:type="paragraph" w:styleId="717">
    <w:name w:val="Body Text"/>
    <w:basedOn w:val="702"/>
    <w:next w:val="718"/>
    <w:uiPriority w:val="0"/>
    <w:qFormat/>
    <w:rPr>
      <w:rFonts w:ascii="楷体_GB2312" w:hAnsi="Arial" w:eastAsia="楷体_GB2312"/>
      <w:sz w:val="28"/>
      <w:szCs w:val="28"/>
    </w:rPr>
  </w:style>
  <w:style w:type="paragraph" w:styleId="718">
    <w:name w:val="Body Text First Indent"/>
    <w:basedOn w:val="717"/>
    <w:next w:val="702"/>
    <w:uiPriority w:val="0"/>
    <w:qFormat/>
    <w:pPr>
      <w:ind w:firstLine="420"/>
      <w:tabs>
        <w:tab w:val="left" w:pos="5250" w:leader="none"/>
      </w:tabs>
    </w:pPr>
  </w:style>
  <w:style w:type="paragraph" w:styleId="719">
    <w:name w:val="Body Text Indent"/>
    <w:basedOn w:val="702"/>
    <w:uiPriority w:val="99"/>
    <w:qFormat/>
    <w:pPr>
      <w:ind w:left="420"/>
      <w:spacing w:after="120"/>
    </w:pPr>
  </w:style>
  <w:style w:type="paragraph" w:styleId="720">
    <w:name w:val="toc 5"/>
    <w:basedOn w:val="702"/>
    <w:next w:val="702"/>
    <w:uiPriority w:val="39"/>
    <w:qFormat/>
    <w:pPr>
      <w:ind w:left="1134"/>
      <w:spacing w:after="57"/>
    </w:pPr>
  </w:style>
  <w:style w:type="paragraph" w:styleId="721">
    <w:name w:val="toc 3"/>
    <w:basedOn w:val="702"/>
    <w:next w:val="702"/>
    <w:uiPriority w:val="39"/>
    <w:qFormat/>
    <w:pPr>
      <w:ind w:left="567"/>
      <w:spacing w:after="57"/>
    </w:pPr>
  </w:style>
  <w:style w:type="paragraph" w:styleId="722">
    <w:name w:val="Plain Text"/>
    <w:basedOn w:val="702"/>
    <w:uiPriority w:val="0"/>
    <w:qFormat/>
    <w:rPr>
      <w:rFonts w:ascii="宋体" w:hAnsi="Courier New"/>
      <w:sz w:val="20"/>
      <w:szCs w:val="21"/>
    </w:rPr>
  </w:style>
  <w:style w:type="paragraph" w:styleId="723">
    <w:name w:val="toc 8"/>
    <w:basedOn w:val="702"/>
    <w:next w:val="702"/>
    <w:uiPriority w:val="39"/>
    <w:qFormat/>
    <w:pPr>
      <w:ind w:left="1984"/>
      <w:spacing w:after="57"/>
    </w:pPr>
  </w:style>
  <w:style w:type="paragraph" w:styleId="724">
    <w:name w:val="Body Text Indent 2"/>
    <w:basedOn w:val="702"/>
    <w:uiPriority w:val="99"/>
    <w:qFormat/>
    <w:pPr>
      <w:ind w:firstLine="562"/>
      <w:spacing w:line="480" w:lineRule="exact"/>
    </w:pPr>
    <w:rPr>
      <w:rFonts w:ascii="楷体_GB2312" w:eastAsia="楷体_GB2312"/>
      <w:b/>
      <w:bCs/>
      <w:sz w:val="28"/>
      <w:szCs w:val="24"/>
    </w:rPr>
  </w:style>
  <w:style w:type="paragraph" w:styleId="725">
    <w:name w:val="endnote text"/>
    <w:basedOn w:val="702"/>
    <w:link w:val="956"/>
    <w:uiPriority w:val="99"/>
    <w:qFormat/>
    <w:rPr>
      <w:sz w:val="20"/>
    </w:rPr>
  </w:style>
  <w:style w:type="paragraph" w:styleId="726">
    <w:name w:val="Balloon Text"/>
    <w:basedOn w:val="702"/>
    <w:link w:val="1018"/>
    <w:uiPriority w:val="99"/>
    <w:semiHidden/>
    <w:unhideWhenUsed/>
    <w:qFormat/>
    <w:rPr>
      <w:sz w:val="18"/>
      <w:szCs w:val="18"/>
    </w:rPr>
  </w:style>
  <w:style w:type="paragraph" w:styleId="727">
    <w:name w:val="Footer"/>
    <w:basedOn w:val="702"/>
    <w:link w:val="848"/>
    <w:uiPriority w:val="99"/>
    <w:qFormat/>
    <w:pPr>
      <w:tabs>
        <w:tab w:val="center" w:pos="7143" w:leader="none"/>
        <w:tab w:val="right" w:pos="14287" w:leader="none"/>
      </w:tabs>
    </w:pPr>
  </w:style>
  <w:style w:type="paragraph" w:styleId="728">
    <w:name w:val="Header"/>
    <w:basedOn w:val="702"/>
    <w:link w:val="846"/>
    <w:uiPriority w:val="99"/>
    <w:qFormat/>
    <w:pPr>
      <w:tabs>
        <w:tab w:val="center" w:pos="7143" w:leader="none"/>
        <w:tab w:val="right" w:pos="14287" w:leader="none"/>
      </w:tabs>
    </w:pPr>
  </w:style>
  <w:style w:type="paragraph" w:styleId="729">
    <w:name w:val="toc 1"/>
    <w:basedOn w:val="702"/>
    <w:next w:val="702"/>
    <w:uiPriority w:val="39"/>
    <w:qFormat/>
    <w:pPr>
      <w:spacing w:after="57"/>
    </w:pPr>
  </w:style>
  <w:style w:type="paragraph" w:styleId="730">
    <w:name w:val="toc 4"/>
    <w:basedOn w:val="702"/>
    <w:next w:val="702"/>
    <w:uiPriority w:val="39"/>
    <w:qFormat/>
    <w:pPr>
      <w:ind w:left="850"/>
      <w:spacing w:after="57"/>
    </w:pPr>
  </w:style>
  <w:style w:type="paragraph" w:styleId="731">
    <w:name w:val="Subtitle"/>
    <w:basedOn w:val="702"/>
    <w:next w:val="702"/>
    <w:link w:val="841"/>
    <w:uiPriority w:val="11"/>
    <w:qFormat/>
    <w:pPr>
      <w:spacing w:before="200" w:after="200"/>
    </w:pPr>
    <w:rPr>
      <w:sz w:val="24"/>
      <w:szCs w:val="24"/>
    </w:rPr>
  </w:style>
  <w:style w:type="paragraph" w:styleId="732">
    <w:name w:val="footnote text"/>
    <w:basedOn w:val="702"/>
    <w:link w:val="955"/>
    <w:uiPriority w:val="99"/>
    <w:qFormat/>
    <w:pPr>
      <w:spacing w:after="40"/>
    </w:pPr>
    <w:rPr>
      <w:sz w:val="18"/>
    </w:rPr>
  </w:style>
  <w:style w:type="paragraph" w:styleId="733">
    <w:name w:val="toc 6"/>
    <w:basedOn w:val="702"/>
    <w:next w:val="702"/>
    <w:uiPriority w:val="39"/>
    <w:qFormat/>
    <w:pPr>
      <w:ind w:left="1417"/>
      <w:spacing w:after="57"/>
    </w:pPr>
  </w:style>
  <w:style w:type="paragraph" w:styleId="734">
    <w:name w:val="table of figures"/>
    <w:basedOn w:val="702"/>
    <w:next w:val="702"/>
    <w:uiPriority w:val="99"/>
    <w:qFormat/>
  </w:style>
  <w:style w:type="paragraph" w:styleId="735">
    <w:name w:val="toc 2"/>
    <w:basedOn w:val="702"/>
    <w:next w:val="702"/>
    <w:uiPriority w:val="39"/>
    <w:qFormat/>
    <w:pPr>
      <w:ind w:left="283"/>
      <w:spacing w:after="57"/>
    </w:pPr>
  </w:style>
  <w:style w:type="paragraph" w:styleId="736">
    <w:name w:val="toc 9"/>
    <w:basedOn w:val="702"/>
    <w:next w:val="702"/>
    <w:uiPriority w:val="39"/>
    <w:qFormat/>
    <w:pPr>
      <w:ind w:left="2268"/>
      <w:spacing w:after="57"/>
    </w:pPr>
  </w:style>
  <w:style w:type="paragraph" w:styleId="737">
    <w:name w:val="Body Text 2"/>
    <w:basedOn w:val="702"/>
    <w:uiPriority w:val="0"/>
    <w:qFormat/>
    <w:pPr>
      <w:spacing w:after="120" w:line="480" w:lineRule="auto"/>
    </w:pPr>
  </w:style>
  <w:style w:type="paragraph" w:styleId="738">
    <w:name w:val="Title"/>
    <w:basedOn w:val="702"/>
    <w:next w:val="702"/>
    <w:link w:val="840"/>
    <w:uiPriority w:val="10"/>
    <w:qFormat/>
    <w:pPr>
      <w:contextualSpacing/>
      <w:spacing w:before="300" w:after="200"/>
    </w:pPr>
    <w:rPr>
      <w:sz w:val="48"/>
      <w:szCs w:val="48"/>
    </w:rPr>
  </w:style>
  <w:style w:type="paragraph" w:styleId="739">
    <w:name w:val="Body Text First Indent 2"/>
    <w:basedOn w:val="719"/>
    <w:uiPriority w:val="99"/>
    <w:qFormat/>
    <w:pPr>
      <w:ind w:firstLine="420"/>
    </w:p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qFormat/>
    <w:rPr>
      <w:vertAlign w:val="superscript"/>
    </w:rPr>
  </w:style>
  <w:style w:type="character" w:styleId="742">
    <w:name w:val="Hyperlink"/>
    <w:uiPriority w:val="99"/>
    <w:qFormat/>
    <w:rPr>
      <w:color w:val="0000ff"/>
      <w:u w:val="single"/>
    </w:rPr>
  </w:style>
  <w:style w:type="character" w:styleId="743">
    <w:name w:val="footnote reference"/>
    <w:uiPriority w:val="99"/>
    <w:qFormat/>
    <w:rPr>
      <w:vertAlign w:val="superscript"/>
    </w:rPr>
  </w:style>
  <w:style w:type="character" w:styleId="744" w:customStyle="1">
    <w:name w:val="Heading 1 Char"/>
    <w:basedOn w:val="712"/>
    <w:uiPriority w:val="9"/>
    <w:qFormat/>
    <w:rPr>
      <w:rFonts w:ascii="Arial" w:hAnsi="Arial" w:eastAsia="Arial" w:cs="Arial"/>
      <w:sz w:val="40"/>
      <w:szCs w:val="40"/>
    </w:rPr>
  </w:style>
  <w:style w:type="character" w:styleId="745" w:customStyle="1">
    <w:name w:val="Heading 2 Char"/>
    <w:basedOn w:val="712"/>
    <w:uiPriority w:val="9"/>
    <w:qFormat/>
    <w:rPr>
      <w:rFonts w:ascii="Arial" w:hAnsi="Arial" w:eastAsia="Arial" w:cs="Arial"/>
      <w:sz w:val="34"/>
    </w:rPr>
  </w:style>
  <w:style w:type="character" w:styleId="746" w:customStyle="1">
    <w:name w:val="Heading 3 Char"/>
    <w:basedOn w:val="712"/>
    <w:uiPriority w:val="9"/>
    <w:qFormat/>
    <w:rPr>
      <w:rFonts w:ascii="Arial" w:hAnsi="Arial" w:eastAsia="Arial" w:cs="Arial"/>
      <w:sz w:val="30"/>
      <w:szCs w:val="30"/>
    </w:rPr>
  </w:style>
  <w:style w:type="character" w:styleId="747" w:customStyle="1">
    <w:name w:val="Heading 4 Char"/>
    <w:basedOn w:val="712"/>
    <w:uiPriority w:val="9"/>
    <w:qFormat/>
    <w:rPr>
      <w:rFonts w:ascii="Arial" w:hAnsi="Arial" w:eastAsia="Arial" w:cs="Arial"/>
      <w:b/>
      <w:bCs/>
      <w:sz w:val="26"/>
      <w:szCs w:val="26"/>
    </w:rPr>
  </w:style>
  <w:style w:type="character" w:styleId="748" w:customStyle="1">
    <w:name w:val="Heading 5 Char"/>
    <w:basedOn w:val="712"/>
    <w:uiPriority w:val="9"/>
    <w:qFormat/>
    <w:rPr>
      <w:rFonts w:ascii="Arial" w:hAnsi="Arial" w:eastAsia="Arial" w:cs="Arial"/>
      <w:b/>
      <w:bCs/>
      <w:sz w:val="24"/>
      <w:szCs w:val="24"/>
    </w:rPr>
  </w:style>
  <w:style w:type="character" w:styleId="749" w:customStyle="1">
    <w:name w:val="Heading 6 Char"/>
    <w:basedOn w:val="712"/>
    <w:uiPriority w:val="9"/>
    <w:qFormat/>
    <w:rPr>
      <w:rFonts w:ascii="Arial" w:hAnsi="Arial" w:eastAsia="Arial" w:cs="Arial"/>
      <w:b/>
      <w:bCs/>
      <w:sz w:val="22"/>
      <w:szCs w:val="22"/>
    </w:rPr>
  </w:style>
  <w:style w:type="character" w:styleId="750" w:customStyle="1">
    <w:name w:val="Heading 7 Char"/>
    <w:basedOn w:val="712"/>
    <w:uiPriority w:val="9"/>
    <w:qFormat/>
    <w:rPr>
      <w:rFonts w:ascii="Arial" w:hAnsi="Arial" w:eastAsia="Arial" w:cs="Arial"/>
      <w:b/>
      <w:bCs/>
      <w:i/>
      <w:iCs/>
      <w:sz w:val="22"/>
      <w:szCs w:val="22"/>
    </w:rPr>
  </w:style>
  <w:style w:type="character" w:styleId="751" w:customStyle="1">
    <w:name w:val="Heading 8 Char"/>
    <w:basedOn w:val="712"/>
    <w:uiPriority w:val="9"/>
    <w:qFormat/>
    <w:rPr>
      <w:rFonts w:ascii="Arial" w:hAnsi="Arial" w:eastAsia="Arial" w:cs="Arial"/>
      <w:i/>
      <w:iCs/>
      <w:sz w:val="22"/>
      <w:szCs w:val="22"/>
    </w:rPr>
  </w:style>
  <w:style w:type="character" w:styleId="752" w:customStyle="1">
    <w:name w:val="Heading 9 Char"/>
    <w:basedOn w:val="712"/>
    <w:uiPriority w:val="9"/>
    <w:qFormat/>
    <w:rPr>
      <w:rFonts w:ascii="Arial" w:hAnsi="Arial" w:eastAsia="Arial" w:cs="Arial"/>
      <w:i/>
      <w:iCs/>
      <w:sz w:val="21"/>
      <w:szCs w:val="21"/>
    </w:rPr>
  </w:style>
  <w:style w:type="character" w:styleId="753" w:customStyle="1">
    <w:name w:val="Title Char"/>
    <w:basedOn w:val="712"/>
    <w:uiPriority w:val="10"/>
    <w:qFormat/>
    <w:rPr>
      <w:sz w:val="48"/>
      <w:szCs w:val="48"/>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712"/>
    <w:uiPriority w:val="99"/>
    <w:qFormat/>
  </w:style>
  <w:style w:type="character" w:styleId="757" w:customStyle="1">
    <w:name w:val="Footer Char"/>
    <w:basedOn w:val="712"/>
    <w:uiPriority w:val="99"/>
    <w:qFormat/>
  </w:style>
  <w:style w:type="table" w:styleId="758" w:customStyle="1">
    <w:name w:val="Plain Table 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2"/>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3"/>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5 Dark"/>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6 Colorful"/>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7 Colorful"/>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List Table 1 Light"/>
    <w:basedOn w:val="71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2"/>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3"/>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5 Dark"/>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6 Colorful"/>
    <w:basedOn w:val="71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List Table 7 Colorful"/>
    <w:basedOn w:val="71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7" w:customStyle="1">
    <w:name w:val="TOC 标题1"/>
    <w:uiPriority w:val="39"/>
    <w:unhideWhenUsed/>
    <w:qFormat/>
    <w:rPr>
      <w:rFonts w:ascii="Times New Roman" w:hAnsi="Times New Roman" w:eastAsia="宋体" w:cs="Times New Roman"/>
      <w:lang w:val="en-US" w:eastAsia="zh-CN" w:bidi="ar-SA"/>
    </w:rPr>
  </w:style>
  <w:style w:type="paragraph" w:styleId="778" w:customStyle="1">
    <w:name w:val="段"/>
    <w:basedOn w:val="779"/>
    <w:next w:val="702"/>
    <w:uiPriority w:val="0"/>
    <w:qFormat/>
    <w:pPr>
      <w:ind w:firstLine="200"/>
      <w:widowControl/>
    </w:pPr>
    <w:rPr>
      <w:rFonts w:hAnsi="Times New Roman"/>
      <w:sz w:val="20"/>
    </w:rPr>
  </w:style>
  <w:style w:type="paragraph" w:styleId="779" w:customStyle="1">
    <w:name w:val="正文1"/>
    <w:basedOn w:val="702"/>
    <w:next w:val="780"/>
    <w:uiPriority w:val="0"/>
    <w:qFormat/>
    <w:pPr>
      <w:jc w:val="left"/>
      <w:spacing w:line="360" w:lineRule="atLeast"/>
    </w:pPr>
    <w:rPr>
      <w:rFonts w:ascii="宋体" w:hAnsi="Calibri"/>
      <w:sz w:val="24"/>
      <w:szCs w:val="20"/>
    </w:rPr>
  </w:style>
  <w:style w:type="paragraph" w:styleId="780" w:customStyle="1">
    <w:name w:val="正文文本1"/>
    <w:basedOn w:val="779"/>
    <w:next w:val="781"/>
    <w:uiPriority w:val="0"/>
    <w:qFormat/>
    <w:pPr>
      <w:spacing w:after="120"/>
    </w:pPr>
    <w:rPr>
      <w:rFonts w:ascii="Times New Roman" w:hAnsi="Times New Roman"/>
      <w:lang w:eastAsia="en-US"/>
    </w:rPr>
  </w:style>
  <w:style w:type="paragraph" w:styleId="781" w:customStyle="1">
    <w:name w:val="一级条标题"/>
    <w:basedOn w:val="782"/>
    <w:next w:val="778"/>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82" w:customStyle="1">
    <w:name w:val="章标题"/>
    <w:next w:val="78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3" w:customStyle="1">
    <w:name w:val="正文11"/>
    <w:next w:val="779"/>
    <w:uiPriority w:val="0"/>
    <w:qFormat/>
    <w:pPr>
      <w:jc w:val="both"/>
      <w:widowControl w:val="off"/>
    </w:pPr>
    <w:rPr>
      <w:rFonts w:ascii="Times New Roman" w:hAnsi="Times New Roman" w:eastAsia="宋体" w:cs="Times New Roman"/>
      <w:sz w:val="21"/>
      <w:szCs w:val="22"/>
      <w:lang w:val="en-US" w:eastAsia="zh-CN" w:bidi="ar-SA"/>
    </w:rPr>
  </w:style>
  <w:style w:type="paragraph" w:styleId="784" w:customStyle="1">
    <w:name w:val="ListBullet2"/>
    <w:basedOn w:val="702"/>
    <w:uiPriority w:val="0"/>
    <w:qFormat/>
    <w:pPr>
      <w:numPr>
        <w:ilvl w:val="0"/>
        <w:numId w:val="1"/>
      </w:numPr>
    </w:pPr>
  </w:style>
  <w:style w:type="paragraph" w:styleId="785" w:customStyle="1">
    <w:name w:val="正文（缩进）"/>
    <w:basedOn w:val="702"/>
    <w:next w:val="786"/>
    <w:uiPriority w:val="0"/>
    <w:qFormat/>
    <w:pPr>
      <w:ind w:firstLine="480"/>
    </w:pPr>
  </w:style>
  <w:style w:type="paragraph" w:styleId="786" w:customStyle="1">
    <w:name w:val="Char Char Char Char Char Char Char Char Char"/>
    <w:basedOn w:val="702"/>
    <w:next w:val="787"/>
    <w:uiPriority w:val="99"/>
    <w:qFormat/>
    <w:pPr>
      <w:ind w:left="360" w:firstLine="5784"/>
    </w:pPr>
  </w:style>
  <w:style w:type="paragraph" w:styleId="787" w:customStyle="1">
    <w:name w:val="正文文本 21"/>
    <w:basedOn w:val="702"/>
    <w:next w:val="788"/>
    <w:uiPriority w:val="99"/>
    <w:qFormat/>
    <w:pPr>
      <w:ind w:left="720" w:firstLine="5680"/>
      <w:widowControl/>
    </w:pPr>
  </w:style>
  <w:style w:type="paragraph" w:styleId="788" w:customStyle="1">
    <w:name w:val="默认段落字体 Para Char Char Char Char Char Char Char"/>
    <w:basedOn w:val="702"/>
    <w:next w:val="789"/>
    <w:uiPriority w:val="99"/>
    <w:qFormat/>
    <w:pPr>
      <w:ind w:firstLine="200"/>
    </w:pPr>
    <w:rPr>
      <w:rFonts w:cs="Arial"/>
    </w:rPr>
  </w:style>
  <w:style w:type="paragraph" w:styleId="789" w:customStyle="1">
    <w:name w:val="样式 首行缩进:  2 字符"/>
    <w:basedOn w:val="702"/>
    <w:next w:val="790"/>
    <w:uiPriority w:val="99"/>
    <w:qFormat/>
    <w:pPr>
      <w:ind w:left="480" w:firstLine="5856"/>
      <w:spacing w:line="360" w:lineRule="auto"/>
    </w:pPr>
  </w:style>
  <w:style w:type="paragraph" w:styleId="790" w:customStyle="1">
    <w:name w:val="样式 段后: 0.25 行"/>
    <w:basedOn w:val="702"/>
    <w:next w:val="791"/>
    <w:uiPriority w:val="99"/>
    <w:qFormat/>
    <w:pPr>
      <w:ind w:left="420" w:firstLine="5796"/>
      <w:spacing w:line="300" w:lineRule="auto"/>
      <w:widowControl/>
    </w:pPr>
  </w:style>
  <w:style w:type="paragraph" w:styleId="791" w:customStyle="1">
    <w:name w:val="正文 New New New New New New New New New New New New New New"/>
    <w:next w:val="736"/>
    <w:uiPriority w:val="99"/>
    <w:qFormat/>
    <w:pPr>
      <w:ind w:firstLine="2048"/>
      <w:jc w:val="both"/>
      <w:widowControl w:val="off"/>
    </w:pPr>
    <w:rPr>
      <w:rFonts w:ascii="Calibri" w:hAnsi="Calibri" w:eastAsia="宋体" w:cs="Times New Roman"/>
      <w:lang w:val="en-US" w:eastAsia="zh-CN" w:bidi="ar-SA"/>
    </w:rPr>
  </w:style>
  <w:style w:type="character" w:styleId="792" w:customStyle="1">
    <w:name w:val="Heading 1 Char_b127612a-46ac-4d30-988a-0f2fd1272b22"/>
    <w:basedOn w:val="712"/>
    <w:uiPriority w:val="9"/>
    <w:qFormat/>
    <w:rPr>
      <w:rFonts w:ascii="Arial" w:hAnsi="Arial" w:eastAsia="Arial" w:cs="Arial"/>
      <w:sz w:val="40"/>
      <w:szCs w:val="40"/>
    </w:rPr>
  </w:style>
  <w:style w:type="character" w:styleId="793" w:customStyle="1">
    <w:name w:val="Heading 2 Char_3852ce68-7c97-4966-8976-2459b61fd5e7"/>
    <w:basedOn w:val="712"/>
    <w:uiPriority w:val="9"/>
    <w:qFormat/>
    <w:rPr>
      <w:rFonts w:ascii="Arial" w:hAnsi="Arial" w:eastAsia="Arial" w:cs="Arial"/>
      <w:sz w:val="34"/>
    </w:rPr>
  </w:style>
  <w:style w:type="character" w:styleId="794" w:customStyle="1">
    <w:name w:val="Heading 3 Char_f7d11f25-14cf-49a1-a93f-35bbf919396b"/>
    <w:basedOn w:val="712"/>
    <w:uiPriority w:val="9"/>
    <w:qFormat/>
    <w:rPr>
      <w:rFonts w:ascii="Arial" w:hAnsi="Arial" w:eastAsia="Arial" w:cs="Arial"/>
      <w:sz w:val="30"/>
      <w:szCs w:val="30"/>
    </w:rPr>
  </w:style>
  <w:style w:type="character" w:styleId="795" w:customStyle="1">
    <w:name w:val="Heading 4 Char_37ad4d14-29cc-4d16-96f8-d5916b2fd4cc"/>
    <w:basedOn w:val="712"/>
    <w:uiPriority w:val="9"/>
    <w:qFormat/>
    <w:rPr>
      <w:rFonts w:ascii="Arial" w:hAnsi="Arial" w:eastAsia="Arial" w:cs="Arial"/>
      <w:b/>
      <w:bCs/>
      <w:sz w:val="26"/>
      <w:szCs w:val="26"/>
    </w:rPr>
  </w:style>
  <w:style w:type="character" w:styleId="796" w:customStyle="1">
    <w:name w:val="Heading 5 Char_ed43af33-2a75-474b-a326-04978b423b2b"/>
    <w:basedOn w:val="712"/>
    <w:uiPriority w:val="9"/>
    <w:qFormat/>
    <w:rPr>
      <w:rFonts w:ascii="Arial" w:hAnsi="Arial" w:eastAsia="Arial" w:cs="Arial"/>
      <w:b/>
      <w:bCs/>
      <w:sz w:val="24"/>
      <w:szCs w:val="24"/>
    </w:rPr>
  </w:style>
  <w:style w:type="character" w:styleId="797" w:customStyle="1">
    <w:name w:val="Heading 6 Char_b8e9b59b-97b0-43cf-8d15-c36da8c6eb83"/>
    <w:basedOn w:val="712"/>
    <w:uiPriority w:val="9"/>
    <w:qFormat/>
    <w:rPr>
      <w:rFonts w:ascii="Arial" w:hAnsi="Arial" w:eastAsia="Arial" w:cs="Arial"/>
      <w:b/>
      <w:bCs/>
      <w:sz w:val="22"/>
      <w:szCs w:val="22"/>
    </w:rPr>
  </w:style>
  <w:style w:type="character" w:styleId="798" w:customStyle="1">
    <w:name w:val="Heading 7 Char_2a7bb52a-09a4-4253-ab34-2661683bcdb0"/>
    <w:basedOn w:val="712"/>
    <w:uiPriority w:val="9"/>
    <w:qFormat/>
    <w:rPr>
      <w:rFonts w:ascii="Arial" w:hAnsi="Arial" w:eastAsia="Arial" w:cs="Arial"/>
      <w:b/>
      <w:bCs/>
      <w:i/>
      <w:iCs/>
      <w:sz w:val="22"/>
      <w:szCs w:val="22"/>
    </w:rPr>
  </w:style>
  <w:style w:type="character" w:styleId="799" w:customStyle="1">
    <w:name w:val="Heading 8 Char_3964ce1c-bf9c-4598-88c4-95beb607feb8"/>
    <w:basedOn w:val="712"/>
    <w:uiPriority w:val="9"/>
    <w:qFormat/>
    <w:rPr>
      <w:rFonts w:ascii="Arial" w:hAnsi="Arial" w:eastAsia="Arial" w:cs="Arial"/>
      <w:i/>
      <w:iCs/>
      <w:sz w:val="22"/>
      <w:szCs w:val="22"/>
    </w:rPr>
  </w:style>
  <w:style w:type="character" w:styleId="800" w:customStyle="1">
    <w:name w:val="Heading 9 Char_04556595-4e3a-4a56-93e7-6c38c583cd48"/>
    <w:basedOn w:val="712"/>
    <w:uiPriority w:val="9"/>
    <w:qFormat/>
    <w:rPr>
      <w:rFonts w:ascii="Arial" w:hAnsi="Arial" w:eastAsia="Arial" w:cs="Arial"/>
      <w:i/>
      <w:iCs/>
      <w:sz w:val="21"/>
      <w:szCs w:val="21"/>
    </w:rPr>
  </w:style>
  <w:style w:type="character" w:styleId="801" w:customStyle="1">
    <w:name w:val="Title Char_71bfe03e-d3ba-484a-8009-3870b97cebf1"/>
    <w:basedOn w:val="712"/>
    <w:uiPriority w:val="10"/>
    <w:qFormat/>
    <w:rPr>
      <w:sz w:val="48"/>
      <w:szCs w:val="48"/>
    </w:rPr>
  </w:style>
  <w:style w:type="character" w:styleId="802" w:customStyle="1">
    <w:name w:val="Subtitle Char"/>
    <w:basedOn w:val="712"/>
    <w:uiPriority w:val="11"/>
    <w:qFormat/>
    <w:rPr>
      <w:sz w:val="24"/>
      <w:szCs w:val="24"/>
    </w:rPr>
  </w:style>
  <w:style w:type="character" w:styleId="803" w:customStyle="1">
    <w:name w:val="Quote Char_4ee300e1-fe05-4b1b-b9c3-4b691c7be6c9"/>
    <w:uiPriority w:val="29"/>
    <w:qFormat/>
    <w:rPr>
      <w:i/>
    </w:rPr>
  </w:style>
  <w:style w:type="character" w:styleId="804" w:customStyle="1">
    <w:name w:val="Intense Quote Char_71fcc739-3a4e-4867-a6f1-c209fa7280d2"/>
    <w:uiPriority w:val="30"/>
    <w:qFormat/>
    <w:rPr>
      <w:i/>
    </w:rPr>
  </w:style>
  <w:style w:type="character" w:styleId="805" w:customStyle="1">
    <w:name w:val="Header Char_293a267c-921b-4f9d-ac3e-0f7c69a31286"/>
    <w:basedOn w:val="712"/>
    <w:uiPriority w:val="99"/>
    <w:qFormat/>
  </w:style>
  <w:style w:type="character" w:styleId="806" w:customStyle="1">
    <w:name w:val="Caption Char"/>
    <w:uiPriority w:val="99"/>
    <w:qFormat/>
  </w:style>
  <w:style w:type="table" w:styleId="807" w:customStyle="1">
    <w:name w:val="无格式表格 11"/>
    <w:basedOn w:val="71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1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1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1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3" w:customStyle="1">
    <w:name w:val="网格表 21"/>
    <w:basedOn w:val="71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4" w:customStyle="1">
    <w:name w:val="网格表 31"/>
    <w:basedOn w:val="71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1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网格表 5 深色1"/>
    <w:basedOn w:val="7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7" w:customStyle="1">
    <w:name w:val="网格表 6 彩色1"/>
    <w:basedOn w:val="71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18" w:customStyle="1">
    <w:name w:val="网格表 7 彩色1"/>
    <w:basedOn w:val="713"/>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9" w:customStyle="1">
    <w:name w:val="清单表 1 浅色1"/>
    <w:basedOn w:val="713"/>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0" w:customStyle="1">
    <w:name w:val="清单表 21"/>
    <w:basedOn w:val="713"/>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21" w:customStyle="1">
    <w:name w:val="清单表 31"/>
    <w:basedOn w:val="71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清单表 41"/>
    <w:basedOn w:val="7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清单表 5 深色1"/>
    <w:basedOn w:val="713"/>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24" w:customStyle="1">
    <w:name w:val="清单表 6 彩色1"/>
    <w:basedOn w:val="713"/>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25" w:customStyle="1">
    <w:name w:val="清单表 7 彩色1"/>
    <w:basedOn w:val="713"/>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Heading_46a5ae15-2b88-4b1d-8625-83c688820e95"/>
    <w:uiPriority w:val="39"/>
    <w:qFormat/>
    <w:rPr>
      <w:rFonts w:ascii="Times New Roman" w:hAnsi="Times New Roman" w:eastAsia="宋体" w:cs="Times New Roman"/>
      <w:lang w:val="en-US" w:eastAsia="zh-CN" w:bidi="ar-SA"/>
    </w:rPr>
  </w:style>
  <w:style w:type="character" w:styleId="829" w:customStyle="1">
    <w:name w:val="标题 1 Char1"/>
    <w:link w:val="703"/>
    <w:uiPriority w:val="9"/>
    <w:qFormat/>
    <w:rPr>
      <w:rFonts w:ascii="Arial" w:hAnsi="Arial" w:eastAsia="Arial" w:cs="Arial"/>
      <w:sz w:val="40"/>
      <w:szCs w:val="40"/>
    </w:rPr>
  </w:style>
  <w:style w:type="character" w:styleId="830" w:customStyle="1">
    <w:name w:val="标题 2 Char1"/>
    <w:link w:val="704"/>
    <w:uiPriority w:val="9"/>
    <w:qFormat/>
    <w:rPr>
      <w:rFonts w:ascii="Arial" w:hAnsi="Arial" w:eastAsia="Arial" w:cs="Arial"/>
      <w:sz w:val="34"/>
    </w:rPr>
  </w:style>
  <w:style w:type="character" w:styleId="831" w:customStyle="1">
    <w:name w:val="标题 3 Char1"/>
    <w:link w:val="705"/>
    <w:uiPriority w:val="9"/>
    <w:qFormat/>
    <w:rPr>
      <w:rFonts w:ascii="Arial" w:hAnsi="Arial" w:eastAsia="Arial" w:cs="Arial"/>
      <w:sz w:val="30"/>
      <w:szCs w:val="30"/>
    </w:rPr>
  </w:style>
  <w:style w:type="character" w:styleId="832" w:customStyle="1">
    <w:name w:val="标题 4 Char1"/>
    <w:link w:val="706"/>
    <w:uiPriority w:val="9"/>
    <w:qFormat/>
    <w:rPr>
      <w:rFonts w:ascii="Arial" w:hAnsi="Arial" w:eastAsia="Arial" w:cs="Arial"/>
      <w:b/>
      <w:bCs/>
      <w:sz w:val="26"/>
      <w:szCs w:val="26"/>
    </w:rPr>
  </w:style>
  <w:style w:type="character" w:styleId="833" w:customStyle="1">
    <w:name w:val="标题 5 Char"/>
    <w:link w:val="707"/>
    <w:uiPriority w:val="9"/>
    <w:qFormat/>
    <w:rPr>
      <w:rFonts w:ascii="Arial" w:hAnsi="Arial" w:eastAsia="Arial" w:cs="Arial"/>
      <w:b/>
      <w:bCs/>
      <w:sz w:val="24"/>
      <w:szCs w:val="24"/>
    </w:rPr>
  </w:style>
  <w:style w:type="character" w:styleId="834" w:customStyle="1">
    <w:name w:val="标题 6 Char"/>
    <w:link w:val="708"/>
    <w:uiPriority w:val="9"/>
    <w:qFormat/>
    <w:rPr>
      <w:rFonts w:ascii="Arial" w:hAnsi="Arial" w:eastAsia="Arial" w:cs="Arial"/>
      <w:b/>
      <w:bCs/>
      <w:sz w:val="22"/>
      <w:szCs w:val="22"/>
    </w:rPr>
  </w:style>
  <w:style w:type="character" w:styleId="835" w:customStyle="1">
    <w:name w:val="标题 7 Char"/>
    <w:link w:val="709"/>
    <w:uiPriority w:val="9"/>
    <w:qFormat/>
    <w:rPr>
      <w:rFonts w:ascii="Arial" w:hAnsi="Arial" w:eastAsia="Arial" w:cs="Arial"/>
      <w:b/>
      <w:bCs/>
      <w:i/>
      <w:iCs/>
      <w:sz w:val="22"/>
      <w:szCs w:val="22"/>
    </w:rPr>
  </w:style>
  <w:style w:type="character" w:styleId="836" w:customStyle="1">
    <w:name w:val="标题 8 Char"/>
    <w:link w:val="710"/>
    <w:uiPriority w:val="9"/>
    <w:qFormat/>
    <w:rPr>
      <w:rFonts w:ascii="Arial" w:hAnsi="Arial" w:eastAsia="Arial" w:cs="Arial"/>
      <w:i/>
      <w:iCs/>
      <w:sz w:val="22"/>
      <w:szCs w:val="22"/>
    </w:rPr>
  </w:style>
  <w:style w:type="character" w:styleId="837" w:customStyle="1">
    <w:name w:val="标题 9 Char"/>
    <w:link w:val="711"/>
    <w:uiPriority w:val="9"/>
    <w:qFormat/>
    <w:rPr>
      <w:rFonts w:ascii="Arial" w:hAnsi="Arial" w:eastAsia="Arial" w:cs="Arial"/>
      <w:i/>
      <w:iCs/>
      <w:sz w:val="21"/>
      <w:szCs w:val="21"/>
    </w:rPr>
  </w:style>
  <w:style w:type="paragraph" w:styleId="838">
    <w:name w:val="List Paragraph"/>
    <w:basedOn w:val="702"/>
    <w:uiPriority w:val="34"/>
    <w:qFormat/>
    <w:pPr>
      <w:contextualSpacing/>
      <w:ind w:left="720"/>
    </w:p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Char"/>
    <w:link w:val="738"/>
    <w:uiPriority w:val="10"/>
    <w:qFormat/>
    <w:rPr>
      <w:sz w:val="48"/>
      <w:szCs w:val="48"/>
    </w:rPr>
  </w:style>
  <w:style w:type="character" w:styleId="841" w:customStyle="1">
    <w:name w:val="副标题 Char"/>
    <w:link w:val="731"/>
    <w:uiPriority w:val="11"/>
    <w:qFormat/>
    <w:rPr>
      <w:sz w:val="24"/>
      <w:szCs w:val="24"/>
    </w:rPr>
  </w:style>
  <w:style w:type="paragraph" w:styleId="842">
    <w:name w:val="Quote"/>
    <w:basedOn w:val="702"/>
    <w:next w:val="702"/>
    <w:link w:val="843"/>
    <w:uiPriority w:val="29"/>
    <w:qFormat/>
    <w:pPr>
      <w:ind w:left="720" w:right="720"/>
    </w:pPr>
    <w:rPr>
      <w:i/>
    </w:rPr>
  </w:style>
  <w:style w:type="character" w:styleId="843" w:customStyle="1">
    <w:name w:val="引用 Char"/>
    <w:link w:val="842"/>
    <w:uiPriority w:val="29"/>
    <w:qFormat/>
    <w:rPr>
      <w:i/>
    </w:rPr>
  </w:style>
  <w:style w:type="paragraph" w:styleId="844">
    <w:name w:val="Intense Quote"/>
    <w:basedOn w:val="702"/>
    <w:next w:val="702"/>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Char"/>
    <w:link w:val="844"/>
    <w:uiPriority w:val="30"/>
    <w:qFormat/>
    <w:rPr>
      <w:i/>
    </w:rPr>
  </w:style>
  <w:style w:type="character" w:styleId="846" w:customStyle="1">
    <w:name w:val="页眉 Char2"/>
    <w:link w:val="728"/>
    <w:uiPriority w:val="99"/>
    <w:qFormat/>
  </w:style>
  <w:style w:type="character" w:styleId="847" w:customStyle="1">
    <w:name w:val="Footer Char_86385f5c-f410-4a56-a72e-90ceb29c3cc5"/>
    <w:uiPriority w:val="99"/>
    <w:qFormat/>
  </w:style>
  <w:style w:type="character" w:styleId="848" w:customStyle="1">
    <w:name w:val="页脚 Char2"/>
    <w:link w:val="727"/>
    <w:uiPriority w:val="99"/>
    <w:qFormat/>
  </w:style>
  <w:style w:type="table" w:styleId="84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5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7"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1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5" w:customStyle="1">
    <w:name w:val="脚注文本 Char"/>
    <w:link w:val="732"/>
    <w:uiPriority w:val="99"/>
    <w:qFormat/>
    <w:rPr>
      <w:sz w:val="18"/>
    </w:rPr>
  </w:style>
  <w:style w:type="character" w:styleId="956" w:customStyle="1">
    <w:name w:val="尾注文本 Char"/>
    <w:link w:val="725"/>
    <w:uiPriority w:val="99"/>
    <w:qFormat/>
    <w:rPr>
      <w:sz w:val="20"/>
    </w:rPr>
  </w:style>
  <w:style w:type="paragraph" w:styleId="957" w:customStyle="1">
    <w:name w:val="TOC 标题11"/>
    <w:uiPriority w:val="39"/>
    <w:qFormat/>
    <w:rPr>
      <w:rFonts w:ascii="Times New Roman" w:hAnsi="Times New Roman" w:eastAsia="宋体" w:cs="Times New Roman"/>
      <w:lang w:val="en-US" w:eastAsia="zh-CN" w:bidi="ar-SA"/>
    </w:rPr>
  </w:style>
  <w:style w:type="paragraph" w:styleId="958" w:customStyle="1">
    <w:name w:val="标题 11"/>
    <w:basedOn w:val="702"/>
    <w:next w:val="702"/>
    <w:link w:val="966"/>
    <w:uiPriority w:val="0"/>
    <w:qFormat/>
    <w:pPr>
      <w:keepLines/>
      <w:keepNext/>
      <w:spacing w:before="340" w:after="330" w:line="578" w:lineRule="auto"/>
      <w:outlineLvl w:val="0"/>
    </w:pPr>
    <w:rPr>
      <w:rFonts w:ascii="Calibri" w:hAnsi="Calibri"/>
      <w:b/>
      <w:bCs/>
      <w:sz w:val="44"/>
      <w:szCs w:val="44"/>
    </w:rPr>
  </w:style>
  <w:style w:type="paragraph" w:styleId="959" w:customStyle="1">
    <w:name w:val="标题 21"/>
    <w:basedOn w:val="702"/>
    <w:next w:val="960"/>
    <w:link w:val="967"/>
    <w:uiPriority w:val="0"/>
    <w:qFormat/>
    <w:pPr>
      <w:keepLines/>
      <w:keepNext/>
      <w:spacing w:before="260" w:after="260" w:line="416" w:lineRule="auto"/>
      <w:outlineLvl w:val="1"/>
    </w:pPr>
    <w:rPr>
      <w:rFonts w:ascii="Cambria" w:hAnsi="Cambria"/>
      <w:b/>
      <w:bCs/>
      <w:sz w:val="32"/>
      <w:szCs w:val="32"/>
    </w:rPr>
  </w:style>
  <w:style w:type="paragraph" w:styleId="960" w:customStyle="1">
    <w:name w:val="正文缩进1"/>
    <w:basedOn w:val="702"/>
    <w:uiPriority w:val="0"/>
    <w:qFormat/>
    <w:pPr>
      <w:ind w:firstLine="420"/>
    </w:pPr>
    <w:rPr>
      <w:rFonts w:ascii="Calibri" w:hAnsi="Calibri"/>
    </w:rPr>
  </w:style>
  <w:style w:type="paragraph" w:styleId="961" w:customStyle="1">
    <w:name w:val="标题 31"/>
    <w:basedOn w:val="702"/>
    <w:next w:val="702"/>
    <w:link w:val="968"/>
    <w:uiPriority w:val="0"/>
    <w:qFormat/>
    <w:pPr>
      <w:keepLines/>
      <w:keepNext/>
      <w:spacing w:before="260" w:after="260" w:line="416" w:lineRule="auto"/>
      <w:outlineLvl w:val="2"/>
    </w:pPr>
    <w:rPr>
      <w:rFonts w:ascii="Calibri" w:hAnsi="Calibri"/>
      <w:b/>
      <w:bCs/>
      <w:sz w:val="32"/>
      <w:szCs w:val="32"/>
    </w:rPr>
  </w:style>
  <w:style w:type="paragraph" w:styleId="962" w:customStyle="1">
    <w:name w:val="标题 41"/>
    <w:basedOn w:val="702"/>
    <w:next w:val="960"/>
    <w:link w:val="969"/>
    <w:uiPriority w:val="0"/>
    <w:qFormat/>
    <w:pPr>
      <w:spacing w:before="280" w:after="290" w:line="377" w:lineRule="auto"/>
      <w:outlineLvl w:val="3"/>
    </w:pPr>
    <w:rPr>
      <w:rFonts w:ascii="Arial" w:hAnsi="Arial" w:eastAsia="黑体"/>
      <w:b/>
      <w:bCs/>
      <w:sz w:val="28"/>
      <w:szCs w:val="28"/>
    </w:rPr>
  </w:style>
  <w:style w:type="character" w:styleId="963" w:customStyle="1">
    <w:name w:val="默认段落字体1"/>
    <w:uiPriority w:val="0"/>
    <w:qFormat/>
    <w:rPr>
      <w:rFonts w:ascii="Times New Roman" w:hAnsi="Times New Roman" w:eastAsia="宋体" w:cs="Times New Roman"/>
    </w:rPr>
  </w:style>
  <w:style w:type="table" w:styleId="964" w:customStyle="1">
    <w:name w:val="普通表格1"/>
    <w:uiPriority w:val="0"/>
    <w:qFormat/>
    <w:tblPr>
      <w:tblCellMar>
        <w:left w:w="0" w:type="dxa"/>
        <w:top w:w="0" w:type="dxa"/>
        <w:right w:w="0" w:type="dxa"/>
        <w:bottom w:w="0" w:type="dxa"/>
      </w:tblCellMar>
    </w:tblPr>
  </w:style>
  <w:style w:type="paragraph" w:styleId="965" w:customStyle="1">
    <w:name w:val="文本块1"/>
    <w:basedOn w:val="702"/>
    <w:uiPriority w:val="99"/>
    <w:qFormat/>
    <w:pPr>
      <w:ind w:left="1440" w:right="1440"/>
      <w:spacing w:after="120"/>
    </w:pPr>
  </w:style>
  <w:style w:type="character" w:styleId="966" w:customStyle="1">
    <w:name w:val="标题 1 Char"/>
    <w:link w:val="958"/>
    <w:uiPriority w:val="0"/>
    <w:qFormat/>
    <w:rPr>
      <w:rFonts w:ascii="Calibri" w:hAnsi="Calibri" w:eastAsia="宋体" w:cs="Times New Roman"/>
      <w:b/>
      <w:bCs/>
      <w:sz w:val="44"/>
      <w:szCs w:val="44"/>
    </w:rPr>
  </w:style>
  <w:style w:type="character" w:styleId="967" w:customStyle="1">
    <w:name w:val="标题 2 Char"/>
    <w:link w:val="959"/>
    <w:uiPriority w:val="0"/>
    <w:qFormat/>
    <w:rPr>
      <w:rFonts w:ascii="Cambria" w:hAnsi="Cambria" w:eastAsia="宋体" w:cs="Times New Roman"/>
      <w:b/>
      <w:bCs/>
      <w:sz w:val="32"/>
      <w:szCs w:val="32"/>
    </w:rPr>
  </w:style>
  <w:style w:type="character" w:styleId="968" w:customStyle="1">
    <w:name w:val="标题 3 Char"/>
    <w:link w:val="961"/>
    <w:uiPriority w:val="0"/>
    <w:qFormat/>
    <w:rPr>
      <w:rFonts w:ascii="Calibri" w:hAnsi="Calibri" w:eastAsia="宋体" w:cs="Times New Roman"/>
      <w:b/>
      <w:bCs/>
      <w:sz w:val="32"/>
      <w:szCs w:val="32"/>
    </w:rPr>
  </w:style>
  <w:style w:type="character" w:styleId="969" w:customStyle="1">
    <w:name w:val="标题 4 Char"/>
    <w:link w:val="962"/>
    <w:uiPriority w:val="0"/>
    <w:qFormat/>
    <w:rPr>
      <w:rFonts w:ascii="Arial" w:hAnsi="Arial" w:eastAsia="黑体" w:cs="Times New Roman"/>
      <w:b/>
      <w:bCs/>
      <w:sz w:val="28"/>
      <w:szCs w:val="28"/>
    </w:rPr>
  </w:style>
  <w:style w:type="paragraph" w:styleId="970" w:customStyle="1">
    <w:name w:val="文档结构图1"/>
    <w:basedOn w:val="702"/>
    <w:link w:val="971"/>
    <w:uiPriority w:val="0"/>
    <w:qFormat/>
    <w:rPr>
      <w:rFonts w:ascii="宋体"/>
      <w:sz w:val="18"/>
      <w:szCs w:val="18"/>
    </w:rPr>
  </w:style>
  <w:style w:type="character" w:styleId="971" w:customStyle="1">
    <w:name w:val="文档结构图 Char"/>
    <w:link w:val="970"/>
    <w:uiPriority w:val="0"/>
    <w:qFormat/>
    <w:rPr>
      <w:rFonts w:ascii="宋体" w:hAnsi="Times New Roman" w:eastAsia="宋体" w:cs="Times New Roman"/>
      <w:sz w:val="18"/>
      <w:szCs w:val="18"/>
    </w:rPr>
  </w:style>
  <w:style w:type="paragraph" w:styleId="972" w:customStyle="1">
    <w:name w:val="引文目录标题1"/>
    <w:basedOn w:val="702"/>
    <w:next w:val="702"/>
    <w:uiPriority w:val="0"/>
    <w:qFormat/>
    <w:pPr>
      <w:spacing w:before="120"/>
    </w:pPr>
    <w:rPr>
      <w:rFonts w:ascii="Cambria" w:hAnsi="Cambria"/>
      <w:sz w:val="24"/>
    </w:rPr>
  </w:style>
  <w:style w:type="paragraph" w:styleId="973" w:customStyle="1">
    <w:name w:val="批注文字1"/>
    <w:basedOn w:val="702"/>
    <w:uiPriority w:val="0"/>
    <w:qFormat/>
    <w:pPr>
      <w:jc w:val="left"/>
    </w:pPr>
  </w:style>
  <w:style w:type="paragraph" w:styleId="974" w:customStyle="1">
    <w:name w:val="正文文本11"/>
    <w:basedOn w:val="702"/>
    <w:next w:val="702"/>
    <w:uiPriority w:val="0"/>
    <w:qFormat/>
    <w:rPr>
      <w:rFonts w:ascii="楷体_GB2312" w:hAnsi="Arial" w:eastAsia="楷体_GB2312"/>
      <w:sz w:val="28"/>
      <w:szCs w:val="28"/>
    </w:rPr>
  </w:style>
  <w:style w:type="paragraph" w:styleId="975" w:customStyle="1">
    <w:name w:val="正文文本缩进1"/>
    <w:basedOn w:val="702"/>
    <w:next w:val="702"/>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76" w:customStyle="1">
    <w:name w:val="纯文本1"/>
    <w:basedOn w:val="702"/>
    <w:link w:val="977"/>
    <w:uiPriority w:val="0"/>
    <w:qFormat/>
    <w:rPr>
      <w:rFonts w:ascii="宋体" w:hAnsi="Courier New"/>
      <w:sz w:val="20"/>
      <w:szCs w:val="20"/>
    </w:rPr>
  </w:style>
  <w:style w:type="character" w:styleId="977" w:customStyle="1">
    <w:name w:val="纯文本 Char"/>
    <w:link w:val="976"/>
    <w:uiPriority w:val="0"/>
    <w:qFormat/>
    <w:rPr>
      <w:rFonts w:ascii="宋体" w:hAnsi="Courier New" w:eastAsia="宋体" w:cs="Times New Roman"/>
    </w:rPr>
  </w:style>
  <w:style w:type="paragraph" w:styleId="978" w:customStyle="1">
    <w:name w:val="日期1"/>
    <w:basedOn w:val="702"/>
    <w:next w:val="702"/>
    <w:link w:val="979"/>
    <w:uiPriority w:val="0"/>
    <w:qFormat/>
    <w:rPr>
      <w:sz w:val="24"/>
      <w:szCs w:val="20"/>
    </w:rPr>
  </w:style>
  <w:style w:type="character" w:styleId="979" w:customStyle="1">
    <w:name w:val="日期 Char"/>
    <w:link w:val="978"/>
    <w:uiPriority w:val="0"/>
    <w:qFormat/>
    <w:rPr>
      <w:rFonts w:ascii="Times New Roman" w:hAnsi="Times New Roman" w:eastAsia="宋体" w:cs="Times New Roman"/>
      <w:sz w:val="24"/>
    </w:rPr>
  </w:style>
  <w:style w:type="paragraph" w:styleId="980" w:customStyle="1">
    <w:name w:val="批注框文本1"/>
    <w:basedOn w:val="702"/>
    <w:link w:val="981"/>
    <w:uiPriority w:val="0"/>
    <w:qFormat/>
    <w:rPr>
      <w:sz w:val="18"/>
      <w:szCs w:val="18"/>
    </w:rPr>
  </w:style>
  <w:style w:type="character" w:styleId="981" w:customStyle="1">
    <w:name w:val="批注框文本 Char"/>
    <w:link w:val="980"/>
    <w:uiPriority w:val="0"/>
    <w:qFormat/>
    <w:rPr>
      <w:rFonts w:ascii="Times New Roman" w:hAnsi="Times New Roman" w:eastAsia="宋体" w:cs="Times New Roman"/>
      <w:sz w:val="18"/>
      <w:szCs w:val="18"/>
    </w:rPr>
  </w:style>
  <w:style w:type="paragraph" w:styleId="982" w:customStyle="1">
    <w:name w:val="页脚1"/>
    <w:basedOn w:val="702"/>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寄信人地址1"/>
    <w:basedOn w:val="702"/>
    <w:uiPriority w:val="0"/>
    <w:qFormat/>
    <w:rPr>
      <w:rFonts w:ascii="Arial" w:hAnsi="Arial"/>
    </w:rPr>
  </w:style>
  <w:style w:type="paragraph" w:styleId="985" w:customStyle="1">
    <w:name w:val="页眉1"/>
    <w:basedOn w:val="702"/>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702"/>
    <w:next w:val="702"/>
    <w:uiPriority w:val="0"/>
    <w:qFormat/>
    <w:rPr>
      <w:rFonts w:ascii="Calibri" w:hAnsi="Calibri"/>
    </w:rPr>
  </w:style>
  <w:style w:type="paragraph" w:styleId="988" w:customStyle="1">
    <w:name w:val="目录 21"/>
    <w:basedOn w:val="702"/>
    <w:next w:val="702"/>
    <w:uiPriority w:val="0"/>
    <w:qFormat/>
    <w:pPr>
      <w:ind w:left="420"/>
    </w:pPr>
  </w:style>
  <w:style w:type="paragraph" w:styleId="989" w:customStyle="1">
    <w:name w:val="普通(网站)1"/>
    <w:basedOn w:val="702"/>
    <w:uiPriority w:val="0"/>
    <w:qFormat/>
    <w:pPr>
      <w:jc w:val="left"/>
    </w:pPr>
    <w:rPr>
      <w:rFonts w:ascii="Calibri" w:hAnsi="Calibri"/>
      <w:sz w:val="24"/>
      <w:szCs w:val="24"/>
    </w:rPr>
  </w:style>
  <w:style w:type="paragraph" w:styleId="990" w:customStyle="1">
    <w:name w:val="正文首行缩进1"/>
    <w:basedOn w:val="974"/>
    <w:next w:val="702"/>
    <w:uiPriority w:val="0"/>
    <w:qFormat/>
    <w:pPr>
      <w:ind w:firstLine="420"/>
    </w:pPr>
  </w:style>
  <w:style w:type="paragraph" w:styleId="991" w:customStyle="1">
    <w:name w:val="正文首行缩进 21"/>
    <w:basedOn w:val="975"/>
    <w:next w:val="990"/>
    <w:uiPriority w:val="0"/>
    <w:qFormat/>
    <w:pPr>
      <w:ind w:firstLine="420"/>
    </w:pPr>
    <w:rPr>
      <w:rFonts w:ascii="Times New Roman" w:cs="宋体"/>
      <w:szCs w:val="21"/>
    </w:rPr>
  </w:style>
  <w:style w:type="character" w:styleId="992" w:customStyle="1">
    <w:name w:val="要点1"/>
    <w:uiPriority w:val="0"/>
    <w:qFormat/>
    <w:rPr>
      <w:rFonts w:ascii="Times New Roman" w:hAnsi="Times New Roman" w:eastAsia="宋体" w:cs="Times New Roman"/>
      <w:b/>
    </w:rPr>
  </w:style>
  <w:style w:type="paragraph" w:styleId="993" w:customStyle="1">
    <w:name w:val="列出段落1"/>
    <w:basedOn w:val="702"/>
    <w:uiPriority w:val="0"/>
    <w:qFormat/>
    <w:pPr>
      <w:ind w:firstLine="420"/>
    </w:pPr>
  </w:style>
  <w:style w:type="paragraph" w:styleId="994" w:customStyle="1">
    <w:name w:val="普通正文"/>
    <w:basedOn w:val="779"/>
    <w:uiPriority w:val="0"/>
    <w:qFormat/>
    <w:pPr>
      <w:ind w:firstLine="480"/>
      <w:spacing w:before="120" w:after="120" w:line="360" w:lineRule="auto"/>
    </w:pPr>
    <w:rPr>
      <w:rFonts w:ascii="Arial" w:hAnsi="Arial"/>
      <w:szCs w:val="24"/>
    </w:rPr>
  </w:style>
  <w:style w:type="paragraph" w:styleId="995" w:customStyle="1">
    <w:name w:val="UserStyle_52"/>
    <w:basedOn w:val="702"/>
    <w:uiPriority w:val="0"/>
    <w:qFormat/>
    <w:pPr>
      <w:spacing w:line="240" w:lineRule="exact"/>
    </w:pPr>
    <w:rPr>
      <w:rFonts w:ascii="宋体" w:hAnsi="宋体"/>
      <w:lang w:val="zh-TW" w:eastAsia="zh-TW" w:bidi="zh-TW"/>
    </w:rPr>
  </w:style>
  <w:style w:type="character" w:styleId="996" w:customStyle="1">
    <w:name w:val="HtmlCite1"/>
    <w:uiPriority w:val="0"/>
    <w:qFormat/>
    <w:rPr>
      <w:rFonts w:ascii="Times New Roman" w:hAnsi="Times New Roman" w:eastAsia="宋体" w:cs="Times New Roman"/>
    </w:rPr>
  </w:style>
  <w:style w:type="paragraph" w:styleId="997" w:customStyle="1">
    <w:name w:val="Table Paragraph"/>
    <w:basedOn w:val="702"/>
    <w:uiPriority w:val="0"/>
    <w:qFormat/>
    <w:rPr>
      <w:rFonts w:ascii="宋体" w:hAnsi="宋体" w:cs="宋体"/>
      <w:sz w:val="22"/>
      <w:lang w:val="zh-CN" w:bidi="zh-CN"/>
    </w:rPr>
  </w:style>
  <w:style w:type="paragraph" w:styleId="998" w:customStyle="1">
    <w:name w:val="ListBullet21"/>
    <w:basedOn w:val="702"/>
    <w:uiPriority w:val="0"/>
    <w:qFormat/>
    <w:pPr>
      <w:numPr>
        <w:ilvl w:val="0"/>
        <w:numId w:val="2"/>
      </w:numPr>
    </w:pPr>
  </w:style>
  <w:style w:type="paragraph" w:styleId="999" w:customStyle="1">
    <w:name w:val="Char"/>
    <w:basedOn w:val="702"/>
    <w:uiPriority w:val="0"/>
    <w:qFormat/>
    <w:pPr>
      <w:ind w:firstLine="200"/>
      <w:tabs>
        <w:tab w:val="left" w:pos="360" w:leader="none"/>
      </w:tabs>
    </w:pPr>
    <w:rPr>
      <w:sz w:val="28"/>
      <w:szCs w:val="30"/>
    </w:rPr>
  </w:style>
  <w:style w:type="character" w:styleId="1000" w:customStyle="1">
    <w:name w:val="页脚 Char1"/>
    <w:uiPriority w:val="0"/>
    <w:qFormat/>
    <w:rPr>
      <w:rFonts w:ascii="Times New Roman" w:hAnsi="Times New Roman" w:eastAsia="宋体" w:cs="Times New Roman"/>
      <w:sz w:val="18"/>
      <w:szCs w:val="18"/>
    </w:rPr>
  </w:style>
  <w:style w:type="character" w:styleId="1001" w:customStyle="1">
    <w:name w:val="日期 Char1"/>
    <w:uiPriority w:val="0"/>
    <w:qFormat/>
    <w:rPr>
      <w:rFonts w:ascii="Times New Roman" w:hAnsi="Times New Roman" w:eastAsia="宋体" w:cs="Times New Roman"/>
    </w:rPr>
  </w:style>
  <w:style w:type="character" w:styleId="1002" w:customStyle="1">
    <w:name w:val="纯文本 Char1"/>
    <w:uiPriority w:val="0"/>
    <w:qFormat/>
    <w:rPr>
      <w:rFonts w:ascii="宋体" w:hAnsi="Courier New" w:eastAsia="宋体" w:cs="Courier New"/>
      <w:szCs w:val="21"/>
    </w:rPr>
  </w:style>
  <w:style w:type="character" w:styleId="1003" w:customStyle="1">
    <w:name w:val="页眉 Char1"/>
    <w:uiPriority w:val="0"/>
    <w:qFormat/>
    <w:rPr>
      <w:rFonts w:ascii="Times New Roman" w:hAnsi="Times New Roman" w:eastAsia="宋体" w:cs="Times New Roman"/>
      <w:sz w:val="18"/>
      <w:szCs w:val="18"/>
    </w:rPr>
  </w:style>
  <w:style w:type="paragraph" w:styleId="1004"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05" w:customStyle="1">
    <w:name w:val="正文空2格  1."/>
    <w:basedOn w:val="702"/>
    <w:uiPriority w:val="0"/>
    <w:qFormat/>
    <w:pPr>
      <w:ind w:firstLine="480"/>
    </w:pPr>
    <w:rPr>
      <w:rFonts w:cs="宋体"/>
      <w:sz w:val="28"/>
      <w:szCs w:val="20"/>
    </w:rPr>
  </w:style>
  <w:style w:type="paragraph" w:styleId="1006"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1007"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08" w:customStyle="1">
    <w:name w:val="标题 1 Char Char Char"/>
    <w:uiPriority w:val="0"/>
    <w:qFormat/>
    <w:rPr>
      <w:rFonts w:eastAsia="宋体"/>
      <w:b/>
      <w:bCs/>
      <w:sz w:val="44"/>
      <w:szCs w:val="44"/>
      <w:lang w:val="en-US" w:eastAsia="zh-CN" w:bidi="ar-SA"/>
    </w:rPr>
  </w:style>
  <w:style w:type="paragraph" w:styleId="1009"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10"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11" w:customStyle="1">
    <w:name w:val="正文_0_0"/>
    <w:basedOn w:val="1012"/>
    <w:uiPriority w:val="0"/>
    <w:qFormat/>
    <w:rPr>
      <w:szCs w:val="21"/>
    </w:rPr>
  </w:style>
  <w:style w:type="paragraph" w:styleId="101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13" w:customStyle="1">
    <w:name w:val="Normal_20"/>
    <w:link w:val="1014"/>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14" w:customStyle="1">
    <w:name w:val="Normal_20 Char"/>
    <w:link w:val="1013"/>
    <w:uiPriority w:val="0"/>
    <w:qFormat/>
    <w:rPr>
      <w:rFonts w:ascii="Times New Roman" w:hAnsi="Times New Roman" w:eastAsia="Calibri" w:cs="Times New Roman"/>
      <w:sz w:val="22"/>
      <w:szCs w:val="22"/>
      <w:lang w:val="en-US" w:eastAsia="en-US" w:bidi="ar-SA"/>
    </w:rPr>
  </w:style>
  <w:style w:type="paragraph" w:styleId="1015" w:customStyle="1">
    <w:name w:val="Body text|1"/>
    <w:basedOn w:val="702"/>
    <w:uiPriority w:val="0"/>
    <w:qFormat/>
    <w:pPr>
      <w:spacing w:after="220"/>
    </w:pPr>
    <w:rPr>
      <w:rFonts w:ascii="宋体" w:hAnsi="宋体" w:cs="宋体"/>
      <w:sz w:val="22"/>
      <w:lang w:val="zh-TW" w:eastAsia="zh-TW" w:bidi="zh-TW"/>
    </w:rPr>
  </w:style>
  <w:style w:type="character" w:styleId="1016" w:customStyle="1">
    <w:name w:val="font21"/>
    <w:basedOn w:val="712"/>
    <w:uiPriority w:val="0"/>
    <w:qFormat/>
    <w:rPr>
      <w:rFonts w:hint="eastAsia" w:ascii="宋体" w:hAnsi="宋体" w:eastAsia="宋体" w:cs="宋体"/>
      <w:color w:val="000000"/>
      <w:sz w:val="20"/>
      <w:szCs w:val="20"/>
      <w:u w:val="none"/>
    </w:rPr>
  </w:style>
  <w:style w:type="character" w:styleId="1017" w:customStyle="1">
    <w:name w:val="font31"/>
    <w:basedOn w:val="712"/>
    <w:uiPriority w:val="0"/>
    <w:qFormat/>
    <w:rPr>
      <w:rFonts w:hint="default" w:ascii="Times New Roman" w:hAnsi="Times New Roman" w:cs="Times New Roman"/>
      <w:color w:val="000000"/>
      <w:sz w:val="20"/>
      <w:szCs w:val="20"/>
      <w:u w:val="none"/>
    </w:rPr>
  </w:style>
  <w:style w:type="character" w:styleId="1018" w:customStyle="1">
    <w:name w:val="批注框文本 Char1"/>
    <w:basedOn w:val="712"/>
    <w:link w:val="726"/>
    <w:uiPriority w:val="99"/>
    <w:semiHidden/>
    <w:qFormat/>
    <w:rPr>
      <w:sz w:val="18"/>
      <w:szCs w:val="18"/>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7</cp:revision>
  <dcterms:created xsi:type="dcterms:W3CDTF">2025-12-24T02:44:00Z</dcterms:created>
  <dcterms:modified xsi:type="dcterms:W3CDTF">2026-01-07T11:33:31Z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773123B51F7442F288F71EF3FFB9A610_13</vt:lpwstr>
  </property>
  <property fmtid="{D5CDD505-2E9C-101B-9397-08002B2CF9AE}" pid="4" name="KSOTemplateDocerSaveRecord">
    <vt:lpwstr>eyJoZGlkIjoiZTVkNzQ3OWEyMTdhMmNjZTE0YWI3MmE4NDZlMmFlODAiLCJ1c2VySWQiOiI0MTk2MzY1OTUifQ==</vt:lpwstr>
  </property>
</Properties>
</file>