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none" w:color="000000" w:sz="0" w:space="0"/>
          <w:left w:val="none" w:color="000000" w:sz="0" w:space="0"/>
          <w:bottom w:val="none" w:color="000000" w:sz="0" w:space="0"/>
          <w:right w:val="none" w:color="000000" w:sz="0" w:space="0"/>
        </w:pBdr>
        <w:spacing w:before="240" w:after="240"/>
        <w:jc w:val="center"/>
      </w:pPr>
      <w:r>
        <w:rPr>
          <w:rFonts w:ascii="黑体" w:hAnsi="黑体" w:eastAsia="黑体" w:cs="黑体"/>
          <w:b/>
          <w:color w:val="000000"/>
          <w:sz w:val="84"/>
        </w:rPr>
        <w:t> </w:t>
      </w:r>
    </w:p>
    <w:p>
      <w:pPr>
        <w:pBdr>
          <w:top w:val="none" w:color="000000" w:sz="0" w:space="0"/>
          <w:left w:val="none" w:color="000000" w:sz="0" w:space="0"/>
          <w:bottom w:val="none" w:color="000000" w:sz="0" w:space="0"/>
          <w:right w:val="none" w:color="000000" w:sz="0" w:space="0"/>
        </w:pBdr>
        <w:spacing w:before="240" w:after="240"/>
        <w:jc w:val="center"/>
      </w:pPr>
      <w:r>
        <w:rPr>
          <w:rFonts w:ascii="黑体" w:hAnsi="黑体" w:eastAsia="黑体" w:cs="黑体"/>
          <w:b/>
          <w:color w:val="000000"/>
          <w:sz w:val="84"/>
        </w:rPr>
        <w:t>招　标　文　件</w:t>
      </w:r>
    </w:p>
    <w:p>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pPr>
        <w:pBdr>
          <w:top w:val="none" w:color="000000" w:sz="0" w:space="0"/>
          <w:left w:val="none" w:color="000000" w:sz="0" w:space="0"/>
          <w:bottom w:val="none" w:color="000000" w:sz="0" w:space="0"/>
          <w:right w:val="none" w:color="000000" w:sz="0" w:space="0"/>
        </w:pBdr>
        <w:spacing w:before="240" w:after="240"/>
        <w:jc w:val="center"/>
      </w:pPr>
      <w:r>
        <w:rPr>
          <w:rFonts w:eastAsia="Times New Roman"/>
          <w:color w:val="000000"/>
        </w:rPr>
        <w:t> </w:t>
      </w:r>
    </w:p>
    <w:p>
      <w:pPr>
        <w:pBdr>
          <w:top w:val="none" w:color="000000" w:sz="0" w:space="0"/>
          <w:left w:val="none" w:color="000000" w:sz="0" w:space="0"/>
          <w:bottom w:val="none" w:color="000000" w:sz="0" w:space="0"/>
          <w:right w:val="none" w:color="000000" w:sz="0" w:space="0"/>
        </w:pBdr>
        <w:spacing w:before="240" w:after="240"/>
        <w:ind w:left="1606" w:hanging="1606"/>
        <w:rPr>
          <w:rFonts w:ascii="宋体" w:hAnsi="宋体" w:cs="宋体"/>
          <w:b/>
          <w:color w:val="000000"/>
          <w:sz w:val="32"/>
        </w:rPr>
      </w:pPr>
      <w:r>
        <w:rPr>
          <w:rFonts w:ascii="宋体" w:hAnsi="宋体" w:cs="宋体"/>
          <w:b/>
          <w:color w:val="000000"/>
          <w:sz w:val="32"/>
        </w:rPr>
        <w:t>项目名称：</w:t>
      </w:r>
      <w:r>
        <w:rPr>
          <w:rFonts w:hint="eastAsia" w:ascii="宋体" w:hAnsi="宋体" w:cs="宋体"/>
          <w:b/>
          <w:color w:val="000000"/>
          <w:sz w:val="32"/>
        </w:rPr>
        <w:t>扬州市人力资源和社会保障局扬州“人才码”二期建设</w:t>
      </w:r>
      <w:r>
        <w:rPr>
          <w:rFonts w:ascii="宋体" w:hAnsi="宋体" w:cs="宋体"/>
          <w:b/>
          <w:color w:val="000000"/>
          <w:sz w:val="32"/>
        </w:rPr>
        <w:t>项目</w:t>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项目编号：</w:t>
      </w:r>
      <w:r>
        <w:rPr>
          <w:rFonts w:ascii="宋体" w:hAnsi="宋体" w:cs="宋体"/>
          <w:b/>
          <w:color w:val="000000" w:themeColor="text1"/>
          <w:sz w:val="32"/>
          <w14:textFill>
            <w14:solidFill>
              <w14:schemeClr w14:val="tx1"/>
            </w14:solidFill>
          </w14:textFill>
        </w:rPr>
        <w:t>JSZC-321000-JZCG-G202</w:t>
      </w:r>
      <w:r>
        <w:rPr>
          <w:rFonts w:hint="eastAsia" w:ascii="宋体" w:hAnsi="宋体" w:cs="宋体"/>
          <w:b/>
          <w:color w:val="000000" w:themeColor="text1"/>
          <w:sz w:val="32"/>
          <w:lang w:val="en-US" w:eastAsia="zh-CN"/>
          <w14:textFill>
            <w14:solidFill>
              <w14:schemeClr w14:val="tx1"/>
            </w14:solidFill>
          </w14:textFill>
        </w:rPr>
        <w:t>6</w:t>
      </w:r>
      <w:r>
        <w:rPr>
          <w:rFonts w:ascii="宋体" w:hAnsi="宋体" w:cs="宋体"/>
          <w:b/>
          <w:color w:val="000000" w:themeColor="text1"/>
          <w:sz w:val="32"/>
          <w14:textFill>
            <w14:solidFill>
              <w14:schemeClr w14:val="tx1"/>
            </w14:solidFill>
          </w14:textFill>
        </w:rPr>
        <w:t>-</w:t>
      </w:r>
      <w:r>
        <w:rPr>
          <w:rFonts w:hint="eastAsia" w:ascii="宋体" w:hAnsi="宋体" w:cs="宋体"/>
          <w:b/>
          <w:color w:val="000000" w:themeColor="text1"/>
          <w:sz w:val="32"/>
          <w14:textFill>
            <w14:solidFill>
              <w14:schemeClr w14:val="tx1"/>
            </w14:solidFill>
          </w14:textFill>
        </w:rPr>
        <w:t>0</w:t>
      </w:r>
      <w:r>
        <w:rPr>
          <w:rFonts w:hint="eastAsia" w:ascii="宋体" w:hAnsi="宋体" w:cs="宋体"/>
          <w:b/>
          <w:color w:val="000000" w:themeColor="text1"/>
          <w:sz w:val="32"/>
          <w:lang w:val="en-US" w:eastAsia="zh-CN"/>
          <w14:textFill>
            <w14:solidFill>
              <w14:schemeClr w14:val="tx1"/>
            </w14:solidFill>
          </w14:textFill>
        </w:rPr>
        <w:t>001</w:t>
      </w:r>
      <w:r>
        <w:rPr>
          <w:rFonts w:ascii="宋体" w:hAnsi="宋体" w:cs="宋体"/>
          <w:b/>
          <w:color w:val="000000" w:themeColor="text1"/>
          <w:sz w:val="24"/>
          <w14:textFill>
            <w14:solidFill>
              <w14:schemeClr w14:val="tx1"/>
            </w14:solidFill>
          </w14:textFill>
        </w:rPr>
        <w:t> </w:t>
      </w:r>
    </w:p>
    <w:p>
      <w:pPr>
        <w:pBdr>
          <w:top w:val="none" w:color="000000" w:sz="0" w:space="0"/>
          <w:left w:val="none" w:color="000000" w:sz="0" w:space="0"/>
          <w:bottom w:val="none" w:color="000000" w:sz="0" w:space="0"/>
          <w:right w:val="none" w:color="000000" w:sz="0" w:space="0"/>
        </w:pBdr>
        <w:ind w:firstLine="1285"/>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jc w:val="center"/>
      </w:pPr>
      <w:r>
        <w:rPr>
          <w:rFonts w:ascii="宋体" w:hAnsi="宋体" w:cs="宋体"/>
          <w:color w:val="000000"/>
        </w:rPr>
        <w:t>     </w:t>
      </w:r>
      <w:r>
        <w:rPr>
          <w:rFonts w:ascii="宋体" w:hAnsi="宋体" w:cs="宋体"/>
          <w:b/>
          <w:color w:val="000000"/>
          <w:sz w:val="30"/>
        </w:rPr>
        <w:t>   </w:t>
      </w:r>
      <w:r>
        <w:rPr>
          <w:rFonts w:eastAsia="Times New Roman"/>
          <w:color w:val="000000"/>
        </w:rPr>
        <w:t>  </w:t>
      </w:r>
      <w:r>
        <w:rPr>
          <w:rFonts w:eastAsia="Times New Roman"/>
          <w:b/>
          <w:color w:val="000000"/>
          <w:sz w:val="30"/>
        </w:rPr>
        <w:t> </w:t>
      </w:r>
    </w:p>
    <w:p>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rPr>
          <w:rFonts w:ascii="宋体" w:hAnsi="宋体" w:cs="宋体"/>
          <w:color w:val="000000"/>
          <w:sz w:val="24"/>
        </w:rPr>
      </w:pP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before="240" w:after="240"/>
        <w:jc w:val="center"/>
      </w:pPr>
      <w:r>
        <w:rPr>
          <w:rFonts w:ascii="宋体" w:hAnsi="宋体" w:cs="宋体"/>
          <w:b/>
          <w:color w:val="000000"/>
          <w:sz w:val="32"/>
        </w:rPr>
        <w:t>扬州市公共资源交易中心</w:t>
      </w:r>
    </w:p>
    <w:p>
      <w:pPr>
        <w:pBdr>
          <w:top w:val="none" w:color="000000" w:sz="0" w:space="0"/>
          <w:left w:val="none" w:color="000000" w:sz="0" w:space="0"/>
          <w:bottom w:val="none" w:color="000000" w:sz="0" w:space="0"/>
          <w:right w:val="none" w:color="000000" w:sz="0" w:space="0"/>
        </w:pBdr>
        <w:spacing w:before="240" w:after="240"/>
        <w:jc w:val="center"/>
        <w:rPr>
          <w:color w:val="000000" w:themeColor="text1"/>
          <w14:textFill>
            <w14:solidFill>
              <w14:schemeClr w14:val="tx1"/>
            </w14:solidFill>
          </w14:textFill>
        </w:rPr>
      </w:pPr>
      <w:r>
        <w:rPr>
          <w:rFonts w:ascii="宋体" w:hAnsi="宋体" w:cs="宋体"/>
          <w:b/>
          <w:color w:val="000000" w:themeColor="text1"/>
          <w:sz w:val="32"/>
          <w:u w:val="single"/>
          <w14:textFill>
            <w14:solidFill>
              <w14:schemeClr w14:val="tx1"/>
            </w14:solidFill>
          </w14:textFill>
        </w:rPr>
        <w:t>202</w:t>
      </w:r>
      <w:r>
        <w:rPr>
          <w:rFonts w:hint="eastAsia" w:ascii="宋体" w:hAnsi="宋体" w:cs="宋体"/>
          <w:b/>
          <w:color w:val="000000" w:themeColor="text1"/>
          <w:sz w:val="32"/>
          <w:u w:val="single"/>
          <w:lang w:val="en-US" w:eastAsia="zh-CN"/>
          <w14:textFill>
            <w14:solidFill>
              <w14:schemeClr w14:val="tx1"/>
            </w14:solidFill>
          </w14:textFill>
        </w:rPr>
        <w:t>6</w:t>
      </w:r>
      <w:r>
        <w:rPr>
          <w:rFonts w:ascii="宋体" w:hAnsi="宋体" w:cs="宋体"/>
          <w:b/>
          <w:color w:val="000000" w:themeColor="text1"/>
          <w:sz w:val="32"/>
          <w14:textFill>
            <w14:solidFill>
              <w14:schemeClr w14:val="tx1"/>
            </w14:solidFill>
          </w14:textFill>
        </w:rPr>
        <w:t>年</w:t>
      </w:r>
      <w:r>
        <w:rPr>
          <w:rFonts w:hint="eastAsia" w:ascii="宋体" w:hAnsi="宋体" w:cs="宋体"/>
          <w:b/>
          <w:color w:val="000000" w:themeColor="text1"/>
          <w:sz w:val="32"/>
          <w:u w:val="single"/>
          <w:lang w:val="en-US" w:eastAsia="zh-CN"/>
          <w14:textFill>
            <w14:solidFill>
              <w14:schemeClr w14:val="tx1"/>
            </w14:solidFill>
          </w14:textFill>
        </w:rPr>
        <w:t>01</w:t>
      </w:r>
      <w:r>
        <w:rPr>
          <w:rFonts w:ascii="宋体" w:hAnsi="宋体" w:cs="宋体"/>
          <w:b/>
          <w:color w:val="000000" w:themeColor="text1"/>
          <w:sz w:val="32"/>
          <w14:textFill>
            <w14:solidFill>
              <w14:schemeClr w14:val="tx1"/>
            </w14:solidFill>
          </w14:textFill>
        </w:rPr>
        <w:t>月</w:t>
      </w:r>
    </w:p>
    <w:p>
      <w:pPr>
        <w:pBdr>
          <w:top w:val="none" w:color="000000" w:sz="0" w:space="0"/>
          <w:left w:val="none" w:color="000000" w:sz="0" w:space="0"/>
          <w:bottom w:val="none" w:color="000000" w:sz="0" w:space="0"/>
          <w:right w:val="none" w:color="000000" w:sz="0" w:space="0"/>
        </w:pBdr>
        <w:spacing w:before="240" w:after="240"/>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pPr>
      <w:r>
        <w:rPr/>
        <w:br w:type="page" w:clear="all"/>
      </w:r>
    </w:p>
    <w:p>
      <w:pPr>
        <w:pBdr>
          <w:top w:val="none" w:color="000000" w:sz="0" w:space="0"/>
          <w:left w:val="none" w:color="000000" w:sz="0" w:space="0"/>
          <w:bottom w:val="none" w:color="000000" w:sz="0" w:space="0"/>
          <w:right w:val="none" w:color="000000" w:sz="0" w:space="0"/>
        </w:pBdr>
        <w:jc w:val="center"/>
      </w:pPr>
      <w:r>
        <w:rPr>
          <w:rFonts w:ascii="黑体" w:hAnsi="黑体" w:eastAsia="黑体" w:cs="黑体"/>
          <w:b/>
          <w:color w:val="000000"/>
          <w:sz w:val="44"/>
        </w:rPr>
        <w:t>总目录</w:t>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w:t>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投标邀请……………………………………3</w:t>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投标人须知…………………………………6</w:t>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合同文本……………………………………15</w:t>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采购需求……………………………………19</w:t>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评标方法与评标标准………………………49</w:t>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投标文件格式………………………………55</w:t>
      </w:r>
    </w:p>
    <w:p>
      <w:pPr>
        <w:pBdr>
          <w:top w:val="none" w:color="000000" w:sz="0" w:space="0"/>
          <w:left w:val="none" w:color="000000" w:sz="0" w:space="0"/>
          <w:bottom w:val="none" w:color="000000" w:sz="0" w:space="0"/>
          <w:right w:val="none" w:color="000000" w:sz="0" w:space="0"/>
        </w:pBdr>
        <w:spacing w:before="210" w:after="57"/>
      </w:pP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spacing w:before="240" w:after="240"/>
      </w:pPr>
      <w:r>
        <w:rPr>
          <w:rFonts w:eastAsia="Times New Roman"/>
          <w:color w:val="000000"/>
        </w:rPr>
        <w:t> </w:t>
      </w:r>
    </w:p>
    <w:p>
      <w:pPr>
        <w:pBdr>
          <w:top w:val="none" w:color="000000" w:sz="0" w:space="0"/>
          <w:left w:val="none" w:color="000000" w:sz="0" w:space="0"/>
          <w:bottom w:val="none" w:color="000000" w:sz="0" w:space="0"/>
          <w:right w:val="none" w:color="000000" w:sz="0" w:space="0"/>
        </w:pBdr>
        <w:spacing w:before="240" w:after="240"/>
      </w:pPr>
      <w:r>
        <w:rPr>
          <w:rFonts w:ascii="黑体" w:hAnsi="黑体" w:eastAsia="黑体" w:cs="黑体"/>
          <w:color w:val="000000"/>
          <w:sz w:val="44"/>
        </w:rPr>
        <w:t> </w:t>
      </w:r>
    </w:p>
    <w:p>
      <w:pPr>
        <w:pBdr>
          <w:top w:val="none" w:color="000000" w:sz="0" w:space="0"/>
          <w:left w:val="none" w:color="000000" w:sz="0" w:space="0"/>
          <w:bottom w:val="none" w:color="000000" w:sz="0" w:space="0"/>
          <w:right w:val="none" w:color="000000" w:sz="0" w:space="0"/>
        </w:pBdr>
        <w:spacing w:before="240" w:after="240"/>
      </w:pPr>
      <w:r>
        <w:rPr>
          <w:rFonts w:ascii="黑体" w:hAnsi="黑体" w:eastAsia="黑体" w:cs="黑体"/>
          <w:color w:val="000000"/>
          <w:sz w:val="44"/>
        </w:rPr>
        <w:t> </w:t>
      </w:r>
    </w:p>
    <w:p>
      <w:pPr>
        <w:pStyle w:val="2"/>
        <w:rPr>
          <w:rFonts w:hint="eastAsia"/>
        </w:rPr>
      </w:pPr>
      <w:r>
        <w:rPr>
          <w:rStyle w:val="245"/>
          <w:rFonts w:ascii="黑体" w:hAnsi="黑体" w:cs="黑体"/>
        </w:rPr>
        <w:t>第一章 投标邀请</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受</w:t>
      </w:r>
      <w:r>
        <w:rPr>
          <w:rFonts w:hint="eastAsia" w:ascii="宋体" w:hAnsi="宋体" w:cs="宋体"/>
          <w:color w:val="000000" w:themeColor="text1"/>
          <w:sz w:val="24"/>
          <w14:textFill>
            <w14:solidFill>
              <w14:schemeClr w14:val="tx1"/>
            </w14:solidFill>
          </w14:textFill>
        </w:rPr>
        <w:t>扬州市人力资源和社会保障局</w:t>
      </w:r>
      <w:r>
        <w:rPr>
          <w:rFonts w:ascii="宋体" w:hAnsi="宋体" w:cs="宋体"/>
          <w:color w:val="000000"/>
          <w:sz w:val="24"/>
        </w:rPr>
        <w:t>的委托，扬州市公共资源交易中心就</w:t>
      </w:r>
      <w:r>
        <w:rPr>
          <w:rFonts w:hint="eastAsia" w:ascii="宋体" w:hAnsi="宋体" w:cs="宋体"/>
          <w:color w:val="000000" w:themeColor="text1"/>
          <w:sz w:val="24"/>
          <w14:textFill>
            <w14:solidFill>
              <w14:schemeClr w14:val="tx1"/>
            </w14:solidFill>
          </w14:textFill>
        </w:rPr>
        <w:t>扬州市人力资源和社会保障局扬州“人才码”二期建设</w:t>
      </w:r>
      <w:r>
        <w:rPr>
          <w:rFonts w:ascii="宋体" w:hAnsi="宋体" w:cs="宋体"/>
          <w:color w:val="000000" w:themeColor="text1"/>
          <w:sz w:val="24"/>
          <w14:textFill>
            <w14:solidFill>
              <w14:schemeClr w14:val="tx1"/>
            </w14:solidFill>
          </w14:textFill>
        </w:rPr>
        <w:t>项目(</w:t>
      </w:r>
      <w:r>
        <w:rPr>
          <w:rFonts w:ascii="宋体" w:hAnsi="宋体" w:cs="宋体"/>
          <w:color w:val="000000"/>
          <w:sz w:val="24"/>
        </w:rPr>
        <w:t>项目编号：</w:t>
      </w:r>
      <w:r>
        <w:rPr>
          <w:rFonts w:ascii="宋体" w:hAnsi="宋体" w:cs="宋体"/>
          <w:color w:val="000000" w:themeColor="text1"/>
          <w:sz w:val="24"/>
          <w14:textFill>
            <w14:solidFill>
              <w14:schemeClr w14:val="tx1"/>
            </w14:solidFill>
          </w14:textFill>
        </w:rPr>
        <w:t>JSZC-321000-JZCG-G202</w:t>
      </w:r>
      <w:r>
        <w:rPr>
          <w:rFonts w:hint="eastAsia" w:ascii="宋体" w:hAnsi="宋体" w:cs="宋体"/>
          <w:color w:val="000000" w:themeColor="text1"/>
          <w:sz w:val="24"/>
          <w:lang w:val="en-US" w:eastAsia="zh-CN"/>
          <w14:textFill>
            <w14:solidFill>
              <w14:schemeClr w14:val="tx1"/>
            </w14:solidFill>
          </w14:textFill>
        </w:rPr>
        <w:t>6</w:t>
      </w:r>
      <w:r>
        <w:rPr>
          <w:rFonts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0</w:t>
      </w:r>
      <w:r>
        <w:rPr>
          <w:rFonts w:hint="eastAsia" w:ascii="宋体" w:hAnsi="宋体" w:cs="宋体"/>
          <w:color w:val="000000" w:themeColor="text1"/>
          <w:sz w:val="24"/>
          <w:lang w:val="en-US" w:eastAsia="zh-CN"/>
          <w14:textFill>
            <w14:solidFill>
              <w14:schemeClr w14:val="tx1"/>
            </w14:solidFill>
          </w14:textFill>
        </w:rPr>
        <w:t>001</w:t>
      </w:r>
      <w:r>
        <w:rPr>
          <w:rFonts w:ascii="宋体" w:hAnsi="宋体" w:cs="宋体"/>
          <w:color w:val="000000"/>
          <w:sz w:val="24"/>
        </w:rPr>
        <w:t>)项目进行公开招标采购，欢迎符合条件的供应商投标。</w:t>
      </w:r>
    </w:p>
    <w:p>
      <w:pPr>
        <w:pBdr>
          <w:top w:val="single" w:color="000000" w:sz="4" w:space="0"/>
          <w:left w:val="single" w:color="000000" w:sz="4" w:space="0"/>
          <w:bottom w:val="single" w:color="000000" w:sz="4" w:space="0"/>
          <w:right w:val="single" w:color="000000" w:sz="4" w:space="0"/>
        </w:pBdr>
        <w:spacing w:line="400" w:lineRule="atLeast"/>
        <w:ind w:firstLine="480"/>
      </w:pPr>
      <w:r>
        <w:rPr>
          <w:rFonts w:ascii="宋体" w:hAnsi="宋体" w:cs="宋体"/>
          <w:color w:val="000000"/>
          <w:sz w:val="24"/>
        </w:rPr>
        <w:t>项目概况</w:t>
      </w:r>
    </w:p>
    <w:p>
      <w:pPr>
        <w:pBdr>
          <w:top w:val="single" w:color="000000" w:sz="4" w:space="0"/>
          <w:left w:val="single" w:color="000000" w:sz="4" w:space="0"/>
          <w:bottom w:val="single" w:color="000000" w:sz="4" w:space="0"/>
          <w:right w:val="single" w:color="000000" w:sz="4" w:space="0"/>
        </w:pBdr>
        <w:spacing w:line="400" w:lineRule="atLeast"/>
        <w:ind w:firstLine="480"/>
      </w:pPr>
      <w:r>
        <w:rPr>
          <w:rFonts w:hint="eastAsia" w:ascii="宋体" w:hAnsi="宋体" w:cs="宋体"/>
          <w:color w:val="000000" w:themeColor="text1"/>
          <w:sz w:val="24"/>
          <w14:textFill>
            <w14:solidFill>
              <w14:schemeClr w14:val="tx1"/>
            </w14:solidFill>
          </w14:textFill>
        </w:rPr>
        <w:t>扬州市人力资源和社会保障局扬州“人才码”二期建设</w:t>
      </w:r>
      <w:r>
        <w:rPr>
          <w:rFonts w:ascii="宋体" w:hAnsi="宋体" w:cs="宋体"/>
          <w:color w:val="000000" w:themeColor="text1"/>
          <w:sz w:val="24"/>
          <w14:textFill>
            <w14:solidFill>
              <w14:schemeClr w14:val="tx1"/>
            </w14:solidFill>
          </w14:textFill>
        </w:rPr>
        <w:t>项目的</w:t>
      </w:r>
      <w:r>
        <w:rPr>
          <w:rFonts w:ascii="宋体" w:hAnsi="宋体" w:cs="宋体"/>
          <w:color w:val="000000"/>
          <w:sz w:val="24"/>
        </w:rPr>
        <w:t>潜在投标人可在</w:t>
      </w:r>
      <w:r>
        <w:rPr>
          <w:rFonts w:ascii="宋体" w:hAnsi="宋体" w:cs="宋体"/>
          <w:color w:val="000000"/>
          <w:sz w:val="24"/>
          <w:u w:val="single"/>
        </w:rPr>
        <w:t>“江苏政府采购网”“扬州市政府采购网”</w:t>
      </w:r>
      <w:r>
        <w:rPr>
          <w:rFonts w:ascii="宋体" w:hAnsi="宋体" w:cs="宋体"/>
          <w:color w:val="000000"/>
          <w:sz w:val="24"/>
        </w:rPr>
        <w:t>自行免费下载招标文件，并于</w:t>
      </w:r>
      <w:r>
        <w:rPr>
          <w:rFonts w:ascii="宋体" w:hAnsi="宋体" w:cs="宋体"/>
          <w:color w:val="000000" w:themeColor="text1"/>
          <w:sz w:val="24"/>
          <w:u w:val="single"/>
          <w14:textFill>
            <w14:solidFill>
              <w14:schemeClr w14:val="tx1"/>
            </w14:solidFill>
          </w14:textFill>
        </w:rPr>
        <w:t>202</w:t>
      </w:r>
      <w:r>
        <w:rPr>
          <w:rFonts w:hint="eastAsia" w:ascii="宋体" w:hAnsi="宋体" w:cs="宋体"/>
          <w:color w:val="000000" w:themeColor="text1"/>
          <w:sz w:val="24"/>
          <w:u w:val="single"/>
          <w:lang w:val="en-US" w:eastAsia="zh-CN"/>
          <w14:textFill>
            <w14:solidFill>
              <w14:schemeClr w14:val="tx1"/>
            </w14:solidFill>
          </w14:textFill>
        </w:rPr>
        <w:t>6</w:t>
      </w:r>
      <w:r>
        <w:rPr>
          <w:rFonts w:ascii="宋体" w:hAnsi="宋体" w:cs="宋体"/>
          <w:color w:val="000000" w:themeColor="text1"/>
          <w:sz w:val="24"/>
          <w:u w:val="single"/>
          <w14:textFill>
            <w14:solidFill>
              <w14:schemeClr w14:val="tx1"/>
            </w14:solidFill>
          </w14:textFill>
        </w:rPr>
        <w:t>年</w:t>
      </w:r>
      <w:r>
        <w:rPr>
          <w:rFonts w:hint="eastAsia" w:ascii="宋体" w:hAnsi="宋体" w:cs="宋体"/>
          <w:color w:val="000000" w:themeColor="text1"/>
          <w:sz w:val="24"/>
          <w:u w:val="single"/>
          <w:lang w:val="en-US" w:eastAsia="zh-CN"/>
          <w14:textFill>
            <w14:solidFill>
              <w14:schemeClr w14:val="tx1"/>
            </w14:solidFill>
          </w14:textFill>
        </w:rPr>
        <w:t>01</w:t>
      </w:r>
      <w:r>
        <w:rPr>
          <w:rFonts w:ascii="宋体" w:hAnsi="宋体" w:cs="宋体"/>
          <w:color w:val="000000" w:themeColor="text1"/>
          <w:sz w:val="24"/>
          <w:u w:val="single"/>
          <w14:textFill>
            <w14:solidFill>
              <w14:schemeClr w14:val="tx1"/>
            </w14:solidFill>
          </w14:textFill>
        </w:rPr>
        <w:t>月</w:t>
      </w:r>
      <w:r>
        <w:rPr>
          <w:rFonts w:hint="eastAsia" w:ascii="宋体" w:hAnsi="宋体" w:cs="宋体"/>
          <w:color w:val="000000" w:themeColor="text1"/>
          <w:sz w:val="24"/>
          <w:u w:val="single"/>
          <w:lang w:val="en-US" w:eastAsia="zh-CN"/>
          <w14:textFill>
            <w14:solidFill>
              <w14:schemeClr w14:val="tx1"/>
            </w14:solidFill>
          </w14:textFill>
        </w:rPr>
        <w:t xml:space="preserve"> 27 </w:t>
      </w:r>
      <w:r>
        <w:rPr>
          <w:rFonts w:ascii="宋体" w:hAnsi="宋体" w:cs="宋体"/>
          <w:color w:val="000000" w:themeColor="text1"/>
          <w:sz w:val="24"/>
          <w:u w:val="single"/>
          <w14:textFill>
            <w14:solidFill>
              <w14:schemeClr w14:val="tx1"/>
            </w14:solidFill>
          </w14:textFill>
        </w:rPr>
        <w:t>日9点30分</w:t>
      </w:r>
      <w:r>
        <w:rPr>
          <w:rFonts w:ascii="宋体" w:hAnsi="宋体" w:cs="宋体"/>
          <w:color w:val="000000"/>
          <w:sz w:val="24"/>
          <w:u w:val="single"/>
        </w:rPr>
        <w:t>（</w:t>
      </w:r>
      <w:r>
        <w:rPr>
          <w:rFonts w:ascii="宋体" w:hAnsi="宋体" w:cs="宋体"/>
          <w:color w:val="000000"/>
          <w:sz w:val="24"/>
        </w:rPr>
        <w:t>北京时间）前递交投标文件。</w:t>
      </w:r>
    </w:p>
    <w:p>
      <w:pPr>
        <w:pBdr>
          <w:top w:val="none" w:color="000000" w:sz="0" w:space="0"/>
          <w:left w:val="none" w:color="000000" w:sz="0" w:space="0"/>
          <w:bottom w:val="none" w:color="000000" w:sz="0" w:space="0"/>
          <w:right w:val="none" w:color="000000" w:sz="0" w:space="0"/>
        </w:pBdr>
        <w:spacing w:before="145" w:after="145" w:line="400" w:lineRule="atLeast"/>
        <w:ind w:firstLine="498"/>
      </w:pPr>
      <w:r>
        <w:rPr>
          <w:rFonts w:ascii="宋体" w:hAnsi="宋体" w:cs="宋体"/>
          <w:b/>
          <w:color w:val="000000"/>
          <w:sz w:val="32"/>
        </w:rPr>
        <w:t>一、项目基本情况</w:t>
      </w:r>
    </w:p>
    <w:p>
      <w:pPr>
        <w:pBdr>
          <w:top w:val="none" w:color="000000" w:sz="0" w:space="0"/>
          <w:left w:val="none" w:color="000000" w:sz="0" w:space="0"/>
          <w:bottom w:val="none" w:color="000000" w:sz="0" w:space="0"/>
          <w:right w:val="none" w:color="000000" w:sz="0" w:space="0"/>
        </w:pBdr>
        <w:spacing w:line="400" w:lineRule="atLeast"/>
        <w:ind w:firstLine="480"/>
        <w:rPr>
          <w:rFonts w:hint="default" w:eastAsia="宋体"/>
          <w:lang w:val="en-US" w:eastAsia="zh-CN"/>
        </w:rPr>
      </w:pPr>
      <w:r>
        <w:rPr>
          <w:rFonts w:ascii="宋体" w:hAnsi="宋体" w:cs="宋体"/>
          <w:color w:val="000000"/>
          <w:sz w:val="24"/>
        </w:rPr>
        <w:t>1.项目编号：</w:t>
      </w:r>
      <w:r>
        <w:rPr>
          <w:rFonts w:ascii="宋体" w:hAnsi="宋体" w:cs="宋体"/>
          <w:color w:val="000000" w:themeColor="text1"/>
          <w:sz w:val="24"/>
          <w14:textFill>
            <w14:solidFill>
              <w14:schemeClr w14:val="tx1"/>
            </w14:solidFill>
          </w14:textFill>
        </w:rPr>
        <w:t>JSZC-321000-JZCG-G202</w:t>
      </w:r>
      <w:r>
        <w:rPr>
          <w:rFonts w:hint="eastAsia" w:ascii="宋体" w:hAnsi="宋体" w:cs="宋体"/>
          <w:color w:val="000000" w:themeColor="text1"/>
          <w:sz w:val="24"/>
          <w:lang w:val="en-US" w:eastAsia="zh-CN"/>
          <w14:textFill>
            <w14:solidFill>
              <w14:schemeClr w14:val="tx1"/>
            </w14:solidFill>
          </w14:textFill>
        </w:rPr>
        <w:t>6</w:t>
      </w:r>
      <w:r>
        <w:rPr>
          <w:rFonts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0</w:t>
      </w:r>
      <w:r>
        <w:rPr>
          <w:rFonts w:hint="eastAsia" w:ascii="宋体" w:hAnsi="宋体" w:cs="宋体"/>
          <w:color w:val="000000" w:themeColor="text1"/>
          <w:sz w:val="24"/>
          <w:lang w:val="en-US" w:eastAsia="zh-CN"/>
          <w14:textFill>
            <w14:solidFill>
              <w14:schemeClr w14:val="tx1"/>
            </w14:solidFill>
          </w14:textFill>
        </w:rPr>
        <w:t>001</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2.项目名称：</w:t>
      </w:r>
      <w:r>
        <w:rPr>
          <w:rFonts w:hint="eastAsia" w:ascii="宋体" w:hAnsi="宋体" w:cs="宋体"/>
          <w:color w:val="000000" w:themeColor="text1"/>
          <w:sz w:val="24"/>
          <w14:textFill>
            <w14:solidFill>
              <w14:schemeClr w14:val="tx1"/>
            </w14:solidFill>
          </w14:textFill>
        </w:rPr>
        <w:t>扬州市人力资源和社会保障局扬州“人才码”二期建设</w:t>
      </w:r>
      <w:r>
        <w:rPr>
          <w:rFonts w:ascii="宋体" w:hAnsi="宋体" w:cs="宋体"/>
          <w:color w:val="000000" w:themeColor="text1"/>
          <w:sz w:val="24"/>
          <w14:textFill>
            <w14:solidFill>
              <w14:schemeClr w14:val="tx1"/>
            </w14:solidFill>
          </w14:textFill>
        </w:rPr>
        <w:t>项目</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3.预算金额：</w:t>
      </w:r>
    </w:p>
    <w:tbl>
      <w:tblPr>
        <w:tblStyle w:val="56"/>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691"/>
        <w:gridCol w:w="7230"/>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691" w:type="dxa"/>
            <w:tcBorders>
              <w:top w:val="single" w:color="000000" w:sz="8" w:space="0"/>
              <w:left w:val="single" w:color="000000" w:sz="8" w:space="0"/>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采购包号</w:t>
            </w:r>
          </w:p>
        </w:tc>
        <w:tc>
          <w:tcPr>
            <w:tcW w:w="7230" w:type="dxa"/>
            <w:tcBorders>
              <w:top w:val="single" w:color="000000" w:sz="8" w:space="0"/>
              <w:left w:val="nil"/>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预算金额（人民币：万元）</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69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72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color w:val="000000"/>
                <w:sz w:val="24"/>
              </w:rPr>
              <w:t>162.4</w:t>
            </w:r>
            <w:r>
              <w:rPr>
                <w:rFonts w:ascii="宋体" w:hAnsi="宋体" w:cs="宋体"/>
                <w:color w:val="000000"/>
                <w:sz w:val="24"/>
              </w:rPr>
              <w:t>万元</w:t>
            </w:r>
          </w:p>
        </w:tc>
      </w:tr>
    </w:tbl>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4.最高限价：</w:t>
      </w:r>
    </w:p>
    <w:tbl>
      <w:tblPr>
        <w:tblStyle w:val="56"/>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691"/>
        <w:gridCol w:w="3261"/>
        <w:gridCol w:w="3969"/>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691" w:type="dxa"/>
            <w:tcBorders>
              <w:top w:val="single" w:color="000000" w:sz="8" w:space="0"/>
              <w:left w:val="single" w:color="000000" w:sz="8" w:space="0"/>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采购包号</w:t>
            </w:r>
          </w:p>
        </w:tc>
        <w:tc>
          <w:tcPr>
            <w:tcW w:w="3261" w:type="dxa"/>
            <w:tcBorders>
              <w:top w:val="single" w:color="000000" w:sz="8" w:space="0"/>
              <w:left w:val="nil"/>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是否设定最高限价（是/否）</w:t>
            </w:r>
          </w:p>
        </w:tc>
        <w:tc>
          <w:tcPr>
            <w:tcW w:w="3969" w:type="dxa"/>
            <w:tcBorders>
              <w:top w:val="single" w:color="000000" w:sz="8" w:space="0"/>
              <w:left w:val="nil"/>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最高限价（人民币：万元）</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69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32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是</w:t>
            </w:r>
          </w:p>
        </w:tc>
        <w:tc>
          <w:tcPr>
            <w:tcW w:w="396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color w:val="000000"/>
                <w:sz w:val="24"/>
              </w:rPr>
              <w:t>162.4</w:t>
            </w:r>
            <w:r>
              <w:rPr>
                <w:rFonts w:ascii="宋体" w:hAnsi="宋体" w:cs="宋体"/>
                <w:color w:val="000000"/>
                <w:sz w:val="24"/>
              </w:rPr>
              <w:t>万元</w:t>
            </w:r>
          </w:p>
        </w:tc>
      </w:tr>
    </w:tbl>
    <w:p>
      <w:pPr>
        <w:spacing w:line="360" w:lineRule="auto"/>
        <w:ind w:firstLine="480"/>
      </w:pPr>
      <w:r>
        <w:rPr>
          <w:rFonts w:ascii="宋体" w:hAnsi="宋体" w:cs="宋体"/>
          <w:color w:val="000000"/>
          <w:sz w:val="24"/>
        </w:rPr>
        <w:t>5.采购需求（简介）：</w:t>
      </w:r>
      <w:r>
        <w:rPr>
          <w:rFonts w:hint="eastAsia" w:ascii="宋体" w:hAnsi="宋体" w:cs="宋体"/>
          <w:iCs/>
          <w:sz w:val="24"/>
          <w:szCs w:val="24"/>
          <w:lang w:val="zh-CN"/>
        </w:rPr>
        <w:t>为进一步提升人才服务数字化水平，打造扬州良好的人才环境和服务平台，在“人才码”信息系统一期建设成果的基础上，开展安全可靠改造，并结合最新的《扬州人才政策4.0》，实施“人才码”二期项目建设。二期项目包含人才新政4.0（个人补贴）、人才新政4.0（企业补贴）、人才新政4.0（享受服务）、人才大数据分析展示系统升级、智慧招聘全场景整合、“扬小才”AI助理、业务工单处理系统等七个功能模块及其他系统对接和功能优化。</w:t>
      </w:r>
      <w:r>
        <w:rPr>
          <w:rFonts w:ascii="宋体" w:hAnsi="宋体" w:cs="宋体"/>
          <w:color w:val="000000"/>
          <w:sz w:val="24"/>
        </w:rPr>
        <w:t>（详细内容见本招标文件第四章）</w:t>
      </w:r>
    </w:p>
    <w:p>
      <w:pPr>
        <w:pBdr>
          <w:top w:val="none" w:color="000000" w:sz="0" w:space="0"/>
          <w:left w:val="none" w:color="000000" w:sz="0" w:space="0"/>
          <w:bottom w:val="none" w:color="000000" w:sz="0" w:space="0"/>
          <w:right w:val="none" w:color="000000" w:sz="0" w:space="0"/>
        </w:pBdr>
        <w:spacing w:line="400" w:lineRule="atLeast"/>
        <w:ind w:firstLine="480"/>
        <w:rPr>
          <w:rFonts w:cs="Courier New" w:asciiTheme="minorEastAsia" w:hAnsiTheme="minorEastAsia" w:eastAsiaTheme="minorEastAsia"/>
          <w:sz w:val="24"/>
          <w:szCs w:val="24"/>
        </w:rPr>
      </w:pPr>
      <w:r>
        <w:rPr>
          <w:rFonts w:ascii="宋体" w:hAnsi="宋体" w:cs="宋体"/>
          <w:color w:val="000000"/>
          <w:sz w:val="24"/>
        </w:rPr>
        <w:t>6.合同履行期限：</w:t>
      </w:r>
      <w:r>
        <w:rPr>
          <w:rFonts w:hint="eastAsia" w:asciiTheme="minorEastAsia" w:hAnsiTheme="minorEastAsia" w:eastAsiaTheme="minorEastAsia" w:cstheme="minorEastAsia"/>
          <w:sz w:val="24"/>
          <w:szCs w:val="24"/>
        </w:rPr>
        <w:t>自合同签订之日起180个日历天内完成系统建设，试运行3个月后验收合格，免费质保期3年。</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b/>
          <w:color w:val="000000"/>
          <w:sz w:val="32"/>
        </w:rPr>
        <w:t>二、申请人的资格要求：</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（一）通用资格要求</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1.满足《中华人民共和国政府采购法》第二十二条规定，并提供下列材料：</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1.1 法人或者其他组织的营业执照等证明文件，自然人的身份证明；</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1.2 上一年度的财务状况报告（成立不满一年无需提供）；</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1.3依法缴纳税收和社会保障资金的相关材料（提供提交投标文件截止时间前一年内任意一个月依法缴纳税收及缴纳社会保障资金的证明材料。投标人依法享受缓缴、免缴税收、社会保障资金的提供证明材料。）；</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1.4具备履行合同所必需的设备和专业技术能力的书面声明；</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1.5参加政府采购活动前3年内在经营活动中没有重大违法记录的书面声明。</w:t>
      </w:r>
    </w:p>
    <w:p>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1.6 供应商信用承诺函。</w:t>
      </w:r>
    </w:p>
    <w:p>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hint="eastAsia" w:ascii="宋体" w:hAnsi="宋体"/>
          <w:sz w:val="24"/>
          <w:szCs w:val="24"/>
        </w:rPr>
        <w:t>1</w:t>
      </w:r>
      <w:r>
        <w:rPr>
          <w:rFonts w:ascii="宋体" w:hAnsi="宋体"/>
          <w:sz w:val="24"/>
          <w:szCs w:val="24"/>
        </w:rPr>
        <w:t>.7</w:t>
      </w:r>
      <w:r>
        <w:rPr>
          <w:rFonts w:hint="eastAsia" w:ascii="宋体" w:hAnsi="宋体"/>
          <w:sz w:val="24"/>
          <w:szCs w:val="24"/>
        </w:rPr>
        <w:t>若以联合体投标，上述1.1-1.6项联合体各方均需提供。联合体双方均须提供《联合体协议》。</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themeColor="text1"/>
          <w:sz w:val="24"/>
          <w:lang w:val="en-US" w:eastAsia="zh-CN"/>
          <w14:textFill>
            <w14:solidFill>
              <w14:schemeClr w14:val="tx1"/>
            </w14:solidFill>
          </w14:textFill>
        </w:rPr>
      </w:pPr>
      <w:r>
        <w:rPr>
          <w:rFonts w:ascii="宋体" w:hAnsi="宋体" w:cs="宋体"/>
          <w:color w:val="000000"/>
          <w:sz w:val="24"/>
        </w:rPr>
        <w:t>3.落实政府采购政策需满足的资格要求：</w:t>
      </w:r>
      <w:r>
        <w:rPr>
          <w:rFonts w:hint="eastAsia" w:ascii="宋体" w:hAnsi="宋体" w:cs="宋体"/>
          <w:color w:val="000000" w:themeColor="text1"/>
          <w:sz w:val="24"/>
          <w:lang w:val="en-US" w:eastAsia="zh-CN"/>
          <w14:textFill>
            <w14:solidFill>
              <w14:schemeClr w14:val="tx1"/>
            </w14:solidFill>
          </w14:textFill>
        </w:rPr>
        <w:t>无</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4.联合体投标</w:t>
      </w:r>
    </w:p>
    <w:tbl>
      <w:tblPr>
        <w:tblStyle w:val="56"/>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408"/>
        <w:gridCol w:w="3544"/>
        <w:gridCol w:w="3827"/>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408" w:type="dxa"/>
            <w:tcBorders>
              <w:top w:val="single" w:color="000000" w:sz="8" w:space="0"/>
              <w:left w:val="single" w:color="000000" w:sz="8" w:space="0"/>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采购包号</w:t>
            </w:r>
          </w:p>
        </w:tc>
        <w:tc>
          <w:tcPr>
            <w:tcW w:w="3544" w:type="dxa"/>
            <w:tcBorders>
              <w:top w:val="single" w:color="000000" w:sz="8" w:space="0"/>
              <w:left w:val="nil"/>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是否接受联合体投标（是/否）</w:t>
            </w:r>
          </w:p>
        </w:tc>
        <w:tc>
          <w:tcPr>
            <w:tcW w:w="3827" w:type="dxa"/>
            <w:tcBorders>
              <w:top w:val="single" w:color="000000" w:sz="8" w:space="0"/>
              <w:left w:val="nil"/>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该采购包中联合体成员数量上限</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40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354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color w:val="000000"/>
                <w:sz w:val="24"/>
              </w:rPr>
              <w:t>是</w:t>
            </w:r>
          </w:p>
        </w:tc>
        <w:tc>
          <w:tcPr>
            <w:tcW w:w="382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color w:val="000000"/>
                <w:sz w:val="24"/>
              </w:rPr>
              <w:t>2</w:t>
            </w:r>
          </w:p>
        </w:tc>
      </w:tr>
    </w:tbl>
    <w:p>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5.进口产品投标</w:t>
      </w:r>
    </w:p>
    <w:tbl>
      <w:tblPr>
        <w:tblStyle w:val="56"/>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258"/>
        <w:gridCol w:w="6521"/>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372" w:hRule="atLeast"/>
        </w:trPr>
        <w:tc>
          <w:tcPr>
            <w:tcW w:w="2258" w:type="dxa"/>
            <w:tcBorders>
              <w:top w:val="single" w:color="000000" w:sz="8" w:space="0"/>
              <w:left w:val="single" w:color="000000" w:sz="8" w:space="0"/>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采购包号</w:t>
            </w:r>
          </w:p>
        </w:tc>
        <w:tc>
          <w:tcPr>
            <w:tcW w:w="6521" w:type="dxa"/>
            <w:tcBorders>
              <w:top w:val="single" w:color="000000" w:sz="8" w:space="0"/>
              <w:left w:val="nil"/>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是否接受进口产品投标（是/否）</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22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652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否</w:t>
            </w:r>
          </w:p>
        </w:tc>
      </w:tr>
    </w:tbl>
    <w:p>
      <w:pPr>
        <w:pBdr>
          <w:top w:val="none" w:color="000000" w:sz="0" w:space="0"/>
          <w:left w:val="none" w:color="000000" w:sz="0" w:space="0"/>
          <w:bottom w:val="none" w:color="000000" w:sz="0" w:space="0"/>
          <w:right w:val="none" w:color="000000" w:sz="0" w:space="0"/>
        </w:pBdr>
        <w:spacing w:line="400" w:lineRule="atLeast"/>
        <w:ind w:firstLine="240"/>
      </w:pPr>
      <w:r>
        <w:rPr>
          <w:rFonts w:ascii="宋体" w:hAnsi="宋体" w:cs="宋体"/>
          <w:color w:val="000000"/>
          <w:sz w:val="24"/>
        </w:rPr>
        <w:t>（二）本项目的特定资格要求</w:t>
      </w:r>
    </w:p>
    <w:tbl>
      <w:tblPr>
        <w:tblStyle w:val="56"/>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134"/>
        <w:gridCol w:w="7645"/>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134" w:type="dxa"/>
            <w:tcBorders>
              <w:top w:val="single" w:color="000000" w:sz="8" w:space="0"/>
              <w:left w:val="single" w:color="000000" w:sz="8" w:space="0"/>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采购包号</w:t>
            </w:r>
          </w:p>
        </w:tc>
        <w:tc>
          <w:tcPr>
            <w:tcW w:w="7645" w:type="dxa"/>
            <w:tcBorders>
              <w:top w:val="single" w:color="000000" w:sz="8" w:space="0"/>
              <w:left w:val="nil"/>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特定资格要求</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1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76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spacing w:line="360" w:lineRule="auto"/>
              <w:ind w:firstLine="480"/>
              <w:jc w:val="center"/>
              <w:rPr>
                <w:rFonts w:asciiTheme="minorEastAsia" w:hAnsiTheme="minorEastAsia" w:eastAsiaTheme="minorEastAsia"/>
                <w:bCs/>
                <w:iCs/>
                <w:color w:val="000000"/>
                <w:sz w:val="24"/>
                <w:szCs w:val="24"/>
              </w:rPr>
            </w:pPr>
            <w:r>
              <w:rPr>
                <w:rFonts w:hint="eastAsia" w:ascii="宋体" w:hAnsi="宋体" w:cs="宋体" w:eastAsiaTheme="minorEastAsia"/>
                <w:iCs/>
                <w:sz w:val="24"/>
                <w:szCs w:val="24"/>
              </w:rPr>
              <w:t>无</w:t>
            </w:r>
          </w:p>
        </w:tc>
      </w:tr>
    </w:tbl>
    <w:p>
      <w:pPr>
        <w:pBdr>
          <w:top w:val="none" w:color="000000" w:sz="0" w:space="0"/>
          <w:left w:val="none" w:color="000000" w:sz="0" w:space="0"/>
          <w:bottom w:val="none" w:color="000000" w:sz="0" w:space="0"/>
          <w:right w:val="none" w:color="000000" w:sz="0" w:space="0"/>
        </w:pBdr>
        <w:spacing w:before="145" w:after="145"/>
        <w:ind w:firstLine="498"/>
      </w:pPr>
      <w:r>
        <w:rPr>
          <w:rFonts w:ascii="宋体" w:hAnsi="宋体" w:cs="宋体"/>
          <w:b/>
          <w:color w:val="000000"/>
          <w:sz w:val="32"/>
        </w:rPr>
        <w:t>三、获取招标文件</w:t>
      </w:r>
    </w:p>
    <w:p>
      <w:pPr>
        <w:pBdr>
          <w:top w:val="none" w:color="000000" w:sz="0" w:space="0"/>
          <w:left w:val="none" w:color="000000" w:sz="0" w:space="0"/>
          <w:bottom w:val="none" w:color="000000" w:sz="0" w:space="0"/>
          <w:right w:val="none" w:color="000000" w:sz="0" w:space="0"/>
        </w:pBdr>
        <w:ind w:firstLine="540"/>
      </w:pPr>
      <w:r>
        <w:rPr>
          <w:rFonts w:ascii="宋体" w:hAnsi="宋体" w:cs="宋体"/>
          <w:color w:val="000000"/>
          <w:sz w:val="24"/>
        </w:rPr>
        <w:t>1.时间：自招标文件公告发布之日起5个工作日。</w:t>
      </w:r>
    </w:p>
    <w:p>
      <w:pPr>
        <w:pBdr>
          <w:top w:val="none" w:color="000000" w:sz="0" w:space="0"/>
          <w:left w:val="none" w:color="000000" w:sz="0" w:space="0"/>
          <w:bottom w:val="none" w:color="000000" w:sz="0" w:space="0"/>
          <w:right w:val="none" w:color="000000" w:sz="0" w:space="0"/>
        </w:pBdr>
        <w:ind w:firstLine="540"/>
      </w:pPr>
      <w:r>
        <w:rPr>
          <w:rFonts w:ascii="宋体" w:hAnsi="宋体" w:cs="宋体"/>
          <w:color w:val="000000"/>
          <w:sz w:val="24"/>
        </w:rPr>
        <w:t>2.方式：在“江苏政府采购网、扬州市政府采购网”自行免费下载招标文件。</w:t>
      </w:r>
    </w:p>
    <w:p>
      <w:pPr>
        <w:pBdr>
          <w:top w:val="none" w:color="000000" w:sz="0" w:space="0"/>
          <w:left w:val="none" w:color="000000" w:sz="0" w:space="0"/>
          <w:bottom w:val="none" w:color="000000" w:sz="0" w:space="0"/>
          <w:right w:val="none" w:color="000000" w:sz="0" w:space="0"/>
        </w:pBdr>
        <w:spacing w:before="145" w:after="145" w:line="400" w:lineRule="atLeast"/>
        <w:ind w:firstLine="498"/>
      </w:pPr>
      <w:r>
        <w:rPr>
          <w:rFonts w:ascii="宋体" w:hAnsi="宋体" w:cs="宋体"/>
          <w:b/>
          <w:color w:val="000000"/>
          <w:sz w:val="32"/>
        </w:rPr>
        <w:t>四、提交投标文件截止时间、开标时间和地点</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w:t>
      </w:r>
      <w:r>
        <w:rPr>
          <w:rFonts w:ascii="宋体" w:hAnsi="宋体" w:cs="宋体"/>
          <w:color w:val="000000" w:themeColor="text1"/>
          <w:sz w:val="24"/>
          <w:u w:val="single"/>
          <w14:textFill>
            <w14:solidFill>
              <w14:schemeClr w14:val="tx1"/>
            </w14:solidFill>
          </w14:textFill>
        </w:rPr>
        <w:t> 202</w:t>
      </w:r>
      <w:r>
        <w:rPr>
          <w:rFonts w:hint="eastAsia" w:ascii="宋体" w:hAnsi="宋体" w:cs="宋体"/>
          <w:color w:val="000000" w:themeColor="text1"/>
          <w:sz w:val="24"/>
          <w:u w:val="single"/>
          <w:lang w:val="en-US" w:eastAsia="zh-CN"/>
          <w14:textFill>
            <w14:solidFill>
              <w14:schemeClr w14:val="tx1"/>
            </w14:solidFill>
          </w14:textFill>
        </w:rPr>
        <w:t>6</w:t>
      </w:r>
      <w:r>
        <w:rPr>
          <w:rFonts w:ascii="宋体" w:hAnsi="宋体" w:cs="宋体"/>
          <w:color w:val="000000" w:themeColor="text1"/>
          <w:sz w:val="24"/>
          <w:u w:val="single"/>
          <w14:textFill>
            <w14:solidFill>
              <w14:schemeClr w14:val="tx1"/>
            </w14:solidFill>
          </w14:textFill>
        </w:rPr>
        <w:t>年</w:t>
      </w:r>
      <w:r>
        <w:rPr>
          <w:rFonts w:hint="eastAsia" w:ascii="宋体" w:hAnsi="宋体" w:cs="宋体"/>
          <w:color w:val="000000" w:themeColor="text1"/>
          <w:sz w:val="24"/>
          <w:u w:val="single"/>
          <w:lang w:val="en-US" w:eastAsia="zh-CN"/>
          <w14:textFill>
            <w14:solidFill>
              <w14:schemeClr w14:val="tx1"/>
            </w14:solidFill>
          </w14:textFill>
        </w:rPr>
        <w:t>01</w:t>
      </w:r>
      <w:r>
        <w:rPr>
          <w:rFonts w:ascii="宋体" w:hAnsi="宋体" w:cs="宋体"/>
          <w:color w:val="000000" w:themeColor="text1"/>
          <w:sz w:val="24"/>
          <w:u w:val="single"/>
          <w14:textFill>
            <w14:solidFill>
              <w14:schemeClr w14:val="tx1"/>
            </w14:solidFill>
          </w14:textFill>
        </w:rPr>
        <w:t>月</w:t>
      </w:r>
      <w:r>
        <w:rPr>
          <w:rFonts w:hint="eastAsia" w:ascii="宋体" w:hAnsi="宋体" w:cs="宋体"/>
          <w:color w:val="000000" w:themeColor="text1"/>
          <w:sz w:val="24"/>
          <w:u w:val="single"/>
          <w:lang w:val="en-US" w:eastAsia="zh-CN"/>
          <w14:textFill>
            <w14:solidFill>
              <w14:schemeClr w14:val="tx1"/>
            </w14:solidFill>
          </w14:textFill>
        </w:rPr>
        <w:t xml:space="preserve"> 27 </w:t>
      </w:r>
      <w:r>
        <w:rPr>
          <w:rFonts w:ascii="宋体" w:hAnsi="宋体" w:cs="宋体"/>
          <w:color w:val="000000" w:themeColor="text1"/>
          <w:sz w:val="24"/>
          <w:u w:val="single"/>
          <w14:textFill>
            <w14:solidFill>
              <w14:schemeClr w14:val="tx1"/>
            </w14:solidFill>
          </w14:textFill>
        </w:rPr>
        <w:t>日 09点 30分</w:t>
      </w:r>
      <w:r>
        <w:rPr>
          <w:rFonts w:ascii="宋体" w:hAnsi="宋体" w:cs="宋体"/>
          <w:color w:val="000000"/>
          <w:sz w:val="24"/>
        </w:rPr>
        <w:t>（北京时间）</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2.地点：“苏采云”政府采购交易系统。</w:t>
      </w:r>
    </w:p>
    <w:p>
      <w:pPr>
        <w:pBdr>
          <w:top w:val="none" w:color="000000" w:sz="0" w:space="0"/>
          <w:left w:val="none" w:color="000000" w:sz="0" w:space="0"/>
          <w:bottom w:val="none" w:color="000000" w:sz="0" w:space="0"/>
          <w:right w:val="none" w:color="000000" w:sz="0" w:space="0"/>
        </w:pBdr>
        <w:spacing w:before="145" w:after="145"/>
        <w:ind w:firstLine="498"/>
      </w:pPr>
      <w:r>
        <w:rPr>
          <w:rFonts w:ascii="宋体" w:hAnsi="宋体" w:cs="宋体"/>
          <w:b/>
          <w:color w:val="000000"/>
          <w:sz w:val="32"/>
        </w:rPr>
        <w:t>五、公告期限</w:t>
      </w:r>
      <w:bookmarkStart w:id="38" w:name="_GoBack"/>
      <w:bookmarkEnd w:id="38"/>
    </w:p>
    <w:p>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自本公告发布之日起5个工作日。</w:t>
      </w:r>
    </w:p>
    <w:p>
      <w:pPr>
        <w:pBdr>
          <w:top w:val="none" w:color="000000" w:sz="0" w:space="0"/>
          <w:left w:val="none" w:color="000000" w:sz="0" w:space="0"/>
          <w:bottom w:val="none" w:color="000000" w:sz="0" w:space="0"/>
          <w:right w:val="none" w:color="000000" w:sz="0" w:space="0"/>
        </w:pBdr>
        <w:spacing w:before="145" w:after="145" w:line="400" w:lineRule="atLeast"/>
        <w:ind w:firstLine="498"/>
      </w:pPr>
      <w:r>
        <w:rPr>
          <w:rFonts w:ascii="宋体" w:hAnsi="宋体" w:cs="宋体"/>
          <w:b/>
          <w:color w:val="000000"/>
          <w:sz w:val="32"/>
        </w:rPr>
        <w:t>六、其他补充事宜</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无/*****</w:t>
      </w:r>
    </w:p>
    <w:p>
      <w:pPr>
        <w:pBdr>
          <w:top w:val="none" w:color="000000" w:sz="0" w:space="0"/>
          <w:left w:val="none" w:color="000000" w:sz="0" w:space="0"/>
          <w:bottom w:val="none" w:color="000000" w:sz="0" w:space="0"/>
          <w:right w:val="none" w:color="000000" w:sz="0" w:space="0"/>
        </w:pBdr>
        <w:spacing w:before="145" w:after="145" w:line="400" w:lineRule="atLeast"/>
        <w:ind w:firstLine="498"/>
      </w:pPr>
      <w:r>
        <w:rPr>
          <w:rFonts w:ascii="宋体" w:hAnsi="宋体" w:cs="宋体"/>
          <w:b/>
          <w:color w:val="000000"/>
          <w:sz w:val="32"/>
        </w:rPr>
        <w:t>七、本次招标联系方式</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xml:space="preserve">     1.采购人信息</w:t>
      </w:r>
    </w:p>
    <w:p>
      <w:pPr>
        <w:pBdr>
          <w:top w:val="none" w:color="000000" w:sz="0" w:space="0"/>
          <w:left w:val="none" w:color="000000" w:sz="0" w:space="0"/>
          <w:bottom w:val="none" w:color="000000" w:sz="0" w:space="0"/>
          <w:right w:val="none" w:color="000000" w:sz="0" w:space="0"/>
        </w:pBdr>
        <w:spacing w:line="400" w:lineRule="atLeast"/>
        <w:ind w:left="709"/>
        <w:rPr>
          <w:rFonts w:ascii="宋体" w:hAnsi="宋体" w:cs="宋体"/>
          <w:color w:val="000000"/>
          <w:sz w:val="24"/>
        </w:rPr>
      </w:pPr>
      <w:r>
        <w:rPr>
          <w:rFonts w:hint="eastAsia" w:ascii="宋体" w:hAnsi="宋体" w:cs="宋体"/>
          <w:color w:val="000000"/>
          <w:sz w:val="24"/>
        </w:rPr>
        <w:t>名称：</w:t>
      </w:r>
      <w:r>
        <w:rPr>
          <w:rFonts w:hint="eastAsia" w:ascii="宋体" w:hAnsi="宋体" w:cs="宋体"/>
          <w:color w:val="000000"/>
          <w:sz w:val="24"/>
          <w:u w:val="single"/>
        </w:rPr>
        <w:t>扬州市人力资源和社会保障局</w:t>
      </w:r>
    </w:p>
    <w:p>
      <w:pPr>
        <w:pBdr>
          <w:top w:val="none" w:color="000000" w:sz="0" w:space="0"/>
          <w:left w:val="none" w:color="000000" w:sz="0" w:space="0"/>
          <w:bottom w:val="none" w:color="000000" w:sz="0" w:space="0"/>
          <w:right w:val="none" w:color="000000" w:sz="0" w:space="0"/>
        </w:pBdr>
        <w:spacing w:line="400" w:lineRule="atLeast"/>
        <w:ind w:left="709"/>
        <w:rPr>
          <w:rFonts w:ascii="宋体" w:hAnsi="宋体" w:cs="宋体"/>
          <w:color w:val="000000"/>
          <w:sz w:val="24"/>
        </w:rPr>
      </w:pPr>
      <w:r>
        <w:rPr>
          <w:rFonts w:hint="eastAsia" w:ascii="宋体" w:hAnsi="宋体" w:cs="宋体"/>
          <w:color w:val="000000"/>
          <w:sz w:val="24"/>
        </w:rPr>
        <w:t>地址：</w:t>
      </w:r>
      <w:r>
        <w:rPr>
          <w:rFonts w:hint="eastAsia" w:ascii="宋体" w:hAnsi="宋体" w:cs="宋体"/>
          <w:color w:val="000000"/>
          <w:sz w:val="24"/>
          <w:u w:val="single"/>
        </w:rPr>
        <w:t>扬州市江阳西路101号月城科技广场</w:t>
      </w:r>
    </w:p>
    <w:p>
      <w:pPr>
        <w:pBdr>
          <w:top w:val="none" w:color="000000" w:sz="0" w:space="0"/>
          <w:left w:val="none" w:color="000000" w:sz="0" w:space="0"/>
          <w:bottom w:val="none" w:color="000000" w:sz="0" w:space="0"/>
          <w:right w:val="none" w:color="000000" w:sz="0" w:space="0"/>
        </w:pBdr>
        <w:spacing w:line="400" w:lineRule="atLeast"/>
        <w:ind w:left="709"/>
        <w:rPr>
          <w:rFonts w:ascii="宋体" w:hAnsi="宋体" w:cs="宋体"/>
          <w:color w:val="000000"/>
          <w:sz w:val="24"/>
        </w:rPr>
      </w:pPr>
      <w:r>
        <w:rPr>
          <w:rFonts w:hint="eastAsia" w:ascii="宋体" w:hAnsi="宋体" w:cs="宋体"/>
          <w:color w:val="000000"/>
          <w:sz w:val="24"/>
        </w:rPr>
        <w:t>联系人：</w:t>
      </w:r>
      <w:r>
        <w:rPr>
          <w:rFonts w:hint="eastAsia" w:ascii="宋体" w:hAnsi="宋体" w:cs="宋体"/>
          <w:color w:val="000000"/>
          <w:sz w:val="24"/>
          <w:u w:val="single"/>
        </w:rPr>
        <w:t>范鑫</w:t>
      </w:r>
    </w:p>
    <w:p>
      <w:pPr>
        <w:pBdr>
          <w:top w:val="none" w:color="000000" w:sz="0" w:space="0"/>
          <w:left w:val="none" w:color="000000" w:sz="0" w:space="0"/>
          <w:bottom w:val="none" w:color="000000" w:sz="0" w:space="0"/>
          <w:right w:val="none" w:color="000000" w:sz="0" w:space="0"/>
        </w:pBdr>
        <w:spacing w:line="400" w:lineRule="atLeast"/>
        <w:ind w:left="709"/>
        <w:rPr>
          <w:rFonts w:ascii="宋体" w:hAnsi="宋体" w:cs="宋体"/>
          <w:color w:val="000000"/>
          <w:sz w:val="24"/>
        </w:rPr>
      </w:pPr>
      <w:r>
        <w:rPr>
          <w:rFonts w:hint="eastAsia" w:ascii="宋体" w:hAnsi="宋体" w:cs="宋体"/>
          <w:color w:val="000000"/>
          <w:sz w:val="24"/>
        </w:rPr>
        <w:t>联系方式：</w:t>
      </w:r>
      <w:r>
        <w:rPr>
          <w:rFonts w:hint="eastAsia" w:ascii="宋体" w:hAnsi="宋体" w:cs="宋体"/>
          <w:color w:val="000000"/>
          <w:sz w:val="24"/>
          <w:u w:val="single"/>
        </w:rPr>
        <w:t>0514-85822338</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xml:space="preserve">     2.扬州市公共资源交易中心</w:t>
      </w:r>
    </w:p>
    <w:p>
      <w:pPr>
        <w:pBdr>
          <w:top w:val="none" w:color="000000" w:sz="0" w:space="0"/>
          <w:left w:val="none" w:color="000000" w:sz="0" w:space="0"/>
          <w:bottom w:val="none" w:color="000000" w:sz="0" w:space="0"/>
          <w:right w:val="none" w:color="000000" w:sz="0" w:space="0"/>
        </w:pBdr>
        <w:spacing w:line="400" w:lineRule="atLeast"/>
        <w:ind w:firstLine="720"/>
      </w:pPr>
      <w:r>
        <w:rPr>
          <w:rFonts w:hint="eastAsia" w:ascii="宋体" w:hAnsi="宋体"/>
          <w:sz w:val="24"/>
          <w:szCs w:val="24"/>
        </w:rPr>
        <w:t>地　址：</w:t>
      </w:r>
      <w:r>
        <w:rPr>
          <w:rFonts w:hint="eastAsia" w:ascii="宋体" w:hAnsi="宋体"/>
          <w:sz w:val="24"/>
          <w:szCs w:val="24"/>
          <w:u w:val="single"/>
        </w:rPr>
        <w:t>扬州市文昌东路9号广陵新城市民中心1号楼5楼1530室</w:t>
      </w:r>
    </w:p>
    <w:p>
      <w:pPr>
        <w:widowControl/>
        <w:spacing w:line="360" w:lineRule="auto"/>
        <w:ind w:firstLine="720"/>
        <w:jc w:val="left"/>
        <w:rPr>
          <w:rFonts w:ascii="宋体" w:hAnsi="宋体" w:cs="宋体"/>
          <w:sz w:val="24"/>
          <w:szCs w:val="24"/>
        </w:rPr>
      </w:pPr>
      <w:r>
        <w:rPr>
          <w:rFonts w:hint="eastAsia" w:ascii="宋体" w:hAnsi="宋体" w:cs="宋体"/>
          <w:sz w:val="24"/>
          <w:szCs w:val="24"/>
        </w:rPr>
        <w:t>联系人：</w:t>
      </w:r>
      <w:r>
        <w:rPr>
          <w:rFonts w:hint="eastAsia" w:ascii="宋体" w:hAnsi="宋体" w:cs="宋体"/>
          <w:sz w:val="24"/>
          <w:szCs w:val="24"/>
          <w:u w:val="single"/>
        </w:rPr>
        <w:t>华玲</w:t>
      </w:r>
    </w:p>
    <w:p>
      <w:pPr>
        <w:widowControl/>
        <w:spacing w:line="360" w:lineRule="auto"/>
        <w:ind w:firstLine="720"/>
        <w:jc w:val="left"/>
        <w:rPr>
          <w:rFonts w:ascii="宋体" w:hAnsi="宋体" w:cs="宋体"/>
          <w:sz w:val="24"/>
          <w:szCs w:val="24"/>
        </w:rPr>
      </w:pPr>
      <w:r>
        <w:rPr>
          <w:rFonts w:hint="eastAsia" w:ascii="宋体" w:hAnsi="宋体" w:cs="宋体"/>
          <w:sz w:val="24"/>
          <w:szCs w:val="24"/>
        </w:rPr>
        <w:t>联系方式：</w:t>
      </w:r>
      <w:bookmarkStart w:id="0" w:name="_Toc28359010"/>
      <w:bookmarkStart w:id="1" w:name="_Toc28359087"/>
      <w:r>
        <w:rPr>
          <w:rFonts w:hint="eastAsia" w:ascii="宋体" w:hAnsi="宋体" w:cs="宋体"/>
          <w:sz w:val="24"/>
          <w:szCs w:val="24"/>
          <w:u w:val="single"/>
        </w:rPr>
        <w:t>0514-8208712</w:t>
      </w:r>
      <w:bookmarkEnd w:id="0"/>
      <w:bookmarkEnd w:id="1"/>
      <w:r>
        <w:rPr>
          <w:rFonts w:hint="eastAsia" w:ascii="宋体" w:hAnsi="宋体" w:cs="宋体"/>
          <w:sz w:val="24"/>
          <w:szCs w:val="24"/>
          <w:u w:val="single"/>
        </w:rPr>
        <w:t>0</w:t>
      </w:r>
    </w:p>
    <w:p>
      <w:pPr>
        <w:pBdr>
          <w:top w:val="none" w:color="000000" w:sz="0" w:space="0"/>
          <w:left w:val="none" w:color="000000" w:sz="0" w:space="0"/>
          <w:bottom w:val="none" w:color="000000" w:sz="0" w:space="0"/>
          <w:right w:val="none" w:color="000000" w:sz="0" w:space="0"/>
        </w:pBdr>
        <w:spacing w:before="145" w:after="145" w:line="400" w:lineRule="atLeast"/>
        <w:ind w:firstLine="498"/>
      </w:pPr>
      <w:r>
        <w:rPr>
          <w:rFonts w:ascii="宋体" w:hAnsi="宋体" w:cs="宋体"/>
          <w:b/>
          <w:color w:val="000000"/>
          <w:sz w:val="32"/>
        </w:rPr>
        <w:t>八、其他</w:t>
      </w:r>
    </w:p>
    <w:p>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具体办理指南和操作手册见链接：http://zfcg.yangzhou.gov.cn/xzzx/art/2023/art_4d7de1f7865f4a2894fc22bc452f94d8.html，请按《操作手册》要求制作、上传电子投标文件。</w:t>
      </w:r>
    </w:p>
    <w:p>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领取CA和办理电子签章（请至扬州市文昌东路9号广陵新城市民中心1号楼5楼办理，具体联系方式：18952716110）。</w:t>
      </w:r>
    </w:p>
    <w:p>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2. 有关本次招标的事项若存在变动或修改，敬请及时关注扬州市公共资源交易中心在“江苏政府采购网”、“扬州市政府采购网”发布的更正公告。</w:t>
      </w:r>
    </w:p>
    <w:p>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3. 本次招标不收取投标保证金。</w:t>
      </w:r>
    </w:p>
    <w:p>
      <w:pPr>
        <w:pBdr>
          <w:top w:val="none" w:color="000000" w:sz="0" w:space="0"/>
          <w:left w:val="none" w:color="000000" w:sz="0" w:space="0"/>
          <w:bottom w:val="none" w:color="000000" w:sz="0" w:space="0"/>
          <w:right w:val="none" w:color="000000" w:sz="0" w:space="0"/>
        </w:pBdr>
        <w:ind w:right="840"/>
      </w:pPr>
      <w:r>
        <w:rPr/>
        <w:br w:type="page" w:clear="all"/>
      </w:r>
    </w:p>
    <w:p>
      <w:pPr>
        <w:pStyle w:val="2"/>
        <w:pBdr>
          <w:top w:val="none" w:color="000000" w:sz="0" w:space="0"/>
          <w:left w:val="none" w:color="000000" w:sz="0" w:space="0"/>
          <w:bottom w:val="none" w:color="000000" w:sz="0" w:space="0"/>
          <w:right w:val="none" w:color="000000" w:sz="0" w:space="0"/>
        </w:pBdr>
        <w:spacing w:before="480" w:after="200"/>
        <w:rPr>
          <w:rFonts w:hint="eastAsia"/>
        </w:rPr>
      </w:pPr>
      <w:r>
        <w:rPr>
          <w:rFonts w:ascii="黑体" w:hAnsi="黑体" w:cs="黑体"/>
          <w:b/>
          <w:color w:val="000000"/>
        </w:rPr>
        <w:t>第二章 投标人须知</w:t>
      </w:r>
    </w:p>
    <w:p>
      <w:pPr>
        <w:pBdr>
          <w:top w:val="none" w:color="000000" w:sz="0" w:space="0"/>
          <w:left w:val="none" w:color="000000" w:sz="0" w:space="0"/>
          <w:bottom w:val="none" w:color="000000" w:sz="0" w:space="0"/>
          <w:right w:val="none" w:color="000000" w:sz="0" w:space="0"/>
        </w:pBdr>
        <w:spacing w:before="145" w:after="145" w:line="400" w:lineRule="atLeast"/>
        <w:ind w:firstLine="498"/>
      </w:pPr>
      <w:r>
        <w:rPr>
          <w:rFonts w:ascii="宋体" w:hAnsi="宋体" w:cs="宋体"/>
          <w:b/>
          <w:color w:val="000000"/>
          <w:sz w:val="32"/>
        </w:rPr>
        <w:t>一、总则</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1、招标方式</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1.1 本次招标采取公开招标方式，本招标文件仅适用于招标公告中所述项目。</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2、合格的投标人</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2.1满足招标公告中供应商的资格要求的规定。</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2.2 满足本文件实质性要求的规定。</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3、适用法律</w:t>
      </w:r>
    </w:p>
    <w:p>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sz w:val="24"/>
        </w:rPr>
        <w:t>3.1 本次招标及由此产生的合同受中华人民共和国有关的法律法规制约和保护。</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4、投标费用</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4.1 投标人应自行承担所有与参加投标有关的费用，无论投标过程中的做法和结果如何，扬州市公共资源交易中心（以下简称交易中心）在任何情况下均无义务和责任承担这些费用。</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4.2本次招标交易中心和采购人不收取标书工本费与中标服务费。</w:t>
      </w:r>
    </w:p>
    <w:p>
      <w:pPr>
        <w:pBdr>
          <w:top w:val="none" w:color="000000" w:sz="0" w:space="0"/>
          <w:left w:val="none" w:color="000000" w:sz="0" w:space="0"/>
          <w:bottom w:val="none" w:color="000000" w:sz="0" w:space="0"/>
          <w:right w:val="none" w:color="000000" w:sz="0" w:space="0"/>
        </w:pBdr>
        <w:spacing w:line="400" w:lineRule="atLeast"/>
        <w:ind w:firstLine="602"/>
      </w:pPr>
      <w:r>
        <w:rPr>
          <w:rFonts w:ascii="黑体" w:hAnsi="黑体" w:eastAsia="黑体" w:cs="黑体"/>
          <w:b/>
          <w:color w:val="000000"/>
          <w:sz w:val="30"/>
        </w:rPr>
        <w:t>5、</w:t>
      </w:r>
      <w:r>
        <w:rPr>
          <w:rFonts w:ascii="黑体" w:hAnsi="黑体" w:eastAsia="黑体" w:cs="黑体"/>
          <w:color w:val="000000"/>
          <w:sz w:val="28"/>
        </w:rPr>
        <w:t>招标文件的约束力</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5.1 投标人一旦参加本项目采购活动，即被认为接受了本招标文件的规定和约束。</w:t>
      </w:r>
    </w:p>
    <w:p>
      <w:pPr>
        <w:pBdr>
          <w:top w:val="none" w:color="000000" w:sz="0" w:space="0"/>
          <w:left w:val="none" w:color="000000" w:sz="0" w:space="0"/>
          <w:bottom w:val="none" w:color="000000" w:sz="0" w:space="0"/>
          <w:right w:val="none" w:color="000000" w:sz="0" w:space="0"/>
        </w:pBdr>
        <w:spacing w:before="145" w:after="145" w:line="400" w:lineRule="atLeast"/>
        <w:ind w:firstLine="321"/>
      </w:pPr>
      <w:r>
        <w:rPr>
          <w:rFonts w:ascii="宋体" w:hAnsi="宋体" w:cs="宋体"/>
          <w:b/>
          <w:color w:val="000000"/>
          <w:sz w:val="32"/>
        </w:rPr>
        <w:t>二、招标文件</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6、招标文件构成</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6.1 招标文件由以下部分组成：</w:t>
      </w:r>
    </w:p>
    <w:p>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（1）投标邀请</w:t>
      </w:r>
    </w:p>
    <w:p>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（2）投标人须知</w:t>
      </w:r>
    </w:p>
    <w:p>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（3）合同文本</w:t>
      </w:r>
    </w:p>
    <w:p>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（4）采购需求</w:t>
      </w:r>
    </w:p>
    <w:p>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（5）评标方法与评标标准</w:t>
      </w:r>
    </w:p>
    <w:p>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（6）投标文件格式</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请仔细检查招标文件是否齐全，如有缺漏请立即与交易中心联系解决。</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Bdr>
          <w:top w:val="none" w:color="000000" w:sz="0" w:space="0"/>
          <w:left w:val="none" w:color="000000" w:sz="0" w:space="0"/>
          <w:bottom w:val="none" w:color="000000" w:sz="0" w:space="0"/>
          <w:right w:val="none" w:color="000000" w:sz="0" w:space="0"/>
        </w:pBdr>
        <w:spacing w:line="400" w:lineRule="atLeast"/>
        <w:ind w:firstLine="560"/>
      </w:pPr>
      <w:r>
        <w:rPr>
          <w:rFonts w:ascii="Arial" w:hAnsi="Arial" w:eastAsia="Arial" w:cs="Arial"/>
          <w:color w:val="000000"/>
          <w:sz w:val="28"/>
        </w:rPr>
        <w:t>7</w:t>
      </w:r>
      <w:r>
        <w:rPr>
          <w:rFonts w:ascii="黑体" w:hAnsi="黑体" w:eastAsia="黑体" w:cs="黑体"/>
          <w:color w:val="000000"/>
          <w:sz w:val="28"/>
        </w:rPr>
        <w:t>、招标文件的修改</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7.1 在投标截止时间前，交易中心可以对招标文件进行修改。</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7.2 交易中心有权按照法定的要求推迟投标截止日期和开标日期。</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7.3 招标文件的修改将在江苏政府采购网、扬州市政府采购网公布，补充文件将作为招标文件的组成部分，并对投标人具有约束力。</w:t>
      </w:r>
    </w:p>
    <w:p>
      <w:pPr>
        <w:pBdr>
          <w:top w:val="none" w:color="000000" w:sz="0" w:space="0"/>
          <w:left w:val="none" w:color="000000" w:sz="0" w:space="0"/>
          <w:bottom w:val="none" w:color="000000" w:sz="0" w:space="0"/>
          <w:right w:val="none" w:color="000000" w:sz="0" w:space="0"/>
        </w:pBdr>
        <w:spacing w:before="145" w:after="145" w:line="400" w:lineRule="atLeast"/>
        <w:ind w:firstLine="482"/>
      </w:pPr>
      <w:r>
        <w:rPr>
          <w:rFonts w:ascii="宋体" w:hAnsi="宋体" w:cs="宋体"/>
          <w:b/>
          <w:color w:val="000000"/>
          <w:sz w:val="32"/>
        </w:rPr>
        <w:t>三、投标文件的编制</w:t>
      </w:r>
    </w:p>
    <w:p>
      <w:pPr>
        <w:pBdr>
          <w:top w:val="none" w:color="000000" w:sz="0" w:space="0"/>
          <w:left w:val="none" w:color="000000" w:sz="0" w:space="0"/>
          <w:bottom w:val="none" w:color="000000" w:sz="0" w:space="0"/>
          <w:right w:val="none" w:color="000000" w:sz="0" w:space="0"/>
        </w:pBdr>
        <w:spacing w:line="400" w:lineRule="atLeast"/>
        <w:ind w:firstLine="560"/>
      </w:pPr>
      <w:r>
        <w:rPr>
          <w:rFonts w:ascii="Arial" w:hAnsi="Arial" w:eastAsia="Arial" w:cs="Arial"/>
          <w:color w:val="000000"/>
          <w:sz w:val="28"/>
        </w:rPr>
        <w:t>8</w:t>
      </w:r>
      <w:r>
        <w:rPr>
          <w:rFonts w:ascii="黑体" w:hAnsi="黑体" w:eastAsia="黑体" w:cs="黑体"/>
          <w:color w:val="000000"/>
          <w:sz w:val="28"/>
        </w:rPr>
        <w:t>、投标文件的语言及度量衡单位</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8.1 投标人提交的投标文件以及投标人与交易中心就有关投标的所有来往通知、函件和文件均应使用</w:t>
      </w:r>
      <w:r>
        <w:rPr>
          <w:rFonts w:ascii="宋体" w:hAnsi="宋体" w:cs="宋体"/>
          <w:b/>
          <w:color w:val="000000"/>
          <w:sz w:val="24"/>
        </w:rPr>
        <w:t>简体中文</w:t>
      </w:r>
      <w:r>
        <w:rPr>
          <w:rFonts w:ascii="宋体" w:hAnsi="宋体" w:cs="宋体"/>
          <w:color w:val="000000"/>
          <w:sz w:val="24"/>
        </w:rPr>
        <w:t>。</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8.2 除技术性能另有规定外，投标文件所使用的度量衡单位，均须采用国家法定计量单位。</w:t>
      </w:r>
    </w:p>
    <w:p>
      <w:pPr>
        <w:pBdr>
          <w:top w:val="none" w:color="000000" w:sz="0" w:space="0"/>
          <w:left w:val="none" w:color="000000" w:sz="0" w:space="0"/>
          <w:bottom w:val="none" w:color="000000" w:sz="0" w:space="0"/>
          <w:right w:val="none" w:color="000000" w:sz="0" w:space="0"/>
        </w:pBdr>
        <w:spacing w:line="400" w:lineRule="atLeast"/>
        <w:ind w:firstLine="420"/>
      </w:pPr>
      <w:r>
        <w:rPr>
          <w:rFonts w:ascii="Arial" w:hAnsi="Arial" w:eastAsia="Arial" w:cs="Arial"/>
          <w:color w:val="000000"/>
          <w:sz w:val="28"/>
        </w:rPr>
        <w:t>9</w:t>
      </w:r>
      <w:r>
        <w:rPr>
          <w:rFonts w:ascii="黑体" w:hAnsi="黑体" w:eastAsia="黑体" w:cs="黑体"/>
          <w:color w:val="000000"/>
          <w:sz w:val="28"/>
        </w:rPr>
        <w:t>、投标文件构成</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9.1 投标人编写的投标文件应包括基本目录、资格审查内容、符合性审查内容、价格扣除证明文件等部分。</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FF0000"/>
          <w:sz w:val="24"/>
        </w:rPr>
        <w:t>9.2 如标书制作工具中格式和内容与“江苏政府采购网、扬州市政府采购网”发布的招标文件不一致，请以“江苏政府采购网、扬州市政府采购网”发布的招标文件为准。</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1</w:t>
      </w:r>
      <w:r>
        <w:rPr>
          <w:rFonts w:ascii="Arial" w:hAnsi="Arial" w:eastAsia="Arial" w:cs="Arial"/>
          <w:color w:val="000000"/>
          <w:sz w:val="28"/>
        </w:rPr>
        <w:t>0</w:t>
      </w:r>
      <w:r>
        <w:rPr>
          <w:rFonts w:ascii="黑体" w:hAnsi="黑体" w:eastAsia="黑体" w:cs="黑体"/>
          <w:color w:val="000000"/>
          <w:sz w:val="28"/>
        </w:rPr>
        <w:t>、证明投标人及投标标的符合招标文件规定的文件</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10.1 投标人应按照招标文件要求提交证明文件，证明其投标标的符合招标文件规定。</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10.2招标文件对证明文件无明确形式要求的，证明文件可以以文字资料、图纸和数据等形式提交。</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1</w:t>
      </w:r>
      <w:r>
        <w:rPr>
          <w:rFonts w:ascii="Arial" w:hAnsi="Arial" w:eastAsia="Arial" w:cs="Arial"/>
          <w:color w:val="000000"/>
          <w:sz w:val="28"/>
        </w:rPr>
        <w:t>1</w:t>
      </w:r>
      <w:r>
        <w:rPr>
          <w:rFonts w:ascii="黑体" w:hAnsi="黑体" w:eastAsia="黑体" w:cs="黑体"/>
          <w:color w:val="000000"/>
          <w:sz w:val="28"/>
        </w:rPr>
        <w:t>、投标分项报价表</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11.1 投标人按照招标文件规定格式填报投标分项报价表。</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11.2投标货币。投标文件中的单价和总价无特殊规定的采用人民币报价，以元为单位标注。招标文件中另有规定的按规定执行。</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1</w:t>
      </w:r>
      <w:r>
        <w:rPr>
          <w:rFonts w:ascii="Arial" w:hAnsi="Arial" w:eastAsia="Arial" w:cs="Arial"/>
          <w:color w:val="000000"/>
          <w:sz w:val="28"/>
        </w:rPr>
        <w:t>2</w:t>
      </w:r>
      <w:r>
        <w:rPr>
          <w:rFonts w:ascii="黑体" w:hAnsi="黑体" w:eastAsia="黑体" w:cs="黑体"/>
          <w:color w:val="000000"/>
          <w:sz w:val="28"/>
        </w:rPr>
        <w:t>、技术要求响应及偏离表、商务要求响应及偏离表</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12.1 投标人需对招标文件中的技术要求与商务要求逐项作出响应或偏离，并说明原因。</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12.2 投标人需按照招标文件要求，在投标文件中提供与技术要求和商务要求相关的证明材料。</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1</w:t>
      </w:r>
      <w:r>
        <w:rPr>
          <w:rFonts w:ascii="Arial" w:hAnsi="Arial" w:eastAsia="Arial" w:cs="Arial"/>
          <w:color w:val="000000"/>
          <w:sz w:val="28"/>
        </w:rPr>
        <w:t>3</w:t>
      </w:r>
      <w:r>
        <w:rPr>
          <w:rFonts w:ascii="黑体" w:hAnsi="黑体" w:eastAsia="黑体" w:cs="黑体"/>
          <w:color w:val="000000"/>
          <w:sz w:val="28"/>
        </w:rPr>
        <w:t>、投标函和开标一览表</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13.1 投标人应按照招标文件中提供的格式完整、正确填写投标函、开标一览表。</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1</w:t>
      </w:r>
      <w:r>
        <w:rPr>
          <w:rFonts w:ascii="Arial" w:hAnsi="Arial" w:eastAsia="Arial" w:cs="Arial"/>
          <w:color w:val="000000"/>
          <w:sz w:val="28"/>
        </w:rPr>
        <w:t>4</w:t>
      </w:r>
      <w:r>
        <w:rPr>
          <w:rFonts w:ascii="黑体" w:hAnsi="黑体" w:eastAsia="黑体" w:cs="黑体"/>
          <w:color w:val="000000"/>
          <w:sz w:val="28"/>
        </w:rPr>
        <w:t>、投标有效期</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14.1 投标有效期为交易中心规定的开标之日后</w:t>
      </w:r>
      <w:r>
        <w:rPr>
          <w:rFonts w:ascii="宋体" w:hAnsi="宋体" w:cs="宋体"/>
          <w:b/>
          <w:color w:val="000000"/>
          <w:sz w:val="24"/>
          <w:u w:val="single"/>
        </w:rPr>
        <w:t>六十（60）天</w:t>
      </w:r>
      <w:r>
        <w:rPr>
          <w:rFonts w:ascii="宋体" w:hAnsi="宋体" w:cs="宋体"/>
          <w:color w:val="000000"/>
          <w:sz w:val="24"/>
        </w:rPr>
        <w:t>。投标有效期比规定短的将被视为未实质性响应招标文件而予以拒绝。</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1</w:t>
      </w:r>
      <w:r>
        <w:rPr>
          <w:rFonts w:ascii="Arial" w:hAnsi="Arial" w:eastAsia="Arial" w:cs="Arial"/>
          <w:color w:val="000000"/>
          <w:sz w:val="28"/>
        </w:rPr>
        <w:t>5</w:t>
      </w:r>
      <w:r>
        <w:rPr>
          <w:rFonts w:ascii="黑体" w:hAnsi="黑体" w:eastAsia="黑体" w:cs="黑体"/>
          <w:color w:val="000000"/>
          <w:sz w:val="28"/>
        </w:rPr>
        <w:t>、投标有效期的延长</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pPr>
        <w:pBdr>
          <w:top w:val="none" w:color="000000" w:sz="0" w:space="0"/>
          <w:left w:val="none" w:color="000000" w:sz="0" w:space="0"/>
          <w:bottom w:val="none" w:color="000000" w:sz="0" w:space="0"/>
          <w:right w:val="none" w:color="000000" w:sz="0" w:space="0"/>
        </w:pBdr>
        <w:spacing w:before="145" w:after="145" w:line="400" w:lineRule="atLeast"/>
        <w:ind w:firstLine="482"/>
      </w:pPr>
      <w:r>
        <w:rPr>
          <w:rFonts w:ascii="宋体" w:hAnsi="宋体" w:cs="宋体"/>
          <w:b/>
          <w:color w:val="000000"/>
          <w:sz w:val="32"/>
        </w:rPr>
        <w:t>四、投标文件的递交</w:t>
      </w:r>
    </w:p>
    <w:p>
      <w:pPr>
        <w:pBdr>
          <w:top w:val="none" w:color="000000" w:sz="0" w:space="0"/>
          <w:left w:val="none" w:color="000000" w:sz="0" w:space="0"/>
          <w:bottom w:val="none" w:color="000000" w:sz="0" w:space="0"/>
          <w:right w:val="none" w:color="000000" w:sz="0" w:space="0"/>
        </w:pBdr>
        <w:spacing w:line="400" w:lineRule="atLeast"/>
        <w:ind w:firstLine="560"/>
      </w:pPr>
      <w:r>
        <w:rPr>
          <w:rFonts w:ascii="黑体" w:hAnsi="黑体" w:eastAsia="黑体" w:cs="黑体"/>
          <w:color w:val="000000"/>
          <w:sz w:val="28"/>
        </w:rPr>
        <w:t>1</w:t>
      </w:r>
      <w:r>
        <w:rPr>
          <w:rFonts w:ascii="Arial" w:hAnsi="Arial" w:eastAsia="Arial" w:cs="Arial"/>
          <w:color w:val="000000"/>
          <w:sz w:val="28"/>
        </w:rPr>
        <w:t>6</w:t>
      </w:r>
      <w:r>
        <w:rPr>
          <w:rFonts w:ascii="黑体" w:hAnsi="黑体" w:eastAsia="黑体" w:cs="黑体"/>
          <w:color w:val="000000"/>
          <w:sz w:val="28"/>
        </w:rPr>
        <w:t>、电子投标文件的递交</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16.1 投标人应当按照《操作手册》规定，在投标截止时间前制作并上传电子投标文件。</w:t>
      </w:r>
    </w:p>
    <w:p>
      <w:pPr>
        <w:pBdr>
          <w:top w:val="none" w:color="000000" w:sz="0" w:space="0"/>
          <w:left w:val="none" w:color="000000" w:sz="0" w:space="0"/>
          <w:bottom w:val="none" w:color="000000" w:sz="0" w:space="0"/>
          <w:right w:val="none" w:color="000000" w:sz="0" w:space="0"/>
        </w:pBdr>
        <w:spacing w:before="240" w:after="240" w:line="400" w:lineRule="atLeast"/>
        <w:ind w:firstLine="420"/>
      </w:pPr>
      <w:r>
        <w:rPr>
          <w:rFonts w:ascii="黑体" w:hAnsi="黑体" w:eastAsia="黑体" w:cs="黑体"/>
          <w:color w:val="000000"/>
          <w:sz w:val="28"/>
        </w:rPr>
        <w:t>1</w:t>
      </w:r>
      <w:r>
        <w:rPr>
          <w:rFonts w:ascii="Arial" w:hAnsi="Arial" w:eastAsia="Arial" w:cs="Arial"/>
          <w:color w:val="000000"/>
          <w:sz w:val="28"/>
        </w:rPr>
        <w:t>7</w:t>
      </w:r>
      <w:r>
        <w:rPr>
          <w:rFonts w:ascii="黑体" w:hAnsi="黑体" w:eastAsia="黑体" w:cs="黑体"/>
          <w:color w:val="000000"/>
          <w:sz w:val="28"/>
        </w:rPr>
        <w:t>、投标截止时间</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17.1 投标人上传电子投标文件的时间不得迟于招标公告中规定的投标截止时间。</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投标人应充分考虑到网络环境、网络带宽等风险因素，如因投标人自身原因造成的电子投标文件上传不成功的按照本招标文件第二章第25.1.2条规定做无效投标处理。</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17.2 交易中心可以按照规定，通过修改招标文件酌情延长投标截止时间，在此情况下，投标人的所有权利和义务以及投标人受制的截止时间均应以延长后新的截止时间为准。</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1</w:t>
      </w:r>
      <w:r>
        <w:rPr>
          <w:rFonts w:ascii="Arial" w:hAnsi="Arial" w:eastAsia="Arial" w:cs="Arial"/>
          <w:color w:val="000000"/>
          <w:sz w:val="28"/>
        </w:rPr>
        <w:t>8</w:t>
      </w:r>
      <w:r>
        <w:rPr>
          <w:rFonts w:ascii="黑体" w:hAnsi="黑体" w:eastAsia="黑体" w:cs="黑体"/>
          <w:color w:val="000000"/>
          <w:sz w:val="28"/>
        </w:rPr>
        <w:t>、投标文件的拒收</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18.1交易中心拒绝接收在其规定的投标截止时间后上传的任何投标文件。</w:t>
      </w:r>
    </w:p>
    <w:p>
      <w:pPr>
        <w:pBdr>
          <w:top w:val="none" w:color="000000" w:sz="0" w:space="0"/>
          <w:left w:val="none" w:color="000000" w:sz="0" w:space="0"/>
          <w:bottom w:val="none" w:color="000000" w:sz="0" w:space="0"/>
          <w:right w:val="none" w:color="000000" w:sz="0" w:space="0"/>
        </w:pBdr>
        <w:spacing w:line="400" w:lineRule="atLeast"/>
        <w:ind w:firstLine="420"/>
      </w:pPr>
      <w:r>
        <w:rPr>
          <w:rFonts w:ascii="Arial" w:hAnsi="Arial" w:eastAsia="Arial" w:cs="Arial"/>
          <w:color w:val="000000"/>
          <w:sz w:val="28"/>
        </w:rPr>
        <w:t>19</w:t>
      </w:r>
      <w:r>
        <w:rPr>
          <w:rFonts w:ascii="黑体" w:hAnsi="黑体" w:eastAsia="黑体" w:cs="黑体"/>
          <w:color w:val="000000"/>
          <w:sz w:val="28"/>
        </w:rPr>
        <w:t>、投标文件的撤回和修改</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19.1 投标文件的撤回</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19.1.1 电子投标文件的撤回</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投标人可在投标截止时间前，撤回其电子投标文件，具体操作方法见《操作手册》。</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19.1.2 投标人撤回电子投标文件，则认为其不再参与本项目投标活动。</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19.2 投标文件的修改</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19.2.1投标人可在投标截止时间前，对其电子投标文件进行修改，具体操作方法见《操作手册》。</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19.2.2 在投标截止时间之后，投标人不得对其电子投标文件作任何修改。</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19.3 在投标截止时间至招标文件中规定的投标有效期满之间的这段时间内，投标人不得撤回其投标。</w:t>
      </w:r>
    </w:p>
    <w:p>
      <w:pPr>
        <w:pBdr>
          <w:top w:val="none" w:color="000000" w:sz="0" w:space="0"/>
          <w:left w:val="none" w:color="000000" w:sz="0" w:space="0"/>
          <w:bottom w:val="none" w:color="000000" w:sz="0" w:space="0"/>
          <w:right w:val="none" w:color="000000" w:sz="0" w:space="0"/>
        </w:pBdr>
        <w:spacing w:before="145" w:after="145" w:line="400" w:lineRule="atLeast"/>
        <w:ind w:firstLine="482"/>
      </w:pPr>
      <w:r>
        <w:rPr>
          <w:rFonts w:ascii="宋体" w:hAnsi="宋体" w:cs="宋体"/>
          <w:b/>
          <w:color w:val="000000"/>
          <w:sz w:val="32"/>
        </w:rPr>
        <w:t>五、开标与评标</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2</w:t>
      </w:r>
      <w:r>
        <w:rPr>
          <w:rFonts w:ascii="Arial" w:hAnsi="Arial" w:eastAsia="Arial" w:cs="Arial"/>
          <w:color w:val="000000"/>
          <w:sz w:val="28"/>
        </w:rPr>
        <w:t>0</w:t>
      </w:r>
      <w:r>
        <w:rPr>
          <w:rFonts w:ascii="黑体" w:hAnsi="黑体" w:eastAsia="黑体" w:cs="黑体"/>
          <w:color w:val="000000"/>
          <w:sz w:val="28"/>
        </w:rPr>
        <w:t>、开标</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20.1 交易中心将在招标公告中规定的时间和地点组织公开开标。投标人应当按照《操作手册》规定，参加开标活动和在苏采云系统规定的时间内对投标文件进行解密。</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20.2开标仪式由交易中心组织。苏采云系统将自动对项目进行开标，并展示各投标人名称和投标价格。</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20.3投标人在开标过程中涉及到的投标文件解密、开标结果确认等工作，应按照《操作手册》规定执行。</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20.4投标人如果对开标过程和开标记录有疑义，应当根据《操作手册》规定提出，如苏采云系统中《开标记录表》宣布后5分钟内未提出的，视同认可开标结果。</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2</w:t>
      </w:r>
      <w:r>
        <w:rPr>
          <w:rFonts w:ascii="Arial" w:hAnsi="Arial" w:eastAsia="Arial" w:cs="Arial"/>
          <w:color w:val="000000"/>
          <w:sz w:val="28"/>
        </w:rPr>
        <w:t>1</w:t>
      </w:r>
      <w:r>
        <w:rPr>
          <w:rFonts w:ascii="黑体" w:hAnsi="黑体" w:eastAsia="黑体" w:cs="黑体"/>
          <w:color w:val="000000"/>
          <w:sz w:val="28"/>
        </w:rPr>
        <w:t>、评标委员会</w:t>
      </w:r>
    </w:p>
    <w:p>
      <w:pPr>
        <w:pBdr>
          <w:top w:val="none" w:color="000000" w:sz="0" w:space="0"/>
          <w:left w:val="none" w:color="000000" w:sz="0" w:space="0"/>
          <w:bottom w:val="none" w:color="000000" w:sz="0" w:space="0"/>
          <w:right w:val="none" w:color="000000" w:sz="0" w:space="0"/>
        </w:pBdr>
        <w:spacing w:line="400" w:lineRule="atLeast"/>
        <w:rPr>
          <w:rFonts w:ascii="宋体" w:hAnsi="宋体" w:cs="宋体"/>
          <w:color w:val="000000"/>
          <w:sz w:val="24"/>
          <w:szCs w:val="24"/>
        </w:rPr>
      </w:pPr>
      <w:r>
        <w:rPr>
          <w:rFonts w:ascii="宋体" w:hAnsi="宋体" w:cs="宋体"/>
          <w:color w:val="000000"/>
          <w:sz w:val="24"/>
          <w:szCs w:val="24"/>
        </w:rPr>
        <w:t xml:space="preserve">    21.1开标后，交易中心将立即组织评标委员会（以下简称评委会）进行评标。</w:t>
      </w:r>
    </w:p>
    <w:p>
      <w:pPr>
        <w:pBdr>
          <w:top w:val="none" w:color="000000" w:sz="0" w:space="0"/>
          <w:left w:val="none" w:color="000000" w:sz="0" w:space="0"/>
          <w:bottom w:val="none" w:color="000000" w:sz="0" w:space="0"/>
          <w:right w:val="none" w:color="000000" w:sz="0" w:space="0"/>
        </w:pBdr>
        <w:spacing w:line="400" w:lineRule="atLeast"/>
        <w:rPr>
          <w:rFonts w:ascii="宋体" w:hAnsi="宋体" w:cs="宋体"/>
          <w:color w:val="000000"/>
          <w:sz w:val="24"/>
          <w:szCs w:val="24"/>
        </w:rPr>
      </w:pPr>
      <w:r>
        <w:rPr>
          <w:rFonts w:ascii="宋体" w:hAnsi="宋体" w:cs="宋体"/>
          <w:color w:val="000000"/>
          <w:sz w:val="24"/>
          <w:szCs w:val="24"/>
        </w:rPr>
        <w:t xml:space="preserve">    21.2评委会由采购人代表和有关技术、经济等方面的专家组成，且人员构成符合政府采购有关规定。</w:t>
      </w:r>
    </w:p>
    <w:p>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szCs w:val="24"/>
        </w:rPr>
      </w:pPr>
      <w:r>
        <w:rPr>
          <w:rFonts w:ascii="宋体" w:hAnsi="宋体" w:cs="宋体"/>
          <w:color w:val="000000"/>
          <w:sz w:val="24"/>
          <w:szCs w:val="24"/>
        </w:rPr>
        <w:t>21.3评委会独立工作，负责评审所有投标文件并确定中标候选人。</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22、评标过程的保密与公正</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22.1凡是与审查、澄清、评价和比较投标的有关资料以及授标建议等，采购人、评委、交易中心均不得向投标人或与评标无关的其他人员透露。</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22.2在评标过程中，投标人不得以任何行为影响评标过程，否则其投标文件将被作为无效投标文件。</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22.3 交易中心和评委会不向未中标的投标人解释未中标原因，也不公布评标过程中的相关细节。</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22.4 采用综合评分法的项目，未中标的投标人可于中标结果公告期限届满之日起通过苏采云系统查看自己的评审得分及排序情况。</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2</w:t>
      </w:r>
      <w:r>
        <w:rPr>
          <w:rFonts w:ascii="Arial" w:hAnsi="Arial" w:eastAsia="Arial" w:cs="Arial"/>
          <w:color w:val="000000"/>
          <w:sz w:val="28"/>
        </w:rPr>
        <w:t>3</w:t>
      </w:r>
      <w:r>
        <w:rPr>
          <w:rFonts w:ascii="黑体" w:hAnsi="黑体" w:eastAsia="黑体" w:cs="黑体"/>
          <w:color w:val="000000"/>
          <w:sz w:val="28"/>
        </w:rPr>
        <w:t>、投标文件的澄清</w:t>
      </w:r>
    </w:p>
    <w:p>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szCs w:val="24"/>
        </w:rPr>
      </w:pPr>
      <w:r>
        <w:rPr>
          <w:rFonts w:ascii="宋体" w:hAnsi="宋体" w:cs="宋体"/>
          <w:color w:val="000000"/>
          <w:sz w:val="24"/>
          <w:szCs w:val="24"/>
        </w:rPr>
        <w:t>23.1评标期间，评委会对投标文件中含义不明确、同类问题表述不一致或者有明显文字和计算错误的内容，有权要求投标人作出必要的澄清、说明或者补正。</w:t>
      </w:r>
    </w:p>
    <w:p>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szCs w:val="24"/>
        </w:rPr>
      </w:pPr>
      <w:r>
        <w:rPr>
          <w:rFonts w:ascii="宋体" w:hAnsi="宋体" w:cs="宋体"/>
          <w:color w:val="000000"/>
          <w:sz w:val="24"/>
          <w:szCs w:val="24"/>
        </w:rPr>
        <w:t>投标人的澄清、说明或者补正不得超出投标文件的范围或者改变投标文件的实质性内容。</w:t>
      </w:r>
    </w:p>
    <w:p>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szCs w:val="24"/>
        </w:rPr>
      </w:pPr>
      <w:r>
        <w:rPr>
          <w:rFonts w:ascii="宋体" w:hAnsi="宋体" w:cs="宋体"/>
          <w:color w:val="000000"/>
          <w:sz w:val="24"/>
          <w:szCs w:val="24"/>
        </w:rPr>
        <w:t>评委会并非对每个投标人都做澄清要求。</w:t>
      </w:r>
    </w:p>
    <w:p>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szCs w:val="24"/>
        </w:rPr>
      </w:pPr>
      <w:r>
        <w:rPr>
          <w:rFonts w:ascii="宋体" w:hAnsi="宋体" w:cs="宋体"/>
          <w:color w:val="000000"/>
          <w:sz w:val="24"/>
          <w:szCs w:val="24"/>
        </w:rPr>
        <w:t>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szCs w:val="24"/>
        </w:rPr>
      </w:pPr>
      <w:r>
        <w:rPr>
          <w:rFonts w:ascii="宋体" w:hAnsi="宋体" w:cs="宋体"/>
          <w:color w:val="000000"/>
          <w:sz w:val="24"/>
          <w:szCs w:val="24"/>
        </w:rPr>
        <w:t>23.3接到评委会澄清、说明和补正要求的投标人如未按规定做出澄清、说明和补正，其风险由投标人自行承担。</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2</w:t>
      </w:r>
      <w:r>
        <w:rPr>
          <w:rFonts w:ascii="Arial" w:hAnsi="Arial" w:eastAsia="Arial" w:cs="Arial"/>
          <w:color w:val="000000"/>
          <w:sz w:val="28"/>
        </w:rPr>
        <w:t>4</w:t>
      </w:r>
      <w:r>
        <w:rPr>
          <w:rFonts w:ascii="黑体" w:hAnsi="黑体" w:eastAsia="黑体" w:cs="黑体"/>
          <w:color w:val="000000"/>
          <w:sz w:val="28"/>
        </w:rPr>
        <w:t>、对投标文件的初审</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24.1投标文件初审分为资格审查和符合性审查。</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24.1.1 资格审查：依据法律法规和招标文件的规定，由采购人对投标文件中的资格证明文件进行审查。资格审查的结论，采购人以书面形式向评委会进行反馈。</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采购人在进行资格性审查的同时，将在“信用中国”网站（www.creditchina.gov.cn）和“中国政府采购网"(www.ccgp.gov.cn)查询投标人的信用记录，以确定投标人是否具备投标资格,查询结果留存并归档。</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接受联合体的项目，两个以上的自然人、法人或者其他组织组成一个联合体，以一个供应商的身份共同参加政府采购活动的,联合体成员中任何一方存在不良信用记录的，视同联合体存在不良信用记录。</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24.1.2 符合性审查：依据招标文件的规定，由评委会从投标文件的有效性、完整性和对招标文件的响应程度进行审查，以确定是否对招标文件的实质性要求作出响应。</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24.1.3 未通过资格审查或符合性审查的投标人，交易中心将在苏采云系统中告知未通过资格审查或符合性审查的原因，评审结束后，交易中心将不再告知未通过资格审查或符合性审查的原因。</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24.2在详细评标之前，评委会将首先审查每份投标文件是否实质性响应了招标文件的要求。实质性响应的投标应该是与招标文件要求的全部条款、条件和规格相符，没有重大偏离或保留的投标。</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24.3如果投标文件实质上没有响应招标文件的要求，评委会将予以拒绝，投标人不得通过修改或撤销不合要求的偏离或保留而使其投标成为实质性响应的投标。</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24.4评委会将对确定为实质性响应的投标进行进一步审核，是否有计算上或累加上的算术错误，修正错误的原则如下：</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（1）投标文件中开标一览表内容与投标文件中相应内容不一致的，以开标一览表为准。</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（2）大写金额和小写金额不一致的，以大写金额为准。</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（3）单价金额小数点或者百分比有明显错位的，以开标一览表的总价为准，并修改单价。</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（4）总价金额与按单价汇总金额不一致的，以单价金额计算结果为准。</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同时出现两种以上错误的，按照前款规定的顺序修正。</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24.5 评委会将按上述修正错误的方法调整投标文件中的投标报价，并通过苏采云系统告知投标人，调整后的价格应对投标人具有约束力。如果投标人不接受修正后的价格，则其投标将被拒绝。</w:t>
      </w:r>
    </w:p>
    <w:p>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sz w:val="24"/>
        </w:rPr>
        <w:t>24.6投标人在开、评标全过程中应保持通讯畅通，及时登录苏采云系统查阅、答复相关信息，并安排专人与交易中心及评委会联系。</w:t>
      </w:r>
    </w:p>
    <w:p>
      <w:pPr>
        <w:pBdr>
          <w:top w:val="none" w:color="000000" w:sz="0" w:space="0"/>
          <w:left w:val="none" w:color="000000" w:sz="0" w:space="0"/>
          <w:bottom w:val="none" w:color="000000" w:sz="0" w:space="0"/>
          <w:right w:val="none" w:color="000000" w:sz="0" w:space="0"/>
        </w:pBdr>
        <w:spacing w:line="400" w:lineRule="atLeast"/>
        <w:ind w:firstLine="420"/>
      </w:pPr>
      <w:r>
        <w:rPr>
          <w:rFonts w:ascii="黑体" w:hAnsi="黑体" w:eastAsia="黑体" w:cs="黑体"/>
          <w:color w:val="000000"/>
          <w:sz w:val="28"/>
        </w:rPr>
        <w:t>2</w:t>
      </w:r>
      <w:r>
        <w:rPr>
          <w:rFonts w:ascii="Arial" w:hAnsi="Arial" w:eastAsia="Arial" w:cs="Arial"/>
          <w:color w:val="000000"/>
          <w:sz w:val="28"/>
        </w:rPr>
        <w:t>5</w:t>
      </w:r>
      <w:r>
        <w:rPr>
          <w:rFonts w:ascii="黑体" w:hAnsi="黑体" w:eastAsia="黑体" w:cs="黑体"/>
          <w:color w:val="000000"/>
          <w:sz w:val="28"/>
        </w:rPr>
        <w:t>、无效投标条款和废标条款</w:t>
      </w:r>
    </w:p>
    <w:p>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25.1无效投标条款</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25.1.1 投标人在苏采云系统规定的时间内未成功解密电子投标文件的。</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25.1.2 投标人未按照招标文件要求上传电子投标文件的。</w:t>
      </w:r>
    </w:p>
    <w:p>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25.1.3 投标人同一采购包提交两个（含两个）以上不同的投标报价的。</w:t>
      </w:r>
    </w:p>
    <w:p>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25.1.4投标人不具备招标文件中规定资格要求的。</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25.1.5投标人的报价超过了采购预算或最高限价的。</w:t>
      </w:r>
    </w:p>
    <w:p>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szCs w:val="24"/>
        </w:rPr>
      </w:pPr>
      <w:r>
        <w:rPr>
          <w:rFonts w:ascii="宋体" w:hAnsi="宋体" w:cs="宋体"/>
          <w:color w:val="000000"/>
          <w:sz w:val="24"/>
        </w:rPr>
        <w:t>25.1.6未通过符合性审查的。</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szCs w:val="24"/>
        </w:rPr>
        <w:t>25.1.7不符合招标文件中规定的实质性要求的（本招标文件中斜体且有下划线部分为实质性要求）</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25.1.9 投标文件含有采购人不能接受的附加条件的。</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FF0000"/>
          <w:sz w:val="24"/>
        </w:rPr>
        <w:t>25.1.10 异常低价投标（响应）</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FF0000"/>
          <w:sz w:val="24"/>
        </w:rPr>
        <w:t>25.1.10.1投标（响应）报价低于采购项目预算 50% 的，即投标（响应）报价&lt;采购项目预算×50% ；</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FF0000"/>
          <w:sz w:val="24"/>
        </w:rPr>
        <w:t>25.1.10.2投标（响应）报价低于采购项目最高限价 45% 的，即投标（响应）报价&lt;采购项目最高限价×45% ；</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FF0000"/>
          <w:sz w:val="24"/>
        </w:rPr>
        <w:t>25.1.10.3评审委员会认定的供应商报价过低、有可能影响产品质量或者不能诚信履约的其他情形。</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FF0000"/>
          <w:sz w:val="24"/>
        </w:rPr>
        <w:t>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25.1.11 投标文件未按照招标文件要求加盖CA电子公章的。</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25.1.12其他法律、法规及本招标文件规定的属无效投标的情形。</w:t>
      </w:r>
    </w:p>
    <w:p>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25.2废标条款</w:t>
      </w:r>
    </w:p>
    <w:p>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25.2.1符合专业条件的供应商或者对招标文件作实质响应的供应商不足三家的。</w:t>
      </w:r>
    </w:p>
    <w:p>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25.2.2出现影响采购公正的违法、违规行为的。</w:t>
      </w:r>
    </w:p>
    <w:p>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25.2.3因重大变故，采购任务取消的。</w:t>
      </w:r>
    </w:p>
    <w:p>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25.2.4评委会认定招标文件存在歧义、重大缺陷导致评审工作无法进行。</w:t>
      </w:r>
    </w:p>
    <w:p>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25.2.5 因苏采云系统系统故障原因造成开标不成功的。</w:t>
      </w:r>
    </w:p>
    <w:p>
      <w:pPr>
        <w:pBdr>
          <w:top w:val="none" w:color="000000" w:sz="0" w:space="0"/>
          <w:left w:val="none" w:color="000000" w:sz="0" w:space="0"/>
          <w:bottom w:val="none" w:color="000000" w:sz="0" w:space="0"/>
          <w:right w:val="none" w:color="000000" w:sz="0" w:space="0"/>
        </w:pBdr>
        <w:spacing w:line="400" w:lineRule="atLeast"/>
        <w:ind w:left="479"/>
      </w:pPr>
      <w:r>
        <w:rPr>
          <w:rFonts w:ascii="宋体" w:hAnsi="宋体" w:cs="宋体"/>
          <w:color w:val="000000"/>
          <w:sz w:val="24"/>
        </w:rPr>
        <w:t>25.3 投标截止时间结束后参加投标的供应商不足三家的处理：</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25.3.1如出现投标截止时间结束后参加投标的供应商或者在评标期间对招标文件做出实质响应的供应商不足三家情况，按政府采购相关规定执行。</w:t>
      </w:r>
    </w:p>
    <w:p>
      <w:pPr>
        <w:pBdr>
          <w:top w:val="none" w:color="000000" w:sz="0" w:space="0"/>
          <w:left w:val="none" w:color="000000" w:sz="0" w:space="0"/>
          <w:bottom w:val="none" w:color="000000" w:sz="0" w:space="0"/>
          <w:right w:val="none" w:color="000000" w:sz="0" w:space="0"/>
        </w:pBdr>
        <w:spacing w:before="145" w:after="145" w:line="400" w:lineRule="atLeast"/>
        <w:ind w:firstLine="482"/>
      </w:pPr>
      <w:r>
        <w:rPr>
          <w:rFonts w:ascii="宋体" w:hAnsi="宋体" w:cs="宋体"/>
          <w:b/>
          <w:color w:val="000000"/>
          <w:sz w:val="32"/>
        </w:rPr>
        <w:t>六、定标</w:t>
      </w:r>
    </w:p>
    <w:p>
      <w:pPr>
        <w:pBdr>
          <w:top w:val="none" w:color="000000" w:sz="0" w:space="0"/>
          <w:left w:val="none" w:color="000000" w:sz="0" w:space="0"/>
          <w:bottom w:val="none" w:color="000000" w:sz="0" w:space="0"/>
          <w:right w:val="none" w:color="000000" w:sz="0" w:space="0"/>
        </w:pBdr>
        <w:spacing w:line="400" w:lineRule="atLeast"/>
      </w:pPr>
      <w:r>
        <w:rPr>
          <w:rFonts w:ascii="黑体" w:hAnsi="黑体" w:eastAsia="黑体" w:cs="黑体"/>
          <w:color w:val="000000"/>
          <w:sz w:val="30"/>
        </w:rPr>
        <w:t>   26、确定中标单位</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xml:space="preserve">26.1中标候选人的选取原则和数量见招标文件第五章规定。 </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26.2 采购人应根据评委会推荐的中标候选人确定中标供应商。</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26.3 交易中心将在“江苏政府采购网、扬州市政府采购网”发布中标公告，公告期限为1个工作日。</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26.4  若有充分证据证明，中标供应商出现下列情况之一的，一经查实，将被取消中标资格：</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26.4.1提供虚假材料谋取中标的。</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26.4.2向采购人、交易中心行贿或者提供其他不正当利益的。</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26.4.3属于本文件规定的无效条件，但在评标过程中又未被评委会发现的。</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26.4.4与采购人或者其他供应商恶意串通的。</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26.4.5采取不正当手段诋毁、排挤其他供应商的。</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26.5 有下列情形之一的，视为投标人串通投标，投标无效：</w:t>
      </w:r>
    </w:p>
    <w:p>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szCs w:val="24"/>
        </w:rPr>
      </w:pPr>
      <w:r>
        <w:rPr>
          <w:rFonts w:ascii="宋体" w:hAnsi="宋体" w:cs="宋体"/>
          <w:color w:val="000000"/>
          <w:sz w:val="24"/>
        </w:rPr>
        <w:t>26.5.1不同投标人的投标文件由同一单位或者个人编制。</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FF0000"/>
          <w:sz w:val="24"/>
        </w:rPr>
        <w:t>经查实，不同投标人的电子投标文件出自同一台电脑的：不同投标人的标书制作工具客户端标识码存在一致的；不同投标人从同一互联网协议地址上传投标文件的。</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26.5.2不同投标人委托同一单位或者个人办理投标事宜。</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26.5.3 不同投标人的投标文件载明的项目管理成员或者联系人员为同一人。</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26.5.4不同投标人的投标文件异常一致或者投标报价呈规律性差异。</w:t>
      </w:r>
    </w:p>
    <w:p>
      <w:pPr>
        <w:pBdr>
          <w:top w:val="none" w:color="000000" w:sz="0" w:space="0"/>
          <w:left w:val="none" w:color="000000" w:sz="0" w:space="0"/>
          <w:bottom w:val="none" w:color="000000" w:sz="0" w:space="0"/>
          <w:right w:val="none" w:color="000000" w:sz="0" w:space="0"/>
        </w:pBdr>
        <w:spacing w:line="400" w:lineRule="atLeast"/>
        <w:ind w:firstLine="480"/>
      </w:pPr>
    </w:p>
    <w:p>
      <w:pPr>
        <w:pBdr>
          <w:top w:val="none" w:color="000000" w:sz="0" w:space="0"/>
          <w:left w:val="none" w:color="000000" w:sz="0" w:space="0"/>
          <w:bottom w:val="none" w:color="000000" w:sz="0" w:space="0"/>
          <w:right w:val="none" w:color="000000" w:sz="0" w:space="0"/>
        </w:pBdr>
        <w:spacing w:line="400" w:lineRule="atLeast"/>
        <w:ind w:firstLine="480"/>
      </w:pPr>
    </w:p>
    <w:p>
      <w:pPr>
        <w:pBdr>
          <w:top w:val="none" w:color="000000" w:sz="0" w:space="0"/>
          <w:left w:val="none" w:color="000000" w:sz="0" w:space="0"/>
          <w:bottom w:val="none" w:color="000000" w:sz="0" w:space="0"/>
          <w:right w:val="none" w:color="000000" w:sz="0" w:space="0"/>
        </w:pBdr>
        <w:spacing w:line="400" w:lineRule="atLeast"/>
      </w:pPr>
      <w:r>
        <w:rPr>
          <w:rFonts w:ascii="黑体" w:hAnsi="黑体" w:eastAsia="黑体" w:cs="黑体"/>
          <w:color w:val="000000"/>
          <w:sz w:val="30"/>
        </w:rPr>
        <w:t>   27、质疑处理</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27.1 提出质疑的供应商应当是参与所质疑项目采购活动的供应商。潜在供应商依法获取其可质疑的采购文件的，可以对采购文件提出质疑。</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27.2.1对可以质疑的采购文件提出质疑的，为收到采购文件之日或者采购文件公告期限届满之日；</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27.2.2对采购过程提出质疑的，为各采购程序环节结束之日；</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27.2.3对中标或者成交结果提出质疑的，为中标或者成交结果公告期限届满之日。</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供应商应当在法定质疑期内一次性提出针对同一采购程序环节的质疑。供应商如在法定期限内对同一采购程序环节提出多次质疑的，交易中心、采购人将只对供应商第一次质疑作出答复。</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27.3质疑函必须按照本招标文件中《质疑函范本》要求的格式和内容进行填写。供应商如组成联合体参加投标，则《质疑函范本》中要求签字、盖章、加盖公章之处，联合体各方均须按要求签字、盖章、加盖公章。</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采购人及交易中心只接收以纸质原件形式送达的质疑,建议供应商尽量通过邮寄方式提交质疑（采购人和交易中心不接受无快递运单号的快递）。</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质疑接收人及联系方式见招标文件第一章。</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27.5 以下情形的质疑不予受理</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27.5.1 内容不符合《政府采购质疑和投诉办法》第十二条规定的质疑。</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27.5.2 超出政府采购法定期限的质疑。</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27.5.3 以传真、电子邮件等方式递交的非原件形式的质疑。</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27.5.4未参加投标活动的供应商或在投标活动中自身权益未受到损害的供应商所提出的质疑。</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27.5.5供应商组成联合体参加投标，联合体中任何一方或多方未按要求签字、盖章、加盖公章的质疑。</w:t>
      </w:r>
    </w:p>
    <w:p>
      <w:pPr>
        <w:pBdr>
          <w:top w:val="none" w:color="000000" w:sz="0" w:space="0"/>
          <w:left w:val="none" w:color="000000" w:sz="0" w:space="0"/>
          <w:bottom w:val="none" w:color="000000" w:sz="0" w:space="0"/>
          <w:right w:val="none" w:color="000000" w:sz="0" w:space="0"/>
        </w:pBdr>
        <w:spacing w:line="400" w:lineRule="atLeast"/>
        <w:ind w:firstLine="468"/>
      </w:pPr>
      <w:r>
        <w:rPr>
          <w:rFonts w:ascii="宋体" w:hAnsi="宋体" w:cs="宋体"/>
          <w:color w:val="000000"/>
          <w:sz w:val="24"/>
        </w:rPr>
        <w:t>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pPr>
        <w:pBdr>
          <w:top w:val="none" w:color="000000" w:sz="0" w:space="0"/>
          <w:left w:val="none" w:color="000000" w:sz="0" w:space="0"/>
          <w:bottom w:val="none" w:color="000000" w:sz="0" w:space="0"/>
          <w:right w:val="none" w:color="000000" w:sz="0" w:space="0"/>
        </w:pBdr>
        <w:spacing w:line="400" w:lineRule="atLeast"/>
        <w:ind w:firstLine="600"/>
      </w:pPr>
      <w:r>
        <w:rPr>
          <w:rFonts w:ascii="黑体" w:hAnsi="黑体" w:eastAsia="黑体" w:cs="黑体"/>
          <w:color w:val="000000"/>
          <w:sz w:val="30"/>
        </w:rPr>
        <w:t>28、中标通知书</w:t>
      </w:r>
    </w:p>
    <w:p>
      <w:pPr>
        <w:pBdr>
          <w:top w:val="none" w:color="000000" w:sz="0" w:space="0"/>
          <w:left w:val="none" w:color="000000" w:sz="0" w:space="0"/>
          <w:bottom w:val="none" w:color="000000" w:sz="0" w:space="0"/>
          <w:right w:val="none" w:color="000000" w:sz="0" w:space="0"/>
        </w:pBdr>
        <w:spacing w:line="400" w:lineRule="atLeast"/>
        <w:ind w:firstLine="600"/>
      </w:pPr>
      <w:r>
        <w:rPr>
          <w:rFonts w:ascii="宋体" w:hAnsi="宋体" w:cs="宋体"/>
          <w:color w:val="000000"/>
          <w:sz w:val="24"/>
        </w:rPr>
        <w:t>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pPr>
        <w:pBdr>
          <w:top w:val="none" w:color="000000" w:sz="0" w:space="0"/>
          <w:left w:val="none" w:color="000000" w:sz="0" w:space="0"/>
          <w:bottom w:val="none" w:color="000000" w:sz="0" w:space="0"/>
          <w:right w:val="none" w:color="000000" w:sz="0" w:space="0"/>
        </w:pBdr>
        <w:spacing w:line="400" w:lineRule="atLeast"/>
        <w:ind w:firstLine="600"/>
      </w:pPr>
      <w:r>
        <w:rPr>
          <w:rFonts w:ascii="宋体" w:hAnsi="宋体" w:cs="宋体"/>
          <w:color w:val="000000"/>
          <w:sz w:val="24"/>
        </w:rPr>
        <w:t>28.2中标通知书将是合同的一个组成部分。对采购人和中标供应商均具有法律效力。中标通知书发出后，采购人改变中标结果的，或者中标供应商放弃中标项目的，应当依法承担法律责任。</w:t>
      </w:r>
    </w:p>
    <w:p>
      <w:pPr>
        <w:pBdr>
          <w:top w:val="none" w:color="000000" w:sz="0" w:space="0"/>
          <w:left w:val="none" w:color="000000" w:sz="0" w:space="0"/>
          <w:bottom w:val="none" w:color="000000" w:sz="0" w:space="0"/>
          <w:right w:val="none" w:color="000000" w:sz="0" w:space="0"/>
        </w:pBdr>
        <w:spacing w:before="145" w:after="145" w:line="400" w:lineRule="atLeast"/>
      </w:pPr>
      <w:r>
        <w:rPr>
          <w:rFonts w:ascii="宋体" w:hAnsi="宋体" w:cs="宋体"/>
          <w:b/>
          <w:color w:val="000000"/>
          <w:sz w:val="32"/>
        </w:rPr>
        <w:t>七、授予合同</w:t>
      </w:r>
    </w:p>
    <w:p>
      <w:pPr>
        <w:pBdr>
          <w:top w:val="none" w:color="000000" w:sz="0" w:space="0"/>
          <w:left w:val="none" w:color="000000" w:sz="0" w:space="0"/>
          <w:bottom w:val="none" w:color="000000" w:sz="0" w:space="0"/>
          <w:right w:val="none" w:color="000000" w:sz="0" w:space="0"/>
        </w:pBdr>
        <w:spacing w:line="400" w:lineRule="atLeast"/>
        <w:ind w:firstLine="600"/>
      </w:pPr>
      <w:r>
        <w:rPr>
          <w:rFonts w:ascii="黑体" w:hAnsi="黑体" w:eastAsia="黑体" w:cs="黑体"/>
          <w:color w:val="000000"/>
          <w:sz w:val="30"/>
        </w:rPr>
        <w:t>29、签订合同</w:t>
      </w:r>
    </w:p>
    <w:p>
      <w:pPr>
        <w:pBdr>
          <w:top w:val="none" w:color="000000" w:sz="0" w:space="0"/>
          <w:left w:val="none" w:color="000000" w:sz="0" w:space="0"/>
          <w:bottom w:val="none" w:color="000000" w:sz="0" w:space="0"/>
          <w:right w:val="none" w:color="000000" w:sz="0" w:space="0"/>
        </w:pBdr>
        <w:spacing w:line="400" w:lineRule="atLeast"/>
        <w:ind w:firstLine="600"/>
      </w:pPr>
      <w:r>
        <w:rPr>
          <w:rFonts w:ascii="宋体" w:hAnsi="宋体" w:cs="宋体"/>
          <w:color w:val="000000"/>
          <w:sz w:val="24"/>
        </w:rPr>
        <w:t>29.l中标供应商应当在中标通知书发出之日起三十日内，按照招标文件确定的事项与采购人签订政府采购合同。</w:t>
      </w:r>
    </w:p>
    <w:p>
      <w:pPr>
        <w:pBdr>
          <w:top w:val="none" w:color="000000" w:sz="0" w:space="0"/>
          <w:left w:val="none" w:color="000000" w:sz="0" w:space="0"/>
          <w:bottom w:val="none" w:color="000000" w:sz="0" w:space="0"/>
          <w:right w:val="none" w:color="000000" w:sz="0" w:space="0"/>
        </w:pBdr>
        <w:spacing w:line="400" w:lineRule="atLeast"/>
        <w:ind w:firstLine="600"/>
      </w:pPr>
      <w:r>
        <w:rPr>
          <w:rFonts w:ascii="宋体" w:hAnsi="宋体" w:cs="宋体"/>
          <w:color w:val="000000"/>
          <w:sz w:val="24"/>
        </w:rPr>
        <w:t>29.2招标文件、中标供应商的投标文件及招标过程中有关澄清、承诺文件均应作为合同附件。</w:t>
      </w:r>
    </w:p>
    <w:p>
      <w:pPr>
        <w:pBdr>
          <w:top w:val="none" w:color="000000" w:sz="0" w:space="0"/>
          <w:left w:val="none" w:color="000000" w:sz="0" w:space="0"/>
          <w:bottom w:val="none" w:color="000000" w:sz="0" w:space="0"/>
          <w:right w:val="none" w:color="000000" w:sz="0" w:space="0"/>
        </w:pBdr>
        <w:spacing w:line="400" w:lineRule="atLeast"/>
        <w:ind w:firstLine="600"/>
      </w:pPr>
      <w:r>
        <w:rPr>
          <w:rFonts w:ascii="宋体" w:hAnsi="宋体" w:cs="宋体"/>
          <w:color w:val="000000"/>
          <w:sz w:val="24"/>
        </w:rPr>
        <w:t>29.3 签订合同后，中标供应商不得将合同标的进行转包。未经采购人同意，中标供应商也不得采用分包的形式履行合同，否则采购人有权终止合同。转包或分包造成采购人损失的，中标供应商应承担相应赔偿责任。</w:t>
      </w:r>
    </w:p>
    <w:p>
      <w:pPr>
        <w:pBdr>
          <w:top w:val="none" w:color="000000" w:sz="0" w:space="0"/>
          <w:left w:val="none" w:color="000000" w:sz="0" w:space="0"/>
          <w:bottom w:val="none" w:color="000000" w:sz="0" w:space="0"/>
          <w:right w:val="none" w:color="000000" w:sz="0" w:space="0"/>
        </w:pBdr>
        <w:spacing w:line="400" w:lineRule="atLeast"/>
        <w:ind w:firstLine="600"/>
        <w:rPr>
          <w:rFonts w:ascii="黑体" w:hAnsi="黑体" w:eastAsia="黑体" w:cs="黑体"/>
          <w:color w:val="000000"/>
          <w:sz w:val="30"/>
          <w:szCs w:val="30"/>
        </w:rPr>
      </w:pPr>
      <w:r>
        <w:rPr>
          <w:rFonts w:ascii="黑体" w:hAnsi="黑体" w:eastAsia="黑体" w:cs="黑体"/>
          <w:color w:val="000000"/>
          <w:sz w:val="30"/>
        </w:rPr>
        <w:t>30、政府采购履约资金扶持政策</w:t>
      </w:r>
    </w:p>
    <w:p>
      <w:pPr>
        <w:pBdr>
          <w:top w:val="none" w:color="000000" w:sz="0" w:space="0"/>
          <w:left w:val="none" w:color="000000" w:sz="0" w:space="0"/>
          <w:bottom w:val="none" w:color="000000" w:sz="0" w:space="0"/>
          <w:right w:val="none" w:color="000000" w:sz="0" w:space="0"/>
        </w:pBdr>
        <w:spacing w:line="400" w:lineRule="atLeast"/>
        <w:ind w:firstLine="600"/>
        <w:rPr>
          <w:rFonts w:ascii="宋体" w:hAnsi="宋体" w:cs="宋体"/>
          <w:color w:val="000000"/>
          <w:sz w:val="24"/>
        </w:rPr>
      </w:pPr>
      <w:r>
        <w:rPr>
          <w:rFonts w:ascii="宋体" w:hAnsi="宋体" w:cs="宋体"/>
          <w:color w:val="000000"/>
          <w:sz w:val="24"/>
        </w:rPr>
        <w:t>中标供应商可凭政府采购合同办理融资贷款，详情请见江苏政府采购网“政采贷”专栏。</w:t>
      </w:r>
    </w:p>
    <w:p>
      <w:pPr>
        <w:pBdr>
          <w:top w:val="none" w:color="000000" w:sz="0" w:space="0"/>
          <w:left w:val="none" w:color="000000" w:sz="0" w:space="0"/>
          <w:bottom w:val="none" w:color="000000" w:sz="0" w:space="0"/>
          <w:right w:val="none" w:color="000000" w:sz="0" w:space="0"/>
        </w:pBdr>
        <w:spacing w:before="145" w:after="145" w:line="400" w:lineRule="atLeast"/>
        <w:rPr>
          <w:rFonts w:ascii="宋体" w:hAnsi="宋体" w:cs="宋体"/>
          <w:b/>
          <w:color w:val="000000"/>
          <w:sz w:val="32"/>
        </w:rPr>
      </w:pPr>
      <w:r>
        <w:rPr>
          <w:rFonts w:hint="eastAsia" w:ascii="宋体" w:hAnsi="宋体" w:cs="宋体"/>
          <w:b/>
          <w:color w:val="000000"/>
          <w:sz w:val="32"/>
        </w:rPr>
        <w:t>八、联合投标</w:t>
      </w:r>
    </w:p>
    <w:p>
      <w:pPr>
        <w:pStyle w:val="5"/>
        <w:rPr>
          <w:rFonts w:ascii="宋体" w:hAnsi="宋体"/>
          <w:sz w:val="24"/>
          <w:szCs w:val="24"/>
        </w:rPr>
      </w:pPr>
      <w:r>
        <w:rPr>
          <w:rFonts w:hint="eastAsia" w:ascii="宋体" w:hAnsi="宋体"/>
          <w:sz w:val="24"/>
          <w:szCs w:val="24"/>
        </w:rPr>
        <w:t>两个以上自然人、法人或者其他组织可以组成一个联合体，以一个投标人的身份共同参加政府采购活动。</w:t>
      </w:r>
    </w:p>
    <w:p>
      <w:pPr>
        <w:pStyle w:val="5"/>
        <w:rPr>
          <w:rFonts w:ascii="宋体" w:hAnsi="宋体"/>
          <w:sz w:val="24"/>
          <w:szCs w:val="24"/>
        </w:rPr>
      </w:pPr>
      <w:r>
        <w:rPr>
          <w:rFonts w:hint="eastAsia" w:ascii="宋体" w:hAnsi="宋体"/>
          <w:sz w:val="24"/>
          <w:szCs w:val="24"/>
        </w:rPr>
        <w:t>联合体各方均应符合《政府采购法》第二十二条规定的条件。</w:t>
      </w:r>
      <w:r>
        <w:rPr>
          <w:rFonts w:ascii="宋体" w:hAnsi="宋体"/>
          <w:sz w:val="24"/>
          <w:szCs w:val="24"/>
        </w:rPr>
        <w:t>联合体各方应</w:t>
      </w:r>
      <w:r>
        <w:rPr>
          <w:rFonts w:hint="eastAsia" w:ascii="宋体" w:hAnsi="宋体"/>
          <w:sz w:val="24"/>
          <w:szCs w:val="24"/>
        </w:rPr>
        <w:t>共同</w:t>
      </w:r>
      <w:r>
        <w:rPr>
          <w:rFonts w:ascii="宋体" w:hAnsi="宋体"/>
          <w:sz w:val="24"/>
          <w:szCs w:val="24"/>
        </w:rPr>
        <w:t>签订</w:t>
      </w:r>
      <w:r>
        <w:rPr>
          <w:rFonts w:hint="eastAsia" w:ascii="宋体" w:hAnsi="宋体"/>
          <w:sz w:val="24"/>
          <w:szCs w:val="24"/>
        </w:rPr>
        <w:t>《</w:t>
      </w:r>
      <w:r>
        <w:rPr>
          <w:rFonts w:ascii="宋体" w:hAnsi="宋体"/>
          <w:sz w:val="24"/>
          <w:szCs w:val="24"/>
        </w:rPr>
        <w:t>联合投标协议</w:t>
      </w:r>
      <w:r>
        <w:rPr>
          <w:rFonts w:hint="eastAsia" w:ascii="宋体" w:hAnsi="宋体"/>
          <w:sz w:val="24"/>
          <w:szCs w:val="24"/>
        </w:rPr>
        <w:t>》</w:t>
      </w:r>
      <w:r>
        <w:rPr>
          <w:rFonts w:ascii="宋体" w:hAnsi="宋体"/>
          <w:sz w:val="24"/>
          <w:szCs w:val="24"/>
        </w:rPr>
        <w:t>，明确各方承担的工作和相应的责任，</w:t>
      </w:r>
      <w:r>
        <w:rPr>
          <w:rFonts w:hint="eastAsia" w:ascii="宋体" w:hAnsi="宋体"/>
          <w:sz w:val="24"/>
          <w:szCs w:val="24"/>
        </w:rPr>
        <w:t>《</w:t>
      </w:r>
      <w:r>
        <w:rPr>
          <w:rFonts w:ascii="宋体" w:hAnsi="宋体"/>
          <w:sz w:val="24"/>
          <w:szCs w:val="24"/>
        </w:rPr>
        <w:t>联合投标协议</w:t>
      </w:r>
      <w:r>
        <w:rPr>
          <w:rFonts w:hint="eastAsia" w:ascii="宋体" w:hAnsi="宋体"/>
          <w:sz w:val="24"/>
          <w:szCs w:val="24"/>
        </w:rPr>
        <w:t>》</w:t>
      </w:r>
      <w:r>
        <w:rPr>
          <w:rFonts w:ascii="宋体" w:hAnsi="宋体"/>
          <w:sz w:val="24"/>
          <w:szCs w:val="24"/>
        </w:rPr>
        <w:t>及联合体各方的资格证明文件</w:t>
      </w:r>
      <w:r>
        <w:rPr>
          <w:rFonts w:hint="eastAsia" w:ascii="宋体" w:hAnsi="宋体"/>
          <w:sz w:val="24"/>
          <w:szCs w:val="24"/>
        </w:rPr>
        <w:t>应按要求</w:t>
      </w:r>
      <w:r>
        <w:rPr>
          <w:rFonts w:ascii="宋体" w:hAnsi="宋体"/>
          <w:sz w:val="24"/>
          <w:szCs w:val="24"/>
        </w:rPr>
        <w:t>装订于投标文件中。</w:t>
      </w:r>
    </w:p>
    <w:p>
      <w:pPr>
        <w:pStyle w:val="5"/>
        <w:rPr>
          <w:rFonts w:ascii="宋体" w:hAnsi="宋体"/>
          <w:sz w:val="24"/>
          <w:szCs w:val="24"/>
        </w:rPr>
      </w:pPr>
      <w:r>
        <w:rPr>
          <w:rFonts w:hint="eastAsia" w:ascii="宋体" w:hAnsi="宋体"/>
          <w:sz w:val="24"/>
          <w:szCs w:val="24"/>
        </w:rPr>
        <w:t>联合体中有同类资质的供应商按照联合体分工承担相同工作的，应当按照资质等级较低的供应商确定资质等级。</w:t>
      </w:r>
    </w:p>
    <w:p>
      <w:pPr>
        <w:pBdr>
          <w:top w:val="none" w:color="000000" w:sz="0" w:space="0"/>
          <w:left w:val="none" w:color="000000" w:sz="0" w:space="0"/>
          <w:bottom w:val="none" w:color="000000" w:sz="0" w:space="0"/>
          <w:right w:val="none" w:color="000000" w:sz="0" w:space="0"/>
        </w:pBdr>
        <w:spacing w:line="400" w:lineRule="atLeast"/>
        <w:ind w:firstLine="600"/>
      </w:pPr>
      <w:r>
        <w:rPr>
          <w:rFonts w:hint="eastAsia" w:ascii="宋体" w:hAnsi="宋体"/>
          <w:sz w:val="24"/>
          <w:szCs w:val="24"/>
        </w:rPr>
        <w:t>以联合体形式参加政府采购活动的，联合体各方不得再单独参加或者与其他供应商另外组成联合体参加同一合同项下的政府采购活动。</w:t>
      </w:r>
    </w:p>
    <w:p>
      <w:pPr>
        <w:pBdr>
          <w:top w:val="none" w:color="000000" w:sz="0" w:space="0"/>
          <w:left w:val="none" w:color="000000" w:sz="0" w:space="0"/>
          <w:bottom w:val="none" w:color="000000" w:sz="0" w:space="0"/>
          <w:right w:val="none" w:color="000000" w:sz="0" w:space="0"/>
        </w:pBdr>
        <w:spacing w:line="400" w:lineRule="atLeast"/>
        <w:ind w:firstLine="600"/>
        <w:rPr>
          <w:rFonts w:ascii="宋体" w:hAnsi="宋体" w:cs="宋体"/>
          <w:color w:val="000000"/>
          <w:sz w:val="24"/>
        </w:rPr>
      </w:pPr>
    </w:p>
    <w:p>
      <w:pPr>
        <w:pBdr>
          <w:top w:val="none" w:color="000000" w:sz="0" w:space="0"/>
          <w:left w:val="none" w:color="000000" w:sz="0" w:space="0"/>
          <w:bottom w:val="none" w:color="000000" w:sz="0" w:space="0"/>
          <w:right w:val="none" w:color="000000" w:sz="0" w:space="0"/>
        </w:pBdr>
        <w:spacing w:before="240" w:after="240"/>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pPr>
      <w:r>
        <w:rPr>
          <w:rFonts w:eastAsia="Times New Roman"/>
          <w:color w:val="000000"/>
        </w:rPr>
        <w:t> </w:t>
      </w:r>
    </w:p>
    <w:p>
      <w:pPr>
        <w:pBdr>
          <w:top w:val="none" w:color="000000" w:sz="0" w:space="0"/>
          <w:left w:val="none" w:color="000000" w:sz="0" w:space="0"/>
          <w:bottom w:val="none" w:color="000000" w:sz="0" w:space="0"/>
          <w:right w:val="none" w:color="000000" w:sz="0" w:space="0"/>
        </w:pBdr>
      </w:pPr>
      <w:r>
        <w:rPr>
          <w:rFonts w:eastAsia="Times New Roman"/>
          <w:color w:val="000000"/>
        </w:rPr>
        <w:t> </w:t>
      </w:r>
    </w:p>
    <w:p>
      <w:pPr>
        <w:pBdr>
          <w:top w:val="none" w:color="000000" w:sz="0" w:space="0"/>
          <w:left w:val="none" w:color="000000" w:sz="0" w:space="0"/>
          <w:bottom w:val="none" w:color="000000" w:sz="0" w:space="0"/>
          <w:right w:val="none" w:color="000000" w:sz="0" w:space="0"/>
        </w:pBdr>
      </w:pPr>
      <w:r>
        <w:rPr>
          <w:rFonts w:eastAsia="Times New Roman"/>
          <w:color w:val="000000"/>
        </w:rPr>
        <w:t> </w:t>
      </w:r>
    </w:p>
    <w:p>
      <w:pPr>
        <w:pBdr>
          <w:top w:val="none" w:color="000000" w:sz="0" w:space="0"/>
          <w:left w:val="none" w:color="000000" w:sz="0" w:space="0"/>
          <w:bottom w:val="none" w:color="000000" w:sz="0" w:space="0"/>
          <w:right w:val="none" w:color="000000" w:sz="0" w:space="0"/>
        </w:pBdr>
      </w:pPr>
      <w:r>
        <w:rPr>
          <w:rFonts w:eastAsia="Times New Roman"/>
          <w:color w:val="000000"/>
        </w:rPr>
        <w:t> </w:t>
      </w:r>
    </w:p>
    <w:p>
      <w:pPr>
        <w:pBdr>
          <w:top w:val="none" w:color="000000" w:sz="0" w:space="0"/>
          <w:left w:val="none" w:color="000000" w:sz="0" w:space="0"/>
          <w:bottom w:val="none" w:color="000000" w:sz="0" w:space="0"/>
          <w:right w:val="none" w:color="000000" w:sz="0" w:space="0"/>
        </w:pBdr>
        <w:spacing w:before="240" w:after="240"/>
        <w:rPr>
          <w:rFonts w:eastAsia="Times New Roman"/>
        </w:rPr>
      </w:pPr>
      <w:r>
        <w:rPr>
          <w:rFonts w:ascii="黑体" w:hAnsi="黑体" w:eastAsia="黑体" w:cs="黑体"/>
          <w:b/>
          <w:color w:val="000000"/>
          <w:sz w:val="44"/>
        </w:rPr>
        <w:t> </w:t>
      </w:r>
    </w:p>
    <w:p>
      <w:pPr>
        <w:pStyle w:val="2"/>
        <w:pBdr>
          <w:top w:val="none" w:color="000000" w:sz="0" w:space="0"/>
          <w:left w:val="none" w:color="000000" w:sz="0" w:space="0"/>
          <w:bottom w:val="none" w:color="000000" w:sz="0" w:space="0"/>
          <w:right w:val="none" w:color="000000" w:sz="0" w:space="0"/>
        </w:pBdr>
        <w:spacing w:before="480" w:after="200"/>
        <w:rPr>
          <w:rFonts w:hint="eastAsia"/>
        </w:rPr>
      </w:pPr>
      <w:r>
        <w:rPr>
          <w:rFonts w:ascii="黑体" w:hAnsi="黑体" w:cs="黑体"/>
          <w:b/>
          <w:color w:val="000000"/>
        </w:rPr>
        <w:t>第三章 合同文本</w:t>
      </w:r>
    </w:p>
    <w:p>
      <w:pPr>
        <w:pBdr>
          <w:top w:val="none" w:color="000000" w:sz="0" w:space="0"/>
          <w:left w:val="none" w:color="000000" w:sz="0" w:space="0"/>
          <w:bottom w:val="none" w:color="000000" w:sz="0" w:space="0"/>
          <w:right w:val="none" w:color="000000" w:sz="0" w:space="0"/>
        </w:pBdr>
        <w:spacing w:before="145" w:after="145"/>
        <w:jc w:val="center"/>
        <w:rPr>
          <w:rFonts w:ascii="宋体" w:hAnsi="宋体" w:cs="宋体"/>
          <w:b/>
          <w:color w:val="000000"/>
          <w:sz w:val="30"/>
        </w:rPr>
      </w:pPr>
    </w:p>
    <w:p>
      <w:pPr>
        <w:pBdr>
          <w:top w:val="none" w:color="000000" w:sz="0" w:space="0"/>
          <w:left w:val="none" w:color="000000" w:sz="0" w:space="0"/>
          <w:bottom w:val="none" w:color="000000" w:sz="0" w:space="0"/>
          <w:right w:val="none" w:color="000000" w:sz="0" w:space="0"/>
        </w:pBdr>
        <w:spacing w:before="145" w:after="145"/>
        <w:jc w:val="center"/>
      </w:pPr>
      <w:r>
        <w:rPr>
          <w:rFonts w:ascii="宋体" w:hAnsi="宋体" w:cs="宋体"/>
          <w:b/>
          <w:color w:val="000000"/>
          <w:sz w:val="30"/>
        </w:rPr>
        <w:t>江苏省政府采购合同（服务）（合同编号）</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项目名称：*****                   </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项目编号：*****             </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采购包号：*****</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甲方：（买方/采购人）_________</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乙方：（卖方/中标供应商）_________</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   </w:t>
      </w:r>
      <w:r>
        <w:rPr>
          <w:rFonts w:ascii="宋体" w:hAnsi="宋体" w:cs="宋体"/>
          <w:color w:val="000000"/>
          <w:sz w:val="24"/>
        </w:rPr>
        <w:t>甲、乙双方根据扬州市公共资源交易中心</w:t>
      </w:r>
      <w:r>
        <w:rPr>
          <w:rFonts w:ascii="宋体" w:hAnsi="宋体" w:cs="宋体"/>
          <w:color w:val="000000"/>
          <w:sz w:val="24"/>
          <w:u w:val="single"/>
        </w:rPr>
        <w:t>         </w:t>
      </w:r>
      <w:r>
        <w:rPr>
          <w:rFonts w:ascii="宋体" w:hAnsi="宋体" w:cs="宋体"/>
          <w:color w:val="000000"/>
          <w:sz w:val="24"/>
        </w:rPr>
        <w:t>项目公开招标的结果，签署本合同。</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一、合同内容</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1.1 标的名称：</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1.2标的质量：</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1.3 标的数量（规模）：</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1.4 履行时间（期限）：</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1.5 履行地点：</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1.6 履行方式：</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二、合同金额</w:t>
      </w:r>
    </w:p>
    <w:p>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2.1 本合同金额为（大写）：________圆（________元）人民币或其他币种。</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三、技术资料</w:t>
      </w:r>
    </w:p>
    <w:p>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3.1乙方应按招标文件规定的时间向甲方提供服务（包含与服务相关的货物）的有关技术资料。</w:t>
      </w:r>
    </w:p>
    <w:p>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Bdr>
          <w:top w:val="none" w:color="000000" w:sz="0" w:space="0"/>
          <w:left w:val="none" w:color="000000" w:sz="0" w:space="0"/>
          <w:bottom w:val="none" w:color="000000" w:sz="0" w:space="0"/>
          <w:right w:val="none" w:color="000000" w:sz="0" w:space="0"/>
        </w:pBdr>
        <w:spacing w:before="120" w:after="120"/>
        <w:ind w:left="412" w:hanging="412"/>
      </w:pPr>
      <w:r>
        <w:rPr>
          <w:rFonts w:ascii="宋体" w:hAnsi="宋体" w:cs="宋体"/>
          <w:b/>
          <w:color w:val="000000"/>
          <w:sz w:val="24"/>
        </w:rPr>
        <w:t>四、知识产权</w:t>
      </w:r>
    </w:p>
    <w:p>
      <w:pPr>
        <w:pBdr>
          <w:top w:val="none" w:color="000000" w:sz="0" w:space="0"/>
          <w:left w:val="none" w:color="000000" w:sz="0" w:space="0"/>
          <w:bottom w:val="none" w:color="000000" w:sz="0" w:space="0"/>
          <w:right w:val="none" w:color="000000" w:sz="0" w:space="0"/>
        </w:pBdr>
        <w:spacing w:before="120" w:after="120"/>
        <w:ind w:left="408" w:hanging="408"/>
        <w:rPr>
          <w:rFonts w:ascii="宋体" w:hAnsi="宋体" w:cs="宋体"/>
          <w:color w:val="000000"/>
          <w:sz w:val="24"/>
        </w:rPr>
      </w:pPr>
      <w:r>
        <w:rPr>
          <w:rFonts w:ascii="宋体" w:hAnsi="宋体" w:cs="宋体"/>
          <w:color w:val="000000"/>
          <w:sz w:val="24"/>
        </w:rPr>
        <w:t>4.1乙方应保证甲方在使用、接受本合同服务（包含与服务相关的货物）或其任何一部分时不受第三方提出侵犯其专利权、版权、商标权和工业设计权等知识产权的起诉。一旦出现侵权，由乙方负全部责任。</w:t>
      </w:r>
    </w:p>
    <w:p>
      <w:pPr>
        <w:pBdr>
          <w:top w:val="none" w:color="000000" w:sz="0" w:space="0"/>
          <w:left w:val="none" w:color="000000" w:sz="0" w:space="0"/>
          <w:bottom w:val="none" w:color="000000" w:sz="0" w:space="0"/>
          <w:right w:val="none" w:color="000000" w:sz="0" w:space="0"/>
        </w:pBdr>
        <w:spacing w:before="120" w:after="120"/>
        <w:ind w:left="408" w:hanging="408"/>
        <w:rPr>
          <w:rFonts w:ascii="宋体" w:hAnsi="宋体" w:cs="宋体"/>
          <w:color w:val="000000"/>
          <w:sz w:val="24"/>
          <w:highlight w:val="cyan"/>
        </w:rPr>
      </w:pPr>
      <w:r>
        <w:rPr>
          <w:rFonts w:hint="eastAsia" w:ascii="宋体" w:hAnsi="宋体" w:cs="宋体"/>
          <w:color w:val="000000"/>
          <w:sz w:val="24"/>
        </w:rPr>
        <w:t>4.2</w:t>
      </w:r>
      <w:r>
        <w:rPr>
          <w:rFonts w:hint="eastAsia" w:ascii="宋体" w:hAnsi="宋体" w:cs="宋体"/>
          <w:color w:val="000000" w:themeColor="text1"/>
          <w:sz w:val="24"/>
          <w14:textFill>
            <w14:solidFill>
              <w14:schemeClr w14:val="tx1"/>
            </w14:solidFill>
          </w14:textFill>
        </w:rPr>
        <w:t>乙方保证所交付的货物（包含与货物相关的服务）的所有权完全属于甲方且无任何抵押、查封等产权瑕疵。本项目开发前乙方已经拥有的知识产权归乙方拥有。根据本项目需求所定制开发的软件的知识产权归甲方所有。乙方承诺将本项目定制化开发的软件最新版源代码文件全部提供给甲方。</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五、产权担保</w:t>
      </w:r>
    </w:p>
    <w:p>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5.1 乙方保证所交付的服务（包含与服务相关的货物）的所有权完全属于乙方且无任何抵押、查封等产权瑕疵。</w:t>
      </w:r>
    </w:p>
    <w:p>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b/>
          <w:color w:val="000000"/>
          <w:sz w:val="24"/>
        </w:rPr>
        <w:t>六、履约保证金</w:t>
      </w:r>
    </w:p>
    <w:p>
      <w:pPr>
        <w:pBdr>
          <w:top w:val="none" w:color="000000" w:sz="0" w:space="0"/>
          <w:left w:val="none" w:color="000000" w:sz="0" w:space="0"/>
          <w:bottom w:val="none" w:color="000000" w:sz="0" w:space="0"/>
          <w:right w:val="none" w:color="000000" w:sz="0" w:space="0"/>
        </w:pBdr>
        <w:spacing w:before="120" w:after="120"/>
        <w:ind w:left="408" w:hanging="408"/>
        <w:rPr>
          <w:color w:val="000000" w:themeColor="text1"/>
          <w14:textFill>
            <w14:solidFill>
              <w14:schemeClr w14:val="tx1"/>
            </w14:solidFill>
          </w14:textFill>
        </w:rPr>
      </w:pPr>
      <w:r>
        <w:rPr>
          <w:rFonts w:ascii="宋体" w:hAnsi="宋体" w:cs="宋体"/>
          <w:color w:val="000000"/>
          <w:sz w:val="24"/>
        </w:rPr>
        <w:t>6.1 乙方交纳人民币___</w:t>
      </w:r>
      <w:r>
        <w:rPr>
          <w:rFonts w:ascii="宋体" w:hAnsi="宋体" w:cs="宋体"/>
          <w:color w:val="000000" w:themeColor="text1"/>
          <w:sz w:val="24"/>
          <w:u w:val="single"/>
          <w14:textFill>
            <w14:solidFill>
              <w14:schemeClr w14:val="tx1"/>
            </w14:solidFill>
          </w14:textFill>
        </w:rPr>
        <w:t>零</w:t>
      </w:r>
      <w:r>
        <w:rPr>
          <w:rFonts w:ascii="宋体" w:hAnsi="宋体" w:cs="宋体"/>
          <w:color w:val="000000" w:themeColor="text1"/>
          <w:sz w:val="24"/>
          <w14:textFill>
            <w14:solidFill>
              <w14:schemeClr w14:val="tx1"/>
            </w14:solidFill>
          </w14:textFill>
        </w:rPr>
        <w:t>______元作为本合同的履约保证金。（不得超过合同金额的10%）</w:t>
      </w:r>
    </w:p>
    <w:p>
      <w:pPr>
        <w:pBdr>
          <w:top w:val="none" w:color="000000" w:sz="0" w:space="0"/>
          <w:left w:val="none" w:color="000000" w:sz="0" w:space="0"/>
          <w:bottom w:val="none" w:color="000000" w:sz="0" w:space="0"/>
          <w:right w:val="none" w:color="000000" w:sz="0" w:space="0"/>
        </w:pBdr>
        <w:spacing w:before="120" w:after="120"/>
        <w:ind w:left="408" w:hanging="408"/>
        <w:rPr>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6.2合同履行结束后，甲方应及时退还交纳的履约保证金。</w:t>
      </w:r>
    </w:p>
    <w:p>
      <w:pPr>
        <w:pBdr>
          <w:top w:val="none" w:color="000000" w:sz="0" w:space="0"/>
          <w:left w:val="none" w:color="000000" w:sz="0" w:space="0"/>
          <w:bottom w:val="none" w:color="000000" w:sz="0" w:space="0"/>
          <w:right w:val="none" w:color="000000" w:sz="0" w:space="0"/>
        </w:pBdr>
        <w:spacing w:before="120" w:after="120"/>
        <w:ind w:left="408" w:hanging="408"/>
        <w:rPr>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6.2.1履约保证金退还方式：无</w:t>
      </w:r>
    </w:p>
    <w:p>
      <w:pPr>
        <w:pBdr>
          <w:top w:val="none" w:color="000000" w:sz="0" w:space="0"/>
          <w:left w:val="none" w:color="000000" w:sz="0" w:space="0"/>
          <w:bottom w:val="none" w:color="000000" w:sz="0" w:space="0"/>
          <w:right w:val="none" w:color="000000" w:sz="0" w:space="0"/>
        </w:pBdr>
        <w:spacing w:before="120" w:after="120"/>
        <w:ind w:left="408" w:hanging="408"/>
        <w:rPr>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6.2.2履约保证金退还时间：无</w:t>
      </w:r>
    </w:p>
    <w:p>
      <w:pPr>
        <w:pBdr>
          <w:top w:val="none" w:color="000000" w:sz="0" w:space="0"/>
          <w:left w:val="none" w:color="000000" w:sz="0" w:space="0"/>
          <w:bottom w:val="none" w:color="000000" w:sz="0" w:space="0"/>
          <w:right w:val="none" w:color="000000" w:sz="0" w:space="0"/>
        </w:pBdr>
        <w:spacing w:before="120" w:after="120"/>
        <w:ind w:left="408" w:hanging="408"/>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6.2.3履约保证金退还条件：无</w:t>
      </w:r>
    </w:p>
    <w:p>
      <w:pPr>
        <w:pBdr>
          <w:top w:val="none" w:color="000000" w:sz="0" w:space="0"/>
          <w:left w:val="none" w:color="000000" w:sz="0" w:space="0"/>
          <w:bottom w:val="none" w:color="000000" w:sz="0" w:space="0"/>
          <w:right w:val="none" w:color="000000" w:sz="0" w:space="0"/>
        </w:pBdr>
        <w:spacing w:before="120" w:after="120"/>
        <w:ind w:left="408" w:hanging="408"/>
        <w:rPr>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6.2.4履约保证金不予退还的情形：无</w:t>
      </w:r>
    </w:p>
    <w:p>
      <w:pPr>
        <w:pBdr>
          <w:top w:val="none" w:color="000000" w:sz="0" w:space="0"/>
          <w:left w:val="none" w:color="000000" w:sz="0" w:space="0"/>
          <w:bottom w:val="none" w:color="000000" w:sz="0" w:space="0"/>
          <w:right w:val="none" w:color="000000" w:sz="0" w:space="0"/>
        </w:pBdr>
        <w:spacing w:before="120" w:after="120"/>
        <w:ind w:left="408" w:hanging="408"/>
        <w:rPr>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6.2.5履约保证金逾期退还的违约责任：无</w:t>
      </w:r>
    </w:p>
    <w:p>
      <w:pPr>
        <w:pBdr>
          <w:top w:val="none" w:color="000000" w:sz="0" w:space="0"/>
          <w:left w:val="none" w:color="000000" w:sz="0" w:space="0"/>
          <w:bottom w:val="none" w:color="000000" w:sz="0" w:space="0"/>
          <w:right w:val="none" w:color="000000" w:sz="0" w:space="0"/>
        </w:pBdr>
        <w:spacing w:before="145" w:after="145"/>
      </w:pPr>
      <w:r>
        <w:rPr>
          <w:rFonts w:ascii="宋体" w:hAnsi="宋体" w:cs="宋体"/>
          <w:b/>
          <w:color w:val="000000"/>
          <w:sz w:val="24"/>
        </w:rPr>
        <w:t>七、合同转包或分包</w:t>
      </w:r>
    </w:p>
    <w:p>
      <w:pPr>
        <w:pBdr>
          <w:top w:val="none" w:color="000000" w:sz="0" w:space="0"/>
          <w:left w:val="none" w:color="000000" w:sz="0" w:space="0"/>
          <w:bottom w:val="none" w:color="000000" w:sz="0" w:space="0"/>
          <w:right w:val="none" w:color="000000" w:sz="0" w:space="0"/>
        </w:pBdr>
        <w:spacing w:before="145" w:after="145"/>
      </w:pPr>
      <w:r>
        <w:rPr>
          <w:rFonts w:ascii="宋体" w:hAnsi="宋体" w:cs="宋体"/>
          <w:color w:val="000000"/>
          <w:sz w:val="24"/>
        </w:rPr>
        <w:t>7.1乙方不得将合同标的转包给他人履行。</w:t>
      </w:r>
    </w:p>
    <w:p>
      <w:pPr>
        <w:pBdr>
          <w:top w:val="none" w:color="000000" w:sz="0" w:space="0"/>
          <w:left w:val="none" w:color="000000" w:sz="0" w:space="0"/>
          <w:bottom w:val="none" w:color="000000" w:sz="0" w:space="0"/>
          <w:right w:val="none" w:color="000000" w:sz="0" w:space="0"/>
        </w:pBdr>
        <w:spacing w:before="145" w:after="145"/>
      </w:pPr>
      <w:r>
        <w:rPr>
          <w:rFonts w:ascii="宋体" w:hAnsi="宋体" w:cs="宋体"/>
          <w:color w:val="000000"/>
          <w:sz w:val="24"/>
        </w:rPr>
        <w:t>7.2乙方不得将合同标的分包给他人履行。</w:t>
      </w:r>
    </w:p>
    <w:p>
      <w:pPr>
        <w:pBdr>
          <w:top w:val="none" w:color="000000" w:sz="0" w:space="0"/>
          <w:left w:val="none" w:color="000000" w:sz="0" w:space="0"/>
          <w:bottom w:val="none" w:color="000000" w:sz="0" w:space="0"/>
          <w:right w:val="none" w:color="000000" w:sz="0" w:space="0"/>
        </w:pBdr>
        <w:spacing w:before="145" w:after="145"/>
      </w:pPr>
      <w:r>
        <w:rPr>
          <w:rFonts w:ascii="宋体" w:hAnsi="宋体" w:cs="宋体"/>
          <w:color w:val="000000"/>
          <w:sz w:val="24"/>
        </w:rPr>
        <w:t>7.3乙方如有转包或未经甲方同意的分包行为，甲方有权解除合同。</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八、合同款项支付</w:t>
      </w:r>
    </w:p>
    <w:p>
      <w:pPr>
        <w:pBdr>
          <w:top w:val="none" w:color="000000" w:sz="0" w:space="0"/>
          <w:left w:val="none" w:color="000000" w:sz="0" w:space="0"/>
          <w:bottom w:val="none" w:color="000000" w:sz="0" w:space="0"/>
          <w:right w:val="none" w:color="000000" w:sz="0" w:space="0"/>
        </w:pBdr>
        <w:spacing w:before="145" w:after="145"/>
      </w:pPr>
      <w:r>
        <w:rPr>
          <w:rFonts w:ascii="宋体" w:hAnsi="宋体" w:cs="宋体"/>
          <w:color w:val="000000"/>
          <w:sz w:val="24"/>
        </w:rPr>
        <w:t>8.1合同款项的支付方式及进度安排</w:t>
      </w:r>
    </w:p>
    <w:p>
      <w:pPr>
        <w:pStyle w:val="298"/>
        <w:ind w:firstLine="480"/>
        <w:rPr>
          <w:rFonts w:hint="default" w:ascii="宋体" w:hAnsi="宋体" w:cs="宋体"/>
          <w:b/>
          <w:color w:val="000000"/>
        </w:rPr>
      </w:pPr>
      <w:r>
        <w:rPr>
          <w:rFonts w:asciiTheme="minorEastAsia" w:hAnsiTheme="minorEastAsia" w:eastAsiaTheme="minorEastAsia" w:cstheme="minorEastAsia"/>
          <w:szCs w:val="24"/>
        </w:rPr>
        <w:t>合同签订后，甲方自收到发票之日起10个工作日内支付合同总价30%的预付款；项目试运行，甲方自收到发票之日起10个工作日内支付合同总价的30%；项目验收后，甲方自收到发票之日起10个工作日内支付合同总价的40%。</w:t>
      </w:r>
    </w:p>
    <w:p>
      <w:pPr>
        <w:pBdr>
          <w:top w:val="none" w:color="000000" w:sz="0" w:space="0"/>
          <w:left w:val="none" w:color="000000" w:sz="0" w:space="0"/>
          <w:bottom w:val="none" w:color="000000" w:sz="0" w:space="0"/>
          <w:right w:val="none" w:color="000000" w:sz="0" w:space="0"/>
        </w:pBdr>
        <w:spacing w:before="145" w:after="145"/>
      </w:pPr>
      <w:r>
        <w:rPr>
          <w:rFonts w:ascii="宋体" w:hAnsi="宋体" w:cs="宋体"/>
          <w:b/>
          <w:color w:val="000000"/>
          <w:sz w:val="24"/>
        </w:rPr>
        <w:t>九、税费</w:t>
      </w:r>
    </w:p>
    <w:p>
      <w:pPr>
        <w:pBdr>
          <w:top w:val="none" w:color="000000" w:sz="0" w:space="0"/>
          <w:left w:val="none" w:color="000000" w:sz="0" w:space="0"/>
          <w:bottom w:val="none" w:color="000000" w:sz="0" w:space="0"/>
          <w:right w:val="none" w:color="000000" w:sz="0" w:space="0"/>
        </w:pBdr>
        <w:spacing w:before="145" w:after="145"/>
      </w:pPr>
      <w:r>
        <w:rPr>
          <w:rFonts w:ascii="宋体" w:hAnsi="宋体" w:cs="宋体"/>
          <w:color w:val="000000"/>
          <w:sz w:val="24"/>
        </w:rPr>
        <w:t>9.1本合同执行中相关的一切税费均由乙方负担。</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十、项目验收</w:t>
      </w:r>
    </w:p>
    <w:p>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10.1甲方依法组织履约验收工作。</w:t>
      </w:r>
    </w:p>
    <w:p>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10.3对于实际使用人和甲方分离的项目，甲方邀请实际使用人参与验收。</w:t>
      </w:r>
    </w:p>
    <w:p>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10.4如有必要，甲方邀请参加本项目的其他供应商或第三方专业机构及专家参与验收，相关意见将作为验收书的参考资料。</w:t>
      </w:r>
    </w:p>
    <w:p>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十一、违约责任</w:t>
      </w:r>
    </w:p>
    <w:p>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11.1甲方无正当理由拒绝接受乙方提供服务的，甲方向乙方偿付拒绝接受服务合同价款总值</w:t>
      </w:r>
      <w:r>
        <w:rPr>
          <w:rFonts w:ascii="宋体" w:hAnsi="宋体" w:cs="宋体"/>
          <w:color w:val="000000"/>
          <w:sz w:val="24"/>
          <w:u w:val="single"/>
        </w:rPr>
        <w:t>    </w:t>
      </w:r>
      <w:r>
        <w:rPr>
          <w:rFonts w:ascii="宋体" w:hAnsi="宋体" w:cs="宋体"/>
          <w:color w:val="000000"/>
          <w:sz w:val="24"/>
        </w:rPr>
        <w:t>的违约金。</w:t>
      </w:r>
    </w:p>
    <w:p>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11.2甲方无故逾期验收和办理合同款项支付手续的,甲方应按逾期付款总额</w:t>
      </w:r>
      <w:r>
        <w:rPr>
          <w:rFonts w:ascii="宋体" w:hAnsi="宋体" w:cs="宋体"/>
          <w:color w:val="000000"/>
          <w:sz w:val="24"/>
          <w:u w:val="single"/>
        </w:rPr>
        <w:t>    </w:t>
      </w:r>
      <w:r>
        <w:rPr>
          <w:rFonts w:ascii="宋体" w:hAnsi="宋体" w:cs="宋体"/>
          <w:color w:val="000000"/>
          <w:sz w:val="24"/>
        </w:rPr>
        <w:t>每日向乙方支付违约金。</w:t>
      </w:r>
    </w:p>
    <w:p>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w:t>
      </w:r>
      <w:r>
        <w:rPr>
          <w:rFonts w:ascii="宋体" w:hAnsi="宋体" w:cs="宋体"/>
          <w:color w:val="000000"/>
          <w:sz w:val="24"/>
        </w:rPr>
        <w:t xml:space="preserve">的违约金，如造成甲方损失超过违约金的，超出部分由乙方继续承担赔偿责任。 </w:t>
      </w:r>
    </w:p>
    <w:p>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11.4 乙方所提供服务的标准不符合合同规定及招标文件规定标准的，甲方有权拒绝接受服务，并可单方面解除合同。</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十二、不可抗力事件处理</w:t>
      </w:r>
    </w:p>
    <w:p>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12.1在合同有效期内，任何一方因不可抗力事件导致不能履行合同，则合同履行期可延长，其延长期与不可抗力影响期相同。</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12.2不可抗力事件发生后，应立即通知对方，并寄送有关权威机构出具的证明。</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12.3不可抗力事件延续120天以上，双方应通过友好协商，确定是否继续履行合同。</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十三、解决争议的方法</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13.1双方在签订、履行合同中所发生的一切争议，应通过友好协商解决。如协商不成，由甲方住所地人民法院管辖。</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十四、合同生效及其它</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14.1合同经双方法定代表人或授权委托代表人签字并加盖单位公章后生效。</w:t>
      </w:r>
    </w:p>
    <w:p>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14.2本合同未尽事宜，遵照中华人民共和国现行法律法规有关条文执行。</w:t>
      </w:r>
    </w:p>
    <w:p>
      <w:pPr>
        <w:pBdr>
          <w:top w:val="none" w:color="000000" w:sz="0" w:space="0"/>
          <w:left w:val="none" w:color="000000" w:sz="0" w:space="0"/>
          <w:bottom w:val="none" w:color="000000" w:sz="0" w:space="0"/>
          <w:right w:val="none" w:color="000000" w:sz="0" w:space="0"/>
        </w:pBdr>
        <w:spacing w:before="120" w:after="120"/>
        <w:ind w:left="480" w:hanging="480"/>
        <w:rPr>
          <w:rFonts w:ascii="宋体" w:hAnsi="宋体" w:cs="宋体"/>
          <w:color w:val="000000"/>
          <w:sz w:val="24"/>
          <w:szCs w:val="24"/>
        </w:rPr>
      </w:pPr>
      <w:r>
        <w:rPr>
          <w:rFonts w:ascii="宋体" w:hAnsi="宋体" w:cs="宋体"/>
          <w:color w:val="000000"/>
          <w:sz w:val="24"/>
        </w:rPr>
        <w:t>14.3本合同正本一式两份，具有同等法律效力，甲方、乙方各执一份。</w:t>
      </w:r>
    </w:p>
    <w:p>
      <w:pPr>
        <w:pBdr>
          <w:top w:val="none" w:color="000000" w:sz="0" w:space="0"/>
          <w:left w:val="none" w:color="000000" w:sz="0" w:space="0"/>
          <w:bottom w:val="none" w:color="000000" w:sz="0" w:space="0"/>
          <w:right w:val="none" w:color="000000" w:sz="0" w:space="0"/>
        </w:pBdr>
        <w:spacing w:before="120" w:after="120"/>
        <w:rPr>
          <w:rFonts w:ascii="宋体" w:hAnsi="宋体" w:cs="宋体"/>
          <w:color w:val="000000"/>
          <w:sz w:val="24"/>
          <w:szCs w:val="24"/>
        </w:rPr>
      </w:pPr>
    </w:p>
    <w:p>
      <w:pPr>
        <w:pBdr>
          <w:top w:val="none" w:color="000000" w:sz="0" w:space="0"/>
          <w:left w:val="none" w:color="000000" w:sz="0" w:space="0"/>
          <w:bottom w:val="none" w:color="000000" w:sz="0" w:space="0"/>
          <w:right w:val="none" w:color="000000" w:sz="0" w:space="0"/>
        </w:pBdr>
        <w:spacing w:before="120" w:after="120"/>
      </w:pPr>
    </w:p>
    <w:tbl>
      <w:tblPr>
        <w:tblStyle w:val="56"/>
        <w:tblW w:w="8953" w:type="dxa"/>
        <w:jc w:val="center"/>
        <w:tblInd w:w="0" w:type="dxa"/>
        <w:tblLayout w:type="fixed"/>
        <w:tblCellMar>
          <w:top w:w="0" w:type="dxa"/>
          <w:left w:w="108" w:type="dxa"/>
          <w:bottom w:w="0" w:type="dxa"/>
          <w:right w:w="108" w:type="dxa"/>
        </w:tblCellMar>
      </w:tblPr>
      <w:tblGrid>
        <w:gridCol w:w="4480"/>
        <w:gridCol w:w="4473"/>
      </w:tblGrid>
      <w:tr>
        <w:tblPrEx>
          <w:tblLayout w:type="fixed"/>
          <w:tblCellMar>
            <w:top w:w="0" w:type="dxa"/>
            <w:left w:w="108" w:type="dxa"/>
            <w:bottom w:w="0" w:type="dxa"/>
            <w:right w:w="108" w:type="dxa"/>
          </w:tblCellMar>
        </w:tblPrEx>
        <w:trPr>
          <w:jc w:val="center"/>
        </w:trPr>
        <w:tc>
          <w:tcPr>
            <w:tcW w:w="4480" w:type="dxa"/>
            <w:tcBorders>
              <w:top w:val="nil"/>
              <w:left w:val="nil"/>
              <w:bottom w:val="nil"/>
              <w:right w:val="nil"/>
            </w:tcBorders>
          </w:tcPr>
          <w:p>
            <w:pPr>
              <w:pBdr>
                <w:top w:val="none" w:color="000000" w:sz="0" w:space="0"/>
                <w:left w:val="none" w:color="000000" w:sz="0" w:space="0"/>
                <w:bottom w:val="none" w:color="000000" w:sz="0" w:space="0"/>
                <w:right w:val="none" w:color="000000" w:sz="0" w:space="0"/>
              </w:pBdr>
              <w:spacing w:before="120" w:after="120"/>
              <w:jc w:val="left"/>
              <w:rPr>
                <w:rFonts w:ascii="宋体" w:hAnsi="宋体" w:cs="宋体"/>
                <w:color w:val="000000"/>
              </w:rPr>
            </w:pPr>
            <w:r>
              <w:rPr>
                <w:rFonts w:ascii="宋体" w:hAnsi="宋体" w:cs="宋体"/>
                <w:color w:val="000000"/>
                <w:sz w:val="24"/>
                <w:szCs w:val="24"/>
              </w:rPr>
              <w:t>甲方：</w:t>
            </w:r>
          </w:p>
        </w:tc>
        <w:tc>
          <w:tcPr>
            <w:tcW w:w="4473" w:type="dxa"/>
            <w:tcBorders>
              <w:top w:val="nil"/>
              <w:left w:val="nil"/>
              <w:bottom w:val="nil"/>
              <w:right w:val="nil"/>
            </w:tcBorders>
          </w:tcPr>
          <w:p>
            <w:pPr>
              <w:pBdr>
                <w:top w:val="none" w:color="000000" w:sz="0" w:space="0"/>
                <w:left w:val="none" w:color="000000" w:sz="0" w:space="0"/>
                <w:bottom w:val="none" w:color="000000" w:sz="0" w:space="0"/>
                <w:right w:val="none" w:color="000000" w:sz="0" w:space="0"/>
              </w:pBdr>
              <w:spacing w:before="120" w:after="120"/>
              <w:jc w:val="left"/>
              <w:rPr>
                <w:rFonts w:ascii="宋体" w:hAnsi="宋体" w:cs="宋体"/>
                <w:color w:val="000000"/>
              </w:rPr>
            </w:pPr>
            <w:r>
              <w:rPr>
                <w:rFonts w:ascii="宋体" w:hAnsi="宋体" w:cs="宋体"/>
                <w:color w:val="000000"/>
                <w:sz w:val="24"/>
                <w:szCs w:val="24"/>
              </w:rPr>
              <w:t>乙方：</w:t>
            </w:r>
          </w:p>
        </w:tc>
      </w:tr>
      <w:tr>
        <w:tblPrEx>
          <w:tblLayout w:type="fixed"/>
        </w:tblPrEx>
        <w:trPr>
          <w:jc w:val="center"/>
        </w:trPr>
        <w:tc>
          <w:tcPr>
            <w:tcW w:w="4480" w:type="dxa"/>
            <w:tcBorders>
              <w:top w:val="nil"/>
              <w:left w:val="nil"/>
              <w:bottom w:val="nil"/>
              <w:right w:val="nil"/>
            </w:tcBorders>
          </w:tcPr>
          <w:p>
            <w:pPr>
              <w:pBdr>
                <w:top w:val="none" w:color="000000" w:sz="0" w:space="0"/>
                <w:left w:val="none" w:color="000000" w:sz="0" w:space="0"/>
                <w:bottom w:val="none" w:color="000000" w:sz="0" w:space="0"/>
                <w:right w:val="none" w:color="000000" w:sz="0" w:space="0"/>
              </w:pBdr>
              <w:spacing w:before="120" w:after="120"/>
              <w:jc w:val="left"/>
              <w:rPr>
                <w:rFonts w:ascii="宋体" w:hAnsi="宋体" w:cs="宋体"/>
                <w:color w:val="000000"/>
              </w:rPr>
            </w:pPr>
            <w:r>
              <w:rPr>
                <w:rFonts w:ascii="宋体" w:hAnsi="宋体" w:cs="宋体"/>
                <w:color w:val="000000"/>
                <w:sz w:val="24"/>
                <w:szCs w:val="24"/>
              </w:rPr>
              <w:t>地址： </w:t>
            </w:r>
          </w:p>
        </w:tc>
        <w:tc>
          <w:tcPr>
            <w:tcW w:w="4473" w:type="dxa"/>
            <w:tcBorders>
              <w:top w:val="nil"/>
              <w:left w:val="nil"/>
              <w:bottom w:val="nil"/>
              <w:right w:val="nil"/>
            </w:tcBorders>
          </w:tcPr>
          <w:p>
            <w:pPr>
              <w:pBdr>
                <w:top w:val="none" w:color="000000" w:sz="0" w:space="0"/>
                <w:left w:val="none" w:color="000000" w:sz="0" w:space="0"/>
                <w:bottom w:val="none" w:color="000000" w:sz="0" w:space="0"/>
                <w:right w:val="none" w:color="000000" w:sz="0" w:space="0"/>
              </w:pBdr>
              <w:spacing w:before="120" w:after="120"/>
              <w:jc w:val="left"/>
              <w:rPr>
                <w:rFonts w:ascii="宋体" w:hAnsi="宋体" w:cs="宋体"/>
                <w:color w:val="000000"/>
              </w:rPr>
            </w:pPr>
            <w:r>
              <w:rPr>
                <w:rFonts w:ascii="宋体" w:hAnsi="宋体" w:cs="宋体"/>
                <w:color w:val="000000"/>
                <w:sz w:val="24"/>
                <w:szCs w:val="24"/>
              </w:rPr>
              <w:t>地址：</w:t>
            </w:r>
          </w:p>
        </w:tc>
      </w:tr>
      <w:tr>
        <w:tblPrEx>
          <w:tblLayout w:type="fixed"/>
          <w:tblCellMar>
            <w:top w:w="0" w:type="dxa"/>
            <w:left w:w="108" w:type="dxa"/>
            <w:bottom w:w="0" w:type="dxa"/>
            <w:right w:w="108" w:type="dxa"/>
          </w:tblCellMar>
        </w:tblPrEx>
        <w:trPr>
          <w:jc w:val="center"/>
        </w:trPr>
        <w:tc>
          <w:tcPr>
            <w:tcW w:w="4480" w:type="dxa"/>
            <w:tcBorders>
              <w:top w:val="nil"/>
              <w:left w:val="nil"/>
              <w:bottom w:val="nil"/>
              <w:right w:val="nil"/>
            </w:tcBorders>
          </w:tcPr>
          <w:p>
            <w:pPr>
              <w:pBdr>
                <w:top w:val="none" w:color="000000" w:sz="0" w:space="0"/>
                <w:left w:val="none" w:color="000000" w:sz="0" w:space="0"/>
                <w:bottom w:val="none" w:color="000000" w:sz="0" w:space="0"/>
                <w:right w:val="none" w:color="000000" w:sz="0" w:space="0"/>
              </w:pBdr>
              <w:spacing w:before="120" w:after="120"/>
              <w:jc w:val="left"/>
              <w:rPr>
                <w:rFonts w:ascii="宋体" w:hAnsi="宋体" w:cs="宋体"/>
                <w:color w:val="000000"/>
              </w:rPr>
            </w:pPr>
            <w:r>
              <w:rPr>
                <w:rFonts w:ascii="宋体" w:hAnsi="宋体" w:cs="宋体"/>
                <w:color w:val="000000"/>
                <w:sz w:val="24"/>
                <w:szCs w:val="24"/>
              </w:rPr>
              <w:t>法定代表人或授权代表：</w:t>
            </w:r>
          </w:p>
        </w:tc>
        <w:tc>
          <w:tcPr>
            <w:tcW w:w="4473" w:type="dxa"/>
            <w:tcBorders>
              <w:top w:val="nil"/>
              <w:left w:val="nil"/>
              <w:bottom w:val="nil"/>
              <w:right w:val="nil"/>
            </w:tcBorders>
          </w:tcPr>
          <w:p>
            <w:pPr>
              <w:pBdr>
                <w:top w:val="none" w:color="000000" w:sz="0" w:space="0"/>
                <w:left w:val="none" w:color="000000" w:sz="0" w:space="0"/>
                <w:bottom w:val="none" w:color="000000" w:sz="0" w:space="0"/>
                <w:right w:val="none" w:color="000000" w:sz="0" w:space="0"/>
              </w:pBdr>
              <w:spacing w:before="120" w:after="120"/>
              <w:jc w:val="left"/>
              <w:rPr>
                <w:rFonts w:ascii="宋体" w:hAnsi="宋体" w:cs="宋体"/>
                <w:color w:val="000000"/>
              </w:rPr>
            </w:pPr>
            <w:r>
              <w:rPr>
                <w:rFonts w:ascii="宋体" w:hAnsi="宋体" w:cs="宋体"/>
                <w:color w:val="000000"/>
                <w:sz w:val="24"/>
                <w:szCs w:val="24"/>
              </w:rPr>
              <w:t>法定代表人或授权代表：</w:t>
            </w:r>
          </w:p>
        </w:tc>
      </w:tr>
      <w:tr>
        <w:tblPrEx>
          <w:tblLayout w:type="fixed"/>
          <w:tblCellMar>
            <w:top w:w="0" w:type="dxa"/>
            <w:left w:w="108" w:type="dxa"/>
            <w:bottom w:w="0" w:type="dxa"/>
            <w:right w:w="108" w:type="dxa"/>
          </w:tblCellMar>
        </w:tblPrEx>
        <w:trPr>
          <w:trHeight w:val="507" w:hRule="atLeast"/>
          <w:jc w:val="center"/>
        </w:trPr>
        <w:tc>
          <w:tcPr>
            <w:tcW w:w="4480" w:type="dxa"/>
            <w:tcBorders>
              <w:top w:val="nil"/>
              <w:left w:val="nil"/>
              <w:bottom w:val="nil"/>
              <w:right w:val="nil"/>
            </w:tcBorders>
          </w:tcPr>
          <w:p>
            <w:pPr>
              <w:pBdr>
                <w:top w:val="none" w:color="000000" w:sz="0" w:space="0"/>
                <w:left w:val="none" w:color="000000" w:sz="0" w:space="0"/>
                <w:bottom w:val="none" w:color="000000" w:sz="0" w:space="0"/>
                <w:right w:val="none" w:color="000000" w:sz="0" w:space="0"/>
              </w:pBdr>
              <w:spacing w:before="120" w:after="120"/>
              <w:jc w:val="left"/>
              <w:rPr>
                <w:rFonts w:ascii="宋体" w:hAnsi="宋体" w:cs="宋体"/>
                <w:color w:val="000000"/>
              </w:rPr>
            </w:pPr>
            <w:r>
              <w:rPr>
                <w:rFonts w:ascii="宋体" w:hAnsi="宋体" w:cs="宋体"/>
                <w:color w:val="000000"/>
                <w:sz w:val="24"/>
                <w:szCs w:val="24"/>
              </w:rPr>
              <w:t xml:space="preserve">联系电话：    </w:t>
            </w:r>
          </w:p>
        </w:tc>
        <w:tc>
          <w:tcPr>
            <w:tcW w:w="4473" w:type="dxa"/>
            <w:tcBorders>
              <w:top w:val="nil"/>
              <w:left w:val="nil"/>
              <w:bottom w:val="nil"/>
              <w:right w:val="nil"/>
            </w:tcBorders>
          </w:tcPr>
          <w:p>
            <w:pPr>
              <w:pBdr>
                <w:top w:val="none" w:color="000000" w:sz="0" w:space="0"/>
                <w:left w:val="none" w:color="000000" w:sz="0" w:space="0"/>
                <w:bottom w:val="none" w:color="000000" w:sz="0" w:space="0"/>
                <w:right w:val="none" w:color="000000" w:sz="0" w:space="0"/>
              </w:pBdr>
              <w:spacing w:before="120" w:after="120"/>
              <w:jc w:val="left"/>
              <w:rPr>
                <w:rFonts w:ascii="宋体" w:hAnsi="宋体" w:cs="宋体"/>
                <w:color w:val="000000"/>
              </w:rPr>
            </w:pPr>
            <w:r>
              <w:rPr>
                <w:rFonts w:ascii="宋体" w:hAnsi="宋体" w:cs="宋体"/>
                <w:color w:val="000000"/>
                <w:sz w:val="24"/>
                <w:szCs w:val="24"/>
              </w:rPr>
              <w:t>联系电话：</w:t>
            </w:r>
          </w:p>
        </w:tc>
      </w:tr>
    </w:tbl>
    <w:p>
      <w:pPr>
        <w:pBdr>
          <w:top w:val="none" w:color="000000" w:sz="0" w:space="0"/>
          <w:left w:val="none" w:color="000000" w:sz="0" w:space="0"/>
          <w:bottom w:val="none" w:color="000000" w:sz="0" w:space="0"/>
          <w:right w:val="none" w:color="000000" w:sz="0" w:space="0"/>
        </w:pBdr>
        <w:spacing w:before="120" w:after="120"/>
        <w:jc w:val="cente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spacing w:before="120" w:after="120"/>
        <w:jc w:val="right"/>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before="120" w:after="120"/>
        <w:jc w:val="center"/>
      </w:pPr>
      <w:r>
        <w:rPr>
          <w:rFonts w:ascii="宋体" w:hAnsi="宋体" w:cs="宋体"/>
          <w:color w:val="000000"/>
          <w:sz w:val="24"/>
        </w:rPr>
        <w:t xml:space="preserve">                                签订日期：</w:t>
      </w:r>
      <w:r>
        <w:rPr>
          <w:rFonts w:hint="eastAsia" w:ascii="宋体" w:hAnsi="宋体" w:cs="宋体"/>
          <w:color w:val="000000"/>
          <w:sz w:val="24"/>
        </w:rPr>
        <w:t xml:space="preserve"> </w:t>
      </w:r>
      <w:r>
        <w:rPr>
          <w:rFonts w:ascii="宋体" w:hAnsi="宋体" w:cs="宋体"/>
          <w:color w:val="000000"/>
          <w:sz w:val="24"/>
        </w:rPr>
        <w:t xml:space="preserve">    年  月   日</w:t>
      </w:r>
      <w:r>
        <w:rPr>
          <w:rFonts w:ascii="宋体" w:hAnsi="宋体" w:cs="宋体"/>
          <w:color w:val="000000"/>
          <w:sz w:val="24"/>
        </w:rPr>
        <w:br w:type="page" w:clear="all"/>
      </w:r>
    </w:p>
    <w:p>
      <w:pPr>
        <w:pStyle w:val="2"/>
        <w:pBdr>
          <w:top w:val="none" w:color="000000" w:sz="0" w:space="0"/>
          <w:left w:val="none" w:color="000000" w:sz="0" w:space="0"/>
          <w:bottom w:val="none" w:color="000000" w:sz="0" w:space="0"/>
          <w:right w:val="none" w:color="000000" w:sz="0" w:space="0"/>
        </w:pBdr>
        <w:spacing w:before="480" w:after="200"/>
        <w:rPr>
          <w:rFonts w:hint="eastAsia"/>
        </w:rPr>
      </w:pPr>
      <w:r>
        <w:rPr>
          <w:rFonts w:ascii="黑体" w:hAnsi="黑体" w:cs="黑体"/>
          <w:b/>
          <w:color w:val="000000"/>
        </w:rPr>
        <w:t>第四章 采购需求</w:t>
      </w:r>
    </w:p>
    <w:p>
      <w:pPr>
        <w:pBdr>
          <w:top w:val="none" w:color="000000" w:sz="0" w:space="0"/>
          <w:left w:val="none" w:color="000000" w:sz="0" w:space="0"/>
          <w:bottom w:val="none" w:color="000000" w:sz="0" w:space="0"/>
          <w:right w:val="none" w:color="000000" w:sz="0" w:space="0"/>
        </w:pBdr>
        <w:ind w:left="495" w:hanging="495"/>
      </w:pPr>
      <w:r>
        <w:rPr>
          <w:rFonts w:ascii="宋体" w:hAnsi="宋体" w:cs="宋体"/>
          <w:b/>
          <w:color w:val="000000"/>
          <w:sz w:val="24"/>
        </w:rPr>
        <w:t>项目属性:服务类项目</w:t>
      </w:r>
    </w:p>
    <w:p>
      <w:pPr>
        <w:pBdr>
          <w:top w:val="none" w:color="000000" w:sz="0" w:space="0"/>
          <w:left w:val="none" w:color="000000" w:sz="0" w:space="0"/>
          <w:bottom w:val="none" w:color="000000" w:sz="0" w:space="0"/>
          <w:right w:val="none" w:color="000000" w:sz="0" w:space="0"/>
        </w:pBdr>
        <w:ind w:left="495" w:hanging="495"/>
      </w:pPr>
    </w:p>
    <w:p>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1</w:t>
      </w:r>
      <w:r>
        <w:rPr>
          <w:rFonts w:eastAsia="Times New Roman"/>
          <w:color w:val="000000"/>
          <w:sz w:val="24"/>
        </w:rPr>
        <w:t>.</w:t>
      </w:r>
      <w:r>
        <w:rPr>
          <w:rFonts w:ascii="宋体" w:hAnsi="宋体" w:cs="宋体"/>
          <w:color w:val="000000"/>
          <w:sz w:val="24"/>
        </w:rPr>
        <w:t>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ascii="宋体" w:hAnsi="宋体" w:cs="宋体"/>
          <w:color w:val="000000"/>
          <w:sz w:val="24"/>
          <w:u w:val="single"/>
        </w:rPr>
        <w:t> </w:t>
      </w:r>
      <w:r>
        <w:rPr>
          <w:rFonts w:eastAsia="Times New Roman"/>
          <w:color w:val="000000"/>
          <w:sz w:val="24"/>
          <w:u w:val="single"/>
        </w:rPr>
        <w:t>   无</w:t>
      </w:r>
      <w:r>
        <w:rPr>
          <w:rFonts w:ascii="宋体" w:hAnsi="宋体" w:cs="宋体"/>
          <w:color w:val="000000"/>
          <w:sz w:val="24"/>
          <w:u w:val="single"/>
        </w:rPr>
        <w:t> </w:t>
      </w:r>
      <w:r>
        <w:rPr>
          <w:rFonts w:eastAsia="Times New Roman"/>
          <w:color w:val="000000"/>
          <w:sz w:val="24"/>
          <w:u w:val="single"/>
        </w:rPr>
        <w:t> </w:t>
      </w:r>
      <w:r>
        <w:rPr>
          <w:rFonts w:ascii="宋体" w:hAnsi="宋体" w:cs="宋体"/>
          <w:color w:val="000000"/>
          <w:sz w:val="24"/>
        </w:rPr>
        <w:t>。</w:t>
      </w:r>
    </w:p>
    <w:p>
      <w:pPr>
        <w:pBdr>
          <w:top w:val="none" w:color="000000" w:sz="0" w:space="0"/>
          <w:left w:val="none" w:color="000000" w:sz="0" w:space="0"/>
          <w:bottom w:val="none" w:color="000000" w:sz="0" w:space="0"/>
          <w:right w:val="none" w:color="000000" w:sz="0" w:space="0"/>
        </w:pBdr>
        <w:ind w:firstLine="480"/>
      </w:pPr>
      <w:r>
        <w:rPr>
          <w:rFonts w:eastAsia="Times New Roman"/>
          <w:color w:val="000000"/>
          <w:sz w:val="24"/>
        </w:rPr>
        <w:t>2.</w:t>
      </w:r>
      <w:r>
        <w:rPr>
          <w:rFonts w:ascii="宋体" w:hAnsi="宋体" w:cs="宋体"/>
          <w:color w:val="000000"/>
          <w:sz w:val="24"/>
        </w:rPr>
        <w:t>供应商对于投标产品的包装应按照“财办库〔</w:t>
      </w:r>
      <w:r>
        <w:rPr>
          <w:rFonts w:eastAsia="Times New Roman"/>
          <w:color w:val="000000"/>
          <w:sz w:val="24"/>
        </w:rPr>
        <w:t>2020</w:t>
      </w:r>
      <w:r>
        <w:rPr>
          <w:rFonts w:ascii="宋体" w:hAnsi="宋体" w:cs="宋体"/>
          <w:color w:val="000000"/>
          <w:sz w:val="24"/>
        </w:rPr>
        <w:t>〕</w:t>
      </w:r>
      <w:r>
        <w:rPr>
          <w:rFonts w:eastAsia="Times New Roman"/>
          <w:color w:val="000000"/>
          <w:sz w:val="24"/>
        </w:rPr>
        <w:t>123</w:t>
      </w:r>
      <w:r>
        <w:rPr>
          <w:rFonts w:ascii="宋体" w:hAnsi="宋体" w:cs="宋体"/>
          <w:color w:val="000000"/>
          <w:sz w:val="24"/>
        </w:rPr>
        <w:t>号《关于印发《商品包装政府采购需求标准（试行）》、《快递包装政府采购需求标准（试行）》的通知》”执行。</w:t>
      </w:r>
    </w:p>
    <w:p>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3.采购标的清单</w:t>
      </w:r>
    </w:p>
    <w:p>
      <w:pPr>
        <w:pBdr>
          <w:top w:val="none" w:color="000000" w:sz="0" w:space="0"/>
          <w:left w:val="none" w:color="000000" w:sz="0" w:space="0"/>
          <w:bottom w:val="none" w:color="000000" w:sz="0" w:space="0"/>
          <w:right w:val="none" w:color="000000" w:sz="0" w:space="0"/>
        </w:pBdr>
      </w:pPr>
      <w:r>
        <w:rPr>
          <w:rFonts w:eastAsia="Times New Roman"/>
          <w:color w:val="000000"/>
        </w:rPr>
        <w:t> </w:t>
      </w:r>
    </w:p>
    <w:tbl>
      <w:tblPr>
        <w:tblStyle w:val="56"/>
        <w:tblW w:w="852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068"/>
        <w:gridCol w:w="3662"/>
        <w:gridCol w:w="3792"/>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068" w:type="dxa"/>
            <w:tcBorders>
              <w:top w:val="single" w:color="000000" w:sz="8" w:space="0"/>
              <w:left w:val="single" w:color="000000" w:sz="8" w:space="0"/>
              <w:bottom w:val="single" w:color="auto" w:sz="4"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序号</w:t>
            </w:r>
          </w:p>
        </w:tc>
        <w:tc>
          <w:tcPr>
            <w:tcW w:w="3662" w:type="dxa"/>
            <w:tcBorders>
              <w:top w:val="single" w:color="000000" w:sz="8" w:space="0"/>
              <w:left w:val="nil"/>
              <w:bottom w:val="single" w:color="auto" w:sz="4"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Theme="minorEastAsia" w:hAnsiTheme="minorEastAsia" w:eastAsiaTheme="minorEastAsia"/>
                <w:sz w:val="24"/>
                <w:szCs w:val="24"/>
              </w:rPr>
            </w:pPr>
            <w:r>
              <w:rPr>
                <w:rFonts w:cs="宋体" w:asciiTheme="minorEastAsia" w:hAnsiTheme="minorEastAsia" w:eastAsiaTheme="minorEastAsia"/>
                <w:color w:val="000000"/>
                <w:sz w:val="24"/>
                <w:szCs w:val="24"/>
              </w:rPr>
              <w:t>采购标的</w:t>
            </w:r>
          </w:p>
        </w:tc>
        <w:tc>
          <w:tcPr>
            <w:tcW w:w="3792" w:type="dxa"/>
            <w:tcBorders>
              <w:top w:val="single" w:color="000000" w:sz="8" w:space="0"/>
              <w:left w:val="nil"/>
              <w:bottom w:val="single" w:color="auto" w:sz="4"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uto"/>
              <w:jc w:val="center"/>
              <w:rPr>
                <w:rFonts w:asciiTheme="minorEastAsia" w:hAnsiTheme="minorEastAsia" w:eastAsiaTheme="minorEastAsia"/>
                <w:sz w:val="24"/>
                <w:szCs w:val="24"/>
              </w:rPr>
            </w:pPr>
            <w:r>
              <w:rPr>
                <w:rFonts w:cs="宋体" w:asciiTheme="minorEastAsia" w:hAnsiTheme="minorEastAsia" w:eastAsiaTheme="minorEastAsia"/>
                <w:color w:val="000000"/>
                <w:sz w:val="24"/>
                <w:szCs w:val="24"/>
              </w:rPr>
              <w:t>对应中小企业划分标准所属行业</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91" w:hRule="atLeast"/>
        </w:trPr>
        <w:tc>
          <w:tcPr>
            <w:tcW w:w="106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color w:val="000000"/>
                <w:sz w:val="24"/>
                <w:szCs w:val="24"/>
              </w:rPr>
              <w:t>1</w:t>
            </w:r>
          </w:p>
        </w:tc>
        <w:tc>
          <w:tcPr>
            <w:tcW w:w="366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cstheme="minorEastAsia"/>
                <w:bCs/>
                <w:iCs/>
                <w:sz w:val="24"/>
                <w:szCs w:val="24"/>
              </w:rPr>
              <w:t>扬州“人才码”二期项目建设</w:t>
            </w:r>
          </w:p>
        </w:tc>
        <w:tc>
          <w:tcPr>
            <w:tcW w:w="37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60" w:lineRule="auto"/>
              <w:jc w:val="center"/>
              <w:rPr>
                <w:rFonts w:asciiTheme="minorEastAsia" w:hAnsiTheme="minorEastAsia" w:eastAsiaTheme="minorEastAsia"/>
                <w:sz w:val="24"/>
                <w:szCs w:val="24"/>
              </w:rPr>
            </w:pPr>
            <w:r>
              <w:rPr>
                <w:rFonts w:hint="eastAsia" w:asciiTheme="minorEastAsia" w:hAnsiTheme="minorEastAsia" w:eastAsiaTheme="minorEastAsia" w:cstheme="minorEastAsia"/>
                <w:bCs/>
                <w:iCs/>
                <w:sz w:val="24"/>
                <w:szCs w:val="24"/>
              </w:rPr>
              <w:t>软件和信息技术服务业</w:t>
            </w:r>
          </w:p>
        </w:tc>
      </w:tr>
    </w:tbl>
    <w:p>
      <w:pPr>
        <w:pBdr>
          <w:top w:val="none" w:color="000000" w:sz="0" w:space="0"/>
          <w:left w:val="none" w:color="000000" w:sz="0" w:space="0"/>
          <w:bottom w:val="none" w:color="000000" w:sz="0" w:space="0"/>
          <w:right w:val="none" w:color="000000" w:sz="0" w:space="0"/>
        </w:pBdr>
      </w:pPr>
    </w:p>
    <w:p>
      <w:pPr>
        <w:pStyle w:val="299"/>
        <w:outlineLvl w:val="0"/>
        <w:rPr>
          <w:rFonts w:hint="default"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一、项目总体需求</w:t>
      </w:r>
    </w:p>
    <w:p>
      <w:pPr>
        <w:pStyle w:val="300"/>
        <w:rPr>
          <w:rFonts w:hint="default" w:asciiTheme="minorEastAsia" w:hAnsiTheme="minorEastAsia" w:eastAsiaTheme="minorEastAsia" w:cstheme="minorEastAsia"/>
          <w:sz w:val="24"/>
        </w:rPr>
      </w:pPr>
      <w:r>
        <w:rPr>
          <w:rFonts w:asciiTheme="minorEastAsia" w:hAnsiTheme="minorEastAsia" w:eastAsiaTheme="minorEastAsia" w:cstheme="minorEastAsia"/>
          <w:sz w:val="24"/>
        </w:rPr>
        <w:t>1.1项目建设背景</w:t>
      </w:r>
    </w:p>
    <w:p>
      <w:pPr>
        <w:pStyle w:val="298"/>
        <w:rPr>
          <w:rFonts w:hint="default" w:asciiTheme="minorEastAsia" w:hAnsiTheme="minorEastAsia" w:eastAsiaTheme="minorEastAsia" w:cstheme="minorEastAsia"/>
          <w:szCs w:val="24"/>
        </w:rPr>
      </w:pPr>
      <w:bookmarkStart w:id="2" w:name="_Toc25713"/>
      <w:r>
        <w:rPr>
          <w:rFonts w:asciiTheme="minorEastAsia" w:hAnsiTheme="minorEastAsia" w:eastAsiaTheme="minorEastAsia" w:cstheme="minorEastAsia"/>
          <w:color w:val="333333"/>
          <w:szCs w:val="24"/>
        </w:rPr>
        <w:t>本项目以习近平新时代中国特色社会主义思想为指导，全面贯彻落实党的二十大精神和习近平总书记视察江苏、扬州时的重要讲话指示精神，紧紧围绕市委、市政府“让扬州这个‘好地方’好上加好、越来越好”的发展使命，坚持实施“人才优先发展”战略，遵循“统筹规划、节约集约、互联互通、共享开放、安全可靠”的原则，推动人才服务向数字化、智能化、一体化方向发展，助力扬州打造具有竞争力的人才发展高地。</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color w:val="333333"/>
          <w:szCs w:val="24"/>
        </w:rPr>
        <w:t>为进一步提升人才服务数字化水平，优化扬州人才发展环境和服务平台，在扬州“人才码”信息系统一期建设成果的基础上，推进安全可靠改造，并结合最新发布的《扬州人才政策4.0》，开展“人才码”二期项目建设，持续完善和拓展现有信息系统平台功能。</w:t>
      </w:r>
    </w:p>
    <w:p>
      <w:pPr>
        <w:pStyle w:val="298"/>
        <w:rPr>
          <w:rFonts w:hint="default" w:asciiTheme="minorEastAsia" w:hAnsiTheme="minorEastAsia" w:eastAsiaTheme="minorEastAsia" w:cstheme="minorEastAsia"/>
          <w:szCs w:val="24"/>
        </w:rPr>
      </w:pPr>
    </w:p>
    <w:p>
      <w:pPr>
        <w:pStyle w:val="301"/>
        <w:outlineLvl w:val="2"/>
        <w:rPr>
          <w:rFonts w:hint="default" w:asciiTheme="minorEastAsia" w:hAnsiTheme="minorEastAsia" w:eastAsiaTheme="minorEastAsia" w:cstheme="minorEastAsia"/>
        </w:rPr>
      </w:pPr>
      <w:r>
        <w:rPr>
          <w:rFonts w:asciiTheme="minorEastAsia" w:hAnsiTheme="minorEastAsia" w:eastAsiaTheme="minorEastAsia" w:cstheme="minorEastAsia"/>
        </w:rPr>
        <w:t>1.1.1建设依据</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《国务院办公厅关于优化调整稳就业政策措施全力促发展惠民生的通知》（国办发〔2023〕11号）</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《省政府办公厅关于优化调整稳就业政策措施全力促发展惠民生的通知》（苏政办发〔2023〕33号）</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中共江苏省委《关于聚力创新深化改革打造具有国际竞争力人才发展环境的意见》</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《关于优化调整稳就业政策措施全力促发展惠民生》（扬府办发〔2023〕58号）</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《扬州市“十四五”人力资源和社会保障发展规划》</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《关于深入实施“绿扬金凤计划” 强化新质生产力人才支撑的若干政策》（扬发〔2025〕15号）</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《扬州市企业引进人才生活补贴实施细则》</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《扬州市鼓励高校毕业生来扬留扬回扬创业就业实施细则》</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《扬州市市区“人才安家券”补贴实施细则》</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《扬州市鼓励高校毕业生来扬求职面试实施细则》</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《扬州市支持“613”产业体系和生产性服务业重点企业引才实施细则》</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《扬州市人才年金集合计划实施细则》</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《扬州市博士后站点和博士后资助实施细则》</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《扬州市深化校企合作订单式培养技能人才实施细则》</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《扬州市高层次乡土人才培养计划》</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《关于印发 2025年度市级数字政府政务信息化项目投资计划的通知》（2025年6月30日）</w:t>
      </w:r>
      <w:bookmarkEnd w:id="2"/>
    </w:p>
    <w:p>
      <w:pPr>
        <w:pStyle w:val="301"/>
        <w:outlineLvl w:val="2"/>
        <w:rPr>
          <w:rFonts w:hint="default" w:asciiTheme="minorEastAsia" w:hAnsiTheme="minorEastAsia" w:eastAsiaTheme="minorEastAsia" w:cstheme="minorEastAsia"/>
        </w:rPr>
      </w:pPr>
      <w:bookmarkStart w:id="3" w:name="_Toc25836"/>
      <w:r>
        <w:rPr>
          <w:rFonts w:asciiTheme="minorEastAsia" w:hAnsiTheme="minorEastAsia" w:eastAsiaTheme="minorEastAsia" w:cstheme="minorEastAsia"/>
        </w:rPr>
        <w:t>1.1.2建设目标及意义</w:t>
      </w:r>
      <w:bookmarkEnd w:id="3"/>
    </w:p>
    <w:p>
      <w:pPr>
        <w:pStyle w:val="298"/>
        <w:rPr>
          <w:rFonts w:hint="default" w:asciiTheme="minorEastAsia" w:hAnsiTheme="minorEastAsia" w:eastAsiaTheme="minorEastAsia" w:cstheme="minorEastAsia"/>
          <w:b/>
          <w:bCs w:val="0"/>
          <w:szCs w:val="24"/>
        </w:rPr>
      </w:pPr>
      <w:r>
        <w:rPr>
          <w:rFonts w:asciiTheme="minorEastAsia" w:hAnsiTheme="minorEastAsia" w:eastAsiaTheme="minorEastAsia" w:cstheme="minorEastAsia"/>
          <w:b/>
          <w:bCs w:val="0"/>
          <w:szCs w:val="24"/>
        </w:rPr>
        <w:t>（一）建设目标：</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按照“总体规划、分步实施、交互共享、应用开放”基本思路，基于“人才码”一期信息系统平台建设成果，围绕“人才新政一键申领、人才服务智能化、场景应用多元化、分析决策数据化、督办智控一体化”的总体工作目标，逐步建设成涵盖各类人才资源、集成各项人才服务、综合各种分析决策于一体的全量、全时、全域，可看、可用、可持续的“人才码”数字化应用体系，实现全周期创新创业、全链条引才用才、全方位整体智治，推动人才发展质量变革、效率变革、动力变革，为扬州人才工作提档升级、人才生态持续优化提供大数据支撑。</w:t>
      </w:r>
    </w:p>
    <w:p>
      <w:pPr>
        <w:pStyle w:val="298"/>
        <w:rPr>
          <w:rFonts w:hint="default" w:asciiTheme="minorEastAsia" w:hAnsiTheme="minorEastAsia" w:eastAsiaTheme="minorEastAsia" w:cstheme="minorEastAsia"/>
          <w:b/>
          <w:bCs w:val="0"/>
          <w:szCs w:val="24"/>
        </w:rPr>
      </w:pPr>
      <w:r>
        <w:rPr>
          <w:rFonts w:asciiTheme="minorEastAsia" w:hAnsiTheme="minorEastAsia" w:eastAsiaTheme="minorEastAsia" w:cstheme="minorEastAsia"/>
          <w:b/>
          <w:bCs w:val="0"/>
          <w:szCs w:val="24"/>
        </w:rPr>
        <w:t>（二）建设意义：</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政策赋能：打通政策落地“最后一公里”，提升人才政策执行效率与透明度；</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服务提质：通过数字化手段提升人才服务体验，增强人才归属感与满意度；</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城市引才：强化扬州在长三角区域的人才竞争优势，助力打造“人才友好型城市”；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治理创新：推动政务服务数字化转型，为数字政府建设提供示范案例。</w:t>
      </w:r>
    </w:p>
    <w:p>
      <w:pPr>
        <w:pStyle w:val="300"/>
        <w:rPr>
          <w:rFonts w:hint="default" w:asciiTheme="minorEastAsia" w:hAnsiTheme="minorEastAsia" w:eastAsiaTheme="minorEastAsia" w:cstheme="minorEastAsia"/>
          <w:sz w:val="24"/>
        </w:rPr>
      </w:pPr>
      <w:r>
        <w:rPr>
          <w:rFonts w:asciiTheme="minorEastAsia" w:hAnsiTheme="minorEastAsia" w:eastAsiaTheme="minorEastAsia" w:cstheme="minorEastAsia"/>
          <w:sz w:val="24"/>
        </w:rPr>
        <w:t>1.2 项目建设需求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本项目建设内容主要包括人才新政4.0、“绿扬英才卡”管理、业务工单处理系统、人才大数据分析展示平台升级、智慧招聘全场景整合、全渠道整合与开发、“扬小才”AI助理等功能模块开发。人才登录系统，可以实现一键申请补贴功能，列出可申领符合政策条件的各项人才权益。实现补贴一键申领、服务自动推送、审核自动预警，报表自动生成的功能，全面优化现有功能服务流程，提升人才和管理者使用体验。</w:t>
      </w:r>
    </w:p>
    <w:p>
      <w:pPr>
        <w:pStyle w:val="301"/>
        <w:outlineLvl w:val="2"/>
        <w:rPr>
          <w:rFonts w:hint="default" w:asciiTheme="minorEastAsia" w:hAnsiTheme="minorEastAsia" w:eastAsiaTheme="minorEastAsia" w:cstheme="minorEastAsia"/>
        </w:rPr>
      </w:pPr>
      <w:r>
        <w:rPr>
          <w:rFonts w:asciiTheme="minorEastAsia" w:hAnsiTheme="minorEastAsia" w:eastAsiaTheme="minorEastAsia" w:cstheme="minorEastAsia"/>
        </w:rPr>
        <w:t>1.2.1 项目需求分析</w:t>
      </w:r>
    </w:p>
    <w:p>
      <w:pPr>
        <w:pStyle w:val="301"/>
        <w:outlineLvl w:val="3"/>
        <w:rPr>
          <w:rFonts w:hint="default" w:asciiTheme="minorEastAsia" w:hAnsiTheme="minorEastAsia" w:eastAsiaTheme="minorEastAsia" w:cstheme="minorEastAsia"/>
          <w:b w:val="0"/>
          <w:bCs w:val="0"/>
        </w:rPr>
      </w:pPr>
      <w:r>
        <w:rPr>
          <w:rFonts w:asciiTheme="minorEastAsia" w:hAnsiTheme="minorEastAsia" w:eastAsiaTheme="minorEastAsia" w:cstheme="minorEastAsia"/>
          <w:b w:val="0"/>
          <w:bCs w:val="0"/>
        </w:rPr>
        <w:t>1.2.1.1业务需求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围绕人才新政4.0（个人补贴）、人才新政4.0（企业补贴）、人才新政4.0（享受服务）、人才数据分析展示平台升级、智慧招聘全场景整合、“扬小才”AI助理、业务工单处理系统等模块，进一步优化来扬补贴（探亲交通补贴和探亲安居补贴）、留扬补贴、回扬补贴、人才生活补贴、人才安家券等人才政策，可以通过“一键申领”的方式，选择符合申领条件人才补贴一键点击，全部申请到位，增强人才的获得感。</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本系统是用于解决人才补贴、服务享受、人才认定以及人才码场景应用等的业务管理系统，能实现人才分类认定、人才补贴的申报、审核审批、核查报表查阅等管理功能，相关部门的核验、审批、答复的服务管理及政策宣传，并通过“一网、一端、一码、一图”进行服务展示。</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系统建设须符合注重系统的安全、实用、先进、功能扩充性，方便政府协同单位进行业务核验、审批，从而提高服务处理的效率和准确性，解决了人才服务全流程管控和数据留痕等问题，实现了全市人才政策在线“一窗办理”、各类人才服务在线“一键享受”。</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系统支持市、区/县二级管理，实现各条口部门工作人员在线核验、审批，市级管理人员在线综合管理，部分项目支持市、区/县、乡镇三级管理。</w:t>
      </w:r>
    </w:p>
    <w:p>
      <w:pPr>
        <w:pStyle w:val="301"/>
        <w:outlineLvl w:val="3"/>
        <w:rPr>
          <w:rFonts w:hint="default" w:asciiTheme="minorEastAsia" w:hAnsiTheme="minorEastAsia" w:eastAsiaTheme="minorEastAsia" w:cstheme="minorEastAsia"/>
          <w:b w:val="0"/>
          <w:bCs w:val="0"/>
        </w:rPr>
      </w:pPr>
      <w:r>
        <w:rPr>
          <w:rFonts w:asciiTheme="minorEastAsia" w:hAnsiTheme="minorEastAsia" w:eastAsiaTheme="minorEastAsia" w:cstheme="minorEastAsia"/>
          <w:b w:val="0"/>
          <w:bCs w:val="0"/>
        </w:rPr>
        <w:t>1.2.1.2 性能需求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bCs w:val="0"/>
          <w:szCs w:val="24"/>
        </w:rPr>
        <w:t>1.2.1.2</w:t>
      </w:r>
      <w:r>
        <w:rPr>
          <w:rFonts w:asciiTheme="minorEastAsia" w:hAnsiTheme="minorEastAsia" w:eastAsiaTheme="minorEastAsia" w:cstheme="minorEastAsia"/>
          <w:bCs w:val="0"/>
          <w:iCs w:val="0"/>
          <w:szCs w:val="24"/>
        </w:rPr>
        <w:t xml:space="preserve"> </w:t>
      </w:r>
      <w:r>
        <w:rPr>
          <w:rFonts w:asciiTheme="minorEastAsia" w:hAnsiTheme="minorEastAsia" w:eastAsiaTheme="minorEastAsia" w:cstheme="minorEastAsia"/>
          <w:szCs w:val="24"/>
        </w:rPr>
        <w:t>.1响应时间需求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单查询处理响应时间一般不能超过2秒。如查询人才政策、查询业务办理进度、查询人才信息等。</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系统应优化查询算法和数据库设计，提高查询效率。例如，采用索引技术加快数据检索速度，对查询语句进行优化，减少不必要的查询操作。</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bCs w:val="0"/>
          <w:szCs w:val="24"/>
        </w:rPr>
        <w:t>1.2.1.2</w:t>
      </w:r>
      <w:r>
        <w:rPr>
          <w:rFonts w:asciiTheme="minorEastAsia" w:hAnsiTheme="minorEastAsia" w:eastAsiaTheme="minorEastAsia" w:cstheme="minorEastAsia"/>
          <w:bCs w:val="0"/>
          <w:iCs w:val="0"/>
          <w:szCs w:val="24"/>
        </w:rPr>
        <w:t xml:space="preserve"> </w:t>
      </w:r>
      <w:r>
        <w:rPr>
          <w:rFonts w:asciiTheme="minorEastAsia" w:hAnsiTheme="minorEastAsia" w:eastAsiaTheme="minorEastAsia" w:cstheme="minorEastAsia"/>
          <w:szCs w:val="24"/>
        </w:rPr>
        <w:t>.2并发量需求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系统应支持正常2000个并发用户。在人才服务业务高峰期，可能会有大量用户同时访问系统，如人才招聘报名期间、政策补贴申请期间、人才服务场景适应期间等。系统应具备良好的并发处理能力，确保在大量用户同时访问时，系统能够稳定运行，不出现卡顿、崩溃等问题。</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可以采用分布式架构和负载均衡技术，将用户请求均匀分配到多个服务器上进行处理，提高系统的并发处理能力。</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bCs w:val="0"/>
          <w:szCs w:val="24"/>
        </w:rPr>
        <w:t>1.2.1.2</w:t>
      </w:r>
      <w:r>
        <w:rPr>
          <w:rFonts w:asciiTheme="minorEastAsia" w:hAnsiTheme="minorEastAsia" w:eastAsiaTheme="minorEastAsia" w:cstheme="minorEastAsia"/>
          <w:bCs w:val="0"/>
          <w:iCs w:val="0"/>
          <w:szCs w:val="24"/>
        </w:rPr>
        <w:t xml:space="preserve"> </w:t>
      </w:r>
      <w:r>
        <w:rPr>
          <w:rFonts w:asciiTheme="minorEastAsia" w:hAnsiTheme="minorEastAsia" w:eastAsiaTheme="minorEastAsia" w:cstheme="minorEastAsia"/>
          <w:szCs w:val="24"/>
        </w:rPr>
        <w:t>.3日访问量需求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系统应支持的日访问用户数为100万人次。随着人才服务业务的不断推广和普及，系统的日访问量会不断增加。系统应采用高性能的服务器和存储设备，提高系统的处理能力和吞吐量。</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bCs w:val="0"/>
          <w:szCs w:val="24"/>
        </w:rPr>
        <w:t>1.2.1.2</w:t>
      </w:r>
      <w:r>
        <w:rPr>
          <w:rFonts w:asciiTheme="minorEastAsia" w:hAnsiTheme="minorEastAsia" w:eastAsiaTheme="minorEastAsia" w:cstheme="minorEastAsia"/>
          <w:bCs w:val="0"/>
          <w:iCs w:val="0"/>
          <w:szCs w:val="24"/>
        </w:rPr>
        <w:t xml:space="preserve"> </w:t>
      </w:r>
      <w:r>
        <w:rPr>
          <w:rFonts w:asciiTheme="minorEastAsia" w:hAnsiTheme="minorEastAsia" w:eastAsiaTheme="minorEastAsia" w:cstheme="minorEastAsia"/>
          <w:szCs w:val="24"/>
        </w:rPr>
        <w:t>.4故障率与故障修复时间需求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A故障率：系统应提供7×24小时的连续运行，平均年故障时间：&lt;1天。人才服务业务涉及到人才的切身利益，系统的稳定性至关重要。系统应采用高可靠性的硬件设备和软件技术，加强系统的监控和维护。</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B平均故障修复时间：&lt;30分钟。一旦系统出现故障，应能够尽快修复，减少对用户的影响。系统应建立完善的故障预警和应急处理机制，当系统出现故障时，能够及时发出警报，并通知相关技术人员进行处理。</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bCs w:val="0"/>
          <w:szCs w:val="24"/>
        </w:rPr>
        <w:t>1.2.1.2</w:t>
      </w:r>
      <w:r>
        <w:rPr>
          <w:rFonts w:asciiTheme="minorEastAsia" w:hAnsiTheme="minorEastAsia" w:eastAsiaTheme="minorEastAsia" w:cstheme="minorEastAsia"/>
          <w:bCs w:val="0"/>
          <w:iCs w:val="0"/>
          <w:szCs w:val="24"/>
        </w:rPr>
        <w:t xml:space="preserve"> </w:t>
      </w:r>
      <w:r>
        <w:rPr>
          <w:rFonts w:asciiTheme="minorEastAsia" w:hAnsiTheme="minorEastAsia" w:eastAsiaTheme="minorEastAsia" w:cstheme="minorEastAsia"/>
          <w:szCs w:val="24"/>
        </w:rPr>
        <w:t>.5系统优化与连续性需求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系统在设计时充分考虑系统的优化功能，确保能够承载历年积累的大量数据，能够始终保持长期高效稳定运行。随着人才服务业务的不断开展，系统会积累大量的数据，如人才信息、业务办理记录、政策文件等。</w:t>
      </w:r>
    </w:p>
    <w:p>
      <w:pPr>
        <w:pStyle w:val="301"/>
        <w:outlineLvl w:val="2"/>
        <w:rPr>
          <w:rFonts w:hint="default" w:asciiTheme="minorEastAsia" w:hAnsiTheme="minorEastAsia" w:eastAsiaTheme="minorEastAsia" w:cstheme="minorEastAsia"/>
        </w:rPr>
      </w:pPr>
      <w:r>
        <w:rPr>
          <w:rFonts w:asciiTheme="minorEastAsia" w:hAnsiTheme="minorEastAsia" w:eastAsiaTheme="minorEastAsia" w:cstheme="minorEastAsia"/>
        </w:rPr>
        <w:t>1.2.2 项目建设任务</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按照“加速深化人才引培聚集，服务更加全面的人才强市战略”的发展任务，通过扬州“人才码”二期项目的建设，围绕人才新政4.0（个人补贴）、人才新政4.0（企业补贴）、人才新政4.0（享受服务）、人才大数据分析展示系统升级、智慧招聘全场景整合、“扬小才”AI助理、业务工单处理系统等模块，进一步优化来扬补贴（探亲交通补贴和探亲安居补贴）、留扬补贴、回扬补贴、人才生活补贴、人才安家券等人才政策，可以通过“一键申领”的方式，选择符合申领条件人才补贴一键点击，全部申请到位，增强人才的获得感，充分调动企业引才、用才积极性，提高辨才、引才、用才能力，逐步形成以市场为导向、以企业为主体、市场融合开放的人才管理服务体系。</w:t>
      </w:r>
    </w:p>
    <w:p>
      <w:pPr>
        <w:pStyle w:val="301"/>
        <w:outlineLvl w:val="2"/>
        <w:rPr>
          <w:rFonts w:hint="default" w:asciiTheme="minorEastAsia" w:hAnsiTheme="minorEastAsia" w:eastAsiaTheme="minorEastAsia" w:cstheme="minorEastAsia"/>
        </w:rPr>
      </w:pPr>
      <w:r>
        <w:rPr>
          <w:rFonts w:asciiTheme="minorEastAsia" w:hAnsiTheme="minorEastAsia" w:eastAsiaTheme="minorEastAsia" w:cstheme="minorEastAsia"/>
        </w:rPr>
        <w:t>1.2.3项目总体设计</w:t>
      </w:r>
    </w:p>
    <w:p>
      <w:pPr>
        <w:pStyle w:val="301"/>
        <w:outlineLvl w:val="3"/>
        <w:rPr>
          <w:rFonts w:hint="default" w:asciiTheme="minorEastAsia" w:hAnsiTheme="minorEastAsia" w:eastAsiaTheme="minorEastAsia" w:cstheme="minorEastAsia"/>
        </w:rPr>
      </w:pPr>
      <w:r>
        <w:rPr>
          <w:rFonts w:asciiTheme="minorEastAsia" w:hAnsiTheme="minorEastAsia" w:eastAsiaTheme="minorEastAsia" w:cstheme="minorEastAsia"/>
          <w:b w:val="0"/>
          <w:bCs w:val="0"/>
        </w:rPr>
        <w:t>1.2.3.1</w:t>
      </w:r>
      <w:r>
        <w:rPr>
          <w:rFonts w:asciiTheme="minorEastAsia" w:hAnsiTheme="minorEastAsia" w:eastAsiaTheme="minorEastAsia" w:cstheme="minorEastAsia"/>
        </w:rPr>
        <w:t>项目建设原则</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为了保证项目建设达到预期目标，在进行系统的设计、开发、部署和运行管理规划时将遵循如下原则：</w:t>
      </w:r>
    </w:p>
    <w:p>
      <w:pPr>
        <w:pStyle w:val="298"/>
        <w:rPr>
          <w:rFonts w:hint="default" w:asciiTheme="minorEastAsia" w:hAnsiTheme="minorEastAsia" w:eastAsiaTheme="minorEastAsia" w:cstheme="minorEastAsia"/>
          <w:bCs w:val="0"/>
          <w:szCs w:val="24"/>
        </w:rPr>
      </w:pPr>
      <w:bookmarkStart w:id="4" w:name="_Toc7276"/>
      <w:r>
        <w:rPr>
          <w:rFonts w:asciiTheme="minorEastAsia" w:hAnsiTheme="minorEastAsia" w:eastAsiaTheme="minorEastAsia" w:cstheme="minorEastAsia"/>
          <w:bCs w:val="0"/>
          <w:szCs w:val="24"/>
        </w:rPr>
        <w:t>1.2.3.1.1 统筹规划、统一标准</w:t>
      </w:r>
      <w:bookmarkEnd w:id="4"/>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项目应遵循最新国家电子政务建设规范要求，产品须符合安全可靠的政务应用标准，以系统工程的方法对系统进行统一规划、统一设计、统一网络，遵循统一的数据标准规范（指标体系和数据结构），采用统一的技术，实现扬州人才码一期、二期的无缝整合，以方便系统建成后的运行和维护，保证系统可持续、高效、安全运行。</w:t>
      </w:r>
    </w:p>
    <w:p>
      <w:pPr>
        <w:pStyle w:val="298"/>
        <w:rPr>
          <w:rFonts w:hint="default" w:asciiTheme="minorEastAsia" w:hAnsiTheme="minorEastAsia" w:eastAsiaTheme="minorEastAsia" w:cstheme="minorEastAsia"/>
          <w:bCs w:val="0"/>
          <w:szCs w:val="24"/>
        </w:rPr>
      </w:pPr>
      <w:bookmarkStart w:id="5" w:name="_Toc16340"/>
      <w:r>
        <w:rPr>
          <w:rFonts w:asciiTheme="minorEastAsia" w:hAnsiTheme="minorEastAsia" w:eastAsiaTheme="minorEastAsia" w:cstheme="minorEastAsia"/>
          <w:bCs w:val="0"/>
          <w:szCs w:val="24"/>
        </w:rPr>
        <w:t>1.2.3.1.2技术先进、节约集约</w:t>
      </w:r>
      <w:bookmarkEnd w:id="5"/>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技术水平要保证先进性，系统设计应符合当今计算机软硬件技术、网络通信技术和信息技术的发展方向，同时要紧密结合人才服务的发展趋势，从实际需求出发，避免因盲目追求新技术、新产品，而忽略实际现状在系统设计上的体现，造成系统设计的缺陷与处理性能的低下；系统设计还应考虑到用户的操作习惯，提供友好的操作界面以及丰富的联机帮助，增强系统易操作性。</w:t>
      </w:r>
    </w:p>
    <w:p>
      <w:pPr>
        <w:pStyle w:val="298"/>
        <w:rPr>
          <w:rFonts w:hint="default" w:asciiTheme="minorEastAsia" w:hAnsiTheme="minorEastAsia" w:eastAsiaTheme="minorEastAsia" w:cstheme="minorEastAsia"/>
          <w:bCs w:val="0"/>
          <w:szCs w:val="24"/>
        </w:rPr>
      </w:pPr>
      <w:bookmarkStart w:id="6" w:name="_Toc16679"/>
      <w:r>
        <w:rPr>
          <w:rFonts w:asciiTheme="minorEastAsia" w:hAnsiTheme="minorEastAsia" w:eastAsiaTheme="minorEastAsia" w:cstheme="minorEastAsia"/>
          <w:bCs w:val="0"/>
          <w:szCs w:val="24"/>
        </w:rPr>
        <w:t>1.2.3.1.4 互联互通、共享开放</w:t>
      </w:r>
      <w:bookmarkEnd w:id="6"/>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系统应该真正符合多层浏览器/服务器体系结构，应能满足新增的需求，而系统的体系结构不需做较大的改变，并能保证系统今后的平滑升级。应充分考虑人才服务管理业务在未来若干年内的发展趋势，保证系统具有较好的开放性和结构的扩展性，维持系统稳定的业务处理效率。在系统设计中应尽量采用模块化结构、提高各模块的独立性，尽可能减少模块间的数据耦合，使各子系统间的数据依赖程度减至最低限度。充分考虑系统设计的灵活性，可适应需求的不断调整，有利于系统未来的升级和维护工作。</w:t>
      </w:r>
    </w:p>
    <w:p>
      <w:pPr>
        <w:pStyle w:val="298"/>
        <w:rPr>
          <w:rFonts w:hint="default" w:asciiTheme="minorEastAsia" w:hAnsiTheme="minorEastAsia" w:eastAsiaTheme="minorEastAsia" w:cstheme="minorEastAsia"/>
          <w:bCs w:val="0"/>
          <w:szCs w:val="24"/>
        </w:rPr>
      </w:pPr>
      <w:bookmarkStart w:id="7" w:name="_Toc24896"/>
      <w:r>
        <w:rPr>
          <w:rFonts w:asciiTheme="minorEastAsia" w:hAnsiTheme="minorEastAsia" w:eastAsiaTheme="minorEastAsia" w:cstheme="minorEastAsia"/>
          <w:bCs w:val="0"/>
          <w:szCs w:val="24"/>
        </w:rPr>
        <w:t>1.2.3.1.4 安全可靠、稳定高效</w:t>
      </w:r>
      <w:bookmarkEnd w:id="7"/>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系统在设计时将充分考虑本项目对可靠性的要求，确保系统完全符合政务要求，并提供高可靠性的保障，尤其是保证关键业务的连续不间断运作和对非正常情况的可靠处理。既要注重系统本身防御外部攻击的能力，又要提高数据传输的安全性，要遵循相应的保密规范，保证系统安全保密性、查错纠错能力、抗病毒能力等。设计应高度重视安全体系建设，在共享信息资源的业务过程中，确保信息资源的保护与隔离；建立完备的安全机制，严格控制系统及数据库访问；并充分利用日志系统、健全的备份和恢复策略，增强系统的安全性。</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系统须符合三级网络安全等级保护、网络数据安全和对应商用密码应用安全的相关要求。</w:t>
      </w:r>
    </w:p>
    <w:p>
      <w:pPr>
        <w:pStyle w:val="301"/>
        <w:outlineLvl w:val="3"/>
        <w:rPr>
          <w:rFonts w:hint="default" w:asciiTheme="minorEastAsia" w:hAnsiTheme="minorEastAsia" w:eastAsiaTheme="minorEastAsia" w:cstheme="minorEastAsia"/>
          <w:b w:val="0"/>
          <w:bCs w:val="0"/>
        </w:rPr>
      </w:pPr>
      <w:r>
        <w:rPr>
          <w:rFonts w:asciiTheme="minorEastAsia" w:hAnsiTheme="minorEastAsia" w:eastAsiaTheme="minorEastAsia" w:cstheme="minorEastAsia"/>
          <w:b w:val="0"/>
          <w:bCs w:val="0"/>
        </w:rPr>
        <w:t>1.2.3.2总体架构</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本项目在对“人才码”一期信息系统平台总体架构安全可靠适配的基础上，严格遵循江苏省人社一体化体系的建设规范和标准。该项目采用人社部LEAF6开发框架，并新增了人才新政4.0、“绿扬英才卡”管理、业务工单处理系统、人才数据分析展示系统升级、智慧招聘全场景整合、全渠道整合与开发、“扬小才”AI助理等功能模块。项目在“统一门户集成、统一接入管理、统一用户管理、统一授权管理、统一资源管理、统一安全防护”六个方面均进行了相应的规划和实施，符合相关要求，并有望为人才管理服务提供更加高效、安全、便捷的技术支持。</w:t>
      </w:r>
    </w:p>
    <w:p>
      <w:pPr>
        <w:pStyle w:val="301"/>
        <w:outlineLvl w:val="3"/>
        <w:rPr>
          <w:rFonts w:hint="default" w:asciiTheme="minorEastAsia" w:hAnsiTheme="minorEastAsia" w:eastAsiaTheme="minorEastAsia" w:cstheme="minorEastAsia"/>
          <w:b w:val="0"/>
          <w:bCs w:val="0"/>
        </w:rPr>
      </w:pPr>
      <w:r>
        <w:rPr>
          <w:rFonts w:asciiTheme="minorEastAsia" w:hAnsiTheme="minorEastAsia" w:eastAsiaTheme="minorEastAsia" w:cstheme="minorEastAsia"/>
          <w:b w:val="0"/>
          <w:bCs w:val="0"/>
        </w:rPr>
        <w:t xml:space="preserve">1.2.3.3网络部署架构 </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人才码项目将依托扬州市政务云平台进行建设。扬州市政务云平台已包含硬件基础设施层、政务云平台层、大数据和智能分析平台层、安全管理以及运维管理等。本期项目系统均部署在政务云电子外网区域。</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（1）人才码对外服务应用部署在电子政务外网，通过防火墙、网闸等安全设施与策略，对外提供互联网服务（如嵌入我的扬州APP等）。</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（2）部署在市政务云的人才码系统通过防火墙、网闸等安全设备与市数据共享平台、人社金保网等进行数据对接，以保障内网业务办理。</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（3）扬州市各委办局部门通过扬州市政务云访问人才码管理端参与审核审批，安全设备对接扬州市各委办局部门的交换数据。</w:t>
      </w:r>
    </w:p>
    <w:p>
      <w:pPr>
        <w:pStyle w:val="301"/>
        <w:outlineLvl w:val="3"/>
        <w:rPr>
          <w:rFonts w:hint="default" w:asciiTheme="minorEastAsia" w:hAnsiTheme="minorEastAsia" w:eastAsiaTheme="minorEastAsia" w:cstheme="minorEastAsia"/>
          <w:b w:val="0"/>
          <w:bCs w:val="0"/>
        </w:rPr>
      </w:pPr>
      <w:bookmarkStart w:id="8" w:name="_Toc8690"/>
      <w:r>
        <w:rPr>
          <w:rFonts w:asciiTheme="minorEastAsia" w:hAnsiTheme="minorEastAsia" w:eastAsiaTheme="minorEastAsia" w:cstheme="minorEastAsia"/>
          <w:b w:val="0"/>
          <w:bCs w:val="0"/>
        </w:rPr>
        <w:t>1.2.3.4数据资源架构</w:t>
      </w:r>
      <w:bookmarkEnd w:id="8"/>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本项目沿用“人才码”一期信息系统平台数据资源架构，在制定统一的数据标准基础上，通过对本地人才学历数据以及本地人才社保等数据，以及省一体化平台回流数据、第三方数据进行统一采集、清洗、转换，并采取全量+增量的方式，最终形成人才数据资源库，形成人才业务库和基础库双向互动机制，全面汇聚人才的人员信息和服务信息，包括与人才相关的业务数据以及社会化数据。结合大数据、人工智能等信息化技术，实现对人才和人才服务的全方位、多角度的人才统计分析和信息服务。为决策层领导提供人才地图、人才流向、人才队伍整体情况、政策普惠人群等整体人才队伍建设宏观分析和决策支撑。</w:t>
      </w:r>
    </w:p>
    <w:p>
      <w:pPr>
        <w:pStyle w:val="301"/>
        <w:outlineLvl w:val="3"/>
        <w:rPr>
          <w:rFonts w:hint="default" w:asciiTheme="minorEastAsia" w:hAnsiTheme="minorEastAsia" w:eastAsiaTheme="minorEastAsia" w:cstheme="minorEastAsia"/>
          <w:b w:val="0"/>
          <w:bCs w:val="0"/>
        </w:rPr>
      </w:pPr>
      <w:r>
        <w:rPr>
          <w:rFonts w:asciiTheme="minorEastAsia" w:hAnsiTheme="minorEastAsia" w:eastAsiaTheme="minorEastAsia" w:cstheme="minorEastAsia"/>
          <w:b w:val="0"/>
          <w:bCs w:val="0"/>
        </w:rPr>
        <w:t>1.2.3.5技术实现总体路线</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遵循政策法规及行业标准，在保证一期现有业务连续性的基础上，采用底层逐步替换、分阶段迁移策略。架构设计保留现有系统与新架构的无缝过渡空间，整体技术链条以适配改造→能力沉淀→安全可靠为递进路径。</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针对本次项目特点，总体技术路线和关键技术路线通过</w:t>
      </w:r>
      <w:bookmarkStart w:id="9" w:name="OLE_LINK5"/>
      <w:bookmarkStart w:id="10" w:name="OLE_LINK1"/>
      <w:r>
        <w:rPr>
          <w:rFonts w:asciiTheme="minorEastAsia" w:hAnsiTheme="minorEastAsia" w:eastAsiaTheme="minorEastAsia" w:cstheme="minorEastAsia"/>
          <w:bCs w:val="0"/>
          <w:szCs w:val="24"/>
        </w:rPr>
        <w:t>安全可靠</w:t>
      </w:r>
      <w:bookmarkEnd w:id="9"/>
      <w:bookmarkEnd w:id="10"/>
      <w:r>
        <w:rPr>
          <w:rFonts w:asciiTheme="minorEastAsia" w:hAnsiTheme="minorEastAsia" w:eastAsiaTheme="minorEastAsia" w:cstheme="minorEastAsia"/>
          <w:bCs w:val="0"/>
          <w:szCs w:val="24"/>
        </w:rPr>
        <w:t>适配，优先选用经安全可靠适配认证的开源框架、安全可靠云计算产品。依托安全可靠体系下的虚拟化技术、分布式存储、分布式服务、分布式缓存、分布式事务、并行计算等技术，确保基础资源层、数据资源层、应用层均具备横向扩展性，且全栈符合国家安全可控要求。</w:t>
      </w:r>
    </w:p>
    <w:p>
      <w:pPr>
        <w:pStyle w:val="300"/>
        <w:rPr>
          <w:rFonts w:hint="default" w:asciiTheme="minorEastAsia" w:hAnsiTheme="minorEastAsia" w:eastAsiaTheme="minorEastAsia" w:cstheme="minorEastAsia"/>
          <w:sz w:val="24"/>
        </w:rPr>
      </w:pPr>
      <w:bookmarkStart w:id="11" w:name="_Toc113549625"/>
      <w:bookmarkStart w:id="12" w:name="_Toc108509225"/>
      <w:r>
        <w:rPr>
          <w:rFonts w:asciiTheme="minorEastAsia" w:hAnsiTheme="minorEastAsia" w:eastAsiaTheme="minorEastAsia" w:cstheme="minorEastAsia"/>
          <w:sz w:val="24"/>
        </w:rPr>
        <w:t>1.3项目采购清单</w:t>
      </w:r>
      <w:bookmarkEnd w:id="11"/>
      <w:bookmarkEnd w:id="12"/>
    </w:p>
    <w:p>
      <w:pPr>
        <w:pStyle w:val="301"/>
        <w:outlineLvl w:val="2"/>
        <w:rPr>
          <w:rFonts w:hint="default" w:asciiTheme="minorEastAsia" w:hAnsiTheme="minorEastAsia" w:eastAsiaTheme="minorEastAsia" w:cstheme="minorEastAsia"/>
        </w:rPr>
      </w:pPr>
      <w:r>
        <w:rPr>
          <w:rFonts w:asciiTheme="minorEastAsia" w:hAnsiTheme="minorEastAsia" w:eastAsiaTheme="minorEastAsia" w:cstheme="minorEastAsia"/>
        </w:rPr>
        <w:t>1.3.1项目建设需求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本次项目建设的内容包括：人才新政4.0（个人补贴）、人才新政4.0（企业补贴）、人才新政4.0（享受服务）、人才数据分析展示平台升级、智慧招聘全场景整合、“扬小才”AI助理、业务工单处理系统等。</w:t>
      </w:r>
    </w:p>
    <w:p>
      <w:pPr>
        <w:pStyle w:val="301"/>
        <w:outlineLvl w:val="2"/>
        <w:rPr>
          <w:rFonts w:hint="default" w:asciiTheme="minorEastAsia" w:hAnsiTheme="minorEastAsia" w:eastAsiaTheme="minorEastAsia" w:cstheme="minorEastAsia"/>
        </w:rPr>
      </w:pPr>
      <w:r>
        <w:rPr>
          <w:rFonts w:asciiTheme="minorEastAsia" w:hAnsiTheme="minorEastAsia" w:eastAsiaTheme="minorEastAsia" w:cstheme="minorEastAsia"/>
        </w:rPr>
        <w:t>1.3.2</w:t>
      </w:r>
      <w:r>
        <w:rPr>
          <w:rFonts w:asciiTheme="minorEastAsia" w:hAnsiTheme="minorEastAsia" w:eastAsiaTheme="minorEastAsia" w:cstheme="minorEastAsia"/>
          <w:lang w:bidi="ar"/>
        </w:rPr>
        <w:t>扬州“人才码”二期项目</w:t>
      </w:r>
      <w:r>
        <w:rPr>
          <w:rFonts w:asciiTheme="minorEastAsia" w:hAnsiTheme="minorEastAsia" w:eastAsiaTheme="minorEastAsia" w:cstheme="minorEastAsia"/>
        </w:rPr>
        <w:t>建设清单表</w:t>
      </w:r>
    </w:p>
    <w:tbl>
      <w:tblPr>
        <w:tblStyle w:val="55"/>
        <w:tblW w:w="8028" w:type="dxa"/>
        <w:tblInd w:w="462" w:type="dxa"/>
        <w:tblLayout w:type="fixed"/>
        <w:tblCellMar>
          <w:top w:w="45" w:type="dxa"/>
          <w:left w:w="96" w:type="dxa"/>
          <w:bottom w:w="45" w:type="dxa"/>
          <w:right w:w="96" w:type="dxa"/>
        </w:tblCellMar>
      </w:tblPr>
      <w:tblGrid>
        <w:gridCol w:w="792"/>
        <w:gridCol w:w="923"/>
        <w:gridCol w:w="4729"/>
        <w:gridCol w:w="792"/>
        <w:gridCol w:w="792"/>
      </w:tblGrid>
      <w:tr>
        <w:tblPrEx>
          <w:tblLayout w:type="fixed"/>
          <w:tblCellMar>
            <w:top w:w="45" w:type="dxa"/>
            <w:left w:w="96" w:type="dxa"/>
            <w:bottom w:w="45" w:type="dxa"/>
            <w:right w:w="96" w:type="dxa"/>
          </w:tblCellMar>
        </w:tblPrEx>
        <w:trPr>
          <w:tblHeader/>
        </w:trPr>
        <w:tc>
          <w:tcPr>
            <w:tcW w:w="792" w:type="dxa"/>
            <w:tcBorders>
              <w:top w:val="single" w:color="auto" w:sz="4" w:space="0"/>
              <w:left w:val="single" w:color="auto" w:sz="4" w:space="0"/>
              <w:bottom w:val="single" w:color="auto" w:sz="4" w:space="0"/>
              <w:right w:val="single" w:color="auto" w:sz="4" w:space="0"/>
            </w:tcBorders>
            <w:shd w:val="clear" w:color="000000" w:fill="BFBFBF"/>
            <w:vAlign w:val="center"/>
          </w:tcPr>
          <w:p>
            <w:pPr>
              <w:spacing w:line="360" w:lineRule="auto"/>
              <w:jc w:val="center"/>
              <w:rPr>
                <w:rFonts w:asciiTheme="minorEastAsia" w:hAnsiTheme="minorEastAsia" w:eastAsiaTheme="minorEastAsia" w:cstheme="minorEastAsia"/>
                <w:b/>
                <w:bCs/>
                <w:iCs/>
                <w:sz w:val="24"/>
                <w:szCs w:val="24"/>
              </w:rPr>
            </w:pPr>
            <w:r>
              <w:rPr>
                <w:rFonts w:hint="eastAsia" w:asciiTheme="minorEastAsia" w:hAnsiTheme="minorEastAsia" w:eastAsiaTheme="minorEastAsia" w:cstheme="minorEastAsia"/>
                <w:b/>
                <w:bCs/>
                <w:iCs/>
                <w:sz w:val="24"/>
                <w:szCs w:val="24"/>
              </w:rPr>
              <w:t>序号</w:t>
            </w:r>
          </w:p>
        </w:tc>
        <w:tc>
          <w:tcPr>
            <w:tcW w:w="923" w:type="dxa"/>
            <w:tcBorders>
              <w:top w:val="single" w:color="auto" w:sz="4" w:space="0"/>
              <w:left w:val="nil"/>
              <w:bottom w:val="single" w:color="auto" w:sz="4" w:space="0"/>
              <w:right w:val="single" w:color="auto" w:sz="4" w:space="0"/>
            </w:tcBorders>
            <w:shd w:val="clear" w:color="000000" w:fill="BFBFBF"/>
            <w:vAlign w:val="center"/>
          </w:tcPr>
          <w:p>
            <w:pPr>
              <w:spacing w:line="360" w:lineRule="auto"/>
              <w:jc w:val="center"/>
              <w:rPr>
                <w:rFonts w:asciiTheme="minorEastAsia" w:hAnsiTheme="minorEastAsia" w:eastAsiaTheme="minorEastAsia" w:cstheme="minorEastAsia"/>
                <w:b/>
                <w:bCs/>
                <w:iCs/>
                <w:sz w:val="24"/>
                <w:szCs w:val="24"/>
              </w:rPr>
            </w:pPr>
            <w:r>
              <w:rPr>
                <w:rFonts w:hint="eastAsia" w:asciiTheme="minorEastAsia" w:hAnsiTheme="minorEastAsia" w:eastAsiaTheme="minorEastAsia" w:cstheme="minorEastAsia"/>
                <w:b/>
                <w:bCs/>
                <w:iCs/>
                <w:sz w:val="24"/>
                <w:szCs w:val="24"/>
              </w:rPr>
              <w:t>名称</w:t>
            </w:r>
          </w:p>
        </w:tc>
        <w:tc>
          <w:tcPr>
            <w:tcW w:w="4729" w:type="dxa"/>
            <w:tcBorders>
              <w:top w:val="single" w:color="auto" w:sz="4" w:space="0"/>
              <w:left w:val="nil"/>
              <w:bottom w:val="single" w:color="auto" w:sz="4" w:space="0"/>
              <w:right w:val="single" w:color="auto" w:sz="4" w:space="0"/>
            </w:tcBorders>
            <w:shd w:val="clear" w:color="000000" w:fill="BFBFBF"/>
            <w:vAlign w:val="center"/>
          </w:tcPr>
          <w:p>
            <w:pPr>
              <w:spacing w:line="360" w:lineRule="auto"/>
              <w:ind w:firstLine="480"/>
              <w:jc w:val="center"/>
              <w:rPr>
                <w:rFonts w:asciiTheme="minorEastAsia" w:hAnsiTheme="minorEastAsia" w:eastAsiaTheme="minorEastAsia" w:cstheme="minorEastAsia"/>
                <w:b/>
                <w:bCs/>
                <w:iCs/>
                <w:sz w:val="24"/>
                <w:szCs w:val="24"/>
              </w:rPr>
            </w:pPr>
            <w:r>
              <w:rPr>
                <w:rFonts w:hint="eastAsia" w:asciiTheme="minorEastAsia" w:hAnsiTheme="minorEastAsia" w:eastAsiaTheme="minorEastAsia" w:cstheme="minorEastAsia"/>
                <w:b/>
                <w:bCs/>
                <w:iCs/>
                <w:sz w:val="24"/>
                <w:szCs w:val="24"/>
              </w:rPr>
              <w:t>配置描述</w:t>
            </w:r>
          </w:p>
        </w:tc>
        <w:tc>
          <w:tcPr>
            <w:tcW w:w="792" w:type="dxa"/>
            <w:tcBorders>
              <w:top w:val="single" w:color="auto" w:sz="4" w:space="0"/>
              <w:left w:val="nil"/>
              <w:bottom w:val="single" w:color="auto" w:sz="4" w:space="0"/>
              <w:right w:val="single" w:color="auto" w:sz="4" w:space="0"/>
            </w:tcBorders>
            <w:shd w:val="clear" w:color="000000" w:fill="BFBFBF"/>
            <w:vAlign w:val="center"/>
          </w:tcPr>
          <w:p>
            <w:pPr>
              <w:spacing w:line="360" w:lineRule="auto"/>
              <w:jc w:val="center"/>
              <w:rPr>
                <w:rFonts w:asciiTheme="minorEastAsia" w:hAnsiTheme="minorEastAsia" w:eastAsiaTheme="minorEastAsia" w:cstheme="minorEastAsia"/>
                <w:b/>
                <w:bCs/>
                <w:iCs/>
                <w:sz w:val="24"/>
                <w:szCs w:val="24"/>
              </w:rPr>
            </w:pPr>
            <w:r>
              <w:rPr>
                <w:rFonts w:hint="eastAsia" w:asciiTheme="minorEastAsia" w:hAnsiTheme="minorEastAsia" w:eastAsiaTheme="minorEastAsia" w:cstheme="minorEastAsia"/>
                <w:b/>
                <w:bCs/>
                <w:iCs/>
                <w:sz w:val="24"/>
                <w:szCs w:val="24"/>
              </w:rPr>
              <w:t>数量</w:t>
            </w:r>
          </w:p>
        </w:tc>
        <w:tc>
          <w:tcPr>
            <w:tcW w:w="792" w:type="dxa"/>
            <w:tcBorders>
              <w:top w:val="single" w:color="auto" w:sz="4" w:space="0"/>
              <w:left w:val="nil"/>
              <w:bottom w:val="single" w:color="auto" w:sz="4" w:space="0"/>
              <w:right w:val="single" w:color="auto" w:sz="4" w:space="0"/>
            </w:tcBorders>
            <w:shd w:val="clear" w:color="000000" w:fill="BFBFBF"/>
            <w:vAlign w:val="center"/>
          </w:tcPr>
          <w:p>
            <w:pPr>
              <w:spacing w:line="360" w:lineRule="auto"/>
              <w:jc w:val="center"/>
              <w:rPr>
                <w:rFonts w:asciiTheme="minorEastAsia" w:hAnsiTheme="minorEastAsia" w:eastAsiaTheme="minorEastAsia" w:cstheme="minorEastAsia"/>
                <w:b/>
                <w:bCs/>
                <w:iCs/>
                <w:sz w:val="24"/>
                <w:szCs w:val="24"/>
              </w:rPr>
            </w:pPr>
            <w:r>
              <w:rPr>
                <w:rFonts w:hint="eastAsia" w:asciiTheme="minorEastAsia" w:hAnsiTheme="minorEastAsia" w:eastAsiaTheme="minorEastAsia" w:cstheme="minorEastAsia"/>
                <w:b/>
                <w:bCs/>
                <w:iCs/>
                <w:sz w:val="24"/>
                <w:szCs w:val="24"/>
              </w:rPr>
              <w:t>单位</w:t>
            </w:r>
          </w:p>
        </w:tc>
      </w:tr>
      <w:tr>
        <w:tblPrEx>
          <w:tblLayout w:type="fixed"/>
          <w:tblCellMar>
            <w:top w:w="45" w:type="dxa"/>
            <w:left w:w="96" w:type="dxa"/>
            <w:bottom w:w="45" w:type="dxa"/>
            <w:right w:w="96" w:type="dxa"/>
          </w:tblCellMar>
        </w:tblPrEx>
        <w:tc>
          <w:tcPr>
            <w:tcW w:w="792" w:type="dxa"/>
            <w:tcBorders>
              <w:top w:val="nil"/>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1</w:t>
            </w:r>
          </w:p>
        </w:tc>
        <w:tc>
          <w:tcPr>
            <w:tcW w:w="923" w:type="dxa"/>
            <w:tcBorders>
              <w:top w:val="nil"/>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人才新政4.0（个人补贴）</w:t>
            </w:r>
          </w:p>
        </w:tc>
        <w:tc>
          <w:tcPr>
            <w:tcW w:w="4729" w:type="dxa"/>
            <w:tcBorders>
              <w:top w:val="nil"/>
              <w:left w:val="nil"/>
              <w:bottom w:val="single" w:color="auto" w:sz="4" w:space="0"/>
              <w:right w:val="single" w:color="auto" w:sz="4" w:space="0"/>
            </w:tcBorders>
            <w:vAlign w:val="center"/>
          </w:tcPr>
          <w:p>
            <w:pPr>
              <w:ind w:firstLine="480"/>
              <w:jc w:val="left"/>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用户在“人才码”系统注册后，可申请符合自身条件的人才补贴。系统通过调用学历、社保等相关接口，进行初步资格核验，申请提交后自动推送至各区进行审核审批，并实现补贴的及时在线发放。针对来扬补贴（如探亲交通补贴、探亲安居补贴）、留扬补贴、回扬补贴、人才生活补贴、人才安家劵等同类型补贴，实现“一键申领”功能。</w:t>
            </w:r>
          </w:p>
          <w:p>
            <w:pPr>
              <w:ind w:firstLine="480"/>
              <w:jc w:val="left"/>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人才注册后，系统根据资料完整度主动提供推送服务，提示其可享受的政策权益，明确不同层次人才可申请的补贴内容，并通过“一键申领”入口实现统一申报，推动服务由被动受理向主动推送转变。</w:t>
            </w:r>
          </w:p>
          <w:p>
            <w:pPr>
              <w:ind w:firstLine="480"/>
              <w:jc w:val="left"/>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按照市级标准补贴制定统一流程，同时保留和实现各区、功能区及各地个性化补贴标准的适配空间和审核发放功能。为审核审批人员提供办理进展预警功能，系统自动生成固定报表，并可根据各区需求生成个性化数据统计报表，为业务办理部门提供数据支撑和决策依据。</w:t>
            </w:r>
          </w:p>
        </w:tc>
        <w:tc>
          <w:tcPr>
            <w:tcW w:w="792" w:type="dxa"/>
            <w:tcBorders>
              <w:top w:val="nil"/>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1</w:t>
            </w:r>
          </w:p>
        </w:tc>
        <w:tc>
          <w:tcPr>
            <w:tcW w:w="792" w:type="dxa"/>
            <w:tcBorders>
              <w:top w:val="nil"/>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套</w:t>
            </w:r>
          </w:p>
        </w:tc>
      </w:tr>
      <w:tr>
        <w:tblPrEx>
          <w:tblLayout w:type="fixed"/>
          <w:tblCellMar>
            <w:top w:w="45" w:type="dxa"/>
            <w:left w:w="96" w:type="dxa"/>
            <w:bottom w:w="45" w:type="dxa"/>
            <w:right w:w="96" w:type="dxa"/>
          </w:tblCellMar>
        </w:tblPrEx>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2</w:t>
            </w:r>
          </w:p>
        </w:tc>
        <w:tc>
          <w:tcPr>
            <w:tcW w:w="92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人才新政4.0（企业补贴）</w:t>
            </w:r>
          </w:p>
        </w:tc>
        <w:tc>
          <w:tcPr>
            <w:tcW w:w="4729" w:type="dxa"/>
            <w:tcBorders>
              <w:top w:val="single" w:color="auto" w:sz="4" w:space="0"/>
              <w:left w:val="single" w:color="auto" w:sz="4" w:space="0"/>
              <w:bottom w:val="single" w:color="auto" w:sz="4" w:space="0"/>
              <w:right w:val="single" w:color="auto" w:sz="4" w:space="0"/>
            </w:tcBorders>
            <w:vAlign w:val="center"/>
          </w:tcPr>
          <w:p>
            <w:pPr>
              <w:ind w:firstLine="480"/>
              <w:jc w:val="left"/>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人才新政4.0企业补贴模块主要面向扬州企业，提供留才资助与引才奖励相关事项服务。该模块围绕博士后站点留才资助、招引急需紧缺高端产业人才、聚焦“613”产业体系发展等方面，为企业提供有力的政策和人才支撑。企业补贴内容涵盖资助标准、申请条件、适用范围等，通过提供便捷的政务服务入口，简化申请流程，实现申请进度实时跟踪与处理结果及时反馈，确保企业能够高效便捷地享受政策红利，持续优化营商环境。</w:t>
            </w:r>
          </w:p>
          <w:p>
            <w:pPr>
              <w:ind w:firstLine="480"/>
              <w:jc w:val="left"/>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人才新政4.0企业补贴应包括博士后站点留才资助、“613”重点企业引才奖励等相关内容，进一步强化政策精准性与实效性，助力企业通过招引人才实现高质量发展。</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1</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套</w:t>
            </w:r>
          </w:p>
        </w:tc>
      </w:tr>
      <w:tr>
        <w:tblPrEx>
          <w:tblLayout w:type="fixed"/>
          <w:tblCellMar>
            <w:top w:w="45" w:type="dxa"/>
            <w:left w:w="96" w:type="dxa"/>
            <w:bottom w:w="45" w:type="dxa"/>
            <w:right w:w="96" w:type="dxa"/>
          </w:tblCellMar>
        </w:tblPrEx>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3</w:t>
            </w:r>
          </w:p>
        </w:tc>
        <w:tc>
          <w:tcPr>
            <w:tcW w:w="92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人才新政4.0（享受服务）</w:t>
            </w:r>
          </w:p>
        </w:tc>
        <w:tc>
          <w:tcPr>
            <w:tcW w:w="4729" w:type="dxa"/>
            <w:tcBorders>
              <w:top w:val="single" w:color="auto" w:sz="4" w:space="0"/>
              <w:left w:val="single" w:color="auto" w:sz="4" w:space="0"/>
              <w:bottom w:val="single" w:color="auto" w:sz="4" w:space="0"/>
              <w:right w:val="single" w:color="auto" w:sz="4" w:space="0"/>
            </w:tcBorders>
            <w:vAlign w:val="center"/>
          </w:tcPr>
          <w:p>
            <w:pPr>
              <w:ind w:firstLine="480"/>
              <w:jc w:val="left"/>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该模块旨在全面贯彻和落实最新人才政策4.0，着力吸引和留住优秀人才，提升人才服务质量，打造更具吸引力和竞争力的人才服务体系。通过不定时发放、申请或抢领生活类、参观类、景区类、体育类、餐饮类、文化类、交通类等方面的优惠券，并在相应场景中使用，丰富人才的日常体验。同时，针对高校毕业生求职就业的住房需求，提供青年驿站申请服务，切实解决人才在扬发展的实际问题，持续优化人才服务生态，增强人才在扬州发展的获得感和归属感。</w:t>
            </w:r>
          </w:p>
          <w:p>
            <w:pPr>
              <w:ind w:firstLine="480"/>
              <w:jc w:val="left"/>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人才新政4.0企业补贴应涵盖人才分类认定、人才服务场景开发、青年驿站、“绿扬英才卡”管理等内容，进一步完善人才服务体系，提升政策落地实效。</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1</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套</w:t>
            </w:r>
          </w:p>
        </w:tc>
      </w:tr>
      <w:tr>
        <w:tblPrEx>
          <w:tblLayout w:type="fixed"/>
          <w:tblCellMar>
            <w:top w:w="45" w:type="dxa"/>
            <w:left w:w="96" w:type="dxa"/>
            <w:bottom w:w="45" w:type="dxa"/>
            <w:right w:w="96" w:type="dxa"/>
          </w:tblCellMar>
        </w:tblPrEx>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4</w:t>
            </w:r>
          </w:p>
        </w:tc>
        <w:tc>
          <w:tcPr>
            <w:tcW w:w="92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人才数据分析展示平台升级</w:t>
            </w:r>
          </w:p>
        </w:tc>
        <w:tc>
          <w:tcPr>
            <w:tcW w:w="4729" w:type="dxa"/>
            <w:tcBorders>
              <w:top w:val="single" w:color="auto" w:sz="4" w:space="0"/>
              <w:left w:val="single" w:color="auto" w:sz="4" w:space="0"/>
              <w:bottom w:val="single" w:color="auto" w:sz="4" w:space="0"/>
              <w:right w:val="single" w:color="auto" w:sz="4" w:space="0"/>
            </w:tcBorders>
            <w:vAlign w:val="center"/>
          </w:tcPr>
          <w:p>
            <w:pPr>
              <w:ind w:firstLine="480"/>
              <w:jc w:val="left"/>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人才数据分析展示平台升级模块聚焦于人才数据的深度挖掘与可视化呈现。通过对接省人社部门等外部数据系统，并整合自身业务数据等多源信息，构建全面的人才数据仓库，运用先进的数据分析算法，对人才结构、流动趋势、需求热点等进行深入分析。依托丰富的可视化工具，如柱状图、折线图、饼图、地图等，将分析结果以直观、易懂的形式展现，支持用户自定义报表与图表，满足不同层级、不同部门的数据查看与分析需求。同时，基于数据分析结果实现预警与预测功能，为人才政策制定和精准服务提供前瞻性支撑与决策依据。</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1</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套</w:t>
            </w:r>
          </w:p>
        </w:tc>
      </w:tr>
      <w:tr>
        <w:tblPrEx>
          <w:tblLayout w:type="fixed"/>
          <w:tblCellMar>
            <w:top w:w="45" w:type="dxa"/>
            <w:left w:w="96" w:type="dxa"/>
            <w:bottom w:w="45" w:type="dxa"/>
            <w:right w:w="96" w:type="dxa"/>
          </w:tblCellMar>
        </w:tblPrEx>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5</w:t>
            </w:r>
          </w:p>
        </w:tc>
        <w:tc>
          <w:tcPr>
            <w:tcW w:w="92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智慧招聘全场景整合</w:t>
            </w:r>
          </w:p>
        </w:tc>
        <w:tc>
          <w:tcPr>
            <w:tcW w:w="4729" w:type="dxa"/>
            <w:tcBorders>
              <w:top w:val="single" w:color="auto" w:sz="4" w:space="0"/>
              <w:left w:val="single" w:color="auto" w:sz="4" w:space="0"/>
              <w:bottom w:val="single" w:color="auto" w:sz="4" w:space="0"/>
              <w:right w:val="single" w:color="auto" w:sz="4" w:space="0"/>
            </w:tcBorders>
            <w:vAlign w:val="center"/>
          </w:tcPr>
          <w:p>
            <w:pPr>
              <w:ind w:firstLine="480"/>
              <w:jc w:val="left"/>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构建一个以移动互联为核心、以二维码技术为纽带的智能化移动招聘平台，创新企业招聘与人才求职的交互方式。平台将充分运用现代信息技术，推动招聘流程的数字化、自动化和智能化转型，为企业与求职者搭建高效、便捷的对接通道。整合校园招聘、现场招聘会、社会招聘、移动端简历投递与处理等线上线下各类招聘渠道，实现招聘信息的统一发布与管理。通过大数据与人工智能技术，对企业招聘需求和人才简历进行精准分析，实现智能化匹配与推荐，提升招聘效率与质量。同时具备批量处理企业征集人才需求的能力，进一步提升平台的服务效能与用户体验。</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1</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套</w:t>
            </w:r>
          </w:p>
        </w:tc>
      </w:tr>
      <w:tr>
        <w:tblPrEx>
          <w:tblLayout w:type="fixed"/>
          <w:tblCellMar>
            <w:top w:w="45" w:type="dxa"/>
            <w:left w:w="96" w:type="dxa"/>
            <w:bottom w:w="45" w:type="dxa"/>
            <w:right w:w="96" w:type="dxa"/>
          </w:tblCellMar>
        </w:tblPrEx>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6</w:t>
            </w:r>
          </w:p>
        </w:tc>
        <w:tc>
          <w:tcPr>
            <w:tcW w:w="92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“扬小才”AI助理</w:t>
            </w:r>
          </w:p>
        </w:tc>
        <w:tc>
          <w:tcPr>
            <w:tcW w:w="4729" w:type="dxa"/>
            <w:tcBorders>
              <w:top w:val="single" w:color="auto" w:sz="4" w:space="0"/>
              <w:left w:val="single" w:color="auto" w:sz="4" w:space="0"/>
              <w:bottom w:val="single" w:color="auto" w:sz="4" w:space="0"/>
              <w:right w:val="single" w:color="auto" w:sz="4" w:space="0"/>
            </w:tcBorders>
            <w:vAlign w:val="center"/>
          </w:tcPr>
          <w:p>
            <w:pPr>
              <w:ind w:firstLine="480"/>
              <w:jc w:val="left"/>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以“人才政策4.0”为引领，构建扬州人才政策服务体系，重点聚焦来扬就业人才补贴与安家置业政策、企业招才服务支持及人才奖补政策等方面，着力破解人才不知晓、不了解政策的问题。通过持续迭代优化模型，充分发挥深度学习能力优势，实现对不同用户类型的高频需求（如人才政策、人才招聘、人才服务）等业务场景的精准意图识别。结合服务对象特征，推出“扬小才”AI助理，具备智能问答、政策智能匹配、热门信息一键查询等服务能力，全面提升人才政策服务的智能化水平和用户体验。</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1</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套</w:t>
            </w:r>
          </w:p>
        </w:tc>
      </w:tr>
      <w:tr>
        <w:tblPrEx>
          <w:tblLayout w:type="fixed"/>
          <w:tblCellMar>
            <w:top w:w="45" w:type="dxa"/>
            <w:left w:w="96" w:type="dxa"/>
            <w:bottom w:w="45" w:type="dxa"/>
            <w:right w:w="96" w:type="dxa"/>
          </w:tblCellMar>
        </w:tblPrEx>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7</w:t>
            </w:r>
          </w:p>
        </w:tc>
        <w:tc>
          <w:tcPr>
            <w:tcW w:w="92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业务工单处理系统</w:t>
            </w:r>
          </w:p>
        </w:tc>
        <w:tc>
          <w:tcPr>
            <w:tcW w:w="4729" w:type="dxa"/>
            <w:tcBorders>
              <w:top w:val="single" w:color="auto" w:sz="4" w:space="0"/>
              <w:left w:val="single" w:color="auto" w:sz="4" w:space="0"/>
              <w:bottom w:val="single" w:color="auto" w:sz="4" w:space="0"/>
              <w:right w:val="single" w:color="auto" w:sz="4" w:space="0"/>
            </w:tcBorders>
            <w:vAlign w:val="center"/>
          </w:tcPr>
          <w:p>
            <w:pPr>
              <w:ind w:firstLine="480"/>
              <w:jc w:val="left"/>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color w:val="333333"/>
                <w:sz w:val="24"/>
                <w:szCs w:val="24"/>
              </w:rPr>
              <w:t>业务工单处理系统是保障“人才码”服务高效运转的后台功能模块，支持市、县（区）两级经办人员及管理人员对各类业务环节中需要处理的情况进行多类型工单的创建与审批管理，涵盖补贴申请、信息更正等各类业务场景。在工单流转过程中，系统可根据工单属性自动分配至相应部门或人员，并详细记录各环节处理信息，确保流程透明、可追溯。同时，提供实时进度查询功能，便于业务人员随时掌握工单处理状态。工单处理完成后，系统应及时反馈处理结果，并对工单数据进行统计分析，为优化服务流程和提升管理效能提供数据支撑。</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1</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套</w:t>
            </w:r>
          </w:p>
        </w:tc>
      </w:tr>
      <w:tr>
        <w:tblPrEx>
          <w:tblLayout w:type="fixed"/>
          <w:tblCellMar>
            <w:top w:w="45" w:type="dxa"/>
            <w:left w:w="96" w:type="dxa"/>
            <w:bottom w:w="45" w:type="dxa"/>
            <w:right w:w="96" w:type="dxa"/>
          </w:tblCellMar>
        </w:tblPrEx>
        <w:trPr>
          <w:trHeight w:val="90" w:hRule="atLeast"/>
        </w:trPr>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8</w:t>
            </w:r>
          </w:p>
        </w:tc>
        <w:tc>
          <w:tcPr>
            <w:tcW w:w="92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应用系统业务协同</w:t>
            </w:r>
          </w:p>
        </w:tc>
        <w:tc>
          <w:tcPr>
            <w:tcW w:w="4729" w:type="dxa"/>
            <w:tcBorders>
              <w:top w:val="single" w:color="auto" w:sz="4" w:space="0"/>
              <w:left w:val="single" w:color="auto" w:sz="4" w:space="0"/>
              <w:bottom w:val="single" w:color="auto" w:sz="4" w:space="0"/>
              <w:right w:val="single" w:color="auto" w:sz="4" w:space="0"/>
            </w:tcBorders>
            <w:vAlign w:val="center"/>
          </w:tcPr>
          <w:p>
            <w:pPr>
              <w:ind w:firstLine="480"/>
              <w:jc w:val="left"/>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为全面提升扬州“人才码”服务效能，需多维度推进全渠道整合：持续优化移动端界面布局与交互体验，统一视觉风格与色彩，提升识别度与操作便捷性；实现与苏服办、电子社保卡及省人社一体化平台对接，推动用户信息互认、功能融合，实现一站式服务，进一步提升用户体验与系统安全性。同时对研究确定的服务场景等事项，实现扬州“人才码”与实际应用服务场景系统的信息共享。</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1</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套</w:t>
            </w:r>
          </w:p>
        </w:tc>
      </w:tr>
      <w:tr>
        <w:tblPrEx>
          <w:tblLayout w:type="fixed"/>
          <w:tblCellMar>
            <w:top w:w="45" w:type="dxa"/>
            <w:left w:w="96" w:type="dxa"/>
            <w:bottom w:w="45" w:type="dxa"/>
            <w:right w:w="96" w:type="dxa"/>
          </w:tblCellMar>
        </w:tblPrEx>
        <w:trPr>
          <w:trHeight w:val="90" w:hRule="atLeast"/>
        </w:trPr>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9</w:t>
            </w:r>
          </w:p>
        </w:tc>
        <w:tc>
          <w:tcPr>
            <w:tcW w:w="92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整体平台适配相关工作</w:t>
            </w:r>
          </w:p>
        </w:tc>
        <w:tc>
          <w:tcPr>
            <w:tcW w:w="4729" w:type="dxa"/>
            <w:tcBorders>
              <w:top w:val="single" w:color="auto" w:sz="4" w:space="0"/>
              <w:left w:val="single" w:color="auto" w:sz="4" w:space="0"/>
              <w:bottom w:val="single" w:color="auto" w:sz="4" w:space="0"/>
              <w:right w:val="single" w:color="auto" w:sz="4" w:space="0"/>
            </w:tcBorders>
            <w:vAlign w:val="center"/>
          </w:tcPr>
          <w:p>
            <w:pPr>
              <w:ind w:firstLine="480"/>
              <w:jc w:val="left"/>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基于</w:t>
            </w:r>
            <w:bookmarkStart w:id="13" w:name="OLE_LINK6"/>
            <w:bookmarkStart w:id="14" w:name="OLE_LINK7"/>
            <w:r>
              <w:rPr>
                <w:rFonts w:hint="eastAsia" w:asciiTheme="minorEastAsia" w:hAnsiTheme="minorEastAsia" w:eastAsiaTheme="minorEastAsia" w:cstheme="minorEastAsia"/>
                <w:bCs/>
                <w:iCs/>
                <w:sz w:val="24"/>
                <w:szCs w:val="24"/>
              </w:rPr>
              <w:t>安全可靠</w:t>
            </w:r>
            <w:bookmarkEnd w:id="13"/>
            <w:bookmarkEnd w:id="14"/>
            <w:r>
              <w:rPr>
                <w:rFonts w:hint="eastAsia" w:asciiTheme="minorEastAsia" w:hAnsiTheme="minorEastAsia" w:eastAsiaTheme="minorEastAsia" w:cstheme="minorEastAsia"/>
                <w:bCs/>
                <w:iCs/>
                <w:sz w:val="24"/>
                <w:szCs w:val="24"/>
              </w:rPr>
              <w:t>技术路线，构建“操作系统－数据库－中间件－应用系统”全链条适配能力，完成“扬州人才码”一期系统的迁移与适配，保障系统在安全可靠环境中的稳定运行。涵盖全面测试、环境搭建、功能升级、数据迁移、适配验证及前端UI优化等，确保功能一致、操作顺畅。同时对B/S应用进行符合适配，支撑各场景安全高效运行。</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1</w:t>
            </w:r>
          </w:p>
        </w:tc>
        <w:tc>
          <w:tcPr>
            <w:tcW w:w="7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bCs/>
                <w:iCs/>
                <w:sz w:val="24"/>
                <w:szCs w:val="24"/>
              </w:rPr>
            </w:pPr>
            <w:r>
              <w:rPr>
                <w:rFonts w:hint="eastAsia" w:asciiTheme="minorEastAsia" w:hAnsiTheme="minorEastAsia" w:eastAsiaTheme="minorEastAsia" w:cstheme="minorEastAsia"/>
                <w:bCs/>
                <w:iCs/>
                <w:sz w:val="24"/>
                <w:szCs w:val="24"/>
              </w:rPr>
              <w:t>项</w:t>
            </w:r>
          </w:p>
        </w:tc>
      </w:tr>
    </w:tbl>
    <w:p>
      <w:pPr>
        <w:pStyle w:val="301"/>
        <w:rPr>
          <w:rFonts w:hint="default" w:asciiTheme="minorEastAsia" w:hAnsiTheme="minorEastAsia" w:eastAsiaTheme="minorEastAsia" w:cstheme="minorEastAsia"/>
        </w:rPr>
      </w:pPr>
    </w:p>
    <w:p>
      <w:pPr>
        <w:pStyle w:val="300"/>
        <w:rPr>
          <w:rFonts w:hint="default" w:asciiTheme="minorEastAsia" w:hAnsiTheme="minorEastAsia" w:eastAsiaTheme="minorEastAsia" w:cstheme="minorEastAsia"/>
          <w:sz w:val="24"/>
        </w:rPr>
      </w:pPr>
      <w:r>
        <w:rPr>
          <w:rFonts w:asciiTheme="minorEastAsia" w:hAnsiTheme="minorEastAsia" w:eastAsiaTheme="minorEastAsia" w:cstheme="minorEastAsia"/>
          <w:sz w:val="24"/>
        </w:rPr>
        <w:t>1.4技术功能要求</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投标人应当充分理解本项目招标需求，投标时提交的技术方案中必须包含每个子系统的设计方案，具体要求如下：</w:t>
      </w:r>
    </w:p>
    <w:p>
      <w:pPr>
        <w:pStyle w:val="3"/>
        <w:numPr>
          <w:ilvl w:val="1"/>
          <w:numId w:val="5"/>
        </w:numPr>
        <w:tabs>
          <w:tab w:val="left" w:pos="420"/>
        </w:tabs>
        <w:ind w:left="567"/>
        <w:jc w:val="both"/>
        <w:rPr>
          <w:rFonts w:asciiTheme="minorEastAsia" w:hAnsiTheme="minorEastAsia" w:eastAsiaTheme="minorEastAsia" w:cstheme="minorEastAsia"/>
          <w:sz w:val="24"/>
          <w:szCs w:val="24"/>
        </w:rPr>
      </w:pPr>
      <w:bookmarkStart w:id="15" w:name="_Toc2103"/>
      <w:r>
        <w:rPr>
          <w:rFonts w:hint="eastAsia" w:asciiTheme="minorEastAsia" w:hAnsiTheme="minorEastAsia" w:eastAsiaTheme="minorEastAsia" w:cstheme="minorEastAsia"/>
          <w:sz w:val="24"/>
          <w:szCs w:val="24"/>
        </w:rPr>
        <w:t>人才新政4.0（个人补贴）</w:t>
      </w:r>
      <w:bookmarkEnd w:id="15"/>
    </w:p>
    <w:p>
      <w:pPr>
        <w:pStyle w:val="298"/>
        <w:rPr>
          <w:rFonts w:hint="default" w:asciiTheme="minorEastAsia" w:hAnsiTheme="minorEastAsia" w:eastAsiaTheme="minorEastAsia" w:cstheme="minorEastAsia"/>
          <w:bCs w:val="0"/>
          <w:szCs w:val="24"/>
        </w:rPr>
      </w:pPr>
      <w:bookmarkStart w:id="16" w:name="_Toc8206"/>
      <w:r>
        <w:rPr>
          <w:rFonts w:asciiTheme="minorEastAsia" w:hAnsiTheme="minorEastAsia" w:eastAsiaTheme="minorEastAsia" w:cstheme="minorEastAsia"/>
          <w:bCs w:val="0"/>
          <w:szCs w:val="24"/>
        </w:rPr>
        <w:t>人才新政4.0（个人补贴），用于用户在人才码系统注册后，可以申请符合条件的人才补贴，通过调用学历、社保等相关接口，进行初步资格核验，提交申请后，自动推送至各区审核审批，并及时完成在线发放。</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建设内容主要包括</w:t>
      </w:r>
      <w:r>
        <w:rPr>
          <w:rFonts w:asciiTheme="minorEastAsia" w:hAnsiTheme="minorEastAsia" w:eastAsiaTheme="minorEastAsia" w:cstheme="minorEastAsia"/>
          <w:szCs w:val="24"/>
        </w:rPr>
        <w:t>来扬补贴（探亲交通补贴和探亲安居补贴）、留扬补贴、回扬补贴、人才生活补贴、人才安家券</w:t>
      </w:r>
      <w:r>
        <w:rPr>
          <w:rFonts w:asciiTheme="minorEastAsia" w:hAnsiTheme="minorEastAsia" w:eastAsiaTheme="minorEastAsia" w:cstheme="minorEastAsia"/>
          <w:bCs w:val="0"/>
          <w:szCs w:val="24"/>
        </w:rPr>
        <w:t>、人才交流实践补贴、技工院校引留生源安居补贴等，具备条件的可实现“一键申领”功能。</w:t>
      </w:r>
    </w:p>
    <w:p>
      <w:pPr>
        <w:pStyle w:val="298"/>
        <w:rPr>
          <w:rFonts w:hint="default" w:asciiTheme="minorEastAsia" w:hAnsiTheme="minorEastAsia" w:eastAsiaTheme="minorEastAsia" w:cstheme="minorEastAsia"/>
          <w:b/>
          <w:szCs w:val="24"/>
        </w:rPr>
      </w:pPr>
      <w:bookmarkStart w:id="17" w:name="_Toc21309"/>
      <w:bookmarkStart w:id="18" w:name="_Toc2169"/>
      <w:r>
        <w:rPr>
          <w:rFonts w:asciiTheme="minorEastAsia" w:hAnsiTheme="minorEastAsia" w:eastAsiaTheme="minorEastAsia" w:cstheme="minorEastAsia"/>
          <w:b/>
          <w:szCs w:val="24"/>
        </w:rPr>
        <w:t>来扬补贴（探亲交通补贴</w:t>
      </w:r>
      <w:bookmarkEnd w:id="17"/>
      <w:r>
        <w:rPr>
          <w:rFonts w:asciiTheme="minorEastAsia" w:hAnsiTheme="minorEastAsia" w:eastAsiaTheme="minorEastAsia" w:cstheme="minorEastAsia"/>
          <w:b/>
          <w:szCs w:val="24"/>
        </w:rPr>
        <w:t>）</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各类人才通过补贴“一键申领”功能提交申请后，系统应支持根据来扬探亲交通补贴实施细则文件和申请人的条件实现人才的免申即享，须区分该政策与其他同类型人才政策的异同点，如申请人年龄要求，非扬州、非在扬高校身份，社保缴纳时间，补贴标准，毕业时间、企业范围等条件、企业税收缴纳地等。申请通过后端服务接口进行初步审核并生成探亲交通补贴信息，将申报数据接入相应业务审批流程，由业务经办人员后续完成探亲交通补贴相关业务办理。</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来扬补贴（探亲安居补贴</w:t>
      </w:r>
      <w:bookmarkEnd w:id="18"/>
      <w:r>
        <w:rPr>
          <w:rFonts w:asciiTheme="minorEastAsia" w:hAnsiTheme="minorEastAsia" w:eastAsiaTheme="minorEastAsia" w:cstheme="minorEastAsia"/>
          <w:b/>
          <w:szCs w:val="24"/>
        </w:rPr>
        <w:t>）</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各类人才通过补贴“一键申领”功能提交申请后，系统应支持根据来扬探亲安居补贴实施细则文件和申请人的条件实现人才的免申即享，须区分该政策与其他同类型人才政策的异同点，如申请人年龄要求，非扬州、非在扬高校身份，社保缴纳时间，补贴标准，毕业时间、企业范围等条件、企业税收缴纳地等。申请通过后端服务接口进行初步审核并生成探亲安居补贴信息，将申报数据接入相应业务审批流程，由业务经办人员后续完成探亲安居补贴相关业务办理。</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留扬补贴</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各类人才通过补贴“一键申领”功能提交申请后，系统应支持根据留扬补贴实施细则文件和申请人的条件实现人才的免申即享，须区分该政策与其他同类型人才政策的异同点，如申请人年龄要求，在扬高校身份，社保缴纳时间，补贴标准，毕业时间、企业范围等条件，企业税收缴纳地等。申请通过后端服务接口进行初步审核并生成留扬补贴信息，将申报数据接入相应业务审批流程，由业务经办人员后续完成留扬补贴相关业务办理。</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回扬补贴</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Cs w:val="0"/>
          <w:szCs w:val="24"/>
        </w:rPr>
        <w:t>各类人才通过补贴“一键申领”功能提交申请后，系统应支持根据回扬补贴实施细则文件和申请人的条件实现人才的免申即享，须区分该政策与其他同类型人才政策的异同点，如申请人年龄要求，非在扬高校、扬州籍身份，社保缴纳时间，补贴标准，毕业时间、企业范围等条件，企业税收缴纳地等。申请通过后端服务接口进行初步审核并生成回扬补贴信息，将申报数据接入相应业务审批流程，由业务经办人员后续完成回扬补贴相关业务办理。</w:t>
      </w:r>
      <w:bookmarkStart w:id="19" w:name="_Toc25251"/>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人才生活补贴</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各类人才通过补贴“一键申领”功能提交申请后，系统应支持根据生活补贴实施细则文件和申请人的条件实现快速申请，须区分该政策与其他同类型人才政策的异同点，如申请人年龄要求，学历（或技能或职称）信息，社保缴纳时间，补贴标准，企业范围等条件，企业税收缴纳地等。申请推送至各部门通过后端服务接口进行初步审核并生成生活补贴信息，将申报数据接入相应业务审批流程，由业务经办人员后续完成生活补贴相关业务办理。各县（市）区可根据审核审批的情况及时导出相应补贴发放数据，通过资金发放渠道将补贴发放到个人账户。</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color w:val="000000"/>
          <w:szCs w:val="24"/>
        </w:rPr>
        <w:t>人才生活补贴申请发放全流程包含</w:t>
      </w:r>
      <w:r>
        <w:rPr>
          <w:rFonts w:asciiTheme="minorEastAsia" w:hAnsiTheme="minorEastAsia" w:eastAsiaTheme="minorEastAsia" w:cstheme="minorEastAsia"/>
          <w:color w:val="000000"/>
        </w:rPr>
        <w:t>人才注册后经审核完成后最终资金拨付，有注册、申请、审核、核验、汇总、公示等各功能，财务审核报盘后发放，可查询发放情况。</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人才安家券</w:t>
      </w:r>
      <w:bookmarkEnd w:id="19"/>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普通人才通过补贴“一键申领”功能提交申请后，系统应支持根据生活补贴实施细则文件和申请人的条件实现人才的免申即享，须区分该政策与其他同类型人才政策的异同点，如申请人年龄要求，学历（或技能或职称）信息，社保缴纳时间，补贴标准，企业范围、区域范围等条件，企业税收缴纳地、购房信息等。申请通过后端服务接口进行初步判定并生成人才安家券，将申报数据接入相应业务审批流程，由业务经办人员分层级后续完成人才安家券相关业务办理。系统需要通过数据共享接口与购房系统对接，实时交换安家券核验金额、使用情况等信息，并提供费用清算功能，形成业务申请、办理、结算的闭环。</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高层次人才在未申请生活补贴的情况下，需支持将相关部门提供的相关高层次人才数据，直接导入系统，生成人才安家券，并将申报信息接入相应业务审批流程，后业务经办人员后端完成人才安家券相关业务办理。</w:t>
      </w:r>
    </w:p>
    <w:p>
      <w:pPr>
        <w:pStyle w:val="298"/>
        <w:rPr>
          <w:rFonts w:asciiTheme="minorEastAsia" w:hAnsiTheme="minorEastAsia" w:eastAsiaTheme="minorEastAsia" w:cstheme="minorEastAsia"/>
        </w:rPr>
      </w:pPr>
      <w:r>
        <w:rPr>
          <w:rFonts w:asciiTheme="minorEastAsia" w:hAnsiTheme="minorEastAsia" w:eastAsiaTheme="minorEastAsia" w:cstheme="minorEastAsia"/>
          <w:color w:val="000000"/>
          <w:szCs w:val="24"/>
        </w:rPr>
        <w:t>人才安家券业务办理流程，面向</w:t>
      </w:r>
      <w:r>
        <w:rPr>
          <w:rFonts w:asciiTheme="minorEastAsia" w:hAnsiTheme="minorEastAsia" w:eastAsiaTheme="minorEastAsia" w:cstheme="minorEastAsia"/>
        </w:rPr>
        <w:t>普通人才申请与高层次人才后台导入，</w:t>
      </w:r>
      <w:r>
        <w:rPr>
          <w:rFonts w:asciiTheme="minorEastAsia" w:hAnsiTheme="minorEastAsia" w:eastAsiaTheme="minorEastAsia" w:cstheme="minorEastAsia"/>
          <w:color w:val="000000"/>
        </w:rPr>
        <w:t>具备</w:t>
      </w:r>
      <w:r>
        <w:rPr>
          <w:rFonts w:asciiTheme="minorEastAsia" w:hAnsiTheme="minorEastAsia" w:eastAsiaTheme="minorEastAsia" w:cstheme="minorEastAsia"/>
        </w:rPr>
        <w:t>申请、审核、审批、推送激活、核销兑付、购房兑付、资金结算等功能。发放过程中需要体现如何与</w:t>
      </w:r>
      <w:r>
        <w:rPr>
          <w:rFonts w:hint="eastAsia" w:asciiTheme="minorEastAsia" w:hAnsiTheme="minorEastAsia" w:eastAsiaTheme="minorEastAsia" w:cstheme="minorEastAsia"/>
          <w:lang w:val="en-US" w:eastAsia="zh-CN"/>
        </w:rPr>
        <w:t>房屋管理</w:t>
      </w:r>
      <w:r>
        <w:rPr>
          <w:rFonts w:asciiTheme="minorEastAsia" w:hAnsiTheme="minorEastAsia" w:eastAsiaTheme="minorEastAsia" w:cstheme="minorEastAsia"/>
        </w:rPr>
        <w:t>部门、房产开发企业等单位进行业务协同与流转功能。</w:t>
      </w:r>
      <w:bookmarkStart w:id="20" w:name="_Toc28211"/>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人才交流实践补贴</w:t>
      </w:r>
      <w:bookmarkEnd w:id="20"/>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系统应支持根据人才交流实践补贴实施细则文件和申请人的条件实现人才的快速申请。</w:t>
      </w:r>
      <w:r>
        <w:rPr>
          <w:rFonts w:asciiTheme="minorEastAsia" w:hAnsiTheme="minorEastAsia" w:eastAsiaTheme="minorEastAsia" w:cstheme="minorEastAsia"/>
          <w:bCs w:val="0"/>
          <w:color w:val="333333"/>
          <w:szCs w:val="24"/>
        </w:rPr>
        <w:t>需</w:t>
      </w:r>
      <w:r>
        <w:rPr>
          <w:rFonts w:asciiTheme="minorEastAsia" w:hAnsiTheme="minorEastAsia" w:eastAsiaTheme="minorEastAsia" w:cstheme="minorEastAsia"/>
          <w:bCs w:val="0"/>
          <w:szCs w:val="24"/>
        </w:rPr>
        <w:t>将经审核过的</w:t>
      </w:r>
      <w:r>
        <w:rPr>
          <w:rFonts w:asciiTheme="minorEastAsia" w:hAnsiTheme="minorEastAsia" w:eastAsiaTheme="minorEastAsia" w:cstheme="minorEastAsia"/>
          <w:bCs w:val="0"/>
          <w:color w:val="333333"/>
          <w:szCs w:val="24"/>
        </w:rPr>
        <w:t>来扬参与人才交流实践活动人员补贴申领</w:t>
      </w:r>
      <w:r>
        <w:rPr>
          <w:rFonts w:asciiTheme="minorEastAsia" w:hAnsiTheme="minorEastAsia" w:eastAsiaTheme="minorEastAsia" w:cstheme="minorEastAsia"/>
          <w:bCs w:val="0"/>
          <w:szCs w:val="24"/>
        </w:rPr>
        <w:t>名单</w:t>
      </w:r>
      <w:r>
        <w:rPr>
          <w:rFonts w:asciiTheme="minorEastAsia" w:hAnsiTheme="minorEastAsia" w:eastAsiaTheme="minorEastAsia" w:cstheme="minorEastAsia"/>
          <w:bCs w:val="0"/>
          <w:color w:val="333333"/>
          <w:szCs w:val="24"/>
        </w:rPr>
        <w:t>纳入系统，实现数据集中管理和资金监管。系统应提供人才交流实践活动的生成、意向名单导入、人员注册、补贴申请、审批、汇总、资金拨付及查询统计等功能，全面提升管理效率与服务规范性。</w:t>
      </w:r>
    </w:p>
    <w:p>
      <w:pPr>
        <w:pStyle w:val="298"/>
        <w:rPr>
          <w:rFonts w:hint="default" w:asciiTheme="minorEastAsia" w:hAnsiTheme="minorEastAsia" w:eastAsiaTheme="minorEastAsia" w:cstheme="minorEastAsia"/>
          <w:b/>
          <w:szCs w:val="24"/>
        </w:rPr>
      </w:pPr>
      <w:bookmarkStart w:id="21" w:name="_Toc22508"/>
      <w:r>
        <w:rPr>
          <w:rFonts w:asciiTheme="minorEastAsia" w:hAnsiTheme="minorEastAsia" w:eastAsiaTheme="minorEastAsia" w:cstheme="minorEastAsia"/>
          <w:b/>
          <w:szCs w:val="24"/>
        </w:rPr>
        <w:t>来扬求职面试补贴</w:t>
      </w:r>
      <w:bookmarkEnd w:id="21"/>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系统应支持根据人才来扬求职面试补贴实施要求和申请人的条件实现人才的快速申请。各类人才通过应邀来扬参加人才选聘活动或在我市赴外招聘会上达成就业意向后来扬面试的高校毕业生，给予一次性求职面试补贴。</w:t>
      </w:r>
    </w:p>
    <w:p>
      <w:pPr>
        <w:pStyle w:val="298"/>
        <w:rPr>
          <w:rFonts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需提供</w:t>
      </w:r>
      <w:r>
        <w:rPr>
          <w:rFonts w:hint="eastAsia" w:asciiTheme="minorEastAsia" w:hAnsiTheme="minorEastAsia" w:eastAsiaTheme="minorEastAsia" w:cstheme="minorEastAsia"/>
          <w:bCs w:val="0"/>
          <w:szCs w:val="24"/>
          <w:lang w:val="en-US" w:eastAsia="zh-CN"/>
        </w:rPr>
        <w:t>生成</w:t>
      </w:r>
      <w:r>
        <w:rPr>
          <w:rFonts w:asciiTheme="minorEastAsia" w:hAnsiTheme="minorEastAsia" w:eastAsiaTheme="minorEastAsia" w:cstheme="minorEastAsia"/>
          <w:bCs w:val="0"/>
          <w:szCs w:val="24"/>
        </w:rPr>
        <w:t>人才招聘活动或赴外招聘会、导入意向名单（学生、企业、主办方均可导入并标注）、面试扫码确认、注册申请、个人简历生成、审核、审批、汇总、公示、资金拨付、查询统计等功能。</w:t>
      </w:r>
      <w:bookmarkStart w:id="22" w:name="_Toc13530"/>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技工院校引留生源安居补贴</w:t>
      </w:r>
      <w:bookmarkEnd w:id="22"/>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系统应支持根据技工院校引留生源安居补贴实施细则文件和申请人的条件实现人才的快速申请。需支持符合条件人才通过该应用在线提交补贴申请，通过后端服务接口，将申报信息接入相应业务审批流程，后业务经办人员后端完成技工院校引留生源安居补贴相关业务办理。</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以上人才新政4.0（人才补贴）均须支持各地个性化补贴政策，即按照市级标准补贴制定统一流程，同时须保留和实现各区、功能区及各地个性化补贴标准不同的适配空间和审核发放功能。同时实现补贴线上进行自动公示。</w:t>
      </w:r>
    </w:p>
    <w:p>
      <w:pPr>
        <w:pStyle w:val="3"/>
        <w:numPr>
          <w:ilvl w:val="1"/>
          <w:numId w:val="5"/>
        </w:numPr>
        <w:tabs>
          <w:tab w:val="left" w:pos="420"/>
        </w:tabs>
        <w:ind w:left="567"/>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人才新政4.0（企业补贴）</w:t>
      </w:r>
      <w:bookmarkEnd w:id="16"/>
    </w:p>
    <w:p>
      <w:pPr>
        <w:pStyle w:val="298"/>
        <w:rPr>
          <w:rFonts w:hint="default" w:asciiTheme="minorEastAsia" w:hAnsiTheme="minorEastAsia" w:eastAsiaTheme="minorEastAsia" w:cstheme="minorEastAsia"/>
          <w:bCs w:val="0"/>
          <w:szCs w:val="24"/>
        </w:rPr>
      </w:pPr>
      <w:bookmarkStart w:id="23" w:name="_Toc15777"/>
      <w:r>
        <w:rPr>
          <w:rFonts w:asciiTheme="minorEastAsia" w:hAnsiTheme="minorEastAsia" w:eastAsiaTheme="minorEastAsia" w:cstheme="minorEastAsia"/>
          <w:bCs w:val="0"/>
          <w:color w:val="333333"/>
          <w:szCs w:val="24"/>
        </w:rPr>
        <w:t>为切实</w:t>
      </w:r>
      <w:r>
        <w:rPr>
          <w:rFonts w:asciiTheme="minorEastAsia" w:hAnsiTheme="minorEastAsia" w:eastAsiaTheme="minorEastAsia" w:cstheme="minorEastAsia"/>
          <w:bCs w:val="0"/>
          <w:szCs w:val="24"/>
        </w:rPr>
        <w:t>提高</w:t>
      </w:r>
      <w:r>
        <w:rPr>
          <w:rFonts w:asciiTheme="minorEastAsia" w:hAnsiTheme="minorEastAsia" w:eastAsiaTheme="minorEastAsia" w:cstheme="minorEastAsia"/>
          <w:bCs w:val="0"/>
          <w:color w:val="333333"/>
          <w:szCs w:val="24"/>
        </w:rPr>
        <w:t>企业</w:t>
      </w:r>
      <w:r>
        <w:rPr>
          <w:rFonts w:asciiTheme="minorEastAsia" w:hAnsiTheme="minorEastAsia" w:eastAsiaTheme="minorEastAsia" w:cstheme="minorEastAsia"/>
          <w:bCs w:val="0"/>
          <w:szCs w:val="24"/>
        </w:rPr>
        <w:t>引才、</w:t>
      </w:r>
      <w:r>
        <w:rPr>
          <w:rFonts w:asciiTheme="minorEastAsia" w:hAnsiTheme="minorEastAsia" w:eastAsiaTheme="minorEastAsia" w:cstheme="minorEastAsia"/>
          <w:bCs w:val="0"/>
          <w:color w:val="333333"/>
          <w:szCs w:val="24"/>
        </w:rPr>
        <w:t>留才服务</w:t>
      </w:r>
      <w:r>
        <w:rPr>
          <w:rFonts w:asciiTheme="minorEastAsia" w:hAnsiTheme="minorEastAsia" w:eastAsiaTheme="minorEastAsia" w:cstheme="minorEastAsia"/>
          <w:bCs w:val="0"/>
          <w:szCs w:val="24"/>
        </w:rPr>
        <w:t>积极性</w:t>
      </w:r>
      <w:r>
        <w:rPr>
          <w:rFonts w:asciiTheme="minorEastAsia" w:hAnsiTheme="minorEastAsia" w:eastAsiaTheme="minorEastAsia" w:cstheme="minorEastAsia"/>
          <w:bCs w:val="0"/>
          <w:color w:val="333333"/>
          <w:szCs w:val="24"/>
        </w:rPr>
        <w:t>，人才新政4.0企业补贴围绕博士后站点留才资助、招引急需紧缺高端产业人才、聚焦“613”产业体系发展等方面，为产业发展提供有力的政策和人才支撑。系统需提供便捷的政务服务入口，简化申请流程，实现申请进度实时跟踪与处理结果及时反馈，确保企业高效便捷享受政策红利，持续优化营商环境。</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color w:val="333333"/>
          <w:szCs w:val="24"/>
        </w:rPr>
        <w:t>企业补贴建设内容应包括博士后站点留才资助、“613”重点企业引才奖励等，并</w:t>
      </w:r>
      <w:r>
        <w:rPr>
          <w:rFonts w:asciiTheme="minorEastAsia" w:hAnsiTheme="minorEastAsia" w:eastAsiaTheme="minorEastAsia" w:cstheme="minorEastAsia"/>
          <w:bCs w:val="0"/>
          <w:szCs w:val="24"/>
        </w:rPr>
        <w:t>实现</w:t>
      </w:r>
      <w:r>
        <w:rPr>
          <w:rFonts w:asciiTheme="minorEastAsia" w:hAnsiTheme="minorEastAsia" w:eastAsiaTheme="minorEastAsia" w:cstheme="minorEastAsia"/>
          <w:bCs w:val="0"/>
          <w:color w:val="333333"/>
          <w:szCs w:val="24"/>
        </w:rPr>
        <w:t>与市</w:t>
      </w:r>
      <w:r>
        <w:rPr>
          <w:rFonts w:asciiTheme="minorEastAsia" w:hAnsiTheme="minorEastAsia" w:eastAsiaTheme="minorEastAsia" w:cstheme="minorEastAsia"/>
          <w:bCs w:val="0"/>
          <w:szCs w:val="24"/>
        </w:rPr>
        <w:t>“易申报”等</w:t>
      </w:r>
      <w:r>
        <w:rPr>
          <w:rFonts w:asciiTheme="minorEastAsia" w:hAnsiTheme="minorEastAsia" w:eastAsiaTheme="minorEastAsia" w:cstheme="minorEastAsia"/>
          <w:bCs w:val="0"/>
          <w:color w:val="333333"/>
          <w:szCs w:val="24"/>
        </w:rPr>
        <w:t>企业服务系统</w:t>
      </w:r>
      <w:r>
        <w:rPr>
          <w:rFonts w:asciiTheme="minorEastAsia" w:hAnsiTheme="minorEastAsia" w:eastAsiaTheme="minorEastAsia" w:cstheme="minorEastAsia"/>
          <w:bCs w:val="0"/>
          <w:szCs w:val="24"/>
        </w:rPr>
        <w:t>平台</w:t>
      </w:r>
      <w:r>
        <w:rPr>
          <w:rFonts w:asciiTheme="minorEastAsia" w:hAnsiTheme="minorEastAsia" w:eastAsiaTheme="minorEastAsia" w:cstheme="minorEastAsia"/>
          <w:bCs w:val="0"/>
          <w:color w:val="333333"/>
          <w:szCs w:val="24"/>
        </w:rPr>
        <w:t>对接，推动涉企资金高效发放，提升政策落地实效。</w:t>
      </w:r>
    </w:p>
    <w:p>
      <w:pPr>
        <w:pStyle w:val="298"/>
        <w:rPr>
          <w:rFonts w:hint="default" w:asciiTheme="minorEastAsia" w:hAnsiTheme="minorEastAsia" w:eastAsiaTheme="minorEastAsia" w:cstheme="minorEastAsia"/>
          <w:b/>
          <w:szCs w:val="24"/>
        </w:rPr>
      </w:pPr>
      <w:bookmarkStart w:id="24" w:name="_Toc19993"/>
      <w:r>
        <w:rPr>
          <w:rFonts w:asciiTheme="minorEastAsia" w:hAnsiTheme="minorEastAsia" w:eastAsiaTheme="minorEastAsia" w:cstheme="minorEastAsia"/>
          <w:b/>
          <w:szCs w:val="24"/>
        </w:rPr>
        <w:t>博士后站点留才资助</w:t>
      </w:r>
      <w:bookmarkEnd w:id="24"/>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系统应支持根据博士后站点留才资助实施细则文件和申请企业的条件实现快速申请。需支持博士后站点单位在线提交留才资助申请，根据要求上传相关资料，后台审核成功后发放对应资助。需提供包括注册申请、补贴申请、审核、审批、汇总、资金拨付、发放查询等功能。</w:t>
      </w:r>
    </w:p>
    <w:p>
      <w:pPr>
        <w:pStyle w:val="298"/>
        <w:rPr>
          <w:rFonts w:hint="default" w:asciiTheme="minorEastAsia" w:hAnsiTheme="minorEastAsia" w:eastAsiaTheme="minorEastAsia" w:cstheme="minorEastAsia"/>
          <w:b/>
          <w:szCs w:val="24"/>
        </w:rPr>
      </w:pPr>
      <w:bookmarkStart w:id="25" w:name="_Toc29428"/>
      <w:r>
        <w:rPr>
          <w:rFonts w:asciiTheme="minorEastAsia" w:hAnsiTheme="minorEastAsia" w:eastAsiaTheme="minorEastAsia" w:cstheme="minorEastAsia"/>
          <w:b/>
          <w:szCs w:val="24"/>
        </w:rPr>
        <w:t>“613”重点企业和生产性服务企业引才奖励</w:t>
      </w:r>
      <w:bookmarkEnd w:id="25"/>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bCs w:val="0"/>
          <w:szCs w:val="24"/>
        </w:rPr>
        <w:t>系统应支持根据“613”重点企业和生产性服务企业引才奖励实施细则文件和申请企业的条件实现快速申请。用于我市“613”产业体系和生产性服务业企业每年新全职引进毕业5年内的大专（高级工）及以上毕业生超过30人的，超出人员按照相关的标准奖励申请企业。需支持条件的企业在线注册、发起补贴申请，并提供审核、审批、汇总、公示、资金拨付、发放查询等功能。</w:t>
      </w:r>
    </w:p>
    <w:p>
      <w:pPr>
        <w:pStyle w:val="3"/>
        <w:numPr>
          <w:ilvl w:val="1"/>
          <w:numId w:val="5"/>
        </w:numPr>
        <w:tabs>
          <w:tab w:val="left" w:pos="420"/>
        </w:tabs>
        <w:ind w:left="567"/>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人才新政4.0（享受服务）</w:t>
      </w:r>
      <w:bookmarkEnd w:id="23"/>
    </w:p>
    <w:p>
      <w:pPr>
        <w:pStyle w:val="298"/>
        <w:rPr>
          <w:rFonts w:hint="default" w:asciiTheme="minorEastAsia" w:hAnsiTheme="minorEastAsia" w:eastAsiaTheme="minorEastAsia" w:cstheme="minorEastAsia"/>
          <w:bCs w:val="0"/>
          <w:szCs w:val="24"/>
        </w:rPr>
      </w:pPr>
      <w:bookmarkStart w:id="26" w:name="_Toc18685"/>
      <w:r>
        <w:rPr>
          <w:rFonts w:asciiTheme="minorEastAsia" w:hAnsiTheme="minorEastAsia" w:eastAsiaTheme="minorEastAsia" w:cstheme="minorEastAsia"/>
          <w:bCs w:val="0"/>
          <w:szCs w:val="24"/>
        </w:rPr>
        <w:t>人才新政4.0（享受服务）建设内容需包括人才分类认定（升级）、人才服务场景开发、青年驿站、“绿扬英才卡”管理等。能够根据不同的人才认定结果，提供对应的线下服务场景，享受优惠券等生活福利。</w:t>
      </w:r>
    </w:p>
    <w:p>
      <w:pPr>
        <w:pStyle w:val="298"/>
        <w:rPr>
          <w:rFonts w:hint="default" w:asciiTheme="minorEastAsia" w:hAnsiTheme="minorEastAsia" w:eastAsiaTheme="minorEastAsia" w:cstheme="minorEastAsia"/>
          <w:b/>
          <w:szCs w:val="24"/>
        </w:rPr>
      </w:pPr>
      <w:bookmarkStart w:id="27" w:name="_Toc8020"/>
      <w:r>
        <w:rPr>
          <w:rFonts w:asciiTheme="minorEastAsia" w:hAnsiTheme="minorEastAsia" w:eastAsiaTheme="minorEastAsia" w:cstheme="minorEastAsia"/>
          <w:b/>
          <w:szCs w:val="24"/>
        </w:rPr>
        <w:t>人才分类认定</w:t>
      </w:r>
      <w:bookmarkEnd w:id="27"/>
      <w:r>
        <w:rPr>
          <w:rFonts w:asciiTheme="minorEastAsia" w:hAnsiTheme="minorEastAsia" w:eastAsiaTheme="minorEastAsia" w:cstheme="minorEastAsia"/>
          <w:b/>
          <w:szCs w:val="24"/>
        </w:rPr>
        <w:t>（升级）</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根据人才分类认定新的政策要求，为进一步优化人才服务流程，对人才认定工作的模式和流程进行了改革和创新，突破限制，扩大认定范围，同时建立新评价机制，同时实现人才认定结果与其他人才服务事项关联应用。</w:t>
      </w:r>
    </w:p>
    <w:p>
      <w:pPr>
        <w:pStyle w:val="298"/>
        <w:rPr>
          <w:rFonts w:asciiTheme="minorEastAsia" w:hAnsiTheme="minorEastAsia" w:eastAsiaTheme="minorEastAsia" w:cstheme="minorEastAsia"/>
          <w:color w:val="000000"/>
        </w:rPr>
      </w:pPr>
      <w:r>
        <w:rPr>
          <w:rFonts w:asciiTheme="minorEastAsia" w:hAnsiTheme="minorEastAsia" w:eastAsiaTheme="minorEastAsia" w:cstheme="minorEastAsia"/>
          <w:szCs w:val="24"/>
        </w:rPr>
        <w:t>根据我市人才分类认定目录，做好对应人才层次内容及审核部门账号信息的调整。其中学历型人才首先通过</w:t>
      </w:r>
      <w:r>
        <w:rPr>
          <w:rFonts w:hint="eastAsia" w:asciiTheme="minorEastAsia" w:hAnsiTheme="minorEastAsia" w:eastAsiaTheme="minorEastAsia" w:cstheme="minorEastAsia"/>
          <w:szCs w:val="24"/>
          <w:lang w:val="en-US" w:eastAsia="zh-CN"/>
        </w:rPr>
        <w:t>学历</w:t>
      </w:r>
      <w:r>
        <w:rPr>
          <w:rFonts w:asciiTheme="minorEastAsia" w:hAnsiTheme="minorEastAsia" w:eastAsiaTheme="minorEastAsia" w:cstheme="minorEastAsia"/>
          <w:szCs w:val="24"/>
        </w:rPr>
        <w:t>数据接口比对，比对不通过的则人工审核，实现对申请人才分类认定的人才进行审核审批，生成显示对应人才类别的</w:t>
      </w:r>
      <w:r>
        <w:rPr>
          <w:rFonts w:hint="eastAsia" w:asciiTheme="minorEastAsia" w:hAnsiTheme="minorEastAsia" w:eastAsiaTheme="minorEastAsia" w:cstheme="minorEastAsia"/>
          <w:szCs w:val="24"/>
          <w:lang w:val="en-US" w:eastAsia="zh-CN"/>
        </w:rPr>
        <w:t>二维</w:t>
      </w:r>
      <w:r>
        <w:rPr>
          <w:rFonts w:asciiTheme="minorEastAsia" w:hAnsiTheme="minorEastAsia" w:eastAsiaTheme="minorEastAsia" w:cstheme="minorEastAsia"/>
          <w:szCs w:val="24"/>
        </w:rPr>
        <w:t>码。非学历类型根据申请材料人工审核。</w:t>
      </w:r>
      <w:r>
        <w:rPr>
          <w:rFonts w:asciiTheme="minorEastAsia" w:hAnsiTheme="minorEastAsia" w:eastAsiaTheme="minorEastAsia" w:cstheme="minorEastAsia"/>
          <w:color w:val="000000"/>
        </w:rPr>
        <w:t>建立审核时效预警机制，及时通知审核人员。</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人才服务场景开发</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针对不同人才认定的类别开发对应人才服务场景，为了吸引和留住优秀人才、提升人才服务质量，提供更具吸引力和竞争力的人才服务，不定时赠送、申请、抢领发放生活类、参观类、景区类、体育类、餐饮类、文化类、交通类等方面的优惠券。通过线上报名、随机抽奖、固定人群等形式发放优惠券，并通过第三方平台进行后续服务对接，不断丰富了人才码使用场景，增强人才使用黏性。</w:t>
      </w:r>
    </w:p>
    <w:p>
      <w:pPr>
        <w:pStyle w:val="298"/>
        <w:rPr>
          <w:rFonts w:hint="default" w:asciiTheme="minorEastAsia" w:hAnsiTheme="minorEastAsia" w:eastAsiaTheme="minorEastAsia" w:cstheme="minorEastAsia"/>
          <w:b/>
          <w:szCs w:val="24"/>
        </w:rPr>
      </w:pPr>
      <w:bookmarkStart w:id="28" w:name="_Toc17905"/>
      <w:r>
        <w:rPr>
          <w:rFonts w:asciiTheme="minorEastAsia" w:hAnsiTheme="minorEastAsia" w:eastAsiaTheme="minorEastAsia" w:cstheme="minorEastAsia"/>
          <w:b/>
          <w:szCs w:val="24"/>
        </w:rPr>
        <w:t>青年驿站</w:t>
      </w:r>
      <w:bookmarkEnd w:id="28"/>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为解决青年求职就业住房需求，助力高校毕业生尽快尽早就业，需建设青年驿站功能模块，推动进一步发挥“青年驿站”促就业、惠学生积极作用。青年驿站需提供驿站地图、驿站列表、我的申请、入驻须知、资格审核、办理入住、驿站维护等功能。</w:t>
      </w:r>
    </w:p>
    <w:p>
      <w:pPr>
        <w:pStyle w:val="298"/>
        <w:rPr>
          <w:rFonts w:hint="default" w:asciiTheme="minorEastAsia" w:hAnsiTheme="minorEastAsia" w:eastAsiaTheme="minorEastAsia" w:cstheme="minorEastAsia"/>
          <w:b/>
          <w:szCs w:val="24"/>
        </w:rPr>
      </w:pPr>
      <w:bookmarkStart w:id="29" w:name="_Toc27454"/>
      <w:r>
        <w:rPr>
          <w:rFonts w:asciiTheme="minorEastAsia" w:hAnsiTheme="minorEastAsia" w:eastAsiaTheme="minorEastAsia" w:cstheme="minorEastAsia"/>
          <w:b/>
          <w:szCs w:val="24"/>
        </w:rPr>
        <w:t>“绿扬英才卡”管理</w:t>
      </w:r>
      <w:bookmarkEnd w:id="29"/>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需建设“绿扬英才卡”管理应用，提供在线导入功能、线上办理线下发卡、线下扫码功能拓展与优化、扫码使用统计等功能。</w:t>
      </w:r>
    </w:p>
    <w:p>
      <w:pPr>
        <w:pStyle w:val="3"/>
        <w:numPr>
          <w:ilvl w:val="1"/>
          <w:numId w:val="5"/>
        </w:numPr>
        <w:tabs>
          <w:tab w:val="left" w:pos="420"/>
        </w:tabs>
        <w:ind w:left="567"/>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人才大数据分析展示平台</w:t>
      </w:r>
      <w:bookmarkEnd w:id="26"/>
    </w:p>
    <w:p>
      <w:pPr>
        <w:pStyle w:val="298"/>
        <w:rPr>
          <w:rFonts w:hint="default" w:asciiTheme="minorEastAsia" w:hAnsiTheme="minorEastAsia" w:eastAsiaTheme="minorEastAsia" w:cstheme="minorEastAsia"/>
          <w:b/>
          <w:szCs w:val="24"/>
        </w:rPr>
      </w:pPr>
      <w:bookmarkStart w:id="30" w:name="_Toc27403"/>
      <w:r>
        <w:rPr>
          <w:rFonts w:asciiTheme="minorEastAsia" w:hAnsiTheme="minorEastAsia" w:eastAsiaTheme="minorEastAsia" w:cstheme="minorEastAsia"/>
          <w:bCs w:val="0"/>
          <w:szCs w:val="24"/>
        </w:rPr>
        <w:t>需基于现有渠道收集的人才数据进行整理、清洗、入库等操作，构建数据处理与分析统计于一体、能够体现数据多个维度的管理分析展示系统，结合省厅人才数据挖掘与统计，了解人才来源、结构、分布与流动趋势，新增大学生数据资源充实到全市人才数据资源，对人才码业务数据统计分析，形成数据报表为业务部门提供数据支撑。</w:t>
      </w:r>
      <w:bookmarkStart w:id="31" w:name="_Toc9592"/>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扬州人才全景地图分析展示</w:t>
      </w:r>
      <w:bookmarkEnd w:id="31"/>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依托省厅信息一体平台构建扬州本地的人才全景地图，基于省厅的生产数据进行数据挖掘与统计，采用“省系统框架内数据加工+输出属地数据成果”模式，实时监测扬州学历、专业技术、技能三类人才的来源结构、分布状况及流动趋势。</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同时需将本地新增人员名单通过接口的形式反馈给省人才地图，与学历信息做比对，以检查人才学历信息的准确性，为业务与数据统计提供更多的数据支撑。</w:t>
      </w:r>
    </w:p>
    <w:p>
      <w:pPr>
        <w:pStyle w:val="298"/>
        <w:rPr>
          <w:rFonts w:hint="default" w:asciiTheme="minorEastAsia" w:hAnsiTheme="minorEastAsia" w:eastAsiaTheme="minorEastAsia" w:cstheme="minorEastAsia"/>
          <w:b/>
          <w:szCs w:val="24"/>
        </w:rPr>
      </w:pPr>
      <w:bookmarkStart w:id="32" w:name="_Toc21200"/>
      <w:r>
        <w:rPr>
          <w:rFonts w:asciiTheme="minorEastAsia" w:hAnsiTheme="minorEastAsia" w:eastAsiaTheme="minorEastAsia" w:cstheme="minorEastAsia"/>
          <w:b/>
          <w:szCs w:val="24"/>
        </w:rPr>
        <w:t>新增大学生数据库管理</w:t>
      </w:r>
      <w:bookmarkEnd w:id="32"/>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color w:val="333333"/>
          <w:szCs w:val="24"/>
        </w:rPr>
        <w:t>需在现有引进人才系统人才基础库基础上，新增大学生数据资源，通过整合全市新增参保大学生等多源数据，实现深度融合，构建全域人才数据库。系统应统一采集、接入、处理和存储各类人才信息，按照统一的数据标准和技术规范，对多源异构数据进行清洗、过滤、提取、范式化、标签化以及压缩、加密等操作，提升数据质量，规范处理流程，优化数据服务，增强数据关联性，为数据融合与挖掘提供支撑。</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color w:val="333333"/>
          <w:szCs w:val="24"/>
        </w:rPr>
        <w:t>实现全市人才数据全量汇聚，形成全市人才数据资源“总账本”，全面提升数据整合能力与应用水平。</w:t>
      </w:r>
    </w:p>
    <w:p>
      <w:pPr>
        <w:pStyle w:val="298"/>
        <w:rPr>
          <w:rFonts w:hint="default" w:asciiTheme="minorEastAsia" w:hAnsiTheme="minorEastAsia" w:eastAsiaTheme="minorEastAsia" w:cstheme="minorEastAsia"/>
          <w:b/>
          <w:szCs w:val="24"/>
        </w:rPr>
      </w:pPr>
      <w:bookmarkStart w:id="33" w:name="_Toc22179"/>
      <w:r>
        <w:rPr>
          <w:rFonts w:asciiTheme="minorEastAsia" w:hAnsiTheme="minorEastAsia" w:eastAsiaTheme="minorEastAsia" w:cstheme="minorEastAsia"/>
          <w:b/>
          <w:szCs w:val="24"/>
        </w:rPr>
        <w:t>人才码数据统计分析和报表输出</w:t>
      </w:r>
      <w:bookmarkEnd w:id="33"/>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基于人才认定、人才补贴的业务数据，根据相关数据标签进行统计汇总分析，定期形成固定报表数据，直观展示本市各地区人才享受政策的各项指标数据，并可通过数据大屏的形式实时展示人才基本情况和业务办理情况。</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color w:val="000000"/>
        </w:rPr>
        <w:t>全面融合人才大数据，整合人才全景地图、新增大学生、人才码业务的数据，以统一数据大屏的形式展示。构建报表系统，实现报表数据自动采集、定期生成、可视化展示及多格式导出，满足科室数据统计、分析与上报需求。</w:t>
      </w:r>
    </w:p>
    <w:p>
      <w:pPr>
        <w:pStyle w:val="3"/>
        <w:numPr>
          <w:ilvl w:val="1"/>
          <w:numId w:val="5"/>
        </w:numPr>
        <w:tabs>
          <w:tab w:val="left" w:pos="420"/>
        </w:tabs>
        <w:ind w:left="567"/>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智慧招聘全场景整合</w:t>
      </w:r>
      <w:bookmarkEnd w:id="30"/>
    </w:p>
    <w:p>
      <w:pPr>
        <w:pStyle w:val="298"/>
        <w:rPr>
          <w:rFonts w:hint="default" w:asciiTheme="minorEastAsia" w:hAnsiTheme="minorEastAsia" w:eastAsiaTheme="minorEastAsia" w:cstheme="minorEastAsia"/>
          <w:bCs w:val="0"/>
          <w:szCs w:val="24"/>
        </w:rPr>
      </w:pPr>
      <w:bookmarkStart w:id="34" w:name="_Toc6855"/>
      <w:r>
        <w:rPr>
          <w:rFonts w:asciiTheme="minorEastAsia" w:hAnsiTheme="minorEastAsia" w:eastAsiaTheme="minorEastAsia" w:cstheme="minorEastAsia"/>
          <w:bCs w:val="0"/>
          <w:szCs w:val="24"/>
        </w:rPr>
        <w:t>需构建以移动互联为核心、以二维码技术为纽带的智能化移动招聘平台，彻底迁移企业招聘与人才求职的交互方式。需建设如下内容：</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校园招聘</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需构建数字化校园招聘会模式，支持企业可随时随地上线职位需求，实现招聘信息发布与管理全面数字化，并通过二维码等轻量级方式传播。</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需支持求职者扫码快速了解职位信息、一键投递简历，支持企业HR随时审核简历与互动，为后续面试提供数据支撑。</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需构建人岗匹配算法，为企业和求职者提供移动化智能化的招聘管理工具，提升招聘精准度与效率，吸引更多的大学生来扬州就业。</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需提供发布最新的校园招聘会计划表，列出时间、地点等关键信息，为引才招聘活动提供前中后全过程信息服务。</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社会招聘</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通过定期征集、自行填报等形式，为单位提供全面的招聘信息管理系统。支持企业HR通过WEB端或移动端应用创建职位需求。需提供职位模板库，支持企业可保存常用职位模板，提升后续职位发布效率。职位发布需支持多种状态管理（草稿、已发布、已暂停、已结束），方便企业灵活控制招聘流程。</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需支持企业实时查看每个职位的数据看板，包括职位浏览量、申请人数、简历来源统计等指标。需支持一键转发分享功能，企业可将职位信息快速分享到社交媒体，扩大招聘覆盖面。</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二维码招聘应用模块</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系统需支持为每个招聘生成唯一标识的二维码，用于企业将二维码打印在宣传材料、展架或招聘海报上。需支持求职者使用移动设备扫描二维码后，即可直接访问该职位的详细介绍页面，无需手动输入网址或搜索职位信息。</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需提供二维码管理后台，支持批量生成、使用统计和有效期管理等功能。</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移动端简历投递与处理</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建设移动端简历投递功能，简化求职者的申请流程。需支持求职者扫描二维码后，自动呈现响应式职位详情页，需适配各种移动设备屏幕尺寸。</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简历投递需支持多种方式：首次用户可填写精简版在线申请表；已注册用户可上传完整简历文件。</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探索集成智能解析技术，自动提取上传简历文件中的结构化信息，并标准化存储。</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需提供消息通知功能，用于求职者获取简历投递确认通知，并可在后续通过同一入口查看申请状态。</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企业HR移动端应用需提供全功能招聘管理能力，支持HR人员通过手机审核新投递的简历、与候选人沟通、安排面试时间。需提供智能提醒功能，及时通知HR新的简历投递、面试安排和待处理事项。</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求职者在招聘流程中，到面试、入职环节时，需主动结合用户关键条件信息推送相关人才政策，让求职人员第一时间知晓扬州引才政策，促进尽快找岗入职享受补贴。</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完善网站信息共享功能，试点推进招聘信息与其他部门的招聘网站信息共享。</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人才需求征集</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人才需求征集需包含单位需求征集录入与导入、需求征集查询、需求征集修改及删除、管理后台需求征集记录按条件查询并导出、数据统计运维。</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以上招聘信息均须支持有条件的查询以及用人单位招聘岗位的人员数量、学历要求、岗位要求、时间段等数据统计。</w:t>
      </w:r>
    </w:p>
    <w:p>
      <w:pPr>
        <w:pStyle w:val="3"/>
        <w:numPr>
          <w:ilvl w:val="1"/>
          <w:numId w:val="5"/>
        </w:numPr>
        <w:tabs>
          <w:tab w:val="left" w:pos="420"/>
        </w:tabs>
        <w:ind w:left="567"/>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“扬小才”AI助理</w:t>
      </w:r>
      <w:bookmarkEnd w:id="34"/>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扬小才”AI助理建设需通过人才知识库存的持续更新与迭代，实现对不同用户类型的高频需求（人才政策、人才招聘、人才服务）等业务应用场景的意图识别，结合服务对象提供“扬小才”AI助理，使其具备智能问答、智能政策匹配、热门政策一键可查、招聘信息查询等服务能力，解决人才与政策信息不对称的问题。</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本项目将使用扬州市大数据管理中心提供的算力资源来运行，不自行搭建或训练大模型。同时使用已有的知识文档和资料作为数据来源，帮助系统回答问题和提供服务，确保内容准确、可靠。这样既节省资源，又保证了系统的稳定性和实用性。</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AI问答</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需提供AI问答功能，需基于扬州人才政策服务知识体系，实现多轮对话，精准解析扬州本地人才政策体系，提供专属政策服务。</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人才服务知识库</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需聚焦“人才政策4.0”，构建人才服务知识库，作为“扬小才”AI助理问答回复的核心语料集，通过知识库持续化维护与更新，为企业准确、专业的回复。同时需预留与市级AI服务中台的对接。</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应用编排</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需支持知识问答、工作流等不同应用类型的管理与创建，提供可视化的应用编排，支持添加各种组件、知识库、变量、提示词等工具，减少了对模型推理能力的依赖。</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智能政策匹配</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利用大数据技术实施匹配推送，实现“政策找人”。需支持按用户类型通过选择不同数据要素后，快速生成与之相适配的人才政策服务事项。人才政策服务事项应包含但不限于人才政策补贴申请条件、申请流程、政策兑现等。</w:t>
      </w:r>
    </w:p>
    <w:p>
      <w:pPr>
        <w:pStyle w:val="3"/>
        <w:numPr>
          <w:ilvl w:val="1"/>
          <w:numId w:val="5"/>
        </w:numPr>
        <w:tabs>
          <w:tab w:val="left" w:pos="420"/>
        </w:tabs>
        <w:ind w:left="567"/>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业务工单处理系统</w:t>
      </w:r>
    </w:p>
    <w:p>
      <w:pPr>
        <w:pStyle w:val="298"/>
        <w:rPr>
          <w:rFonts w:hint="default" w:asciiTheme="minorEastAsia" w:hAnsiTheme="minorEastAsia" w:eastAsiaTheme="minorEastAsia" w:cstheme="minorEastAsia"/>
          <w:bCs w:val="0"/>
          <w:szCs w:val="24"/>
        </w:rPr>
      </w:pPr>
      <w:bookmarkStart w:id="35" w:name="_Toc1127"/>
      <w:r>
        <w:rPr>
          <w:rFonts w:asciiTheme="minorEastAsia" w:hAnsiTheme="minorEastAsia" w:eastAsiaTheme="minorEastAsia" w:cstheme="minorEastAsia"/>
          <w:bCs w:val="0"/>
          <w:szCs w:val="24"/>
        </w:rPr>
        <w:t>业务工单处理系统是保障人才码服务高效运转的后台功能模块。它要支持市、县（区）两级的经办人员及管理人员，对业务环节中需要处理情况进行多类型工单的创建与审批管理，涵盖补贴申请、信息更正等各类业务场景。在工单流转过程中，系统需根据工单属性自动分配至相应部门或人员，并清晰记录每个环节的处理信息，确保流程透明可追溯。同时，提供实时进度查询功能，方便业务人员随时了解工单处理状态。处理完成后，及时反馈处理结果，并对工单数据进行统计分析，为优化服务流程提供参考。</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创建工单</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需支持创建工单，输入工单的必要信息（如问题描述、紧急程度等），并上传相关附件，提交后完成工单创建。同时需提供“清空”和“取消”功能，以支持用户重新填写或放弃创建。</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待办工单</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设计工单流程，当工单创建成功后，工单需按照流程选择后继处理人员并往下流转，有一步不通过直接结束。当工单处在不同流程节点时，只有承担对应流程的角色账号才能看到相应的工单，并处理。代办工单需要提供工单查看、工单处理等功能。</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已办工单</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已办工单主要是方便查看自己账号已经处理过的工单，需支持查看工单的详细内容以及当时的附件和工单流转的整个过程。</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工单查询</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需支持查询整个工单系统内所有工单，支持在页面初始化后根据工单编号、申请人、选择工单状态、工单标题、创建时间等条件来查询工单内容。</w:t>
      </w:r>
    </w:p>
    <w:p>
      <w:pPr>
        <w:pStyle w:val="3"/>
        <w:numPr>
          <w:ilvl w:val="1"/>
          <w:numId w:val="5"/>
        </w:numPr>
        <w:tabs>
          <w:tab w:val="left" w:pos="420"/>
        </w:tabs>
        <w:ind w:left="567"/>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应用系统业务协同</w:t>
      </w:r>
      <w:bookmarkEnd w:id="35"/>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为全面提升扬州"人才码"服务效能，需从多维度推进全渠道整合：</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移动端界面升级优化</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对界面布局优化，调整页面元素布局，确保重要信息突出显示，便于用户快速获取关键内容。要求对视觉风格进行统一，统一界面色彩搭配，使用符合人才工作的主色调，提升识别度；优化图标设计，确保图标清晰易懂，提升视觉传达效果。同时需对交互体验升级，优化按钮、链接等可点击元素的样式与反馈，提高用户操作的准确性；需对性能优化，界面进行性能测试，找出并修复可能导致卡顿、延迟等问题。</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封装给所有第三方的扬州人才码移动端的界面都需要进行统一的升级，保证用户体验的一致性和友好性。</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渠道整合</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需实现与苏服办的对接，完成用户信息的互认和共享，提升用户体验和系统安全性。利用苏服办的统一身份认证系统，在扬州“人才码”门户上实现用户身份的快速验证和登录。</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电子社保卡与人才码融合</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推进电子社保卡与扬州人才码融合，需依托电子社保卡二维码，融合人才相关信息，依托电子社保卡应用场景，形成卡码融合的人才码体系。</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省人社一体化平台对接</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需将省人社一体化平台中关于毕业生服务的相关功能无缝集成到现有的人才码平台中，实现用户在无需重复登录的情况下，即可顺畅访问并操作原系统功能。本次项目需集成的服务包括职称服务等功能。</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
          <w:szCs w:val="24"/>
        </w:rPr>
        <w:t>与第三方服务场景的对接</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对已经研究确定及根据上级要求临时实施的同类型服务场景等相关事项，要保证按时实现扬州“人才码”与各类实际应用服务系统的数据互通和信息共享，推动人才服务在更多场景中高效落地。支持与各级政务、第三方服务系统平台的数据对接和互通，助力打造更加智能、协同、高效的人才服务生态。</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与非市人社局系统开展数据对接时，如涉及到对方接口开发等合理费用由中标人承担。</w:t>
      </w:r>
    </w:p>
    <w:p>
      <w:pPr>
        <w:pStyle w:val="3"/>
        <w:numPr>
          <w:ilvl w:val="1"/>
          <w:numId w:val="5"/>
        </w:numPr>
        <w:tabs>
          <w:tab w:val="left" w:pos="420"/>
        </w:tabs>
        <w:ind w:left="567"/>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整体平台适配相关工作</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本项目需基于</w:t>
      </w:r>
      <w:bookmarkStart w:id="36" w:name="OLE_LINK9"/>
      <w:bookmarkStart w:id="37" w:name="OLE_LINK8"/>
      <w:r>
        <w:rPr>
          <w:rFonts w:asciiTheme="minorEastAsia" w:hAnsiTheme="minorEastAsia" w:eastAsiaTheme="minorEastAsia" w:cstheme="minorEastAsia"/>
          <w:bCs w:val="0"/>
          <w:szCs w:val="24"/>
        </w:rPr>
        <w:t>安全可靠</w:t>
      </w:r>
      <w:bookmarkEnd w:id="36"/>
      <w:bookmarkEnd w:id="37"/>
      <w:r>
        <w:rPr>
          <w:rFonts w:asciiTheme="minorEastAsia" w:hAnsiTheme="minorEastAsia" w:eastAsiaTheme="minorEastAsia" w:cstheme="minorEastAsia"/>
          <w:bCs w:val="0"/>
          <w:szCs w:val="24"/>
        </w:rPr>
        <w:t>的技术路线，构建“操作系统－数据库－中间件－应用系统”全链条适配能力，同步完成“扬州人才码”一期项目的适配迁移，确保人才码系统在安全可靠环境中的稳定运行与平滑迁移，同时兼顾用户操作习惯与功能体验的一致性。具体适配需求包括：</w:t>
      </w:r>
    </w:p>
    <w:p>
      <w:pPr>
        <w:pStyle w:val="298"/>
        <w:rPr>
          <w:rFonts w:hint="default" w:asciiTheme="minorEastAsia" w:hAnsiTheme="minorEastAsia" w:eastAsiaTheme="minorEastAsia" w:cstheme="minorEastAsia"/>
          <w:b/>
          <w:szCs w:val="24"/>
        </w:rPr>
      </w:pPr>
      <w:r>
        <w:rPr>
          <w:rFonts w:asciiTheme="minorEastAsia" w:hAnsiTheme="minorEastAsia" w:eastAsiaTheme="minorEastAsia" w:cstheme="minorEastAsia"/>
          <w:b/>
          <w:szCs w:val="24"/>
        </w:rPr>
        <w:t>整体平台适配相关工作需求</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（1）全面适配测试</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为了保障适配后“扬州人才码”系统操作的流畅度，需对“扬州人才码”一期项目进行全面前移适配测试，同时根据性能审核和健康检查的结果动态调整资源分配。并保证所有功能和数据能完整迁移到二期项目中，前后保持一致。</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目前全面适配测试设计需承载以下功能：功能测试和软件性能测试。</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功能测试：功能测试是基于项目功能需求，从用户角度来进行功能验证，以确认每个功能是否能在安全可靠平台中正常使用，是否实现功能要求，是否能适当地接收输入数据而产生正确的输出结果。功能测试一般可归纳为界面、数据、操作、逻辑、接口几个方面。</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性能测试：测试软件性能，包括负载测试、压力测试、疲劳测试、大数据量测试、故障定位以及协助性能调优。</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（2）环境搭建</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需在系统建设过程中制定系统调研方案、搭建测试环境、完成业务切换等工作。</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（3）适配改造</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现有“扬州人才码”一期项目，本身由通用产品功能加项目定制功能组成，在适配改造过程中，需对产品功能及项目定制功能分别进行适配改造。</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（4）应用部署和数据迁移</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应用系统部署需要根据系统类型和重要性选择合适的部署方式，需要根据实际情况采用定制化的适配技术及部署方法。</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需对系统中的核心数据库的数据进行在线或离线迁移。</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（5）适配验证</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从系统的技术架构、功能、流程、接口都要进行适配改造，在经过应用部署、数据迁移工作后，需要对部署的系统进行全面的适配验证工作。</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（6）应用部署和数据迁移</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应用系统部署需要根据系统类型和重要性选择合适的部署方式，需要根据实际情况采用定制化的适配技术及部署方法。</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数据迁移主要是指对系统中的核心数据库的数据进行迁移。在整个系统的迁移过程中，数据的迁移是至关重要的步骤，确保迁移后数据的完整性和一致性。</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（7）前端界面UI优化与升级</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通过“视觉统一、交互统一、组件统一、管理统一”，让平台中的各个子模块形成“整体感”，提升用户操作效率，强化人社部门的数字化品牌形象。需提供详细的设计风格，明确视觉、交互、组件的具体规则作为设计和开发的执行依据。</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
          <w:szCs w:val="24"/>
        </w:rPr>
        <w:t>项目整合适配需求</w:t>
      </w:r>
    </w:p>
    <w:p>
      <w:pPr>
        <w:pStyle w:val="298"/>
        <w:rPr>
          <w:rFonts w:hint="default" w:asciiTheme="minorEastAsia" w:hAnsiTheme="minorEastAsia" w:eastAsiaTheme="minorEastAsia" w:cstheme="minorEastAsia"/>
          <w:bCs w:val="0"/>
          <w:szCs w:val="24"/>
        </w:rPr>
      </w:pPr>
      <w:r>
        <w:rPr>
          <w:rFonts w:asciiTheme="minorEastAsia" w:hAnsiTheme="minorEastAsia" w:eastAsiaTheme="minorEastAsia" w:cstheme="minorEastAsia"/>
          <w:bCs w:val="0"/>
          <w:szCs w:val="24"/>
        </w:rPr>
        <w:t>需基于安全可靠的软硬件生态环境，对电脑端的B/S应用进行国产操作系统、国产浏览器、国产流版式文件的全方面适配，并支撑扬州人才码各应用场景的安全、稳定、高效的运行。</w:t>
      </w:r>
    </w:p>
    <w:p>
      <w:pPr>
        <w:rPr>
          <w:rFonts w:asciiTheme="minorEastAsia" w:hAnsiTheme="minorEastAsia" w:eastAsiaTheme="minorEastAsia" w:cstheme="minorEastAsia"/>
          <w:sz w:val="24"/>
          <w:szCs w:val="24"/>
        </w:rPr>
      </w:pPr>
    </w:p>
    <w:p>
      <w:pPr>
        <w:pStyle w:val="299"/>
        <w:ind w:left="210"/>
        <w:outlineLvl w:val="0"/>
        <w:rPr>
          <w:rFonts w:hint="default"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二、项目实施要求</w:t>
      </w:r>
    </w:p>
    <w:p>
      <w:pPr>
        <w:pStyle w:val="300"/>
        <w:rPr>
          <w:rFonts w:hint="default" w:asciiTheme="minorEastAsia" w:hAnsiTheme="minorEastAsia" w:eastAsiaTheme="minorEastAsia" w:cstheme="minorEastAsia"/>
          <w:sz w:val="24"/>
        </w:rPr>
      </w:pPr>
      <w:r>
        <w:rPr>
          <w:rFonts w:asciiTheme="minorEastAsia" w:hAnsiTheme="minorEastAsia" w:eastAsiaTheme="minorEastAsia" w:cstheme="minorEastAsia"/>
          <w:sz w:val="24"/>
        </w:rPr>
        <w:t>2.1总体要求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中标人在完成平台开发的基础上还应承担项目管理工作，正确理解扬州“人才码”二期项目建设方案中规定的建设目标和建设需求，准确把握各应用系统之间的相互关系。负责编写完整的扬州“人才码”二期项目的整体建设方案；理解并分析本项目的工作重难点及应对措施；负责编制符合国家法律、法规、标准规范要求，且满足业务需求的项目方案，拟定本项目总体实施计划工作；负责协调项目推进过程中管理与技术问题，确保项目按照安全、进度、质量和预算要求进行实施；协助采购人进行软件系统的调试测试工作；协助第三方对软件系统开展的等级保护测评、数据安全评估、商用密码评估等工作；协助采购人对软件系统的验收工作；协助采购人对软件系统集中运维进行管理。</w:t>
      </w:r>
    </w:p>
    <w:p>
      <w:pPr>
        <w:pStyle w:val="300"/>
        <w:ind w:firstLine="482"/>
        <w:rPr>
          <w:rFonts w:hint="default" w:asciiTheme="minorEastAsia" w:hAnsiTheme="minorEastAsia" w:eastAsiaTheme="minorEastAsia" w:cstheme="minorEastAsia"/>
          <w:sz w:val="24"/>
        </w:rPr>
      </w:pPr>
      <w:r>
        <w:rPr>
          <w:rFonts w:asciiTheme="minorEastAsia" w:hAnsiTheme="minorEastAsia" w:eastAsiaTheme="minorEastAsia" w:cstheme="minorEastAsia"/>
          <w:sz w:val="24"/>
        </w:rPr>
        <w:t>2.2实施组织人员要求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中标人需要组织有相关经验的开发人员，设置本地项目实施机构，服从项目组的总体项目管理，主动配合项目组开展项目建设工作。该项目服务团队要求提供平台日常维护、巡检、升级、故障处理等工作。</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在本项目的执行过程中，项目实施人员齐全，岗位职责明确，能高标准的实施项目管理。在项目实施期间，项目负责人要专职于本项目，核心技术人员要百分之百地投入到本项目中，整个项目团队的人员要稳定，积极配合采购人完成与其他项目的应用对接，提供相关工作内容的技术支持。</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在项目实施过程中，中标人要对项目人员及项目建设工作严格管理，项目负责人必须参加项目推进会，每周向采购人汇报工作进度、问题及下阶段工作计划，确保按时完成项目工作。</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人员要求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书面明确实施投标项目的人员配置管理计划，项目团队至少应包含项目经理、技术负责人、应用开发、软件测试、系统集成、项目管理、用户培训、项目实施、运行维护等成员。投标人一旦中标必须保证项目实施至验收阶段及维护阶段人员配置管理的稳定性。</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投标人须承诺在项目各阶段提供以下服务：</w:t>
      </w:r>
    </w:p>
    <w:p>
      <w:pPr>
        <w:pStyle w:val="298"/>
        <w:rPr>
          <w:rFonts w:hint="default" w:asciiTheme="minorEastAsia" w:hAnsiTheme="minorEastAsia" w:eastAsiaTheme="minorEastAsia" w:cstheme="minorEastAsia"/>
          <w:i/>
          <w:iCs w:val="0"/>
          <w:szCs w:val="24"/>
          <w:u w:val="single"/>
        </w:rPr>
      </w:pPr>
      <w:r>
        <w:rPr>
          <w:rFonts w:asciiTheme="minorEastAsia" w:hAnsiTheme="minorEastAsia" w:eastAsiaTheme="minorEastAsia" w:cstheme="minorEastAsia"/>
          <w:i/>
          <w:iCs w:val="0"/>
          <w:szCs w:val="24"/>
          <w:u w:val="single"/>
        </w:rPr>
        <w:t>（1）实施团队：要求派驻现场人员不少于4人，自项目实施之日起至上线试运行。（提供承诺函，扫描上传，格式自拟）</w:t>
      </w:r>
    </w:p>
    <w:p>
      <w:pPr>
        <w:pStyle w:val="298"/>
        <w:rPr>
          <w:rFonts w:hint="default" w:asciiTheme="minorEastAsia" w:hAnsiTheme="minorEastAsia" w:eastAsiaTheme="minorEastAsia" w:cstheme="minorEastAsia"/>
          <w:i/>
          <w:iCs w:val="0"/>
          <w:szCs w:val="24"/>
          <w:u w:val="single"/>
        </w:rPr>
      </w:pPr>
      <w:r>
        <w:rPr>
          <w:rFonts w:asciiTheme="minorEastAsia" w:hAnsiTheme="minorEastAsia" w:eastAsiaTheme="minorEastAsia" w:cstheme="minorEastAsia"/>
          <w:i/>
          <w:iCs w:val="0"/>
          <w:szCs w:val="24"/>
          <w:u w:val="single"/>
        </w:rPr>
        <w:t>（2）维护团队：通过验收后，有稳定的派驻现场维护人员不少于1人，以便统一开展其他工作，及时保障系统稳定运行，做到日常24小时内响应，应急2小时内响应。（提供承诺函，扫描上传，格式自拟）</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（3）为保障系统的实施与运行工作，要求实施团队中全程参与本项目的核心技术人员至少2人。</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 xml:space="preserve">投标人不得随意更换项目组人员，若需更换人员时，应提前一周（7天）提出同等级或更高资历的替换人员名单，报采购人批准。在充分的理由下，采购人有权向投标人提出更换人员的要求，投标人应接受采购人的要求，并在一个月内选派资历和经验能被采购人认可的人员。  </w:t>
      </w:r>
    </w:p>
    <w:p>
      <w:pPr>
        <w:pStyle w:val="300"/>
        <w:rPr>
          <w:rFonts w:hint="default" w:asciiTheme="minorEastAsia" w:hAnsiTheme="minorEastAsia" w:eastAsiaTheme="minorEastAsia" w:cstheme="minorEastAsia"/>
          <w:sz w:val="24"/>
        </w:rPr>
      </w:pPr>
      <w:r>
        <w:rPr>
          <w:rFonts w:asciiTheme="minorEastAsia" w:hAnsiTheme="minorEastAsia" w:eastAsiaTheme="minorEastAsia" w:cstheme="minorEastAsia"/>
          <w:sz w:val="24"/>
        </w:rPr>
        <w:t>2.3 实施进度要求</w:t>
      </w:r>
    </w:p>
    <w:p>
      <w:pPr>
        <w:pStyle w:val="298"/>
        <w:ind w:firstLine="48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要求中标人在签订合同后180天内完成系统设计、开发、对接及联调测试，由采购人组织试运行，试运营3个月，由采购人组织验收。</w:t>
      </w:r>
    </w:p>
    <w:p>
      <w:pPr>
        <w:pStyle w:val="300"/>
        <w:rPr>
          <w:rFonts w:hint="default" w:asciiTheme="minorEastAsia" w:hAnsiTheme="minorEastAsia" w:eastAsiaTheme="minorEastAsia" w:cstheme="minorEastAsia"/>
          <w:sz w:val="24"/>
        </w:rPr>
      </w:pPr>
      <w:r>
        <w:rPr>
          <w:rFonts w:asciiTheme="minorEastAsia" w:hAnsiTheme="minorEastAsia" w:eastAsiaTheme="minorEastAsia" w:cstheme="minorEastAsia"/>
          <w:sz w:val="24"/>
        </w:rPr>
        <w:t>2.4 实施质量要求</w:t>
      </w:r>
    </w:p>
    <w:p>
      <w:pPr>
        <w:pStyle w:val="298"/>
        <w:ind w:firstLine="480"/>
        <w:rPr>
          <w:rFonts w:hint="default" w:asciiTheme="minorEastAsia" w:hAnsiTheme="minorEastAsia" w:eastAsiaTheme="minorEastAsia" w:cstheme="minorEastAsia"/>
          <w:i/>
          <w:iCs w:val="0"/>
          <w:szCs w:val="24"/>
          <w:u w:val="single"/>
        </w:rPr>
      </w:pPr>
      <w:r>
        <w:rPr>
          <w:rFonts w:asciiTheme="minorEastAsia" w:hAnsiTheme="minorEastAsia" w:eastAsiaTheme="minorEastAsia" w:cstheme="minorEastAsia"/>
          <w:i/>
          <w:iCs w:val="0"/>
          <w:szCs w:val="24"/>
          <w:u w:val="single"/>
        </w:rPr>
        <w:t>原则上同时开展项目需求调研、开发、内测、培训等工作，为及时响应并完成采购人业务需求。开发团队能够及时响应采购人提出的功能调整、完善等开发需求。如遇突发性的全市人才政策调整或服务体系优化任务，在不超过本项目软件开发工作量10%的范围内，开发团队应全力配合，提供必要的开发支持与保障，确保系统快速适应政策变化，满足实际业务需求。（提供承诺函，扫描上传，格式自拟）</w:t>
      </w:r>
    </w:p>
    <w:p>
      <w:pPr>
        <w:pStyle w:val="298"/>
        <w:rPr>
          <w:rFonts w:hint="default" w:asciiTheme="minorEastAsia" w:hAnsiTheme="minorEastAsia" w:eastAsiaTheme="minorEastAsia" w:cstheme="minorEastAsia"/>
          <w:i/>
          <w:iCs w:val="0"/>
          <w:szCs w:val="24"/>
          <w:u w:val="single"/>
        </w:rPr>
      </w:pPr>
      <w:r>
        <w:rPr>
          <w:rFonts w:asciiTheme="minorEastAsia" w:hAnsiTheme="minorEastAsia" w:eastAsiaTheme="minorEastAsia" w:cstheme="minorEastAsia"/>
          <w:szCs w:val="24"/>
        </w:rPr>
        <w:t>系统开发期间，中标人应在开发过程中建立严格的质量控制流程，对各个开发阶段进行内部测试与质量评审。系统开发完成后、进入调试阶段前，中标人须向采购人提交完整的、符合项目要求的软件开发文档集。该文档集应全面涵盖软件架构设计、详细开发说明、部署安装指南、性能调优方案及后期维护手册等，确保技术资料的完整性、准确性和可追溯性。</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系统调试期间，中标人要对系统运行情况进行监测，并向采购人提供所有软件架构、开发、安装、性能调整、维护的所有文档。系统运行期间，当系统出现故障时，工程师要迅速进行诊断，解决软件问题。</w:t>
      </w:r>
    </w:p>
    <w:p>
      <w:pPr>
        <w:pStyle w:val="298"/>
        <w:ind w:firstLine="48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坚持科学的态度和实事求是的原则，确保信息数据的安全性，维护采购人合法权益。</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执行有关项目建设的国家法律、法规、规范、标准和制度，履行合同规定的义务和职责；遵守国家的法律和政府的有关条例、规定和办法等。</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根据等级保护、风险评估、商用密码评估、安全检查等工作要求，实施团队、开发团队、维护团队提供相关测评保障服务，确保系统符合相关要求。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交付方式：项目建设完毕后，采购人和监理审查合格，三方共同确认项目具备验收条件后，由项目监理单位配合采购人组织第三方专家进行终验，项目交付。</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交付地点：扬州市人力资源和社会保障局。</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服务要求：投标人应充分考虑与外部现有系统接口对接、数据协同的实施难度，承担人才码二期项目与原部门系统集成商的技术协调以及相应的费用，不得以技术协调原因拖延项目实施。</w:t>
      </w:r>
    </w:p>
    <w:p>
      <w:pPr>
        <w:pStyle w:val="298"/>
        <w:ind w:firstLine="480"/>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提供宣传视频：为配合系统上线运行并扩大使用范围和知晓度，应提供包含人才码功能使用等内容的宣传视频。</w:t>
      </w:r>
    </w:p>
    <w:p>
      <w:pPr>
        <w:pStyle w:val="299"/>
        <w:numPr>
          <w:ilvl w:val="0"/>
          <w:numId w:val="6"/>
        </w:numPr>
        <w:outlineLvl w:val="0"/>
        <w:rPr>
          <w:rFonts w:hint="default"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验收要求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系统在达到了全部规定要求，中标人在提交全部相关文档、报告、源代码等交付物的前提下，可以向采购人提出系统验收的申请。采购人按照验收标准组织验收。验收内容和标准包括：</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1、系统业务功能验收</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验收依据包括，《需求规格说明书》（以双方签字为准）、双方签订的合同、建设过程中双方签订的工作备忘记录。确认系统实现的业务功能完备、正确、满足用户的需求。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2、系统性能验收</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以供需双方确认的《非功能需求规格说明书》所定义的性能要求为依据。</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确认系统的性能满足《非功能需求规格说明书》的要求。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3、软件过程文档验收标准</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文档内容验收标准：文档内容全面、真实、丰富，能清楚阐述实施内容；</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文档格式验收标准：文档格式与项目实施要求文档规范相符，文档具有详细的修改记录，版权、作者、时间等信息，包括完整的页眉、页脚等信息；</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文档一致性验收：需求文档、设计文档、源程序与目标代码文档及其他可交付物保持一致。</w:t>
      </w:r>
    </w:p>
    <w:p>
      <w:pPr>
        <w:pStyle w:val="299"/>
        <w:numPr>
          <w:ilvl w:val="0"/>
          <w:numId w:val="6"/>
        </w:numPr>
        <w:outlineLvl w:val="0"/>
        <w:rPr>
          <w:rFonts w:hint="default"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培训要求</w:t>
      </w:r>
    </w:p>
    <w:p>
      <w:pPr>
        <w:pStyle w:val="299"/>
        <w:spacing w:line="240" w:lineRule="auto"/>
        <w:ind w:left="210"/>
        <w:outlineLvl w:val="0"/>
        <w:rPr>
          <w:rFonts w:hint="default"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rPr>
        <w:t>1、中标人须提供培训计划，为采购人系统使用人员提供免费培训。</w:t>
      </w:r>
    </w:p>
    <w:p>
      <w:pPr>
        <w:pStyle w:val="299"/>
        <w:spacing w:line="240" w:lineRule="auto"/>
        <w:ind w:left="210"/>
        <w:outlineLvl w:val="0"/>
        <w:rPr>
          <w:rFonts w:hint="default"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rPr>
        <w:t>2、培训内容：</w:t>
      </w:r>
    </w:p>
    <w:p>
      <w:pPr>
        <w:pStyle w:val="299"/>
        <w:spacing w:line="240" w:lineRule="auto"/>
        <w:ind w:left="210" w:firstLine="480"/>
        <w:outlineLvl w:val="0"/>
        <w:rPr>
          <w:rFonts w:hint="default"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rPr>
        <w:t>对系统操作方面开展培训，组织前台业务人员进行系统操作培训，使他们熟悉系统的操作界面和操作流程，能够高效地完成日常工作任务。。</w:t>
      </w:r>
    </w:p>
    <w:p>
      <w:pPr>
        <w:pStyle w:val="299"/>
        <w:spacing w:line="240" w:lineRule="auto"/>
        <w:ind w:left="210"/>
        <w:outlineLvl w:val="0"/>
        <w:rPr>
          <w:rFonts w:hint="default"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rPr>
        <w:t>3、培训方式</w:t>
      </w:r>
    </w:p>
    <w:p>
      <w:pPr>
        <w:pStyle w:val="299"/>
        <w:spacing w:line="240" w:lineRule="auto"/>
        <w:ind w:left="210" w:firstLine="480"/>
        <w:outlineLvl w:val="0"/>
        <w:rPr>
          <w:rFonts w:hint="default"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rPr>
        <w:t>培训可以采用集中授课、现场演示、实际操作等方式进行，确保采购人能够真正掌握系统的使用方法和技巧。</w:t>
      </w:r>
    </w:p>
    <w:p>
      <w:pPr>
        <w:pStyle w:val="299"/>
        <w:spacing w:line="240" w:lineRule="auto"/>
        <w:ind w:left="210"/>
        <w:outlineLvl w:val="0"/>
        <w:rPr>
          <w:rFonts w:hint="default"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rPr>
        <w:t>4、培训流程</w:t>
      </w:r>
    </w:p>
    <w:p>
      <w:pPr>
        <w:pStyle w:val="299"/>
        <w:spacing w:line="240" w:lineRule="auto"/>
        <w:ind w:left="210" w:firstLine="480"/>
        <w:outlineLvl w:val="0"/>
        <w:rPr>
          <w:rFonts w:hint="default"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rPr>
        <w:t>中标人应提供材料包括工作说明书、用户使用手册、维护手册等在内的完备准确的项目技术资料，制定培训流程。</w:t>
      </w:r>
    </w:p>
    <w:p>
      <w:pPr>
        <w:pStyle w:val="299"/>
        <w:spacing w:line="240" w:lineRule="auto"/>
        <w:ind w:left="210" w:firstLine="480"/>
        <w:outlineLvl w:val="0"/>
        <w:rPr>
          <w:rFonts w:hint="default"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rPr>
        <w:t>中标人应提供运行期间的系统安装、调试、使用、维护、升级和新技术推荐等方面的咨询服务。</w:t>
      </w:r>
    </w:p>
    <w:p>
      <w:pPr>
        <w:pStyle w:val="299"/>
        <w:spacing w:line="240" w:lineRule="auto"/>
        <w:ind w:left="210"/>
        <w:outlineLvl w:val="0"/>
        <w:rPr>
          <w:rFonts w:hint="default"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rPr>
        <w:t>5、培训日程安排：参加培训人员、培训地点由采购人组织协调，中标人负责配合提出培训计划、准备培训内容等工作。</w:t>
      </w:r>
    </w:p>
    <w:p>
      <w:pPr>
        <w:pStyle w:val="299"/>
        <w:numPr>
          <w:ilvl w:val="0"/>
          <w:numId w:val="6"/>
        </w:numPr>
        <w:outlineLvl w:val="0"/>
        <w:rPr>
          <w:rFonts w:hint="default"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售后服务要求</w:t>
      </w:r>
    </w:p>
    <w:p>
      <w:pPr>
        <w:pStyle w:val="299"/>
        <w:spacing w:line="360" w:lineRule="auto"/>
        <w:ind w:left="210" w:firstLine="480"/>
        <w:outlineLvl w:val="0"/>
        <w:rPr>
          <w:rFonts w:hint="default"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rPr>
        <w:t>1、系统免费质保期：自项目验收合格之日起三年。</w:t>
      </w:r>
    </w:p>
    <w:p>
      <w:pPr>
        <w:pStyle w:val="299"/>
        <w:spacing w:line="360" w:lineRule="auto"/>
        <w:ind w:left="210" w:firstLine="480"/>
        <w:outlineLvl w:val="0"/>
        <w:rPr>
          <w:rFonts w:hint="default"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rPr>
        <w:t>2、服务内容应包含为项目采购内容提供免费技术支持和配套升级服务，在系统质保期内，对系统的自身故障、因外部原因（操作系统故障或系统配置故障或对应用软件某些错误操作等）导致软件系统出现故障的解决以及对软件系统的合理修改等一切维护费用均由中标人承担，并提供免费软件升级、软件故障排除、补丁安装、软件重装等技术支持及维护服务。确保系统服务与业务要求保持一致，提供稳定可靠服务。</w:t>
      </w:r>
    </w:p>
    <w:p>
      <w:pPr>
        <w:pStyle w:val="299"/>
        <w:spacing w:line="360" w:lineRule="auto"/>
        <w:ind w:left="210" w:firstLine="480"/>
        <w:outlineLvl w:val="0"/>
        <w:rPr>
          <w:rFonts w:hint="default"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rPr>
        <w:t>3、系统服务时间承诺：中标人应根据不同情况设定不同的故障级别，并就不同故障级别提出对应的故障响应方案。在维护期内要求中标人提供7×24 小时不间断的技术支持响应，在采购人提出服务要求后，中标人需在24小时内响应，应急2小时内响应，到达现场并提出解决方案，48小时内处理完毕。</w:t>
      </w:r>
    </w:p>
    <w:p>
      <w:pPr>
        <w:pStyle w:val="299"/>
        <w:spacing w:line="360" w:lineRule="auto"/>
        <w:ind w:left="210" w:firstLine="480"/>
        <w:outlineLvl w:val="0"/>
        <w:rPr>
          <w:rFonts w:hint="default"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rPr>
        <w:t>4、服务保障：在系统运行期，如发生系统软件扩展升级等情况，中标人应负责现场升级，向采购人提供必要的技术资料，对于发现的系统安全风险要在限制有时间内有效处置，确保系统安全可靠。</w:t>
      </w:r>
    </w:p>
    <w:p>
      <w:pPr>
        <w:pStyle w:val="299"/>
        <w:spacing w:line="360" w:lineRule="auto"/>
        <w:ind w:left="210" w:firstLine="480"/>
        <w:outlineLvl w:val="0"/>
        <w:rPr>
          <w:rFonts w:hint="default"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rPr>
        <w:t>5、系统运行期间，中标人应向采购人提供系统维护和管理文档。</w:t>
      </w:r>
    </w:p>
    <w:p>
      <w:pPr>
        <w:pStyle w:val="299"/>
        <w:spacing w:line="360" w:lineRule="auto"/>
        <w:ind w:left="210" w:firstLine="480"/>
        <w:outlineLvl w:val="0"/>
        <w:rPr>
          <w:rFonts w:hint="default"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rPr>
        <w:t>6、服务方式：应提供现场维护服务，为保障平台的运维工作，扬州本地团队至少有1人，维护人员不得调整，如有不可抗拒的原因，人员调整必须得到采购人认可。</w:t>
      </w:r>
    </w:p>
    <w:p>
      <w:pPr>
        <w:pStyle w:val="299"/>
        <w:outlineLvl w:val="0"/>
        <w:rPr>
          <w:rFonts w:hint="default"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六、知识产权及保密要求</w:t>
      </w:r>
    </w:p>
    <w:p>
      <w:pPr>
        <w:pStyle w:val="298"/>
        <w:rPr>
          <w:rFonts w:hint="default" w:asciiTheme="minorEastAsia" w:hAnsiTheme="minorEastAsia" w:eastAsiaTheme="minorEastAsia" w:cstheme="minorEastAsia"/>
          <w:b/>
          <w:bCs w:val="0"/>
          <w:szCs w:val="24"/>
        </w:rPr>
      </w:pPr>
      <w:r>
        <w:rPr>
          <w:rFonts w:asciiTheme="minorEastAsia" w:hAnsiTheme="minorEastAsia" w:eastAsiaTheme="minorEastAsia" w:cstheme="minorEastAsia"/>
          <w:b/>
          <w:bCs w:val="0"/>
          <w:szCs w:val="24"/>
        </w:rPr>
        <w:t>1、知识产权</w:t>
      </w:r>
    </w:p>
    <w:p>
      <w:pPr>
        <w:pStyle w:val="298"/>
        <w:rPr>
          <w:rFonts w:hint="default" w:asciiTheme="minorEastAsia" w:hAnsiTheme="minorEastAsia" w:eastAsiaTheme="minorEastAsia" w:cstheme="minorEastAsia"/>
          <w:i/>
          <w:iCs w:val="0"/>
          <w:szCs w:val="24"/>
          <w:u w:val="single"/>
        </w:rPr>
      </w:pPr>
      <w:r>
        <w:rPr>
          <w:rFonts w:asciiTheme="minorEastAsia" w:hAnsiTheme="minorEastAsia" w:eastAsiaTheme="minorEastAsia" w:cstheme="minorEastAsia"/>
          <w:i/>
          <w:iCs w:val="0"/>
          <w:szCs w:val="24"/>
          <w:u w:val="single"/>
        </w:rPr>
        <w:t>（1）中标人应保证采购人在使用、接受本合同服务(包含与服务相关的货物)或其任何一部分时不受第三方提出侵犯其专利权、版权、商标权和工业设计权等知识产权的起诉。一旦出现侵权，由中标人负全部责任。（提供承诺函，扫描上传，格式自拟）</w:t>
      </w:r>
    </w:p>
    <w:p>
      <w:pPr>
        <w:pStyle w:val="298"/>
        <w:rPr>
          <w:rFonts w:hint="default" w:asciiTheme="minorEastAsia" w:hAnsiTheme="minorEastAsia" w:eastAsiaTheme="minorEastAsia" w:cstheme="minorEastAsia"/>
          <w:i/>
          <w:iCs w:val="0"/>
          <w:szCs w:val="24"/>
          <w:u w:val="single"/>
        </w:rPr>
      </w:pPr>
      <w:r>
        <w:rPr>
          <w:rFonts w:asciiTheme="minorEastAsia" w:hAnsiTheme="minorEastAsia" w:eastAsiaTheme="minorEastAsia" w:cstheme="minorEastAsia"/>
          <w:i/>
          <w:iCs w:val="0"/>
          <w:szCs w:val="24"/>
          <w:u w:val="single"/>
        </w:rPr>
        <w:t>（2）中标人保证所交付的货物（包含与货物相关的服务）的所有权完全属于采购人且无任何抵押、查封等产权瑕疵。本项目开发前中标人已经拥有的知识产权归中标人拥有。根据本项目需求所定制开发的软件的知识产权归采购人所有。中标人承诺将本项目定制化开发的软件最新版源代码文件全部提供给采购人（提供承诺函，扫描上传，格式自拟）</w:t>
      </w:r>
    </w:p>
    <w:p>
      <w:pPr>
        <w:pStyle w:val="298"/>
        <w:rPr>
          <w:rFonts w:hint="default" w:asciiTheme="minorEastAsia" w:hAnsiTheme="minorEastAsia" w:eastAsiaTheme="minorEastAsia" w:cstheme="minorEastAsia"/>
          <w:b/>
          <w:bCs w:val="0"/>
          <w:szCs w:val="24"/>
        </w:rPr>
      </w:pPr>
      <w:r>
        <w:rPr>
          <w:rFonts w:asciiTheme="minorEastAsia" w:hAnsiTheme="minorEastAsia" w:eastAsiaTheme="minorEastAsia" w:cstheme="minorEastAsia"/>
          <w:b/>
          <w:bCs w:val="0"/>
          <w:szCs w:val="24"/>
        </w:rPr>
        <w:t>2、安全保密要求</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（1）投标人对本项目所有信息负有保密义务，不得侵害、外泄或以任何直接或间接的方法使任何第三人知悉或使用。</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（2）投标人需保证信息介质的使用安全，做好介质的管理工作，不能随意摆放。</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（3）投标人结束采购人委托的工作时，要销毁工作期间使用的相关纸质文件和电子文档，不能保存相关文件。</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（4）投标人在项目实施前须与采购人签署相关保密协议，遵守采购人统一的保密规定。</w:t>
      </w:r>
    </w:p>
    <w:p>
      <w:pPr>
        <w:pStyle w:val="298"/>
        <w:rPr>
          <w:rFonts w:hint="default" w:asciiTheme="minorEastAsia" w:hAnsiTheme="minorEastAsia" w:eastAsiaTheme="minorEastAsia" w:cstheme="minorEastAsia"/>
          <w:szCs w:val="24"/>
        </w:rPr>
      </w:pPr>
      <w:r>
        <w:rPr>
          <w:rFonts w:asciiTheme="minorEastAsia" w:hAnsiTheme="minorEastAsia" w:eastAsiaTheme="minorEastAsia" w:cstheme="minorEastAsia"/>
          <w:szCs w:val="24"/>
        </w:rPr>
        <w:t>（5）在系统开发、调试、运行使用过程中，中标人必须严守保密规定，未经同意，不得将采购人信息数据向任何无关单位和个人提供和泄露，必须有严格的数据保密措施，如因操作不当导致数据泄密应追究相应法律责任。</w:t>
      </w:r>
    </w:p>
    <w:p>
      <w:pPr>
        <w:pStyle w:val="298"/>
        <w:rPr>
          <w:rFonts w:hint="default" w:asciiTheme="minorEastAsia" w:hAnsiTheme="minorEastAsia" w:eastAsiaTheme="minorEastAsia" w:cstheme="minorEastAsia"/>
          <w:szCs w:val="24"/>
        </w:rPr>
      </w:pPr>
    </w:p>
    <w:p>
      <w:pPr>
        <w:spacing w:line="360" w:lineRule="auto"/>
        <w:rPr>
          <w:rFonts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七、演示要求</w:t>
      </w:r>
    </w:p>
    <w:p>
      <w:pPr>
        <w:spacing w:line="360" w:lineRule="auto"/>
        <w:ind w:firstLine="482"/>
        <w:rPr>
          <w:rFonts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投标人需按照招标文件第五章评分标准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p>
    <w:p>
      <w:pPr>
        <w:spacing w:line="360" w:lineRule="auto"/>
        <w:ind w:firstLine="482"/>
        <w:rPr>
          <w:rFonts w:asciiTheme="minorEastAsia" w:hAnsiTheme="minorEastAsia" w:eastAsiaTheme="minorEastAsia" w:cstheme="minorEastAsia"/>
          <w:b/>
          <w:color w:val="000000"/>
          <w:sz w:val="24"/>
          <w:szCs w:val="24"/>
          <w:lang w:bidi="ar"/>
        </w:rPr>
      </w:pPr>
      <w:r>
        <w:rPr>
          <w:rFonts w:hint="eastAsia" w:asciiTheme="minorEastAsia" w:hAnsiTheme="minorEastAsia" w:eastAsiaTheme="minorEastAsia" w:cstheme="minorEastAsia"/>
          <w:b/>
          <w:color w:val="000000"/>
          <w:sz w:val="24"/>
          <w:szCs w:val="24"/>
          <w:lang w:bidi="ar"/>
        </w:rPr>
        <w:t>演示内容如下：</w:t>
      </w:r>
    </w:p>
    <w:p>
      <w:pPr>
        <w:ind w:firstLine="480"/>
        <w:jc w:val="lef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t>1、演示人才生活补贴</w:t>
      </w:r>
      <w:r>
        <w:rPr>
          <w:rFonts w:hint="eastAsia" w:asciiTheme="minorEastAsia" w:hAnsiTheme="minorEastAsia" w:eastAsiaTheme="minorEastAsia" w:cstheme="minorEastAsia"/>
          <w:color w:val="000000"/>
          <w:sz w:val="24"/>
          <w:szCs w:val="24"/>
          <w:lang w:val="en-US" w:eastAsia="zh-CN"/>
        </w:rPr>
        <w:t>类</w:t>
      </w:r>
      <w:r>
        <w:rPr>
          <w:rFonts w:asciiTheme="minorEastAsia" w:hAnsiTheme="minorEastAsia" w:eastAsiaTheme="minorEastAsia" w:cstheme="minorEastAsia"/>
          <w:color w:val="000000"/>
          <w:sz w:val="24"/>
          <w:szCs w:val="24"/>
        </w:rPr>
        <w:t>申请发放流程，人才注册后经审核完成</w:t>
      </w:r>
      <w:r>
        <w:rPr>
          <w:rFonts w:hint="eastAsia" w:asciiTheme="minorEastAsia" w:hAnsiTheme="minorEastAsia" w:eastAsiaTheme="minorEastAsia" w:cstheme="minorEastAsia"/>
          <w:color w:val="000000"/>
          <w:sz w:val="24"/>
          <w:szCs w:val="24"/>
          <w:lang w:val="en-US" w:eastAsia="zh-CN"/>
        </w:rPr>
        <w:t>到</w:t>
      </w:r>
      <w:r>
        <w:rPr>
          <w:rFonts w:asciiTheme="minorEastAsia" w:hAnsiTheme="minorEastAsia" w:eastAsiaTheme="minorEastAsia" w:cstheme="minorEastAsia"/>
          <w:color w:val="000000"/>
          <w:sz w:val="24"/>
          <w:szCs w:val="24"/>
        </w:rPr>
        <w:t>资金拨付，需体现出注册、申请、审核、核验、汇总、公示等环节功能，财务审核后发放，可查询发放情况</w:t>
      </w:r>
      <w:r>
        <w:rPr>
          <w:rFonts w:hint="eastAsia" w:asciiTheme="minorEastAsia" w:hAnsiTheme="minorEastAsia" w:eastAsiaTheme="minorEastAsia" w:cstheme="minorEastAsia"/>
          <w:color w:val="000000"/>
          <w:sz w:val="24"/>
          <w:szCs w:val="24"/>
        </w:rPr>
        <w:t>；</w:t>
      </w:r>
    </w:p>
    <w:p>
      <w:pPr>
        <w:ind w:firstLine="480"/>
        <w:jc w:val="lef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sz w:val="24"/>
          <w:szCs w:val="24"/>
        </w:rPr>
        <w:t>2、</w:t>
      </w:r>
      <w:r>
        <w:rPr>
          <w:rFonts w:asciiTheme="minorEastAsia" w:hAnsiTheme="minorEastAsia" w:eastAsiaTheme="minorEastAsia" w:cstheme="minorEastAsia"/>
          <w:color w:val="000000"/>
          <w:sz w:val="24"/>
          <w:szCs w:val="24"/>
        </w:rPr>
        <w:t>演示</w:t>
      </w:r>
      <w:r>
        <w:rPr>
          <w:rFonts w:hint="eastAsia" w:asciiTheme="minorEastAsia" w:hAnsiTheme="minorEastAsia" w:eastAsiaTheme="minorEastAsia" w:cstheme="minorEastAsia"/>
          <w:color w:val="000000"/>
          <w:sz w:val="24"/>
          <w:szCs w:val="24"/>
          <w:lang w:val="en-US" w:eastAsia="zh-CN"/>
        </w:rPr>
        <w:t>人才购房</w:t>
      </w:r>
      <w:r>
        <w:rPr>
          <w:rFonts w:asciiTheme="minorEastAsia" w:hAnsiTheme="minorEastAsia" w:eastAsiaTheme="minorEastAsia" w:cstheme="minorEastAsia"/>
          <w:color w:val="000000"/>
          <w:sz w:val="24"/>
          <w:szCs w:val="24"/>
        </w:rPr>
        <w:t>券</w:t>
      </w:r>
      <w:r>
        <w:rPr>
          <w:rFonts w:hint="eastAsia" w:asciiTheme="minorEastAsia" w:hAnsiTheme="minorEastAsia" w:eastAsiaTheme="minorEastAsia" w:cstheme="minorEastAsia"/>
          <w:color w:val="000000"/>
          <w:sz w:val="24"/>
          <w:szCs w:val="24"/>
          <w:lang w:val="en-US" w:eastAsia="zh-CN"/>
        </w:rPr>
        <w:t>类</w:t>
      </w:r>
      <w:r>
        <w:rPr>
          <w:rFonts w:asciiTheme="minorEastAsia" w:hAnsiTheme="minorEastAsia" w:eastAsiaTheme="minorEastAsia" w:cstheme="minorEastAsia"/>
          <w:color w:val="000000"/>
          <w:sz w:val="24"/>
          <w:szCs w:val="24"/>
        </w:rPr>
        <w:t>业务办理流程，</w:t>
      </w:r>
      <w:r>
        <w:rPr>
          <w:rFonts w:asciiTheme="minorEastAsia" w:hAnsiTheme="minorEastAsia" w:eastAsiaTheme="minorEastAsia" w:cstheme="minorEastAsia"/>
          <w:sz w:val="24"/>
          <w:szCs w:val="24"/>
        </w:rPr>
        <w:t>普通人才申请</w:t>
      </w:r>
      <w:r>
        <w:rPr>
          <w:rFonts w:hint="eastAsia" w:asciiTheme="minorEastAsia" w:hAnsiTheme="minorEastAsia" w:eastAsiaTheme="minorEastAsia" w:cstheme="minorEastAsia"/>
          <w:sz w:val="24"/>
          <w:szCs w:val="24"/>
          <w:lang w:val="en-US" w:eastAsia="zh-CN"/>
        </w:rPr>
        <w:t>或批量</w:t>
      </w:r>
      <w:r>
        <w:rPr>
          <w:rFonts w:asciiTheme="minorEastAsia" w:hAnsiTheme="minorEastAsia" w:eastAsiaTheme="minorEastAsia" w:cstheme="minorEastAsia"/>
          <w:sz w:val="24"/>
          <w:szCs w:val="24"/>
        </w:rPr>
        <w:t>后台导入，</w:t>
      </w:r>
      <w:r>
        <w:rPr>
          <w:rFonts w:asciiTheme="minorEastAsia" w:hAnsiTheme="minorEastAsia" w:eastAsiaTheme="minorEastAsia" w:cstheme="minorEastAsia"/>
          <w:color w:val="000000"/>
          <w:sz w:val="24"/>
          <w:szCs w:val="24"/>
        </w:rPr>
        <w:t>需体现</w:t>
      </w:r>
      <w:r>
        <w:rPr>
          <w:rFonts w:asciiTheme="minorEastAsia" w:hAnsiTheme="minorEastAsia" w:eastAsiaTheme="minorEastAsia" w:cstheme="minorEastAsia"/>
          <w:sz w:val="24"/>
          <w:szCs w:val="24"/>
        </w:rPr>
        <w:t>申请、审核、审批、推送激活、核销兑付、购房兑付、资金结算等功能。体现与</w:t>
      </w:r>
      <w:r>
        <w:rPr>
          <w:rFonts w:hint="eastAsia" w:asciiTheme="minorEastAsia" w:hAnsiTheme="minorEastAsia" w:eastAsiaTheme="minorEastAsia" w:cstheme="minorEastAsia"/>
          <w:sz w:val="24"/>
          <w:szCs w:val="24"/>
          <w:lang w:val="en-US" w:eastAsia="zh-CN"/>
        </w:rPr>
        <w:t>房屋管理</w:t>
      </w:r>
      <w:r>
        <w:rPr>
          <w:rFonts w:asciiTheme="minorEastAsia" w:hAnsiTheme="minorEastAsia" w:eastAsiaTheme="minorEastAsia" w:cstheme="minorEastAsia"/>
          <w:sz w:val="24"/>
          <w:szCs w:val="24"/>
        </w:rPr>
        <w:t>部门、房产开发企业等单位的业务协同与流转功能</w:t>
      </w:r>
      <w:r>
        <w:rPr>
          <w:rFonts w:hint="eastAsia" w:asciiTheme="minorEastAsia" w:hAnsiTheme="minorEastAsia" w:eastAsiaTheme="minorEastAsia" w:cstheme="minorEastAsia"/>
          <w:color w:val="000000"/>
          <w:sz w:val="24"/>
          <w:szCs w:val="24"/>
        </w:rPr>
        <w:t>；</w:t>
      </w:r>
    </w:p>
    <w:p>
      <w:pPr>
        <w:ind w:firstLine="480"/>
        <w:jc w:val="lef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sz w:val="24"/>
          <w:szCs w:val="24"/>
        </w:rPr>
        <w:t>3、</w:t>
      </w:r>
      <w:r>
        <w:rPr>
          <w:rFonts w:asciiTheme="minorEastAsia" w:hAnsiTheme="minorEastAsia" w:eastAsiaTheme="minorEastAsia" w:cstheme="minorEastAsia"/>
          <w:color w:val="000000"/>
          <w:sz w:val="24"/>
          <w:szCs w:val="24"/>
        </w:rPr>
        <w:t>演示</w:t>
      </w:r>
      <w:r>
        <w:rPr>
          <w:rFonts w:hint="eastAsia" w:asciiTheme="minorEastAsia" w:hAnsiTheme="minorEastAsia" w:eastAsiaTheme="minorEastAsia" w:cstheme="minorEastAsia"/>
          <w:color w:val="000000"/>
          <w:sz w:val="24"/>
          <w:szCs w:val="24"/>
          <w:lang w:val="en-US" w:eastAsia="zh-CN"/>
        </w:rPr>
        <w:t>求职面试类补贴功能</w:t>
      </w:r>
      <w:r>
        <w:rPr>
          <w:rFonts w:asciiTheme="minorEastAsia" w:hAnsiTheme="minorEastAsia" w:eastAsiaTheme="minorEastAsia" w:cstheme="minorEastAsia"/>
          <w:color w:val="000000"/>
          <w:sz w:val="24"/>
          <w:szCs w:val="24"/>
        </w:rPr>
        <w:t>，需体现出生成人才选聘活动或赴外招聘会、导入意向名单、面试扫码确认、注册申请、审核、审批、汇总、公示、资金拨付、查询统计等功能</w:t>
      </w:r>
      <w:r>
        <w:rPr>
          <w:rFonts w:hint="eastAsia" w:asciiTheme="minorEastAsia" w:hAnsiTheme="minorEastAsia" w:eastAsiaTheme="minorEastAsia" w:cstheme="minorEastAsia"/>
          <w:color w:val="000000"/>
          <w:sz w:val="24"/>
          <w:szCs w:val="24"/>
        </w:rPr>
        <w:t>；</w:t>
      </w:r>
    </w:p>
    <w:p>
      <w:pPr>
        <w:ind w:firstLine="480"/>
        <w:jc w:val="lef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t>4、</w:t>
      </w:r>
      <w:r>
        <w:rPr>
          <w:rFonts w:hint="eastAsia" w:asciiTheme="minorEastAsia" w:hAnsiTheme="minorEastAsia" w:eastAsiaTheme="minorEastAsia" w:cstheme="minorEastAsia"/>
          <w:color w:val="000000"/>
          <w:sz w:val="24"/>
          <w:szCs w:val="24"/>
        </w:rPr>
        <w:t>演示人才分类认定</w:t>
      </w:r>
      <w:r>
        <w:rPr>
          <w:rFonts w:hint="eastAsia" w:asciiTheme="minorEastAsia" w:hAnsiTheme="minorEastAsia" w:eastAsiaTheme="minorEastAsia" w:cstheme="minorEastAsia"/>
          <w:color w:val="000000"/>
          <w:sz w:val="24"/>
          <w:szCs w:val="24"/>
          <w:lang w:val="en-US" w:eastAsia="zh-CN"/>
        </w:rPr>
        <w:t>类</w:t>
      </w:r>
      <w:r>
        <w:rPr>
          <w:rFonts w:hint="eastAsia" w:asciiTheme="minorEastAsia" w:hAnsiTheme="minorEastAsia" w:eastAsiaTheme="minorEastAsia" w:cstheme="minorEastAsia"/>
          <w:color w:val="000000"/>
          <w:sz w:val="24"/>
          <w:szCs w:val="24"/>
        </w:rPr>
        <w:t>审核流程，需要体现对应人才层次内容及审核部门账号信息的调整。其中学历型人才首先通过</w:t>
      </w:r>
      <w:r>
        <w:rPr>
          <w:rFonts w:hint="eastAsia" w:asciiTheme="minorEastAsia" w:hAnsiTheme="minorEastAsia" w:eastAsiaTheme="minorEastAsia" w:cstheme="minorEastAsia"/>
          <w:color w:val="000000"/>
          <w:sz w:val="24"/>
          <w:szCs w:val="24"/>
          <w:lang w:val="en-US" w:eastAsia="zh-CN"/>
        </w:rPr>
        <w:t>学历</w:t>
      </w:r>
      <w:r>
        <w:rPr>
          <w:rFonts w:hint="eastAsia" w:asciiTheme="minorEastAsia" w:hAnsiTheme="minorEastAsia" w:eastAsiaTheme="minorEastAsia" w:cstheme="minorEastAsia"/>
          <w:color w:val="000000"/>
          <w:sz w:val="24"/>
          <w:szCs w:val="24"/>
        </w:rPr>
        <w:t>数据接口比对，比对不通过的则人工审核，实现对申请人才分类认定的人才进行审核审批，生成显示对应人才类别的</w:t>
      </w:r>
      <w:r>
        <w:rPr>
          <w:rFonts w:hint="eastAsia" w:asciiTheme="minorEastAsia" w:hAnsiTheme="minorEastAsia" w:eastAsiaTheme="minorEastAsia" w:cstheme="minorEastAsia"/>
          <w:color w:val="000000"/>
          <w:sz w:val="24"/>
          <w:szCs w:val="24"/>
          <w:lang w:val="en-US" w:eastAsia="zh-CN"/>
        </w:rPr>
        <w:t>二维</w:t>
      </w:r>
      <w:r>
        <w:rPr>
          <w:rFonts w:hint="eastAsia" w:asciiTheme="minorEastAsia" w:hAnsiTheme="minorEastAsia" w:eastAsiaTheme="minorEastAsia" w:cstheme="minorEastAsia"/>
          <w:color w:val="000000"/>
          <w:sz w:val="24"/>
          <w:szCs w:val="24"/>
        </w:rPr>
        <w:t>码。非学历类型根据申请材料人工审核。建立审核时效预警机制，及时通知审核人员；</w:t>
      </w:r>
    </w:p>
    <w:p>
      <w:pPr>
        <w:ind w:firstLine="480"/>
        <w:jc w:val="lef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t>5、演示人才数据</w:t>
      </w:r>
      <w:r>
        <w:rPr>
          <w:rFonts w:hint="eastAsia" w:asciiTheme="minorEastAsia" w:hAnsiTheme="minorEastAsia" w:eastAsiaTheme="minorEastAsia" w:cstheme="minorEastAsia"/>
          <w:color w:val="000000"/>
          <w:sz w:val="24"/>
          <w:szCs w:val="24"/>
          <w:lang w:val="en-US" w:eastAsia="zh-CN"/>
        </w:rPr>
        <w:t>类的</w:t>
      </w:r>
      <w:r>
        <w:rPr>
          <w:rFonts w:asciiTheme="minorEastAsia" w:hAnsiTheme="minorEastAsia" w:eastAsiaTheme="minorEastAsia" w:cstheme="minorEastAsia"/>
          <w:color w:val="000000"/>
          <w:sz w:val="24"/>
          <w:szCs w:val="24"/>
        </w:rPr>
        <w:t>统计分析和报表输出，功能上能体现</w:t>
      </w:r>
      <w:r>
        <w:rPr>
          <w:rFonts w:hint="eastAsia" w:asciiTheme="minorEastAsia" w:hAnsiTheme="minorEastAsia" w:eastAsiaTheme="minorEastAsia" w:cstheme="minorEastAsia"/>
          <w:color w:val="000000"/>
          <w:sz w:val="24"/>
          <w:szCs w:val="24"/>
          <w:lang w:eastAsia="zh-CN"/>
        </w:rPr>
        <w:t>：</w:t>
      </w:r>
      <w:r>
        <w:rPr>
          <w:rFonts w:asciiTheme="minorEastAsia" w:hAnsiTheme="minorEastAsia" w:eastAsiaTheme="minorEastAsia" w:cstheme="minorEastAsia"/>
          <w:color w:val="000000"/>
          <w:sz w:val="24"/>
          <w:szCs w:val="24"/>
        </w:rPr>
        <w:t>整合人才地图、新增大学生、</w:t>
      </w:r>
      <w:r>
        <w:rPr>
          <w:rFonts w:hint="eastAsia" w:asciiTheme="minorEastAsia" w:hAnsiTheme="minorEastAsia" w:eastAsiaTheme="minorEastAsia" w:cstheme="minorEastAsia"/>
          <w:color w:val="000000"/>
          <w:sz w:val="24"/>
          <w:szCs w:val="24"/>
          <w:lang w:val="en-US" w:eastAsia="zh-CN"/>
        </w:rPr>
        <w:t>补贴</w:t>
      </w:r>
      <w:r>
        <w:rPr>
          <w:rFonts w:asciiTheme="minorEastAsia" w:hAnsiTheme="minorEastAsia" w:eastAsiaTheme="minorEastAsia" w:cstheme="minorEastAsia"/>
          <w:color w:val="000000"/>
          <w:sz w:val="24"/>
          <w:szCs w:val="24"/>
        </w:rPr>
        <w:t>业务的数据，统一以数据大屏的形式展示；构建报表系统，实现报表数据自动采集、定</w:t>
      </w:r>
      <w:r>
        <w:rPr>
          <w:rFonts w:hint="eastAsia" w:asciiTheme="minorEastAsia" w:hAnsiTheme="minorEastAsia" w:eastAsiaTheme="minorEastAsia" w:cstheme="minorEastAsia"/>
          <w:color w:val="000000"/>
          <w:sz w:val="24"/>
          <w:szCs w:val="24"/>
        </w:rPr>
        <w:t>期</w:t>
      </w:r>
      <w:r>
        <w:rPr>
          <w:rFonts w:asciiTheme="minorEastAsia" w:hAnsiTheme="minorEastAsia" w:eastAsiaTheme="minorEastAsia" w:cstheme="minorEastAsia"/>
          <w:color w:val="000000"/>
          <w:sz w:val="24"/>
          <w:szCs w:val="24"/>
        </w:rPr>
        <w:t>生成、可视化展示及多格式导出，满足科室数据统计、分析与上报需求。</w:t>
      </w:r>
    </w:p>
    <w:p>
      <w:pPr>
        <w:pStyle w:val="298"/>
        <w:rPr>
          <w:rFonts w:hint="default" w:asciiTheme="minorEastAsia" w:hAnsiTheme="minorEastAsia" w:eastAsiaTheme="minorEastAsia" w:cstheme="minorEastAsia"/>
          <w:szCs w:val="24"/>
        </w:rPr>
      </w:pPr>
    </w:p>
    <w:p>
      <w:pPr>
        <w:pBdr>
          <w:top w:val="none" w:color="000000" w:sz="0" w:space="0"/>
          <w:left w:val="none" w:color="000000" w:sz="0" w:space="0"/>
          <w:bottom w:val="none" w:color="000000" w:sz="0" w:space="0"/>
          <w:right w:val="none" w:color="000000" w:sz="0" w:space="0"/>
        </w:pBdr>
        <w:spacing w:line="420" w:lineRule="exact"/>
        <w:ind w:firstLine="480"/>
        <w:rPr>
          <w:rFonts w:cs="宋体" w:asciiTheme="minorEastAsia" w:hAnsiTheme="minorEastAsia"/>
          <w:sz w:val="24"/>
          <w:szCs w:val="24"/>
        </w:rPr>
      </w:pPr>
    </w:p>
    <w:p>
      <w:pPr>
        <w:pBdr>
          <w:top w:val="none" w:color="000000" w:sz="0" w:space="0"/>
          <w:left w:val="none" w:color="000000" w:sz="0" w:space="0"/>
          <w:bottom w:val="none" w:color="000000" w:sz="0" w:space="0"/>
          <w:right w:val="none" w:color="000000" w:sz="0" w:space="0"/>
        </w:pBdr>
      </w:pPr>
    </w:p>
    <w:p>
      <w:pPr>
        <w:pBdr>
          <w:top w:val="none" w:color="000000" w:sz="0" w:space="0"/>
          <w:left w:val="none" w:color="000000" w:sz="0" w:space="0"/>
          <w:bottom w:val="none" w:color="000000" w:sz="0" w:space="0"/>
          <w:right w:val="none" w:color="000000" w:sz="0" w:space="0"/>
        </w:pBdr>
        <w:jc w:val="center"/>
        <w:rPr>
          <w:rFonts w:hint="eastAsia"/>
          <w:b/>
          <w:bCs/>
          <w:sz w:val="44"/>
          <w:szCs w:val="44"/>
        </w:rPr>
      </w:pPr>
      <w:r>
        <w:rPr>
          <w:rFonts w:ascii="黑体" w:hAnsi="黑体" w:cs="黑体"/>
          <w:b/>
          <w:bCs/>
          <w:color w:val="000000"/>
          <w:sz w:val="44"/>
          <w:szCs w:val="44"/>
        </w:rPr>
        <w:t>第五章评标方法与评标标准</w:t>
      </w:r>
    </w:p>
    <w:p>
      <w:pPr>
        <w:pBdr>
          <w:top w:val="none" w:color="000000" w:sz="0" w:space="0"/>
          <w:left w:val="none" w:color="000000" w:sz="0" w:space="0"/>
          <w:bottom w:val="none" w:color="000000" w:sz="0" w:space="0"/>
          <w:right w:val="none" w:color="000000" w:sz="0" w:space="0"/>
        </w:pBdr>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spacing w:before="240" w:after="240"/>
        <w:ind w:firstLine="439"/>
        <w:rPr>
          <w:rFonts w:ascii="宋体" w:hAnsi="宋体" w:cs="宋体"/>
          <w:color w:val="000000"/>
          <w:sz w:val="24"/>
          <w:szCs w:val="24"/>
        </w:rPr>
      </w:pPr>
      <w:r>
        <w:rPr>
          <w:rFonts w:ascii="宋体" w:hAnsi="宋体" w:cs="宋体"/>
          <w:color w:val="000000"/>
          <w:sz w:val="24"/>
        </w:rPr>
        <w:t>采用综合评分法的，评标结果按评审后得分由高到低顺序排列。得分相同的，按投标报价由低到高顺序排列。得分且投标报价相同的并列。</w:t>
      </w:r>
    </w:p>
    <w:tbl>
      <w:tblPr>
        <w:tblStyle w:val="56"/>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180"/>
        <w:gridCol w:w="2081"/>
        <w:gridCol w:w="5518"/>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180" w:type="dxa"/>
            <w:tcBorders>
              <w:top w:val="single" w:color="000000" w:sz="8" w:space="0"/>
              <w:left w:val="single" w:color="000000" w:sz="8" w:space="0"/>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采购包号</w:t>
            </w:r>
          </w:p>
        </w:tc>
        <w:tc>
          <w:tcPr>
            <w:tcW w:w="2081" w:type="dxa"/>
            <w:tcBorders>
              <w:top w:val="single" w:color="000000" w:sz="8" w:space="0"/>
              <w:left w:val="nil"/>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选取中标候选人数量</w:t>
            </w:r>
          </w:p>
        </w:tc>
        <w:tc>
          <w:tcPr>
            <w:tcW w:w="5518" w:type="dxa"/>
            <w:tcBorders>
              <w:top w:val="single" w:color="000000" w:sz="8" w:space="0"/>
              <w:left w:val="nil"/>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选取中标候选人的原则</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18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1</w:t>
            </w:r>
          </w:p>
        </w:tc>
        <w:tc>
          <w:tcPr>
            <w:tcW w:w="20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3</w:t>
            </w:r>
          </w:p>
        </w:tc>
        <w:tc>
          <w:tcPr>
            <w:tcW w:w="55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jc w:val="center"/>
              <w:rPr>
                <w:color w:val="0070C0"/>
              </w:rPr>
            </w:pPr>
            <w:r>
              <w:rPr>
                <w:rFonts w:ascii="宋体" w:hAnsi="宋体" w:cs="宋体"/>
                <w:color w:val="000000"/>
                <w:sz w:val="24"/>
              </w:rPr>
              <w:t>满足招标文件全部实质性要求，且按照评审因素的量化指标评审得分最高的投标人为中标候选人。</w:t>
            </w:r>
          </w:p>
        </w:tc>
      </w:tr>
    </w:tbl>
    <w:p>
      <w:pPr>
        <w:pBdr>
          <w:top w:val="none" w:color="000000" w:sz="0" w:space="0"/>
          <w:left w:val="none" w:color="000000" w:sz="0" w:space="0"/>
          <w:bottom w:val="none" w:color="000000" w:sz="0" w:space="0"/>
          <w:right w:val="none" w:color="000000" w:sz="0" w:space="0"/>
        </w:pBdr>
        <w:spacing w:before="240" w:after="240"/>
        <w:ind w:firstLine="441"/>
      </w:pPr>
      <w:r>
        <w:rPr>
          <w:rFonts w:ascii="宋体" w:hAnsi="宋体" w:cs="宋体"/>
          <w:b/>
          <w:color w:val="000000"/>
          <w:sz w:val="24"/>
        </w:rPr>
        <w:t>政府采购政策功能落实</w:t>
      </w:r>
    </w:p>
    <w:p>
      <w:pPr>
        <w:pBdr>
          <w:top w:val="none" w:color="000000" w:sz="0" w:space="0"/>
          <w:left w:val="none" w:color="000000" w:sz="0" w:space="0"/>
          <w:bottom w:val="none" w:color="000000" w:sz="0" w:space="0"/>
          <w:right w:val="none" w:color="000000" w:sz="0" w:space="0"/>
        </w:pBdr>
        <w:spacing w:before="120" w:after="120"/>
        <w:ind w:firstLine="441"/>
      </w:pPr>
      <w:r>
        <w:rPr>
          <w:rFonts w:ascii="宋体" w:hAnsi="宋体" w:cs="宋体"/>
          <w:b/>
          <w:color w:val="FF0000"/>
          <w:sz w:val="24"/>
        </w:rPr>
        <w:t>本项目专门面向中小企业：是/否</w:t>
      </w:r>
    </w:p>
    <w:tbl>
      <w:tblPr>
        <w:tblStyle w:val="56"/>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117"/>
        <w:gridCol w:w="6662"/>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2117" w:type="dxa"/>
            <w:tcBorders>
              <w:top w:val="single" w:color="000000" w:sz="8" w:space="0"/>
              <w:left w:val="single" w:color="000000" w:sz="8" w:space="0"/>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采购包号</w:t>
            </w:r>
          </w:p>
        </w:tc>
        <w:tc>
          <w:tcPr>
            <w:tcW w:w="6662" w:type="dxa"/>
            <w:tcBorders>
              <w:top w:val="single" w:color="000000" w:sz="8" w:space="0"/>
              <w:left w:val="nil"/>
              <w:bottom w:val="single" w:color="auto" w:sz="4"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专门面向中小企业</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21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1</w:t>
            </w:r>
          </w:p>
        </w:tc>
        <w:tc>
          <w:tcPr>
            <w:tcW w:w="666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jc w:val="center"/>
            </w:pPr>
            <w:r>
              <w:rPr>
                <w:rFonts w:hint="eastAsia" w:ascii="宋体" w:hAnsi="宋体" w:cs="宋体"/>
                <w:color w:val="000000"/>
                <w:sz w:val="24"/>
              </w:rPr>
              <w:t>否</w:t>
            </w:r>
          </w:p>
        </w:tc>
      </w:tr>
    </w:tbl>
    <w:p>
      <w:pPr>
        <w:pBdr>
          <w:top w:val="none" w:color="000000" w:sz="0" w:space="0"/>
          <w:left w:val="none" w:color="000000" w:sz="0" w:space="0"/>
          <w:bottom w:val="none" w:color="000000" w:sz="0" w:space="0"/>
          <w:right w:val="none" w:color="000000" w:sz="0" w:space="0"/>
        </w:pBdr>
        <w:spacing w:before="120" w:after="120"/>
        <w:ind w:firstLine="480"/>
      </w:pPr>
      <w:r>
        <w:rPr>
          <w:rFonts w:ascii="宋体" w:hAnsi="宋体" w:cs="宋体"/>
          <w:color w:val="000000"/>
          <w:sz w:val="24"/>
        </w:rPr>
        <w:t>1、小微型企业价格扣除</w:t>
      </w:r>
    </w:p>
    <w:p>
      <w:pPr>
        <w:pBdr>
          <w:top w:val="none" w:color="000000" w:sz="0" w:space="0"/>
          <w:left w:val="none" w:color="000000" w:sz="0" w:space="0"/>
          <w:bottom w:val="none" w:color="000000" w:sz="0" w:space="0"/>
          <w:right w:val="none" w:color="000000" w:sz="0" w:space="0"/>
        </w:pBdr>
        <w:spacing w:before="120" w:after="120"/>
        <w:ind w:firstLine="360"/>
        <w:rPr>
          <w:rFonts w:ascii="宋体" w:hAnsi="宋体" w:cs="宋体"/>
          <w:color w:val="000000"/>
          <w:sz w:val="24"/>
        </w:rPr>
      </w:pPr>
      <w:r>
        <w:rPr>
          <w:rFonts w:ascii="宋体" w:hAnsi="宋体" w:cs="宋体"/>
          <w:color w:val="000000"/>
          <w:sz w:val="24"/>
        </w:rPr>
        <w:t>（1）本项目对小型和微型企业产品给予</w:t>
      </w:r>
      <w:r>
        <w:rPr>
          <w:rFonts w:hint="eastAsia" w:ascii="宋体" w:hAnsi="宋体" w:cs="宋体"/>
          <w:color w:val="000000"/>
          <w:sz w:val="24"/>
          <w:u w:val="single"/>
        </w:rPr>
        <w:t>20%</w:t>
      </w:r>
      <w:r>
        <w:rPr>
          <w:rFonts w:ascii="宋体" w:hAnsi="宋体" w:cs="宋体"/>
          <w:color w:val="000000"/>
          <w:sz w:val="24"/>
        </w:rPr>
        <w:t>的扣除价格，用扣除后的价格参与评审。</w:t>
      </w:r>
    </w:p>
    <w:p>
      <w:pPr>
        <w:pBdr>
          <w:top w:val="none" w:color="000000" w:sz="0" w:space="0"/>
          <w:left w:val="none" w:color="000000" w:sz="0" w:space="0"/>
          <w:bottom w:val="none" w:color="000000" w:sz="0" w:space="0"/>
          <w:right w:val="none" w:color="000000" w:sz="0" w:space="0"/>
        </w:pBdr>
        <w:spacing w:before="120" w:after="120"/>
        <w:ind w:firstLine="360"/>
      </w:pPr>
      <w:r>
        <w:rPr>
          <w:rFonts w:ascii="宋体" w:hAnsi="宋体" w:cs="宋体"/>
          <w:color w:val="000000"/>
          <w:sz w:val="24"/>
        </w:rPr>
        <w:t>（2）供应商需按照采购文件的要求提供相应的《中小企业声明函》。</w:t>
      </w:r>
    </w:p>
    <w:p>
      <w:pPr>
        <w:pBdr>
          <w:top w:val="none" w:color="000000" w:sz="0" w:space="0"/>
          <w:left w:val="none" w:color="000000" w:sz="0" w:space="0"/>
          <w:bottom w:val="none" w:color="000000" w:sz="0" w:space="0"/>
          <w:right w:val="none" w:color="000000" w:sz="0" w:space="0"/>
        </w:pBdr>
        <w:spacing w:before="240" w:after="240"/>
        <w:ind w:firstLine="360"/>
      </w:pPr>
      <w:r>
        <w:rPr>
          <w:rFonts w:ascii="宋体" w:hAnsi="宋体" w:cs="宋体"/>
          <w:color w:val="000000"/>
          <w:sz w:val="24"/>
        </w:rPr>
        <w:t>（3）企业标准请参照《关于印发中小企业划型标准规定的通知》（工信部联企业[2011]300号）文件规定自行填写。</w:t>
      </w:r>
    </w:p>
    <w:p>
      <w:pPr>
        <w:pBdr>
          <w:top w:val="none" w:color="000000" w:sz="0" w:space="0"/>
          <w:left w:val="none" w:color="000000" w:sz="0" w:space="0"/>
          <w:bottom w:val="none" w:color="000000" w:sz="0" w:space="0"/>
          <w:right w:val="none" w:color="000000" w:sz="0" w:space="0"/>
        </w:pBdr>
        <w:spacing w:before="120" w:after="120"/>
        <w:ind w:firstLine="480"/>
      </w:pPr>
      <w:r>
        <w:rPr>
          <w:rFonts w:ascii="宋体" w:hAnsi="宋体" w:cs="宋体"/>
          <w:color w:val="000000"/>
          <w:sz w:val="24"/>
        </w:rPr>
        <w:t>2、残疾人福利单位价格扣除</w:t>
      </w:r>
    </w:p>
    <w:p>
      <w:pPr>
        <w:pBdr>
          <w:top w:val="none" w:color="000000" w:sz="0" w:space="0"/>
          <w:left w:val="none" w:color="000000" w:sz="0" w:space="0"/>
          <w:bottom w:val="none" w:color="000000" w:sz="0" w:space="0"/>
          <w:right w:val="none" w:color="000000" w:sz="0" w:space="0"/>
        </w:pBdr>
        <w:spacing w:before="120" w:after="120"/>
        <w:ind w:left="120" w:firstLine="360"/>
      </w:pPr>
      <w:r>
        <w:rPr>
          <w:rFonts w:ascii="宋体" w:hAnsi="宋体" w:cs="宋体"/>
          <w:color w:val="000000"/>
          <w:sz w:val="24"/>
        </w:rPr>
        <w:t>（1）本项目对残疾人福利性单位视同小型、微型企业，给予</w:t>
      </w:r>
      <w:r>
        <w:rPr>
          <w:rFonts w:hint="eastAsia" w:ascii="宋体" w:hAnsi="宋体" w:cs="宋体"/>
          <w:color w:val="000000"/>
          <w:sz w:val="24"/>
          <w:u w:val="single"/>
        </w:rPr>
        <w:t>20%</w:t>
      </w:r>
      <w:r>
        <w:rPr>
          <w:rFonts w:ascii="宋体" w:hAnsi="宋体" w:cs="宋体"/>
          <w:color w:val="000000"/>
          <w:sz w:val="24"/>
        </w:rPr>
        <w:t>的价格扣除，用扣除后的价格参与评审。</w:t>
      </w:r>
    </w:p>
    <w:p>
      <w:pPr>
        <w:pBdr>
          <w:top w:val="none" w:color="000000" w:sz="0" w:space="0"/>
          <w:left w:val="none" w:color="000000" w:sz="0" w:space="0"/>
          <w:bottom w:val="none" w:color="000000" w:sz="0" w:space="0"/>
          <w:right w:val="none" w:color="000000" w:sz="0" w:space="0"/>
        </w:pBdr>
        <w:spacing w:before="120" w:after="120"/>
        <w:ind w:left="120" w:firstLine="360"/>
      </w:pPr>
      <w:r>
        <w:rPr>
          <w:rFonts w:ascii="宋体" w:hAnsi="宋体" w:cs="宋体"/>
          <w:color w:val="000000"/>
          <w:sz w:val="24"/>
        </w:rPr>
        <w:t>（2）残疾人福利单位需按照采购文件的要求提供《残疾人福利性单位声明函》。</w:t>
      </w:r>
    </w:p>
    <w:p>
      <w:pPr>
        <w:pBdr>
          <w:top w:val="none" w:color="000000" w:sz="0" w:space="0"/>
          <w:left w:val="none" w:color="000000" w:sz="0" w:space="0"/>
          <w:bottom w:val="none" w:color="000000" w:sz="0" w:space="0"/>
          <w:right w:val="none" w:color="000000" w:sz="0" w:space="0"/>
        </w:pBdr>
        <w:spacing w:before="120" w:after="120"/>
        <w:ind w:left="120" w:firstLine="360"/>
      </w:pPr>
      <w:r>
        <w:rPr>
          <w:rFonts w:ascii="宋体" w:hAnsi="宋体" w:cs="宋体"/>
          <w:color w:val="000000"/>
          <w:sz w:val="24"/>
        </w:rPr>
        <w:t>（3）残疾人福利单位标准请参照《关于促进残疾人就业政府采购政策的通知》（财库〔2017〕141号）。</w:t>
      </w:r>
    </w:p>
    <w:p>
      <w:pPr>
        <w:pBdr>
          <w:top w:val="none" w:color="000000" w:sz="0" w:space="0"/>
          <w:left w:val="none" w:color="000000" w:sz="0" w:space="0"/>
          <w:bottom w:val="none" w:color="000000" w:sz="0" w:space="0"/>
          <w:right w:val="none" w:color="000000" w:sz="0" w:space="0"/>
        </w:pBdr>
        <w:spacing w:before="120" w:after="120"/>
        <w:ind w:firstLine="480"/>
      </w:pPr>
      <w:r>
        <w:rPr>
          <w:rFonts w:ascii="宋体" w:hAnsi="宋体" w:cs="宋体"/>
          <w:color w:val="000000"/>
          <w:sz w:val="24"/>
        </w:rPr>
        <w:t>3、监狱和戒毒企业价格扣除</w:t>
      </w:r>
    </w:p>
    <w:p>
      <w:pPr>
        <w:pBdr>
          <w:top w:val="none" w:color="000000" w:sz="0" w:space="0"/>
          <w:left w:val="none" w:color="000000" w:sz="0" w:space="0"/>
          <w:bottom w:val="none" w:color="000000" w:sz="0" w:space="0"/>
          <w:right w:val="none" w:color="000000" w:sz="0" w:space="0"/>
        </w:pBdr>
        <w:spacing w:before="120" w:after="120"/>
        <w:ind w:firstLine="480"/>
      </w:pPr>
      <w:r>
        <w:rPr>
          <w:rFonts w:ascii="宋体" w:hAnsi="宋体" w:cs="宋体"/>
          <w:color w:val="000000"/>
          <w:sz w:val="24"/>
        </w:rPr>
        <w:t>（1）本项目对监狱和戒毒企业（简称监狱企业）视同小型、微型企业，给予</w:t>
      </w:r>
      <w:r>
        <w:rPr>
          <w:rFonts w:hint="eastAsia" w:ascii="宋体" w:hAnsi="宋体" w:cs="宋体"/>
          <w:color w:val="000000"/>
          <w:sz w:val="24"/>
          <w:u w:val="single"/>
        </w:rPr>
        <w:t>20%</w:t>
      </w:r>
      <w:r>
        <w:rPr>
          <w:rFonts w:ascii="宋体" w:hAnsi="宋体" w:cs="宋体"/>
          <w:color w:val="000000"/>
          <w:sz w:val="24"/>
        </w:rPr>
        <w:t>的价格扣除，用扣除后的价格参与评审。</w:t>
      </w:r>
    </w:p>
    <w:p>
      <w:pPr>
        <w:pBdr>
          <w:top w:val="none" w:color="000000" w:sz="0" w:space="0"/>
          <w:left w:val="none" w:color="000000" w:sz="0" w:space="0"/>
          <w:bottom w:val="none" w:color="000000" w:sz="0" w:space="0"/>
          <w:right w:val="none" w:color="000000" w:sz="0" w:space="0"/>
        </w:pBdr>
        <w:spacing w:before="120" w:after="120"/>
        <w:ind w:firstLine="480"/>
      </w:pPr>
      <w:r>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pPr>
        <w:pBdr>
          <w:top w:val="none" w:color="000000" w:sz="0" w:space="0"/>
          <w:left w:val="none" w:color="000000" w:sz="0" w:space="0"/>
          <w:bottom w:val="none" w:color="000000" w:sz="0" w:space="0"/>
          <w:right w:val="none" w:color="000000" w:sz="0" w:space="0"/>
        </w:pBdr>
        <w:spacing w:before="120" w:after="120"/>
        <w:ind w:firstLine="480"/>
      </w:pPr>
      <w:r>
        <w:rPr>
          <w:rFonts w:ascii="宋体" w:hAnsi="宋体" w:cs="宋体"/>
          <w:color w:val="000000"/>
          <w:sz w:val="24"/>
        </w:rPr>
        <w:t>（3）监狱企业标准请参照《关于政府采购支持监狱企业发展有关问题的通知》（财库〔2014〕68号）。</w:t>
      </w:r>
    </w:p>
    <w:p>
      <w:pPr>
        <w:pBdr>
          <w:top w:val="none" w:color="000000" w:sz="0" w:space="0"/>
          <w:left w:val="none" w:color="000000" w:sz="0" w:space="0"/>
          <w:bottom w:val="none" w:color="000000" w:sz="0" w:space="0"/>
          <w:right w:val="none" w:color="000000" w:sz="0" w:space="0"/>
        </w:pBdr>
        <w:spacing w:before="120" w:after="120" w:line="400" w:lineRule="atLeast"/>
        <w:ind w:firstLine="480"/>
      </w:pPr>
      <w:r>
        <w:rPr>
          <w:rFonts w:ascii="宋体" w:hAnsi="宋体" w:cs="宋体"/>
          <w:color w:val="000000"/>
          <w:sz w:val="24"/>
        </w:rPr>
        <w:t>4、残疾人福利单位、监狱企业属于小型、微型企业的，不重复享受政策。</w:t>
      </w:r>
    </w:p>
    <w:p>
      <w:pPr>
        <w:pBdr>
          <w:top w:val="none" w:color="000000" w:sz="0" w:space="0"/>
          <w:left w:val="none" w:color="000000" w:sz="0" w:space="0"/>
          <w:bottom w:val="none" w:color="000000" w:sz="0" w:space="0"/>
          <w:right w:val="none" w:color="000000" w:sz="0" w:space="0"/>
        </w:pBdr>
        <w:spacing w:before="120" w:after="120" w:line="400" w:lineRule="atLeast"/>
        <w:ind w:firstLine="480"/>
        <w:rPr>
          <w:rFonts w:ascii="宋体" w:hAnsi="宋体" w:cs="宋体"/>
          <w:color w:val="000000"/>
          <w:sz w:val="24"/>
        </w:rPr>
      </w:pPr>
      <w:r>
        <w:rPr>
          <w:rFonts w:ascii="宋体" w:hAnsi="宋体" w:cs="宋体"/>
          <w:color w:val="000000"/>
          <w:sz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u w:val="single"/>
        </w:rPr>
        <w:t>6%</w:t>
      </w:r>
      <w:r>
        <w:rPr>
          <w:rFonts w:ascii="宋体" w:hAnsi="宋体" w:cs="宋体"/>
          <w:color w:val="000000"/>
          <w:sz w:val="24"/>
        </w:rPr>
        <w:t>的价格扣除，用扣除后的价格参与评审。</w:t>
      </w:r>
    </w:p>
    <w:p>
      <w:pPr>
        <w:pBdr>
          <w:top w:val="none" w:color="000000" w:sz="0" w:space="0"/>
          <w:left w:val="none" w:color="000000" w:sz="0" w:space="0"/>
          <w:bottom w:val="none" w:color="000000" w:sz="0" w:space="0"/>
          <w:right w:val="none" w:color="000000" w:sz="0" w:space="0"/>
        </w:pBdr>
        <w:spacing w:before="120" w:after="120" w:line="400" w:lineRule="atLeast"/>
        <w:ind w:firstLine="480"/>
      </w:pPr>
      <w:r>
        <w:rPr>
          <w:rFonts w:ascii="宋体" w:hAnsi="宋体" w:cs="宋体"/>
          <w:color w:val="000000"/>
          <w:sz w:val="24"/>
        </w:rPr>
        <w:t>6、联合体各方均为小型、微型企业（残疾人福利单位、监狱企业）的，联合体享受</w:t>
      </w:r>
      <w:r>
        <w:rPr>
          <w:rFonts w:hint="eastAsia" w:ascii="宋体" w:hAnsi="宋体" w:cs="宋体"/>
          <w:color w:val="000000"/>
          <w:sz w:val="24"/>
          <w:u w:val="single"/>
        </w:rPr>
        <w:t>20%</w:t>
      </w:r>
      <w:r>
        <w:rPr>
          <w:rFonts w:ascii="宋体" w:hAnsi="宋体" w:cs="宋体"/>
          <w:color w:val="000000"/>
          <w:sz w:val="24"/>
        </w:rPr>
        <w:t>价格扣除，用扣除后的价格参与评审。</w:t>
      </w:r>
    </w:p>
    <w:tbl>
      <w:tblPr>
        <w:tblStyle w:val="55"/>
        <w:tblW w:w="85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7"/>
        <w:gridCol w:w="7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457" w:type="dxa"/>
            <w:shd w:val="clear" w:color="000000" w:fill="FFFFFF"/>
            <w:vAlign w:val="center"/>
          </w:tcPr>
          <w:p>
            <w:pPr>
              <w:widowControl/>
              <w:jc w:val="center"/>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项目</w:t>
            </w:r>
          </w:p>
        </w:tc>
        <w:tc>
          <w:tcPr>
            <w:tcW w:w="7117" w:type="dxa"/>
            <w:shd w:val="clear" w:color="000000" w:fill="FFFFFF"/>
            <w:vAlign w:val="center"/>
          </w:tcPr>
          <w:p>
            <w:pPr>
              <w:widowControl/>
              <w:jc w:val="center"/>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8" w:hRule="atLeast"/>
        </w:trPr>
        <w:tc>
          <w:tcPr>
            <w:tcW w:w="1457" w:type="dxa"/>
            <w:vAlign w:val="center"/>
          </w:tcPr>
          <w:p>
            <w:pPr>
              <w:widowControl/>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价格（10分）</w:t>
            </w:r>
          </w:p>
        </w:tc>
        <w:tc>
          <w:tcPr>
            <w:tcW w:w="7117" w:type="dxa"/>
            <w:vAlign w:val="center"/>
          </w:tcPr>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以满足招标文件要求的最低投标报价为评标基准价，得满分10分，其他投标报价得分=（评标基准价/其他投标报价）×10×100%。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1" w:hRule="atLeast"/>
        </w:trPr>
        <w:tc>
          <w:tcPr>
            <w:tcW w:w="1457" w:type="dxa"/>
            <w:vAlign w:val="center"/>
          </w:tcPr>
          <w:p>
            <w:pPr>
              <w:widowControl/>
              <w:jc w:val="center"/>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综合实力</w:t>
            </w:r>
          </w:p>
          <w:p>
            <w:pPr>
              <w:widowControl/>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(7分)</w:t>
            </w:r>
          </w:p>
        </w:tc>
        <w:tc>
          <w:tcPr>
            <w:tcW w:w="7117" w:type="dxa"/>
            <w:vAlign w:val="center"/>
          </w:tcPr>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1、投标人具有有效的ISO27001信息安全管理体系认证证书证书得1分。</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2、投标人具备CCRC信息安全服务资质认证-软件安全开发一级的得2分，二级的得1分。</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3、投标人具备信息ITSS信息技术服务运行维护标准符合性证书2级及以上得2分，3级及以下得1分。</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4、投标人具备软件能力成熟度四级及以上（CSMM）认证证书的得2分。</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（以上需提供证书，原件扫描上传）。</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sz w:val="24"/>
                <w:szCs w:val="24"/>
              </w:rPr>
              <w:t>如为联合体投标的以联合体牵头单位为准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trPr>
        <w:tc>
          <w:tcPr>
            <w:tcW w:w="1457" w:type="dxa"/>
            <w:vAlign w:val="center"/>
          </w:tcPr>
          <w:p>
            <w:pPr>
              <w:widowControl/>
              <w:jc w:val="center"/>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技术支持</w:t>
            </w:r>
          </w:p>
          <w:p>
            <w:pPr>
              <w:widowControl/>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及人员配备（18分）</w:t>
            </w:r>
          </w:p>
        </w:tc>
        <w:tc>
          <w:tcPr>
            <w:tcW w:w="7117" w:type="dxa"/>
            <w:vAlign w:val="center"/>
          </w:tcPr>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（一）本项目负责人满足以下条件，有一个证书得2分，本项满分4分：</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1、信息系统项目管理师；</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2、系统分析师；</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（以上需提供证书及投标人近3个月内任意一个月为其缴纳社保的证明材料，扫描上传）</w:t>
            </w:r>
            <w:r>
              <w:rPr>
                <w:rFonts w:hint="eastAsia" w:asciiTheme="minorEastAsia" w:hAnsiTheme="minorEastAsia" w:eastAsiaTheme="minorEastAsia"/>
                <w:sz w:val="24"/>
                <w:szCs w:val="24"/>
              </w:rPr>
              <w:t>如为联合体投标的以联合体牵头单位为准</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（二）投标人除项目负责人外的技术团队，团队人员具备以下证书：（每提供一名团队成员满足以下一类证书得2分，满分14分，未提供不得分，同类证书不重复计分）</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1、系统架构设计师</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2、系统集成项目管理工程师</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3、ITSS-IT服务工程师</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4、网络工程师</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5、数据库系统工程师</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6、软件设计师</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7、注册信息安全专业人员（CISP）</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（以上需提供证书及投标人近3个月内任意一个月为其缴纳社保的证明材料，扫描上传，同一人员具备多个证书，可以重复得分）</w:t>
            </w:r>
            <w:r>
              <w:rPr>
                <w:rFonts w:hint="eastAsia" w:asciiTheme="minorEastAsia" w:hAnsiTheme="minorEastAsia" w:eastAsiaTheme="minorEastAsia"/>
                <w:sz w:val="24"/>
                <w:szCs w:val="24"/>
              </w:rPr>
              <w:t>如为联合体投标的以联合体牵头单位为准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6" w:hRule="atLeast"/>
        </w:trPr>
        <w:tc>
          <w:tcPr>
            <w:tcW w:w="1457" w:type="dxa"/>
            <w:vAlign w:val="center"/>
          </w:tcPr>
          <w:p>
            <w:pPr>
              <w:widowControl/>
              <w:jc w:val="center"/>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类似业绩（10分）</w:t>
            </w:r>
          </w:p>
        </w:tc>
        <w:tc>
          <w:tcPr>
            <w:tcW w:w="7117" w:type="dxa"/>
            <w:vAlign w:val="center"/>
          </w:tcPr>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投标人自2022年以来（以合同签订时间为准）承接过类似项目业绩的，每提供一个得2分，满分10分。不提供不得分。</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（需提供合同，扫描上传）</w:t>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sz w:val="24"/>
                <w:szCs w:val="24"/>
              </w:rPr>
              <w:t>如为联合体投标的以联合体牵头单位为准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98" w:hRule="atLeast"/>
        </w:trPr>
        <w:tc>
          <w:tcPr>
            <w:tcW w:w="1457" w:type="dxa"/>
            <w:vAlign w:val="center"/>
          </w:tcPr>
          <w:p>
            <w:pPr>
              <w:widowControl/>
              <w:jc w:val="center"/>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总体设计（12分）</w:t>
            </w:r>
          </w:p>
          <w:p>
            <w:pPr>
              <w:widowControl/>
              <w:jc w:val="center"/>
              <w:rPr>
                <w:rFonts w:asciiTheme="minorEastAsia" w:hAnsiTheme="minorEastAsia" w:eastAsiaTheme="minorEastAsia" w:cstheme="minorEastAsia"/>
                <w:b/>
                <w:bCs/>
                <w:color w:val="000000"/>
                <w:sz w:val="24"/>
                <w:szCs w:val="24"/>
              </w:rPr>
            </w:pPr>
          </w:p>
        </w:tc>
        <w:tc>
          <w:tcPr>
            <w:tcW w:w="7117" w:type="dxa"/>
            <w:vAlign w:val="center"/>
          </w:tcPr>
          <w:p>
            <w:pPr>
              <w:pStyle w:val="94"/>
              <w:ind w:left="0"/>
              <w:rPr>
                <w:rFonts w:asciiTheme="minorEastAsia" w:hAnsiTheme="minorEastAsia" w:eastAsiaTheme="minorEastAsia" w:cstheme="minorEastAsia"/>
                <w:color w:val="000000"/>
                <w:lang w:eastAsia="zh-CN"/>
              </w:rPr>
            </w:pPr>
            <w:r>
              <w:rPr>
                <w:rFonts w:hint="eastAsia" w:asciiTheme="minorEastAsia" w:hAnsiTheme="minorEastAsia" w:eastAsiaTheme="minorEastAsia" w:cstheme="minorEastAsia"/>
                <w:color w:val="000000"/>
                <w:lang w:eastAsia="zh-CN"/>
              </w:rPr>
              <w:t>投标人结合</w:t>
            </w:r>
            <w:r>
              <w:rPr>
                <w:rFonts w:hint="eastAsia" w:asciiTheme="minorEastAsia" w:hAnsiTheme="minorEastAsia" w:eastAsiaTheme="minorEastAsia" w:cstheme="minorEastAsia"/>
                <w:color w:val="000000"/>
                <w:lang w:val="en-US" w:eastAsia="zh-CN"/>
              </w:rPr>
              <w:t>项目实际</w:t>
            </w:r>
            <w:r>
              <w:rPr>
                <w:rFonts w:hint="eastAsia" w:asciiTheme="minorEastAsia" w:hAnsiTheme="minorEastAsia" w:eastAsiaTheme="minorEastAsia" w:cstheme="minorEastAsia"/>
                <w:color w:val="000000"/>
                <w:lang w:eastAsia="zh-CN"/>
              </w:rPr>
              <w:t>情况，提出的整体设计方案，包括项目总体架构、网络部署架构、数据资源架构、技术实现总体路线等要点：</w:t>
            </w:r>
          </w:p>
          <w:p>
            <w:pPr>
              <w:pStyle w:val="94"/>
              <w:ind w:left="0"/>
              <w:rPr>
                <w:rFonts w:asciiTheme="minorEastAsia" w:hAnsiTheme="minorEastAsia" w:eastAsiaTheme="minorEastAsia" w:cstheme="minorEastAsia"/>
                <w:color w:val="000000"/>
                <w:lang w:eastAsia="zh-CN"/>
              </w:rPr>
            </w:pPr>
            <w:r>
              <w:rPr>
                <w:rFonts w:hint="eastAsia" w:asciiTheme="minorEastAsia" w:hAnsiTheme="minorEastAsia" w:eastAsiaTheme="minorEastAsia" w:cstheme="minorEastAsia"/>
                <w:color w:val="000000"/>
                <w:lang w:eastAsia="zh-CN"/>
              </w:rPr>
              <w:t>(1)每个系统设计方案要点优于招标文件要求得3分；</w:t>
            </w:r>
          </w:p>
          <w:p>
            <w:pPr>
              <w:pStyle w:val="94"/>
              <w:ind w:left="0"/>
              <w:rPr>
                <w:rFonts w:asciiTheme="minorEastAsia" w:hAnsiTheme="minorEastAsia" w:eastAsiaTheme="minorEastAsia" w:cstheme="minorEastAsia"/>
                <w:color w:val="000000"/>
                <w:lang w:eastAsia="zh-CN"/>
              </w:rPr>
            </w:pPr>
            <w:r>
              <w:rPr>
                <w:rFonts w:hint="eastAsia" w:asciiTheme="minorEastAsia" w:hAnsiTheme="minorEastAsia" w:eastAsiaTheme="minorEastAsia" w:cstheme="minorEastAsia"/>
                <w:color w:val="000000"/>
                <w:lang w:eastAsia="zh-CN"/>
              </w:rPr>
              <w:t>(2)每个系统设计方案要点符合招标文件要求得2分，；</w:t>
            </w:r>
          </w:p>
          <w:p>
            <w:pPr>
              <w:pStyle w:val="94"/>
              <w:ind w:left="0"/>
              <w:rPr>
                <w:rFonts w:asciiTheme="minorEastAsia" w:hAnsiTheme="minorEastAsia" w:eastAsiaTheme="minorEastAsia" w:cstheme="minorEastAsia"/>
                <w:color w:val="000000"/>
                <w:lang w:eastAsia="zh-CN"/>
              </w:rPr>
            </w:pPr>
            <w:r>
              <w:rPr>
                <w:rFonts w:hint="eastAsia" w:asciiTheme="minorEastAsia" w:hAnsiTheme="minorEastAsia" w:eastAsiaTheme="minorEastAsia" w:cstheme="minorEastAsia"/>
                <w:color w:val="000000"/>
                <w:lang w:eastAsia="zh-CN"/>
              </w:rPr>
              <w:t>(3)每个系统设计方案要点不符合招标文件要求不得分。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97" w:hRule="atLeast"/>
        </w:trPr>
        <w:tc>
          <w:tcPr>
            <w:tcW w:w="1457" w:type="dxa"/>
            <w:vAlign w:val="center"/>
          </w:tcPr>
          <w:p>
            <w:pPr>
              <w:widowControl/>
              <w:jc w:val="center"/>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系统功能设计（18分）</w:t>
            </w:r>
          </w:p>
          <w:p>
            <w:pPr>
              <w:widowControl/>
              <w:jc w:val="center"/>
              <w:rPr>
                <w:rFonts w:asciiTheme="minorEastAsia" w:hAnsiTheme="minorEastAsia" w:eastAsiaTheme="minorEastAsia" w:cstheme="minorEastAsia"/>
                <w:b/>
                <w:bCs/>
                <w:color w:val="000000"/>
                <w:sz w:val="24"/>
                <w:szCs w:val="24"/>
              </w:rPr>
            </w:pPr>
          </w:p>
        </w:tc>
        <w:tc>
          <w:tcPr>
            <w:tcW w:w="7117" w:type="dxa"/>
            <w:vAlign w:val="center"/>
          </w:tcPr>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投标人能够根据采购需求，针对本项目建设提供详细建设方案。包括对人才新政4.0（个人补贴）、人才新政4.0（企业补贴）、人才新政4.0（享受服务）、人才大数据分析展示平台、智慧招聘全场景整合、“扬小才”AI助理、业务工单处理系统、应用系统业务协同、整体平台适配工作等建设内容，本项9个功能点，满分18分。</w:t>
            </w:r>
          </w:p>
          <w:p>
            <w:pPr>
              <w:pStyle w:val="94"/>
              <w:numPr>
                <w:ilvl w:val="0"/>
                <w:numId w:val="7"/>
              </w:numPr>
              <w:ind w:left="0"/>
              <w:rPr>
                <w:rFonts w:asciiTheme="minorEastAsia" w:hAnsiTheme="minorEastAsia" w:eastAsiaTheme="minorEastAsia" w:cstheme="minorEastAsia"/>
                <w:color w:val="000000"/>
                <w:lang w:eastAsia="zh-CN" w:bidi="ar-SA"/>
              </w:rPr>
            </w:pPr>
            <w:r>
              <w:rPr>
                <w:rFonts w:hint="eastAsia" w:asciiTheme="minorEastAsia" w:hAnsiTheme="minorEastAsia" w:eastAsiaTheme="minorEastAsia" w:cstheme="minorEastAsia"/>
                <w:color w:val="000000"/>
                <w:lang w:eastAsia="zh-CN" w:bidi="ar-SA"/>
              </w:rPr>
              <w:t>每个功能点优于</w:t>
            </w:r>
            <w:r>
              <w:rPr>
                <w:rFonts w:hint="eastAsia" w:asciiTheme="minorEastAsia" w:hAnsiTheme="minorEastAsia" w:eastAsiaTheme="minorEastAsia" w:cstheme="minorEastAsia"/>
                <w:color w:val="000000"/>
                <w:lang w:eastAsia="zh-CN"/>
              </w:rPr>
              <w:t>招标文件要求的</w:t>
            </w:r>
            <w:r>
              <w:rPr>
                <w:rFonts w:hint="eastAsia" w:asciiTheme="minorEastAsia" w:hAnsiTheme="minorEastAsia" w:eastAsiaTheme="minorEastAsia" w:cstheme="minorEastAsia"/>
                <w:color w:val="000000"/>
                <w:lang w:eastAsia="zh-CN" w:bidi="ar-SA"/>
              </w:rPr>
              <w:t>得2分；</w:t>
            </w:r>
            <w:r>
              <w:rPr>
                <w:rFonts w:hint="eastAsia" w:asciiTheme="minorEastAsia" w:hAnsiTheme="minorEastAsia" w:eastAsiaTheme="minorEastAsia" w:cstheme="minorEastAsia"/>
                <w:color w:val="000000"/>
                <w:lang w:eastAsia="zh-CN" w:bidi="ar-SA"/>
              </w:rPr>
              <w:br w:type="textWrapping"/>
            </w:r>
            <w:r>
              <w:rPr>
                <w:rFonts w:hint="eastAsia" w:asciiTheme="minorEastAsia" w:hAnsiTheme="minorEastAsia" w:eastAsiaTheme="minorEastAsia" w:cstheme="minorEastAsia"/>
                <w:color w:val="000000"/>
                <w:lang w:eastAsia="zh-CN" w:bidi="ar-SA"/>
              </w:rPr>
              <w:t>(2)每个功能点符合</w:t>
            </w:r>
            <w:r>
              <w:rPr>
                <w:rFonts w:hint="eastAsia" w:asciiTheme="minorEastAsia" w:hAnsiTheme="minorEastAsia" w:eastAsiaTheme="minorEastAsia" w:cstheme="minorEastAsia"/>
                <w:color w:val="000000"/>
                <w:lang w:eastAsia="zh-CN"/>
              </w:rPr>
              <w:t>招标文件要求的</w:t>
            </w:r>
            <w:r>
              <w:rPr>
                <w:rFonts w:hint="eastAsia" w:asciiTheme="minorEastAsia" w:hAnsiTheme="minorEastAsia" w:eastAsiaTheme="minorEastAsia" w:cstheme="minorEastAsia"/>
                <w:color w:val="000000"/>
                <w:lang w:eastAsia="zh-CN" w:bidi="ar-SA"/>
              </w:rPr>
              <w:t>得1分；</w:t>
            </w:r>
          </w:p>
          <w:p>
            <w:pPr>
              <w:pStyle w:val="94"/>
              <w:ind w:left="0"/>
              <w:rPr>
                <w:rFonts w:asciiTheme="minorEastAsia" w:hAnsiTheme="minorEastAsia" w:eastAsiaTheme="minorEastAsia" w:cstheme="minorEastAsia"/>
                <w:color w:val="000000"/>
                <w:lang w:eastAsia="zh-CN"/>
              </w:rPr>
            </w:pPr>
            <w:r>
              <w:rPr>
                <w:rFonts w:hint="eastAsia" w:asciiTheme="minorEastAsia" w:hAnsiTheme="minorEastAsia" w:eastAsiaTheme="minorEastAsia" w:cstheme="minorEastAsia"/>
                <w:color w:val="000000"/>
                <w:lang w:eastAsia="zh-CN" w:bidi="ar-SA"/>
              </w:rPr>
              <w:t>(3)每个功能点不符合</w:t>
            </w:r>
            <w:r>
              <w:rPr>
                <w:rFonts w:hint="eastAsia" w:asciiTheme="minorEastAsia" w:hAnsiTheme="minorEastAsia" w:eastAsiaTheme="minorEastAsia" w:cstheme="minorEastAsia"/>
                <w:color w:val="000000"/>
                <w:lang w:eastAsia="zh-CN"/>
              </w:rPr>
              <w:t>招标文件要求的不</w:t>
            </w:r>
            <w:r>
              <w:rPr>
                <w:rFonts w:hint="eastAsia" w:asciiTheme="minorEastAsia" w:hAnsiTheme="minorEastAsia" w:eastAsiaTheme="minorEastAsia" w:cstheme="minorEastAsia"/>
                <w:color w:val="000000"/>
                <w:lang w:eastAsia="zh-CN" w:bidi="ar-SA"/>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3" w:hRule="atLeast"/>
        </w:trPr>
        <w:tc>
          <w:tcPr>
            <w:tcW w:w="1457" w:type="dxa"/>
            <w:vAlign w:val="center"/>
          </w:tcPr>
          <w:p>
            <w:pPr>
              <w:widowControl/>
              <w:jc w:val="center"/>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项目实施方案（5分）</w:t>
            </w:r>
          </w:p>
        </w:tc>
        <w:tc>
          <w:tcPr>
            <w:tcW w:w="7117" w:type="dxa"/>
            <w:vAlign w:val="center"/>
          </w:tcPr>
          <w:p>
            <w:pPr>
              <w:widowControl/>
              <w:jc w:val="lef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投标人提供项目实施方案，至少应包括：组织机构设置、项目进度计划、质量控制的规范性。</w:t>
            </w:r>
          </w:p>
          <w:p>
            <w:pPr>
              <w:jc w:val="lef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优于招标文件要求的得5分；符合招标文件要求的得3分；不符合招标文件要求或未提供的不得分。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18" w:hRule="atLeast"/>
        </w:trPr>
        <w:tc>
          <w:tcPr>
            <w:tcW w:w="1457" w:type="dxa"/>
            <w:vAlign w:val="center"/>
          </w:tcPr>
          <w:p>
            <w:pPr>
              <w:widowControl/>
              <w:jc w:val="center"/>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培训方案（5分）</w:t>
            </w:r>
          </w:p>
        </w:tc>
        <w:tc>
          <w:tcPr>
            <w:tcW w:w="7117" w:type="dxa"/>
            <w:vAlign w:val="center"/>
          </w:tcPr>
          <w:p>
            <w:pPr>
              <w:widowControl/>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投标人能够根据采购需求，提供项目培训方案，应至少涵盖但不限于培训对象和内容、培训方式、培训流程、培训日程安排。</w:t>
            </w:r>
          </w:p>
          <w:p>
            <w:pPr>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优于招标文件要求的得5分；符合招标文件要求的得3分；不符合招标文件要求或未提供的不得分。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22" w:hRule="atLeast"/>
        </w:trPr>
        <w:tc>
          <w:tcPr>
            <w:tcW w:w="1457" w:type="dxa"/>
            <w:vAlign w:val="center"/>
          </w:tcPr>
          <w:p>
            <w:pPr>
              <w:widowControl/>
              <w:jc w:val="center"/>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售后服务（5分）</w:t>
            </w:r>
          </w:p>
        </w:tc>
        <w:tc>
          <w:tcPr>
            <w:tcW w:w="7117" w:type="dxa"/>
            <w:vAlign w:val="center"/>
          </w:tcPr>
          <w:p>
            <w:pPr>
              <w:widowControl/>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投标人能够根据采购需求，提供项目售后服务方案，应至少涵盖但不限于服务方式、售后服务内容、售后服务流程、响应时间、售后服务保障措施。</w:t>
            </w:r>
          </w:p>
          <w:p>
            <w:pPr>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优于招标文件要求的得5分；符合招标文件要求的得3分；不符合招标文件要求或未提供的不得分。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22" w:hRule="atLeast"/>
        </w:trPr>
        <w:tc>
          <w:tcPr>
            <w:tcW w:w="1457" w:type="dxa"/>
            <w:vAlign w:val="center"/>
          </w:tcPr>
          <w:p>
            <w:pPr>
              <w:widowControl/>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功能</w:t>
            </w:r>
            <w:r>
              <w:rPr>
                <w:rFonts w:hint="eastAsia" w:asciiTheme="minorEastAsia" w:hAnsiTheme="minorEastAsia" w:eastAsiaTheme="minorEastAsia" w:cstheme="minorEastAsia"/>
                <w:b/>
                <w:bCs/>
                <w:sz w:val="24"/>
                <w:szCs w:val="24"/>
              </w:rPr>
              <w:t>演示（10分）</w:t>
            </w:r>
          </w:p>
        </w:tc>
        <w:tc>
          <w:tcPr>
            <w:tcW w:w="7117" w:type="dxa"/>
            <w:vAlign w:val="center"/>
          </w:tcPr>
          <w:p>
            <w:pPr>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系统功能演示（可使用真实系统或DEMO或PPT演示），总计10分。</w:t>
            </w:r>
            <w:r>
              <w:rPr>
                <w:rFonts w:hint="eastAsia" w:asciiTheme="minorEastAsia" w:hAnsiTheme="minorEastAsia" w:eastAsiaTheme="minorEastAsia" w:cstheme="minorEastAsia"/>
                <w:sz w:val="24"/>
                <w:szCs w:val="24"/>
              </w:rPr>
              <w:t>使用真实系统演示的，每个功能点最高得2分；使用DEMO演示的每个功能点最高得1分；使用PPT演示的每个功能点最高得0.5分，不演示或不符合要求不得分，本项满分10分。演示时间15分钟以内。</w:t>
            </w:r>
          </w:p>
          <w:p>
            <w:pPr>
              <w:ind w:firstLine="480"/>
              <w:jc w:val="left"/>
              <w:rPr>
                <w:rFonts w:hint="default" w:asciiTheme="minorEastAsia" w:hAnsiTheme="minorEastAsia" w:eastAsiaTheme="minorEastAsia" w:cstheme="minorEastAsia"/>
                <w:color w:val="000000"/>
                <w:sz w:val="24"/>
                <w:szCs w:val="24"/>
                <w:lang w:val="en-US" w:eastAsia="zh-CN"/>
              </w:rPr>
            </w:pPr>
            <w:r>
              <w:rPr>
                <w:rFonts w:asciiTheme="minorEastAsia" w:hAnsiTheme="minorEastAsia" w:eastAsiaTheme="minorEastAsia" w:cstheme="minorEastAsia"/>
                <w:color w:val="000000"/>
                <w:sz w:val="24"/>
                <w:szCs w:val="24"/>
              </w:rPr>
              <w:t>1、演示人才生活补贴</w:t>
            </w:r>
            <w:r>
              <w:rPr>
                <w:rFonts w:hint="eastAsia" w:asciiTheme="minorEastAsia" w:hAnsiTheme="minorEastAsia" w:eastAsiaTheme="minorEastAsia" w:cstheme="minorEastAsia"/>
                <w:color w:val="000000"/>
                <w:sz w:val="24"/>
                <w:szCs w:val="24"/>
                <w:lang w:val="en-US" w:eastAsia="zh-CN"/>
              </w:rPr>
              <w:t>类</w:t>
            </w:r>
            <w:r>
              <w:rPr>
                <w:rFonts w:asciiTheme="minorEastAsia" w:hAnsiTheme="minorEastAsia" w:eastAsiaTheme="minorEastAsia" w:cstheme="minorEastAsia"/>
                <w:color w:val="000000"/>
                <w:sz w:val="24"/>
                <w:szCs w:val="24"/>
              </w:rPr>
              <w:t>申请发放流程，人才注册后经审核完成</w:t>
            </w:r>
            <w:r>
              <w:rPr>
                <w:rFonts w:hint="eastAsia" w:asciiTheme="minorEastAsia" w:hAnsiTheme="minorEastAsia" w:eastAsiaTheme="minorEastAsia" w:cstheme="minorEastAsia"/>
                <w:color w:val="000000"/>
                <w:sz w:val="24"/>
                <w:szCs w:val="24"/>
                <w:lang w:val="en-US" w:eastAsia="zh-CN"/>
              </w:rPr>
              <w:t>到</w:t>
            </w:r>
            <w:r>
              <w:rPr>
                <w:rFonts w:asciiTheme="minorEastAsia" w:hAnsiTheme="minorEastAsia" w:eastAsiaTheme="minorEastAsia" w:cstheme="minorEastAsia"/>
                <w:color w:val="000000"/>
                <w:sz w:val="24"/>
                <w:szCs w:val="24"/>
              </w:rPr>
              <w:t>资金拨付，需体现出注册、申请、审核、核验、汇总、公示等环节功能，财务审核后发放，可查询发放情况</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z w:val="24"/>
                <w:szCs w:val="24"/>
                <w:lang w:val="en-US" w:eastAsia="zh-CN"/>
              </w:rPr>
              <w:t>本项满分2分。</w:t>
            </w:r>
          </w:p>
          <w:p>
            <w:pPr>
              <w:ind w:firstLine="480"/>
              <w:jc w:val="lef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sz w:val="24"/>
                <w:szCs w:val="24"/>
              </w:rPr>
              <w:t>2、</w:t>
            </w:r>
            <w:r>
              <w:rPr>
                <w:rFonts w:asciiTheme="minorEastAsia" w:hAnsiTheme="minorEastAsia" w:eastAsiaTheme="minorEastAsia" w:cstheme="minorEastAsia"/>
                <w:color w:val="000000"/>
                <w:sz w:val="24"/>
                <w:szCs w:val="24"/>
              </w:rPr>
              <w:t>演示</w:t>
            </w:r>
            <w:r>
              <w:rPr>
                <w:rFonts w:hint="eastAsia" w:asciiTheme="minorEastAsia" w:hAnsiTheme="minorEastAsia" w:eastAsiaTheme="minorEastAsia" w:cstheme="minorEastAsia"/>
                <w:color w:val="000000"/>
                <w:sz w:val="24"/>
                <w:szCs w:val="24"/>
                <w:lang w:val="en-US" w:eastAsia="zh-CN"/>
              </w:rPr>
              <w:t>人才购房</w:t>
            </w:r>
            <w:r>
              <w:rPr>
                <w:rFonts w:asciiTheme="minorEastAsia" w:hAnsiTheme="minorEastAsia" w:eastAsiaTheme="minorEastAsia" w:cstheme="minorEastAsia"/>
                <w:color w:val="000000"/>
                <w:sz w:val="24"/>
                <w:szCs w:val="24"/>
              </w:rPr>
              <w:t>券</w:t>
            </w:r>
            <w:r>
              <w:rPr>
                <w:rFonts w:hint="eastAsia" w:asciiTheme="minorEastAsia" w:hAnsiTheme="minorEastAsia" w:eastAsiaTheme="minorEastAsia" w:cstheme="minorEastAsia"/>
                <w:color w:val="000000"/>
                <w:sz w:val="24"/>
                <w:szCs w:val="24"/>
                <w:lang w:val="en-US" w:eastAsia="zh-CN"/>
              </w:rPr>
              <w:t>类</w:t>
            </w:r>
            <w:r>
              <w:rPr>
                <w:rFonts w:asciiTheme="minorEastAsia" w:hAnsiTheme="minorEastAsia" w:eastAsiaTheme="minorEastAsia" w:cstheme="minorEastAsia"/>
                <w:color w:val="000000"/>
                <w:sz w:val="24"/>
                <w:szCs w:val="24"/>
              </w:rPr>
              <w:t>业务办理流程，</w:t>
            </w:r>
            <w:r>
              <w:rPr>
                <w:rFonts w:asciiTheme="minorEastAsia" w:hAnsiTheme="minorEastAsia" w:eastAsiaTheme="minorEastAsia" w:cstheme="minorEastAsia"/>
                <w:sz w:val="24"/>
                <w:szCs w:val="24"/>
              </w:rPr>
              <w:t>普通人才申请</w:t>
            </w:r>
            <w:r>
              <w:rPr>
                <w:rFonts w:hint="eastAsia" w:asciiTheme="minorEastAsia" w:hAnsiTheme="minorEastAsia" w:eastAsiaTheme="minorEastAsia" w:cstheme="minorEastAsia"/>
                <w:sz w:val="24"/>
                <w:szCs w:val="24"/>
                <w:lang w:val="en-US" w:eastAsia="zh-CN"/>
              </w:rPr>
              <w:t>或批量</w:t>
            </w:r>
            <w:r>
              <w:rPr>
                <w:rFonts w:asciiTheme="minorEastAsia" w:hAnsiTheme="minorEastAsia" w:eastAsiaTheme="minorEastAsia" w:cstheme="minorEastAsia"/>
                <w:sz w:val="24"/>
                <w:szCs w:val="24"/>
              </w:rPr>
              <w:t>后台导入，</w:t>
            </w:r>
            <w:r>
              <w:rPr>
                <w:rFonts w:asciiTheme="minorEastAsia" w:hAnsiTheme="minorEastAsia" w:eastAsiaTheme="minorEastAsia" w:cstheme="minorEastAsia"/>
                <w:color w:val="000000"/>
                <w:sz w:val="24"/>
                <w:szCs w:val="24"/>
              </w:rPr>
              <w:t>需体现</w:t>
            </w:r>
            <w:r>
              <w:rPr>
                <w:rFonts w:asciiTheme="minorEastAsia" w:hAnsiTheme="minorEastAsia" w:eastAsiaTheme="minorEastAsia" w:cstheme="minorEastAsia"/>
                <w:sz w:val="24"/>
                <w:szCs w:val="24"/>
              </w:rPr>
              <w:t>申请、审核、审批、推送激活、核销兑付、购房兑付、资金结算等功能。体现与</w:t>
            </w:r>
            <w:r>
              <w:rPr>
                <w:rFonts w:hint="eastAsia" w:asciiTheme="minorEastAsia" w:hAnsiTheme="minorEastAsia" w:eastAsiaTheme="minorEastAsia" w:cstheme="minorEastAsia"/>
                <w:sz w:val="24"/>
                <w:szCs w:val="24"/>
                <w:lang w:val="en-US" w:eastAsia="zh-CN"/>
              </w:rPr>
              <w:t>房屋管理</w:t>
            </w:r>
            <w:r>
              <w:rPr>
                <w:rFonts w:asciiTheme="minorEastAsia" w:hAnsiTheme="minorEastAsia" w:eastAsiaTheme="minorEastAsia" w:cstheme="minorEastAsia"/>
                <w:sz w:val="24"/>
                <w:szCs w:val="24"/>
              </w:rPr>
              <w:t>部门、房产开发企业等单位的业务协同与流转功能</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z w:val="24"/>
                <w:szCs w:val="24"/>
                <w:lang w:val="en-US" w:eastAsia="zh-CN"/>
              </w:rPr>
              <w:t>本项满分2分。</w:t>
            </w:r>
          </w:p>
          <w:p>
            <w:pPr>
              <w:ind w:firstLine="480"/>
              <w:jc w:val="lef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sz w:val="24"/>
                <w:szCs w:val="24"/>
              </w:rPr>
              <w:t>3、</w:t>
            </w:r>
            <w:r>
              <w:rPr>
                <w:rFonts w:asciiTheme="minorEastAsia" w:hAnsiTheme="minorEastAsia" w:eastAsiaTheme="minorEastAsia" w:cstheme="minorEastAsia"/>
                <w:color w:val="000000"/>
                <w:sz w:val="24"/>
                <w:szCs w:val="24"/>
              </w:rPr>
              <w:t>演示</w:t>
            </w:r>
            <w:r>
              <w:rPr>
                <w:rFonts w:hint="eastAsia" w:asciiTheme="minorEastAsia" w:hAnsiTheme="minorEastAsia" w:eastAsiaTheme="minorEastAsia" w:cstheme="minorEastAsia"/>
                <w:color w:val="000000"/>
                <w:sz w:val="24"/>
                <w:szCs w:val="24"/>
                <w:lang w:val="en-US" w:eastAsia="zh-CN"/>
              </w:rPr>
              <w:t>求职面试类补贴功能</w:t>
            </w:r>
            <w:r>
              <w:rPr>
                <w:rFonts w:asciiTheme="minorEastAsia" w:hAnsiTheme="minorEastAsia" w:eastAsiaTheme="minorEastAsia" w:cstheme="minorEastAsia"/>
                <w:color w:val="000000"/>
                <w:sz w:val="24"/>
                <w:szCs w:val="24"/>
              </w:rPr>
              <w:t>，需体现出生成人才选聘活动或赴外招聘会、导入意向名单、面试扫码确认、注册申请、审核、审批、汇总、公示、资金拨付、查询统计等功能</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z w:val="24"/>
                <w:szCs w:val="24"/>
                <w:lang w:val="en-US" w:eastAsia="zh-CN"/>
              </w:rPr>
              <w:t>本项满分2分。</w:t>
            </w:r>
          </w:p>
          <w:p>
            <w:pPr>
              <w:ind w:firstLine="480"/>
              <w:jc w:val="lef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t>4、</w:t>
            </w:r>
            <w:r>
              <w:rPr>
                <w:rFonts w:hint="eastAsia" w:asciiTheme="minorEastAsia" w:hAnsiTheme="minorEastAsia" w:eastAsiaTheme="minorEastAsia" w:cstheme="minorEastAsia"/>
                <w:color w:val="000000"/>
                <w:sz w:val="24"/>
                <w:szCs w:val="24"/>
              </w:rPr>
              <w:t>演示人才分类认定</w:t>
            </w:r>
            <w:r>
              <w:rPr>
                <w:rFonts w:hint="eastAsia" w:asciiTheme="minorEastAsia" w:hAnsiTheme="minorEastAsia" w:eastAsiaTheme="minorEastAsia" w:cstheme="minorEastAsia"/>
                <w:color w:val="000000"/>
                <w:sz w:val="24"/>
                <w:szCs w:val="24"/>
                <w:lang w:val="en-US" w:eastAsia="zh-CN"/>
              </w:rPr>
              <w:t>类</w:t>
            </w:r>
            <w:r>
              <w:rPr>
                <w:rFonts w:hint="eastAsia" w:asciiTheme="minorEastAsia" w:hAnsiTheme="minorEastAsia" w:eastAsiaTheme="minorEastAsia" w:cstheme="minorEastAsia"/>
                <w:color w:val="000000"/>
                <w:sz w:val="24"/>
                <w:szCs w:val="24"/>
              </w:rPr>
              <w:t>审核流程，需要体现对应人才层次内容及审核部门账号信息的调整。其中学历型人才首先通过</w:t>
            </w:r>
            <w:r>
              <w:rPr>
                <w:rFonts w:hint="eastAsia" w:asciiTheme="minorEastAsia" w:hAnsiTheme="minorEastAsia" w:eastAsiaTheme="minorEastAsia" w:cstheme="minorEastAsia"/>
                <w:color w:val="000000"/>
                <w:sz w:val="24"/>
                <w:szCs w:val="24"/>
                <w:lang w:val="en-US" w:eastAsia="zh-CN"/>
              </w:rPr>
              <w:t>学历</w:t>
            </w:r>
            <w:r>
              <w:rPr>
                <w:rFonts w:hint="eastAsia" w:asciiTheme="minorEastAsia" w:hAnsiTheme="minorEastAsia" w:eastAsiaTheme="minorEastAsia" w:cstheme="minorEastAsia"/>
                <w:color w:val="000000"/>
                <w:sz w:val="24"/>
                <w:szCs w:val="24"/>
              </w:rPr>
              <w:t>数据接口比对，比对不通过的则人工审核，实现对申请人才分类认定的人才进行审核审批，生成显示对应人才类别的</w:t>
            </w:r>
            <w:r>
              <w:rPr>
                <w:rFonts w:hint="eastAsia" w:asciiTheme="minorEastAsia" w:hAnsiTheme="minorEastAsia" w:eastAsiaTheme="minorEastAsia" w:cstheme="minorEastAsia"/>
                <w:color w:val="000000"/>
                <w:sz w:val="24"/>
                <w:szCs w:val="24"/>
                <w:lang w:val="en-US" w:eastAsia="zh-CN"/>
              </w:rPr>
              <w:t>二维</w:t>
            </w:r>
            <w:r>
              <w:rPr>
                <w:rFonts w:hint="eastAsia" w:asciiTheme="minorEastAsia" w:hAnsiTheme="minorEastAsia" w:eastAsiaTheme="minorEastAsia" w:cstheme="minorEastAsia"/>
                <w:color w:val="000000"/>
                <w:sz w:val="24"/>
                <w:szCs w:val="24"/>
              </w:rPr>
              <w:t>码。非学历类型根据申请材料人工审核。建立审核时效预警机制，及时通知审核人员；</w:t>
            </w:r>
            <w:r>
              <w:rPr>
                <w:rFonts w:hint="eastAsia" w:asciiTheme="minorEastAsia" w:hAnsiTheme="minorEastAsia" w:eastAsiaTheme="minorEastAsia" w:cstheme="minorEastAsia"/>
                <w:color w:val="000000"/>
                <w:sz w:val="24"/>
                <w:szCs w:val="24"/>
                <w:lang w:val="en-US" w:eastAsia="zh-CN"/>
              </w:rPr>
              <w:t>本项满分2分。</w:t>
            </w:r>
          </w:p>
          <w:p>
            <w:pPr>
              <w:ind w:firstLine="480"/>
              <w:jc w:val="lef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t>5、演示人才数据</w:t>
            </w:r>
            <w:r>
              <w:rPr>
                <w:rFonts w:hint="eastAsia" w:asciiTheme="minorEastAsia" w:hAnsiTheme="minorEastAsia" w:eastAsiaTheme="minorEastAsia" w:cstheme="minorEastAsia"/>
                <w:color w:val="000000"/>
                <w:sz w:val="24"/>
                <w:szCs w:val="24"/>
                <w:lang w:val="en-US" w:eastAsia="zh-CN"/>
              </w:rPr>
              <w:t>类的</w:t>
            </w:r>
            <w:r>
              <w:rPr>
                <w:rFonts w:asciiTheme="minorEastAsia" w:hAnsiTheme="minorEastAsia" w:eastAsiaTheme="minorEastAsia" w:cstheme="minorEastAsia"/>
                <w:color w:val="000000"/>
                <w:sz w:val="24"/>
                <w:szCs w:val="24"/>
              </w:rPr>
              <w:t>统计分析和报表输出，功能上能体现</w:t>
            </w:r>
            <w:r>
              <w:rPr>
                <w:rFonts w:hint="eastAsia" w:asciiTheme="minorEastAsia" w:hAnsiTheme="minorEastAsia" w:eastAsiaTheme="minorEastAsia" w:cstheme="minorEastAsia"/>
                <w:color w:val="000000"/>
                <w:sz w:val="24"/>
                <w:szCs w:val="24"/>
                <w:lang w:eastAsia="zh-CN"/>
              </w:rPr>
              <w:t>：</w:t>
            </w:r>
            <w:r>
              <w:rPr>
                <w:rFonts w:asciiTheme="minorEastAsia" w:hAnsiTheme="minorEastAsia" w:eastAsiaTheme="minorEastAsia" w:cstheme="minorEastAsia"/>
                <w:color w:val="000000"/>
                <w:sz w:val="24"/>
                <w:szCs w:val="24"/>
              </w:rPr>
              <w:t>整合人才地图、新增大学生、</w:t>
            </w:r>
            <w:r>
              <w:rPr>
                <w:rFonts w:hint="eastAsia" w:asciiTheme="minorEastAsia" w:hAnsiTheme="minorEastAsia" w:eastAsiaTheme="minorEastAsia" w:cstheme="minorEastAsia"/>
                <w:color w:val="000000"/>
                <w:sz w:val="24"/>
                <w:szCs w:val="24"/>
                <w:lang w:val="en-US" w:eastAsia="zh-CN"/>
              </w:rPr>
              <w:t>补贴</w:t>
            </w:r>
            <w:r>
              <w:rPr>
                <w:rFonts w:asciiTheme="minorEastAsia" w:hAnsiTheme="minorEastAsia" w:eastAsiaTheme="minorEastAsia" w:cstheme="minorEastAsia"/>
                <w:color w:val="000000"/>
                <w:sz w:val="24"/>
                <w:szCs w:val="24"/>
              </w:rPr>
              <w:t>业务的数据，统一以数据大屏的形式展示；构建报表系统，实现报表数据自动采集、定</w:t>
            </w:r>
            <w:r>
              <w:rPr>
                <w:rFonts w:hint="eastAsia" w:asciiTheme="minorEastAsia" w:hAnsiTheme="minorEastAsia" w:eastAsiaTheme="minorEastAsia" w:cstheme="minorEastAsia"/>
                <w:color w:val="000000"/>
                <w:sz w:val="24"/>
                <w:szCs w:val="24"/>
              </w:rPr>
              <w:t>期</w:t>
            </w:r>
            <w:r>
              <w:rPr>
                <w:rFonts w:asciiTheme="minorEastAsia" w:hAnsiTheme="minorEastAsia" w:eastAsiaTheme="minorEastAsia" w:cstheme="minorEastAsia"/>
                <w:color w:val="000000"/>
                <w:sz w:val="24"/>
                <w:szCs w:val="24"/>
              </w:rPr>
              <w:t>生成、可视化展示及多格式导出，满足科室数据统计、分析与上报需求</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lang w:val="en-US" w:eastAsia="zh-CN"/>
              </w:rPr>
              <w:t>本项满分2分。</w:t>
            </w:r>
          </w:p>
          <w:p>
            <w:pPr>
              <w:jc w:val="left"/>
              <w:rPr>
                <w:rFonts w:asciiTheme="minorEastAsia" w:hAnsiTheme="minorEastAsia" w:eastAsiaTheme="minorEastAsia" w:cstheme="minorEastAsia"/>
                <w:color w:val="FF0000"/>
                <w:sz w:val="24"/>
                <w:szCs w:val="24"/>
              </w:rPr>
            </w:pPr>
          </w:p>
        </w:tc>
      </w:tr>
    </w:tbl>
    <w:p>
      <w:pPr>
        <w:pStyle w:val="284"/>
        <w:spacing w:before="0" w:after="0" w:line="0" w:lineRule="atLeast"/>
        <w:ind w:firstLine="482"/>
        <w:rPr>
          <w:rFonts w:asciiTheme="minorEastAsia" w:hAnsiTheme="minorEastAsia" w:eastAsiaTheme="minorEastAsia" w:cstheme="minorEastAsia"/>
          <w:b/>
          <w:bCs/>
          <w:color w:val="000000"/>
        </w:rPr>
      </w:pPr>
    </w:p>
    <w:p>
      <w:pPr>
        <w:spacing w:line="400" w:lineRule="exact"/>
        <w:jc w:val="left"/>
        <w:rPr>
          <w:rFonts w:asciiTheme="minorEastAsia" w:hAnsiTheme="minorEastAsia" w:eastAsiaTheme="minorEastAsia" w:cstheme="minorEastAsia"/>
          <w:b/>
          <w:bCs/>
          <w:color w:val="000000"/>
          <w:sz w:val="24"/>
          <w:szCs w:val="24"/>
        </w:rPr>
      </w:pPr>
    </w:p>
    <w:p>
      <w:pPr>
        <w:pBdr>
          <w:top w:val="none" w:color="000000" w:sz="0" w:space="0"/>
          <w:left w:val="none" w:color="000000" w:sz="0" w:space="0"/>
          <w:bottom w:val="none" w:color="000000" w:sz="0" w:space="0"/>
          <w:right w:val="none" w:color="000000" w:sz="0" w:space="0"/>
        </w:pBdr>
        <w:spacing w:before="240" w:after="240"/>
        <w:rPr>
          <w:rFonts w:eastAsia="Times New Roman"/>
        </w:rPr>
      </w:pPr>
    </w:p>
    <w:p>
      <w:pPr>
        <w:pBdr>
          <w:top w:val="none" w:color="000000" w:sz="0" w:space="0"/>
          <w:left w:val="none" w:color="000000" w:sz="0" w:space="0"/>
          <w:bottom w:val="none" w:color="000000" w:sz="0" w:space="0"/>
          <w:right w:val="none" w:color="000000" w:sz="0" w:space="0"/>
        </w:pBdr>
        <w:spacing w:before="240" w:after="240"/>
        <w:jc w:val="center"/>
        <w:rPr>
          <w:rFonts w:ascii="黑体" w:hAnsi="黑体" w:eastAsia="黑体" w:cs="黑体"/>
          <w:color w:val="000000"/>
          <w:sz w:val="44"/>
          <w:szCs w:val="44"/>
        </w:rPr>
      </w:pPr>
    </w:p>
    <w:p>
      <w:pPr>
        <w:pBdr>
          <w:top w:val="none" w:color="000000" w:sz="0" w:space="0"/>
          <w:left w:val="none" w:color="000000" w:sz="0" w:space="0"/>
          <w:bottom w:val="none" w:color="000000" w:sz="0" w:space="0"/>
          <w:right w:val="none" w:color="000000" w:sz="0" w:space="0"/>
        </w:pBdr>
        <w:spacing w:before="240" w:after="240"/>
        <w:jc w:val="center"/>
        <w:rPr>
          <w:rFonts w:ascii="黑体" w:hAnsi="黑体" w:eastAsia="黑体" w:cs="黑体"/>
          <w:color w:val="000000"/>
          <w:sz w:val="44"/>
          <w:szCs w:val="44"/>
        </w:rPr>
      </w:pPr>
    </w:p>
    <w:p>
      <w:pPr>
        <w:pBdr>
          <w:top w:val="none" w:color="000000" w:sz="0" w:space="0"/>
          <w:left w:val="none" w:color="000000" w:sz="0" w:space="0"/>
          <w:bottom w:val="none" w:color="000000" w:sz="0" w:space="0"/>
          <w:right w:val="none" w:color="000000" w:sz="0" w:space="0"/>
        </w:pBdr>
        <w:spacing w:before="240" w:after="240"/>
        <w:jc w:val="center"/>
        <w:rPr>
          <w:rFonts w:ascii="黑体" w:hAnsi="黑体" w:eastAsia="黑体" w:cs="黑体"/>
          <w:color w:val="000000"/>
          <w:sz w:val="44"/>
          <w:szCs w:val="44"/>
        </w:rPr>
      </w:pPr>
    </w:p>
    <w:p>
      <w:pPr>
        <w:pBdr>
          <w:top w:val="none" w:color="000000" w:sz="0" w:space="0"/>
          <w:left w:val="none" w:color="000000" w:sz="0" w:space="0"/>
          <w:bottom w:val="none" w:color="000000" w:sz="0" w:space="0"/>
          <w:right w:val="none" w:color="000000" w:sz="0" w:space="0"/>
        </w:pBdr>
        <w:spacing w:before="240" w:after="240"/>
        <w:rPr>
          <w:rFonts w:ascii="黑体" w:hAnsi="黑体" w:eastAsia="黑体" w:cs="黑体"/>
          <w:color w:val="000000"/>
          <w:sz w:val="44"/>
          <w:szCs w:val="44"/>
        </w:rPr>
      </w:pPr>
    </w:p>
    <w:p>
      <w:pPr>
        <w:pBdr>
          <w:top w:val="none" w:color="000000" w:sz="0" w:space="0"/>
          <w:left w:val="none" w:color="000000" w:sz="0" w:space="0"/>
          <w:bottom w:val="none" w:color="000000" w:sz="0" w:space="0"/>
          <w:right w:val="none" w:color="000000" w:sz="0" w:space="0"/>
        </w:pBdr>
        <w:spacing w:before="240" w:after="240"/>
        <w:rPr>
          <w:rFonts w:ascii="黑体" w:hAnsi="黑体" w:eastAsia="黑体" w:cs="黑体"/>
          <w:color w:val="000000"/>
          <w:sz w:val="44"/>
          <w:szCs w:val="44"/>
        </w:rPr>
      </w:pPr>
    </w:p>
    <w:p>
      <w:pPr>
        <w:pBdr>
          <w:top w:val="none" w:color="000000" w:sz="0" w:space="0"/>
          <w:left w:val="none" w:color="000000" w:sz="0" w:space="0"/>
          <w:bottom w:val="none" w:color="000000" w:sz="0" w:space="0"/>
          <w:right w:val="none" w:color="000000" w:sz="0" w:space="0"/>
        </w:pBdr>
        <w:spacing w:before="240" w:after="240"/>
        <w:jc w:val="left"/>
        <w:rPr>
          <w:rFonts w:ascii="黑体" w:hAnsi="黑体" w:eastAsia="黑体" w:cs="黑体"/>
          <w:color w:val="000000"/>
          <w:sz w:val="44"/>
          <w:szCs w:val="44"/>
        </w:rPr>
      </w:pPr>
    </w:p>
    <w:p>
      <w:pPr>
        <w:pStyle w:val="2"/>
        <w:rPr>
          <w:rFonts w:ascii="黑体" w:hAnsi="黑体" w:cs="黑体"/>
          <w:color w:val="000000"/>
          <w:szCs w:val="44"/>
        </w:rPr>
      </w:pPr>
      <w:r>
        <w:rPr>
          <w:rStyle w:val="245"/>
          <w:rFonts w:ascii="黑体" w:hAnsi="黑体" w:cs="黑体"/>
        </w:rPr>
        <w:t>第六章投标文件格式</w:t>
      </w:r>
      <w:r>
        <w:rPr>
          <w:rFonts w:ascii="黑体" w:hAnsi="黑体" w:cs="黑体"/>
          <w:color w:val="000000"/>
        </w:rPr>
        <w:t> </w:t>
      </w:r>
    </w:p>
    <w:p>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72"/>
        </w:rPr>
        <w:t> </w:t>
      </w:r>
    </w:p>
    <w:p>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72"/>
        </w:rPr>
        <w:t>投标文件</w:t>
      </w:r>
    </w:p>
    <w:p>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72"/>
        </w:rPr>
        <w:t> </w:t>
      </w:r>
    </w:p>
    <w:p>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72"/>
        </w:rPr>
        <w:t> </w:t>
      </w:r>
    </w:p>
    <w:p>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6"/>
        </w:rPr>
        <w:t> </w:t>
      </w:r>
    </w:p>
    <w:p>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6"/>
        </w:rPr>
        <w:t> </w:t>
      </w:r>
    </w:p>
    <w:p>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6"/>
        </w:rPr>
        <w:t> </w:t>
      </w:r>
    </w:p>
    <w:p>
      <w:pPr>
        <w:pBdr>
          <w:top w:val="none" w:color="000000" w:sz="0" w:space="0"/>
          <w:left w:val="none" w:color="000000" w:sz="0" w:space="0"/>
          <w:bottom w:val="none" w:color="000000" w:sz="0" w:space="0"/>
          <w:right w:val="none" w:color="000000" w:sz="0" w:space="0"/>
        </w:pBdr>
        <w:ind w:firstLine="1084"/>
        <w:jc w:val="left"/>
      </w:pPr>
      <w:r>
        <w:rPr>
          <w:rFonts w:ascii="宋体" w:hAnsi="宋体" w:cs="宋体"/>
          <w:b/>
          <w:color w:val="000000"/>
          <w:sz w:val="36"/>
        </w:rPr>
        <w:t>项 目 名 称：</w:t>
      </w:r>
      <w:r>
        <w:rPr>
          <w:rFonts w:ascii="宋体" w:hAnsi="宋体" w:cs="宋体"/>
          <w:b/>
          <w:color w:val="000000"/>
          <w:sz w:val="36"/>
          <w:u w:val="single"/>
        </w:rPr>
        <w:t>               </w:t>
      </w:r>
    </w:p>
    <w:p>
      <w:pPr>
        <w:pBdr>
          <w:top w:val="none" w:color="000000" w:sz="0" w:space="0"/>
          <w:left w:val="none" w:color="000000" w:sz="0" w:space="0"/>
          <w:bottom w:val="none" w:color="000000" w:sz="0" w:space="0"/>
          <w:right w:val="none" w:color="000000" w:sz="0" w:space="0"/>
        </w:pBdr>
        <w:ind w:firstLine="1084"/>
        <w:jc w:val="left"/>
        <w:rPr>
          <w:rFonts w:ascii="宋体" w:hAnsi="宋体" w:cs="宋体"/>
          <w:b/>
          <w:bCs/>
          <w:color w:val="000000"/>
          <w:sz w:val="36"/>
          <w:szCs w:val="36"/>
          <w:u w:val="single"/>
        </w:rPr>
      </w:pPr>
      <w:r>
        <w:rPr>
          <w:rFonts w:ascii="宋体" w:hAnsi="宋体" w:cs="宋体"/>
          <w:b/>
          <w:color w:val="000000"/>
          <w:sz w:val="36"/>
        </w:rPr>
        <w:t>项 目 编 号：</w:t>
      </w:r>
      <w:r>
        <w:rPr>
          <w:rFonts w:ascii="宋体" w:hAnsi="宋体" w:cs="宋体"/>
          <w:b/>
          <w:color w:val="000000"/>
          <w:sz w:val="36"/>
          <w:u w:val="single"/>
        </w:rPr>
        <w:t>              </w:t>
      </w:r>
    </w:p>
    <w:p>
      <w:pPr>
        <w:pBdr>
          <w:top w:val="none" w:color="000000" w:sz="0" w:space="0"/>
          <w:left w:val="none" w:color="000000" w:sz="0" w:space="0"/>
          <w:bottom w:val="none" w:color="000000" w:sz="0" w:space="0"/>
          <w:right w:val="none" w:color="000000" w:sz="0" w:space="0"/>
        </w:pBdr>
        <w:ind w:firstLine="1084"/>
        <w:jc w:val="left"/>
        <w:rPr>
          <w:rFonts w:ascii="宋体" w:hAnsi="宋体" w:cs="宋体"/>
          <w:b/>
          <w:bCs/>
          <w:color w:val="000000"/>
          <w:sz w:val="36"/>
          <w:szCs w:val="36"/>
          <w:u w:val="single"/>
        </w:rPr>
      </w:pPr>
      <w:r>
        <w:rPr>
          <w:rFonts w:ascii="宋体" w:hAnsi="宋体" w:cs="宋体"/>
          <w:b/>
          <w:color w:val="000000"/>
          <w:sz w:val="36"/>
        </w:rPr>
        <w:t>投标人名称 ：</w:t>
      </w:r>
      <w:r>
        <w:rPr>
          <w:rFonts w:ascii="宋体" w:hAnsi="宋体" w:cs="宋体"/>
          <w:b/>
          <w:color w:val="000000"/>
          <w:sz w:val="36"/>
          <w:u w:val="single"/>
        </w:rPr>
        <w:t>（加盖CA电子公章）</w:t>
      </w:r>
    </w:p>
    <w:p>
      <w:pPr>
        <w:pBdr>
          <w:top w:val="none" w:color="000000" w:sz="0" w:space="0"/>
          <w:left w:val="none" w:color="000000" w:sz="0" w:space="0"/>
          <w:bottom w:val="none" w:color="000000" w:sz="0" w:space="0"/>
          <w:right w:val="none" w:color="000000" w:sz="0" w:space="0"/>
        </w:pBdr>
        <w:ind w:firstLine="1084"/>
        <w:jc w:val="left"/>
      </w:pPr>
      <w:r>
        <w:rPr>
          <w:rFonts w:ascii="宋体" w:hAnsi="宋体" w:cs="宋体"/>
          <w:b/>
          <w:color w:val="000000"/>
          <w:sz w:val="36"/>
        </w:rPr>
        <w:t>日期 ：</w:t>
      </w:r>
      <w:r>
        <w:rPr>
          <w:rFonts w:ascii="宋体" w:hAnsi="宋体" w:cs="宋体"/>
          <w:b/>
          <w:color w:val="000000"/>
          <w:sz w:val="36"/>
          <w:u w:val="single"/>
        </w:rPr>
        <w:t>               </w:t>
      </w:r>
    </w:p>
    <w:p>
      <w:pPr>
        <w:pBdr>
          <w:top w:val="none" w:color="000000" w:sz="0" w:space="0"/>
          <w:left w:val="none" w:color="000000" w:sz="0" w:space="0"/>
          <w:bottom w:val="none" w:color="000000" w:sz="0" w:space="0"/>
          <w:right w:val="none" w:color="000000" w:sz="0" w:space="0"/>
        </w:pBdr>
        <w:spacing w:line="438" w:lineRule="atLeast"/>
        <w:jc w:val="center"/>
      </w:pPr>
      <w:r>
        <w:rPr>
          <w:rFonts w:ascii="宋体" w:hAnsi="宋体" w:cs="宋体"/>
          <w:b/>
          <w:color w:val="000000"/>
          <w:sz w:val="32"/>
        </w:rPr>
        <w:t> </w:t>
      </w:r>
    </w:p>
    <w:p>
      <w:pPr>
        <w:pBdr>
          <w:top w:val="none" w:color="000000" w:sz="0" w:space="0"/>
          <w:left w:val="none" w:color="000000" w:sz="0" w:space="0"/>
          <w:bottom w:val="none" w:color="000000" w:sz="0" w:space="0"/>
          <w:right w:val="none" w:color="000000" w:sz="0" w:space="0"/>
        </w:pBdr>
        <w:spacing w:line="438" w:lineRule="atLeast"/>
      </w:pPr>
      <w:r>
        <w:rPr>
          <w:rFonts w:ascii="宋体" w:hAnsi="宋体" w:cs="宋体"/>
          <w:color w:val="000000"/>
        </w:rPr>
        <w:t> </w:t>
      </w:r>
    </w:p>
    <w:p>
      <w:pPr>
        <w:pBdr>
          <w:top w:val="none" w:color="000000" w:sz="0" w:space="0"/>
          <w:left w:val="none" w:color="000000" w:sz="0" w:space="0"/>
          <w:bottom w:val="none" w:color="000000" w:sz="0" w:space="0"/>
          <w:right w:val="none" w:color="000000" w:sz="0" w:space="0"/>
        </w:pBdr>
        <w:ind w:firstLine="1084"/>
      </w:pPr>
      <w:r>
        <w:rPr/>
        <w:br w:type="page" w:clear="all"/>
      </w:r>
    </w:p>
    <w:p>
      <w:pPr>
        <w:pBdr>
          <w:top w:val="none" w:color="000000" w:sz="0" w:space="0"/>
          <w:left w:val="none" w:color="000000" w:sz="0" w:space="0"/>
          <w:bottom w:val="none" w:color="000000" w:sz="0" w:space="0"/>
          <w:right w:val="none" w:color="000000" w:sz="0" w:space="0"/>
        </w:pBdr>
        <w:spacing w:line="438" w:lineRule="atLeast"/>
        <w:jc w:val="center"/>
      </w:pPr>
      <w:r>
        <w:rPr>
          <w:rFonts w:ascii="宋体" w:hAnsi="宋体" w:cs="宋体"/>
          <w:b/>
          <w:color w:val="000000"/>
          <w:sz w:val="32"/>
        </w:rPr>
        <w:t>投标文件的组成</w:t>
      </w:r>
    </w:p>
    <w:p>
      <w:pPr>
        <w:pBdr>
          <w:top w:val="none" w:color="000000" w:sz="0" w:space="0"/>
          <w:left w:val="none" w:color="000000" w:sz="0" w:space="0"/>
          <w:bottom w:val="none" w:color="000000" w:sz="0" w:space="0"/>
          <w:right w:val="none" w:color="000000" w:sz="0" w:space="0"/>
        </w:pBdr>
        <w:spacing w:line="438" w:lineRule="atLeast"/>
        <w:jc w:val="center"/>
      </w:pPr>
      <w:r>
        <w:rPr>
          <w:rFonts w:ascii="宋体" w:hAnsi="宋体" w:cs="宋体"/>
          <w:b/>
          <w:color w:val="000000"/>
          <w:sz w:val="32"/>
        </w:rPr>
        <w:t> </w:t>
      </w:r>
    </w:p>
    <w:p>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b/>
          <w:color w:val="000000"/>
          <w:sz w:val="24"/>
        </w:rPr>
        <w:t>一、基本目录</w:t>
      </w:r>
    </w:p>
    <w:p>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1.开标一览表（格式见附件1）</w:t>
      </w:r>
    </w:p>
    <w:p>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2.投标分项报价表（格式见附件2）</w:t>
      </w:r>
    </w:p>
    <w:p>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3.技术要求响应及偏离表（格式见附件3）</w:t>
      </w:r>
    </w:p>
    <w:p>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4.商务要求响应及偏离表（格式见附件4）</w:t>
      </w:r>
    </w:p>
    <w:p>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5.法人授权书（格式见附件5）</w:t>
      </w:r>
    </w:p>
    <w:p>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6.投标函（格式见附件6）</w:t>
      </w:r>
    </w:p>
    <w:p>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7.主要标的信息（格式见附件7）</w:t>
      </w:r>
    </w:p>
    <w:p>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8.其他</w:t>
      </w:r>
    </w:p>
    <w:p>
      <w:pPr>
        <w:pBdr>
          <w:top w:val="none" w:color="000000" w:sz="0" w:space="0"/>
          <w:left w:val="none" w:color="000000" w:sz="0" w:space="0"/>
          <w:bottom w:val="none" w:color="000000" w:sz="0" w:space="0"/>
          <w:right w:val="none" w:color="000000" w:sz="0" w:space="0"/>
        </w:pBdr>
        <w:spacing w:line="450" w:lineRule="atLeast"/>
        <w:ind w:firstLine="200"/>
      </w:pPr>
      <w:r>
        <w:rPr>
          <w:rFonts w:ascii="宋体" w:hAnsi="宋体" w:cs="宋体"/>
          <w:color w:val="000000"/>
          <w:sz w:val="24"/>
        </w:rPr>
        <w:t>****（格式见附件**）</w:t>
      </w:r>
    </w:p>
    <w:p>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b/>
          <w:color w:val="000000"/>
          <w:sz w:val="24"/>
        </w:rPr>
        <w:t>二、资格审查内容</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1.法人或者其他组织的营业执照等证明文件，自然人的身份证明</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2.上一年度的财务状况报告（成立不满一年无需提供）</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3.依法缴纳税收和社会保障资金的相关材料（提供提交投标文件截止时间前一年内任意一个月依法缴纳税收及缴纳社会保障资金的证明材料。投标人依法享受缓缴、免缴税收、社会保障资金的提供证明材料。）</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4.具备履行合同所必需的设备和专业技术能力的书面声明（格式见附件8）</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5.参加政府采购活动前 3 年内在经营活动中没有重大违法记录的书面声明（格式见附件9）</w:t>
      </w:r>
    </w:p>
    <w:p>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6.供应商信用承诺函（格式见附件10）</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7.企业报价折扣证明文件：</w:t>
      </w:r>
    </w:p>
    <w:p>
      <w:pPr>
        <w:pBdr>
          <w:top w:val="none" w:color="000000" w:sz="0" w:space="0"/>
          <w:left w:val="none" w:color="000000" w:sz="0" w:space="0"/>
          <w:bottom w:val="none" w:color="000000" w:sz="0" w:space="0"/>
          <w:right w:val="none" w:color="000000" w:sz="0" w:space="0"/>
        </w:pBdr>
        <w:spacing w:line="400" w:lineRule="atLeast"/>
        <w:ind w:firstLine="720"/>
      </w:pPr>
      <w:r>
        <w:rPr>
          <w:rFonts w:ascii="宋体" w:hAnsi="宋体" w:cs="宋体"/>
          <w:color w:val="000000"/>
          <w:sz w:val="24"/>
        </w:rPr>
        <w:t>中小企业声明函（格式见附件11）。</w:t>
      </w:r>
      <w:r>
        <w:rPr>
          <w:rFonts w:ascii="宋体" w:hAnsi="宋体" w:cs="宋体"/>
          <w:color w:val="FF0000"/>
          <w:sz w:val="24"/>
        </w:rPr>
        <w:t>如果本项目专门面向中小企业采购，则必须提供。</w:t>
      </w:r>
    </w:p>
    <w:p>
      <w:pPr>
        <w:pBdr>
          <w:top w:val="none" w:color="000000" w:sz="0" w:space="0"/>
          <w:left w:val="none" w:color="000000" w:sz="0" w:space="0"/>
          <w:bottom w:val="none" w:color="000000" w:sz="0" w:space="0"/>
          <w:right w:val="none" w:color="000000" w:sz="0" w:space="0"/>
        </w:pBdr>
        <w:spacing w:line="400" w:lineRule="atLeast"/>
        <w:ind w:firstLine="720"/>
      </w:pPr>
      <w:r>
        <w:rPr>
          <w:rFonts w:ascii="宋体" w:hAnsi="宋体" w:cs="宋体"/>
          <w:color w:val="000000"/>
          <w:sz w:val="24"/>
        </w:rPr>
        <w:t>残疾人福利性单位声明函（格式见附件12）。</w:t>
      </w:r>
      <w:r>
        <w:rPr>
          <w:rFonts w:ascii="宋体" w:hAnsi="宋体" w:cs="宋体"/>
          <w:color w:val="FF0000"/>
          <w:sz w:val="24"/>
        </w:rPr>
        <w:t>如果本项目专门面向中小企业采购，供应商为残疾人福利性单位并提供本单位制造的货物，或者提供其他残疾人福利性单位制造的货物，则必须提供。</w:t>
      </w:r>
    </w:p>
    <w:p>
      <w:pPr>
        <w:pBdr>
          <w:top w:val="none" w:color="000000" w:sz="0" w:space="0"/>
          <w:left w:val="none" w:color="000000" w:sz="0" w:space="0"/>
          <w:bottom w:val="none" w:color="000000" w:sz="0" w:space="0"/>
          <w:right w:val="none" w:color="000000" w:sz="0" w:space="0"/>
        </w:pBdr>
        <w:spacing w:line="400" w:lineRule="atLeast"/>
        <w:ind w:firstLine="720"/>
      </w:pPr>
      <w:r>
        <w:rPr>
          <w:rFonts w:ascii="宋体" w:hAnsi="宋体" w:cs="宋体"/>
          <w:color w:val="000000"/>
          <w:sz w:val="24"/>
        </w:rPr>
        <w:t>监狱企业的证明文件。</w:t>
      </w:r>
    </w:p>
    <w:p>
      <w:pPr>
        <w:pBdr>
          <w:top w:val="none" w:color="000000" w:sz="0" w:space="0"/>
          <w:left w:val="none" w:color="000000" w:sz="0" w:space="0"/>
          <w:bottom w:val="none" w:color="000000" w:sz="0" w:space="0"/>
          <w:right w:val="none" w:color="000000" w:sz="0" w:space="0"/>
        </w:pBdr>
        <w:spacing w:line="450" w:lineRule="atLeast"/>
        <w:ind w:firstLine="200"/>
      </w:pPr>
      <w:r>
        <w:rPr>
          <w:rFonts w:ascii="宋体" w:hAnsi="宋体" w:cs="宋体"/>
          <w:color w:val="000000"/>
          <w:sz w:val="24"/>
        </w:rPr>
        <w:t xml:space="preserve">  8.联合体协议（格式见附件13）。</w:t>
      </w:r>
      <w:r>
        <w:rPr>
          <w:rFonts w:ascii="宋体" w:hAnsi="宋体" w:cs="宋体"/>
          <w:color w:val="FF0000"/>
          <w:sz w:val="24"/>
        </w:rPr>
        <w:t>如果本项目接受联合体投标，投标人是联合体的，则必须提供。</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9.特定资格要求的证明文件。</w:t>
      </w:r>
      <w:r>
        <w:rPr>
          <w:rFonts w:ascii="宋体" w:hAnsi="宋体" w:cs="宋体"/>
          <w:color w:val="FF0000"/>
          <w:sz w:val="24"/>
        </w:rPr>
        <w:t>如果本项目对投标人做出特定资格要求的，则必须提供。</w:t>
      </w:r>
    </w:p>
    <w:p>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b/>
          <w:color w:val="000000"/>
          <w:sz w:val="24"/>
        </w:rPr>
        <w:t>三、符合性审查内容</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投标人必须对技术要求和商务要求中加斜体下划线的实质性要求逐条做出响应，并按照招标文件要求提供证明材料，否则做无效投标处理。（格式见附件14）</w:t>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四、价格扣除证明文件</w:t>
      </w:r>
    </w:p>
    <w:p>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1.中小企业声明函（格式见附件11）</w:t>
      </w:r>
    </w:p>
    <w:p>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2.残疾人福利性单位声明函（格式见附件12）</w:t>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r>
        <w:rPr>
          <w:rFonts w:eastAsia="Times New Roman"/>
          <w:color w:val="000000"/>
          <w:sz w:val="24"/>
        </w:rPr>
        <w:t> </w:t>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附件1 开标一览表</w:t>
      </w:r>
    </w:p>
    <w:p>
      <w:pPr>
        <w:pBdr>
          <w:top w:val="none" w:color="000000" w:sz="0" w:space="0"/>
          <w:left w:val="none" w:color="000000" w:sz="0" w:space="0"/>
          <w:bottom w:val="none" w:color="000000" w:sz="0" w:space="0"/>
          <w:right w:val="none" w:color="000000" w:sz="0" w:space="0"/>
        </w:pBdr>
        <w:ind w:firstLine="482"/>
      </w:pPr>
      <w:r>
        <w:rPr>
          <w:rFonts w:ascii="宋体" w:hAnsi="宋体" w:cs="宋体"/>
          <w:color w:val="000000"/>
          <w:sz w:val="24"/>
        </w:rPr>
        <w:t>投标人全称（加盖CA电子签章）：</w:t>
      </w:r>
    </w:p>
    <w:p>
      <w:pPr>
        <w:pBdr>
          <w:top w:val="none" w:color="000000" w:sz="0" w:space="0"/>
          <w:left w:val="none" w:color="000000" w:sz="0" w:space="0"/>
          <w:bottom w:val="none" w:color="000000" w:sz="0" w:space="0"/>
          <w:right w:val="none" w:color="000000" w:sz="0" w:space="0"/>
        </w:pBdr>
        <w:ind w:firstLine="482"/>
      </w:pPr>
      <w:r>
        <w:rPr>
          <w:rFonts w:ascii="宋体" w:hAnsi="宋体" w:cs="宋体"/>
          <w:color w:val="000000"/>
          <w:sz w:val="24"/>
        </w:rPr>
        <w:t>项目名称：</w:t>
      </w:r>
    </w:p>
    <w:p>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项目编号：</w:t>
      </w:r>
    </w:p>
    <w:p>
      <w:pPr>
        <w:pBdr>
          <w:top w:val="none" w:color="000000" w:sz="0" w:space="0"/>
          <w:left w:val="none" w:color="000000" w:sz="0" w:space="0"/>
          <w:bottom w:val="none" w:color="000000" w:sz="0" w:space="0"/>
          <w:right w:val="none" w:color="000000" w:sz="0" w:space="0"/>
        </w:pBdr>
        <w:ind w:firstLine="480"/>
        <w:rPr>
          <w:rFonts w:eastAsia="Times New Roman"/>
          <w:color w:val="000000"/>
          <w:sz w:val="24"/>
        </w:rPr>
      </w:pPr>
      <w:r>
        <w:rPr>
          <w:rFonts w:ascii="宋体" w:hAnsi="宋体" w:cs="宋体"/>
          <w:color w:val="000000"/>
          <w:sz w:val="24"/>
        </w:rPr>
        <w:t>采购包号：</w:t>
      </w:r>
    </w:p>
    <w:tbl>
      <w:tblPr>
        <w:tblStyle w:val="56"/>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921"/>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25" w:hRule="atLeast"/>
        </w:trPr>
        <w:tc>
          <w:tcPr>
            <w:tcW w:w="892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24"/>
              </w:rPr>
              <w:t>投标总报价</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12" w:hRule="atLeast"/>
        </w:trPr>
        <w:tc>
          <w:tcPr>
            <w:tcW w:w="892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大写：                   （人民币：元）</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12" w:hRule="atLeast"/>
        </w:trPr>
        <w:tc>
          <w:tcPr>
            <w:tcW w:w="892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99" w:lineRule="atLeast"/>
              <w:jc w:val="center"/>
            </w:pPr>
            <w:r>
              <w:rPr>
                <w:rFonts w:ascii="宋体" w:hAnsi="宋体" w:cs="宋体"/>
                <w:color w:val="000000"/>
                <w:sz w:val="24"/>
              </w:rPr>
              <w:t>小写：                   （人民币：元）</w:t>
            </w:r>
          </w:p>
        </w:tc>
      </w:tr>
    </w:tbl>
    <w:p>
      <w:pPr>
        <w:pBdr>
          <w:top w:val="none" w:color="000000" w:sz="0" w:space="0"/>
          <w:left w:val="none" w:color="000000" w:sz="0" w:space="0"/>
          <w:bottom w:val="none" w:color="000000" w:sz="0" w:space="0"/>
          <w:right w:val="none" w:color="000000" w:sz="0" w:space="0"/>
        </w:pBdr>
      </w:pPr>
      <w:r>
        <w:rPr>
          <w:rFonts w:eastAsia="Times New Roman"/>
          <w:color w:val="000000"/>
          <w:sz w:val="24"/>
        </w:rPr>
        <w:t> </w:t>
      </w:r>
    </w:p>
    <w:p>
      <w:pPr>
        <w:pBdr>
          <w:top w:val="none" w:color="000000" w:sz="0" w:space="0"/>
          <w:left w:val="none" w:color="000000" w:sz="0" w:space="0"/>
          <w:bottom w:val="none" w:color="000000" w:sz="0" w:space="0"/>
          <w:right w:val="none" w:color="000000" w:sz="0" w:space="0"/>
        </w:pBdr>
        <w:jc w:val="center"/>
      </w:pPr>
      <w:r>
        <w:rPr>
          <w:rFonts w:eastAsia="Times New Roman"/>
          <w:color w:val="000000"/>
          <w:sz w:val="24"/>
        </w:rPr>
        <w:t> </w:t>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附件2             投标分项报价表（采购包号：**）</w:t>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tbl>
      <w:tblPr>
        <w:tblStyle w:val="56"/>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63"/>
        <w:gridCol w:w="658"/>
        <w:gridCol w:w="897"/>
        <w:gridCol w:w="799"/>
        <w:gridCol w:w="655"/>
        <w:gridCol w:w="917"/>
        <w:gridCol w:w="2723"/>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44" w:hRule="atLeast"/>
        </w:trPr>
        <w:tc>
          <w:tcPr>
            <w:tcW w:w="863"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序号</w:t>
            </w:r>
          </w:p>
        </w:tc>
        <w:tc>
          <w:tcPr>
            <w:tcW w:w="6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1</w:t>
            </w:r>
          </w:p>
        </w:tc>
        <w:tc>
          <w:tcPr>
            <w:tcW w:w="8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2</w:t>
            </w:r>
          </w:p>
        </w:tc>
        <w:tc>
          <w:tcPr>
            <w:tcW w:w="7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3</w:t>
            </w:r>
          </w:p>
        </w:tc>
        <w:tc>
          <w:tcPr>
            <w:tcW w:w="6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4</w:t>
            </w:r>
          </w:p>
        </w:tc>
        <w:tc>
          <w:tcPr>
            <w:tcW w:w="9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5</w:t>
            </w:r>
          </w:p>
        </w:tc>
        <w:tc>
          <w:tcPr>
            <w:tcW w:w="27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6</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94" w:hRule="atLeast"/>
        </w:trPr>
        <w:tc>
          <w:tcPr>
            <w:tcW w:w="863" w:type="dxa"/>
            <w:vMerge w:val="continue"/>
            <w:tcBorders>
              <w:top w:val="single" w:color="000000" w:sz="4" w:space="0"/>
              <w:left w:val="single" w:color="000000" w:sz="4" w:space="0"/>
              <w:bottom w:val="single" w:color="000000" w:sz="4" w:space="0"/>
              <w:right w:val="single" w:color="000000" w:sz="4" w:space="0"/>
            </w:tcBorders>
          </w:tcPr>
          <w:p/>
        </w:tc>
        <w:tc>
          <w:tcPr>
            <w:tcW w:w="658" w:type="dxa"/>
            <w:tcBorders>
              <w:top w:val="nil"/>
              <w:left w:val="single" w:color="000000" w:sz="4"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分项服务名称</w:t>
            </w:r>
          </w:p>
        </w:tc>
        <w:tc>
          <w:tcPr>
            <w:tcW w:w="897"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交付期</w:t>
            </w:r>
          </w:p>
        </w:tc>
        <w:tc>
          <w:tcPr>
            <w:tcW w:w="799"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分项单位</w:t>
            </w:r>
          </w:p>
        </w:tc>
        <w:tc>
          <w:tcPr>
            <w:tcW w:w="655"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数量</w:t>
            </w:r>
          </w:p>
        </w:tc>
        <w:tc>
          <w:tcPr>
            <w:tcW w:w="917"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分项</w:t>
            </w:r>
          </w:p>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单价</w:t>
            </w:r>
          </w:p>
        </w:tc>
        <w:tc>
          <w:tcPr>
            <w:tcW w:w="2723"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分项</w:t>
            </w:r>
          </w:p>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总价</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54" w:hRule="atLeast"/>
        </w:trPr>
        <w:tc>
          <w:tcPr>
            <w:tcW w:w="86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1</w:t>
            </w:r>
          </w:p>
        </w:tc>
        <w:tc>
          <w:tcPr>
            <w:tcW w:w="6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eastAsia="Times New Roman"/>
                <w:color w:val="000000"/>
                <w:sz w:val="24"/>
              </w:rPr>
              <w:t> </w:t>
            </w:r>
          </w:p>
        </w:tc>
        <w:tc>
          <w:tcPr>
            <w:tcW w:w="8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合同签订后</w:t>
            </w:r>
            <w:r>
              <w:rPr>
                <w:rFonts w:ascii="宋体" w:hAnsi="宋体" w:cs="宋体"/>
                <w:color w:val="000000"/>
                <w:sz w:val="24"/>
                <w:u w:val="single"/>
              </w:rPr>
              <w:t xml:space="preserve">  </w:t>
            </w:r>
            <w:r>
              <w:rPr>
                <w:rFonts w:ascii="宋体" w:hAnsi="宋体" w:cs="宋体"/>
                <w:color w:val="000000"/>
                <w:sz w:val="24"/>
              </w:rPr>
              <w:t>日</w:t>
            </w:r>
          </w:p>
        </w:tc>
        <w:tc>
          <w:tcPr>
            <w:tcW w:w="7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eastAsia="Times New Roman"/>
                <w:color w:val="000000"/>
                <w:sz w:val="24"/>
              </w:rPr>
              <w:t> </w:t>
            </w:r>
          </w:p>
        </w:tc>
        <w:tc>
          <w:tcPr>
            <w:tcW w:w="6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eastAsia="Times New Roman"/>
                <w:color w:val="000000"/>
                <w:sz w:val="24"/>
              </w:rPr>
              <w:t> </w:t>
            </w:r>
          </w:p>
        </w:tc>
        <w:tc>
          <w:tcPr>
            <w:tcW w:w="9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eastAsia="Times New Roman"/>
                <w:color w:val="000000"/>
                <w:sz w:val="24"/>
              </w:rPr>
              <w:t> </w:t>
            </w:r>
          </w:p>
        </w:tc>
        <w:tc>
          <w:tcPr>
            <w:tcW w:w="27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eastAsia="Times New Roman"/>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54" w:hRule="atLeast"/>
        </w:trPr>
        <w:tc>
          <w:tcPr>
            <w:tcW w:w="86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2</w:t>
            </w:r>
          </w:p>
        </w:tc>
        <w:tc>
          <w:tcPr>
            <w:tcW w:w="6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eastAsia="Times New Roman"/>
                <w:color w:val="000000"/>
                <w:sz w:val="24"/>
              </w:rPr>
              <w:t> </w:t>
            </w:r>
          </w:p>
        </w:tc>
        <w:tc>
          <w:tcPr>
            <w:tcW w:w="8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eastAsia="Times New Roman"/>
                <w:color w:val="000000"/>
                <w:sz w:val="24"/>
              </w:rPr>
              <w:t> </w:t>
            </w:r>
          </w:p>
        </w:tc>
        <w:tc>
          <w:tcPr>
            <w:tcW w:w="7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eastAsia="Times New Roman"/>
                <w:color w:val="000000"/>
                <w:sz w:val="24"/>
              </w:rPr>
              <w:t> </w:t>
            </w:r>
          </w:p>
        </w:tc>
        <w:tc>
          <w:tcPr>
            <w:tcW w:w="6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eastAsia="Times New Roman"/>
                <w:color w:val="000000"/>
                <w:sz w:val="24"/>
              </w:rPr>
              <w:t> </w:t>
            </w:r>
          </w:p>
        </w:tc>
        <w:tc>
          <w:tcPr>
            <w:tcW w:w="9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eastAsia="Times New Roman"/>
                <w:color w:val="000000"/>
                <w:sz w:val="24"/>
              </w:rPr>
              <w:t> </w:t>
            </w:r>
          </w:p>
        </w:tc>
        <w:tc>
          <w:tcPr>
            <w:tcW w:w="27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eastAsia="Times New Roman"/>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487" w:hRule="atLeast"/>
        </w:trPr>
        <w:tc>
          <w:tcPr>
            <w:tcW w:w="4789"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投标总报价（人民币：元）</w:t>
            </w:r>
          </w:p>
        </w:tc>
        <w:tc>
          <w:tcPr>
            <w:tcW w:w="27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jc w:val="center"/>
            </w:pPr>
            <w:r>
              <w:rPr>
                <w:rFonts w:eastAsia="Times New Roman"/>
                <w:color w:val="000000"/>
                <w:sz w:val="24"/>
              </w:rPr>
              <w:t> </w:t>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备注：</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2.“投标分项报价表”中“投标总报价”数额应当与“开标一览表”中“投标总报价”数额一致。</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3. 项目经办人可以根据项目实际需要对表格结构进行调整。</w:t>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附件3          技术要求响应及偏离表（采购包号：**）</w:t>
      </w:r>
    </w:p>
    <w:tbl>
      <w:tblPr>
        <w:tblStyle w:val="56"/>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6"/>
        <w:gridCol w:w="2415"/>
        <w:gridCol w:w="2451"/>
        <w:gridCol w:w="1770"/>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8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序号</w:t>
            </w:r>
          </w:p>
        </w:tc>
        <w:tc>
          <w:tcPr>
            <w:tcW w:w="241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技术要求</w:t>
            </w:r>
          </w:p>
        </w:tc>
        <w:tc>
          <w:tcPr>
            <w:tcW w:w="245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投标响应情况</w:t>
            </w:r>
          </w:p>
        </w:tc>
        <w:tc>
          <w:tcPr>
            <w:tcW w:w="177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超出、符合或偏离</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2415"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451"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1770"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415"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w:t>
            </w:r>
          </w:p>
        </w:tc>
        <w:tc>
          <w:tcPr>
            <w:tcW w:w="2451"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1770"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bl>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附件3-1  证明材料1，证明材料2，……</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备注：</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1.投标人需对技术要求（未加斜体下划线的非实质性要求）逐条做出明确响应。</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2.如果招标文件要求提供证明材料，投标人需将证明材料列于该表之下。</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color w:val="000000"/>
          <w:sz w:val="24"/>
        </w:rPr>
        <w:t> </w:t>
      </w:r>
    </w:p>
    <w:p>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color w:val="000000"/>
          <w:sz w:val="24"/>
        </w:rPr>
        <w:t> </w:t>
      </w:r>
    </w:p>
    <w:p>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color w:val="000000"/>
          <w:sz w:val="24"/>
        </w:rPr>
        <w:t> </w:t>
      </w:r>
    </w:p>
    <w:p>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color w:val="000000"/>
          <w:sz w:val="24"/>
        </w:rPr>
        <w:t> </w:t>
      </w:r>
    </w:p>
    <w:p>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color w:val="000000"/>
          <w:sz w:val="24"/>
        </w:rPr>
        <w:t> </w:t>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附件4         商务要求响应及偏离表（采购包号：**）</w:t>
      </w:r>
    </w:p>
    <w:tbl>
      <w:tblPr>
        <w:tblStyle w:val="56"/>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6"/>
        <w:gridCol w:w="2415"/>
        <w:gridCol w:w="2451"/>
        <w:gridCol w:w="1716"/>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8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序号</w:t>
            </w:r>
          </w:p>
        </w:tc>
        <w:tc>
          <w:tcPr>
            <w:tcW w:w="241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商务要求</w:t>
            </w:r>
          </w:p>
        </w:tc>
        <w:tc>
          <w:tcPr>
            <w:tcW w:w="245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投标响应情况</w:t>
            </w:r>
          </w:p>
        </w:tc>
        <w:tc>
          <w:tcPr>
            <w:tcW w:w="171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超出、符合或偏离</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2415"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451"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1716"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415"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w:t>
            </w:r>
          </w:p>
        </w:tc>
        <w:tc>
          <w:tcPr>
            <w:tcW w:w="2451"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1716"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bl>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附件4-1  证明材料1，证明材料2，……</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备注：</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1.投标人需对商务要求（未加斜体下划线的非实质性要求）逐条做出明确响应。</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2.如果招标文件要求提供证明材料，投标人需将证明材料列于该表之下。</w:t>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b/>
          <w:color w:val="000000"/>
          <w:sz w:val="24"/>
        </w:rPr>
        <w:t>附件5            法人授权书</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本授权书声明：____________（投标人名称）授权</w:t>
      </w:r>
      <w:r>
        <w:rPr>
          <w:rFonts w:eastAsia="Times New Roman"/>
          <w:color w:val="000000"/>
          <w:sz w:val="24"/>
        </w:rPr>
        <w:t>________________</w:t>
      </w:r>
      <w:r>
        <w:rPr>
          <w:rFonts w:ascii="宋体" w:hAnsi="宋体" w:cs="宋体"/>
          <w:color w:val="000000"/>
          <w:sz w:val="24"/>
        </w:rPr>
        <w:t>（被授权人的姓名）为我方就</w:t>
      </w:r>
      <w:r>
        <w:rPr>
          <w:rFonts w:eastAsia="Times New Roman"/>
          <w:color w:val="000000"/>
          <w:sz w:val="24"/>
          <w:u w:val="single"/>
        </w:rPr>
        <w:t>***</w:t>
      </w:r>
      <w:r>
        <w:rPr>
          <w:rFonts w:ascii="宋体" w:hAnsi="宋体" w:cs="宋体"/>
          <w:color w:val="000000"/>
          <w:sz w:val="24"/>
        </w:rPr>
        <w:t>号项目采购活动的合法代理人，以本单位名义全权处理一切与该项目采购有关的事务。</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本授权书于______年</w:t>
      </w:r>
      <w:r>
        <w:rPr>
          <w:rFonts w:eastAsia="Times New Roman"/>
          <w:color w:val="000000"/>
          <w:sz w:val="24"/>
        </w:rPr>
        <w:t>____</w:t>
      </w:r>
      <w:r>
        <w:rPr>
          <w:rFonts w:ascii="宋体" w:hAnsi="宋体" w:cs="宋体"/>
          <w:color w:val="000000"/>
          <w:sz w:val="24"/>
        </w:rPr>
        <w:t>月</w:t>
      </w:r>
      <w:r>
        <w:rPr>
          <w:rFonts w:eastAsia="Times New Roman"/>
          <w:color w:val="000000"/>
          <w:sz w:val="24"/>
        </w:rPr>
        <w:t>____</w:t>
      </w:r>
      <w:r>
        <w:rPr>
          <w:rFonts w:ascii="宋体" w:hAnsi="宋体" w:cs="宋体"/>
          <w:color w:val="000000"/>
          <w:sz w:val="24"/>
        </w:rPr>
        <w:t>日起生效，特此声明。</w:t>
      </w:r>
    </w:p>
    <w:p>
      <w:pPr>
        <w:pBdr>
          <w:top w:val="none" w:color="000000" w:sz="0" w:space="0"/>
          <w:left w:val="none" w:color="000000" w:sz="0" w:space="0"/>
          <w:bottom w:val="none" w:color="000000" w:sz="0" w:space="0"/>
          <w:right w:val="none" w:color="000000" w:sz="0" w:space="0"/>
        </w:pBdr>
        <w:spacing w:line="400" w:lineRule="atLeast"/>
        <w:ind w:firstLine="1200"/>
        <w:rPr>
          <w:rFonts w:ascii="宋体" w:hAnsi="宋体" w:cs="宋体"/>
          <w:color w:val="000000"/>
          <w:sz w:val="24"/>
          <w:szCs w:val="24"/>
        </w:rPr>
      </w:pPr>
      <w:r>
        <w:rPr>
          <w:rFonts w:ascii="宋体" w:hAnsi="宋体" w:cs="宋体"/>
          <w:color w:val="000000"/>
          <w:sz w:val="24"/>
          <w:szCs w:val="24"/>
        </w:rPr>
        <w:t>被授权人身份证号码：           </w:t>
      </w:r>
    </w:p>
    <w:p>
      <w:pPr>
        <w:pBdr>
          <w:top w:val="none" w:color="000000" w:sz="0" w:space="0"/>
          <w:left w:val="none" w:color="000000" w:sz="0" w:space="0"/>
          <w:bottom w:val="none" w:color="000000" w:sz="0" w:space="0"/>
          <w:right w:val="none" w:color="000000" w:sz="0" w:space="0"/>
        </w:pBdr>
        <w:spacing w:line="400" w:lineRule="atLeast"/>
        <w:ind w:firstLine="1200"/>
        <w:rPr>
          <w:rFonts w:ascii="宋体" w:hAnsi="宋体" w:cs="宋体"/>
          <w:color w:val="000000"/>
          <w:sz w:val="24"/>
          <w:szCs w:val="24"/>
        </w:rPr>
      </w:pPr>
      <w:r>
        <w:rPr>
          <w:rFonts w:ascii="宋体" w:hAnsi="宋体" w:cs="宋体"/>
          <w:color w:val="000000"/>
          <w:sz w:val="24"/>
          <w:szCs w:val="24"/>
        </w:rPr>
        <w:t>被授权人联系电话：（手机）           </w:t>
      </w:r>
    </w:p>
    <w:p>
      <w:pPr>
        <w:pBdr>
          <w:top w:val="none" w:color="000000" w:sz="0" w:space="0"/>
          <w:left w:val="none" w:color="000000" w:sz="0" w:space="0"/>
          <w:bottom w:val="none" w:color="000000" w:sz="0" w:space="0"/>
          <w:right w:val="none" w:color="000000" w:sz="0" w:space="0"/>
        </w:pBdr>
        <w:spacing w:line="400" w:lineRule="atLeast"/>
        <w:ind w:firstLine="1200"/>
      </w:pPr>
      <w:r>
        <w:rPr>
          <w:rFonts w:ascii="宋体" w:hAnsi="宋体" w:cs="宋体"/>
          <w:color w:val="000000" w:themeColor="text1"/>
          <w:sz w:val="24"/>
          <w14:textFill>
            <w14:solidFill>
              <w14:schemeClr w14:val="tx1"/>
            </w14:solidFill>
          </w14:textFill>
        </w:rPr>
        <w:t>被授权人电子邮箱</w:t>
      </w:r>
      <w:r>
        <w:rPr>
          <w:rFonts w:ascii="宋体" w:hAnsi="宋体" w:cs="宋体"/>
          <w:color w:val="000000"/>
          <w:sz w:val="24"/>
        </w:rPr>
        <w:t>：</w:t>
      </w:r>
      <w:r>
        <w:rPr>
          <w:rFonts w:ascii="宋体" w:hAnsi="宋体" w:cs="宋体"/>
          <w:color w:val="000000"/>
          <w:sz w:val="24"/>
          <w:u w:val="single"/>
        </w:rPr>
        <w:t>           </w:t>
      </w:r>
    </w:p>
    <w:p>
      <w:pPr>
        <w:pBdr>
          <w:top w:val="none" w:color="000000" w:sz="0" w:space="0"/>
          <w:left w:val="none" w:color="000000" w:sz="0" w:space="0"/>
          <w:bottom w:val="none" w:color="000000" w:sz="0" w:space="0"/>
          <w:right w:val="none" w:color="000000" w:sz="0" w:space="0"/>
        </w:pBdr>
        <w:spacing w:line="400" w:lineRule="atLeast"/>
        <w:ind w:firstLine="1200"/>
      </w:pPr>
      <w:r>
        <w:rPr>
          <w:rFonts w:ascii="宋体" w:hAnsi="宋体" w:cs="宋体"/>
          <w:color w:val="000000"/>
          <w:sz w:val="24"/>
        </w:rPr>
        <w:t>授权单位名称：</w:t>
      </w:r>
      <w:r>
        <w:rPr>
          <w:rFonts w:ascii="宋体" w:hAnsi="宋体" w:cs="宋体"/>
          <w:color w:val="000000"/>
          <w:sz w:val="24"/>
          <w:u w:val="single"/>
        </w:rPr>
        <w:t>（加盖CA电子公章）</w:t>
      </w:r>
    </w:p>
    <w:p>
      <w:pPr>
        <w:pBdr>
          <w:top w:val="none" w:color="000000" w:sz="0" w:space="0"/>
          <w:left w:val="none" w:color="000000" w:sz="0" w:space="0"/>
          <w:bottom w:val="none" w:color="000000" w:sz="0" w:space="0"/>
          <w:right w:val="none" w:color="000000" w:sz="0" w:space="0"/>
        </w:pBdr>
        <w:spacing w:line="400" w:lineRule="atLeast"/>
        <w:ind w:firstLine="1200"/>
        <w:rPr>
          <w:rFonts w:ascii="宋体" w:hAnsi="宋体" w:cs="宋体"/>
          <w:color w:val="000000"/>
          <w:sz w:val="24"/>
          <w:szCs w:val="24"/>
        </w:rPr>
      </w:pPr>
      <w:r>
        <w:rPr>
          <w:rFonts w:ascii="宋体" w:hAnsi="宋体" w:cs="宋体"/>
          <w:color w:val="000000"/>
          <w:sz w:val="24"/>
          <w:szCs w:val="24"/>
        </w:rPr>
        <w:t>单位地址：           </w:t>
      </w:r>
    </w:p>
    <w:p>
      <w:pPr>
        <w:pBdr>
          <w:top w:val="none" w:color="000000" w:sz="0" w:space="0"/>
          <w:left w:val="none" w:color="000000" w:sz="0" w:space="0"/>
          <w:bottom w:val="none" w:color="000000" w:sz="0" w:space="0"/>
          <w:right w:val="none" w:color="000000" w:sz="0" w:space="0"/>
        </w:pBdr>
        <w:spacing w:line="400" w:lineRule="atLeast"/>
        <w:ind w:firstLine="1200"/>
        <w:rPr>
          <w:rFonts w:ascii="宋体" w:hAnsi="宋体" w:cs="宋体"/>
          <w:color w:val="000000"/>
          <w:sz w:val="24"/>
          <w:szCs w:val="24"/>
        </w:rPr>
      </w:pPr>
      <w:r>
        <w:rPr>
          <w:rFonts w:ascii="宋体" w:hAnsi="宋体" w:cs="宋体"/>
          <w:color w:val="000000"/>
          <w:sz w:val="24"/>
          <w:szCs w:val="24"/>
        </w:rPr>
        <w:t>日期：           </w:t>
      </w:r>
    </w:p>
    <w:p>
      <w:pPr>
        <w:pBdr>
          <w:top w:val="none" w:color="000000" w:sz="0" w:space="0"/>
          <w:left w:val="none" w:color="000000" w:sz="0" w:space="0"/>
          <w:bottom w:val="none" w:color="000000" w:sz="0" w:space="0"/>
          <w:right w:val="none" w:color="000000" w:sz="0" w:space="0"/>
        </w:pBdr>
        <w:spacing w:before="260" w:after="260"/>
      </w:pPr>
      <w:r>
        <w:rPr/>
        <w:br w:type="page" w:clear="all"/>
      </w:r>
    </w:p>
    <w:p>
      <w:pPr>
        <w:pBdr>
          <w:top w:val="none" w:color="000000" w:sz="0" w:space="0"/>
          <w:left w:val="none" w:color="000000" w:sz="0" w:space="0"/>
          <w:bottom w:val="none" w:color="000000" w:sz="0" w:space="0"/>
          <w:right w:val="none" w:color="000000" w:sz="0" w:space="0"/>
        </w:pBdr>
        <w:spacing w:before="260" w:after="260"/>
      </w:pPr>
      <w:r>
        <w:rPr>
          <w:rFonts w:ascii="宋体" w:hAnsi="宋体" w:cs="宋体"/>
          <w:b/>
          <w:color w:val="000000"/>
          <w:sz w:val="24"/>
        </w:rPr>
        <w:t>附件6              投标函</w:t>
      </w:r>
    </w:p>
    <w:p>
      <w:pPr>
        <w:pBdr>
          <w:top w:val="none" w:color="000000" w:sz="0" w:space="0"/>
          <w:left w:val="none" w:color="000000" w:sz="0" w:space="0"/>
          <w:bottom w:val="none" w:color="000000" w:sz="0" w:space="0"/>
          <w:right w:val="none" w:color="000000" w:sz="0" w:space="0"/>
        </w:pBdr>
        <w:spacing w:line="418" w:lineRule="atLeast"/>
      </w:pPr>
      <w:r>
        <w:rPr>
          <w:rFonts w:ascii="宋体" w:hAnsi="宋体" w:cs="宋体"/>
          <w:color w:val="000000"/>
          <w:sz w:val="24"/>
        </w:rPr>
        <w:t>致：扬州市公共资源交易中心：</w:t>
      </w:r>
    </w:p>
    <w:p>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根据贵方的</w:t>
      </w:r>
      <w:r>
        <w:rPr>
          <w:rFonts w:ascii="宋体" w:hAnsi="宋体" w:cs="宋体"/>
          <w:color w:val="000000"/>
          <w:sz w:val="24"/>
          <w:u w:val="single"/>
        </w:rPr>
        <w:t>****</w:t>
      </w:r>
      <w:r>
        <w:rPr>
          <w:rFonts w:ascii="宋体" w:hAnsi="宋体" w:cs="宋体"/>
          <w:color w:val="000000"/>
          <w:sz w:val="24"/>
        </w:rPr>
        <w:t>号招标文件，正式授权下述签字人_____(姓名)代表我方_______（投标人的名称），全权处理本次项目投标的有关事宜。</w:t>
      </w:r>
    </w:p>
    <w:p>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据此函，__________签字人兹宣布同意如下：</w:t>
      </w:r>
    </w:p>
    <w:p>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1.按招标文件规定的各项要求，向买方提供所需货物（包含与货物相关的服务）。</w:t>
      </w:r>
    </w:p>
    <w:p>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2.我们完全理解贵方不一定将合同授予最低报价的投标人。</w:t>
      </w:r>
    </w:p>
    <w:p>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3.我们已详细审核全部招标文件及其有效补充文件，我们知道必须放弃提出含糊不清或误解问题的权利。</w:t>
      </w:r>
    </w:p>
    <w:p>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4.我们同意从规定的开标日期起遵循本投标文件，并在规定的投标有效期期满之前均具有约束力。</w:t>
      </w:r>
    </w:p>
    <w:p>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5.同意向贵方提供贵方可能另外要求的与投标有关的任何证据或资料，并保证我方已提供和将要提供的文件是真实的、准确的。</w:t>
      </w:r>
    </w:p>
    <w:p>
      <w:pPr>
        <w:pBdr>
          <w:top w:val="none" w:color="000000" w:sz="0" w:space="0"/>
          <w:left w:val="none" w:color="000000" w:sz="0" w:space="0"/>
          <w:bottom w:val="none" w:color="000000" w:sz="0" w:space="0"/>
          <w:right w:val="none" w:color="000000" w:sz="0" w:space="0"/>
        </w:pBdr>
        <w:spacing w:line="418" w:lineRule="atLeast"/>
        <w:ind w:firstLine="480"/>
      </w:pPr>
      <w:r>
        <w:rPr>
          <w:rFonts w:ascii="宋体" w:hAnsi="宋体" w:cs="宋体"/>
          <w:color w:val="000000"/>
          <w:sz w:val="24"/>
        </w:rPr>
        <w:t>6.一旦我方中标,我方将根据招标文件的规定，严格履行合同的责任和义务,并保证在招标文件规定的时间完成项目，交付买方验收、使用。</w:t>
      </w:r>
    </w:p>
    <w:p>
      <w:pPr>
        <w:pBdr>
          <w:top w:val="none" w:color="000000" w:sz="0" w:space="0"/>
          <w:left w:val="none" w:color="000000" w:sz="0" w:space="0"/>
          <w:bottom w:val="none" w:color="000000" w:sz="0" w:space="0"/>
          <w:right w:val="none" w:color="000000" w:sz="0" w:space="0"/>
        </w:pBdr>
        <w:spacing w:line="418" w:lineRule="atLeast"/>
        <w:ind w:left="425"/>
      </w:pPr>
      <w:r>
        <w:rPr>
          <w:rFonts w:ascii="宋体" w:hAnsi="宋体" w:cs="宋体"/>
          <w:color w:val="000000"/>
          <w:sz w:val="24"/>
        </w:rPr>
        <w:t>7.与本投标有关的正式通讯地址为：</w:t>
      </w:r>
    </w:p>
    <w:p>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地址：</w:t>
      </w:r>
    </w:p>
    <w:p>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邮编：</w:t>
      </w:r>
    </w:p>
    <w:p>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电话：</w:t>
      </w:r>
    </w:p>
    <w:p>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传真：</w:t>
      </w:r>
    </w:p>
    <w:p>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投标人开户行：</w:t>
      </w:r>
    </w:p>
    <w:p>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 xml:space="preserve">账号： </w:t>
      </w:r>
    </w:p>
    <w:p>
      <w:pPr>
        <w:pBdr>
          <w:top w:val="none" w:color="000000" w:sz="0" w:space="0"/>
          <w:left w:val="none" w:color="000000" w:sz="0" w:space="0"/>
          <w:bottom w:val="none" w:color="000000" w:sz="0" w:space="0"/>
          <w:right w:val="none" w:color="000000" w:sz="0" w:space="0"/>
        </w:pBdr>
        <w:spacing w:line="418" w:lineRule="atLeast"/>
        <w:ind w:left="420" w:firstLine="480"/>
      </w:pPr>
      <w:r>
        <w:rPr>
          <w:rFonts w:ascii="宋体" w:hAnsi="宋体" w:cs="宋体"/>
          <w:color w:val="000000"/>
          <w:sz w:val="24"/>
        </w:rPr>
        <w:t>日期：______年____月____日</w:t>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50" w:lineRule="atLeast"/>
        <w:ind w:firstLine="200"/>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50" w:lineRule="atLeast"/>
        <w:ind w:firstLine="200"/>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50" w:lineRule="atLeast"/>
        <w:ind w:firstLine="200"/>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50" w:lineRule="atLeast"/>
        <w:ind w:firstLine="200"/>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50" w:lineRule="atLeast"/>
        <w:ind w:firstLine="200"/>
        <w:rPr>
          <w:rFonts w:ascii="宋体" w:hAnsi="宋体" w:cs="宋体"/>
          <w:b/>
          <w:color w:val="000000"/>
          <w:sz w:val="24"/>
        </w:rPr>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50" w:lineRule="atLeast"/>
        <w:ind w:firstLine="200"/>
      </w:pPr>
    </w:p>
    <w:p>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pPr>
        <w:pBdr>
          <w:top w:val="none" w:color="000000" w:sz="0" w:space="0"/>
          <w:left w:val="none" w:color="000000" w:sz="0" w:space="0"/>
          <w:bottom w:val="none" w:color="000000" w:sz="0" w:space="0"/>
          <w:right w:val="none" w:color="000000" w:sz="0" w:space="0"/>
        </w:pBdr>
        <w:spacing w:line="450" w:lineRule="atLeast"/>
      </w:pPr>
      <w:r>
        <w:rPr>
          <w:rFonts w:ascii="宋体" w:hAnsi="宋体" w:cs="宋体"/>
          <w:b/>
          <w:color w:val="000000"/>
          <w:sz w:val="24"/>
        </w:rPr>
        <w:t>附件7           主要标的信息（中标后将公示）</w:t>
      </w:r>
    </w:p>
    <w:p>
      <w:pPr>
        <w:pBdr>
          <w:top w:val="none" w:color="000000" w:sz="0" w:space="0"/>
          <w:left w:val="none" w:color="000000" w:sz="0" w:space="0"/>
          <w:bottom w:val="none" w:color="000000" w:sz="0" w:space="0"/>
          <w:right w:val="none" w:color="000000" w:sz="0" w:space="0"/>
        </w:pBdr>
        <w:spacing w:after="312"/>
      </w:pPr>
      <w:r>
        <w:rPr>
          <w:rFonts w:ascii="宋体" w:hAnsi="宋体" w:cs="宋体"/>
          <w:color w:val="000000"/>
          <w:sz w:val="24"/>
        </w:rPr>
        <w:t>投标人全称：</w:t>
      </w:r>
    </w:p>
    <w:tbl>
      <w:tblPr>
        <w:tblStyle w:val="56"/>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3433"/>
        <w:gridCol w:w="3296"/>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343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货物类</w:t>
            </w:r>
          </w:p>
        </w:tc>
        <w:tc>
          <w:tcPr>
            <w:tcW w:w="3296"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服务类</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3810" w:hRule="atLeast"/>
        </w:trPr>
        <w:tc>
          <w:tcPr>
            <w:tcW w:w="343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名称：</w:t>
            </w:r>
          </w:p>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品牌（如有）：</w:t>
            </w:r>
          </w:p>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规格型号：</w:t>
            </w:r>
          </w:p>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数量：</w:t>
            </w:r>
          </w:p>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单价：</w:t>
            </w:r>
          </w:p>
        </w:tc>
        <w:tc>
          <w:tcPr>
            <w:tcW w:w="3296"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名称：</w:t>
            </w:r>
          </w:p>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服务范围：</w:t>
            </w:r>
          </w:p>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服务要求：</w:t>
            </w:r>
          </w:p>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服务时间：</w:t>
            </w:r>
          </w:p>
          <w:p>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服务标准：</w:t>
            </w:r>
          </w:p>
        </w:tc>
      </w:tr>
    </w:tbl>
    <w:p>
      <w:pPr>
        <w:pBdr>
          <w:top w:val="none" w:color="000000" w:sz="0" w:space="0"/>
          <w:left w:val="none" w:color="000000" w:sz="0" w:space="0"/>
          <w:bottom w:val="none" w:color="000000" w:sz="0" w:space="0"/>
          <w:right w:val="none" w:color="000000" w:sz="0" w:space="0"/>
        </w:pBdr>
        <w:spacing w:line="450" w:lineRule="atLeast"/>
      </w:pPr>
    </w:p>
    <w:p>
      <w:pPr>
        <w:pBdr>
          <w:top w:val="none" w:color="000000" w:sz="0" w:space="0"/>
          <w:left w:val="none" w:color="000000" w:sz="0" w:space="0"/>
          <w:bottom w:val="none" w:color="000000" w:sz="0" w:space="0"/>
          <w:right w:val="none" w:color="000000" w:sz="0" w:space="0"/>
        </w:pBdr>
        <w:spacing w:line="450" w:lineRule="atLeast"/>
        <w:ind w:firstLine="200"/>
      </w:pPr>
      <w:r>
        <w:rPr>
          <w:rFonts w:ascii="仿宋" w:hAnsi="仿宋" w:eastAsia="仿宋" w:cs="仿宋"/>
          <w:b/>
          <w:color w:val="000000"/>
          <w:sz w:val="24"/>
        </w:rPr>
        <w:t>  </w:t>
      </w:r>
    </w:p>
    <w:p>
      <w:pPr>
        <w:pBdr>
          <w:top w:val="none" w:color="000000" w:sz="0" w:space="0"/>
          <w:left w:val="none" w:color="000000" w:sz="0" w:space="0"/>
          <w:bottom w:val="none" w:color="000000" w:sz="0" w:space="0"/>
          <w:right w:val="none" w:color="000000" w:sz="0" w:space="0"/>
        </w:pBdr>
        <w:spacing w:line="450" w:lineRule="atLeast"/>
      </w:pPr>
      <w:r>
        <w:rPr>
          <w:rFonts w:ascii="宋体" w:hAnsi="宋体" w:cs="宋体"/>
          <w:b/>
          <w:color w:val="000000"/>
          <w:sz w:val="24"/>
        </w:rPr>
        <w:t>附件8</w:t>
      </w:r>
    </w:p>
    <w:p>
      <w:pPr>
        <w:pBdr>
          <w:top w:val="none" w:color="000000" w:sz="0" w:space="0"/>
          <w:left w:val="none" w:color="000000" w:sz="0" w:space="0"/>
          <w:bottom w:val="none" w:color="000000" w:sz="0" w:space="0"/>
          <w:right w:val="none" w:color="000000" w:sz="0" w:space="0"/>
        </w:pBdr>
        <w:ind w:firstLine="1205"/>
      </w:pPr>
      <w:r>
        <w:rPr>
          <w:rFonts w:ascii="宋体" w:hAnsi="宋体" w:cs="宋体"/>
          <w:b/>
          <w:color w:val="000000"/>
          <w:sz w:val="24"/>
        </w:rPr>
        <w:t>具备履行合同所必需的设备和专业技术能力的书面声明</w:t>
      </w:r>
    </w:p>
    <w:p>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color w:val="000000"/>
          <w:sz w:val="24"/>
        </w:rPr>
        <w:t>我单位郑重声明：我单位具备履行本项采购合同所必需的设备和专业技术能力，为履行本项采购合同我公司具备如下主要设备和主要专业技术能力：</w:t>
      </w:r>
    </w:p>
    <w:p>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color w:val="000000"/>
          <w:sz w:val="24"/>
        </w:rPr>
        <w:t>主要设备有：</w:t>
      </w:r>
      <w:r>
        <w:rPr>
          <w:rFonts w:ascii="宋体" w:hAnsi="宋体" w:cs="宋体"/>
          <w:color w:val="000000"/>
          <w:sz w:val="24"/>
          <w:u w:val="single"/>
        </w:rPr>
        <w:t>           </w:t>
      </w:r>
      <w:r>
        <w:rPr>
          <w:rFonts w:ascii="宋体" w:hAnsi="宋体" w:cs="宋体"/>
          <w:color w:val="000000"/>
          <w:sz w:val="24"/>
        </w:rPr>
        <w:t>。</w:t>
      </w:r>
    </w:p>
    <w:p>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color w:val="000000"/>
          <w:sz w:val="24"/>
        </w:rPr>
        <w:t>主要专业技术能力有：</w:t>
      </w:r>
      <w:r>
        <w:rPr>
          <w:rFonts w:ascii="宋体" w:hAnsi="宋体" w:cs="宋体"/>
          <w:color w:val="000000"/>
          <w:sz w:val="24"/>
          <w:u w:val="single"/>
        </w:rPr>
        <w:t>           </w:t>
      </w:r>
      <w:r>
        <w:rPr>
          <w:rFonts w:ascii="宋体" w:hAnsi="宋体" w:cs="宋体"/>
          <w:color w:val="000000"/>
          <w:sz w:val="24"/>
        </w:rPr>
        <w:t>。</w:t>
      </w:r>
    </w:p>
    <w:p>
      <w:pPr>
        <w:pBdr>
          <w:top w:val="none" w:color="000000" w:sz="0" w:space="0"/>
          <w:left w:val="none" w:color="000000" w:sz="0" w:space="0"/>
          <w:bottom w:val="none" w:color="000000" w:sz="0" w:space="0"/>
          <w:right w:val="none" w:color="000000" w:sz="0" w:space="0"/>
        </w:pBdr>
        <w:spacing w:line="460" w:lineRule="atLeast"/>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460" w:lineRule="atLeast"/>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450" w:lineRule="atLeast"/>
      </w:pPr>
      <w:r>
        <w:rPr>
          <w:rFonts w:ascii="宋体" w:hAnsi="宋体" w:cs="宋体"/>
          <w:b/>
          <w:color w:val="000000"/>
          <w:sz w:val="24"/>
        </w:rPr>
        <w:t>附件9</w:t>
      </w:r>
    </w:p>
    <w:p>
      <w:pPr>
        <w:pBdr>
          <w:top w:val="none" w:color="000000" w:sz="0" w:space="0"/>
          <w:left w:val="none" w:color="000000" w:sz="0" w:space="0"/>
          <w:bottom w:val="none" w:color="000000" w:sz="0" w:space="0"/>
          <w:right w:val="none" w:color="000000" w:sz="0" w:space="0"/>
        </w:pBdr>
        <w:spacing w:line="460" w:lineRule="atLeast"/>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ind w:left="480"/>
      </w:pPr>
      <w:r>
        <w:rPr>
          <w:rFonts w:ascii="宋体" w:hAnsi="宋体" w:cs="宋体"/>
          <w:b/>
          <w:color w:val="000000"/>
          <w:sz w:val="24"/>
        </w:rPr>
        <w:t>参加政府采购活动前 3 年内在经营活动中没有重大违法记录的书面声明</w:t>
      </w:r>
    </w:p>
    <w:p>
      <w:pPr>
        <w:pBdr>
          <w:top w:val="none" w:color="000000" w:sz="0" w:space="0"/>
          <w:left w:val="none" w:color="000000" w:sz="0" w:space="0"/>
          <w:bottom w:val="none" w:color="000000" w:sz="0" w:space="0"/>
          <w:right w:val="none" w:color="000000" w:sz="0" w:space="0"/>
        </w:pBdr>
        <w:spacing w:line="460" w:lineRule="atLeast"/>
        <w:jc w:val="center"/>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我单位郑重声明：参加本次政府采购活动前3年内，我单位在经营活动中没有因违法经营受到刑事处罚或者责令停产停业、吊销许可证或者执照、较大数额罚款等行政处罚。</w:t>
      </w:r>
    </w:p>
    <w:p>
      <w:pPr>
        <w:pBdr>
          <w:top w:val="none" w:color="000000" w:sz="0" w:space="0"/>
          <w:left w:val="none" w:color="000000" w:sz="0" w:space="0"/>
          <w:bottom w:val="none" w:color="000000" w:sz="0" w:space="0"/>
          <w:right w:val="none" w:color="000000" w:sz="0" w:space="0"/>
        </w:pBdr>
        <w:spacing w:line="460" w:lineRule="atLeast"/>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60" w:lineRule="atLeast"/>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99" w:lineRule="atLeast"/>
      </w:pPr>
      <w:r>
        <w:rPr>
          <w:rFonts w:ascii="宋体" w:hAnsi="宋体" w:cs="宋体"/>
          <w:b/>
          <w:color w:val="000000"/>
          <w:sz w:val="24"/>
        </w:rPr>
        <w:t>附件10           供应商信用承诺函</w:t>
      </w:r>
    </w:p>
    <w:p>
      <w:pPr>
        <w:pBdr>
          <w:top w:val="none" w:color="000000" w:sz="0" w:space="0"/>
          <w:left w:val="none" w:color="000000" w:sz="0" w:space="0"/>
          <w:bottom w:val="none" w:color="000000" w:sz="0" w:space="0"/>
          <w:right w:val="none" w:color="000000" w:sz="0" w:space="0"/>
        </w:pBdr>
        <w:spacing w:line="499" w:lineRule="atLeast"/>
      </w:pPr>
      <w:r>
        <w:rPr>
          <w:rFonts w:ascii="仿宋" w:hAnsi="仿宋" w:eastAsia="仿宋" w:cs="仿宋"/>
          <w:color w:val="000000"/>
          <w:sz w:val="24"/>
        </w:rPr>
        <w:t> </w:t>
      </w:r>
    </w:p>
    <w:p>
      <w:pPr>
        <w:pBdr>
          <w:top w:val="none" w:color="000000" w:sz="0" w:space="0"/>
          <w:left w:val="none" w:color="000000" w:sz="0" w:space="0"/>
          <w:bottom w:val="none" w:color="000000" w:sz="0" w:space="0"/>
          <w:right w:val="none" w:color="000000" w:sz="0" w:space="0"/>
        </w:pBdr>
        <w:spacing w:line="558" w:lineRule="atLeast"/>
      </w:pPr>
      <w:r>
        <w:rPr>
          <w:rFonts w:ascii="宋体" w:hAnsi="宋体" w:cs="宋体"/>
          <w:color w:val="000000"/>
          <w:sz w:val="24"/>
        </w:rPr>
        <w:t>承诺主体名称：</w:t>
      </w:r>
    </w:p>
    <w:p>
      <w:pPr>
        <w:pBdr>
          <w:top w:val="none" w:color="000000" w:sz="0" w:space="0"/>
          <w:left w:val="none" w:color="000000" w:sz="0" w:space="0"/>
          <w:bottom w:val="none" w:color="000000" w:sz="0" w:space="0"/>
          <w:right w:val="none" w:color="000000" w:sz="0" w:space="0"/>
        </w:pBdr>
        <w:spacing w:line="558" w:lineRule="atLeast"/>
      </w:pPr>
      <w:r>
        <w:rPr>
          <w:rFonts w:ascii="宋体" w:hAnsi="宋体" w:cs="宋体"/>
          <w:color w:val="000000"/>
          <w:sz w:val="24"/>
        </w:rPr>
        <w:t>统一社会信用代码：</w:t>
      </w:r>
    </w:p>
    <w:p>
      <w:pPr>
        <w:pBdr>
          <w:top w:val="none" w:color="000000" w:sz="0" w:space="0"/>
          <w:left w:val="none" w:color="000000" w:sz="0" w:space="0"/>
          <w:bottom w:val="none" w:color="000000" w:sz="0" w:space="0"/>
          <w:right w:val="none" w:color="000000" w:sz="0" w:space="0"/>
        </w:pBdr>
        <w:spacing w:line="558" w:lineRule="atLeast"/>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为维护公平竞争、规范有序的市场秩序，营造诚实守信的信用环境，共同推进社会信用体系建设完善，树立企业诚信守法形象，本企业对________________________项目政府采购活动郑重承诺如下:</w:t>
      </w:r>
    </w:p>
    <w:p>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一、对提供给注册登记部门、行业管理部门、司法部门、行业组织以及在政府采购活动中提交的所有资料的合法性、真实性、准确性和有效性负责；</w:t>
      </w:r>
    </w:p>
    <w:p>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二、严格按照国家法律、法规和规章开展采购活动，全面履行应尽的责任和义务，全面做到履约守信，具备《中华人民共和国政府采购法》第二十二条第一款规定的条件;</w:t>
      </w:r>
    </w:p>
    <w:p>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三、严格依法开展生产经营活动，主动接受行业监管，自愿接受依法开展的日常检查；违法失信经营后将自愿接受约束和惩戒，并依法承担相应责任；</w:t>
      </w:r>
    </w:p>
    <w:p>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四、自觉接受行政管理部门、行业组织、社会公众、新闻舆论的监督；</w:t>
      </w:r>
    </w:p>
    <w:p>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五、自觉做到自我约束、自我管理，不制假售假、商标侵权、虚假宣传、违约毁约、恶意逃债、偷税漏税、垄断和不正当竞争，维护经营者、消费者的合法权益；</w:t>
      </w:r>
    </w:p>
    <w:p>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六、提出政府采购质疑和投诉坚持依法依规、诚实信用原则，在全国范围12个月内没有三次以上查无实据的政府采购投诉；</w:t>
      </w:r>
    </w:p>
    <w:p>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七、严格遵守信用信息公示相关规定，向社会公示信用信息；</w:t>
      </w:r>
    </w:p>
    <w:p>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八、在“信用中国”和“中国政府采购网”网站中无严重失信记录；</w:t>
      </w:r>
    </w:p>
    <w:p>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九、如违反承诺，自愿接受管理部门依法给予的行政处罚，同意将违反承诺的行为作为不良记录记入信用档案，依法依规进行信息公示，并承担所产生的一切法律责任和经济损失。</w:t>
      </w:r>
    </w:p>
    <w:p>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十、本承诺书自签订之日起生效。</w:t>
      </w:r>
    </w:p>
    <w:p>
      <w:pPr>
        <w:pBdr>
          <w:top w:val="none" w:color="000000" w:sz="0" w:space="0"/>
          <w:left w:val="none" w:color="000000" w:sz="0" w:space="0"/>
          <w:bottom w:val="none" w:color="000000" w:sz="0" w:space="0"/>
          <w:right w:val="none" w:color="000000" w:sz="0" w:space="0"/>
        </w:pBdr>
        <w:spacing w:line="558" w:lineRule="atLeast"/>
        <w:ind w:firstLine="420"/>
      </w:pPr>
      <w:r>
        <w:rPr>
          <w:rFonts w:ascii="宋体" w:hAnsi="宋体" w:cs="宋体"/>
          <w:color w:val="000000"/>
          <w:sz w:val="24"/>
        </w:rPr>
        <w:t> （注：法定代表人或负责人、主体名称发生变更的应当重新做出承诺。）</w:t>
      </w:r>
    </w:p>
    <w:p>
      <w:pPr>
        <w:pBdr>
          <w:top w:val="none" w:color="000000" w:sz="0" w:space="0"/>
          <w:left w:val="none" w:color="000000" w:sz="0" w:space="0"/>
          <w:bottom w:val="none" w:color="000000" w:sz="0" w:space="0"/>
          <w:right w:val="none" w:color="000000" w:sz="0" w:space="0"/>
        </w:pBdr>
        <w:spacing w:line="558" w:lineRule="atLeast"/>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558" w:lineRule="atLeast"/>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558" w:lineRule="atLeast"/>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558" w:lineRule="atLeast"/>
        <w:jc w:val="center"/>
      </w:pPr>
      <w:r>
        <w:rPr>
          <w:rFonts w:ascii="宋体" w:hAnsi="宋体" w:cs="宋体"/>
          <w:color w:val="000000"/>
          <w:sz w:val="24"/>
        </w:rPr>
        <w:t>          承诺单位（加盖CA电子公章）：    </w:t>
      </w:r>
    </w:p>
    <w:p>
      <w:pPr>
        <w:pBdr>
          <w:top w:val="none" w:color="000000" w:sz="0" w:space="0"/>
          <w:left w:val="none" w:color="000000" w:sz="0" w:space="0"/>
          <w:bottom w:val="none" w:color="000000" w:sz="0" w:space="0"/>
          <w:right w:val="none" w:color="000000" w:sz="0" w:space="0"/>
        </w:pBdr>
        <w:spacing w:line="558" w:lineRule="atLeast"/>
        <w:jc w:val="center"/>
      </w:pPr>
      <w:r>
        <w:rPr>
          <w:rFonts w:ascii="宋体" w:hAnsi="宋体" w:cs="宋体"/>
          <w:color w:val="000000"/>
          <w:sz w:val="24"/>
        </w:rPr>
        <w:t>          年  月  日</w:t>
      </w:r>
    </w:p>
    <w:p>
      <w:pPr>
        <w:pBdr>
          <w:top w:val="none" w:color="000000" w:sz="0" w:space="0"/>
          <w:left w:val="none" w:color="000000" w:sz="0" w:space="0"/>
          <w:bottom w:val="none" w:color="000000" w:sz="0" w:space="0"/>
          <w:right w:val="none" w:color="000000" w:sz="0" w:space="0"/>
        </w:pBdr>
        <w:spacing w:line="558" w:lineRule="atLeast"/>
        <w:jc w:val="center"/>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after="361"/>
      </w:pPr>
      <w:r>
        <w:rPr>
          <w:rFonts w:ascii="宋体" w:hAnsi="宋体" w:cs="宋体"/>
          <w:b/>
          <w:color w:val="000000"/>
          <w:sz w:val="24"/>
        </w:rPr>
        <w:t>附件11        中小企业声明函（服务类项目）（采购包号：**）</w:t>
      </w:r>
    </w:p>
    <w:p>
      <w:pPr>
        <w:pBdr>
          <w:top w:val="none" w:color="000000" w:sz="0" w:space="0"/>
          <w:left w:val="none" w:color="000000" w:sz="0" w:space="0"/>
          <w:bottom w:val="none" w:color="000000" w:sz="0" w:space="0"/>
          <w:right w:val="none" w:color="000000" w:sz="0" w:space="0"/>
        </w:pBdr>
        <w:ind w:firstLine="360"/>
      </w:pPr>
      <w:r>
        <w:rPr>
          <w:rFonts w:ascii="宋体" w:hAnsi="宋体" w:cs="宋体"/>
          <w:color w:val="000000"/>
          <w:sz w:val="24"/>
        </w:rPr>
        <w:t>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（项目名称）（采购包号：**）</w:t>
      </w:r>
      <w:r>
        <w:rPr>
          <w:rFonts w:ascii="宋体" w:hAnsi="宋体" w:cs="宋体"/>
          <w:color w:val="000000"/>
          <w:sz w:val="24"/>
        </w:rPr>
        <w:t>的采购活动，服务全部由符合政策的中小企业承接。相关企业（含联合体中的中小企业、签订采购包意向协议的中小企业）的具体情况如下：</w:t>
      </w:r>
    </w:p>
    <w:p>
      <w:pPr>
        <w:pBdr>
          <w:top w:val="none" w:color="000000" w:sz="0" w:space="0"/>
          <w:left w:val="none" w:color="000000" w:sz="0" w:space="0"/>
          <w:bottom w:val="none" w:color="000000" w:sz="0" w:space="0"/>
          <w:right w:val="none" w:color="000000" w:sz="0" w:space="0"/>
        </w:pBdr>
        <w:ind w:firstLine="360"/>
      </w:pPr>
      <w:r>
        <w:rPr>
          <w:rFonts w:ascii="宋体" w:hAnsi="宋体" w:cs="宋体"/>
          <w:color w:val="000000"/>
          <w:sz w:val="24"/>
        </w:rPr>
        <w:t>1.</w:t>
      </w:r>
      <w:r>
        <w:rPr>
          <w:rFonts w:ascii="宋体" w:hAnsi="宋体" w:cs="宋体"/>
          <w:color w:val="000000"/>
          <w:sz w:val="24"/>
          <w:u w:val="single"/>
        </w:rPr>
        <w:t>（标的名称）</w:t>
      </w:r>
      <w:r>
        <w:rPr>
          <w:rFonts w:ascii="宋体" w:hAnsi="宋体" w:cs="宋体"/>
          <w:i/>
          <w:color w:val="000000"/>
          <w:sz w:val="24"/>
        </w:rPr>
        <w:t>，</w:t>
      </w:r>
      <w:r>
        <w:rPr>
          <w:rFonts w:ascii="宋体" w:hAnsi="宋体" w:cs="宋体"/>
          <w:color w:val="000000"/>
          <w:sz w:val="24"/>
        </w:rPr>
        <w:t>属于</w:t>
      </w:r>
      <w:r>
        <w:rPr>
          <w:rFonts w:hint="eastAsia" w:asciiTheme="minorEastAsia" w:hAnsiTheme="minorEastAsia" w:eastAsiaTheme="minorEastAsia" w:cstheme="minorEastAsia"/>
          <w:b/>
          <w:iCs/>
          <w:sz w:val="24"/>
          <w:szCs w:val="24"/>
          <w:u w:val="single"/>
        </w:rPr>
        <w:t>软件和信息技术服务业</w:t>
      </w:r>
      <w:r>
        <w:rPr>
          <w:rFonts w:ascii="宋体" w:hAnsi="宋体" w:cs="宋体"/>
          <w:color w:val="000000"/>
          <w:sz w:val="24"/>
        </w:rPr>
        <w:t>行业；承接企业为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xml:space="preserve">      </w:t>
      </w:r>
      <w:r>
        <w:rPr>
          <w:rFonts w:ascii="宋体" w:hAnsi="宋体" w:cs="宋体"/>
          <w:color w:val="000000"/>
          <w:sz w:val="24"/>
        </w:rPr>
        <w:t>人，营业收入为</w:t>
      </w:r>
      <w:r>
        <w:rPr>
          <w:rFonts w:ascii="宋体" w:hAnsi="宋体" w:cs="宋体"/>
          <w:color w:val="000000"/>
          <w:sz w:val="24"/>
          <w:u w:val="single"/>
        </w:rPr>
        <w:t xml:space="preserve">     </w:t>
      </w:r>
      <w:r>
        <w:rPr>
          <w:rFonts w:ascii="宋体" w:hAnsi="宋体" w:cs="宋体"/>
          <w:color w:val="000000"/>
          <w:sz w:val="24"/>
        </w:rPr>
        <w:t>万元，资产总额为</w:t>
      </w:r>
      <w:r>
        <w:rPr>
          <w:rFonts w:ascii="宋体" w:hAnsi="宋体" w:cs="宋体"/>
          <w:color w:val="000000"/>
          <w:sz w:val="24"/>
          <w:u w:val="single"/>
        </w:rPr>
        <w:t xml:space="preserve">      </w:t>
      </w:r>
      <w:r>
        <w:rPr>
          <w:rFonts w:ascii="宋体" w:hAnsi="宋体" w:cs="宋体"/>
          <w:color w:val="000000"/>
          <w:sz w:val="24"/>
        </w:rPr>
        <w:t>万元</w:t>
      </w:r>
      <w:r>
        <w:rPr>
          <w:rFonts w:ascii="宋体" w:hAnsi="宋体" w:cs="宋体"/>
          <w:color w:val="000000"/>
          <w:sz w:val="24"/>
          <w:vertAlign w:val="superscript"/>
        </w:rPr>
        <w:t>1</w:t>
      </w:r>
      <w:r>
        <w:rPr>
          <w:rFonts w:ascii="宋体" w:hAnsi="宋体" w:cs="宋体"/>
          <w:color w:val="000000"/>
          <w:sz w:val="24"/>
        </w:rPr>
        <w:t>，属于</w:t>
      </w:r>
      <w:r>
        <w:rPr>
          <w:rFonts w:ascii="宋体" w:hAnsi="宋体" w:cs="宋体"/>
          <w:color w:val="000000"/>
          <w:sz w:val="24"/>
          <w:u w:val="single"/>
        </w:rPr>
        <w:t>（□中型企业 □小型企业 □微型企业）；</w:t>
      </w:r>
    </w:p>
    <w:p>
      <w:pPr>
        <w:pBdr>
          <w:top w:val="none" w:color="000000" w:sz="0" w:space="0"/>
          <w:left w:val="none" w:color="000000" w:sz="0" w:space="0"/>
          <w:bottom w:val="none" w:color="000000" w:sz="0" w:space="0"/>
          <w:right w:val="none" w:color="000000" w:sz="0" w:space="0"/>
        </w:pBdr>
        <w:ind w:firstLine="360"/>
      </w:pPr>
      <w:r>
        <w:rPr>
          <w:rFonts w:ascii="宋体" w:hAnsi="宋体" w:cs="宋体"/>
          <w:color w:val="000000"/>
          <w:sz w:val="24"/>
        </w:rPr>
        <w:t>2.</w:t>
      </w:r>
      <w:r>
        <w:rPr>
          <w:rFonts w:ascii="宋体" w:hAnsi="宋体" w:cs="宋体"/>
          <w:color w:val="000000"/>
          <w:sz w:val="24"/>
          <w:u w:val="single"/>
        </w:rPr>
        <w:t>（标的名称）</w:t>
      </w:r>
      <w:r>
        <w:rPr>
          <w:rFonts w:ascii="宋体" w:hAnsi="宋体" w:cs="宋体"/>
          <w:i/>
          <w:color w:val="000000"/>
          <w:sz w:val="24"/>
        </w:rPr>
        <w:t>，</w:t>
      </w:r>
      <w:r>
        <w:rPr>
          <w:rFonts w:ascii="宋体" w:hAnsi="宋体" w:cs="宋体"/>
          <w:color w:val="000000"/>
          <w:sz w:val="24"/>
        </w:rPr>
        <w:t>属于</w:t>
      </w:r>
      <w:r>
        <w:rPr>
          <w:rFonts w:hint="eastAsia" w:asciiTheme="minorEastAsia" w:hAnsiTheme="minorEastAsia" w:eastAsiaTheme="minorEastAsia" w:cstheme="minorEastAsia"/>
          <w:b/>
          <w:iCs/>
          <w:sz w:val="24"/>
          <w:szCs w:val="24"/>
          <w:u w:val="single"/>
        </w:rPr>
        <w:t>软件和信息技术服务业</w:t>
      </w:r>
      <w:r>
        <w:rPr>
          <w:rFonts w:ascii="宋体" w:hAnsi="宋体" w:cs="宋体"/>
          <w:color w:val="000000"/>
          <w:sz w:val="24"/>
        </w:rPr>
        <w:t>行业；承接企业为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xml:space="preserve">      </w:t>
      </w:r>
      <w:r>
        <w:rPr>
          <w:rFonts w:ascii="宋体" w:hAnsi="宋体" w:cs="宋体"/>
          <w:color w:val="000000"/>
          <w:sz w:val="24"/>
        </w:rPr>
        <w:t>人，营业收入为</w:t>
      </w:r>
      <w:r>
        <w:rPr>
          <w:rFonts w:ascii="宋体" w:hAnsi="宋体" w:cs="宋体"/>
          <w:color w:val="000000"/>
          <w:sz w:val="24"/>
          <w:u w:val="single"/>
        </w:rPr>
        <w:t xml:space="preserve">     </w:t>
      </w:r>
      <w:r>
        <w:rPr>
          <w:rFonts w:ascii="宋体" w:hAnsi="宋体" w:cs="宋体"/>
          <w:color w:val="000000"/>
          <w:sz w:val="24"/>
        </w:rPr>
        <w:t>万元，资产总额为</w:t>
      </w:r>
      <w:r>
        <w:rPr>
          <w:rFonts w:ascii="宋体" w:hAnsi="宋体" w:cs="宋体"/>
          <w:color w:val="000000"/>
          <w:sz w:val="24"/>
          <w:u w:val="single"/>
        </w:rPr>
        <w:t xml:space="preserve">      </w:t>
      </w:r>
      <w:r>
        <w:rPr>
          <w:rFonts w:ascii="宋体" w:hAnsi="宋体" w:cs="宋体"/>
          <w:color w:val="000000"/>
          <w:sz w:val="24"/>
        </w:rPr>
        <w:t>万元</w:t>
      </w:r>
      <w:r>
        <w:rPr>
          <w:rFonts w:ascii="宋体" w:hAnsi="宋体" w:cs="宋体"/>
          <w:color w:val="000000"/>
          <w:sz w:val="24"/>
          <w:vertAlign w:val="superscript"/>
        </w:rPr>
        <w:t>1</w:t>
      </w:r>
      <w:r>
        <w:rPr>
          <w:rFonts w:ascii="宋体" w:hAnsi="宋体" w:cs="宋体"/>
          <w:color w:val="000000"/>
          <w:sz w:val="24"/>
        </w:rPr>
        <w:t>，属于</w:t>
      </w:r>
      <w:r>
        <w:rPr>
          <w:rFonts w:ascii="宋体" w:hAnsi="宋体" w:cs="宋体"/>
          <w:color w:val="000000"/>
          <w:sz w:val="24"/>
          <w:u w:val="single"/>
        </w:rPr>
        <w:t>（□中型企业 □小型企业 □微型企业）；</w:t>
      </w:r>
    </w:p>
    <w:p>
      <w:pPr>
        <w:pBdr>
          <w:top w:val="none" w:color="000000" w:sz="0" w:space="0"/>
          <w:left w:val="none" w:color="000000" w:sz="0" w:space="0"/>
          <w:bottom w:val="none" w:color="000000" w:sz="0" w:space="0"/>
          <w:right w:val="none" w:color="000000" w:sz="0" w:space="0"/>
        </w:pBdr>
        <w:ind w:firstLine="360"/>
      </w:pPr>
      <w:r>
        <w:rPr>
          <w:rFonts w:ascii="宋体" w:hAnsi="宋体" w:cs="宋体"/>
          <w:color w:val="000000"/>
          <w:sz w:val="24"/>
        </w:rPr>
        <w:t>……</w:t>
      </w:r>
    </w:p>
    <w:p>
      <w:pPr>
        <w:pBdr>
          <w:top w:val="none" w:color="000000" w:sz="0" w:space="0"/>
          <w:left w:val="none" w:color="000000" w:sz="0" w:space="0"/>
          <w:bottom w:val="none" w:color="000000" w:sz="0" w:space="0"/>
          <w:right w:val="none" w:color="000000" w:sz="0" w:space="0"/>
        </w:pBdr>
        <w:ind w:firstLine="360"/>
      </w:pPr>
      <w:r>
        <w:rPr>
          <w:rFonts w:ascii="宋体" w:hAnsi="宋体" w:cs="宋体"/>
          <w:color w:val="000000"/>
          <w:sz w:val="24"/>
        </w:rPr>
        <w:t>以上企业，不属于大企业的分支机构，不存在控股股东为大企业的情形，也不存在与大企业的负责人为同一人的情形。</w:t>
      </w:r>
    </w:p>
    <w:p>
      <w:pPr>
        <w:pBdr>
          <w:top w:val="none" w:color="000000" w:sz="0" w:space="0"/>
          <w:left w:val="none" w:color="000000" w:sz="0" w:space="0"/>
          <w:bottom w:val="none" w:color="000000" w:sz="0" w:space="0"/>
          <w:right w:val="none" w:color="000000" w:sz="0" w:space="0"/>
        </w:pBdr>
        <w:ind w:firstLine="360"/>
      </w:pPr>
      <w:r>
        <w:rPr>
          <w:rFonts w:ascii="宋体" w:hAnsi="宋体" w:cs="宋体"/>
          <w:color w:val="000000"/>
          <w:sz w:val="24"/>
        </w:rPr>
        <w:t>本企业对上述声明内容的真实性负责。如有虚假，将依法承担相应责任</w:t>
      </w:r>
    </w:p>
    <w:p>
      <w:pPr>
        <w:pBdr>
          <w:top w:val="none" w:color="000000" w:sz="0" w:space="0"/>
          <w:left w:val="none" w:color="000000" w:sz="0" w:space="0"/>
          <w:bottom w:val="none" w:color="000000" w:sz="0" w:space="0"/>
          <w:right w:val="none" w:color="000000" w:sz="0" w:space="0"/>
        </w:pBdr>
        <w:ind w:right="720"/>
      </w:pPr>
      <w:r>
        <w:rPr>
          <w:rFonts w:eastAsia="Times New Roman"/>
          <w:color w:val="000000"/>
          <w:sz w:val="24"/>
        </w:rPr>
        <w:t> </w:t>
      </w:r>
    </w:p>
    <w:p>
      <w:pPr>
        <w:pBdr>
          <w:top w:val="none" w:color="000000" w:sz="0" w:space="0"/>
          <w:left w:val="none" w:color="000000" w:sz="0" w:space="0"/>
          <w:bottom w:val="none" w:color="000000" w:sz="0" w:space="0"/>
          <w:right w:val="none" w:color="000000" w:sz="0" w:space="0"/>
        </w:pBdr>
        <w:ind w:right="180" w:firstLine="360"/>
        <w:jc w:val="right"/>
      </w:pPr>
      <w:r>
        <w:rPr>
          <w:rFonts w:ascii="宋体" w:hAnsi="宋体" w:cs="宋体"/>
          <w:color w:val="000000"/>
          <w:sz w:val="24"/>
        </w:rPr>
        <w:t>企业名称（加盖CA电子公章）：</w:t>
      </w:r>
    </w:p>
    <w:p>
      <w:pPr>
        <w:pBdr>
          <w:top w:val="none" w:color="000000" w:sz="0" w:space="0"/>
          <w:left w:val="none" w:color="000000" w:sz="0" w:space="0"/>
          <w:bottom w:val="none" w:color="000000" w:sz="0" w:space="0"/>
          <w:right w:val="none" w:color="000000" w:sz="0" w:space="0"/>
        </w:pBdr>
        <w:ind w:right="480" w:firstLine="5400"/>
      </w:pPr>
      <w:r>
        <w:rPr>
          <w:rFonts w:ascii="宋体" w:hAnsi="宋体" w:cs="宋体"/>
          <w:color w:val="000000"/>
          <w:sz w:val="24"/>
        </w:rPr>
        <w:t>日  期：</w:t>
      </w:r>
    </w:p>
    <w:p>
      <w:pPr>
        <w:pBdr>
          <w:top w:val="none" w:color="000000" w:sz="0" w:space="0"/>
          <w:left w:val="none" w:color="000000" w:sz="0" w:space="0"/>
          <w:bottom w:val="none" w:color="000000" w:sz="0" w:space="0"/>
          <w:right w:val="none" w:color="000000" w:sz="0" w:space="0"/>
        </w:pBdr>
        <w:ind w:firstLine="240"/>
      </w:pPr>
      <w:r>
        <w:rPr>
          <w:rFonts w:eastAsia="Times New Roman"/>
          <w:color w:val="000000"/>
          <w:sz w:val="24"/>
        </w:rPr>
        <w:t> </w:t>
      </w:r>
    </w:p>
    <w:p>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备注：</w:t>
      </w:r>
    </w:p>
    <w:p>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1.从业人员、营业收入、资产总额填报上一年度数据，无上一年度数据的新成立企业可不填报。</w:t>
      </w:r>
    </w:p>
    <w:p>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2.专门面向中小微型企业采购的项目，供应商如不提供此声明函，则不能通过资格审查；非专门面向中小微型企业采购的项目，供应商如不提供此声明函，价格将不做相应扣除。</w:t>
      </w:r>
    </w:p>
    <w:p>
      <w:pPr>
        <w:pBdr>
          <w:top w:val="none" w:color="000000" w:sz="0" w:space="0"/>
          <w:left w:val="none" w:color="000000" w:sz="0" w:space="0"/>
          <w:bottom w:val="none" w:color="000000" w:sz="0" w:space="0"/>
          <w:right w:val="none" w:color="000000" w:sz="0" w:space="0"/>
        </w:pBdr>
        <w:ind w:left="540" w:hanging="120"/>
        <w:rPr>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3.供应商应对照《工业和信息化部、国家统计局、国家发展和改革委员会、财政</w:t>
      </w:r>
    </w:p>
    <w:p>
      <w:p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部关于印发中小企业划型标准规定的通知》(工信部联企业[2011]300号)《国家统计局关于印发〈统计上大中小微型企业划分办法（2017）〉的通知》（国统字〔2017〕213号）的规定，自行勾选承接企业的企业规模类型。</w:t>
      </w:r>
      <w:r>
        <w:rPr>
          <w:rFonts w:ascii="宋体" w:hAnsi="宋体" w:cs="宋体"/>
          <w:color w:val="FF0000"/>
          <w:sz w:val="24"/>
        </w:rPr>
        <w:t> </w:t>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w:t>
      </w:r>
    </w:p>
    <w:p>
      <w:pPr>
        <w:pBdr>
          <w:top w:val="none" w:color="000000" w:sz="0" w:space="0"/>
          <w:left w:val="none" w:color="000000" w:sz="0" w:space="0"/>
          <w:bottom w:val="none" w:color="000000" w:sz="0" w:space="0"/>
          <w:right w:val="none" w:color="000000" w:sz="0" w:space="0"/>
        </w:pBdr>
        <w:jc w:val="center"/>
      </w:pPr>
      <w:r>
        <w:rPr>
          <w:rFonts w:eastAsia="Times New Roman"/>
          <w:b/>
          <w:color w:val="0070C0"/>
        </w:rPr>
        <w:t> </w:t>
      </w:r>
    </w:p>
    <w:p>
      <w:pPr>
        <w:pBdr>
          <w:top w:val="none" w:color="000000" w:sz="0" w:space="0"/>
          <w:left w:val="none" w:color="000000" w:sz="0" w:space="0"/>
          <w:bottom w:val="none" w:color="000000" w:sz="0" w:space="0"/>
          <w:right w:val="none" w:color="000000" w:sz="0" w:space="0"/>
        </w:pBdr>
        <w:spacing w:before="300" w:after="452"/>
      </w:pPr>
      <w:r>
        <w:rPr>
          <w:rFonts w:ascii="等线" w:hAnsi="等线" w:eastAsia="等线" w:cs="等线"/>
          <w:b/>
          <w:color w:val="666666"/>
        </w:rPr>
        <w:t>中小微企业划型标准如下：</w:t>
      </w:r>
    </w:p>
    <w:tbl>
      <w:tblPr>
        <w:tblStyle w:val="56"/>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716"/>
        <w:gridCol w:w="1417"/>
        <w:gridCol w:w="1276"/>
        <w:gridCol w:w="1134"/>
        <w:gridCol w:w="1701"/>
        <w:gridCol w:w="1559"/>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85" w:hRule="atLeast"/>
        </w:trPr>
        <w:tc>
          <w:tcPr>
            <w:tcW w:w="171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行业名称</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指标名称</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计量单位</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中型</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小型</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微型</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农、林、牧、渔</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500≤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50≤</w:t>
            </w:r>
            <w:r>
              <w:rPr>
                <w:rFonts w:ascii="宋体" w:hAnsi="宋体" w:cs="宋体"/>
                <w:b/>
                <w:color w:val="666666"/>
              </w:rPr>
              <w:t>Y</w:t>
            </w:r>
            <w:r>
              <w:rPr>
                <w:rFonts w:ascii="等线" w:hAnsi="等线" w:eastAsia="等线" w:cs="等线"/>
                <w:b/>
                <w:color w:val="666666"/>
              </w:rPr>
              <w:t>＜</w:t>
            </w:r>
            <w:r>
              <w:rPr>
                <w:rFonts w:ascii="宋体" w:hAnsi="宋体" w:cs="宋体"/>
                <w:b/>
                <w:color w:val="666666"/>
              </w:rPr>
              <w:t>500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50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工业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300≤</w:t>
            </w:r>
            <w:r>
              <w:rPr>
                <w:rFonts w:ascii="宋体" w:hAnsi="宋体" w:cs="宋体"/>
                <w:b/>
                <w:color w:val="666666"/>
              </w:rPr>
              <w:t>X</w:t>
            </w:r>
            <w:r>
              <w:rPr>
                <w:rFonts w:ascii="等线" w:hAnsi="等线" w:eastAsia="等线" w:cs="等线"/>
                <w:b/>
                <w:color w:val="666666"/>
              </w:rPr>
              <w:t>＜</w:t>
            </w:r>
            <w:r>
              <w:rPr>
                <w:rFonts w:ascii="宋体" w:hAnsi="宋体" w:cs="宋体"/>
                <w:b/>
                <w:color w:val="666666"/>
              </w:rPr>
              <w:t>1000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20≤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20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2000≤</w:t>
            </w:r>
            <w:r>
              <w:rPr>
                <w:rFonts w:ascii="宋体" w:hAnsi="宋体" w:cs="宋体"/>
                <w:b/>
                <w:color w:val="666666"/>
              </w:rPr>
              <w:t>Y</w:t>
            </w:r>
            <w:r>
              <w:rPr>
                <w:rFonts w:ascii="等线" w:hAnsi="等线" w:eastAsia="等线" w:cs="等线"/>
                <w:b/>
                <w:color w:val="666666"/>
              </w:rPr>
              <w:t>＜</w:t>
            </w:r>
            <w:r>
              <w:rPr>
                <w:rFonts w:ascii="宋体" w:hAnsi="宋体" w:cs="宋体"/>
                <w:b/>
                <w:color w:val="666666"/>
              </w:rPr>
              <w:t>40000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300≤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300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建筑业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6000≤</w:t>
            </w:r>
            <w:r>
              <w:rPr>
                <w:rFonts w:ascii="宋体" w:hAnsi="宋体" w:cs="宋体"/>
                <w:b/>
                <w:color w:val="666666"/>
              </w:rPr>
              <w:t>Y</w:t>
            </w:r>
            <w:r>
              <w:rPr>
                <w:rFonts w:ascii="等线" w:hAnsi="等线" w:eastAsia="等线" w:cs="等线"/>
                <w:b/>
                <w:color w:val="666666"/>
              </w:rPr>
              <w:t>＜</w:t>
            </w:r>
            <w:r>
              <w:rPr>
                <w:rFonts w:ascii="宋体" w:hAnsi="宋体" w:cs="宋体"/>
                <w:b/>
                <w:color w:val="666666"/>
              </w:rPr>
              <w:t>80000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300≤</w:t>
            </w:r>
            <w:r>
              <w:rPr>
                <w:rFonts w:ascii="宋体" w:hAnsi="宋体" w:cs="宋体"/>
                <w:b/>
                <w:color w:val="666666"/>
              </w:rPr>
              <w:t>Y</w:t>
            </w:r>
            <w:r>
              <w:rPr>
                <w:rFonts w:ascii="等线" w:hAnsi="等线" w:eastAsia="等线" w:cs="等线"/>
                <w:b/>
                <w:color w:val="666666"/>
              </w:rPr>
              <w:t>＜</w:t>
            </w:r>
            <w:r>
              <w:rPr>
                <w:rFonts w:ascii="宋体" w:hAnsi="宋体" w:cs="宋体"/>
                <w:b/>
                <w:color w:val="666666"/>
              </w:rPr>
              <w:t>6000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300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资产总额（</w:t>
            </w:r>
            <w:r>
              <w:rPr>
                <w:rFonts w:ascii="宋体" w:hAnsi="宋体" w:cs="宋体"/>
                <w:b/>
                <w:color w:val="666666"/>
              </w:rPr>
              <w:t>Z</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5000≤</w:t>
            </w:r>
            <w:r>
              <w:rPr>
                <w:rFonts w:ascii="宋体" w:hAnsi="宋体" w:cs="宋体"/>
                <w:b/>
                <w:color w:val="666666"/>
              </w:rPr>
              <w:t>Z</w:t>
            </w:r>
            <w:r>
              <w:rPr>
                <w:rFonts w:ascii="等线" w:hAnsi="等线" w:eastAsia="等线" w:cs="等线"/>
                <w:b/>
                <w:color w:val="666666"/>
              </w:rPr>
              <w:t>＜</w:t>
            </w:r>
            <w:r>
              <w:rPr>
                <w:rFonts w:ascii="宋体" w:hAnsi="宋体" w:cs="宋体"/>
                <w:b/>
                <w:color w:val="666666"/>
              </w:rPr>
              <w:t>80000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300≤</w:t>
            </w:r>
            <w:r>
              <w:rPr>
                <w:rFonts w:ascii="宋体" w:hAnsi="宋体" w:cs="宋体"/>
                <w:b/>
                <w:color w:val="666666"/>
              </w:rPr>
              <w:t>Z</w:t>
            </w:r>
            <w:r>
              <w:rPr>
                <w:rFonts w:ascii="等线" w:hAnsi="等线" w:eastAsia="等线" w:cs="等线"/>
                <w:b/>
                <w:color w:val="666666"/>
              </w:rPr>
              <w:t>＜</w:t>
            </w:r>
            <w:r>
              <w:rPr>
                <w:rFonts w:ascii="宋体" w:hAnsi="宋体" w:cs="宋体"/>
                <w:b/>
                <w:color w:val="666666"/>
              </w:rPr>
              <w:t>5000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Z＜</w:t>
            </w:r>
            <w:r>
              <w:rPr>
                <w:rFonts w:ascii="宋体" w:hAnsi="宋体" w:cs="宋体"/>
                <w:b/>
                <w:color w:val="666666"/>
              </w:rPr>
              <w:t>300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批发业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20≤</w:t>
            </w:r>
            <w:r>
              <w:rPr>
                <w:rFonts w:ascii="宋体" w:hAnsi="宋体" w:cs="宋体"/>
                <w:b/>
                <w:color w:val="666666"/>
              </w:rPr>
              <w:t>X</w:t>
            </w:r>
            <w:r>
              <w:rPr>
                <w:rFonts w:ascii="等线" w:hAnsi="等线" w:eastAsia="等线" w:cs="等线"/>
                <w:b/>
                <w:color w:val="666666"/>
              </w:rPr>
              <w:t>＜</w:t>
            </w:r>
            <w:r>
              <w:rPr>
                <w:rFonts w:ascii="宋体" w:hAnsi="宋体" w:cs="宋体"/>
                <w:b/>
                <w:color w:val="666666"/>
              </w:rPr>
              <w:t>200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5≤</w:t>
            </w:r>
            <w:r>
              <w:rPr>
                <w:rFonts w:ascii="宋体" w:hAnsi="宋体" w:cs="宋体"/>
                <w:b/>
                <w:color w:val="666666"/>
              </w:rPr>
              <w:t>X</w:t>
            </w:r>
            <w:r>
              <w:rPr>
                <w:rFonts w:ascii="等线" w:hAnsi="等线" w:eastAsia="等线" w:cs="等线"/>
                <w:b/>
                <w:color w:val="666666"/>
              </w:rPr>
              <w:t>＜</w:t>
            </w:r>
            <w:r>
              <w:rPr>
                <w:rFonts w:ascii="宋体" w:hAnsi="宋体" w:cs="宋体"/>
                <w:b/>
                <w:color w:val="666666"/>
              </w:rPr>
              <w:t>20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5</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5000≤</w:t>
            </w:r>
            <w:r>
              <w:rPr>
                <w:rFonts w:ascii="宋体" w:hAnsi="宋体" w:cs="宋体"/>
                <w:b/>
                <w:color w:val="666666"/>
              </w:rPr>
              <w:t>Y</w:t>
            </w:r>
            <w:r>
              <w:rPr>
                <w:rFonts w:ascii="等线" w:hAnsi="等线" w:eastAsia="等线" w:cs="等线"/>
                <w:b/>
                <w:color w:val="666666"/>
              </w:rPr>
              <w:t>＜</w:t>
            </w:r>
            <w:r>
              <w:rPr>
                <w:rFonts w:ascii="宋体" w:hAnsi="宋体" w:cs="宋体"/>
                <w:b/>
                <w:color w:val="666666"/>
              </w:rPr>
              <w:t>40000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5000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1000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零售业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50≤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50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500≤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500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交通运输业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300≤</w:t>
            </w:r>
            <w:r>
              <w:rPr>
                <w:rFonts w:ascii="宋体" w:hAnsi="宋体" w:cs="宋体"/>
                <w:b/>
                <w:color w:val="666666"/>
              </w:rPr>
              <w:t>X</w:t>
            </w:r>
            <w:r>
              <w:rPr>
                <w:rFonts w:ascii="等线" w:hAnsi="等线" w:eastAsia="等线" w:cs="等线"/>
                <w:b/>
                <w:color w:val="666666"/>
              </w:rPr>
              <w:t>＜</w:t>
            </w:r>
            <w:r>
              <w:rPr>
                <w:rFonts w:ascii="宋体" w:hAnsi="宋体" w:cs="宋体"/>
                <w:b/>
                <w:color w:val="666666"/>
              </w:rPr>
              <w:t>1000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20≤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20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3000≤</w:t>
            </w:r>
            <w:r>
              <w:rPr>
                <w:rFonts w:ascii="宋体" w:hAnsi="宋体" w:cs="宋体"/>
                <w:b/>
                <w:color w:val="666666"/>
              </w:rPr>
              <w:t>Y</w:t>
            </w:r>
            <w:r>
              <w:rPr>
                <w:rFonts w:ascii="等线" w:hAnsi="等线" w:eastAsia="等线" w:cs="等线"/>
                <w:b/>
                <w:color w:val="666666"/>
              </w:rPr>
              <w:t>＜</w:t>
            </w:r>
            <w:r>
              <w:rPr>
                <w:rFonts w:ascii="宋体" w:hAnsi="宋体" w:cs="宋体"/>
                <w:b/>
                <w:color w:val="666666"/>
              </w:rPr>
              <w:t>30000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200≤</w:t>
            </w:r>
            <w:r>
              <w:rPr>
                <w:rFonts w:ascii="宋体" w:hAnsi="宋体" w:cs="宋体"/>
                <w:b/>
                <w:color w:val="666666"/>
              </w:rPr>
              <w:t>Y</w:t>
            </w:r>
            <w:r>
              <w:rPr>
                <w:rFonts w:ascii="等线" w:hAnsi="等线" w:eastAsia="等线" w:cs="等线"/>
                <w:b/>
                <w:color w:val="666666"/>
              </w:rPr>
              <w:t>＜</w:t>
            </w:r>
            <w:r>
              <w:rPr>
                <w:rFonts w:ascii="宋体" w:hAnsi="宋体" w:cs="宋体"/>
                <w:b/>
                <w:color w:val="666666"/>
              </w:rPr>
              <w:t>3000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200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仓储业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200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20≤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20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30000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邮政业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300≤</w:t>
            </w:r>
            <w:r>
              <w:rPr>
                <w:rFonts w:ascii="宋体" w:hAnsi="宋体" w:cs="宋体"/>
                <w:b/>
                <w:color w:val="666666"/>
              </w:rPr>
              <w:t>X</w:t>
            </w:r>
            <w:r>
              <w:rPr>
                <w:rFonts w:ascii="等线" w:hAnsi="等线" w:eastAsia="等线" w:cs="等线"/>
                <w:b/>
                <w:color w:val="666666"/>
              </w:rPr>
              <w:t>＜</w:t>
            </w:r>
            <w:r>
              <w:rPr>
                <w:rFonts w:ascii="宋体" w:hAnsi="宋体" w:cs="宋体"/>
                <w:b/>
                <w:color w:val="666666"/>
              </w:rPr>
              <w:t>1000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20≤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20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2000≤</w:t>
            </w:r>
            <w:r>
              <w:rPr>
                <w:rFonts w:ascii="宋体" w:hAnsi="宋体" w:cs="宋体"/>
                <w:b/>
                <w:color w:val="666666"/>
              </w:rPr>
              <w:t>Y</w:t>
            </w:r>
            <w:r>
              <w:rPr>
                <w:rFonts w:ascii="等线" w:hAnsi="等线" w:eastAsia="等线" w:cs="等线"/>
                <w:b/>
                <w:color w:val="666666"/>
              </w:rPr>
              <w:t>＜</w:t>
            </w:r>
            <w:r>
              <w:rPr>
                <w:rFonts w:ascii="宋体" w:hAnsi="宋体" w:cs="宋体"/>
                <w:b/>
                <w:color w:val="666666"/>
              </w:rPr>
              <w:t>30000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住宿业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2000≤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餐饮业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2000≤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信息传输业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2000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jc w:val="center"/>
            </w:pPr>
            <w:r>
              <w:rPr>
                <w:rFonts w:ascii="等线" w:hAnsi="等线" w:eastAsia="等线" w:cs="等线"/>
                <w:b/>
                <w:color w:val="666666"/>
              </w:rPr>
              <w:t>软件和信息技术服务业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50≤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50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房地产开发经营</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1000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资产总额（</w:t>
            </w:r>
            <w:r>
              <w:rPr>
                <w:rFonts w:ascii="宋体" w:hAnsi="宋体" w:cs="宋体"/>
                <w:b/>
                <w:color w:val="666666"/>
              </w:rPr>
              <w:t>Z</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5000≤</w:t>
            </w:r>
            <w:r>
              <w:rPr>
                <w:rFonts w:ascii="宋体" w:hAnsi="宋体" w:cs="宋体"/>
                <w:b/>
                <w:color w:val="666666"/>
              </w:rPr>
              <w:t>Z</w:t>
            </w:r>
            <w:r>
              <w:rPr>
                <w:rFonts w:ascii="等线" w:hAnsi="等线" w:eastAsia="等线" w:cs="等线"/>
                <w:b/>
                <w:color w:val="666666"/>
              </w:rPr>
              <w:t>＜</w:t>
            </w:r>
            <w:r>
              <w:rPr>
                <w:rFonts w:ascii="宋体" w:hAnsi="宋体" w:cs="宋体"/>
                <w:b/>
                <w:color w:val="666666"/>
              </w:rPr>
              <w:t>10000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2000≤</w:t>
            </w:r>
            <w:r>
              <w:rPr>
                <w:rFonts w:ascii="宋体" w:hAnsi="宋体" w:cs="宋体"/>
                <w:b/>
                <w:color w:val="666666"/>
              </w:rPr>
              <w:t>Y</w:t>
            </w:r>
            <w:r>
              <w:rPr>
                <w:rFonts w:ascii="等线" w:hAnsi="等线" w:eastAsia="等线" w:cs="等线"/>
                <w:b/>
                <w:color w:val="666666"/>
              </w:rPr>
              <w:t>＜</w:t>
            </w:r>
            <w:r>
              <w:rPr>
                <w:rFonts w:ascii="宋体" w:hAnsi="宋体" w:cs="宋体"/>
                <w:b/>
                <w:color w:val="666666"/>
              </w:rPr>
              <w:t>5000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2000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物业管理</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300≤</w:t>
            </w:r>
            <w:r>
              <w:rPr>
                <w:rFonts w:ascii="宋体" w:hAnsi="宋体" w:cs="宋体"/>
                <w:b/>
                <w:color w:val="666666"/>
              </w:rPr>
              <w:t>X</w:t>
            </w:r>
            <w:r>
              <w:rPr>
                <w:rFonts w:ascii="等线" w:hAnsi="等线" w:eastAsia="等线" w:cs="等线"/>
                <w:b/>
                <w:color w:val="666666"/>
              </w:rPr>
              <w:t>＜</w:t>
            </w:r>
            <w:r>
              <w:rPr>
                <w:rFonts w:ascii="宋体" w:hAnsi="宋体" w:cs="宋体"/>
                <w:b/>
                <w:color w:val="666666"/>
              </w:rPr>
              <w:t>1000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5000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500≤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500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租赁和商务服务业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资产总额（</w:t>
            </w:r>
            <w:r>
              <w:rPr>
                <w:rFonts w:ascii="宋体" w:hAnsi="宋体" w:cs="宋体"/>
                <w:b/>
                <w:color w:val="666666"/>
              </w:rPr>
              <w:t>Z</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8000≤</w:t>
            </w:r>
            <w:r>
              <w:rPr>
                <w:rFonts w:ascii="宋体" w:hAnsi="宋体" w:cs="宋体"/>
                <w:b/>
                <w:color w:val="666666"/>
              </w:rPr>
              <w:t>Z</w:t>
            </w:r>
            <w:r>
              <w:rPr>
                <w:rFonts w:ascii="等线" w:hAnsi="等线" w:eastAsia="等线" w:cs="等线"/>
                <w:b/>
                <w:color w:val="666666"/>
              </w:rPr>
              <w:t>＜</w:t>
            </w:r>
            <w:r>
              <w:rPr>
                <w:rFonts w:ascii="宋体" w:hAnsi="宋体" w:cs="宋体"/>
                <w:b/>
                <w:color w:val="666666"/>
              </w:rPr>
              <w:t>120000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100≤</w:t>
            </w:r>
            <w:r>
              <w:rPr>
                <w:rFonts w:ascii="宋体" w:hAnsi="宋体" w:cs="宋体"/>
                <w:b/>
                <w:color w:val="666666"/>
              </w:rPr>
              <w:t>Z</w:t>
            </w:r>
            <w:r>
              <w:rPr>
                <w:rFonts w:ascii="等线" w:hAnsi="等线" w:eastAsia="等线" w:cs="等线"/>
                <w:b/>
                <w:color w:val="666666"/>
              </w:rPr>
              <w:t>＜</w:t>
            </w:r>
            <w:r>
              <w:rPr>
                <w:rFonts w:ascii="宋体" w:hAnsi="宋体" w:cs="宋体"/>
                <w:b/>
                <w:color w:val="666666"/>
              </w:rPr>
              <w:t>8000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Y＜</w:t>
            </w:r>
            <w:r>
              <w:rPr>
                <w:rFonts w:ascii="宋体" w:hAnsi="宋体" w:cs="宋体"/>
                <w:b/>
                <w:color w:val="666666"/>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其他未列明行业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after="150"/>
              <w:ind w:firstLine="420"/>
            </w:pPr>
            <w:r>
              <w:rPr>
                <w:rFonts w:ascii="等线" w:hAnsi="等线" w:eastAsia="等线" w:cs="等线"/>
                <w:b/>
                <w:color w:val="666666"/>
              </w:rPr>
              <w:t>X＜</w:t>
            </w:r>
            <w:r>
              <w:rPr>
                <w:rFonts w:ascii="宋体" w:hAnsi="宋体" w:cs="宋体"/>
                <w:b/>
                <w:color w:val="666666"/>
              </w:rPr>
              <w:t>10</w:t>
            </w:r>
          </w:p>
        </w:tc>
      </w:tr>
    </w:tbl>
    <w:p>
      <w:pPr>
        <w:pBdr>
          <w:top w:val="none" w:color="000000" w:sz="0" w:space="0"/>
          <w:left w:val="none" w:color="000000" w:sz="0" w:space="0"/>
          <w:bottom w:val="none" w:color="000000" w:sz="0" w:space="0"/>
          <w:right w:val="none" w:color="000000" w:sz="0" w:space="0"/>
        </w:pBdr>
        <w:spacing w:before="300" w:after="452"/>
        <w:ind w:firstLine="810"/>
      </w:pPr>
      <w:r>
        <w:rPr>
          <w:rFonts w:ascii="等线" w:hAnsi="等线" w:eastAsia="等线" w:cs="等线"/>
          <w:b/>
          <w:color w:val="666666"/>
        </w:rPr>
        <w:t>说明：上述标准参照《关于印发中小企业划型标准规定的通知》（工信部联企业[2011]300号），大型、中型和小型企业须同时满足所列指标的下限，否则下划一档；微型企业只须满足所列指标中的一项即可。</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附件12     残疾人福利性单位声明函（服务类项目）（采购包号：**）</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本单位对上述声明的真实性负责。如有虚假，将依法承担相应责任。</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备注：</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1.专门面向中小微型企业采购的项目，供应商为残疾人福利性单位并提供服务的必须提供此声明函，否则将不能通过资格审查。</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2.非专门面向中小微型企业采购的项目，供应商如不提供此声明函，价格将不做相应扣除。</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3.中标/成交供应商为残疾人福利性单位的，此声明函将随中标/成交结果同时公告，接受社会监督</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供应商全称（加盖CA电子公章）：</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日期：</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pPr>
        <w:pBdr>
          <w:top w:val="none" w:color="000000" w:sz="0" w:space="0"/>
          <w:left w:val="none" w:color="000000" w:sz="0" w:space="0"/>
          <w:bottom w:val="none" w:color="000000" w:sz="0" w:space="0"/>
          <w:right w:val="none" w:color="000000" w:sz="0" w:space="0"/>
        </w:pBdr>
        <w:spacing w:line="400" w:lineRule="atLeast"/>
        <w:rPr>
          <w:rFonts w:ascii="宋体" w:hAnsi="宋体" w:cs="宋体"/>
          <w:b/>
          <w:color w:val="000000"/>
          <w:sz w:val="24"/>
        </w:rPr>
      </w:pP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 </w:t>
      </w:r>
    </w:p>
    <w:p>
      <w:pPr>
        <w:pBdr>
          <w:top w:val="none" w:color="000000" w:sz="0" w:space="0"/>
          <w:left w:val="none" w:color="000000" w:sz="0" w:space="0"/>
          <w:bottom w:val="none" w:color="000000" w:sz="0" w:space="0"/>
          <w:right w:val="none" w:color="000000" w:sz="0" w:space="0"/>
        </w:pBdr>
        <w:spacing w:line="400" w:lineRule="atLeast"/>
        <w:rPr>
          <w:rFonts w:ascii="宋体" w:hAnsi="宋体" w:cs="宋体"/>
          <w:b/>
          <w:bCs/>
          <w:color w:val="000000"/>
          <w:sz w:val="24"/>
          <w:szCs w:val="24"/>
        </w:rPr>
      </w:pPr>
      <w:r>
        <w:rPr>
          <w:rFonts w:ascii="宋体" w:hAnsi="宋体" w:cs="宋体"/>
          <w:b/>
          <w:color w:val="000000"/>
          <w:sz w:val="24"/>
        </w:rPr>
        <w:t>附件13          联合体协议（参考格式）（采购包号：**）</w:t>
      </w:r>
    </w:p>
    <w:p>
      <w:pPr>
        <w:pBdr>
          <w:top w:val="none" w:color="000000" w:sz="0" w:space="0"/>
          <w:left w:val="none" w:color="000000" w:sz="0" w:space="0"/>
          <w:bottom w:val="none" w:color="000000" w:sz="0" w:space="0"/>
          <w:right w:val="none" w:color="000000" w:sz="0" w:space="0"/>
        </w:pBdr>
        <w:spacing w:line="400" w:lineRule="atLeast"/>
      </w:pP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（联合体中各供应商全称）在此达成以下协议：</w:t>
      </w:r>
    </w:p>
    <w:p>
      <w:pPr>
        <w:pBdr>
          <w:top w:val="none" w:color="000000" w:sz="0" w:space="0"/>
          <w:left w:val="none" w:color="000000" w:sz="0" w:space="0"/>
          <w:bottom w:val="none" w:color="000000" w:sz="0" w:space="0"/>
          <w:right w:val="none" w:color="000000" w:sz="0" w:space="0"/>
        </w:pBdr>
        <w:spacing w:line="400" w:lineRule="atLeast"/>
        <w:ind w:firstLine="645"/>
      </w:pPr>
      <w:r>
        <w:rPr>
          <w:rFonts w:ascii="宋体" w:hAnsi="宋体" w:cs="宋体"/>
          <w:color w:val="000000"/>
          <w:sz w:val="24"/>
        </w:rPr>
        <w:t>1、我们</w:t>
      </w:r>
      <w:r>
        <w:rPr>
          <w:rFonts w:ascii="宋体" w:hAnsi="宋体" w:cs="宋体"/>
          <w:color w:val="000000"/>
          <w:sz w:val="24"/>
          <w:u w:val="single"/>
        </w:rPr>
        <w:t> （供应商1），（供应商2） ，……</w:t>
      </w:r>
      <w:r>
        <w:rPr>
          <w:rFonts w:ascii="宋体" w:hAnsi="宋体" w:cs="宋体"/>
          <w:color w:val="000000"/>
          <w:sz w:val="24"/>
        </w:rPr>
        <w:t>自愿组成联合体，参加扬州市公共资源交易中心组织的采购编号为</w:t>
      </w:r>
      <w:r>
        <w:rPr>
          <w:rFonts w:ascii="宋体" w:hAnsi="宋体" w:cs="宋体"/>
          <w:color w:val="000000"/>
          <w:sz w:val="24"/>
          <w:u w:val="single"/>
        </w:rPr>
        <w:t>（编号全称），（项目全称）</w:t>
      </w:r>
      <w:r>
        <w:rPr>
          <w:rFonts w:ascii="宋体" w:hAnsi="宋体" w:cs="宋体"/>
          <w:color w:val="000000"/>
          <w:sz w:val="24"/>
        </w:rPr>
        <w:t>项目（采购包号：**）的政府采购活动，我联合体指定</w:t>
      </w:r>
      <w:r>
        <w:rPr>
          <w:rFonts w:ascii="宋体" w:hAnsi="宋体" w:cs="宋体"/>
          <w:color w:val="000000"/>
          <w:sz w:val="24"/>
          <w:u w:val="single"/>
        </w:rPr>
        <w:t>（供应商*）</w:t>
      </w:r>
      <w:r>
        <w:rPr>
          <w:rFonts w:ascii="宋体" w:hAnsi="宋体" w:cs="宋体"/>
          <w:color w:val="000000"/>
          <w:sz w:val="24"/>
        </w:rPr>
        <w:t>为牵头单位（牵头单位必须为联合体成员）。</w:t>
      </w:r>
    </w:p>
    <w:p>
      <w:pPr>
        <w:pBdr>
          <w:top w:val="none" w:color="000000" w:sz="0" w:space="0"/>
          <w:left w:val="none" w:color="000000" w:sz="0" w:space="0"/>
          <w:bottom w:val="none" w:color="000000" w:sz="0" w:space="0"/>
          <w:right w:val="none" w:color="000000" w:sz="0" w:space="0"/>
        </w:pBdr>
        <w:spacing w:line="400" w:lineRule="atLeast"/>
        <w:ind w:firstLine="645"/>
      </w:pPr>
      <w:r>
        <w:rPr>
          <w:rFonts w:ascii="宋体" w:hAnsi="宋体" w:cs="宋体"/>
          <w:color w:val="000000"/>
          <w:sz w:val="24"/>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pPr>
        <w:pBdr>
          <w:top w:val="none" w:color="000000" w:sz="0" w:space="0"/>
          <w:left w:val="none" w:color="000000" w:sz="0" w:space="0"/>
          <w:bottom w:val="none" w:color="000000" w:sz="0" w:space="0"/>
          <w:right w:val="none" w:color="000000" w:sz="0" w:space="0"/>
        </w:pBdr>
        <w:spacing w:line="400" w:lineRule="atLeast"/>
        <w:ind w:firstLine="645"/>
      </w:pPr>
      <w:r>
        <w:rPr>
          <w:rFonts w:ascii="宋体" w:hAnsi="宋体" w:cs="宋体"/>
          <w:color w:val="000000"/>
          <w:sz w:val="24"/>
        </w:rPr>
        <w:t>3、其中</w:t>
      </w:r>
      <w:r>
        <w:rPr>
          <w:rFonts w:ascii="宋体" w:hAnsi="宋体" w:cs="宋体"/>
          <w:color w:val="000000"/>
          <w:sz w:val="24"/>
          <w:u w:val="single"/>
        </w:rPr>
        <w:t>      </w:t>
      </w:r>
      <w:r>
        <w:rPr>
          <w:rFonts w:ascii="宋体" w:hAnsi="宋体" w:cs="宋体"/>
          <w:color w:val="000000"/>
          <w:sz w:val="24"/>
        </w:rPr>
        <w:t>（小型、微型企业/残疾人福利性单位/监狱企业全称）为</w:t>
      </w:r>
      <w:r>
        <w:rPr>
          <w:rFonts w:ascii="宋体" w:hAnsi="宋体" w:cs="宋体"/>
          <w:color w:val="000000"/>
          <w:sz w:val="24"/>
          <w:u w:val="single"/>
        </w:rPr>
        <w:t>    </w:t>
      </w:r>
      <w:r>
        <w:rPr>
          <w:rFonts w:ascii="宋体" w:hAnsi="宋体" w:cs="宋体"/>
          <w:color w:val="000000"/>
          <w:sz w:val="24"/>
        </w:rPr>
        <w:t>（小型、微型企业/残疾人福利性单位/监狱企业）企业，且我们约定该公司/单位所承担的合同金额将占本项目合同总金额的</w:t>
      </w:r>
      <w:r>
        <w:rPr>
          <w:rFonts w:ascii="宋体" w:hAnsi="宋体" w:cs="宋体"/>
          <w:color w:val="000000"/>
          <w:sz w:val="24"/>
          <w:u w:val="single"/>
        </w:rPr>
        <w:t>  </w:t>
      </w: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400" w:lineRule="atLeast"/>
        <w:ind w:firstLine="645"/>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558" w:lineRule="atLeast"/>
        <w:ind w:firstLine="645"/>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400" w:lineRule="atLeast"/>
        <w:ind w:firstLine="646"/>
        <w:jc w:val="right"/>
      </w:pPr>
      <w:r>
        <w:rPr>
          <w:rFonts w:ascii="宋体" w:hAnsi="宋体" w:cs="宋体"/>
          <w:color w:val="000000"/>
          <w:sz w:val="24"/>
        </w:rPr>
        <w:t>联合体中各供应商全称（公章）：     </w:t>
      </w:r>
    </w:p>
    <w:p>
      <w:pPr>
        <w:pBdr>
          <w:top w:val="none" w:color="000000" w:sz="0" w:space="0"/>
          <w:left w:val="none" w:color="000000" w:sz="0" w:space="0"/>
          <w:bottom w:val="none" w:color="000000" w:sz="0" w:space="0"/>
          <w:right w:val="none" w:color="000000" w:sz="0" w:space="0"/>
        </w:pBdr>
        <w:spacing w:line="400" w:lineRule="atLeast"/>
        <w:ind w:firstLine="646"/>
      </w:pPr>
      <w:r>
        <w:rPr>
          <w:rFonts w:ascii="宋体" w:hAnsi="宋体" w:cs="宋体"/>
          <w:color w:val="000000"/>
          <w:sz w:val="24"/>
        </w:rPr>
        <w:t>                                                                 日期：</w:t>
      </w:r>
    </w:p>
    <w:p>
      <w:pPr>
        <w:pBdr>
          <w:top w:val="none" w:color="000000" w:sz="0" w:space="0"/>
          <w:left w:val="none" w:color="000000" w:sz="0" w:space="0"/>
          <w:bottom w:val="none" w:color="000000" w:sz="0" w:space="0"/>
          <w:right w:val="none" w:color="000000" w:sz="0" w:space="0"/>
        </w:pBdr>
        <w:spacing w:line="400" w:lineRule="atLeast"/>
        <w:ind w:firstLine="645"/>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400" w:lineRule="atLeast"/>
        <w:ind w:firstLine="645"/>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400" w:lineRule="atLeast"/>
        <w:ind w:firstLine="645"/>
      </w:pPr>
      <w:r>
        <w:rPr>
          <w:rFonts w:ascii="宋体" w:hAnsi="宋体" w:cs="宋体"/>
          <w:color w:val="000000"/>
          <w:sz w:val="24"/>
        </w:rPr>
        <w:t>备注：本招标文件中要求加盖CA电子签章的地方，仅需加盖牵头单位的CA电子签章。</w:t>
      </w:r>
    </w:p>
    <w:p>
      <w:pPr>
        <w:pBdr>
          <w:top w:val="none" w:color="000000" w:sz="0" w:space="0"/>
          <w:left w:val="none" w:color="000000" w:sz="0" w:space="0"/>
          <w:bottom w:val="none" w:color="000000" w:sz="0" w:space="0"/>
          <w:right w:val="none" w:color="000000" w:sz="0" w:space="0"/>
        </w:pBdr>
        <w:spacing w:line="558" w:lineRule="atLeast"/>
        <w:ind w:firstLine="645"/>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rPr>
          <w:rFonts w:eastAsia="Times New Roman"/>
          <w:color w:val="000000"/>
        </w:rPr>
      </w:pPr>
      <w:r>
        <w:rPr>
          <w:rFonts w:eastAsia="Times New Roman"/>
          <w:color w:val="000000"/>
        </w:rPr>
        <w:t> </w:t>
      </w:r>
    </w:p>
    <w:p>
      <w:pPr>
        <w:pBdr>
          <w:top w:val="none" w:color="000000" w:sz="0" w:space="0"/>
          <w:left w:val="none" w:color="000000" w:sz="0" w:space="0"/>
          <w:bottom w:val="none" w:color="000000" w:sz="0" w:space="0"/>
          <w:right w:val="none" w:color="000000" w:sz="0" w:space="0"/>
        </w:pBdr>
        <w:rPr>
          <w:rFonts w:eastAsia="Times New Roman"/>
          <w:color w:val="000000"/>
        </w:rPr>
      </w:pPr>
    </w:p>
    <w:p>
      <w:pPr>
        <w:pBdr>
          <w:top w:val="none" w:color="000000" w:sz="0" w:space="0"/>
          <w:left w:val="none" w:color="000000" w:sz="0" w:space="0"/>
          <w:bottom w:val="none" w:color="000000" w:sz="0" w:space="0"/>
          <w:right w:val="none" w:color="000000" w:sz="0" w:space="0"/>
        </w:pBdr>
        <w:rPr>
          <w:rFonts w:eastAsia="Times New Roman"/>
          <w:color w:val="000000"/>
        </w:rPr>
      </w:pPr>
    </w:p>
    <w:p>
      <w:pPr>
        <w:pBdr>
          <w:top w:val="none" w:color="000000" w:sz="0" w:space="0"/>
          <w:left w:val="none" w:color="000000" w:sz="0" w:space="0"/>
          <w:bottom w:val="none" w:color="000000" w:sz="0" w:space="0"/>
          <w:right w:val="none" w:color="000000" w:sz="0" w:space="0"/>
        </w:pBdr>
        <w:rPr>
          <w:rFonts w:eastAsia="Times New Roman"/>
          <w:color w:val="000000"/>
        </w:rPr>
      </w:pPr>
    </w:p>
    <w:p>
      <w:pPr>
        <w:pBdr>
          <w:top w:val="none" w:color="000000" w:sz="0" w:space="0"/>
          <w:left w:val="none" w:color="000000" w:sz="0" w:space="0"/>
          <w:bottom w:val="none" w:color="000000" w:sz="0" w:space="0"/>
          <w:right w:val="none" w:color="000000" w:sz="0" w:space="0"/>
        </w:pBdr>
        <w:rPr>
          <w:rFonts w:eastAsia="Times New Roman"/>
          <w:color w:val="000000"/>
        </w:rPr>
      </w:pPr>
    </w:p>
    <w:p>
      <w:pPr>
        <w:pBdr>
          <w:top w:val="none" w:color="000000" w:sz="0" w:space="0"/>
          <w:left w:val="none" w:color="000000" w:sz="0" w:space="0"/>
          <w:bottom w:val="none" w:color="000000" w:sz="0" w:space="0"/>
          <w:right w:val="none" w:color="000000" w:sz="0" w:space="0"/>
        </w:pBdr>
        <w:rPr>
          <w:rFonts w:eastAsia="Times New Roman"/>
          <w:color w:val="000000"/>
        </w:rPr>
      </w:pPr>
    </w:p>
    <w:p>
      <w:pPr>
        <w:pBdr>
          <w:top w:val="none" w:color="000000" w:sz="0" w:space="0"/>
          <w:left w:val="none" w:color="000000" w:sz="0" w:space="0"/>
          <w:bottom w:val="none" w:color="000000" w:sz="0" w:space="0"/>
          <w:right w:val="none" w:color="000000" w:sz="0" w:space="0"/>
        </w:pBdr>
        <w:rPr>
          <w:rFonts w:eastAsia="Times New Roman"/>
          <w:color w:val="000000"/>
        </w:rPr>
      </w:pPr>
    </w:p>
    <w:p>
      <w:pPr>
        <w:pBdr>
          <w:top w:val="none" w:color="000000" w:sz="0" w:space="0"/>
          <w:left w:val="none" w:color="000000" w:sz="0" w:space="0"/>
          <w:bottom w:val="none" w:color="000000" w:sz="0" w:space="0"/>
          <w:right w:val="none" w:color="000000" w:sz="0" w:space="0"/>
        </w:pBdr>
        <w:rPr>
          <w:rFonts w:eastAsia="Times New Roman"/>
          <w:color w:val="000000"/>
        </w:rPr>
      </w:pPr>
    </w:p>
    <w:p>
      <w:pPr>
        <w:pBdr>
          <w:top w:val="none" w:color="000000" w:sz="0" w:space="0"/>
          <w:left w:val="none" w:color="000000" w:sz="0" w:space="0"/>
          <w:bottom w:val="none" w:color="000000" w:sz="0" w:space="0"/>
          <w:right w:val="none" w:color="000000" w:sz="0" w:space="0"/>
        </w:pBdr>
        <w:rPr>
          <w:rFonts w:eastAsia="Times New Roman"/>
          <w:color w:val="000000"/>
        </w:rPr>
      </w:pPr>
    </w:p>
    <w:p>
      <w:pPr>
        <w:pBdr>
          <w:top w:val="none" w:color="000000" w:sz="0" w:space="0"/>
          <w:left w:val="none" w:color="000000" w:sz="0" w:space="0"/>
          <w:bottom w:val="none" w:color="000000" w:sz="0" w:space="0"/>
          <w:right w:val="none" w:color="000000" w:sz="0" w:space="0"/>
        </w:pBdr>
        <w:rPr>
          <w:rFonts w:eastAsia="Times New Roman"/>
          <w:color w:val="000000"/>
        </w:rPr>
      </w:pPr>
    </w:p>
    <w:p>
      <w:pPr>
        <w:pBdr>
          <w:top w:val="none" w:color="000000" w:sz="0" w:space="0"/>
          <w:left w:val="none" w:color="000000" w:sz="0" w:space="0"/>
          <w:bottom w:val="none" w:color="000000" w:sz="0" w:space="0"/>
          <w:right w:val="none" w:color="000000" w:sz="0" w:space="0"/>
        </w:pBdr>
        <w:rPr>
          <w:rFonts w:eastAsia="Times New Roman"/>
          <w:color w:val="000000"/>
        </w:rPr>
      </w:pPr>
    </w:p>
    <w:p>
      <w:pPr>
        <w:pBdr>
          <w:top w:val="none" w:color="000000" w:sz="0" w:space="0"/>
          <w:left w:val="none" w:color="000000" w:sz="0" w:space="0"/>
          <w:bottom w:val="none" w:color="000000" w:sz="0" w:space="0"/>
          <w:right w:val="none" w:color="000000" w:sz="0" w:space="0"/>
        </w:pBdr>
      </w:pPr>
      <w:r>
        <w:rPr>
          <w:rFonts w:eastAsia="Times New Roman"/>
          <w:color w:val="000000"/>
        </w:rPr>
        <w:t> </w:t>
      </w:r>
    </w:p>
    <w:p>
      <w:pPr>
        <w:pBdr>
          <w:top w:val="none" w:color="000000" w:sz="0" w:space="0"/>
          <w:left w:val="none" w:color="000000" w:sz="0" w:space="0"/>
          <w:bottom w:val="none" w:color="000000" w:sz="0" w:space="0"/>
          <w:right w:val="none" w:color="000000" w:sz="0" w:space="0"/>
        </w:pBdr>
      </w:pPr>
      <w:r>
        <w:rPr>
          <w:rFonts w:eastAsia="Times New Roman"/>
          <w:color w:val="000000"/>
        </w:rPr>
        <w:t> </w:t>
      </w:r>
    </w:p>
    <w:p>
      <w:pPr>
        <w:pBdr>
          <w:top w:val="none" w:color="000000" w:sz="0" w:space="0"/>
          <w:left w:val="none" w:color="000000" w:sz="0" w:space="0"/>
          <w:bottom w:val="none" w:color="000000" w:sz="0" w:space="0"/>
          <w:right w:val="none" w:color="000000" w:sz="0" w:space="0"/>
        </w:pBdr>
      </w:pPr>
      <w:r>
        <w:rPr>
          <w:rFonts w:eastAsia="Times New Roman"/>
          <w:color w:val="000000"/>
        </w:rPr>
        <w:t> </w:t>
      </w:r>
    </w:p>
    <w:p>
      <w:pPr>
        <w:pBdr>
          <w:top w:val="none" w:color="000000" w:sz="0" w:space="0"/>
          <w:left w:val="none" w:color="000000" w:sz="0" w:space="0"/>
          <w:bottom w:val="none" w:color="000000" w:sz="0" w:space="0"/>
          <w:right w:val="none" w:color="000000" w:sz="0" w:space="0"/>
        </w:pBdr>
        <w:spacing w:after="361"/>
      </w:pPr>
      <w:r>
        <w:rPr>
          <w:rFonts w:ascii="宋体" w:hAnsi="宋体" w:cs="宋体"/>
          <w:b/>
          <w:color w:val="000000"/>
          <w:sz w:val="24"/>
        </w:rPr>
        <w:t>附件14        实质性要求响应及偏离表（采购包号：**）</w:t>
      </w:r>
    </w:p>
    <w:tbl>
      <w:tblPr>
        <w:tblStyle w:val="56"/>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69"/>
        <w:gridCol w:w="3916"/>
        <w:gridCol w:w="2126"/>
        <w:gridCol w:w="2268"/>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4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序号</w:t>
            </w:r>
          </w:p>
        </w:tc>
        <w:tc>
          <w:tcPr>
            <w:tcW w:w="391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技术要求和商务要求中的实质性要求</w:t>
            </w:r>
            <w:r>
              <w:rPr>
                <w:rFonts w:ascii="宋体" w:hAnsi="宋体" w:cs="宋体"/>
                <w:b/>
                <w:color w:val="FF0000"/>
                <w:sz w:val="24"/>
              </w:rPr>
              <w:t>（</w:t>
            </w:r>
            <w:r>
              <w:rPr>
                <w:rFonts w:ascii="宋体" w:hAnsi="宋体" w:cs="宋体"/>
                <w:b/>
                <w:i/>
                <w:color w:val="FF0000"/>
                <w:sz w:val="24"/>
                <w:u w:val="single"/>
              </w:rPr>
              <w:t>斜体且有下划线部分</w:t>
            </w:r>
            <w:r>
              <w:rPr>
                <w:rFonts w:ascii="宋体" w:hAnsi="宋体" w:cs="宋体"/>
                <w:b/>
                <w:color w:val="FF0000"/>
                <w:sz w:val="24"/>
              </w:rPr>
              <w:t>）</w:t>
            </w:r>
          </w:p>
        </w:tc>
        <w:tc>
          <w:tcPr>
            <w:tcW w:w="212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投标响应情况</w:t>
            </w:r>
          </w:p>
        </w:tc>
        <w:tc>
          <w:tcPr>
            <w:tcW w:w="2268"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超出、符合或偏离</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3916"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126"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268"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2</w:t>
            </w:r>
          </w:p>
        </w:tc>
        <w:tc>
          <w:tcPr>
            <w:tcW w:w="3916"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126"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268"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3916"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w:t>
            </w:r>
          </w:p>
        </w:tc>
        <w:tc>
          <w:tcPr>
            <w:tcW w:w="2126"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268" w:type="dxa"/>
            <w:tcBorders>
              <w:top w:val="nil"/>
              <w:left w:val="nil"/>
              <w:bottom w:val="single" w:color="000000" w:sz="8" w:space="0"/>
              <w:right w:val="single" w:color="000000" w:sz="8" w:space="0"/>
            </w:tcBorders>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bl>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附件14-1 证明材料1，证明材料2，……</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备注：</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1.投标人必须对技术要求和商务要求中的实质性要求</w:t>
      </w:r>
      <w:r>
        <w:rPr>
          <w:rFonts w:ascii="宋体" w:hAnsi="宋体" w:cs="宋体"/>
          <w:b/>
          <w:color w:val="FF0000"/>
          <w:sz w:val="24"/>
        </w:rPr>
        <w:t>（</w:t>
      </w:r>
      <w:r>
        <w:rPr>
          <w:rFonts w:ascii="宋体" w:hAnsi="宋体" w:cs="宋体"/>
          <w:b/>
          <w:i/>
          <w:color w:val="FF0000"/>
          <w:sz w:val="24"/>
          <w:u w:val="single"/>
        </w:rPr>
        <w:t>斜体且有下划线部分</w:t>
      </w:r>
      <w:r>
        <w:rPr>
          <w:rFonts w:ascii="宋体" w:hAnsi="宋体" w:cs="宋体"/>
          <w:b/>
          <w:color w:val="FF0000"/>
          <w:sz w:val="24"/>
        </w:rPr>
        <w:t>）</w:t>
      </w:r>
      <w:r>
        <w:rPr>
          <w:rFonts w:ascii="宋体" w:hAnsi="宋体" w:cs="宋体"/>
          <w:color w:val="000000"/>
          <w:sz w:val="24"/>
        </w:rPr>
        <w:t>逐条做出明确响应。</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2.如果招标文件要求提供证明材料，投标人必须将证明材料列于该表之下。</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3.投标人未对实质性要求逐条作出明确响应的，或未按招标文件要求提供证明材料的，该采购包作无效投标处理。</w:t>
      </w:r>
    </w:p>
    <w:p>
      <w:pPr>
        <w:pBdr>
          <w:top w:val="none" w:color="000000" w:sz="0" w:space="0"/>
          <w:left w:val="none" w:color="000000" w:sz="0" w:space="0"/>
          <w:bottom w:val="none" w:color="000000" w:sz="0" w:space="0"/>
          <w:right w:val="none" w:color="000000" w:sz="0" w:space="0"/>
        </w:pBdr>
        <w:jc w:val="center"/>
      </w:pPr>
      <w:r>
        <w:rPr>
          <w:rFonts w:ascii="黑体" w:hAnsi="黑体" w:eastAsia="黑体" w:cs="黑体"/>
          <w:b/>
          <w:color w:val="000000"/>
          <w:sz w:val="32"/>
        </w:rPr>
        <w:t> </w:t>
      </w:r>
    </w:p>
    <w:p>
      <w:pPr>
        <w:pBdr>
          <w:top w:val="none" w:color="000000" w:sz="0" w:space="0"/>
          <w:left w:val="none" w:color="000000" w:sz="0" w:space="0"/>
          <w:bottom w:val="none" w:color="000000" w:sz="0" w:space="0"/>
          <w:right w:val="none" w:color="000000" w:sz="0" w:space="0"/>
        </w:pBdr>
        <w:rPr>
          <w:rFonts w:ascii="宋体" w:hAnsi="宋体" w:cs="宋体"/>
          <w:b/>
          <w:color w:val="000000"/>
          <w:sz w:val="32"/>
        </w:rPr>
      </w:pPr>
      <w:r>
        <w:rPr>
          <w:rFonts w:ascii="宋体" w:hAnsi="宋体" w:cs="宋体"/>
          <w:b/>
          <w:color w:val="000000"/>
          <w:sz w:val="32"/>
        </w:rPr>
        <w:t> </w:t>
      </w:r>
    </w:p>
    <w:p>
      <w:pPr>
        <w:pBdr>
          <w:top w:val="none" w:color="000000" w:sz="0" w:space="0"/>
          <w:left w:val="none" w:color="000000" w:sz="0" w:space="0"/>
          <w:bottom w:val="none" w:color="000000" w:sz="0" w:space="0"/>
          <w:right w:val="none" w:color="000000" w:sz="0" w:space="0"/>
        </w:pBdr>
        <w:rPr>
          <w:rFonts w:ascii="宋体" w:hAnsi="宋体" w:cs="宋体"/>
          <w:b/>
          <w:color w:val="000000"/>
          <w:sz w:val="32"/>
        </w:rPr>
      </w:pPr>
    </w:p>
    <w:p>
      <w:pPr>
        <w:pBdr>
          <w:top w:val="none" w:color="000000" w:sz="0" w:space="0"/>
          <w:left w:val="none" w:color="000000" w:sz="0" w:space="0"/>
          <w:bottom w:val="none" w:color="000000" w:sz="0" w:space="0"/>
          <w:right w:val="none" w:color="000000" w:sz="0" w:space="0"/>
        </w:pBdr>
        <w:rPr>
          <w:rFonts w:ascii="宋体" w:hAnsi="宋体" w:cs="宋体"/>
          <w:b/>
          <w:color w:val="000000"/>
          <w:sz w:val="32"/>
        </w:rPr>
      </w:pPr>
    </w:p>
    <w:p>
      <w:pPr>
        <w:pBdr>
          <w:top w:val="none" w:color="000000" w:sz="0" w:space="0"/>
          <w:left w:val="none" w:color="000000" w:sz="0" w:space="0"/>
          <w:bottom w:val="none" w:color="000000" w:sz="0" w:space="0"/>
          <w:right w:val="none" w:color="000000" w:sz="0" w:space="0"/>
        </w:pBdr>
        <w:rPr>
          <w:rFonts w:ascii="宋体" w:hAnsi="宋体" w:cs="宋体"/>
          <w:b/>
          <w:color w:val="000000"/>
          <w:sz w:val="32"/>
        </w:rPr>
      </w:pPr>
    </w:p>
    <w:p>
      <w:pPr>
        <w:pBdr>
          <w:top w:val="none" w:color="000000" w:sz="0" w:space="0"/>
          <w:left w:val="none" w:color="000000" w:sz="0" w:space="0"/>
          <w:bottom w:val="none" w:color="000000" w:sz="0" w:space="0"/>
          <w:right w:val="none" w:color="000000" w:sz="0" w:space="0"/>
        </w:pBdr>
        <w:rPr>
          <w:rFonts w:ascii="宋体" w:hAnsi="宋体" w:cs="宋体"/>
          <w:b/>
          <w:color w:val="000000"/>
          <w:sz w:val="32"/>
        </w:rPr>
      </w:pPr>
    </w:p>
    <w:p>
      <w:pPr>
        <w:pBdr>
          <w:top w:val="none" w:color="000000" w:sz="0" w:space="0"/>
          <w:left w:val="none" w:color="000000" w:sz="0" w:space="0"/>
          <w:bottom w:val="none" w:color="000000" w:sz="0" w:space="0"/>
          <w:right w:val="none" w:color="000000" w:sz="0" w:space="0"/>
        </w:pBdr>
        <w:rPr>
          <w:rFonts w:ascii="宋体" w:hAnsi="宋体" w:cs="宋体"/>
          <w:b/>
          <w:color w:val="000000"/>
          <w:sz w:val="32"/>
        </w:rPr>
      </w:pPr>
    </w:p>
    <w:p>
      <w:pPr>
        <w:pBdr>
          <w:top w:val="none" w:color="000000" w:sz="0" w:space="0"/>
          <w:left w:val="none" w:color="000000" w:sz="0" w:space="0"/>
          <w:bottom w:val="none" w:color="000000" w:sz="0" w:space="0"/>
          <w:right w:val="none" w:color="000000" w:sz="0" w:space="0"/>
        </w:pBdr>
        <w:rPr>
          <w:rFonts w:ascii="宋体" w:hAnsi="宋体" w:cs="宋体"/>
          <w:b/>
          <w:color w:val="000000"/>
          <w:sz w:val="32"/>
        </w:rPr>
      </w:pPr>
    </w:p>
    <w:p>
      <w:pPr>
        <w:pBdr>
          <w:top w:val="none" w:color="000000" w:sz="0" w:space="0"/>
          <w:left w:val="none" w:color="000000" w:sz="0" w:space="0"/>
          <w:bottom w:val="none" w:color="000000" w:sz="0" w:space="0"/>
          <w:right w:val="none" w:color="000000" w:sz="0" w:space="0"/>
        </w:pBdr>
        <w:rPr>
          <w:rFonts w:ascii="宋体" w:hAnsi="宋体" w:cs="宋体"/>
          <w:b/>
          <w:color w:val="000000"/>
          <w:sz w:val="32"/>
        </w:rPr>
      </w:pPr>
    </w:p>
    <w:p>
      <w:pPr>
        <w:pBdr>
          <w:top w:val="none" w:color="000000" w:sz="0" w:space="0"/>
          <w:left w:val="none" w:color="000000" w:sz="0" w:space="0"/>
          <w:bottom w:val="none" w:color="000000" w:sz="0" w:space="0"/>
          <w:right w:val="none" w:color="000000" w:sz="0" w:space="0"/>
        </w:pBdr>
        <w:rPr>
          <w:rFonts w:ascii="宋体" w:hAnsi="宋体" w:cs="宋体"/>
          <w:b/>
          <w:color w:val="000000"/>
          <w:sz w:val="32"/>
        </w:rPr>
      </w:pPr>
    </w:p>
    <w:p>
      <w:pPr>
        <w:pBdr>
          <w:top w:val="none" w:color="000000" w:sz="0" w:space="0"/>
          <w:left w:val="none" w:color="000000" w:sz="0" w:space="0"/>
          <w:bottom w:val="none" w:color="000000" w:sz="0" w:space="0"/>
          <w:right w:val="none" w:color="000000" w:sz="0" w:space="0"/>
        </w:pBdr>
        <w:rPr>
          <w:rFonts w:ascii="宋体" w:hAnsi="宋体" w:cs="宋体"/>
          <w:b/>
          <w:color w:val="000000"/>
          <w:sz w:val="32"/>
        </w:rPr>
      </w:pPr>
    </w:p>
    <w:p>
      <w:pPr>
        <w:pBdr>
          <w:top w:val="none" w:color="000000" w:sz="0" w:space="0"/>
          <w:left w:val="none" w:color="000000" w:sz="0" w:space="0"/>
          <w:bottom w:val="none" w:color="000000" w:sz="0" w:space="0"/>
          <w:right w:val="none" w:color="000000" w:sz="0" w:space="0"/>
        </w:pBdr>
        <w:rPr>
          <w:rFonts w:ascii="宋体" w:hAnsi="宋体" w:cs="宋体"/>
          <w:b/>
          <w:color w:val="000000"/>
          <w:sz w:val="32"/>
        </w:rPr>
      </w:pPr>
    </w:p>
    <w:p>
      <w:pPr>
        <w:pBdr>
          <w:top w:val="none" w:color="000000" w:sz="0" w:space="0"/>
          <w:left w:val="none" w:color="000000" w:sz="0" w:space="0"/>
          <w:bottom w:val="none" w:color="000000" w:sz="0" w:space="0"/>
          <w:right w:val="none" w:color="000000" w:sz="0" w:space="0"/>
        </w:pBdr>
        <w:rPr>
          <w:rFonts w:ascii="宋体" w:hAnsi="宋体" w:cs="宋体"/>
          <w:b/>
          <w:color w:val="000000"/>
          <w:sz w:val="32"/>
        </w:rPr>
      </w:pPr>
    </w:p>
    <w:p>
      <w:pPr>
        <w:pBdr>
          <w:top w:val="none" w:color="000000" w:sz="0" w:space="0"/>
          <w:left w:val="none" w:color="000000" w:sz="0" w:space="0"/>
          <w:bottom w:val="none" w:color="000000" w:sz="0" w:space="0"/>
          <w:right w:val="none" w:color="000000" w:sz="0" w:space="0"/>
        </w:pBdr>
        <w:rPr>
          <w:rFonts w:ascii="宋体" w:hAnsi="宋体" w:cs="宋体"/>
          <w:b/>
          <w:color w:val="000000"/>
          <w:sz w:val="32"/>
        </w:rPr>
      </w:pPr>
    </w:p>
    <w:p>
      <w:pPr>
        <w:pBdr>
          <w:top w:val="none" w:color="000000" w:sz="0" w:space="0"/>
          <w:left w:val="none" w:color="000000" w:sz="0" w:space="0"/>
          <w:bottom w:val="none" w:color="000000" w:sz="0" w:space="0"/>
          <w:right w:val="none" w:color="000000" w:sz="0" w:space="0"/>
        </w:pBdr>
        <w:rPr>
          <w:rFonts w:ascii="宋体" w:hAnsi="宋体" w:cs="宋体"/>
          <w:b/>
          <w:color w:val="000000"/>
          <w:sz w:val="32"/>
        </w:rPr>
      </w:pPr>
    </w:p>
    <w:p>
      <w:pPr>
        <w:pBdr>
          <w:top w:val="none" w:color="000000" w:sz="0" w:space="0"/>
          <w:left w:val="none" w:color="000000" w:sz="0" w:space="0"/>
          <w:bottom w:val="none" w:color="000000" w:sz="0" w:space="0"/>
          <w:right w:val="none" w:color="000000" w:sz="0" w:space="0"/>
        </w:pBdr>
        <w:rPr>
          <w:rFonts w:ascii="宋体" w:hAnsi="宋体" w:cs="宋体"/>
          <w:b/>
          <w:color w:val="000000"/>
          <w:sz w:val="32"/>
        </w:rPr>
      </w:pPr>
    </w:p>
    <w:p>
      <w:pPr>
        <w:pBdr>
          <w:top w:val="none" w:color="000000" w:sz="0" w:space="0"/>
          <w:left w:val="none" w:color="000000" w:sz="0" w:space="0"/>
          <w:bottom w:val="none" w:color="000000" w:sz="0" w:space="0"/>
          <w:right w:val="none" w:color="000000" w:sz="0" w:space="0"/>
        </w:pBdr>
        <w:rPr>
          <w:rFonts w:ascii="宋体" w:hAnsi="宋体" w:cs="宋体"/>
          <w:b/>
          <w:color w:val="000000"/>
          <w:sz w:val="32"/>
        </w:rPr>
      </w:pPr>
    </w:p>
    <w:p>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2"/>
        </w:rPr>
        <w:t>质疑函范本</w:t>
      </w:r>
    </w:p>
    <w:p>
      <w:pPr>
        <w:pBdr>
          <w:top w:val="none" w:color="000000" w:sz="0" w:space="0"/>
          <w:left w:val="none" w:color="000000" w:sz="0" w:space="0"/>
          <w:bottom w:val="none" w:color="000000" w:sz="0" w:space="0"/>
          <w:right w:val="none" w:color="000000" w:sz="0" w:space="0"/>
        </w:pBdr>
        <w:spacing w:before="312"/>
      </w:pPr>
      <w:r>
        <w:rPr>
          <w:rFonts w:ascii="宋体" w:hAnsi="宋体" w:cs="宋体"/>
          <w:color w:val="000000"/>
          <w:sz w:val="24"/>
        </w:rPr>
        <w:t>一、质疑供应商基本信息</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质疑供应商：</w:t>
      </w:r>
      <w:r>
        <w:rPr>
          <w:rFonts w:ascii="宋体" w:hAnsi="宋体" w:cs="宋体"/>
          <w:color w:val="000000"/>
          <w:sz w:val="24"/>
          <w:u w:val="single"/>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地址：</w:t>
      </w:r>
      <w:r>
        <w:rPr>
          <w:rFonts w:ascii="宋体" w:hAnsi="宋体" w:cs="宋体"/>
          <w:color w:val="000000"/>
          <w:sz w:val="24"/>
          <w:u w:val="single"/>
        </w:rPr>
        <w:t>           </w:t>
      </w:r>
      <w:r>
        <w:rPr>
          <w:rFonts w:ascii="宋体" w:hAnsi="宋体" w:cs="宋体"/>
          <w:color w:val="000000"/>
          <w:sz w:val="24"/>
        </w:rPr>
        <w:t>邮编：</w:t>
      </w:r>
      <w:r>
        <w:rPr>
          <w:rFonts w:ascii="宋体" w:hAnsi="宋体" w:cs="宋体"/>
          <w:color w:val="000000"/>
          <w:sz w:val="24"/>
          <w:u w:val="single"/>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联系人：</w:t>
      </w:r>
      <w:r>
        <w:rPr>
          <w:rFonts w:ascii="宋体" w:hAnsi="宋体" w:cs="宋体"/>
          <w:color w:val="000000"/>
          <w:sz w:val="24"/>
          <w:u w:val="single"/>
        </w:rPr>
        <w:t>           </w:t>
      </w:r>
      <w:r>
        <w:rPr>
          <w:rFonts w:ascii="宋体" w:hAnsi="宋体" w:cs="宋体"/>
          <w:color w:val="000000"/>
          <w:sz w:val="24"/>
        </w:rPr>
        <w:t>联系电话</w:t>
      </w:r>
      <w:r>
        <w:rPr>
          <w:rFonts w:ascii="宋体" w:hAnsi="宋体" w:cs="宋体"/>
          <w:color w:val="000000"/>
        </w:rPr>
        <w:t>：</w:t>
      </w:r>
      <w:r>
        <w:rPr>
          <w:rFonts w:ascii="宋体" w:hAnsi="宋体" w:cs="宋体"/>
          <w:color w:val="000000"/>
          <w:u w:val="single"/>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授权代表：</w:t>
      </w:r>
      <w:r>
        <w:rPr>
          <w:rFonts w:ascii="宋体" w:hAnsi="宋体" w:cs="宋体"/>
          <w:color w:val="000000"/>
          <w:sz w:val="24"/>
          <w:u w:val="single"/>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联系电话：</w:t>
      </w:r>
      <w:r>
        <w:rPr>
          <w:rFonts w:ascii="宋体" w:hAnsi="宋体" w:cs="宋体"/>
          <w:color w:val="000000"/>
          <w:sz w:val="24"/>
          <w:u w:val="single"/>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地址：</w:t>
      </w:r>
      <w:r>
        <w:rPr>
          <w:rFonts w:ascii="宋体" w:hAnsi="宋体" w:cs="宋体"/>
          <w:color w:val="000000"/>
          <w:sz w:val="24"/>
          <w:u w:val="single"/>
        </w:rPr>
        <w:t>           </w:t>
      </w:r>
      <w:r>
        <w:rPr>
          <w:rFonts w:ascii="宋体" w:hAnsi="宋体" w:cs="宋体"/>
          <w:color w:val="000000"/>
          <w:sz w:val="24"/>
        </w:rPr>
        <w:t>邮编：</w:t>
      </w:r>
      <w:r>
        <w:rPr>
          <w:rFonts w:ascii="宋体" w:hAnsi="宋体" w:cs="宋体"/>
          <w:color w:val="000000"/>
          <w:sz w:val="24"/>
          <w:u w:val="single"/>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二、质疑项目基本情况</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质疑项目的名称：</w:t>
      </w:r>
      <w:r>
        <w:rPr>
          <w:rFonts w:ascii="宋体" w:hAnsi="宋体" w:cs="宋体"/>
          <w:color w:val="000000"/>
          <w:sz w:val="24"/>
          <w:u w:val="single"/>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质疑项目的编号：</w:t>
      </w:r>
      <w:r>
        <w:rPr>
          <w:rFonts w:ascii="宋体" w:hAnsi="宋体" w:cs="宋体"/>
          <w:color w:val="000000"/>
          <w:sz w:val="24"/>
          <w:u w:val="single"/>
        </w:rPr>
        <w:t>           </w:t>
      </w:r>
      <w:r>
        <w:rPr>
          <w:rFonts w:ascii="宋体" w:hAnsi="宋体" w:cs="宋体"/>
          <w:color w:val="000000"/>
          <w:sz w:val="24"/>
        </w:rPr>
        <w:t>包号：</w:t>
      </w:r>
      <w:r>
        <w:rPr>
          <w:rFonts w:ascii="宋体" w:hAnsi="宋体" w:cs="宋体"/>
          <w:color w:val="000000"/>
          <w:sz w:val="24"/>
          <w:u w:val="single"/>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采购人名称：</w:t>
      </w:r>
      <w:r>
        <w:rPr>
          <w:rFonts w:ascii="宋体" w:hAnsi="宋体" w:cs="宋体"/>
          <w:color w:val="000000"/>
          <w:sz w:val="24"/>
          <w:u w:val="single"/>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采购文件获取日期：</w:t>
      </w:r>
      <w:r>
        <w:rPr>
          <w:rFonts w:ascii="宋体" w:hAnsi="宋体" w:cs="宋体"/>
          <w:color w:val="000000"/>
          <w:sz w:val="24"/>
          <w:u w:val="single"/>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三、质疑事项具体内容</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质疑事项1：</w:t>
      </w:r>
      <w:r>
        <w:rPr>
          <w:rFonts w:ascii="宋体" w:hAnsi="宋体" w:cs="宋体"/>
          <w:color w:val="000000"/>
          <w:sz w:val="24"/>
          <w:u w:val="single"/>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事实依据：</w:t>
      </w:r>
      <w:r>
        <w:rPr>
          <w:rFonts w:ascii="宋体" w:hAnsi="宋体" w:cs="宋体"/>
          <w:color w:val="000000"/>
          <w:sz w:val="24"/>
          <w:u w:val="single"/>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法律依据：</w:t>
      </w:r>
      <w:r>
        <w:rPr>
          <w:rFonts w:ascii="宋体" w:hAnsi="宋体" w:cs="宋体"/>
          <w:color w:val="000000"/>
          <w:sz w:val="24"/>
          <w:u w:val="single"/>
        </w:rPr>
        <w:t>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质疑事项2</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四、与质疑事项相关的质疑请求</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请求：</w:t>
      </w:r>
      <w:r>
        <w:rPr>
          <w:rFonts w:ascii="宋体" w:hAnsi="宋体" w:cs="宋体"/>
          <w:color w:val="000000"/>
          <w:sz w:val="24"/>
          <w:u w:val="single"/>
        </w:rPr>
        <w:t>           </w:t>
      </w:r>
    </w:p>
    <w:p>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ascii="宋体" w:hAnsi="宋体" w:cs="宋体"/>
          <w:color w:val="000000"/>
          <w:sz w:val="24"/>
        </w:rPr>
        <w:t>签字(签章)：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公章：                      </w:t>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日期：</w:t>
      </w:r>
    </w:p>
    <w:p>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质疑函制作说明：</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1.供应商提出质疑时，应提交质疑函和必要的证明材料。</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3.质疑供应商若对项目的某一采购包进行质疑，质疑函中应列明具体采购包号。</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4.质疑函的质疑事项应具体、明确，并有必要的事实依据和法律依据。</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5.质疑函的质疑请求应与质疑事项相关。</w:t>
      </w:r>
    </w:p>
    <w:p>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6.质疑供应商为自然人的，质疑函应由本人签字；质疑供应商为法人或者其他组织的，质疑函应由法定代表人、主要负责人，或者其授权代表签字或者盖章，并加盖公章。</w:t>
      </w:r>
    </w:p>
    <w:p>
      <w:pPr>
        <w:pBdr>
          <w:top w:val="none" w:color="000000" w:sz="0" w:space="0"/>
          <w:left w:val="none" w:color="000000" w:sz="0" w:space="0"/>
          <w:bottom w:val="none" w:color="000000" w:sz="0" w:space="0"/>
          <w:right w:val="none" w:color="000000" w:sz="0" w:space="0"/>
        </w:pBdr>
        <w:spacing w:line="400" w:lineRule="atLeast"/>
        <w:ind w:firstLine="480"/>
      </w:pPr>
      <w:r>
        <w:rPr>
          <w:rFonts w:eastAsia="Times New Roman"/>
          <w:color w:val="000000"/>
        </w:rPr>
        <w:t> </w:t>
      </w:r>
    </w:p>
    <w:p>
      <w:pPr>
        <w:pBdr>
          <w:top w:val="none" w:color="000000" w:sz="0" w:space="0"/>
          <w:left w:val="none" w:color="000000" w:sz="0" w:space="0"/>
          <w:bottom w:val="none" w:color="000000" w:sz="0" w:space="0"/>
          <w:right w:val="none" w:color="000000" w:sz="0" w:space="0"/>
        </w:pBdr>
      </w:pPr>
    </w:p>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方正黑体_GBK">
    <w:altName w:val="Arial Unicode MS"/>
    <w:panose1 w:val="020B0503020202020204"/>
    <w:charset w:val="00"/>
    <w:family w:val="auto"/>
    <w:pitch w:val="default"/>
    <w:sig w:usb0="00000000" w:usb1="00000000" w:usb2="00000000" w:usb3="00000000" w:csb0="00000000" w:csb1="00000000"/>
  </w:font>
  <w:font w:name="方正仿宋_GBK">
    <w:altName w:val="Arial Unicode MS"/>
    <w:panose1 w:val="020B0503020202020204"/>
    <w:charset w:val="00"/>
    <w:family w:val="auto"/>
    <w:pitch w:val="default"/>
    <w:sig w:usb0="00000000" w:usb1="00000000" w:usb2="00000000" w:usb3="00000000" w:csb0="00000000" w:csb1="00000000"/>
  </w:font>
  <w:font w:name="方正楷体_GBK">
    <w:altName w:val="Arial Unicode MS"/>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1"/>
        <w:rFonts w:ascii="宋体" w:hAnsi="宋体"/>
      </w:rPr>
    </w:pPr>
    <w:r>
      <w:rPr>
        <w:rFonts w:ascii="宋体" w:hAnsi="宋体"/>
      </w:rPr>
      <w:fldChar w:fldCharType="begin"/>
    </w:r>
    <w:r>
      <w:rPr>
        <w:rStyle w:val="51"/>
        <w:rFonts w:ascii="宋体" w:hAnsi="宋体"/>
      </w:rPr>
      <w:instrText xml:space="preserve">PAGE  </w:instrText>
    </w:r>
    <w:r>
      <w:rPr>
        <w:rFonts w:ascii="宋体" w:hAnsi="宋体"/>
      </w:rPr>
      <w:fldChar w:fldCharType="separate"/>
    </w:r>
    <w:r>
      <w:rPr>
        <w:rStyle w:val="51"/>
        <w:rFonts w:ascii="宋体" w:hAnsi="宋体"/>
      </w:rPr>
      <w:t>37</w:t>
    </w:r>
    <w:r>
      <w:rPr>
        <w:rFonts w:ascii="宋体" w:hAnsi="宋体"/>
      </w:rPr>
      <w:fldChar w:fldCharType="end"/>
    </w:r>
  </w:p>
  <w:p>
    <w:pPr>
      <w:pStyle w:val="31"/>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1"/>
      </w:rPr>
    </w:pPr>
    <w:r>
      <w:fldChar w:fldCharType="begin"/>
    </w:r>
    <w:r>
      <w:rPr>
        <w:rStyle w:val="51"/>
      </w:rPr>
      <w:instrText xml:space="preserve">PAGE  </w:instrText>
    </w:r>
    <w:r>
      <w:fldChar w:fldCharType="separate"/>
    </w:r>
    <w:r>
      <w:rPr>
        <w:rStyle w:val="51"/>
      </w:rPr>
      <w:t>1</w:t>
    </w:r>
    <w:r>
      <w:fldChar w:fldCharType="end"/>
    </w:r>
  </w:p>
  <w:p>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E306ED"/>
    <w:multiLevelType w:val="multilevel"/>
    <w:tmpl w:val="B5E306ED"/>
    <w:lvl w:ilvl="0" w:tentative="0">
      <w:start w:val="1"/>
      <w:numFmt w:val="chineseCountingThousand"/>
      <w:suff w:val="nothing"/>
      <w:lvlText w:val="%1、"/>
      <w:lvlJc w:val="left"/>
      <w:pPr>
        <w:ind w:left="425" w:hanging="425"/>
      </w:pPr>
      <w:rPr>
        <w:rFonts w:hint="eastAsia"/>
      </w:rPr>
    </w:lvl>
    <w:lvl w:ilvl="1" w:tentative="0">
      <w:start w:val="1"/>
      <w:numFmt w:val="chineseCountingThousand"/>
      <w:lvlText w:val="（%2）"/>
      <w:lvlJc w:val="left"/>
      <w:pPr>
        <w:ind w:left="3686" w:hanging="567"/>
      </w:pPr>
      <w:rPr>
        <w:rFonts w:hint="eastAsia"/>
      </w:rPr>
    </w:lvl>
    <w:lvl w:ilvl="2" w:tentative="0">
      <w:start w:val="1"/>
      <w:numFmt w:val="decimal"/>
      <w:isLgl/>
      <w:suff w:val="nothing"/>
      <w:lvlText w:val="%1.%2.%3、"/>
      <w:lvlJc w:val="left"/>
      <w:pPr>
        <w:ind w:left="2346" w:hanging="1069"/>
      </w:pPr>
      <w:rPr>
        <w:rFonts w:hint="eastAsia" w:ascii="Times New Roman" w:hAnsi="Times New Roman" w:cs="Times New Roman"/>
        <w:b/>
        <w:bCs w:val="0"/>
        <w:i w:val="0"/>
        <w:iCs w:val="0"/>
        <w:caps w:val="0"/>
        <w:smallCaps w:val="0"/>
        <w:strike w:val="0"/>
        <w:vanish w:val="0"/>
        <w:color w:val="000000"/>
        <w:spacing w:val="0"/>
        <w:position w:val="0"/>
        <w:u w:val="none"/>
        <w:vertAlign w:val="baseline"/>
      </w:rPr>
    </w:lvl>
    <w:lvl w:ilvl="3" w:tentative="0">
      <w:start w:val="1"/>
      <w:numFmt w:val="decimal"/>
      <w:isLgl/>
      <w:suff w:val="nothing"/>
      <w:lvlText w:val="%1.%2.%3.%4、"/>
      <w:lvlJc w:val="left"/>
      <w:pPr>
        <w:ind w:left="1561" w:hanging="851"/>
      </w:pPr>
      <w:rPr>
        <w:rFonts w:hint="default" w:ascii="Times New Roman" w:hAnsi="Times New Roman" w:eastAsia="宋体" w:cs="Times New Roman"/>
        <w:sz w:val="24"/>
        <w:szCs w:val="24"/>
      </w:rPr>
    </w:lvl>
    <w:lvl w:ilvl="4" w:tentative="0">
      <w:start w:val="1"/>
      <w:numFmt w:val="decimal"/>
      <w:isLgl/>
      <w:suff w:val="nothing"/>
      <w:lvlText w:val="%1.%2.%3.%4.%5、"/>
      <w:lvlJc w:val="left"/>
      <w:pPr>
        <w:ind w:left="1985" w:hanging="992"/>
      </w:pPr>
      <w:rPr>
        <w:rFonts w:hint="eastAsia"/>
      </w:rPr>
    </w:lvl>
    <w:lvl w:ilvl="5" w:tentative="0">
      <w:start w:val="1"/>
      <w:numFmt w:val="decimal"/>
      <w:isLgl/>
      <w:suff w:val="nothing"/>
      <w:lvlText w:val="%1.%2.%3.%4.%5.%6、"/>
      <w:lvlJc w:val="left"/>
      <w:pPr>
        <w:ind w:left="1134" w:hanging="1134"/>
      </w:pPr>
      <w:rPr>
        <w:rFonts w:hint="default" w:ascii="Times New Roman" w:hAnsi="Times New Roman" w:cs="Times New Roman"/>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abstractNum w:abstractNumId="1">
    <w:nsid w:val="BF205925"/>
    <w:multiLevelType w:val="multilevel"/>
    <w:tmpl w:val="BF205925"/>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quot;&quot;&quot;&quot;&quot;o&quot;&quot;&quot;&quot;&quot;"/>
      <w:lvlJc w:val="left"/>
      <w:pPr>
        <w:ind w:left="1440" w:hanging="360"/>
      </w:pPr>
      <w:rPr>
        <w:rFonts w:hint="default" w:ascii="Courier New" w:hAnsi="Courier New" w:eastAsia="Courier New" w:cs="Courier New"/>
      </w:rPr>
    </w:lvl>
    <w:lvl w:ilvl="2" w:tentative="0">
      <w:start w:val="1"/>
      <w:numFmt w:val="bullet"/>
      <w:lvlText w:val="&quot;&quot;&quot;&quot;&quot;§&quot;&quot;&quot;&quot;&quot;"/>
      <w:lvlJc w:val="left"/>
      <w:pPr>
        <w:ind w:left="2160" w:hanging="360"/>
      </w:pPr>
      <w:rPr>
        <w:rFonts w:hint="default" w:ascii="Wingdings" w:hAnsi="Wingdings" w:eastAsia="Wingdings" w:cs="Wingdings"/>
      </w:rPr>
    </w:lvl>
    <w:lvl w:ilvl="3" w:tentative="0">
      <w:start w:val="1"/>
      <w:numFmt w:val="bullet"/>
      <w:lvlText w:val="&quot;&quot;&quot;&quot;&quot;·&quot;&quot;&quot;&quot;&quot;"/>
      <w:lvlJc w:val="left"/>
      <w:pPr>
        <w:ind w:left="2880" w:hanging="360"/>
      </w:pPr>
      <w:rPr>
        <w:rFonts w:hint="default" w:ascii="Symbol" w:hAnsi="Symbol" w:eastAsia="Symbol" w:cs="Symbol"/>
      </w:rPr>
    </w:lvl>
    <w:lvl w:ilvl="4" w:tentative="0">
      <w:start w:val="1"/>
      <w:numFmt w:val="bullet"/>
      <w:lvlText w:val="&quot;&quot;&quot;&quot;&quot;o&quot;&quot;&quot;&quot;&quot;"/>
      <w:lvlJc w:val="left"/>
      <w:pPr>
        <w:ind w:left="3600" w:hanging="360"/>
      </w:pPr>
      <w:rPr>
        <w:rFonts w:hint="default" w:ascii="Courier New" w:hAnsi="Courier New" w:eastAsia="Courier New" w:cs="Courier New"/>
      </w:rPr>
    </w:lvl>
    <w:lvl w:ilvl="5" w:tentative="0">
      <w:start w:val="1"/>
      <w:numFmt w:val="bullet"/>
      <w:lvlText w:val="&quot;&quot;&quot;&quot;&quot;§&quot;&quot;&quot;&quot;&quot;"/>
      <w:lvlJc w:val="left"/>
      <w:pPr>
        <w:ind w:left="4320" w:hanging="360"/>
      </w:pPr>
      <w:rPr>
        <w:rFonts w:hint="default" w:ascii="Wingdings" w:hAnsi="Wingdings" w:eastAsia="Wingdings" w:cs="Wingdings"/>
      </w:rPr>
    </w:lvl>
    <w:lvl w:ilvl="6" w:tentative="0">
      <w:start w:val="1"/>
      <w:numFmt w:val="bullet"/>
      <w:lvlText w:val="&quot;&quot;&quot;&quot;&quot;·&quot;&quot;&quot;&quot;&quot;"/>
      <w:lvlJc w:val="left"/>
      <w:pPr>
        <w:ind w:left="5040" w:hanging="360"/>
      </w:pPr>
      <w:rPr>
        <w:rFonts w:hint="default" w:ascii="Symbol" w:hAnsi="Symbol" w:eastAsia="Symbol" w:cs="Symbol"/>
      </w:rPr>
    </w:lvl>
    <w:lvl w:ilvl="7" w:tentative="0">
      <w:start w:val="1"/>
      <w:numFmt w:val="bullet"/>
      <w:lvlText w:val="&quot;&quot;&quot;&quot;&quot;o&quot;&quot;&quot;&quot;&quot;"/>
      <w:lvlJc w:val="left"/>
      <w:pPr>
        <w:ind w:left="5760" w:hanging="360"/>
      </w:pPr>
      <w:rPr>
        <w:rFonts w:hint="default" w:ascii="Courier New" w:hAnsi="Courier New" w:eastAsia="Courier New" w:cs="Courier New"/>
      </w:rPr>
    </w:lvl>
    <w:lvl w:ilvl="8" w:tentative="0">
      <w:start w:val="1"/>
      <w:numFmt w:val="bullet"/>
      <w:lvlText w:val="&quot;&quot;&quot;&quot;&quot;§&quot;&quot;&quot;&quot;&quot;"/>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4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4">
    <w:nsid w:val="25B654F3"/>
    <w:multiLevelType w:val="multilevel"/>
    <w:tmpl w:val="25B654F3"/>
    <w:lvl w:ilvl="0" w:tentative="0">
      <w:start w:val="3"/>
      <w:numFmt w:val="chineseCounting"/>
      <w:suff w:val="nothing"/>
      <w:lvlText w:val="%1、"/>
      <w:lvlJc w:val="left"/>
      <w:pPr>
        <w:ind w:left="21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pStyle w:val="29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5A241D34"/>
    <w:multiLevelType w:val="multilevel"/>
    <w:tmpl w:val="5A241D3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597A2D"/>
    <w:rsid w:val="1F487CD3"/>
    <w:rsid w:val="5DB96B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rPr>
  </w:style>
  <w:style w:type="paragraph" w:styleId="2">
    <w:name w:val="heading 1"/>
    <w:basedOn w:val="1"/>
    <w:next w:val="1"/>
    <w:link w:val="245"/>
    <w:qFormat/>
    <w:uiPriority w:val="0"/>
    <w:pPr>
      <w:keepNext/>
      <w:jc w:val="center"/>
      <w:outlineLvl w:val="0"/>
    </w:pPr>
    <w:rPr>
      <w:rFonts w:ascii="楷体_GB2312" w:hAnsi="楷体_GB2312" w:eastAsia="黑体"/>
      <w:sz w:val="44"/>
      <w:szCs w:val="28"/>
    </w:rPr>
  </w:style>
  <w:style w:type="paragraph" w:styleId="3">
    <w:name w:val="heading 2"/>
    <w:basedOn w:val="1"/>
    <w:next w:val="1"/>
    <w:link w:val="234"/>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5"/>
    <w:link w:val="233"/>
    <w:qFormat/>
    <w:uiPriority w:val="0"/>
    <w:pPr>
      <w:keepNext/>
      <w:keepLines/>
      <w:spacing w:before="260" w:after="260" w:line="416" w:lineRule="auto"/>
      <w:outlineLvl w:val="2"/>
    </w:pPr>
    <w:rPr>
      <w:b/>
      <w:bCs/>
      <w:sz w:val="32"/>
      <w:szCs w:val="32"/>
    </w:rPr>
  </w:style>
  <w:style w:type="paragraph" w:styleId="6">
    <w:name w:val="heading 4"/>
    <w:basedOn w:val="1"/>
    <w:next w:val="5"/>
    <w:link w:val="259"/>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5"/>
    <w:link w:val="255"/>
    <w:qFormat/>
    <w:uiPriority w:val="0"/>
    <w:pPr>
      <w:keepNext/>
      <w:outlineLvl w:val="4"/>
    </w:pPr>
    <w:rPr>
      <w:rFonts w:ascii="宋体"/>
      <w:color w:val="000000"/>
      <w:sz w:val="28"/>
      <w:szCs w:val="28"/>
    </w:rPr>
  </w:style>
  <w:style w:type="paragraph" w:styleId="8">
    <w:name w:val="heading 6"/>
    <w:basedOn w:val="1"/>
    <w:next w:val="1"/>
    <w:link w:val="24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51"/>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264"/>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53"/>
    <w:qFormat/>
    <w:uiPriority w:val="0"/>
    <w:pPr>
      <w:keepNext/>
      <w:keepLines/>
      <w:numPr>
        <w:ilvl w:val="8"/>
        <w:numId w:val="1"/>
      </w:numPr>
      <w:spacing w:before="240" w:after="64" w:line="320" w:lineRule="auto"/>
      <w:outlineLvl w:val="8"/>
    </w:pPr>
    <w:rPr>
      <w:rFonts w:ascii="Arial" w:hAnsi="Arial" w:eastAsia="黑体"/>
    </w:rPr>
  </w:style>
  <w:style w:type="character" w:default="1" w:styleId="48">
    <w:name w:val="Default Paragraph Font"/>
    <w:semiHidden/>
    <w:unhideWhenUsed/>
    <w:uiPriority w:val="1"/>
  </w:style>
  <w:style w:type="table" w:default="1" w:styleId="55">
    <w:name w:val="Normal Table"/>
    <w:semiHidden/>
    <w:unhideWhenUsed/>
    <w:uiPriority w:val="99"/>
    <w:tblPr>
      <w:tblLayout w:type="fixed"/>
      <w:tblCellMar>
        <w:top w:w="0" w:type="dxa"/>
        <w:left w:w="108" w:type="dxa"/>
        <w:bottom w:w="0" w:type="dxa"/>
        <w:right w:w="108" w:type="dxa"/>
      </w:tblCellMar>
    </w:tblPr>
  </w:style>
  <w:style w:type="paragraph" w:styleId="5">
    <w:name w:val="Normal Indent"/>
    <w:basedOn w:val="1"/>
    <w:link w:val="250"/>
    <w:qFormat/>
    <w:uiPriority w:val="0"/>
    <w:pPr>
      <w:ind w:firstLine="420"/>
    </w:pPr>
  </w:style>
  <w:style w:type="paragraph" w:styleId="12">
    <w:name w:val="List 3"/>
    <w:basedOn w:val="1"/>
    <w:qFormat/>
    <w:uiPriority w:val="0"/>
    <w:pPr>
      <w:ind w:left="100" w:hanging="200"/>
    </w:pPr>
  </w:style>
  <w:style w:type="paragraph" w:styleId="13">
    <w:name w:val="annotation subject"/>
    <w:basedOn w:val="14"/>
    <w:next w:val="14"/>
    <w:link w:val="241"/>
    <w:semiHidden/>
    <w:qFormat/>
    <w:uiPriority w:val="0"/>
    <w:rPr>
      <w:b/>
      <w:bCs/>
    </w:rPr>
  </w:style>
  <w:style w:type="paragraph" w:styleId="14">
    <w:name w:val="annotation text"/>
    <w:basedOn w:val="1"/>
    <w:link w:val="254"/>
    <w:semiHidden/>
    <w:qFormat/>
    <w:uiPriority w:val="0"/>
    <w:pPr>
      <w:jc w:val="left"/>
    </w:pPr>
  </w:style>
  <w:style w:type="paragraph" w:styleId="15">
    <w:name w:val="toc 7"/>
    <w:basedOn w:val="1"/>
    <w:next w:val="1"/>
    <w:semiHidden/>
    <w:qFormat/>
    <w:uiPriority w:val="0"/>
    <w:pPr>
      <w:ind w:left="1260"/>
      <w:jc w:val="left"/>
    </w:pPr>
  </w:style>
  <w:style w:type="paragraph" w:styleId="16">
    <w:name w:val="Body Text First Indent"/>
    <w:basedOn w:val="1"/>
    <w:link w:val="243"/>
    <w:qFormat/>
    <w:uiPriority w:val="0"/>
    <w:pPr>
      <w:spacing w:line="360" w:lineRule="auto"/>
      <w:ind w:firstLine="200"/>
    </w:pPr>
    <w:rPr>
      <w:rFonts w:ascii="仿宋_GB2312" w:eastAsia="仿宋_GB2312"/>
      <w:sz w:val="30"/>
      <w:szCs w:val="30"/>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Document Map"/>
    <w:basedOn w:val="1"/>
    <w:link w:val="236"/>
    <w:semiHidden/>
    <w:qFormat/>
    <w:uiPriority w:val="0"/>
    <w:pPr>
      <w:shd w:val="clear" w:color="auto" w:fill="000080"/>
    </w:pPr>
  </w:style>
  <w:style w:type="paragraph" w:styleId="19">
    <w:name w:val="Body Text 3"/>
    <w:basedOn w:val="1"/>
    <w:link w:val="247"/>
    <w:qFormat/>
    <w:uiPriority w:val="0"/>
    <w:rPr>
      <w:rFonts w:ascii="仿宋_GB2312" w:hAnsi="Arial" w:eastAsia="仿宋_GB2312"/>
      <w:sz w:val="32"/>
      <w:szCs w:val="32"/>
    </w:rPr>
  </w:style>
  <w:style w:type="paragraph" w:styleId="20">
    <w:name w:val="Body Text"/>
    <w:basedOn w:val="1"/>
    <w:link w:val="262"/>
    <w:qFormat/>
    <w:uiPriority w:val="0"/>
    <w:rPr>
      <w:rFonts w:ascii="楷体_GB2312" w:hAnsi="Arial" w:eastAsia="楷体_GB2312"/>
      <w:sz w:val="28"/>
      <w:szCs w:val="28"/>
    </w:rPr>
  </w:style>
  <w:style w:type="paragraph" w:styleId="21">
    <w:name w:val="Body Text Indent"/>
    <w:basedOn w:val="1"/>
    <w:link w:val="252"/>
    <w:qFormat/>
    <w:uiPriority w:val="0"/>
    <w:pPr>
      <w:ind w:firstLine="645"/>
    </w:pPr>
    <w:rPr>
      <w:rFonts w:ascii="楷体_GB2312" w:eastAsia="楷体_GB2312"/>
      <w:sz w:val="32"/>
      <w:szCs w:val="32"/>
    </w:rPr>
  </w:style>
  <w:style w:type="paragraph" w:styleId="22">
    <w:name w:val="List 2"/>
    <w:basedOn w:val="1"/>
    <w:qFormat/>
    <w:uiPriority w:val="0"/>
    <w:pPr>
      <w:ind w:left="100" w:hanging="200"/>
    </w:pPr>
  </w:style>
  <w:style w:type="paragraph" w:styleId="23">
    <w:name w:val="toc 5"/>
    <w:basedOn w:val="1"/>
    <w:next w:val="1"/>
    <w:semiHidden/>
    <w:qFormat/>
    <w:uiPriority w:val="0"/>
    <w:pPr>
      <w:ind w:left="840"/>
      <w:jc w:val="left"/>
    </w:pPr>
  </w:style>
  <w:style w:type="paragraph" w:styleId="24">
    <w:name w:val="toc 3"/>
    <w:basedOn w:val="1"/>
    <w:next w:val="1"/>
    <w:semiHidden/>
    <w:qFormat/>
    <w:uiPriority w:val="0"/>
    <w:pPr>
      <w:ind w:left="420"/>
      <w:jc w:val="left"/>
    </w:pPr>
    <w:rPr>
      <w:i/>
      <w:iCs/>
      <w:szCs w:val="24"/>
    </w:rPr>
  </w:style>
  <w:style w:type="paragraph" w:styleId="25">
    <w:name w:val="Plain Text"/>
    <w:basedOn w:val="1"/>
    <w:link w:val="235"/>
    <w:qFormat/>
    <w:uiPriority w:val="0"/>
    <w:rPr>
      <w:rFonts w:ascii="宋体" w:hAnsi="Courier New" w:cs="Courier New"/>
    </w:rPr>
  </w:style>
  <w:style w:type="paragraph" w:styleId="26">
    <w:name w:val="toc 8"/>
    <w:basedOn w:val="1"/>
    <w:next w:val="1"/>
    <w:semiHidden/>
    <w:qFormat/>
    <w:uiPriority w:val="0"/>
    <w:pPr>
      <w:ind w:left="1470"/>
      <w:jc w:val="left"/>
    </w:pPr>
  </w:style>
  <w:style w:type="paragraph" w:styleId="27">
    <w:name w:val="Date"/>
    <w:basedOn w:val="1"/>
    <w:next w:val="1"/>
    <w:link w:val="257"/>
    <w:qFormat/>
    <w:uiPriority w:val="0"/>
    <w:rPr>
      <w:sz w:val="24"/>
      <w:szCs w:val="24"/>
    </w:rPr>
  </w:style>
  <w:style w:type="paragraph" w:styleId="28">
    <w:name w:val="Body Text Indent 2"/>
    <w:basedOn w:val="1"/>
    <w:link w:val="256"/>
    <w:qFormat/>
    <w:uiPriority w:val="0"/>
    <w:pPr>
      <w:ind w:left="630" w:firstLine="645"/>
    </w:pPr>
    <w:rPr>
      <w:rFonts w:ascii="Arial" w:hAnsi="Arial" w:eastAsia="仿宋_GB2312" w:cs="Arial"/>
      <w:sz w:val="32"/>
      <w:szCs w:val="32"/>
    </w:rPr>
  </w:style>
  <w:style w:type="paragraph" w:styleId="29">
    <w:name w:val="endnote text"/>
    <w:basedOn w:val="1"/>
    <w:link w:val="231"/>
    <w:semiHidden/>
    <w:unhideWhenUsed/>
    <w:qFormat/>
    <w:uiPriority w:val="99"/>
    <w:rPr>
      <w:sz w:val="20"/>
    </w:rPr>
  </w:style>
  <w:style w:type="paragraph" w:styleId="30">
    <w:name w:val="Balloon Text"/>
    <w:basedOn w:val="1"/>
    <w:link w:val="258"/>
    <w:semiHidden/>
    <w:qFormat/>
    <w:uiPriority w:val="0"/>
    <w:rPr>
      <w:sz w:val="18"/>
      <w:szCs w:val="18"/>
    </w:rPr>
  </w:style>
  <w:style w:type="paragraph" w:styleId="31">
    <w:name w:val="footer"/>
    <w:basedOn w:val="1"/>
    <w:link w:val="237"/>
    <w:qFormat/>
    <w:uiPriority w:val="0"/>
    <w:pPr>
      <w:tabs>
        <w:tab w:val="center" w:pos="4153"/>
        <w:tab w:val="right" w:pos="8306"/>
      </w:tabs>
      <w:jc w:val="left"/>
    </w:pPr>
    <w:rPr>
      <w:sz w:val="18"/>
      <w:szCs w:val="18"/>
    </w:rPr>
  </w:style>
  <w:style w:type="paragraph" w:styleId="32">
    <w:name w:val="Body Text First Indent 2"/>
    <w:basedOn w:val="21"/>
    <w:link w:val="244"/>
    <w:qFormat/>
    <w:uiPriority w:val="0"/>
    <w:pPr>
      <w:spacing w:line="360" w:lineRule="auto"/>
      <w:ind w:firstLine="420"/>
    </w:pPr>
    <w:rPr>
      <w:rFonts w:ascii="宋体" w:hAnsi="宋体" w:eastAsia="宋体"/>
      <w:sz w:val="21"/>
      <w:szCs w:val="20"/>
    </w:rPr>
  </w:style>
  <w:style w:type="paragraph" w:styleId="33">
    <w:name w:val="header"/>
    <w:basedOn w:val="1"/>
    <w:link w:val="261"/>
    <w:qFormat/>
    <w:uiPriority w:val="0"/>
    <w:pPr>
      <w:pBdr>
        <w:bottom w:val="single" w:color="000000" w:sz="6" w:space="1"/>
      </w:pBdr>
      <w:tabs>
        <w:tab w:val="center" w:pos="4153"/>
        <w:tab w:val="right" w:pos="8306"/>
      </w:tabs>
      <w:jc w:val="center"/>
    </w:pPr>
    <w:rPr>
      <w:sz w:val="18"/>
      <w:szCs w:val="18"/>
    </w:rPr>
  </w:style>
  <w:style w:type="paragraph" w:styleId="34">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5">
    <w:name w:val="toc 4"/>
    <w:basedOn w:val="1"/>
    <w:next w:val="1"/>
    <w:semiHidden/>
    <w:qFormat/>
    <w:uiPriority w:val="0"/>
    <w:pPr>
      <w:ind w:left="630"/>
      <w:jc w:val="left"/>
    </w:pPr>
  </w:style>
  <w:style w:type="paragraph" w:styleId="36">
    <w:name w:val="Subtitle"/>
    <w:basedOn w:val="1"/>
    <w:next w:val="1"/>
    <w:link w:val="97"/>
    <w:qFormat/>
    <w:uiPriority w:val="11"/>
    <w:pPr>
      <w:spacing w:before="200" w:after="200"/>
    </w:pPr>
    <w:rPr>
      <w:sz w:val="24"/>
      <w:szCs w:val="24"/>
    </w:rPr>
  </w:style>
  <w:style w:type="paragraph" w:styleId="37">
    <w:name w:val="List"/>
    <w:basedOn w:val="1"/>
    <w:qFormat/>
    <w:uiPriority w:val="0"/>
    <w:pPr>
      <w:ind w:left="200" w:hanging="200"/>
    </w:pPr>
  </w:style>
  <w:style w:type="paragraph" w:styleId="38">
    <w:name w:val="footnote text"/>
    <w:basedOn w:val="1"/>
    <w:link w:val="230"/>
    <w:semiHidden/>
    <w:unhideWhenUsed/>
    <w:qFormat/>
    <w:uiPriority w:val="99"/>
    <w:pPr>
      <w:spacing w:after="40"/>
    </w:pPr>
    <w:rPr>
      <w:sz w:val="18"/>
    </w:rPr>
  </w:style>
  <w:style w:type="paragraph" w:styleId="39">
    <w:name w:val="toc 6"/>
    <w:basedOn w:val="1"/>
    <w:next w:val="1"/>
    <w:semiHidden/>
    <w:qFormat/>
    <w:uiPriority w:val="0"/>
    <w:pPr>
      <w:ind w:left="1050"/>
      <w:jc w:val="left"/>
    </w:pPr>
  </w:style>
  <w:style w:type="paragraph" w:styleId="40">
    <w:name w:val="Body Text Indent 3"/>
    <w:basedOn w:val="1"/>
    <w:link w:val="263"/>
    <w:qFormat/>
    <w:uiPriority w:val="0"/>
    <w:pPr>
      <w:ind w:left="645" w:firstLine="645"/>
    </w:pPr>
    <w:rPr>
      <w:rFonts w:ascii="Arial" w:hAnsi="Arial" w:eastAsia="仿宋_GB2312" w:cs="Arial"/>
      <w:color w:val="FFFF00"/>
      <w:sz w:val="32"/>
      <w:szCs w:val="32"/>
    </w:rPr>
  </w:style>
  <w:style w:type="paragraph" w:styleId="41">
    <w:name w:val="table of figures"/>
    <w:basedOn w:val="1"/>
    <w:next w:val="1"/>
    <w:semiHidden/>
    <w:qFormat/>
    <w:uiPriority w:val="0"/>
    <w:pPr>
      <w:ind w:left="840" w:hanging="420"/>
    </w:pPr>
  </w:style>
  <w:style w:type="paragraph" w:styleId="42">
    <w:name w:val="toc 2"/>
    <w:basedOn w:val="1"/>
    <w:next w:val="1"/>
    <w:semiHidden/>
    <w:qFormat/>
    <w:uiPriority w:val="0"/>
    <w:pPr>
      <w:ind w:left="210"/>
      <w:jc w:val="left"/>
    </w:pPr>
    <w:rPr>
      <w:smallCaps/>
      <w:szCs w:val="24"/>
    </w:rPr>
  </w:style>
  <w:style w:type="paragraph" w:styleId="43">
    <w:name w:val="toc 9"/>
    <w:basedOn w:val="1"/>
    <w:next w:val="1"/>
    <w:semiHidden/>
    <w:qFormat/>
    <w:uiPriority w:val="0"/>
    <w:pPr>
      <w:ind w:left="1680"/>
      <w:jc w:val="left"/>
    </w:pPr>
  </w:style>
  <w:style w:type="paragraph" w:styleId="44">
    <w:name w:val="Body Text 2"/>
    <w:basedOn w:val="1"/>
    <w:link w:val="242"/>
    <w:qFormat/>
    <w:uiPriority w:val="0"/>
    <w:pPr>
      <w:widowControl/>
      <w:jc w:val="center"/>
    </w:pPr>
    <w:rPr>
      <w:rFonts w:ascii="楷体_GB2312" w:eastAsia="楷体_GB2312"/>
      <w:sz w:val="28"/>
      <w:szCs w:val="28"/>
    </w:rPr>
  </w:style>
  <w:style w:type="paragraph" w:styleId="45">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6">
    <w:name w:val="index 1"/>
    <w:basedOn w:val="1"/>
    <w:next w:val="1"/>
    <w:semiHidden/>
    <w:qFormat/>
    <w:uiPriority w:val="0"/>
    <w:pPr>
      <w:spacing w:line="240" w:lineRule="atLeast"/>
    </w:pPr>
    <w:rPr>
      <w:b/>
      <w:bCs/>
    </w:rPr>
  </w:style>
  <w:style w:type="paragraph" w:styleId="47">
    <w:name w:val="Title"/>
    <w:basedOn w:val="1"/>
    <w:next w:val="1"/>
    <w:link w:val="96"/>
    <w:qFormat/>
    <w:uiPriority w:val="10"/>
    <w:pPr>
      <w:spacing w:before="300" w:after="200"/>
      <w:contextualSpacing/>
    </w:pPr>
    <w:rPr>
      <w:sz w:val="48"/>
      <w:szCs w:val="48"/>
    </w:rPr>
  </w:style>
  <w:style w:type="character" w:styleId="49">
    <w:name w:val="Strong"/>
    <w:qFormat/>
    <w:uiPriority w:val="0"/>
    <w:rPr>
      <w:b/>
      <w:bCs/>
    </w:rPr>
  </w:style>
  <w:style w:type="character" w:styleId="50">
    <w:name w:val="endnote reference"/>
    <w:semiHidden/>
    <w:unhideWhenUsed/>
    <w:qFormat/>
    <w:uiPriority w:val="99"/>
    <w:rPr>
      <w:vertAlign w:val="superscript"/>
    </w:rPr>
  </w:style>
  <w:style w:type="character" w:styleId="51">
    <w:name w:val="page number"/>
    <w:qFormat/>
    <w:uiPriority w:val="0"/>
  </w:style>
  <w:style w:type="character" w:styleId="52">
    <w:name w:val="Hyperlink"/>
    <w:qFormat/>
    <w:uiPriority w:val="0"/>
    <w:rPr>
      <w:color w:val="0000FF"/>
      <w:u w:val="single"/>
    </w:rPr>
  </w:style>
  <w:style w:type="character" w:styleId="53">
    <w:name w:val="annotation reference"/>
    <w:semiHidden/>
    <w:qFormat/>
    <w:uiPriority w:val="0"/>
    <w:rPr>
      <w:sz w:val="21"/>
      <w:szCs w:val="21"/>
    </w:rPr>
  </w:style>
  <w:style w:type="character" w:styleId="54">
    <w:name w:val="footnote reference"/>
    <w:unhideWhenUsed/>
    <w:qFormat/>
    <w:uiPriority w:val="99"/>
    <w:rPr>
      <w:vertAlign w:val="superscript"/>
    </w:rPr>
  </w:style>
  <w:style w:type="table" w:styleId="56">
    <w:name w:val="Table Grid"/>
    <w:basedOn w:val="55"/>
    <w:qFormat/>
    <w:uiPriority w:val="0"/>
    <w:pPr>
      <w:widowControl w:val="0"/>
      <w:jc w:val="both"/>
    </w:pPr>
    <w:tblPr>
      <w:tblLayout w:type="fixed"/>
      <w:tblCellMar>
        <w:top w:w="0" w:type="dxa"/>
        <w:left w:w="108" w:type="dxa"/>
        <w:bottom w:w="0" w:type="dxa"/>
        <w:right w:w="108" w:type="dxa"/>
      </w:tblCellMar>
    </w:tblPr>
  </w:style>
  <w:style w:type="paragraph" w:customStyle="1" w:styleId="57">
    <w:name w:val="TOC Heading"/>
    <w:unhideWhenUsed/>
    <w:uiPriority w:val="39"/>
    <w:rPr>
      <w:rFonts w:hint="default" w:ascii="Times New Roman" w:hAnsi="Times New Roman" w:eastAsia="宋体" w:cs="Times New Roman"/>
    </w:rPr>
  </w:style>
  <w:style w:type="character" w:customStyle="1" w:styleId="58">
    <w:name w:val="Title Char"/>
    <w:basedOn w:val="48"/>
    <w:qFormat/>
    <w:uiPriority w:val="10"/>
    <w:rPr>
      <w:sz w:val="48"/>
      <w:szCs w:val="48"/>
    </w:rPr>
  </w:style>
  <w:style w:type="character" w:customStyle="1" w:styleId="59">
    <w:name w:val="Subtitle Char"/>
    <w:basedOn w:val="48"/>
    <w:qFormat/>
    <w:uiPriority w:val="11"/>
    <w:rPr>
      <w:sz w:val="24"/>
      <w:szCs w:val="24"/>
    </w:rPr>
  </w:style>
  <w:style w:type="character" w:customStyle="1" w:styleId="60">
    <w:name w:val="Quote Char"/>
    <w:qFormat/>
    <w:uiPriority w:val="29"/>
    <w:rPr>
      <w:i/>
    </w:rPr>
  </w:style>
  <w:style w:type="character" w:customStyle="1" w:styleId="61">
    <w:name w:val="Intense Quote Char"/>
    <w:qFormat/>
    <w:uiPriority w:val="30"/>
    <w:rPr>
      <w:i/>
    </w:rPr>
  </w:style>
  <w:style w:type="table" w:customStyle="1" w:styleId="62">
    <w:name w:val="Plain Table 1"/>
    <w:basedOn w:val="5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5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55"/>
    <w:qFormat/>
    <w:uiPriority w:val="99"/>
    <w:tblPr>
      <w:tblLayout w:type="fixed"/>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55"/>
    <w:qFormat/>
    <w:uiPriority w:val="99"/>
    <w:tblPr>
      <w:tblLayout w:type="fixed"/>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55"/>
    <w:qFormat/>
    <w:uiPriority w:val="99"/>
    <w:tblPr>
      <w:tblLayout w:type="fixed"/>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5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2"/>
    <w:basedOn w:val="5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w:basedOn w:val="5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4"/>
    <w:basedOn w:val="5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5 Dark"/>
    <w:basedOn w:val="5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
    <w:name w:val="Grid Table 6 Colorful"/>
    <w:basedOn w:val="5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Grid Table 7 Colorful"/>
    <w:basedOn w:val="5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List Table 1 Light"/>
    <w:basedOn w:val="55"/>
    <w:qFormat/>
    <w:uiPriority w:val="99"/>
    <w:tblPr>
      <w:tblLayout w:type="fixed"/>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5">
    <w:name w:val="List Table 2"/>
    <w:basedOn w:val="5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3"/>
    <w:basedOn w:val="5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7">
    <w:name w:val="List Table 4"/>
    <w:basedOn w:val="5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5 Dark"/>
    <w:basedOn w:val="5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9">
    <w:name w:val="List Table 6 Colorful"/>
    <w:basedOn w:val="55"/>
    <w:qFormat/>
    <w:uiPriority w:val="99"/>
    <w:tblPr>
      <w:tblBorders>
        <w:top w:val="single" w:color="7E7E7E" w:themeColor="text1" w:themeTint="80" w:sz="4" w:space="0"/>
        <w:bottom w:val="single" w:color="7E7E7E" w:themeColor="text1" w:themeTint="80" w:sz="4" w:space="0"/>
      </w:tblBorders>
      <w:tblLayout w:type="fixed"/>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0">
    <w:name w:val="List Table 7 Colorful"/>
    <w:basedOn w:val="55"/>
    <w:qFormat/>
    <w:uiPriority w:val="99"/>
    <w:tblPr>
      <w:tblBorders>
        <w:right w:val="single" w:color="7E7E7E" w:themeColor="text1" w:themeTint="80" w:sz="4" w:space="0"/>
      </w:tblBorders>
      <w:tblLayout w:type="fixed"/>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1">
    <w:name w:val="Footnote Text Char"/>
    <w:qFormat/>
    <w:uiPriority w:val="99"/>
    <w:rPr>
      <w:sz w:val="18"/>
    </w:rPr>
  </w:style>
  <w:style w:type="character" w:customStyle="1" w:styleId="82">
    <w:name w:val="Endnote Text Char"/>
    <w:qFormat/>
    <w:uiPriority w:val="99"/>
    <w:rPr>
      <w:sz w:val="20"/>
    </w:rPr>
  </w:style>
  <w:style w:type="paragraph" w:customStyle="1" w:styleId="83">
    <w:name w:val="TOC 标题1"/>
    <w:unhideWhenUsed/>
    <w:qFormat/>
    <w:uiPriority w:val="39"/>
    <w:rPr>
      <w:rFonts w:hint="default" w:ascii="Times New Roman" w:hAnsi="Times New Roman" w:eastAsia="宋体" w:cs="Times New Roman"/>
    </w:rPr>
  </w:style>
  <w:style w:type="paragraph" w:customStyle="1" w:styleId="84">
    <w:name w:val="标题 31"/>
    <w:basedOn w:val="1"/>
    <w:next w:val="1"/>
    <w:qFormat/>
    <w:uiPriority w:val="0"/>
    <w:pPr>
      <w:keepNext/>
      <w:keepLines/>
      <w:spacing w:before="260" w:after="260" w:line="416" w:lineRule="auto"/>
      <w:outlineLvl w:val="2"/>
    </w:pPr>
    <w:rPr>
      <w:rFonts w:ascii="Calibri" w:hAnsi="Calibri"/>
      <w:b/>
      <w:bCs/>
      <w:sz w:val="32"/>
      <w:szCs w:val="32"/>
    </w:rPr>
  </w:style>
  <w:style w:type="character" w:customStyle="1" w:styleId="85">
    <w:name w:val="Heading 1 Char"/>
    <w:qFormat/>
    <w:uiPriority w:val="9"/>
    <w:rPr>
      <w:rFonts w:ascii="Arial" w:hAnsi="Arial" w:eastAsia="Arial" w:cs="Arial"/>
      <w:sz w:val="40"/>
      <w:szCs w:val="40"/>
    </w:rPr>
  </w:style>
  <w:style w:type="character" w:customStyle="1" w:styleId="86">
    <w:name w:val="Heading 2 Char"/>
    <w:qFormat/>
    <w:uiPriority w:val="9"/>
    <w:rPr>
      <w:rFonts w:ascii="Arial" w:hAnsi="Arial" w:eastAsia="Arial" w:cs="Arial"/>
      <w:sz w:val="34"/>
    </w:rPr>
  </w:style>
  <w:style w:type="character" w:customStyle="1" w:styleId="87">
    <w:name w:val="Heading 3 Char"/>
    <w:qFormat/>
    <w:uiPriority w:val="9"/>
    <w:rPr>
      <w:rFonts w:ascii="Arial" w:hAnsi="Arial" w:eastAsia="Arial" w:cs="Arial"/>
      <w:sz w:val="30"/>
      <w:szCs w:val="30"/>
    </w:rPr>
  </w:style>
  <w:style w:type="character" w:customStyle="1" w:styleId="88">
    <w:name w:val="Heading 4 Char"/>
    <w:qFormat/>
    <w:uiPriority w:val="9"/>
    <w:rPr>
      <w:rFonts w:ascii="Arial" w:hAnsi="Arial" w:eastAsia="Arial" w:cs="Arial"/>
      <w:b/>
      <w:bCs/>
      <w:sz w:val="26"/>
      <w:szCs w:val="26"/>
    </w:rPr>
  </w:style>
  <w:style w:type="character" w:customStyle="1" w:styleId="89">
    <w:name w:val="Heading 5 Char"/>
    <w:qFormat/>
    <w:uiPriority w:val="9"/>
    <w:rPr>
      <w:rFonts w:ascii="Arial" w:hAnsi="Arial" w:eastAsia="Arial" w:cs="Arial"/>
      <w:b/>
      <w:bCs/>
      <w:sz w:val="24"/>
      <w:szCs w:val="24"/>
    </w:rPr>
  </w:style>
  <w:style w:type="character" w:customStyle="1" w:styleId="90">
    <w:name w:val="Heading 6 Char"/>
    <w:qFormat/>
    <w:uiPriority w:val="9"/>
    <w:rPr>
      <w:rFonts w:ascii="Arial" w:hAnsi="Arial" w:eastAsia="Arial" w:cs="Arial"/>
      <w:b/>
      <w:bCs/>
      <w:sz w:val="22"/>
      <w:szCs w:val="22"/>
    </w:rPr>
  </w:style>
  <w:style w:type="character" w:customStyle="1" w:styleId="91">
    <w:name w:val="Heading 7 Char"/>
    <w:qFormat/>
    <w:uiPriority w:val="9"/>
    <w:rPr>
      <w:rFonts w:ascii="Arial" w:hAnsi="Arial" w:eastAsia="Arial" w:cs="Arial"/>
      <w:b/>
      <w:bCs/>
      <w:i/>
      <w:iCs/>
      <w:sz w:val="22"/>
      <w:szCs w:val="22"/>
    </w:rPr>
  </w:style>
  <w:style w:type="character" w:customStyle="1" w:styleId="92">
    <w:name w:val="Heading 8 Char"/>
    <w:qFormat/>
    <w:uiPriority w:val="9"/>
    <w:rPr>
      <w:rFonts w:ascii="Arial" w:hAnsi="Arial" w:eastAsia="Arial" w:cs="Arial"/>
      <w:i/>
      <w:iCs/>
      <w:sz w:val="22"/>
      <w:szCs w:val="22"/>
    </w:rPr>
  </w:style>
  <w:style w:type="character" w:customStyle="1" w:styleId="93">
    <w:name w:val="Heading 9 Char"/>
    <w:qFormat/>
    <w:uiPriority w:val="9"/>
    <w:rPr>
      <w:rFonts w:ascii="Arial" w:hAnsi="Arial" w:eastAsia="Arial" w:cs="Arial"/>
      <w:i/>
      <w:iCs/>
      <w:sz w:val="21"/>
      <w:szCs w:val="21"/>
    </w:rPr>
  </w:style>
  <w:style w:type="paragraph" w:styleId="94">
    <w:name w:val="List Paragraph"/>
    <w:basedOn w:val="1"/>
    <w:qFormat/>
    <w:uiPriority w:val="0"/>
    <w:pPr>
      <w:widowControl/>
      <w:ind w:left="720"/>
      <w:contextualSpacing/>
      <w:jc w:val="left"/>
    </w:pPr>
    <w:rPr>
      <w:rFonts w:ascii="Calibri" w:hAnsi="Calibri"/>
      <w:sz w:val="24"/>
      <w:szCs w:val="24"/>
      <w:lang w:eastAsia="en-US" w:bidi="en-US"/>
    </w:rPr>
  </w:style>
  <w:style w:type="paragraph" w:styleId="95">
    <w:name w:val="No Spacing"/>
    <w:qFormat/>
    <w:uiPriority w:val="99"/>
    <w:pPr>
      <w:widowControl w:val="0"/>
      <w:jc w:val="both"/>
    </w:pPr>
    <w:rPr>
      <w:rFonts w:hint="default" w:ascii="Times New Roman" w:hAnsi="Times New Roman" w:eastAsia="宋体" w:cs="Times New Roman"/>
      <w:sz w:val="21"/>
      <w:szCs w:val="21"/>
    </w:rPr>
  </w:style>
  <w:style w:type="character" w:customStyle="1" w:styleId="96">
    <w:name w:val="标题 Char"/>
    <w:link w:val="47"/>
    <w:qFormat/>
    <w:uiPriority w:val="10"/>
    <w:rPr>
      <w:sz w:val="48"/>
      <w:szCs w:val="48"/>
    </w:rPr>
  </w:style>
  <w:style w:type="character" w:customStyle="1" w:styleId="97">
    <w:name w:val="副标题 Char"/>
    <w:link w:val="36"/>
    <w:qFormat/>
    <w:uiPriority w:val="11"/>
    <w:rPr>
      <w:sz w:val="24"/>
      <w:szCs w:val="24"/>
    </w:rPr>
  </w:style>
  <w:style w:type="paragraph" w:styleId="98">
    <w:name w:val="Quote"/>
    <w:basedOn w:val="1"/>
    <w:next w:val="1"/>
    <w:link w:val="99"/>
    <w:qFormat/>
    <w:uiPriority w:val="29"/>
    <w:pPr>
      <w:ind w:left="720" w:right="720"/>
    </w:pPr>
    <w:rPr>
      <w:i/>
    </w:rPr>
  </w:style>
  <w:style w:type="character" w:customStyle="1" w:styleId="99">
    <w:name w:val="引用 Char"/>
    <w:link w:val="98"/>
    <w:uiPriority w:val="29"/>
    <w:rPr>
      <w:i/>
    </w:rPr>
  </w:style>
  <w:style w:type="paragraph" w:styleId="100">
    <w:name w:val="Intense Quote"/>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Char"/>
    <w:link w:val="100"/>
    <w:qFormat/>
    <w:uiPriority w:val="30"/>
    <w:rPr>
      <w:i/>
    </w:rPr>
  </w:style>
  <w:style w:type="character" w:customStyle="1" w:styleId="102">
    <w:name w:val="Header Char"/>
    <w:qFormat/>
    <w:uiPriority w:val="99"/>
  </w:style>
  <w:style w:type="character" w:customStyle="1" w:styleId="103">
    <w:name w:val="Footer Char"/>
    <w:qFormat/>
    <w:uiPriority w:val="99"/>
  </w:style>
  <w:style w:type="character" w:customStyle="1" w:styleId="104">
    <w:name w:val="Caption Char"/>
    <w:qFormat/>
    <w:uiPriority w:val="99"/>
  </w:style>
  <w:style w:type="table" w:customStyle="1" w:styleId="10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10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8">
    <w:name w:val="无格式表格 31"/>
    <w:qFormat/>
    <w:uiPriority w:val="99"/>
    <w:tblPr>
      <w:tblLayout w:type="fixed"/>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41"/>
    <w:qFormat/>
    <w:uiPriority w:val="99"/>
    <w:tblPr>
      <w:tblLayout w:type="fixed"/>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51"/>
    <w:qFormat/>
    <w:uiPriority w:val="99"/>
    <w:tblPr>
      <w:tblLayout w:type="fixed"/>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2">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0">
    <w:name w:val="清单表 1 浅色1"/>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1">
    <w:name w:val="List Table 1 Light - Accent 1"/>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2">
    <w:name w:val="List Table 1 Light - Accent 2"/>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3">
    <w:name w:val="List Table 1 Light - Accent 3"/>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4">
    <w:name w:val="List Table 1 Light - Accent 4"/>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5">
    <w:name w:val="List Table 1 Light - Accent 5"/>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6">
    <w:name w:val="List Table 1 Light - Accent 6"/>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5">
    <w:name w:val="清单表 6 彩色1"/>
    <w:qFormat/>
    <w:uiPriority w:val="99"/>
    <w:tblPr>
      <w:tblBorders>
        <w:top w:val="single" w:color="7E7E7E" w:themeColor="text1" w:themeTint="80" w:sz="4" w:space="0"/>
        <w:bottom w:val="single" w:color="7E7E7E" w:themeColor="text1" w:themeTint="80" w:sz="4" w:space="0"/>
      </w:tblBorders>
      <w:tblLayout w:type="fixed"/>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6">
    <w:name w:val="List Table 6 Colorful - Accent 1"/>
    <w:qFormat/>
    <w:uiPriority w:val="99"/>
    <w:tblPr>
      <w:tblBorders>
        <w:top w:val="single" w:color="4F81BD" w:themeColor="accent1" w:sz="4" w:space="0"/>
        <w:bottom w:val="single" w:color="4F81BD" w:themeColor="accent1" w:sz="4" w:space="0"/>
      </w:tblBorders>
      <w:tblLayout w:type="fixed"/>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7">
    <w:name w:val="List Table 6 Colorful - Accent 2"/>
    <w:qFormat/>
    <w:uiPriority w:val="99"/>
    <w:tblPr>
      <w:tblBorders>
        <w:top w:val="single" w:color="D99795" w:themeColor="accent2" w:themeTint="97" w:sz="4" w:space="0"/>
        <w:bottom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6 Colorful - Accent 3"/>
    <w:qFormat/>
    <w:uiPriority w:val="99"/>
    <w:tblPr>
      <w:tblBorders>
        <w:top w:val="single" w:color="C3D69C" w:themeColor="accent3" w:themeTint="98" w:sz="4" w:space="0"/>
        <w:bottom w:val="single" w:color="C3D69C" w:themeColor="accent3" w:themeTint="98" w:sz="4" w:space="0"/>
      </w:tblBorders>
      <w:tblLayout w:type="fixed"/>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6 Colorful - Accent 4"/>
    <w:qFormat/>
    <w:uiPriority w:val="99"/>
    <w:tblPr>
      <w:tblBorders>
        <w:top w:val="single" w:color="B2A1C6" w:themeColor="accent4" w:themeTint="9A" w:sz="4" w:space="0"/>
        <w:bottom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6 Colorful - Accent 5"/>
    <w:qFormat/>
    <w:uiPriority w:val="99"/>
    <w:tblPr>
      <w:tblBorders>
        <w:top w:val="single" w:color="92CCDC" w:themeColor="accent5" w:themeTint="9A" w:sz="4" w:space="0"/>
        <w:bottom w:val="single" w:color="92CCDC" w:themeColor="accent5" w:themeTint="9A" w:sz="4" w:space="0"/>
      </w:tblBorders>
      <w:tblLayout w:type="fixed"/>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6 Colorful - Accent 6"/>
    <w:qFormat/>
    <w:uiPriority w:val="99"/>
    <w:tblPr>
      <w:tblBorders>
        <w:top w:val="single" w:color="FAC090" w:themeColor="accent6" w:themeTint="98" w:sz="4" w:space="0"/>
        <w:bottom w:val="single" w:color="FAC090" w:themeColor="accent6" w:themeTint="98" w:sz="4" w:space="0"/>
      </w:tblBorders>
      <w:tblLayout w:type="fixed"/>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清单表 7 彩色1"/>
    <w:qFormat/>
    <w:uiPriority w:val="99"/>
    <w:tblPr>
      <w:tblBorders>
        <w:right w:val="single" w:color="7E7E7E" w:themeColor="text1" w:themeTint="80" w:sz="4" w:space="0"/>
      </w:tblBorders>
      <w:tblLayout w:type="fixed"/>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3">
    <w:name w:val="List Table 7 Colorful - Accent 1"/>
    <w:qFormat/>
    <w:uiPriority w:val="99"/>
    <w:tblPr>
      <w:tblBorders>
        <w:right w:val="single" w:color="4F81BD" w:themeColor="accent1" w:sz="4" w:space="0"/>
      </w:tblBorders>
      <w:tblLayout w:type="fixed"/>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4">
    <w:name w:val="List Table 7 Colorful - Accent 2"/>
    <w:qFormat/>
    <w:uiPriority w:val="99"/>
    <w:tblPr>
      <w:tblBorders>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List Table 7 Colorful - Accent 3"/>
    <w:qFormat/>
    <w:uiPriority w:val="99"/>
    <w:tblPr>
      <w:tblBorders>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6">
    <w:name w:val="List Table 7 Colorful - Accent 4"/>
    <w:qFormat/>
    <w:uiPriority w:val="99"/>
    <w:tblPr>
      <w:tblBorders>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List Table 7 Colorful - Accent 5"/>
    <w:qFormat/>
    <w:uiPriority w:val="99"/>
    <w:tblPr>
      <w:tblBorders>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8">
    <w:name w:val="List Table 7 Colorful - Accent 6"/>
    <w:qFormat/>
    <w:uiPriority w:val="99"/>
    <w:tblPr>
      <w:tblBorders>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9">
    <w:name w:val="Lined - Accent"/>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Lined - Accent 2"/>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Lined - Accent 3"/>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Lined - Accent 4"/>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Lined - Accent 5"/>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Lined - Accent 6"/>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0">
    <w:name w:val="脚注文本 Char"/>
    <w:link w:val="38"/>
    <w:qFormat/>
    <w:uiPriority w:val="99"/>
    <w:rPr>
      <w:sz w:val="18"/>
    </w:rPr>
  </w:style>
  <w:style w:type="character" w:customStyle="1" w:styleId="231">
    <w:name w:val="尾注文本 Char"/>
    <w:link w:val="29"/>
    <w:qFormat/>
    <w:uiPriority w:val="99"/>
    <w:rPr>
      <w:sz w:val="20"/>
    </w:rPr>
  </w:style>
  <w:style w:type="paragraph" w:customStyle="1" w:styleId="232">
    <w:name w:val="TOC 标题11"/>
    <w:unhideWhenUsed/>
    <w:qFormat/>
    <w:uiPriority w:val="39"/>
    <w:rPr>
      <w:rFonts w:hint="default" w:ascii="Times New Roman" w:hAnsi="Times New Roman" w:eastAsia="宋体" w:cs="Times New Roman"/>
    </w:rPr>
  </w:style>
  <w:style w:type="character" w:customStyle="1" w:styleId="233">
    <w:name w:val="标题 3 Char"/>
    <w:link w:val="4"/>
    <w:qFormat/>
    <w:uiPriority w:val="0"/>
    <w:rPr>
      <w:rFonts w:ascii="Times New Roman" w:hAnsi="Times New Roman" w:eastAsia="宋体" w:cs="Times New Roman"/>
      <w:b/>
      <w:bCs/>
      <w:sz w:val="32"/>
      <w:szCs w:val="32"/>
    </w:rPr>
  </w:style>
  <w:style w:type="character" w:customStyle="1" w:styleId="234">
    <w:name w:val="标题 2 Char"/>
    <w:link w:val="3"/>
    <w:qFormat/>
    <w:uiPriority w:val="0"/>
    <w:rPr>
      <w:rFonts w:ascii="Arial" w:hAnsi="Arial" w:eastAsia="幼圆" w:cs="Arial"/>
      <w:b/>
      <w:bCs/>
      <w:sz w:val="44"/>
      <w:szCs w:val="44"/>
    </w:rPr>
  </w:style>
  <w:style w:type="character" w:customStyle="1" w:styleId="235">
    <w:name w:val="纯文本 Char"/>
    <w:link w:val="25"/>
    <w:qFormat/>
    <w:uiPriority w:val="0"/>
    <w:rPr>
      <w:rFonts w:ascii="宋体" w:hAnsi="Courier New" w:eastAsia="宋体" w:cs="Courier New"/>
      <w:szCs w:val="21"/>
    </w:rPr>
  </w:style>
  <w:style w:type="character" w:customStyle="1" w:styleId="236">
    <w:name w:val="文档结构图 Char"/>
    <w:link w:val="18"/>
    <w:semiHidden/>
    <w:qFormat/>
    <w:uiPriority w:val="0"/>
    <w:rPr>
      <w:rFonts w:ascii="Times New Roman" w:hAnsi="Times New Roman" w:eastAsia="宋体" w:cs="Times New Roman"/>
      <w:szCs w:val="21"/>
      <w:shd w:val="clear" w:color="auto" w:fill="000080"/>
    </w:rPr>
  </w:style>
  <w:style w:type="character" w:customStyle="1" w:styleId="237">
    <w:name w:val="页脚 Char"/>
    <w:link w:val="31"/>
    <w:qFormat/>
    <w:uiPriority w:val="0"/>
    <w:rPr>
      <w:rFonts w:ascii="Times New Roman" w:hAnsi="Times New Roman" w:eastAsia="宋体" w:cs="Times New Roman"/>
      <w:sz w:val="18"/>
      <w:szCs w:val="18"/>
    </w:rPr>
  </w:style>
  <w:style w:type="character" w:customStyle="1" w:styleId="238">
    <w:name w:val="列出段落 Char"/>
    <w:link w:val="239"/>
    <w:qFormat/>
    <w:uiPriority w:val="0"/>
    <w:rPr>
      <w:rFonts w:ascii="Calibri" w:hAnsi="Calibri"/>
      <w:sz w:val="24"/>
      <w:szCs w:val="24"/>
      <w:lang w:eastAsia="en-US" w:bidi="en-US"/>
    </w:rPr>
  </w:style>
  <w:style w:type="paragraph" w:customStyle="1" w:styleId="239">
    <w:name w:val="列出段落1"/>
    <w:basedOn w:val="1"/>
    <w:link w:val="238"/>
    <w:qFormat/>
    <w:uiPriority w:val="0"/>
    <w:pPr>
      <w:widowControl/>
      <w:ind w:left="720"/>
      <w:contextualSpacing/>
      <w:jc w:val="left"/>
    </w:pPr>
    <w:rPr>
      <w:rFonts w:ascii="Calibri" w:hAnsi="Calibri"/>
      <w:sz w:val="24"/>
      <w:szCs w:val="24"/>
      <w:lang w:eastAsia="en-US" w:bidi="en-US"/>
    </w:rPr>
  </w:style>
  <w:style w:type="character" w:customStyle="1" w:styleId="240">
    <w:name w:val="标题 6 Char"/>
    <w:link w:val="8"/>
    <w:qFormat/>
    <w:uiPriority w:val="0"/>
    <w:rPr>
      <w:rFonts w:ascii="Arial" w:hAnsi="Arial" w:eastAsia="黑体" w:cs="Times New Roman"/>
      <w:b/>
      <w:bCs/>
      <w:sz w:val="24"/>
      <w:szCs w:val="24"/>
    </w:rPr>
  </w:style>
  <w:style w:type="character" w:customStyle="1" w:styleId="241">
    <w:name w:val="批注主题 Char"/>
    <w:link w:val="13"/>
    <w:semiHidden/>
    <w:qFormat/>
    <w:uiPriority w:val="0"/>
    <w:rPr>
      <w:rFonts w:ascii="Times New Roman" w:hAnsi="Times New Roman" w:eastAsia="宋体" w:cs="Times New Roman"/>
      <w:b/>
      <w:bCs/>
      <w:szCs w:val="21"/>
    </w:rPr>
  </w:style>
  <w:style w:type="character" w:customStyle="1" w:styleId="242">
    <w:name w:val="正文文本 2 Char"/>
    <w:link w:val="44"/>
    <w:qFormat/>
    <w:uiPriority w:val="0"/>
    <w:rPr>
      <w:rFonts w:ascii="楷体_GB2312" w:hAnsi="Times New Roman" w:eastAsia="楷体_GB2312" w:cs="Times New Roman"/>
      <w:sz w:val="28"/>
      <w:szCs w:val="28"/>
    </w:rPr>
  </w:style>
  <w:style w:type="character" w:customStyle="1" w:styleId="243">
    <w:name w:val="正文首行缩进 Char"/>
    <w:link w:val="16"/>
    <w:qFormat/>
    <w:uiPriority w:val="0"/>
    <w:rPr>
      <w:rFonts w:ascii="仿宋_GB2312" w:hAnsi="Times New Roman" w:eastAsia="仿宋_GB2312" w:cs="Times New Roman"/>
      <w:sz w:val="30"/>
      <w:szCs w:val="30"/>
    </w:rPr>
  </w:style>
  <w:style w:type="character" w:customStyle="1" w:styleId="244">
    <w:name w:val="正文首行缩进 2 Char"/>
    <w:link w:val="32"/>
    <w:qFormat/>
    <w:uiPriority w:val="0"/>
    <w:rPr>
      <w:rFonts w:ascii="宋体" w:hAnsi="宋体" w:eastAsia="宋体" w:cs="Times New Roman"/>
      <w:sz w:val="32"/>
      <w:szCs w:val="20"/>
    </w:rPr>
  </w:style>
  <w:style w:type="character" w:customStyle="1" w:styleId="245">
    <w:name w:val="标题 1 Char"/>
    <w:link w:val="2"/>
    <w:qFormat/>
    <w:uiPriority w:val="0"/>
    <w:rPr>
      <w:rFonts w:ascii="楷体_GB2312" w:hAnsi="楷体_GB2312" w:eastAsia="黑体" w:cs="Times New Roman"/>
      <w:sz w:val="44"/>
      <w:szCs w:val="28"/>
    </w:rPr>
  </w:style>
  <w:style w:type="character" w:customStyle="1" w:styleId="246">
    <w:name w:val="已访问的超链接1"/>
    <w:qFormat/>
    <w:uiPriority w:val="0"/>
    <w:rPr>
      <w:color w:val="800080"/>
      <w:u w:val="single"/>
    </w:rPr>
  </w:style>
  <w:style w:type="character" w:customStyle="1" w:styleId="247">
    <w:name w:val="正文文本 3 Char"/>
    <w:link w:val="19"/>
    <w:qFormat/>
    <w:uiPriority w:val="0"/>
    <w:rPr>
      <w:rFonts w:ascii="仿宋_GB2312" w:hAnsi="Arial" w:eastAsia="仿宋_GB2312" w:cs="Times New Roman"/>
      <w:sz w:val="32"/>
      <w:szCs w:val="32"/>
    </w:rPr>
  </w:style>
  <w:style w:type="character" w:customStyle="1" w:styleId="248">
    <w:name w:val="二级目录 Char"/>
    <w:link w:val="249"/>
    <w:qFormat/>
    <w:uiPriority w:val="0"/>
    <w:rPr>
      <w:b/>
      <w:sz w:val="30"/>
      <w:szCs w:val="28"/>
    </w:rPr>
  </w:style>
  <w:style w:type="paragraph" w:customStyle="1" w:styleId="249">
    <w:name w:val="二级目录"/>
    <w:next w:val="1"/>
    <w:link w:val="248"/>
    <w:qFormat/>
    <w:uiPriority w:val="0"/>
    <w:pPr>
      <w:numPr>
        <w:ilvl w:val="0"/>
        <w:numId w:val="2"/>
      </w:numPr>
      <w:tabs>
        <w:tab w:val="left" w:pos="1145"/>
      </w:tabs>
      <w:outlineLvl w:val="1"/>
    </w:pPr>
    <w:rPr>
      <w:rFonts w:hint="default" w:ascii="Times New Roman" w:hAnsi="Times New Roman" w:eastAsia="宋体" w:cs="Times New Roman"/>
      <w:b/>
      <w:sz w:val="30"/>
      <w:szCs w:val="28"/>
    </w:rPr>
  </w:style>
  <w:style w:type="character" w:customStyle="1" w:styleId="250">
    <w:name w:val="正文缩进 Char"/>
    <w:link w:val="5"/>
    <w:qFormat/>
    <w:uiPriority w:val="0"/>
    <w:rPr>
      <w:rFonts w:ascii="Times New Roman" w:hAnsi="Times New Roman" w:eastAsia="宋体" w:cs="Times New Roman"/>
      <w:szCs w:val="21"/>
    </w:rPr>
  </w:style>
  <w:style w:type="character" w:customStyle="1" w:styleId="251">
    <w:name w:val="标题 7 Char"/>
    <w:link w:val="9"/>
    <w:qFormat/>
    <w:uiPriority w:val="0"/>
    <w:rPr>
      <w:rFonts w:ascii="Times New Roman" w:hAnsi="Times New Roman" w:eastAsia="宋体" w:cs="Times New Roman"/>
      <w:b/>
      <w:bCs/>
      <w:sz w:val="24"/>
      <w:szCs w:val="24"/>
    </w:rPr>
  </w:style>
  <w:style w:type="character" w:customStyle="1" w:styleId="252">
    <w:name w:val="正文文本缩进 Char"/>
    <w:link w:val="21"/>
    <w:qFormat/>
    <w:uiPriority w:val="0"/>
    <w:rPr>
      <w:rFonts w:ascii="楷体_GB2312" w:hAnsi="Times New Roman" w:eastAsia="楷体_GB2312" w:cs="Times New Roman"/>
      <w:sz w:val="32"/>
      <w:szCs w:val="32"/>
    </w:rPr>
  </w:style>
  <w:style w:type="character" w:customStyle="1" w:styleId="253">
    <w:name w:val="标题 9 Char"/>
    <w:link w:val="11"/>
    <w:qFormat/>
    <w:uiPriority w:val="0"/>
    <w:rPr>
      <w:rFonts w:ascii="Arial" w:hAnsi="Arial" w:eastAsia="黑体" w:cs="Times New Roman"/>
      <w:szCs w:val="21"/>
    </w:rPr>
  </w:style>
  <w:style w:type="character" w:customStyle="1" w:styleId="254">
    <w:name w:val="批注文字 Char"/>
    <w:link w:val="14"/>
    <w:semiHidden/>
    <w:qFormat/>
    <w:uiPriority w:val="0"/>
    <w:rPr>
      <w:rFonts w:ascii="Times New Roman" w:hAnsi="Times New Roman" w:eastAsia="宋体" w:cs="Times New Roman"/>
      <w:szCs w:val="21"/>
    </w:rPr>
  </w:style>
  <w:style w:type="character" w:customStyle="1" w:styleId="255">
    <w:name w:val="标题 5 Char"/>
    <w:link w:val="7"/>
    <w:qFormat/>
    <w:uiPriority w:val="0"/>
    <w:rPr>
      <w:rFonts w:ascii="宋体" w:hAnsi="Times New Roman" w:eastAsia="宋体" w:cs="Times New Roman"/>
      <w:color w:val="000000"/>
      <w:sz w:val="28"/>
      <w:szCs w:val="28"/>
    </w:rPr>
  </w:style>
  <w:style w:type="character" w:customStyle="1" w:styleId="256">
    <w:name w:val="正文文本缩进 2 Char"/>
    <w:link w:val="28"/>
    <w:qFormat/>
    <w:uiPriority w:val="0"/>
    <w:rPr>
      <w:rFonts w:ascii="Arial" w:hAnsi="Arial" w:eastAsia="仿宋_GB2312" w:cs="Arial"/>
      <w:sz w:val="32"/>
      <w:szCs w:val="32"/>
    </w:rPr>
  </w:style>
  <w:style w:type="character" w:customStyle="1" w:styleId="257">
    <w:name w:val="日期 Char"/>
    <w:link w:val="27"/>
    <w:qFormat/>
    <w:uiPriority w:val="0"/>
    <w:rPr>
      <w:rFonts w:ascii="Times New Roman" w:hAnsi="Times New Roman" w:eastAsia="宋体" w:cs="Times New Roman"/>
      <w:sz w:val="24"/>
      <w:szCs w:val="24"/>
    </w:rPr>
  </w:style>
  <w:style w:type="character" w:customStyle="1" w:styleId="258">
    <w:name w:val="批注框文本 Char"/>
    <w:link w:val="30"/>
    <w:semiHidden/>
    <w:qFormat/>
    <w:uiPriority w:val="0"/>
    <w:rPr>
      <w:rFonts w:ascii="Times New Roman" w:hAnsi="Times New Roman" w:eastAsia="宋体" w:cs="Times New Roman"/>
      <w:sz w:val="18"/>
      <w:szCs w:val="18"/>
    </w:rPr>
  </w:style>
  <w:style w:type="character" w:customStyle="1" w:styleId="259">
    <w:name w:val="标题 4 Char"/>
    <w:link w:val="6"/>
    <w:qFormat/>
    <w:uiPriority w:val="0"/>
    <w:rPr>
      <w:rFonts w:ascii="Arial" w:hAnsi="Arial" w:eastAsia="黑体" w:cs="Arial"/>
      <w:b/>
      <w:bCs/>
      <w:sz w:val="28"/>
      <w:szCs w:val="28"/>
    </w:rPr>
  </w:style>
  <w:style w:type="character" w:customStyle="1" w:styleId="260">
    <w:name w:val="font5 Char"/>
    <w:qFormat/>
    <w:uiPriority w:val="0"/>
    <w:rPr>
      <w:rFonts w:ascii="宋体" w:hAnsi="宋体" w:eastAsia="宋体"/>
      <w:sz w:val="28"/>
      <w:szCs w:val="28"/>
      <w:lang w:val="en-US" w:eastAsia="zh-CN" w:bidi="ar-SA"/>
    </w:rPr>
  </w:style>
  <w:style w:type="character" w:customStyle="1" w:styleId="261">
    <w:name w:val="页眉 Char"/>
    <w:link w:val="33"/>
    <w:qFormat/>
    <w:uiPriority w:val="0"/>
    <w:rPr>
      <w:rFonts w:ascii="Times New Roman" w:hAnsi="Times New Roman" w:eastAsia="宋体" w:cs="Times New Roman"/>
      <w:sz w:val="18"/>
      <w:szCs w:val="18"/>
    </w:rPr>
  </w:style>
  <w:style w:type="character" w:customStyle="1" w:styleId="262">
    <w:name w:val="正文文本 Char"/>
    <w:link w:val="20"/>
    <w:qFormat/>
    <w:uiPriority w:val="0"/>
    <w:rPr>
      <w:rFonts w:ascii="楷体_GB2312" w:hAnsi="Arial" w:eastAsia="楷体_GB2312" w:cs="Times New Roman"/>
      <w:sz w:val="28"/>
      <w:szCs w:val="28"/>
    </w:rPr>
  </w:style>
  <w:style w:type="character" w:customStyle="1" w:styleId="263">
    <w:name w:val="正文文本缩进 3 Char"/>
    <w:link w:val="40"/>
    <w:qFormat/>
    <w:uiPriority w:val="0"/>
    <w:rPr>
      <w:rFonts w:ascii="Arial" w:hAnsi="Arial" w:eastAsia="仿宋_GB2312" w:cs="Arial"/>
      <w:color w:val="FFFF00"/>
      <w:sz w:val="32"/>
      <w:szCs w:val="32"/>
    </w:rPr>
  </w:style>
  <w:style w:type="character" w:customStyle="1" w:styleId="264">
    <w:name w:val="标题 8 Char"/>
    <w:link w:val="10"/>
    <w:qFormat/>
    <w:uiPriority w:val="0"/>
    <w:rPr>
      <w:rFonts w:ascii="Arial" w:hAnsi="Arial" w:eastAsia="黑体" w:cs="Times New Roman"/>
      <w:sz w:val="24"/>
      <w:szCs w:val="24"/>
    </w:rPr>
  </w:style>
  <w:style w:type="paragraph" w:customStyle="1" w:styleId="26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8">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0">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72">
    <w:name w:val="Char Char Char Char"/>
    <w:basedOn w:val="18"/>
    <w:qFormat/>
    <w:uiPriority w:val="0"/>
    <w:pPr>
      <w:spacing w:line="360" w:lineRule="auto"/>
    </w:pPr>
    <w:rPr>
      <w:rFonts w:ascii="Tahoma" w:hAnsi="Tahoma"/>
      <w:sz w:val="24"/>
      <w:szCs w:val="24"/>
    </w:rPr>
  </w:style>
  <w:style w:type="paragraph" w:customStyle="1" w:styleId="273">
    <w:name w:val="修订1"/>
    <w:semiHidden/>
    <w:qFormat/>
    <w:uiPriority w:val="99"/>
    <w:rPr>
      <w:rFonts w:hint="default" w:ascii="Times New Roman" w:hAnsi="Times New Roman" w:eastAsia="宋体" w:cs="Times New Roman"/>
      <w:sz w:val="21"/>
      <w:szCs w:val="21"/>
    </w:rPr>
  </w:style>
  <w:style w:type="paragraph" w:customStyle="1" w:styleId="27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8">
    <w:name w:val="table_lines"/>
    <w:basedOn w:val="1"/>
    <w:qFormat/>
    <w:uiPriority w:val="0"/>
    <w:pPr>
      <w:widowControl/>
      <w:jc w:val="left"/>
    </w:pPr>
    <w:rPr>
      <w:sz w:val="20"/>
      <w:szCs w:val="20"/>
      <w:lang w:val="de-DE" w:eastAsia="de-DE"/>
    </w:rPr>
  </w:style>
  <w:style w:type="paragraph" w:customStyle="1" w:styleId="279">
    <w:name w:val="Char"/>
    <w:basedOn w:val="18"/>
    <w:qFormat/>
    <w:uiPriority w:val="0"/>
    <w:rPr>
      <w:rFonts w:ascii="Tahoma" w:hAnsi="Tahoma"/>
      <w:sz w:val="24"/>
      <w:szCs w:val="24"/>
    </w:rPr>
  </w:style>
  <w:style w:type="paragraph" w:customStyle="1" w:styleId="280">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281">
    <w:name w:val="Body Text(ch)"/>
    <w:basedOn w:val="1"/>
    <w:next w:val="20"/>
    <w:qFormat/>
    <w:uiPriority w:val="0"/>
    <w:pPr>
      <w:spacing w:after="120"/>
    </w:pPr>
    <w:rPr>
      <w:rFonts w:ascii="宋体" w:hAnsi="Arial"/>
      <w:bCs/>
      <w:iCs/>
      <w:szCs w:val="24"/>
    </w:rPr>
  </w:style>
  <w:style w:type="paragraph" w:customStyle="1" w:styleId="28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4">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7">
    <w:name w:val="Char1"/>
    <w:basedOn w:val="1"/>
    <w:qFormat/>
    <w:uiPriority w:val="0"/>
    <w:pPr>
      <w:tabs>
        <w:tab w:val="left" w:pos="360"/>
      </w:tabs>
      <w:ind w:firstLine="200"/>
    </w:pPr>
    <w:rPr>
      <w:sz w:val="28"/>
      <w:szCs w:val="30"/>
    </w:rPr>
  </w:style>
  <w:style w:type="paragraph" w:customStyle="1" w:styleId="288">
    <w:name w:val="4"/>
    <w:basedOn w:val="1"/>
    <w:next w:val="40"/>
    <w:qFormat/>
    <w:uiPriority w:val="0"/>
    <w:pPr>
      <w:spacing w:line="360" w:lineRule="auto"/>
      <w:ind w:firstLine="420"/>
    </w:pPr>
    <w:rPr>
      <w:color w:val="FF0000"/>
      <w:sz w:val="24"/>
      <w:szCs w:val="24"/>
    </w:rPr>
  </w:style>
  <w:style w:type="paragraph" w:customStyle="1" w:styleId="289">
    <w:name w:val="Char Char Char Char Char Char Char Char Char Char"/>
    <w:basedOn w:val="1"/>
    <w:qFormat/>
    <w:uiPriority w:val="0"/>
    <w:pPr>
      <w:spacing w:line="360" w:lineRule="auto"/>
    </w:pPr>
    <w:rPr>
      <w:sz w:val="24"/>
      <w:szCs w:val="20"/>
    </w:rPr>
  </w:style>
  <w:style w:type="paragraph" w:customStyle="1" w:styleId="290">
    <w:name w:val="样式1"/>
    <w:basedOn w:val="1"/>
    <w:qFormat/>
    <w:uiPriority w:val="0"/>
    <w:pPr>
      <w:numPr>
        <w:ilvl w:val="0"/>
        <w:numId w:val="3"/>
      </w:numPr>
    </w:pPr>
    <w:rPr>
      <w:rFonts w:ascii="宋体" w:hAnsi="宋体"/>
    </w:rPr>
  </w:style>
  <w:style w:type="paragraph" w:customStyle="1" w:styleId="291">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2">
    <w:name w:val="Char Char Char Char1"/>
    <w:basedOn w:val="18"/>
    <w:qFormat/>
    <w:uiPriority w:val="0"/>
    <w:pPr>
      <w:spacing w:line="360" w:lineRule="auto"/>
    </w:pPr>
    <w:rPr>
      <w:rFonts w:ascii="Tahoma" w:hAnsi="Tahoma"/>
      <w:sz w:val="24"/>
      <w:szCs w:val="24"/>
    </w:rPr>
  </w:style>
  <w:style w:type="paragraph" w:customStyle="1" w:styleId="293">
    <w:name w:val="table_1stline"/>
    <w:basedOn w:val="1"/>
    <w:qFormat/>
    <w:uiPriority w:val="0"/>
    <w:pPr>
      <w:widowControl/>
      <w:spacing w:before="120"/>
      <w:jc w:val="left"/>
    </w:pPr>
    <w:rPr>
      <w:bCs/>
      <w:sz w:val="20"/>
      <w:szCs w:val="20"/>
      <w:lang w:val="de-DE" w:eastAsia="de-DE"/>
    </w:rPr>
  </w:style>
  <w:style w:type="character" w:customStyle="1" w:styleId="294">
    <w:name w:val="不明显强调1"/>
    <w:qFormat/>
    <w:uiPriority w:val="19"/>
    <w:rPr>
      <w:i/>
      <w:iCs/>
      <w:color w:val="3F3F3F"/>
    </w:rPr>
  </w:style>
  <w:style w:type="paragraph" w:customStyle="1" w:styleId="295">
    <w:name w:val="Default"/>
    <w:next w:val="1"/>
    <w:qFormat/>
    <w:uiPriority w:val="0"/>
    <w:pPr>
      <w:widowControl w:val="0"/>
    </w:pPr>
    <w:rPr>
      <w:rFonts w:hint="default" w:ascii="宋体" w:hAnsi="Times New Roman" w:eastAsia="宋体" w:cs="宋体"/>
      <w:color w:val="000000"/>
      <w:sz w:val="24"/>
      <w:szCs w:val="24"/>
    </w:rPr>
  </w:style>
  <w:style w:type="character" w:customStyle="1" w:styleId="296">
    <w:name w:val="font11"/>
    <w:basedOn w:val="48"/>
    <w:qFormat/>
    <w:uiPriority w:val="0"/>
    <w:rPr>
      <w:rFonts w:hint="eastAsia" w:ascii="宋体" w:hAnsi="宋体" w:eastAsia="宋体" w:cs="宋体"/>
      <w:b/>
      <w:bCs/>
      <w:color w:val="000000"/>
      <w:sz w:val="22"/>
      <w:szCs w:val="22"/>
      <w:u w:val="none"/>
    </w:rPr>
  </w:style>
  <w:style w:type="character" w:customStyle="1" w:styleId="297">
    <w:name w:val="font01"/>
    <w:basedOn w:val="48"/>
    <w:qFormat/>
    <w:uiPriority w:val="0"/>
    <w:rPr>
      <w:rFonts w:hint="eastAsia" w:ascii="宋体" w:hAnsi="宋体" w:eastAsia="宋体" w:cs="宋体"/>
      <w:color w:val="000000"/>
      <w:sz w:val="22"/>
      <w:szCs w:val="22"/>
      <w:u w:val="none"/>
    </w:rPr>
  </w:style>
  <w:style w:type="paragraph" w:customStyle="1" w:styleId="298">
    <w:name w:val="段落文本"/>
    <w:basedOn w:val="1"/>
    <w:qFormat/>
    <w:uiPriority w:val="0"/>
    <w:pPr>
      <w:spacing w:line="400" w:lineRule="exact"/>
      <w:ind w:firstLine="488"/>
    </w:pPr>
    <w:rPr>
      <w:rFonts w:hint="eastAsia" w:eastAsia="方正仿宋_GBK"/>
      <w:bCs/>
      <w:iCs/>
      <w:sz w:val="24"/>
      <w:szCs w:val="32"/>
    </w:rPr>
  </w:style>
  <w:style w:type="paragraph" w:customStyle="1" w:styleId="299">
    <w:name w:val="一级标题"/>
    <w:basedOn w:val="1"/>
    <w:qFormat/>
    <w:uiPriority w:val="0"/>
    <w:pPr>
      <w:spacing w:before="40" w:after="40" w:line="320" w:lineRule="exact"/>
    </w:pPr>
    <w:rPr>
      <w:rFonts w:hint="eastAsia" w:eastAsia="方正黑体_GBK"/>
      <w:b/>
      <w:bCs/>
      <w:color w:val="000000"/>
      <w:sz w:val="30"/>
      <w:szCs w:val="30"/>
    </w:rPr>
  </w:style>
  <w:style w:type="paragraph" w:customStyle="1" w:styleId="300">
    <w:name w:val="二级标题1"/>
    <w:basedOn w:val="1"/>
    <w:next w:val="1"/>
    <w:qFormat/>
    <w:uiPriority w:val="0"/>
    <w:pPr>
      <w:keepNext/>
      <w:keepLines/>
      <w:tabs>
        <w:tab w:val="left" w:pos="0"/>
      </w:tabs>
      <w:spacing w:before="160" w:after="160" w:line="400" w:lineRule="exact"/>
      <w:ind w:firstLine="640"/>
      <w:outlineLvl w:val="1"/>
    </w:pPr>
    <w:rPr>
      <w:rFonts w:hint="eastAsia" w:eastAsia="方正楷体_GBK"/>
      <w:b/>
      <w:bCs/>
      <w:iCs/>
      <w:sz w:val="30"/>
      <w:szCs w:val="24"/>
    </w:rPr>
  </w:style>
  <w:style w:type="paragraph" w:customStyle="1" w:styleId="301">
    <w:name w:val="三级标题"/>
    <w:basedOn w:val="1"/>
    <w:qFormat/>
    <w:uiPriority w:val="0"/>
    <w:pPr>
      <w:spacing w:before="40" w:after="40" w:line="480" w:lineRule="exact"/>
      <w:ind w:firstLine="482"/>
    </w:pPr>
    <w:rPr>
      <w:rFonts w:hint="eastAsia" w:eastAsia="方正黑体_GBK"/>
      <w:b/>
      <w:bCs/>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TotalTime>1</TotalTime>
  <ScaleCrop>false</ScaleCrop>
  <LinksUpToDate>false</LinksUpToDate>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2025-09-19T06:17:00Z</dcterms:created>
  <dc:creator>赵国</dc:creator>
  <cp:lastModifiedBy>lenovo</cp:lastModifiedBy>
  <dcterms:modified xsi:type="dcterms:W3CDTF">2026-01-05T02:28:09Z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eyJoZGlkIjoiZDMzMTgwMmE2ZjIzZTY3YmZhM2NkNmZjNzc3NWU2YWUiLCJ1c2VySWQiOiIxNjUxMzgwNTU2In0=</vt:lpwstr>
  </property>
  <property fmtid="{D5CDD505-2E9C-101B-9397-08002B2CF9AE}" pid="3" name="KSOProductBuildVer">
    <vt:lpwstr>2052-10.8.2.7072</vt:lpwstr>
  </property>
  <property fmtid="{D5CDD505-2E9C-101B-9397-08002B2CF9AE}" pid="4" name="ICV">
    <vt:lpwstr>6CA08F331E84408EBE9FF3319683B8F8_12</vt:lpwstr>
  </property>
</Properties>
</file>