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JSZC-321000-SWGC-G2025-0236</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lang w:eastAsia="zh-CN"/>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eastAsia="zh-CN"/>
        </w:rPr>
        <w:t xml:space="preserve">扬州市公安局公安网络安全加固项目</w:t>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4"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w:t>
      </w:r>
      <w:r>
        <w:rPr>
          <w:rFonts w:hint="eastAsia" w:ascii="Times New Roman" w:hAnsi="Times New Roman" w:eastAsia="宋体"/>
          <w:b/>
          <w:bCs/>
          <w:color w:val="auto"/>
          <w:sz w:val="36"/>
          <w:highlight w:val="none"/>
          <w:lang w:val="en-US" w:eastAsia="zh-CN"/>
        </w:rPr>
        <w:t xml:space="preserve">5</w:t>
      </w:r>
      <w:r>
        <w:rPr>
          <w:rFonts w:hint="eastAsia" w:ascii="Times New Roman" w:hAnsi="Times New Roman" w:eastAsia="宋体"/>
          <w:b/>
          <w:bCs/>
          <w:color w:val="auto"/>
          <w:sz w:val="36"/>
          <w:highlight w:val="none"/>
        </w:rPr>
        <w:t xml:space="preserve">年</w:t>
      </w:r>
      <w:r>
        <w:rPr>
          <w:rFonts w:hint="eastAsia" w:ascii="Times New Roman" w:hAnsi="Times New Roman"/>
          <w:b/>
          <w:bCs/>
          <w:color w:val="auto"/>
          <w:sz w:val="36"/>
          <w:highlight w:val="none"/>
          <w:lang w:val="en-US" w:eastAsia="zh-CN"/>
        </w:rPr>
        <w:t xml:space="preserve">1</w:t>
      </w:r>
      <w:r>
        <w:rPr>
          <w:rFonts w:hint="default" w:ascii="Times New Roman" w:hAnsi="Times New Roman"/>
          <w:b/>
          <w:bCs/>
          <w:color w:val="auto"/>
          <w:sz w:val="36"/>
          <w:highlight w:val="none"/>
          <w:lang w:val="en-US" w:eastAsia="zh-CN"/>
        </w:rPr>
        <w:t xml:space="preserve">1</w:t>
      </w:r>
      <w:r>
        <w:rPr>
          <w:rFonts w:hint="eastAsia" w:ascii="Times New Roman" w:hAnsi="Times New Roman" w:eastAsia="宋体"/>
          <w:b/>
          <w:bCs/>
          <w:color w:val="auto"/>
          <w:sz w:val="36"/>
          <w:highlight w:val="none"/>
        </w:rPr>
        <w:t xml:space="preserve">月</w:t>
      </w:r>
      <w:r>
        <w:rPr>
          <w:rFonts w:hint="default" w:ascii="Times New Roman" w:hAnsi="Times New Roman"/>
          <w:b/>
          <w:bCs/>
          <w:color w:val="auto"/>
          <w:sz w:val="36"/>
          <w:highlight w:val="none"/>
          <w:lang w:val="en-US" w:eastAsia="zh-CN"/>
        </w:rPr>
        <w:t xml:space="preserve">19</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735"/>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b/>
          <w:bCs/>
          <w:color w:val="auto"/>
          <w:sz w:val="30"/>
          <w:szCs w:val="30"/>
          <w:highlight w:val="none"/>
        </w:rPr>
      </w:pPr>
      <w:r>
        <w:rPr>
          <w:rFonts w:hint="eastAsia" w:ascii="Times New Roman" w:hAnsi="Times New Roman" w:eastAsia="宋体"/>
          <w:b/>
          <w:bCs/>
          <w:color w:val="auto"/>
          <w:sz w:val="30"/>
          <w:szCs w:val="30"/>
          <w:highlight w:val="none"/>
        </w:rPr>
        <w:t xml:space="preserve">目 录</w:t>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fldChar w:fldCharType="begin"/>
      </w:r>
      <w:r>
        <w:rPr>
          <w:rFonts w:hint="eastAsia" w:ascii="Times New Roman" w:hAnsi="Times New Roman" w:eastAsia="宋体"/>
          <w:color w:val="auto"/>
          <w:sz w:val="28"/>
          <w:szCs w:val="28"/>
          <w:highlight w:val="none"/>
        </w:rPr>
        <w:instrText xml:space="preserve"> TOC \o "1-3" \f </w:instrText>
      </w:r>
      <w:r>
        <w:rPr>
          <w:rFonts w:hint="eastAsia" w:ascii="Times New Roman" w:hAnsi="Times New Roman" w:eastAsia="宋体"/>
          <w:color w:val="auto"/>
          <w:sz w:val="28"/>
          <w:szCs w:val="28"/>
          <w:highlight w:val="none"/>
        </w:rPr>
        <w:fldChar w:fldCharType="separate"/>
      </w:r>
      <w:r>
        <w:rPr>
          <w:rFonts w:hint="eastAsia" w:ascii="Times New Roman" w:hAnsi="Times New Roman" w:eastAsia="宋体"/>
          <w:color w:val="auto"/>
          <w:sz w:val="28"/>
          <w:szCs w:val="28"/>
          <w:highlight w:val="none"/>
        </w:rPr>
        <w:t xml:space="preserve">第二章 投标人须知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_Toc25364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_Toc28449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15</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_Toc11364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19</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第五章 评标方法及评标标准</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_Toc27469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24</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第六章 投标文件格式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_Toc14764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27</w:t>
      </w:r>
      <w:r>
        <w:rPr>
          <w:rFonts w:ascii="Times New Roman" w:hAnsi="Times New Roman" w:eastAsia="宋体"/>
          <w:color w:val="auto"/>
          <w:sz w:val="28"/>
          <w:szCs w:val="28"/>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28"/>
          <w:szCs w:val="28"/>
          <w:highlight w:val="none"/>
        </w:rPr>
        <w:fldChar w:fldCharType="end"/>
      </w:r>
      <w:r/>
    </w:p>
    <w:p>
      <w:pPr>
        <w:pStyle w:val="710"/>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1" w:name="_Toc19102"/>
      <w:r>
        <w:rPr>
          <w:rFonts w:hint="eastAsia" w:ascii="Times New Roman" w:hAnsi="Times New Roman" w:eastAsia="宋体"/>
          <w:color w:val="auto"/>
          <w:sz w:val="36"/>
          <w:szCs w:val="36"/>
          <w:highlight w:val="none"/>
        </w:rPr>
        <w:t xml:space="preserve">第一章 </w:t>
      </w:r>
      <w:r>
        <w:rPr>
          <w:rFonts w:hint="eastAsia" w:ascii="Times New Roman" w:hAnsi="Times New Roman"/>
          <w:color w:val="auto"/>
          <w:sz w:val="36"/>
          <w:szCs w:val="36"/>
          <w:highlight w:val="none"/>
          <w:lang w:eastAsia="zh-CN"/>
        </w:rPr>
        <w:t xml:space="preserve">扬州市公安局公安网络安全加固项目</w:t>
      </w:r>
      <w:r>
        <w:rPr>
          <w:rFonts w:hint="eastAsia" w:ascii="Times New Roman" w:hAnsi="Times New Roman" w:eastAsia="宋体"/>
          <w:color w:val="auto"/>
          <w:sz w:val="36"/>
          <w:szCs w:val="36"/>
          <w:highlight w:val="none"/>
        </w:rPr>
        <w:t xml:space="preserve">采购公告</w:t>
      </w:r>
      <w:bookmarkEnd w:id="0"/>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受扬州市公安局的委托，江苏苏维工程管理有限公司就</w:t>
      </w:r>
      <w:r>
        <w:rPr>
          <w:rFonts w:hint="eastAsia" w:ascii="Times New Roman" w:hAnsi="Times New Roman"/>
          <w:color w:val="auto"/>
          <w:highlight w:val="none"/>
          <w:lang w:eastAsia="zh-CN"/>
        </w:rPr>
        <w:t xml:space="preserve">扬州市公安局公安网络安全加固项目</w:t>
      </w:r>
      <w:r>
        <w:rPr>
          <w:rFonts w:hint="eastAsia" w:ascii="Times New Roman" w:hAnsi="Times New Roman" w:eastAsia="宋体" w:cs="宋体"/>
          <w:color w:val="auto"/>
          <w:highlight w:val="none"/>
          <w:lang w:eastAsia="zh-CN"/>
        </w:rPr>
        <w:t xml:space="preserve">（</w:t>
      </w:r>
      <w:r>
        <w:rPr>
          <w:rFonts w:hint="eastAsia" w:ascii="Times New Roman" w:hAnsi="Times New Roman"/>
          <w:color w:val="auto"/>
          <w:szCs w:val="21"/>
          <w:highlight w:val="none"/>
          <w:lang w:eastAsia="zh-CN"/>
        </w:rPr>
        <w:t xml:space="preserve">JSZC-321000-SWGC-G2025-0236</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扬州市公安局公安网络安全加固项目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lang w:eastAsia="zh-CN"/>
        </w:rPr>
        <w:t xml:space="preserve">202</w:t>
      </w:r>
      <w:r>
        <w:rPr>
          <w:rFonts w:hint="eastAsia" w:ascii="Times New Roman" w:hAnsi="Times New Roman" w:eastAsia="宋体" w:cs="宋体"/>
          <w:bCs/>
          <w:color w:val="auto"/>
          <w:highlight w:val="none"/>
          <w:u w:val="single"/>
          <w:lang w:val="en-US" w:eastAsia="zh-CN"/>
        </w:rPr>
        <w:t xml:space="preserve">5</w:t>
      </w:r>
      <w:r>
        <w:rPr>
          <w:rFonts w:hint="eastAsia" w:ascii="Times New Roman" w:hAnsi="Times New Roman" w:eastAsia="宋体" w:cs="宋体"/>
          <w:bCs/>
          <w:color w:val="auto"/>
          <w:highlight w:val="none"/>
          <w:u w:val="single"/>
          <w:lang w:eastAsia="zh-CN"/>
        </w:rPr>
        <w:t xml:space="preserve">年</w:t>
      </w:r>
      <w:r>
        <w:rPr>
          <w:rFonts w:hint="default" w:ascii="Times New Roman" w:hAnsi="Times New Roman" w:cs="宋体"/>
          <w:bCs/>
          <w:color w:val="auto"/>
          <w:highlight w:val="none"/>
          <w:u w:val="single"/>
          <w:lang w:val="en-US" w:eastAsia="zh-CN"/>
        </w:rPr>
        <w:t xml:space="preserve">12</w:t>
      </w:r>
      <w:r>
        <w:rPr>
          <w:rFonts w:hint="eastAsia" w:ascii="Times New Roman" w:hAnsi="Times New Roman" w:eastAsia="宋体" w:cs="宋体"/>
          <w:bCs/>
          <w:color w:val="auto"/>
          <w:highlight w:val="none"/>
          <w:u w:val="single"/>
          <w:lang w:eastAsia="zh-CN"/>
        </w:rPr>
        <w:t xml:space="preserve">月</w:t>
      </w:r>
      <w:r>
        <w:rPr>
          <w:rFonts w:hint="default"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lang w:eastAsia="zh-CN"/>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eastAsia="宋体" w:cs="宋体"/>
          <w:bCs/>
          <w:color w:val="auto"/>
          <w:highlight w:val="none"/>
          <w:u w:val="single"/>
          <w:lang w:eastAsia="zh-CN"/>
        </w:rPr>
        <w:t xml:space="preserve">午</w:t>
      </w:r>
      <w:r>
        <w:rPr>
          <w:rFonts w:hint="default" w:ascii="Times New Roman" w:hAnsi="Times New Roman" w:cs="宋体"/>
          <w:bCs/>
          <w:color w:val="auto"/>
          <w:highlight w:val="none"/>
          <w:u w:val="single"/>
          <w:lang w:val="en-US" w:eastAsia="zh-CN"/>
        </w:rPr>
        <w:t xml:space="preserve">9</w:t>
      </w:r>
      <w:r>
        <w:rPr>
          <w:rFonts w:hint="eastAsia" w:ascii="Times New Roman" w:hAnsi="Times New Roman" w:eastAsia="宋体" w:cs="宋体"/>
          <w:bCs/>
          <w:color w:val="auto"/>
          <w:highlight w:val="none"/>
          <w:u w:val="single"/>
          <w:lang w:eastAsia="zh-CN"/>
        </w:rPr>
        <w:t xml:space="preserve">:30</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35393621"/>
      <w:r/>
      <w:bookmarkStart w:id="3" w:name="_Toc38985263"/>
      <w:r/>
      <w:bookmarkStart w:id="4" w:name="_Toc28359002"/>
      <w:r/>
      <w:bookmarkStart w:id="5" w:name="_Toc28359079"/>
      <w:r/>
      <w:bookmarkStart w:id="6" w:name="_Toc35393790"/>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JSZC-321000-SWGC-G2025-0236</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color w:val="auto"/>
          <w:highlight w:val="none"/>
          <w:lang w:eastAsia="zh-CN"/>
        </w:rPr>
        <w:t xml:space="preserve">扬州市公安局公安网络安全加固项目</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3.预算金额：</w:t>
      </w:r>
      <w:r>
        <w:rPr>
          <w:rFonts w:hint="default" w:ascii="Times New Roman" w:hAnsi="Times New Roman"/>
          <w:color w:val="auto"/>
          <w:highlight w:val="none"/>
          <w:lang w:val="en-US" w:eastAsia="zh-CN"/>
        </w:rPr>
        <w:t xml:space="preserve">145</w:t>
      </w:r>
      <w:bookmarkStart w:id="85" w:name="_GoBack"/>
      <w:r/>
      <w:bookmarkEnd w:id="85"/>
      <w:r>
        <w:rPr>
          <w:rFonts w:hint="eastAsia" w:ascii="Times New Roman" w:hAnsi="Times New Roman" w:eastAsia="宋体"/>
          <w:color w:val="auto"/>
          <w:highlight w:val="none"/>
          <w:lang w:eastAsia="zh-CN"/>
        </w:rPr>
        <w:t xml:space="preserve">万元。</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4.本项目设置最高限价，最高限价</w:t>
      </w:r>
      <w:r>
        <w:rPr>
          <w:rFonts w:hint="eastAsia" w:ascii="Times New Roman" w:hAnsi="Times New Roman" w:eastAsia="宋体"/>
          <w:color w:val="auto"/>
          <w:highlight w:val="none"/>
          <w:lang w:val="en-US" w:eastAsia="zh-CN"/>
        </w:rPr>
        <w:t xml:space="preserve">135.9</w:t>
      </w:r>
      <w:r>
        <w:rPr>
          <w:rFonts w:hint="eastAsia" w:ascii="Times New Roman" w:hAnsi="Times New Roman" w:eastAsia="宋体"/>
          <w:color w:val="auto"/>
          <w:highlight w:val="none"/>
          <w:lang w:eastAsia="zh-CN"/>
        </w:rPr>
        <w:t xml:space="preserve">万元，报价超过最高限价的为无效投标。</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联合体投标。  </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color w:val="auto"/>
          <w:highlight w:val="none"/>
          <w:u w:val="single"/>
          <w:lang w:val="en-US" w:eastAsia="zh-CN"/>
        </w:rPr>
        <w:t xml:space="preserve">不</w:t>
      </w:r>
      <w:r>
        <w:rPr>
          <w:rFonts w:hint="eastAsia" w:ascii="Times New Roman" w:hAnsi="Times New Roman" w:eastAsia="宋体" w:cs="宋体"/>
          <w:color w:val="auto"/>
          <w:highlight w:val="none"/>
          <w:u w:val="single"/>
        </w:rPr>
        <w:t xml:space="preserve">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38985264"/>
      <w:r/>
      <w:bookmarkStart w:id="10" w:name="_Toc35393622"/>
      <w:r/>
      <w:bookmarkStart w:id="11" w:name="_Toc35393791"/>
      <w:r/>
      <w:bookmarkStart w:id="12" w:name="_Toc28359003"/>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5393792"/>
      <w:r/>
      <w:bookmarkStart w:id="15" w:name="_Toc38985265"/>
      <w:r/>
      <w:bookmarkStart w:id="16" w:name="_Toc28359004"/>
      <w:r/>
      <w:bookmarkStart w:id="17" w:name="_Toc35393623"/>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b/>
          <w:bCs/>
          <w:i/>
          <w:iCs/>
          <w:color w:val="auto"/>
          <w:highlight w:val="none"/>
          <w:u w:val="single"/>
        </w:rPr>
      </w:pPr>
      <w:r>
        <w:rPr>
          <w:rFonts w:hint="eastAsia" w:ascii="Times New Roman" w:hAnsi="Times New Roman" w:eastAsia="宋体" w:cs="宋体"/>
          <w:i/>
          <w:iCs/>
          <w:color w:val="auto"/>
          <w:szCs w:val="21"/>
          <w:highlight w:val="none"/>
          <w:u w:val="single"/>
        </w:rPr>
        <w:t xml:space="preserve">1.2 依法缴纳税收和社会保障资金的相关材料</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上一年度的财务状况报告</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color w:val="auto"/>
          <w:szCs w:val="21"/>
          <w:highlight w:val="none"/>
          <w:u w:val="single"/>
        </w:rPr>
        <w:t xml:space="preserve">无。</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color w:val="auto"/>
          <w:szCs w:val="21"/>
          <w:highlight w:val="none"/>
          <w:u w:val="single"/>
        </w:rPr>
        <w:t xml:space="preserve">无。</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1）潜在供应商访问政府采购管理交易系统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苏采云）的方法：“苏采云”系统用户注册--获取“CA数字证书”--CA绑定与登录--网上报名--下载采购文件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后缀名为“.kedt”）--将后缀名为“.kedt”的采购文件导入政府采购客户端工具--制作投标文件--导出加密的投标文件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3）“CA数字证书”的办理材料以及供应商操作手册详见：</w:t>
      </w:r>
      <w:r>
        <w:rPr>
          <w:rFonts w:hint="eastAsia" w:ascii="Times New Roman" w:hAnsi="Times New Roman" w:cs="宋体"/>
          <w:b/>
          <w:bCs/>
          <w:color w:val="auto"/>
          <w:szCs w:val="21"/>
          <w:highlight w:val="none"/>
        </w:rPr>
        <w:t xml:space="preserve">http://zfcg.yangzhou.gov.cn/xzzx/art/2023/art_4d7de1f7865f4a2894fc22bc452f94d8.html</w:t>
      </w:r>
      <w:r>
        <w:rPr>
          <w:rFonts w:hint="eastAsia" w:ascii="Times New Roman" w:hAnsi="Times New Roman" w:eastAsia="宋体"/>
          <w:b/>
          <w:bCs/>
          <w:color w:val="auto"/>
          <w:szCs w:val="21"/>
          <w:highlight w:val="none"/>
        </w:rPr>
        <w:t xml:space="preserve">。</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5）采购文件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6）招标代理机构</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采购代理机构）将数据电文形式的采购文件加载至“苏采云”系统，供潜在供应商下载或者查阅。     </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lang w:eastAsia="zh-CN"/>
        </w:rPr>
        <w:t xml:space="preserve">2025年12月10日上午9:30</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b/>
          <w:color w:val="auto"/>
          <w:szCs w:val="21"/>
          <w:highlight w:val="none"/>
        </w:rPr>
        <w:t xml:space="preserve">“苏采云”系统</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网址：</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"http://jszfcg.jsczt.cn/）" </w:instrText>
      </w:r>
      <w:r>
        <w:rPr>
          <w:rFonts w:ascii="Times New Roman" w:hAnsi="Times New Roman" w:eastAsia="宋体"/>
          <w:color w:val="auto"/>
          <w:highlight w:val="none"/>
        </w:rPr>
        <w:fldChar w:fldCharType="separate"/>
      </w:r>
      <w:r>
        <w:rPr>
          <w:rFonts w:hint="eastAsia" w:ascii="Times New Roman" w:hAnsi="Times New Roman" w:eastAsia="宋体"/>
          <w:b/>
          <w:color w:val="auto"/>
          <w:szCs w:val="21"/>
          <w:highlight w:val="none"/>
        </w:rPr>
        <w:t xml:space="preserve">http：//jszfcg.jsczt.cn/）“开标大厅”</w:t>
      </w:r>
      <w:r>
        <w:rPr>
          <w:rFonts w:hint="eastAsia" w:ascii="Times New Roman" w:hAnsi="Times New Roman" w:eastAsia="宋体"/>
          <w:b/>
          <w:color w:val="auto"/>
          <w:szCs w:val="21"/>
          <w:highlight w:val="none"/>
        </w:rPr>
        <w:fldChar w:fldCharType="end"/>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5393794"/>
      <w:r/>
      <w:bookmarkStart w:id="24" w:name="_Toc38985267"/>
      <w:r/>
      <w:bookmarkStart w:id="25" w:name="_Toc28359007"/>
      <w:r/>
      <w:bookmarkStart w:id="26" w:name="_Toc35393625"/>
      <w:r/>
      <w:bookmarkStart w:id="27" w:name="_Toc2835908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626"/>
      <w:r/>
      <w:bookmarkStart w:id="29" w:name="_Toc38985268"/>
      <w:r/>
      <w:bookmarkStart w:id="30" w:name="_Toc35393795"/>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796"/>
      <w:r/>
      <w:bookmarkStart w:id="32" w:name="_Toc28359008"/>
      <w:r/>
      <w:bookmarkStart w:id="33" w:name="_Toc38985269"/>
      <w:r/>
      <w:bookmarkStart w:id="34" w:name="_Toc28359085"/>
      <w:r/>
      <w:bookmarkStart w:id="35" w:name="_Toc35393627"/>
      <w:r>
        <w:rPr>
          <w:rFonts w:hint="eastAsia" w:ascii="Times New Roman" w:hAnsi="Times New Roman" w:eastAsia="宋体"/>
          <w:b/>
          <w:bCs/>
          <w:color w:val="auto"/>
          <w:highlight w:val="none"/>
        </w:rPr>
        <w:t xml:space="preserve">1.本次采购采用“政府采购管理交易系统</w:t>
      </w:r>
      <w:r>
        <w:rPr>
          <w:rFonts w:hint="eastAsia" w:ascii="Times New Roman" w:hAnsi="Times New Roman" w:eastAsia="宋体"/>
          <w:b/>
          <w:bCs/>
          <w:color w:val="auto"/>
          <w:highlight w:val="none"/>
          <w:lang w:eastAsia="zh-CN"/>
        </w:rPr>
        <w:t xml:space="preserve">（</w:t>
      </w:r>
      <w:r>
        <w:rPr>
          <w:rFonts w:hint="eastAsia" w:ascii="Times New Roman" w:hAnsi="Times New Roman" w:eastAsia="宋体"/>
          <w:b/>
          <w:bCs/>
          <w:color w:val="auto"/>
          <w:highlight w:val="none"/>
        </w:rPr>
        <w:t xml:space="preserve">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由国家确定的认证机构出具的、处于有效期之内的节能产品、环境标志产品认证证书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试行）》、《快递包装政府采购需求标准</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名 称：扬州市公安局</w:t>
      </w:r>
      <w:r/>
    </w:p>
    <w:p>
      <w:pPr>
        <w:ind w:firstLine="420"/>
        <w:jc w:val="left"/>
        <w:pageBreakBefore w:val="0"/>
        <w:spacing w:line="360" w:lineRule="auto"/>
        <w:rPr>
          <w:rFonts w:hint="eastAsia" w:ascii="Times New Roman" w:hAnsi="Times New Roman" w:eastAsia="宋体"/>
          <w:color w:val="auto"/>
          <w:szCs w:val="21"/>
          <w:highlight w:val="none"/>
        </w:rPr>
      </w:pPr>
      <w:r/>
      <w:bookmarkStart w:id="38" w:name="_Toc28359086"/>
      <w:r/>
      <w:bookmarkStart w:id="39" w:name="_Toc28359009"/>
      <w:r>
        <w:rPr>
          <w:rFonts w:hint="eastAsia" w:ascii="Times New Roman" w:hAnsi="Times New Roman" w:eastAsia="宋体"/>
          <w:color w:val="auto"/>
          <w:szCs w:val="21"/>
          <w:highlight w:val="none"/>
        </w:rPr>
        <w:t xml:space="preserve">地 址：扬州市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润扬中路98号</w:t>
      </w:r>
      <w:r/>
    </w:p>
    <w:p>
      <w:pPr>
        <w:ind w:firstLine="420"/>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default" w:ascii="Times New Roman" w:hAnsi="Times New Roman" w:eastAsia="宋体"/>
          <w:color w:val="auto"/>
          <w:szCs w:val="21"/>
          <w:highlight w:val="none"/>
          <w:lang w:eastAsia="zh-CN"/>
        </w:rPr>
        <w:t xml:space="preserve">赵晋扬</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联系方式：</w:t>
      </w:r>
      <w:r>
        <w:rPr>
          <w:rFonts w:hint="default" w:ascii="Times New Roman" w:hAnsi="Times New Roman" w:eastAsia="宋体"/>
          <w:color w:val="auto"/>
          <w:szCs w:val="21"/>
          <w:highlight w:val="none"/>
          <w:lang w:val="en-US" w:eastAsia="zh-CN"/>
        </w:rPr>
        <w:t xml:space="preserve">15195570088</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rPr>
        <w:t xml:space="preserve">扬州市邗江区翠岗路48号</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w:t>
      </w:r>
      <w:r>
        <w:rPr>
          <w:rFonts w:hint="eastAsia" w:ascii="Times New Roman" w:hAnsi="Times New Roman" w:cs="宋体"/>
          <w:color w:val="auto"/>
          <w:highlight w:val="none"/>
          <w:lang w:val="en-US" w:eastAsia="zh-CN"/>
        </w:rPr>
        <w:t xml:space="preserve">黄炎</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olor w:val="auto"/>
          <w:szCs w:val="21"/>
          <w:highlight w:val="none"/>
        </w:rPr>
        <w:t xml:space="preserve">0514-</w:t>
      </w:r>
      <w:bookmarkEnd w:id="36"/>
      <w:r/>
      <w:bookmarkEnd w:id="37"/>
      <w:r>
        <w:rPr>
          <w:rFonts w:hint="eastAsia" w:ascii="Times New Roman" w:hAnsi="Times New Roman"/>
          <w:color w:val="auto"/>
          <w:szCs w:val="21"/>
          <w:highlight w:val="none"/>
          <w:lang w:val="en-US" w:eastAsia="zh-CN"/>
        </w:rPr>
        <w:t xml:space="preserve">82129101</w:t>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w:t>
      </w:r>
      <w:r>
        <w:rPr>
          <w:rFonts w:hint="eastAsia" w:ascii="Times New Roman" w:hAnsi="Times New Roman" w:eastAsia="宋体"/>
          <w:color w:val="auto"/>
          <w:szCs w:val="21"/>
          <w:highlight w:val="none"/>
          <w:lang w:val="en-US" w:eastAsia="zh-CN"/>
        </w:rPr>
        <w:t xml:space="preserve">5</w:t>
      </w:r>
      <w:r>
        <w:rPr>
          <w:rFonts w:hint="eastAsia" w:ascii="Times New Roman" w:hAnsi="Times New Roman" w:eastAsia="宋体"/>
          <w:color w:val="auto"/>
          <w:szCs w:val="21"/>
          <w:highlight w:val="none"/>
        </w:rPr>
        <w:t xml:space="preserve">年</w:t>
      </w:r>
      <w:r>
        <w:rPr>
          <w:rFonts w:hint="default" w:ascii="Times New Roman" w:hAnsi="Times New Roman"/>
          <w:color w:val="auto"/>
          <w:szCs w:val="21"/>
          <w:highlight w:val="none"/>
          <w:lang w:val="en-US" w:eastAsia="zh-CN"/>
        </w:rPr>
        <w:t xml:space="preserve">11</w:t>
      </w:r>
      <w:r>
        <w:rPr>
          <w:rFonts w:hint="eastAsia" w:ascii="Times New Roman" w:hAnsi="Times New Roman" w:eastAsia="宋体"/>
          <w:color w:val="auto"/>
          <w:szCs w:val="21"/>
          <w:highlight w:val="none"/>
        </w:rPr>
        <w:t xml:space="preserve">月</w:t>
      </w:r>
      <w:r>
        <w:rPr>
          <w:rFonts w:hint="default" w:ascii="Times New Roman" w:hAnsi="Times New Roman"/>
          <w:color w:val="auto"/>
          <w:szCs w:val="21"/>
          <w:highlight w:val="none"/>
          <w:lang w:val="en-US" w:eastAsia="zh-CN"/>
        </w:rPr>
        <w:t xml:space="preserve">19</w:t>
      </w:r>
      <w:r>
        <w:rPr>
          <w:rFonts w:hint="eastAsia" w:ascii="Times New Roman" w:hAnsi="Times New Roman" w:eastAsia="宋体"/>
          <w:color w:val="auto"/>
          <w:szCs w:val="21"/>
          <w:highlight w:val="none"/>
        </w:rPr>
        <w:t xml:space="preserve">日</w:t>
      </w:r>
      <w:r/>
    </w:p>
    <w:p>
      <w:pPr>
        <w:pStyle w:val="710"/>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41" w:name="_Toc25364"/>
      <w:r>
        <w:rPr>
          <w:rFonts w:hint="eastAsia" w:ascii="Times New Roman" w:hAnsi="Times New Roman" w:eastAsia="宋体"/>
          <w:color w:val="auto"/>
          <w:sz w:val="36"/>
          <w:szCs w:val="36"/>
          <w:highlight w:val="none"/>
        </w:rPr>
        <w:t xml:space="preserve">第二章 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 本次招标采取公开招标方式，本招标文件仅适用于</w:t>
      </w:r>
      <w:r>
        <w:rPr>
          <w:rFonts w:hint="eastAsia" w:ascii="Times New Roman" w:hAnsi="Times New Roman"/>
          <w:bCs/>
          <w:color w:val="auto"/>
          <w:szCs w:val="21"/>
          <w:highlight w:val="none"/>
          <w:lang w:eastAsia="zh-CN"/>
        </w:rPr>
        <w:t xml:space="preserve">JSZC-321000-SWGC-G2025-0236</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 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 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4.2本次采购由中标人在领取中标通知书前按照国家计委印发的《招标代理服务收费管理暂行办法》</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计价格</w:t>
      </w:r>
      <w:r>
        <w:rPr>
          <w:rFonts w:hint="eastAsia" w:ascii="Times New Roman" w:hAnsi="Times New Roman"/>
          <w:b/>
          <w:bCs/>
          <w:color w:val="auto"/>
          <w:szCs w:val="21"/>
          <w:highlight w:val="none"/>
          <w:lang w:eastAsia="zh-CN"/>
        </w:rPr>
        <w:t xml:space="preserve">〔2002〕1980号</w:t>
      </w:r>
      <w:r>
        <w:rPr>
          <w:rFonts w:hint="eastAsia" w:ascii="Times New Roman" w:hAnsi="Times New Roman" w:eastAsia="宋体"/>
          <w:b/>
          <w:bCs/>
          <w:color w:val="auto"/>
          <w:szCs w:val="21"/>
          <w:highlight w:val="none"/>
        </w:rPr>
        <w:t xml:space="preserve">文）货物类标准一次性支付给招标代理机构代理服务费。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2）代理服务费一次性以电汇或转账等非现金形式支付。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3）代理服务费不在报价中单列，由中标人支付给代理机构。</w:t>
      </w:r>
      <w:r/>
    </w:p>
    <w:p>
      <w:pPr>
        <w:ind w:firstLine="1265"/>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代理服务费开户银行：中国工商银行扬州雍华府支行</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开户名称：江苏苏维工程管理有限公司</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w:t>
      </w:r>
      <w:r>
        <w:rPr>
          <w:rFonts w:hint="eastAsia" w:ascii="Times New Roman" w:hAnsi="Times New Roman" w:cs="宋体"/>
          <w:b/>
          <w:color w:val="auto"/>
          <w:szCs w:val="21"/>
          <w:highlight w:val="none"/>
          <w:lang w:eastAsia="zh-CN"/>
        </w:rPr>
        <w:t xml:space="preserve">开户账号</w:t>
      </w:r>
      <w:r>
        <w:rPr>
          <w:rFonts w:hint="eastAsia" w:ascii="Times New Roman" w:hAnsi="Times New Roman" w:eastAsia="宋体" w:cs="宋体"/>
          <w:b/>
          <w:color w:val="auto"/>
          <w:szCs w:val="21"/>
          <w:highlight w:val="none"/>
        </w:rPr>
        <w:t xml:space="preserve">：1108020819100000612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4.3专家评审费按《扬州市财政局关于进一步规范扬州市政府采购专家评审费标准的通知》</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 招标文件</w:t>
      </w:r>
      <w:r>
        <w:rPr>
          <w:rFonts w:hint="eastAsia" w:ascii="Times New Roman" w:hAnsi="Times New Roman"/>
          <w:bCs/>
          <w:color w:val="auto"/>
          <w:szCs w:val="21"/>
          <w:highlight w:val="none"/>
          <w:lang w:eastAsia="zh-CN"/>
        </w:rPr>
        <w:t xml:space="preserve">由以下部分组成</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 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4）开标一览表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5）分项报价表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6）技术参数响应及偏离表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7）商务条款响应及偏离表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8）其他 </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如有备选配件，备选配件的报价不属于选择的报价</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 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12.6 投标配置与分项报价表上的价格应按下列方式分开填写：</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2、项目单价按投标配置及分项报价表中要求填报。</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 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 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13.5 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 投标有效期为开标之日起六十</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462564084"/>
      <w:r/>
      <w:bookmarkStart w:id="43" w:name="_Toc16938541"/>
      <w:r/>
      <w:bookmarkStart w:id="44" w:name="_Toc513029225"/>
      <w:r/>
      <w:bookmarkStart w:id="45" w:name="_Toc20823297"/>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如资质证书、资格证书）、技术资料</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513029227"/>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513029228"/>
      <w:r/>
      <w:bookmarkStart w:id="54" w:name="_Toc20823300"/>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 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 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 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22.1 开标后，代理机构将立即组织评标委员会</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以下简称评委会）进行评标。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 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 采用综合评分法的项目，未中标的投标人可于中标结果公告期限届满之日起通过“政府采购管理交易系统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 未通过资格审查或符合性审查的投标人，代理机构将在“政府采购管理交易系统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采购人）和见证方</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default" w:ascii="Times New Roman" w:hAnsi="Times New Roman" w:eastAsia="宋体"/>
          <w:bCs/>
          <w:color w:val="auto"/>
          <w:szCs w:val="21"/>
          <w:highlight w:val="none"/>
          <w:lang w:val="en-US" w:eastAsia="zh-CN"/>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rPr>
          <w:rFonts w:hint="eastAsia" w:ascii="Times New Roman" w:hAnsi="Times New Roman"/>
          <w:bCs/>
          <w:color w:val="auto"/>
          <w:szCs w:val="21"/>
          <w:highlight w:val="none"/>
          <w:lang w:val="en-US" w:eastAsia="zh-CN"/>
        </w:rPr>
        <w:t xml:space="preserve">本项目核心产品为：浏览器管控中心。</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 投标人在开、评标全过程中应</w:t>
      </w:r>
      <w:r>
        <w:rPr>
          <w:rFonts w:hint="eastAsia" w:ascii="Times New Roman" w:hAnsi="Times New Roman"/>
          <w:bCs/>
          <w:color w:val="auto"/>
          <w:szCs w:val="21"/>
          <w:highlight w:val="none"/>
          <w:lang w:eastAsia="zh-CN"/>
        </w:rPr>
        <w:t xml:space="preserve">保持通信畅通</w:t>
      </w:r>
      <w:r>
        <w:rPr>
          <w:rFonts w:hint="eastAsia" w:ascii="Times New Roman" w:hAnsi="Times New Roman" w:eastAsia="宋体"/>
          <w:bCs/>
          <w:color w:val="auto"/>
          <w:szCs w:val="21"/>
          <w:highlight w:val="none"/>
        </w:rPr>
        <w:t xml:space="preserve">，并安排专人与代理机构及评委会联系。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 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 投标人被 “信用中国”网站</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  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 评委会认为投标人的报价明显低于其他通过符合性审查投标人的报价，有可能影响产品质量或者不能诚信履约的，将通过“政府采购管理交易系统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 本项目采购产品被财政部、</w:t>
      </w:r>
      <w:r>
        <w:rPr>
          <w:rFonts w:hint="eastAsia" w:ascii="Times New Roman" w:hAnsi="Times New Roman"/>
          <w:bCs/>
          <w:color w:val="auto"/>
          <w:szCs w:val="21"/>
          <w:highlight w:val="none"/>
          <w:lang w:eastAsia="zh-CN"/>
        </w:rPr>
        <w:t xml:space="preserve">国家发展改革委</w:t>
      </w:r>
      <w:r>
        <w:rPr>
          <w:rFonts w:hint="eastAsia" w:ascii="Times New Roman" w:hAnsi="Times New Roman" w:eastAsia="宋体"/>
          <w:bCs/>
          <w:color w:val="auto"/>
          <w:szCs w:val="21"/>
          <w:highlight w:val="none"/>
        </w:rPr>
        <w:t xml:space="preserve">、生态环境部等列入“节能产品品目清单”、“环境标志产品品目清单”强制采购范围，而投标人所投标产品不在强制采购范围内的。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 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 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 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27.5.2不同投标人委托同一单位或者个人办理投标事宜。</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27.5.3 不同投标人的投标文件载明的项目管理成员或者联系人员为同一人。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27.5.4不同投标人的投标文件异常一致或者投标报价呈规律性差异。</w:t>
      </w:r>
      <w:r/>
    </w:p>
    <w:p>
      <w:pPr>
        <w:ind w:firstLine="420"/>
        <w:spacing w:line="360" w:lineRule="auto"/>
        <w:rPr>
          <w:rFonts w:hint="eastAsia" w:ascii="Times New Roman" w:hAnsi="Times New Roman" w:eastAsia="宋体"/>
          <w:b/>
          <w:color w:val="auto"/>
          <w:szCs w:val="21"/>
          <w:highlight w:val="none"/>
        </w:rPr>
      </w:pPr>
      <w:r>
        <w:rPr>
          <w:rFonts w:hint="eastAsia" w:ascii="Times New Roman" w:hAnsi="Times New Roman"/>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 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 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 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 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 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 中标人可在“政府采购管理交易系统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 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 合同在“政府采购管理交易系统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 CA 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如资质证书、资格证书）、技术资料</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如白皮书、彩页、手册、检测报告等）扫描上传至投标系统。</w:t>
      </w:r>
      <w:r/>
    </w:p>
    <w:p>
      <w:pPr>
        <w:numPr>
          <w:ilvl w:val="0"/>
          <w:numId w:val="3"/>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    33.1 </w:t>
      </w:r>
      <w:r>
        <w:rPr>
          <w:rFonts w:hint="eastAsia" w:ascii="Times New Roman" w:hAnsi="Times New Roman" w:eastAsia="宋体"/>
          <w:color w:val="auto"/>
          <w:highlight w:val="none"/>
        </w:rPr>
        <w:t xml:space="preserve">依据《政府采购促进中小企业发展管理办法》</w:t>
      </w:r>
      <w:r>
        <w:rPr>
          <w:rFonts w:hint="eastAsia" w:ascii="Times New Roman" w:hAnsi="Times New Roman"/>
          <w:color w:val="auto"/>
          <w:highlight w:val="none"/>
          <w:lang w:eastAsia="zh-CN"/>
        </w:rPr>
        <w:t xml:space="preserve">享受</w:t>
      </w:r>
      <w:r>
        <w:rPr>
          <w:rFonts w:hint="eastAsia" w:ascii="Times New Roman" w:hAnsi="Times New Roman" w:eastAsia="宋体"/>
          <w:color w:val="auto"/>
          <w:highlight w:val="none"/>
        </w:rPr>
        <w:t xml:space="preserve">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55" w:name="_Toc28449"/>
      <w:r/>
      <w:bookmarkStart w:id="56" w:name="_Toc55204179"/>
      <w:r/>
      <w:bookmarkStart w:id="57" w:name="_Hlk69392822"/>
      <w:r>
        <w:rPr>
          <w:rFonts w:hint="eastAsia" w:ascii="Times New Roman" w:hAnsi="Times New Roman" w:eastAsia="宋体"/>
          <w:color w:val="auto"/>
          <w:sz w:val="36"/>
          <w:szCs w:val="36"/>
          <w:highlight w:val="none"/>
        </w:rPr>
        <w:t xml:space="preserve">第三章 合同条款及格式</w:t>
      </w:r>
      <w:bookmarkEnd w:id="55"/>
      <w:r/>
      <w:bookmarkEnd w:id="56"/>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w:t>
      </w:r>
      <w:r>
        <w:rPr>
          <w:rFonts w:hint="eastAsia" w:ascii="Times New Roman" w:hAnsi="Times New Roman"/>
          <w:color w:val="auto"/>
          <w:sz w:val="21"/>
          <w:highlight w:val="none"/>
          <w:lang w:eastAsia="zh-CN"/>
        </w:rPr>
        <w:t xml:space="preserve">签订</w:t>
      </w:r>
      <w:r>
        <w:rPr>
          <w:rFonts w:hint="eastAsia" w:ascii="Times New Roman" w:hAnsi="Times New Roman" w:eastAsia="宋体"/>
          <w:color w:val="auto"/>
          <w:sz w:val="21"/>
          <w:highlight w:val="none"/>
        </w:rPr>
        <w:t xml:space="preserve">本项目合同的通用条款，中标人不得提出实质性的修改，关于专用条款将由采购人与中标人结合本项目具体情况协商后签订。</w:t>
      </w:r>
      <w:r/>
    </w:p>
    <w:p>
      <w:pPr>
        <w:pStyle w:val="730"/>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3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扬州市公安局公安网络安全加固项目</w:t>
      </w:r>
      <w:r/>
    </w:p>
    <w:p>
      <w:pPr>
        <w:pStyle w:val="73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JSZC-321000-SWGC-G2025-0236</w:t>
      </w:r>
      <w:r>
        <w:rPr>
          <w:rFonts w:hint="eastAsia" w:ascii="Times New Roman" w:hAnsi="Times New Roman" w:eastAsia="宋体"/>
          <w:color w:val="auto"/>
          <w:sz w:val="21"/>
          <w:highlight w:val="none"/>
          <w:lang w:eastAsia="zh-CN"/>
        </w:rPr>
        <w:t xml:space="preserve">号</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甲方：</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买方）扬州市公安局</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卖方）_________</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甲、乙双方根据江苏苏维工程管理有限公司_________项目公开招标的结果，签署本合同。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30"/>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30"/>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1.3 数量</w:t>
      </w:r>
      <w:r>
        <w:rPr>
          <w:rFonts w:hint="eastAsia" w:ascii="Times New Roman" w:hAnsi="Times New Roman" w:eastAsia="宋体"/>
          <w:color w:val="auto"/>
          <w:sz w:val="21"/>
          <w:highlight w:val="none"/>
          <w:lang w:eastAsia="zh-CN"/>
        </w:rPr>
        <w:t xml:space="preserve">（</w:t>
      </w:r>
      <w:r>
        <w:rPr>
          <w:rFonts w:ascii="Times New Roman" w:hAnsi="Times New Roman" w:eastAsia="宋体"/>
          <w:color w:val="auto"/>
          <w:sz w:val="21"/>
          <w:highlight w:val="none"/>
        </w:rPr>
        <w:t xml:space="preserve">单位）</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大写）：_____________圆</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_______________元）人民币。</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零  </w:t>
      </w:r>
      <w:r>
        <w:rPr>
          <w:rFonts w:hint="eastAsia" w:ascii="Times New Roman" w:hAnsi="Times New Roman"/>
          <w:color w:val="auto"/>
          <w:sz w:val="21"/>
          <w:highlight w:val="none"/>
        </w:rPr>
        <w:t xml:space="preserve">元作为本合同的履约保证金。（不得超过合同金额的10%）</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6.2.1履约保证金退还方式：无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6.2.2履约保证金退还时间：无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6.2.3履约保证金退还条件：无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6.2.4履约保证金不予退还的情形：无</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rPr>
        <w:t xml:space="preserve">年。</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自交货验收合格之日起计）</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30"/>
        <w:ind w:firstLine="420"/>
        <w:pageBreakBefore w:val="0"/>
        <w:spacing w:line="360" w:lineRule="auto"/>
        <w:rPr>
          <w:rFonts w:ascii="Times New Roman" w:hAnsi="Times New Roman" w:eastAsia="宋体"/>
          <w:color w:val="auto"/>
          <w:sz w:val="21"/>
          <w:highlight w:val="none"/>
          <w:u w:val="single"/>
        </w:rPr>
      </w:pPr>
      <w:r>
        <w:rPr>
          <w:rFonts w:hint="eastAsia" w:ascii="Times New Roman" w:hAnsi="Times New Roman" w:eastAsia="宋体"/>
          <w:color w:val="auto"/>
          <w:sz w:val="21"/>
          <w:highlight w:val="none"/>
        </w:rPr>
        <w:t xml:space="preserve">9.1 交付期：</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合同签订后，乙方向甲方开具发票，甲方自收到发票之日起10个工作日内支付合同总价30%的预付款；</w:t>
      </w:r>
      <w:r>
        <w:rPr>
          <w:rFonts w:hint="eastAsia" w:ascii="Times New Roman" w:hAnsi="Times New Roman" w:cs="宋体"/>
          <w:color w:val="auto"/>
          <w:szCs w:val="21"/>
          <w:highlight w:val="none"/>
          <w:lang w:val="en-US" w:eastAsia="zh-CN"/>
        </w:rPr>
        <w:t xml:space="preserve">项目</w:t>
      </w:r>
      <w:r>
        <w:rPr>
          <w:rFonts w:hint="eastAsia" w:ascii="Times New Roman" w:hAnsi="Times New Roman" w:eastAsia="宋体" w:cs="宋体"/>
          <w:color w:val="auto"/>
          <w:szCs w:val="21"/>
          <w:highlight w:val="none"/>
        </w:rPr>
        <w:t xml:space="preserve">完成，</w:t>
      </w:r>
      <w:r>
        <w:rPr>
          <w:rFonts w:hint="eastAsia" w:ascii="Times New Roman" w:hAnsi="Times New Roman" w:cs="宋体"/>
          <w:color w:val="auto"/>
          <w:szCs w:val="21"/>
          <w:highlight w:val="none"/>
          <w:lang w:val="en-US" w:eastAsia="zh-CN"/>
        </w:rPr>
        <w:t xml:space="preserve">验收合格</w:t>
      </w:r>
      <w:r>
        <w:rPr>
          <w:rFonts w:hint="eastAsia" w:ascii="Times New Roman" w:hAnsi="Times New Roman" w:eastAsia="宋体" w:cs="宋体"/>
          <w:color w:val="auto"/>
          <w:szCs w:val="21"/>
          <w:highlight w:val="none"/>
        </w:rPr>
        <w:t xml:space="preserve">后，乙方向甲方开具发票，甲方自收到发票之日起10个工作日内支付合同总价</w:t>
      </w:r>
      <w:r>
        <w:rPr>
          <w:rFonts w:hint="eastAsia" w:ascii="Times New Roman" w:hAnsi="Times New Roman" w:eastAsia="宋体" w:cs="宋体"/>
          <w:color w:val="auto"/>
          <w:szCs w:val="21"/>
          <w:highlight w:val="none"/>
          <w:lang w:val="zh-CN"/>
        </w:rPr>
        <w:t xml:space="preserve">的</w:t>
      </w:r>
      <w:r>
        <w:rPr>
          <w:rFonts w:hint="eastAsia" w:ascii="Times New Roman" w:hAnsi="Times New Roman" w:eastAsia="宋体" w:cs="宋体"/>
          <w:color w:val="auto"/>
          <w:szCs w:val="21"/>
          <w:highlight w:val="none"/>
        </w:rPr>
        <w:t xml:space="preserve">70%。</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运输、保险、检验、款项利息及银行手续费等）。</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如在使用过程中发生质量问题，乙方在接到甲方通知后在小时内到达甲方现场。</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color w:val="auto"/>
          <w:sz w:val="21"/>
          <w:highlight w:val="none"/>
          <w:lang w:val="en-US" w:eastAsia="zh-CN"/>
        </w:rPr>
        <w:t xml:space="preserve">   </w:t>
      </w:r>
      <w:r>
        <w:rPr>
          <w:rFonts w:hint="eastAsia" w:ascii="Times New Roman" w:hAnsi="Times New Roman" w:eastAsia="宋体"/>
          <w:color w:val="auto"/>
          <w:sz w:val="21"/>
          <w:highlight w:val="none"/>
        </w:rPr>
        <w:t xml:space="preserve">年，因人为因素出现的故障不在免费保修范围内。超过保修期的机器设备，</w:t>
      </w:r>
      <w:r>
        <w:rPr>
          <w:rFonts w:hint="eastAsia" w:ascii="Times New Roman" w:hAnsi="Times New Roman"/>
          <w:color w:val="auto"/>
          <w:sz w:val="21"/>
          <w:highlight w:val="none"/>
          <w:lang w:eastAsia="zh-CN"/>
        </w:rPr>
        <w:t xml:space="preserve">终身维修</w:t>
      </w:r>
      <w:r>
        <w:rPr>
          <w:rFonts w:hint="eastAsia" w:ascii="Times New Roman" w:hAnsi="Times New Roman" w:eastAsia="宋体"/>
          <w:color w:val="auto"/>
          <w:sz w:val="21"/>
          <w:highlight w:val="none"/>
        </w:rPr>
        <w:t xml:space="preserve">，维修时只收部件成本费。</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甲方无故逾期验收和办理款项支付手续的,甲方应按逾期付款总额每日万分之五向乙方支付违约金。</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合同经双方法定代表人签章并加盖单位公章后生效。</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cs="宋体"/>
          <w:color w:val="auto"/>
          <w:sz w:val="21"/>
          <w:highlight w:val="none"/>
        </w:rPr>
        <w:t xml:space="preserve">《中华人民共和国民法典》、《中华人民共和国政府采购法》</w:t>
      </w:r>
      <w:r>
        <w:rPr>
          <w:rFonts w:hint="eastAsia" w:ascii="Times New Roman" w:hAnsi="Times New Roman" w:eastAsia="宋体"/>
          <w:color w:val="auto"/>
          <w:sz w:val="21"/>
          <w:highlight w:val="none"/>
        </w:rPr>
        <w:t xml:space="preserve">有关条文执行。</w:t>
      </w:r>
      <w:r/>
    </w:p>
    <w:p>
      <w:pPr>
        <w:pStyle w:val="944"/>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lang w:val="en-US" w:eastAsia="zh-CN"/>
        </w:rPr>
        <w:t xml:space="preserve">19</w:t>
      </w:r>
      <w:r>
        <w:rPr>
          <w:rFonts w:hint="eastAsia" w:ascii="Times New Roman" w:hAnsi="Times New Roman" w:eastAsia="宋体" w:cs="宋体"/>
          <w:color w:val="auto"/>
          <w:sz w:val="21"/>
          <w:highlight w:val="none"/>
        </w:rPr>
        <w:t xml:space="preserve">.3 本合同正本一式肆份，具有同等法律效力，甲方、乙方各执贰份。</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0"/>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甲方： 扬州市公安局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br w:type="page" w:clear="all"/>
      </w:r>
      <w:bookmarkEnd w:id="57"/>
      <w:r/>
      <w:r/>
    </w:p>
    <w:p>
      <w:pPr>
        <w:pStyle w:val="710"/>
        <w:numPr>
          <w:ilvl w:val="0"/>
          <w:numId w:val="4"/>
        </w:numPr>
        <w:jc w:val="center"/>
        <w:pageBreakBefore w:val="0"/>
        <w:spacing w:before="0" w:after="0" w:line="360" w:lineRule="auto"/>
        <w:rPr>
          <w:rFonts w:ascii="Times New Roman" w:hAnsi="Times New Roman" w:eastAsia="宋体"/>
          <w:color w:val="auto"/>
          <w:highlight w:val="none"/>
        </w:rPr>
      </w:pPr>
      <w:r/>
      <w:bookmarkStart w:id="58" w:name="_Toc11364"/>
      <w:r>
        <w:rPr>
          <w:rFonts w:hint="eastAsia" w:ascii="Times New Roman" w:hAnsi="Times New Roman" w:eastAsia="宋体"/>
          <w:color w:val="auto"/>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keepLines w:val="0"/>
        <w:keepNext w:val="0"/>
        <w:pageBreakBefore w:val="0"/>
        <w:spacing w:line="360" w:lineRule="auto"/>
        <w:widowControl w:val="off"/>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一、项目概况</w:t>
      </w:r>
      <w:r/>
    </w:p>
    <w:p>
      <w:pPr>
        <w:ind w:firstLine="420"/>
        <w:keepLines w:val="0"/>
        <w:keepNext w:val="0"/>
        <w:pageBreakBefore w:val="0"/>
        <w:spacing w:line="360" w:lineRule="auto"/>
        <w:widowControl w:val="off"/>
        <w:rPr>
          <w:rFonts w:ascii="Times New Roman" w:hAnsi="Times New Roman" w:eastAsia="宋体" w:cs="宋体"/>
          <w:b/>
          <w:bCs/>
          <w:color w:val="auto"/>
          <w:szCs w:val="21"/>
          <w:highlight w:val="none"/>
        </w:rPr>
      </w:pPr>
      <w:r>
        <w:rPr>
          <w:rFonts w:hint="eastAsia" w:ascii="Times New Roman" w:hAnsi="Times New Roman" w:eastAsia="宋体" w:cs="宋体"/>
          <w:color w:val="auto"/>
          <w:highlight w:val="none"/>
        </w:rPr>
        <w:t xml:space="preserve">随着“互联网+”、大数据、云计算等国家战略深入实施，公安信息化系统建设的深入开展，公安信息资源种类和数据激增，信息集中度和重要度明显增加，信息应用和共享方式日趋复杂，为了强化公安数据防护能力，根据《江苏省公安机关应用系统日志管理规范》要求，要确保公安网内应用系统操作日志完整无误、全量留存6个月以上，涉及重要应用系统日志需要永久保存。为了更好的提升全市公安机关网络和数据安全质态，强化数据防护、API接口风险监测等能力，拟采购1套浏览器管控中心、1套浏览器分析中心和1台API风险监测设备。</w:t>
      </w:r>
      <w:r/>
    </w:p>
    <w:p>
      <w:pPr>
        <w:keepLines w:val="0"/>
        <w:keepNext w:val="0"/>
        <w:pageBreakBefore w:val="0"/>
        <w:spacing w:line="360" w:lineRule="auto"/>
        <w:widowControl w:val="off"/>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二、技术参数</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采购清单：</w:t>
      </w:r>
      <w:r/>
    </w:p>
    <w:tbl>
      <w:tblPr>
        <w:tblStyle w:val="720"/>
        <w:tblW w:w="8212" w:type="dxa"/>
        <w:jc w:val="center"/>
        <w:tblLayout w:type="autofit"/>
        <w:tblCellMar>
          <w:left w:w="108" w:type="dxa"/>
          <w:top w:w="0" w:type="dxa"/>
          <w:right w:w="108" w:type="dxa"/>
          <w:bottom w:w="0" w:type="dxa"/>
        </w:tblCellMar>
        <w:tblLook w:val="04A0" w:firstRow="1" w:lastRow="0" w:firstColumn="1" w:lastColumn="0" w:noHBand="0" w:noVBand="1"/>
      </w:tblPr>
      <w:tblGrid>
        <w:gridCol w:w="846"/>
        <w:gridCol w:w="3284"/>
        <w:gridCol w:w="1247"/>
        <w:gridCol w:w="2835"/>
      </w:tblGrid>
      <w:tr>
        <w:trPr>
          <w:jc w:val="center"/>
          <w:trHeight w:val="39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328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名称</w:t>
            </w:r>
            <w:r/>
          </w:p>
        </w:tc>
        <w:tc>
          <w:tcPr>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76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328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浏览器管控中心</w:t>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套</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646"/>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328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浏览器分析中心</w:t>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套</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642"/>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28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API风险监测</w:t>
            </w:r>
            <w:r/>
          </w:p>
        </w:tc>
        <w:tc>
          <w:tcPr>
            <w:shd w:val="clear" w:color="000000" w:fill="ffffff"/>
            <w:tcBorders>
              <w:top w:val="none" w:color="000000" w:sz="4" w:space="0"/>
              <w:left w:val="none" w:color="000000"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r>
    </w:tbl>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详尽的技术及服务要求：</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（一）浏览器管控中心</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6874"/>
      </w:tblGrid>
      <w:tr>
        <w:trPr>
          <w:jc w:val="center"/>
          <w:trHeight w:val="176"/>
        </w:trPr>
        <w:tc>
          <w:tcPr>
            <w:tcW w:w="13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技术参数</w:t>
            </w:r>
            <w:r/>
          </w:p>
        </w:tc>
        <w:tc>
          <w:tcPr>
            <w:tcW w:w="687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 xml:space="preserve">1、提供浏览器管控中心软件一套，配置13000点授权用于对访问重要业务系统日志进行采集及</w:t>
            </w:r>
            <w:r>
              <w:rPr>
                <w:rFonts w:hint="eastAsia" w:ascii="宋体" w:hAnsi="宋体" w:eastAsia="宋体" w:cs="宋体"/>
                <w:i/>
                <w:iCs/>
                <w:color w:val="auto"/>
                <w:sz w:val="21"/>
                <w:szCs w:val="21"/>
                <w:u w:val="single"/>
                <w:lang w:eastAsia="zh-CN"/>
              </w:rPr>
              <w:t xml:space="preserve">查询</w:t>
            </w:r>
            <w:r>
              <w:rPr>
                <w:rFonts w:hint="eastAsia" w:ascii="宋体" w:hAnsi="宋体" w:eastAsia="宋体" w:cs="宋体"/>
                <w:i/>
                <w:iCs/>
                <w:color w:val="auto"/>
                <w:sz w:val="21"/>
                <w:szCs w:val="21"/>
                <w:u w:val="single"/>
                <w:lang w:val="en-US" w:eastAsia="zh-CN"/>
              </w:rPr>
              <w:t xml:space="preserve">重要信息</w:t>
            </w:r>
            <w:r>
              <w:rPr>
                <w:rFonts w:hint="eastAsia" w:ascii="宋体" w:hAnsi="宋体" w:eastAsia="宋体" w:cs="宋体"/>
                <w:i/>
                <w:iCs/>
                <w:color w:val="auto"/>
                <w:sz w:val="21"/>
                <w:szCs w:val="21"/>
                <w:u w:val="single"/>
              </w:rPr>
              <w:t xml:space="preserve">阻断</w:t>
            </w:r>
            <w:r>
              <w:rPr>
                <w:rFonts w:hint="eastAsia" w:ascii="宋体" w:hAnsi="宋体" w:eastAsia="宋体" w:cs="宋体"/>
                <w:i/>
                <w:iCs/>
                <w:color w:val="auto"/>
                <w:sz w:val="21"/>
                <w:szCs w:val="21"/>
                <w:u w:val="single"/>
                <w:lang w:val="en-US" w:eastAsia="zh-CN"/>
              </w:rPr>
              <w:t xml:space="preserve">和预警</w:t>
            </w:r>
            <w:r>
              <w:rPr>
                <w:rFonts w:hint="eastAsia" w:ascii="宋体" w:hAnsi="宋体" w:eastAsia="宋体" w:cs="宋体"/>
                <w:i/>
                <w:iCs/>
                <w:color w:val="auto"/>
                <w:sz w:val="21"/>
                <w:szCs w:val="21"/>
                <w:u w:val="single"/>
              </w:rPr>
              <w:t xml:space="preserve">功能，通过其他信息如手机号、车牌号、身份证号查询的页面结果命中</w:t>
            </w:r>
            <w:r>
              <w:rPr>
                <w:rFonts w:hint="eastAsia" w:ascii="宋体" w:hAnsi="宋体" w:eastAsia="宋体" w:cs="宋体"/>
                <w:i/>
                <w:iCs/>
                <w:color w:val="auto"/>
                <w:sz w:val="21"/>
                <w:szCs w:val="21"/>
                <w:u w:val="single"/>
                <w:lang w:val="en-US" w:eastAsia="zh-CN"/>
              </w:rPr>
              <w:t xml:space="preserve">重要</w:t>
            </w:r>
            <w:r>
              <w:rPr>
                <w:rFonts w:hint="eastAsia" w:ascii="宋体" w:hAnsi="宋体" w:eastAsia="宋体" w:cs="宋体"/>
                <w:i/>
                <w:iCs/>
                <w:color w:val="auto"/>
                <w:sz w:val="21"/>
                <w:szCs w:val="21"/>
                <w:u w:val="single"/>
              </w:rPr>
              <w:t xml:space="preserve">信息</w:t>
            </w:r>
            <w:r>
              <w:rPr>
                <w:rFonts w:hint="eastAsia" w:ascii="宋体" w:hAnsi="宋体" w:eastAsia="宋体" w:cs="宋体"/>
                <w:i/>
                <w:iCs/>
                <w:color w:val="auto"/>
                <w:sz w:val="21"/>
                <w:szCs w:val="21"/>
                <w:u w:val="single"/>
                <w:lang w:eastAsia="zh-CN"/>
              </w:rPr>
              <w:t xml:space="preserve">时</w:t>
            </w:r>
            <w:r>
              <w:rPr>
                <w:rFonts w:hint="eastAsia" w:ascii="宋体" w:hAnsi="宋体" w:eastAsia="宋体" w:cs="宋体"/>
                <w:i/>
                <w:iCs/>
                <w:color w:val="auto"/>
                <w:sz w:val="21"/>
                <w:szCs w:val="21"/>
                <w:u w:val="single"/>
              </w:rPr>
              <w:t xml:space="preserve">，能够阻断页面</w:t>
            </w:r>
            <w:r>
              <w:rPr>
                <w:rFonts w:hint="eastAsia" w:ascii="宋体" w:hAnsi="宋体" w:eastAsia="宋体" w:cs="宋体"/>
                <w:i/>
                <w:iCs/>
                <w:color w:val="auto"/>
                <w:sz w:val="21"/>
                <w:szCs w:val="21"/>
                <w:u w:val="single"/>
                <w:lang w:eastAsia="zh-CN"/>
              </w:rPr>
              <w:t xml:space="preserve">，并能够通过自我学习不断丰富重要信息库，</w:t>
            </w:r>
            <w:r>
              <w:rPr>
                <w:rFonts w:hint="eastAsia" w:ascii="宋体" w:hAnsi="宋体" w:eastAsia="宋体" w:cs="宋体"/>
                <w:i/>
                <w:iCs/>
                <w:color w:val="auto"/>
                <w:sz w:val="21"/>
                <w:szCs w:val="21"/>
                <w:u w:val="single"/>
              </w:rPr>
              <w:t xml:space="preserve">提供三年</w:t>
            </w:r>
            <w:r>
              <w:rPr>
                <w:rFonts w:hint="eastAsia" w:ascii="宋体" w:hAnsi="宋体" w:eastAsia="宋体" w:cs="宋体"/>
                <w:i/>
                <w:iCs/>
                <w:color w:val="auto"/>
                <w:sz w:val="21"/>
                <w:szCs w:val="21"/>
                <w:u w:val="single"/>
                <w:lang w:val="en-US" w:eastAsia="zh-CN"/>
              </w:rPr>
              <w:t xml:space="preserve">免费</w:t>
            </w:r>
            <w:r>
              <w:rPr>
                <w:rFonts w:hint="eastAsia" w:ascii="宋体" w:hAnsi="宋体" w:eastAsia="宋体" w:cs="宋体"/>
                <w:i/>
                <w:iCs/>
                <w:color w:val="auto"/>
                <w:sz w:val="21"/>
                <w:szCs w:val="21"/>
                <w:u w:val="single"/>
              </w:rPr>
              <w:t xml:space="preserve">软件维保服务</w:t>
            </w:r>
            <w:r>
              <w:rPr>
                <w:rFonts w:hint="eastAsia" w:ascii="宋体" w:hAnsi="宋体" w:eastAsia="宋体" w:cs="宋体"/>
                <w:i/>
                <w:iCs/>
                <w:color w:val="auto"/>
                <w:sz w:val="21"/>
                <w:szCs w:val="21"/>
                <w:u w:val="single"/>
                <w:lang w:eastAsia="zh-CN"/>
              </w:rPr>
              <w:t xml:space="preserve">。（</w:t>
            </w:r>
            <w:r>
              <w:rPr>
                <w:rFonts w:hint="eastAsia" w:ascii="宋体" w:hAnsi="宋体" w:eastAsia="宋体" w:cs="宋体"/>
                <w:i/>
                <w:iCs/>
                <w:color w:val="auto"/>
                <w:sz w:val="21"/>
                <w:szCs w:val="21"/>
                <w:u w:val="single"/>
                <w:lang w:val="en-US" w:eastAsia="zh-CN"/>
              </w:rPr>
              <w:t xml:space="preserve">提供承诺函</w:t>
            </w:r>
            <w:r>
              <w:rPr>
                <w:rFonts w:hint="eastAsia" w:ascii="宋体" w:hAnsi="宋体" w:eastAsia="宋体" w:cs="宋体"/>
                <w:i/>
                <w:iCs/>
                <w:color w:val="auto"/>
                <w:sz w:val="21"/>
                <w:szCs w:val="21"/>
                <w:u w:val="singl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2、支持对公安现有</w:t>
            </w:r>
            <w:r>
              <w:rPr>
                <w:rFonts w:hint="eastAsia" w:ascii="宋体" w:hAnsi="宋体" w:eastAsia="宋体" w:cs="宋体"/>
                <w:color w:val="auto"/>
                <w:sz w:val="21"/>
                <w:szCs w:val="21"/>
                <w:lang w:val="en-US" w:eastAsia="zh-CN"/>
              </w:rPr>
              <w:t xml:space="preserve">重要</w:t>
            </w:r>
            <w:r>
              <w:rPr>
                <w:rFonts w:hint="eastAsia" w:ascii="宋体" w:hAnsi="宋体" w:eastAsia="宋体" w:cs="宋体"/>
                <w:color w:val="auto"/>
                <w:sz w:val="21"/>
                <w:szCs w:val="21"/>
              </w:rPr>
              <w:t xml:space="preserve">业务系统进行兼容性适配及访问行为审计。</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3、★支持对重要业务系统提供</w:t>
            </w:r>
            <w:r>
              <w:rPr>
                <w:rFonts w:hint="eastAsia" w:ascii="宋体" w:hAnsi="宋体" w:eastAsia="宋体" w:cs="宋体"/>
                <w:color w:val="auto"/>
                <w:sz w:val="21"/>
                <w:szCs w:val="21"/>
                <w:lang w:val="en-US" w:eastAsia="zh-CN"/>
              </w:rPr>
              <w:t xml:space="preserve">重要</w:t>
            </w:r>
            <w:r>
              <w:rPr>
                <w:rFonts w:hint="eastAsia" w:ascii="宋体" w:hAnsi="宋体" w:eastAsia="宋体" w:cs="宋体"/>
                <w:color w:val="auto"/>
                <w:sz w:val="21"/>
                <w:szCs w:val="21"/>
              </w:rPr>
              <w:t xml:space="preserve">数据查询阻断</w:t>
            </w:r>
            <w:r>
              <w:rPr>
                <w:rFonts w:hint="eastAsia" w:ascii="宋体" w:hAnsi="宋体" w:eastAsia="宋体" w:cs="宋体"/>
                <w:color w:val="auto"/>
                <w:sz w:val="21"/>
                <w:szCs w:val="21"/>
                <w:lang w:val="en-US" w:eastAsia="zh-CN"/>
              </w:rPr>
              <w:t xml:space="preserve">和预警</w:t>
            </w:r>
            <w:r>
              <w:rPr>
                <w:rFonts w:hint="eastAsia" w:ascii="宋体" w:hAnsi="宋体" w:eastAsia="宋体" w:cs="宋体"/>
                <w:color w:val="auto"/>
                <w:sz w:val="21"/>
                <w:szCs w:val="21"/>
              </w:rPr>
              <w:t xml:space="preserve">功能。（需提供功能截图证明材料）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4、★日志采集内容应至少包含：查询人相关信息、查询终端ip地址、被查人相关信息等。查询动作应至少包含：复制、点击、输入、下载、访问页面。（需提供功能截图证明材料）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5、★支持与现有的安全管理软件联动，确保访问</w:t>
            </w:r>
            <w:r>
              <w:rPr>
                <w:rFonts w:hint="eastAsia" w:ascii="宋体" w:hAnsi="宋体" w:eastAsia="宋体" w:cs="宋体"/>
                <w:color w:val="auto"/>
                <w:sz w:val="21"/>
                <w:szCs w:val="21"/>
                <w:lang w:val="en-US" w:eastAsia="zh-CN"/>
              </w:rPr>
              <w:t xml:space="preserve">重要</w:t>
            </w:r>
            <w:r>
              <w:rPr>
                <w:rFonts w:hint="eastAsia" w:ascii="宋体" w:hAnsi="宋体" w:eastAsia="宋体" w:cs="宋体"/>
                <w:color w:val="auto"/>
                <w:sz w:val="21"/>
                <w:szCs w:val="21"/>
              </w:rPr>
              <w:t xml:space="preserve">业务系统时只允许使用安全浏览器，访问非</w:t>
            </w:r>
            <w:r>
              <w:rPr>
                <w:rFonts w:hint="eastAsia" w:ascii="宋体" w:hAnsi="宋体" w:eastAsia="宋体" w:cs="宋体"/>
                <w:color w:val="auto"/>
                <w:sz w:val="21"/>
                <w:szCs w:val="21"/>
                <w:lang w:val="en-US" w:eastAsia="zh-CN"/>
              </w:rPr>
              <w:t xml:space="preserve">重要</w:t>
            </w:r>
            <w:r>
              <w:rPr>
                <w:rFonts w:hint="eastAsia" w:ascii="宋体" w:hAnsi="宋体" w:eastAsia="宋体" w:cs="宋体"/>
                <w:color w:val="auto"/>
                <w:sz w:val="21"/>
                <w:szCs w:val="21"/>
              </w:rPr>
              <w:t xml:space="preserve">业务系统时不做限制。（需要提供承诺函并加盖公章）</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6、支持显示所有连接管控平台的浏览器客户端总数、活跃用户数、应用数量和可信网站数。</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支持按分组信息查看终端设备详细信息，如设备名、IP地址、MAC地址、登录用户、设备状态、客户端版本、所属组织，可按以上条件查询设备，并可在设备列表中按设备在线离线、启用禁用或显示全部快速过滤设备，支持批量禁用启用，支持查看设备的具体信息如：操作系统、系统架构、CPU品牌、客户端版本和最近活跃时间。</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支持添加水印、禁用地址栏设置、禁止复制、禁止打印、禁止保存网页、禁止鼠标右键、禁止开发者工具、禁止查看页面源文件、禁止下载、禁止上传、禁止截屏、配置URL访问黑白名单、配置客户端上传访问历史记录等浏览器客户端行为管控功能。</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支持对上网痕迹定时清除，开启该功能后可在指定时间或浏览器退出时或每天首次启动时自动清除上网痕迹信息，包含浏览记录、下载记录、缓存图片和文件、Cookie及其他网址数据、保存的密码和其他登录数据、自动填充表单数据等。</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10、★支持统一配置下发URL内核自动切换策略，支持URL的精准匹配或HOST匹配模式，支持匹配子域名。（需提供功能截图证明材料）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11、支持按分组统一管理并下发ActiveX、NPAPI、PPAPI插件，可设置为黑名单模式或白名单模式，已添加的插件可进行再编辑、禁用/启用以及删除操作。</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12、支持自定义管控中心系统标题及logo。</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13、★该系统的能力应满足省厅对地市的安全要求，业务系统采集的范围和采集的数据需和上级单位一致，如果省厅对地市有新的安全要求，在维保期内该系统应无偿满足。（需要提供承诺函）</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（二）浏览器分析中心</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6802"/>
      </w:tblGrid>
      <w:tr>
        <w:trPr>
          <w:jc w:val="center"/>
          <w:trHeight w:val="176"/>
        </w:trPr>
        <w:tc>
          <w:tcPr>
            <w:tcW w:w="12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技术参数</w:t>
            </w:r>
            <w:r/>
          </w:p>
        </w:tc>
        <w:tc>
          <w:tcPr>
            <w:tcW w:w="68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iCs/>
                <w:color w:val="auto"/>
                <w:sz w:val="21"/>
                <w:szCs w:val="21"/>
                <w:u w:val="single"/>
                <w:lang w:eastAsia="zh-CN"/>
              </w:rPr>
            </w:pPr>
            <w:r>
              <w:rPr>
                <w:rFonts w:hint="eastAsia" w:ascii="宋体" w:hAnsi="宋体" w:eastAsia="宋体" w:cs="宋体"/>
                <w:i/>
                <w:iCs/>
                <w:color w:val="auto"/>
                <w:sz w:val="21"/>
                <w:szCs w:val="21"/>
                <w:u w:val="single"/>
              </w:rPr>
              <w:t xml:space="preserve">1、提供浏览器分析中心软件一套，配置至少13000点日志源授权用于接收浏览器日志，提供三年</w:t>
            </w:r>
            <w:r>
              <w:rPr>
                <w:rFonts w:hint="eastAsia" w:ascii="宋体" w:hAnsi="宋体" w:eastAsia="宋体" w:cs="宋体"/>
                <w:i/>
                <w:iCs/>
                <w:color w:val="auto"/>
                <w:sz w:val="21"/>
                <w:szCs w:val="21"/>
                <w:u w:val="single"/>
                <w:lang w:val="en-US" w:eastAsia="zh-CN"/>
              </w:rPr>
              <w:t xml:space="preserve">免费</w:t>
            </w:r>
            <w:r>
              <w:rPr>
                <w:rFonts w:hint="eastAsia" w:ascii="宋体" w:hAnsi="宋体" w:eastAsia="宋体" w:cs="宋体"/>
                <w:i/>
                <w:iCs/>
                <w:color w:val="auto"/>
                <w:sz w:val="21"/>
                <w:szCs w:val="21"/>
                <w:u w:val="single"/>
              </w:rPr>
              <w:t xml:space="preserve">软件维保服务。</w:t>
            </w:r>
            <w:r>
              <w:rPr>
                <w:rFonts w:hint="eastAsia" w:ascii="宋体" w:hAnsi="宋体" w:eastAsia="宋体" w:cs="宋体"/>
                <w:i/>
                <w:iCs/>
                <w:color w:val="auto"/>
                <w:sz w:val="21"/>
                <w:szCs w:val="21"/>
                <w:u w:val="single"/>
                <w:lang w:eastAsia="zh-CN"/>
              </w:rPr>
              <w:t xml:space="preserve">（</w:t>
            </w:r>
            <w:r>
              <w:rPr>
                <w:rFonts w:hint="eastAsia" w:ascii="宋体" w:hAnsi="宋体" w:eastAsia="宋体" w:cs="宋体"/>
                <w:i/>
                <w:iCs/>
                <w:color w:val="auto"/>
                <w:sz w:val="21"/>
                <w:szCs w:val="21"/>
                <w:u w:val="single"/>
                <w:lang w:val="en-US" w:eastAsia="zh-CN"/>
              </w:rPr>
              <w:t xml:space="preserve">提供承诺函</w:t>
            </w:r>
            <w:r>
              <w:rPr>
                <w:rFonts w:hint="eastAsia" w:ascii="宋体" w:hAnsi="宋体" w:eastAsia="宋体" w:cs="宋体"/>
                <w:i/>
                <w:iCs/>
                <w:color w:val="auto"/>
                <w:sz w:val="21"/>
                <w:szCs w:val="21"/>
                <w:u w:val="singl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2、支持接收浏览器采集的日志并将加密日志进行解密。</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3、★提供业务系统范化规则，至少需要从日志中解析出查询人相关信息、查询终端ip地址、被查人相关信息、应用系统名称等内容。（需提供功能截图证明材料）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4、★支持按照Syslog-NG标准及自有格式进行转发，转发时包含原始日志源IP地址，转发时支持压缩加密转发，转发协议支持TCP和UDP。（需提供功能截图证明材料）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5、★支持与扬州</w:t>
            </w:r>
            <w:r>
              <w:rPr>
                <w:rFonts w:hint="eastAsia" w:ascii="宋体" w:hAnsi="宋体" w:eastAsia="宋体" w:cs="宋体"/>
                <w:color w:val="auto"/>
                <w:sz w:val="21"/>
                <w:szCs w:val="21"/>
                <w:lang w:eastAsia="zh-CN"/>
              </w:rPr>
              <w:t xml:space="preserve">公安相关</w:t>
            </w:r>
            <w:r>
              <w:rPr>
                <w:rFonts w:hint="eastAsia" w:ascii="宋体" w:hAnsi="宋体" w:eastAsia="宋体" w:cs="宋体"/>
                <w:color w:val="auto"/>
                <w:sz w:val="21"/>
                <w:szCs w:val="21"/>
              </w:rPr>
              <w:t xml:space="preserve">平台对接，满足上级单位对相关日志的采集要求。（需要提供承诺函）</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6、★支持正则表达式、JSON、Key-Value等解析方案，支持日志自动化辅助范化。（需提供功能截图证明材料）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7、支持点击单条日志，可对日志进行展开，显示日志详细信息和原始信息。</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8、支持自定义字段，可根据审计需要自行创建字段，属性类型包括IP、字符串、整型、布尔等。</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9、★针对匹配的多条范化策略，系统支持用户手工设置策略匹配优先级，保证最佳范化策略匹配。（需提供功能截图证明材料）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10、对于原始日志的枚举字段，能够将原始的枚举值映射为系统统一的枚举值。</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11、用户点击单条事件，可对该事件进行展开，显示事件详细信息和原始信息。</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12、用户点击事件的某一字段，可以该字段及内容为条件在当前事件集中进行事件搜索，显示相应结果。</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13、可以以图形化的方式形象的展示一段时间内的日志中IP节点之间的访问行为和关系。</w:t>
            </w:r>
            <w:r/>
          </w:p>
        </w:tc>
      </w:tr>
    </w:tbl>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（三）API风险监测</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6802"/>
      </w:tblGrid>
      <w:tr>
        <w:trPr>
          <w:jc w:val="center"/>
          <w:trHeight w:val="176"/>
        </w:trPr>
        <w:tc>
          <w:tcPr>
            <w:tcW w:w="12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硬件规格</w:t>
            </w:r>
            <w:r/>
          </w:p>
        </w:tc>
        <w:tc>
          <w:tcPr>
            <w:tcW w:w="68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i/>
                <w:iCs/>
                <w:sz w:val="21"/>
                <w:szCs w:val="21"/>
                <w:u w:val="single"/>
              </w:rPr>
              <w:t xml:space="preserve">2U标准机架式设备，使用通过国家信息安全测评中心测评的CPU、操作系统等，CPU≥8核16线程，主频≥2.8GHz，内存≥64G，硬盘≥4T，千兆电口≥</w:t>
            </w:r>
            <w:r>
              <w:rPr>
                <w:rFonts w:hint="eastAsia" w:ascii="宋体" w:hAnsi="宋体" w:eastAsia="宋体" w:cs="宋体"/>
                <w:i/>
                <w:iCs/>
                <w:sz w:val="21"/>
                <w:szCs w:val="21"/>
                <w:u w:val="single"/>
                <w:lang w:val="en-US" w:eastAsia="zh-CN"/>
              </w:rPr>
              <w:t xml:space="preserve">4</w:t>
            </w:r>
            <w:r>
              <w:rPr>
                <w:rFonts w:hint="eastAsia" w:ascii="宋体" w:hAnsi="宋体" w:eastAsia="宋体" w:cs="宋体"/>
                <w:i/>
                <w:iCs/>
                <w:sz w:val="21"/>
                <w:szCs w:val="21"/>
                <w:u w:val="single"/>
              </w:rPr>
              <w:t xml:space="preserve">个，冗余电源</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rPr>
              <w:t xml:space="preserve">提供三年</w:t>
            </w:r>
            <w:r>
              <w:rPr>
                <w:rFonts w:hint="eastAsia" w:ascii="宋体" w:hAnsi="宋体" w:eastAsia="宋体" w:cs="宋体"/>
                <w:i/>
                <w:iCs/>
                <w:sz w:val="21"/>
                <w:szCs w:val="21"/>
                <w:u w:val="single"/>
                <w:lang w:val="en-US" w:eastAsia="zh-CN"/>
              </w:rPr>
              <w:t xml:space="preserve">免费</w:t>
            </w:r>
            <w:r>
              <w:rPr>
                <w:rFonts w:hint="eastAsia" w:ascii="宋体" w:hAnsi="宋体" w:eastAsia="宋体" w:cs="宋体"/>
                <w:i/>
                <w:iCs/>
                <w:sz w:val="21"/>
                <w:szCs w:val="21"/>
                <w:u w:val="single"/>
              </w:rPr>
              <w:t xml:space="preserve">设备维保服务。</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lang w:val="en-US" w:eastAsia="zh-CN"/>
              </w:rPr>
              <w:t xml:space="preserve">提供承诺函</w:t>
            </w:r>
            <w:r>
              <w:rPr>
                <w:rFonts w:hint="eastAsia" w:ascii="宋体" w:hAnsi="宋体" w:eastAsia="宋体" w:cs="宋体"/>
                <w:i/>
                <w:iCs/>
                <w:sz w:val="21"/>
                <w:szCs w:val="21"/>
                <w:u w:val="single"/>
                <w:lang w:eastAsia="zh-CN"/>
              </w:rPr>
              <w:t xml:space="preserve">）</w:t>
            </w:r>
            <w:r/>
          </w:p>
        </w:tc>
      </w:tr>
      <w:tr>
        <w:trPr>
          <w:jc w:val="center"/>
          <w:trHeight w:val="176"/>
        </w:trPr>
        <w:tc>
          <w:tcPr>
            <w:tcW w:w="12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技术参数</w:t>
            </w:r>
            <w:r/>
          </w:p>
        </w:tc>
        <w:tc>
          <w:tcPr>
            <w:tcW w:w="68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对IP段进行主动扫描，发现现网中资产信息，包括设备IP、资产状态、操作系统、承载服务信息。支持对发现的资产进行确认形成应用资产台账，台账信息包括域名称、服务器版本、部门、负责人、标签、发现时间、应用资产IP、应用资产名称、活跃时间、访问账户信息，支持实名资产，为应用资产绑定负责人</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API接口分类，支持对接口进行自动分类，内置邮件发送、短信发送、人机交互、密码修改、用户注册、下载文件、上传文件、WEB行为、接收操作、发送操作、数据库操作、登出操作、登录操作、控制操作、文件操作等类型；支持用户自定义API接口类型</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、支持检测接口</w:t>
            </w:r>
            <w:r>
              <w:rPr>
                <w:rFonts w:hint="eastAsia" w:ascii="宋体" w:hAnsi="宋体" w:eastAsia="宋体" w:cs="宋体"/>
                <w:color w:val="auto"/>
                <w:sz w:val="21"/>
                <w:szCs w:val="21"/>
                <w:lang w:eastAsia="zh-CN"/>
              </w:rPr>
              <w:t xml:space="preserve">重要</w:t>
            </w:r>
            <w:r>
              <w:rPr>
                <w:rFonts w:hint="eastAsia" w:ascii="宋体" w:hAnsi="宋体" w:eastAsia="宋体" w:cs="宋体"/>
                <w:color w:val="auto"/>
                <w:sz w:val="21"/>
                <w:szCs w:val="21"/>
              </w:rPr>
              <w:t xml:space="preserve">信息，支持通过关键字、关键字对、正则表达式、数据标识符、文件属性（文件类型、文件大小、文件名称、文件压缩层数、文件嵌套层数、文件MD5、作者名、创建时间、修改时间、文件个数、文件标签）、接口参数个数、接口参数名称等检测算法定义</w:t>
            </w:r>
            <w:r>
              <w:rPr>
                <w:rFonts w:hint="eastAsia" w:ascii="宋体" w:hAnsi="宋体" w:eastAsia="宋体" w:cs="宋体"/>
                <w:color w:val="auto"/>
                <w:sz w:val="21"/>
                <w:szCs w:val="21"/>
                <w:lang w:eastAsia="zh-CN"/>
              </w:rPr>
              <w:t xml:space="preserve">重要</w:t>
            </w:r>
            <w:r>
              <w:rPr>
                <w:rFonts w:hint="eastAsia" w:ascii="宋体" w:hAnsi="宋体" w:eastAsia="宋体" w:cs="宋体"/>
                <w:color w:val="auto"/>
                <w:sz w:val="21"/>
                <w:szCs w:val="21"/>
              </w:rPr>
              <w:t xml:space="preserve">信息</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、★支持僵尸木马检测，内置默认规则不少于7000条，包括但不限于类型为后门控制、webshell等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内置API弱点库，包括数据暴露类、访问权限类、安全规范类、访问权限类、接口权限类、口令认证类。支持从流量中识别API弱点，并进行分类分级，支持检测的弱点类型覆盖了口令认证类、数据暴露类、访问权限类、高危接口类、安全规范类等维度</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对API接口的SQL注入、命令注入、XSS、Webshell、CSRF、账户暴力破解等攻击行为进行监控并告警。支持攻击检测规则不少于10000条，包括但不限于攻击类型为文件漏洞攻击、跨站攻击、注入攻击、非授权访问、溢出攻击、拒绝服务攻击、扫描探测、工控漏洞攻击等，同时也支持自定义规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、支持检测接口异常访问行为，内置个人数据API出境风险、API违规外传</w:t>
            </w:r>
            <w:r>
              <w:rPr>
                <w:rFonts w:hint="eastAsia" w:ascii="宋体" w:hAnsi="宋体" w:eastAsia="宋体" w:cs="宋体"/>
                <w:color w:val="auto"/>
                <w:sz w:val="21"/>
                <w:szCs w:val="21"/>
                <w:lang w:eastAsia="zh-CN"/>
              </w:rPr>
              <w:t xml:space="preserve">重要</w:t>
            </w:r>
            <w:r>
              <w:rPr>
                <w:rFonts w:hint="eastAsia" w:ascii="宋体" w:hAnsi="宋体" w:eastAsia="宋体" w:cs="宋体"/>
                <w:color w:val="auto"/>
                <w:sz w:val="21"/>
                <w:szCs w:val="21"/>
              </w:rPr>
              <w:t xml:space="preserve">信息风险、单IP访问相同API高频异常等27种场景，支持按需自定义异常访问风险场景</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对API基线统计分析，发现异常行为可视化方式呈现，展示异常应用资产、风险等级、基线类型及详细异常详情。支持对API弱点进行统计分析，可视化展示API弱点告警、应用弱点事件、弱点访问源IP、高风险IP、日志详情；支持对</w:t>
            </w:r>
            <w:r>
              <w:rPr>
                <w:rFonts w:hint="eastAsia" w:ascii="宋体" w:hAnsi="宋体" w:eastAsia="宋体" w:cs="宋体"/>
                <w:color w:val="auto"/>
                <w:sz w:val="21"/>
                <w:szCs w:val="21"/>
                <w:lang w:eastAsia="zh-CN"/>
              </w:rPr>
              <w:t xml:space="preserve">重要</w:t>
            </w:r>
            <w:r>
              <w:rPr>
                <w:rFonts w:hint="eastAsia" w:ascii="宋体" w:hAnsi="宋体" w:eastAsia="宋体" w:cs="宋体"/>
                <w:color w:val="auto"/>
                <w:sz w:val="21"/>
                <w:szCs w:val="21"/>
              </w:rPr>
              <w:t xml:space="preserve">数据泄漏进行统计分析，可视化展示数据泄漏源、违规策略、泄漏源分布、泄漏目标分布、数据通道分布、事件风险趋势、日志详情</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综合展示事件趋势及告警趋势，事件趋势包括事件总数及邮件、web访问、文件共享、运维操作、数据库等多类别事件的动态曲线图，同时展示源IP与目的IP分布图；告警趋势展示攻击检测、API监测、病毒检测相关事件曲线图及对应源IP与目的IP分布图。支持可视化展示代理使用情况，呈现近期使用代理的客户端IP趋势图、代理IP趋势图以及当日代理实时使用详情</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支持一体化可视化展示web应用详情、API接口画像及人员账号画像。web应用详情涵盖应用风险分析、风险趋势分析、API资产、风险分布、接口使用场景、数据流转趋势；API接口画像呈现应用风险分析、流入/流出数据量、数据流动词云、访问次数、访问位置分布、风险汇总；人员账号画像同样展示应用风险分析、流入/流出数据量、数据流动词云、访问次数、访问位置分布、风险汇总。（需提供功能截图证明材料）</w:t>
            </w:r>
            <w:r/>
          </w:p>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、支持API维度、IP维度、账号维度、应用资产维度来统计访问热度、异常访问量、</w:t>
            </w:r>
            <w:r>
              <w:rPr>
                <w:rFonts w:hint="eastAsia" w:ascii="宋体" w:hAnsi="宋体" w:eastAsia="宋体" w:cs="宋体"/>
                <w:color w:val="auto"/>
                <w:sz w:val="21"/>
                <w:szCs w:val="21"/>
                <w:lang w:eastAsia="zh-CN"/>
              </w:rPr>
              <w:t xml:space="preserve">重要</w:t>
            </w:r>
            <w:r>
              <w:rPr>
                <w:rFonts w:hint="eastAsia" w:ascii="宋体" w:hAnsi="宋体" w:eastAsia="宋体" w:cs="宋体"/>
                <w:color w:val="auto"/>
                <w:sz w:val="21"/>
                <w:szCs w:val="21"/>
              </w:rPr>
              <w:t xml:space="preserve">数据访问量、弱点事件数量等，形成报表；支持报表订阅</w:t>
            </w:r>
            <w:r>
              <w:rPr>
                <w:rFonts w:hint="eastAsia" w:ascii="宋体" w:hAnsi="宋体" w:eastAsia="宋体" w:cs="宋体"/>
                <w:color w:val="auto"/>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对API访问日志进行列表展示，展示内容包括源目的IP、源目的端口、源目的MAC、应用协议、日志级别、行为标签、HTTP访问行为、HTTP访问域名、URL、响应码、URL分类等超30种属性数据，支持自定义规则对目标日志进行精准筛选过滤</w:t>
            </w:r>
            <w:r>
              <w:rPr>
                <w:rFonts w:hint="eastAsia" w:ascii="宋体" w:hAnsi="宋体" w:eastAsia="宋体" w:cs="宋体"/>
                <w:color w:val="auto"/>
                <w:sz w:val="21"/>
                <w:szCs w:val="21"/>
                <w:lang w:eastAsia="zh-CN"/>
              </w:rPr>
              <w:t xml:space="preserve">。</w:t>
            </w:r>
            <w:r/>
          </w:p>
        </w:tc>
      </w:tr>
    </w:tbl>
    <w:p>
      <w:pP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p>
      <w:pPr>
        <w:numPr>
          <w:ilvl w:val="0"/>
          <w:numId w:val="0"/>
        </w:numPr>
        <w:jc w:val="left"/>
        <w:spacing w:line="360" w:lineRule="auto"/>
        <w:rPr>
          <w:rFonts w:hint="eastAsia" w:ascii="宋体" w:hAnsi="宋体" w:eastAsia="宋体" w:cs="宋体"/>
          <w:b/>
          <w:bCs/>
          <w:i w:val="0"/>
          <w:iCs w:val="0"/>
          <w:color w:val="auto"/>
          <w:szCs w:val="21"/>
          <w:u w:val="none"/>
          <w:lang w:val="en-US" w:eastAsia="zh-CN"/>
        </w:rPr>
      </w:pPr>
      <w:r>
        <w:rPr>
          <w:rFonts w:hint="eastAsia" w:ascii="宋体" w:hAnsi="宋体" w:eastAsia="宋体" w:cs="宋体"/>
          <w:b/>
          <w:bCs/>
          <w:i w:val="0"/>
          <w:iCs w:val="0"/>
          <w:color w:val="auto"/>
          <w:szCs w:val="21"/>
          <w:u w:val="none"/>
          <w:lang w:val="en-US" w:eastAsia="zh-CN"/>
        </w:rPr>
        <w:t xml:space="preserve">三、服务要求</w:t>
      </w:r>
      <w:r/>
    </w:p>
    <w:p>
      <w:pPr>
        <w:numPr>
          <w:ilvl w:val="0"/>
          <w:numId w:val="0"/>
        </w:numPr>
        <w:jc w:val="left"/>
        <w:spacing w:line="360" w:lineRule="auto"/>
        <w:rPr>
          <w:rFonts w:hint="eastAsia" w:ascii="宋体" w:hAnsi="宋体" w:eastAsia="宋体" w:cs="宋体"/>
          <w:b/>
          <w:bCs/>
          <w:i w:val="0"/>
          <w:iCs w:val="0"/>
          <w:color w:val="auto"/>
          <w:szCs w:val="21"/>
          <w:u w:val="none"/>
        </w:rPr>
      </w:pPr>
      <w:r>
        <w:rPr>
          <w:rFonts w:hint="eastAsia" w:ascii="宋体" w:hAnsi="宋体" w:eastAsia="宋体" w:cs="宋体"/>
          <w:b/>
          <w:bCs/>
          <w:i w:val="0"/>
          <w:iCs w:val="0"/>
          <w:color w:val="auto"/>
          <w:szCs w:val="21"/>
          <w:u w:val="none"/>
          <w:lang w:val="en-US" w:eastAsia="zh-CN"/>
        </w:rPr>
        <w:t xml:space="preserve">1、工期（服务期）</w:t>
      </w:r>
      <w:r>
        <w:rPr>
          <w:rFonts w:hint="eastAsia" w:ascii="宋体" w:hAnsi="宋体" w:eastAsia="宋体" w:cs="宋体"/>
          <w:b/>
          <w:bCs/>
          <w:i w:val="0"/>
          <w:iCs w:val="0"/>
          <w:color w:val="auto"/>
          <w:szCs w:val="21"/>
          <w:u w:val="none"/>
        </w:rPr>
        <w:t xml:space="preserve">计划</w:t>
      </w:r>
      <w:r/>
    </w:p>
    <w:p>
      <w:pPr>
        <w:pStyle w:val="726"/>
        <w:ind w:firstLine="420"/>
        <w:jc w:val="left"/>
        <w:spacing w:before="0" w:line="360" w:lineRule="auto"/>
        <w:tabs>
          <w:tab w:val="left" w:pos="567" w:leader="none"/>
        </w:tabs>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1.1</w:t>
      </w:r>
      <w:r>
        <w:rPr>
          <w:rFonts w:hint="eastAsia" w:ascii="宋体" w:hAnsi="宋体" w:eastAsia="宋体" w:cs="宋体"/>
          <w:i w:val="0"/>
          <w:iCs w:val="0"/>
          <w:color w:val="auto"/>
          <w:sz w:val="21"/>
          <w:szCs w:val="21"/>
          <w:u w:val="none"/>
          <w:lang w:val="en-US" w:eastAsia="zh-CN"/>
        </w:rPr>
        <w:t xml:space="preserve"> </w:t>
      </w:r>
      <w:r>
        <w:rPr>
          <w:rFonts w:hint="eastAsia" w:ascii="宋体" w:hAnsi="宋体" w:eastAsia="宋体" w:cs="宋体"/>
          <w:i w:val="0"/>
          <w:iCs w:val="0"/>
          <w:color w:val="auto"/>
          <w:sz w:val="21"/>
          <w:szCs w:val="21"/>
          <w:u w:val="none"/>
        </w:rPr>
        <w:t xml:space="preserve">交货时间：合同签订完成后30天之内到货。</w:t>
      </w:r>
      <w:r/>
    </w:p>
    <w:p>
      <w:pPr>
        <w:pStyle w:val="726"/>
        <w:ind w:firstLine="420"/>
        <w:jc w:val="left"/>
        <w:spacing w:before="0" w:line="360" w:lineRule="auto"/>
        <w:tabs>
          <w:tab w:val="left" w:pos="567" w:leader="none"/>
        </w:tabs>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1.2</w:t>
      </w:r>
      <w:r>
        <w:rPr>
          <w:rFonts w:hint="eastAsia" w:ascii="宋体" w:hAnsi="宋体" w:eastAsia="宋体" w:cs="宋体"/>
          <w:i w:val="0"/>
          <w:iCs w:val="0"/>
          <w:color w:val="auto"/>
          <w:sz w:val="21"/>
          <w:szCs w:val="21"/>
          <w:u w:val="none"/>
          <w:lang w:val="en-US" w:eastAsia="zh-CN"/>
        </w:rPr>
        <w:t xml:space="preserve"> </w:t>
      </w:r>
      <w:r>
        <w:rPr>
          <w:rFonts w:hint="eastAsia" w:ascii="宋体" w:hAnsi="宋体" w:eastAsia="宋体" w:cs="宋体"/>
          <w:i w:val="0"/>
          <w:iCs w:val="0"/>
          <w:color w:val="auto"/>
          <w:sz w:val="21"/>
          <w:szCs w:val="21"/>
          <w:u w:val="none"/>
        </w:rPr>
        <w:t xml:space="preserve">安装调试时间：合同签订完成后45天之内安装调试完成并且能正常运行。</w:t>
      </w:r>
      <w:r/>
    </w:p>
    <w:p>
      <w:pPr>
        <w:pStyle w:val="726"/>
        <w:ind w:firstLine="420"/>
        <w:jc w:val="left"/>
        <w:spacing w:before="0" w:line="360" w:lineRule="auto"/>
        <w:tabs>
          <w:tab w:val="left" w:pos="567" w:leader="none"/>
        </w:tabs>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1.3</w:t>
      </w:r>
      <w:r>
        <w:rPr>
          <w:rFonts w:hint="eastAsia" w:ascii="宋体" w:hAnsi="宋体" w:eastAsia="宋体" w:cs="宋体"/>
          <w:i w:val="0"/>
          <w:iCs w:val="0"/>
          <w:color w:val="auto"/>
          <w:sz w:val="21"/>
          <w:szCs w:val="21"/>
          <w:u w:val="none"/>
          <w:lang w:val="en-US" w:eastAsia="zh-CN"/>
        </w:rPr>
        <w:t xml:space="preserve"> </w:t>
      </w:r>
      <w:r>
        <w:rPr>
          <w:rFonts w:hint="eastAsia" w:ascii="宋体" w:hAnsi="宋体" w:eastAsia="宋体" w:cs="宋体"/>
          <w:i w:val="0"/>
          <w:iCs w:val="0"/>
          <w:color w:val="auto"/>
          <w:sz w:val="21"/>
          <w:szCs w:val="21"/>
          <w:u w:val="none"/>
        </w:rPr>
        <w:t xml:space="preserve">试运行时间：安装调试完成且能正常运行后进入为期60天试运行。</w:t>
      </w:r>
      <w:r/>
    </w:p>
    <w:p>
      <w:pPr>
        <w:pStyle w:val="726"/>
        <w:ind w:firstLine="420"/>
        <w:jc w:val="left"/>
        <w:spacing w:before="0" w:line="360" w:lineRule="auto"/>
        <w:tabs>
          <w:tab w:val="left" w:pos="567" w:leader="none"/>
        </w:tabs>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1.4</w:t>
      </w:r>
      <w:r>
        <w:rPr>
          <w:rFonts w:hint="eastAsia" w:ascii="宋体" w:hAnsi="宋体" w:eastAsia="宋体" w:cs="宋体"/>
          <w:i w:val="0"/>
          <w:iCs w:val="0"/>
          <w:color w:val="auto"/>
          <w:sz w:val="21"/>
          <w:szCs w:val="21"/>
          <w:u w:val="none"/>
          <w:lang w:val="en-US" w:eastAsia="zh-CN"/>
        </w:rPr>
        <w:t xml:space="preserve"> </w:t>
      </w:r>
      <w:r>
        <w:rPr>
          <w:rFonts w:hint="eastAsia" w:ascii="宋体" w:hAnsi="宋体" w:eastAsia="宋体" w:cs="宋体"/>
          <w:i w:val="0"/>
          <w:iCs w:val="0"/>
          <w:color w:val="auto"/>
          <w:sz w:val="21"/>
          <w:szCs w:val="21"/>
          <w:u w:val="none"/>
        </w:rPr>
        <w:t xml:space="preserve">项目验收审计：试运行合格后，经甲方同意后中标人可根据合同和招标文件按照相关文件的要求进行验收审计。</w:t>
      </w:r>
      <w:r/>
    </w:p>
    <w:p>
      <w:pPr>
        <w:numPr>
          <w:ilvl w:val="0"/>
          <w:numId w:val="0"/>
        </w:numPr>
        <w:jc w:val="left"/>
        <w:spacing w:line="360" w:lineRule="auto"/>
        <w:rPr>
          <w:rFonts w:ascii="宋体" w:hAnsi="宋体" w:cs="宋体"/>
          <w:b/>
          <w:bCs/>
          <w:i w:val="0"/>
          <w:iCs w:val="0"/>
          <w:color w:val="auto"/>
          <w:szCs w:val="21"/>
          <w:u w:val="none"/>
        </w:rPr>
      </w:pPr>
      <w:r>
        <w:rPr>
          <w:rFonts w:hint="eastAsia" w:ascii="宋体" w:hAnsi="宋体" w:cs="宋体"/>
          <w:b/>
          <w:bCs/>
          <w:i w:val="0"/>
          <w:iCs w:val="0"/>
          <w:color w:val="auto"/>
          <w:szCs w:val="21"/>
          <w:u w:val="none"/>
          <w:lang w:val="en-US" w:eastAsia="zh-CN"/>
        </w:rPr>
        <w:t xml:space="preserve">2、</w:t>
      </w:r>
      <w:r>
        <w:rPr>
          <w:rFonts w:hint="eastAsia" w:ascii="宋体" w:hAnsi="宋体" w:cs="宋体"/>
          <w:b/>
          <w:bCs/>
          <w:i w:val="0"/>
          <w:iCs w:val="0"/>
          <w:color w:val="auto"/>
          <w:szCs w:val="21"/>
          <w:u w:val="none"/>
        </w:rPr>
        <w:t xml:space="preserve">售后要求</w:t>
      </w:r>
      <w:r/>
    </w:p>
    <w:p>
      <w:pPr>
        <w:numPr>
          <w:ilvl w:val="0"/>
          <w:numId w:val="0"/>
        </w:numPr>
        <w:ind w:firstLine="420"/>
        <w:jc w:val="left"/>
        <w:spacing w:line="360" w:lineRule="auto"/>
        <w:rPr>
          <w:rFonts w:ascii="宋体" w:hAnsi="宋体" w:cs="宋体"/>
          <w:bCs/>
          <w:i w:val="0"/>
          <w:iCs w:val="0"/>
          <w:color w:val="auto"/>
          <w:szCs w:val="21"/>
          <w:u w:val="none"/>
        </w:rPr>
      </w:pPr>
      <w:r>
        <w:rPr>
          <w:rFonts w:hint="eastAsia" w:ascii="宋体" w:hAnsi="宋体" w:cs="宋体"/>
          <w:bCs/>
          <w:i w:val="0"/>
          <w:iCs w:val="0"/>
          <w:color w:val="auto"/>
          <w:szCs w:val="21"/>
          <w:u w:val="none"/>
          <w:lang w:val="en-US" w:eastAsia="zh-CN"/>
        </w:rPr>
        <w:t xml:space="preserve">2.1 </w:t>
      </w:r>
      <w:r>
        <w:rPr>
          <w:rFonts w:hint="eastAsia" w:ascii="宋体" w:hAnsi="宋体" w:cs="宋体"/>
          <w:bCs/>
          <w:i w:val="0"/>
          <w:iCs w:val="0"/>
          <w:color w:val="auto"/>
          <w:szCs w:val="21"/>
          <w:u w:val="none"/>
        </w:rPr>
        <w:t xml:space="preserve">投标人的服务承诺应按不低于招标文件中提出的服务要求的标准做出响应：</w:t>
      </w:r>
      <w:r/>
    </w:p>
    <w:p>
      <w:pPr>
        <w:numPr>
          <w:ilvl w:val="0"/>
          <w:numId w:val="0"/>
        </w:numPr>
        <w:ind w:firstLine="420"/>
        <w:jc w:val="left"/>
        <w:spacing w:line="360" w:lineRule="auto"/>
        <w:rPr>
          <w:rFonts w:ascii="宋体" w:hAnsi="宋体" w:cs="宋体"/>
          <w:bCs/>
          <w:i w:val="0"/>
          <w:iCs w:val="0"/>
          <w:color w:val="auto"/>
          <w:szCs w:val="21"/>
          <w:u w:val="none"/>
        </w:rPr>
      </w:pPr>
      <w:r>
        <w:rPr>
          <w:rFonts w:hint="eastAsia" w:ascii="宋体" w:hAnsi="宋体" w:cs="宋体"/>
          <w:bCs/>
          <w:i w:val="0"/>
          <w:iCs w:val="0"/>
          <w:color w:val="auto"/>
          <w:szCs w:val="21"/>
          <w:u w:val="none"/>
          <w:lang w:val="en-US" w:eastAsia="zh-CN"/>
        </w:rPr>
        <w:t xml:space="preserve">2.2 </w:t>
      </w:r>
      <w:r>
        <w:rPr>
          <w:rFonts w:hint="eastAsia" w:ascii="宋体" w:hAnsi="宋体" w:cs="宋体"/>
          <w:bCs/>
          <w:i w:val="0"/>
          <w:iCs w:val="0"/>
          <w:color w:val="auto"/>
          <w:szCs w:val="21"/>
          <w:u w:val="none"/>
        </w:rPr>
        <w:t xml:space="preserve">本项目质保期为三年</w:t>
      </w:r>
      <w:r>
        <w:rPr>
          <w:rFonts w:ascii="宋体" w:hAnsi="宋体" w:cs="宋体"/>
          <w:bCs/>
          <w:i w:val="0"/>
          <w:iCs w:val="0"/>
          <w:color w:val="auto"/>
          <w:szCs w:val="21"/>
          <w:u w:val="none"/>
        </w:rPr>
        <w:t xml:space="preserve">，</w:t>
      </w:r>
      <w:r>
        <w:rPr>
          <w:rFonts w:hint="eastAsia" w:ascii="宋体" w:hAnsi="宋体" w:cs="宋体"/>
          <w:bCs/>
          <w:i w:val="0"/>
          <w:iCs w:val="0"/>
          <w:color w:val="auto"/>
          <w:szCs w:val="21"/>
          <w:u w:val="none"/>
        </w:rPr>
        <w:t xml:space="preserve">自项目“</w:t>
      </w:r>
      <w:r>
        <w:rPr>
          <w:rFonts w:hint="eastAsia"/>
          <w:i w:val="0"/>
          <w:iCs w:val="0"/>
          <w:color w:val="auto"/>
          <w:u w:val="none"/>
        </w:rPr>
        <w:t xml:space="preserve">验收合格通过审计后</w:t>
      </w:r>
      <w:r>
        <w:rPr>
          <w:rFonts w:hint="eastAsia" w:ascii="宋体" w:hAnsi="宋体" w:cs="宋体"/>
          <w:bCs/>
          <w:i w:val="0"/>
          <w:iCs w:val="0"/>
          <w:color w:val="auto"/>
          <w:szCs w:val="21"/>
          <w:u w:val="none"/>
        </w:rPr>
        <w:t xml:space="preserve">”之日起</w:t>
      </w:r>
      <w:r>
        <w:rPr>
          <w:rFonts w:hint="eastAsia"/>
          <w:i w:val="0"/>
          <w:iCs w:val="0"/>
          <w:color w:val="auto"/>
          <w:u w:val="none"/>
        </w:rPr>
        <w:t xml:space="preserve">计算</w:t>
      </w:r>
      <w:r>
        <w:rPr>
          <w:rFonts w:hint="eastAsia" w:ascii="宋体" w:hAnsi="宋体" w:cs="宋体"/>
          <w:bCs/>
          <w:i w:val="0"/>
          <w:iCs w:val="0"/>
          <w:color w:val="auto"/>
          <w:szCs w:val="21"/>
          <w:u w:val="none"/>
        </w:rPr>
        <w:t xml:space="preserve">；</w:t>
      </w:r>
      <w:r>
        <w:rPr>
          <w:rFonts w:hint="eastAsia" w:ascii="宋体" w:hAnsi="宋体" w:cs="宋体"/>
          <w:bCs/>
          <w:i w:val="0"/>
          <w:iCs w:val="0"/>
          <w:color w:val="auto"/>
          <w:szCs w:val="21"/>
          <w:u w:val="none"/>
          <w:lang w:eastAsia="zh-CN"/>
        </w:rPr>
        <w:t xml:space="preserve">中标人</w:t>
      </w:r>
      <w:r>
        <w:rPr>
          <w:rFonts w:hint="eastAsia" w:ascii="宋体" w:hAnsi="宋体" w:cs="宋体"/>
          <w:bCs/>
          <w:i w:val="0"/>
          <w:iCs w:val="0"/>
          <w:color w:val="auto"/>
          <w:szCs w:val="21"/>
          <w:u w:val="none"/>
        </w:rPr>
        <w:t xml:space="preserve">在质保期内提供7×24小时电话或远程技术支持服务，保障应用系统及功能正常运行，免费负责系统的迭代升级及运行维护工作。</w:t>
      </w:r>
      <w:r/>
    </w:p>
    <w:p>
      <w:pPr>
        <w:numPr>
          <w:ilvl w:val="0"/>
          <w:numId w:val="0"/>
        </w:numPr>
        <w:jc w:val="left"/>
        <w:spacing w:line="360" w:lineRule="auto"/>
        <w:rPr>
          <w:rFonts w:ascii="宋体" w:hAnsi="宋体" w:cs="宋体"/>
          <w:bCs/>
          <w:i w:val="0"/>
          <w:iCs w:val="0"/>
          <w:color w:val="auto"/>
          <w:szCs w:val="21"/>
          <w:u w:val="none"/>
        </w:rPr>
      </w:pPr>
      <w:r>
        <w:rPr>
          <w:rFonts w:hint="eastAsia" w:ascii="宋体" w:hAnsi="宋体" w:cs="宋体"/>
          <w:bCs/>
          <w:i w:val="0"/>
          <w:iCs w:val="0"/>
          <w:color w:val="auto"/>
          <w:szCs w:val="21"/>
          <w:u w:val="none"/>
          <w:lang w:val="en-US" w:eastAsia="zh-CN"/>
        </w:rPr>
        <w:t xml:space="preserve">2.3 </w:t>
      </w:r>
      <w:r>
        <w:rPr>
          <w:rFonts w:hint="eastAsia" w:ascii="宋体" w:hAnsi="宋体" w:cs="宋体"/>
          <w:bCs/>
          <w:i w:val="0"/>
          <w:iCs w:val="0"/>
          <w:color w:val="auto"/>
          <w:szCs w:val="21"/>
          <w:u w:val="none"/>
        </w:rPr>
        <w:t xml:space="preserve">系统正式交付后负责免费对采购</w:t>
      </w:r>
      <w:r>
        <w:rPr>
          <w:rFonts w:hint="eastAsia" w:ascii="宋体" w:hAnsi="宋体" w:cs="宋体"/>
          <w:bCs/>
          <w:i w:val="0"/>
          <w:iCs w:val="0"/>
          <w:color w:val="auto"/>
          <w:szCs w:val="21"/>
          <w:u w:val="none"/>
          <w:lang w:eastAsia="zh-CN"/>
        </w:rPr>
        <w:t xml:space="preserve">单位的</w:t>
      </w:r>
      <w:r>
        <w:rPr>
          <w:rFonts w:hint="eastAsia" w:ascii="宋体" w:hAnsi="宋体" w:cs="宋体"/>
          <w:bCs/>
          <w:i w:val="0"/>
          <w:iCs w:val="0"/>
          <w:color w:val="auto"/>
          <w:szCs w:val="21"/>
          <w:u w:val="none"/>
        </w:rPr>
        <w:t xml:space="preserve">使用人员进行培训。</w:t>
      </w:r>
      <w:r/>
    </w:p>
    <w:p>
      <w:pPr>
        <w:numPr>
          <w:ilvl w:val="0"/>
          <w:numId w:val="0"/>
        </w:numPr>
        <w:jc w:val="left"/>
        <w:spacing w:line="360" w:lineRule="auto"/>
        <w:rPr>
          <w:rFonts w:ascii="宋体" w:hAnsi="宋体" w:cs="宋体"/>
          <w:b/>
          <w:bCs/>
          <w:i w:val="0"/>
          <w:iCs w:val="0"/>
          <w:color w:val="auto"/>
          <w:szCs w:val="21"/>
          <w:u w:val="none"/>
        </w:rPr>
      </w:pPr>
      <w:r>
        <w:rPr>
          <w:rFonts w:hint="eastAsia" w:ascii="宋体" w:hAnsi="宋体" w:cs="宋体"/>
          <w:b/>
          <w:bCs/>
          <w:i w:val="0"/>
          <w:iCs w:val="0"/>
          <w:color w:val="auto"/>
          <w:szCs w:val="21"/>
          <w:u w:val="none"/>
          <w:lang w:val="en-US" w:eastAsia="zh-CN"/>
        </w:rPr>
        <w:t xml:space="preserve">3、</w:t>
      </w:r>
      <w:r>
        <w:rPr>
          <w:rFonts w:hint="eastAsia" w:ascii="宋体" w:hAnsi="宋体" w:cs="宋体"/>
          <w:b/>
          <w:bCs/>
          <w:i w:val="0"/>
          <w:iCs w:val="0"/>
          <w:color w:val="auto"/>
          <w:szCs w:val="21"/>
          <w:u w:val="none"/>
        </w:rPr>
        <w:t xml:space="preserve">廉政及职业道德要求</w:t>
      </w:r>
      <w:r/>
    </w:p>
    <w:p>
      <w:pPr>
        <w:ind w:left="420"/>
        <w:jc w:val="left"/>
        <w:spacing w:line="360" w:lineRule="auto"/>
        <w:rPr>
          <w:rFonts w:ascii="宋体" w:hAnsi="宋体" w:cs="宋体"/>
          <w:bCs/>
          <w:i w:val="0"/>
          <w:iCs w:val="0"/>
          <w:color w:val="auto"/>
          <w:szCs w:val="21"/>
          <w:u w:val="none"/>
        </w:rPr>
      </w:pPr>
      <w:r>
        <w:rPr>
          <w:rFonts w:hint="eastAsia" w:ascii="宋体" w:hAnsi="宋体" w:cs="宋体"/>
          <w:bCs/>
          <w:i w:val="0"/>
          <w:iCs w:val="0"/>
          <w:color w:val="auto"/>
          <w:szCs w:val="21"/>
          <w:u w:val="none"/>
          <w:lang w:val="en-US" w:eastAsia="zh-CN"/>
        </w:rPr>
        <w:t xml:space="preserve">3</w:t>
      </w:r>
      <w:r>
        <w:rPr>
          <w:rFonts w:hint="eastAsia" w:ascii="宋体" w:hAnsi="宋体" w:cs="宋体"/>
          <w:bCs/>
          <w:i w:val="0"/>
          <w:iCs w:val="0"/>
          <w:color w:val="auto"/>
          <w:szCs w:val="21"/>
          <w:u w:val="none"/>
        </w:rPr>
        <w:t xml:space="preserve">.1</w:t>
      </w:r>
      <w:r>
        <w:rPr>
          <w:rFonts w:hint="eastAsia" w:ascii="宋体" w:hAnsi="宋体" w:cs="宋体"/>
          <w:bCs/>
          <w:i w:val="0"/>
          <w:iCs w:val="0"/>
          <w:color w:val="auto"/>
          <w:szCs w:val="21"/>
          <w:u w:val="none"/>
          <w:lang w:val="en-US" w:eastAsia="zh-CN"/>
        </w:rPr>
        <w:t xml:space="preserve"> </w:t>
      </w:r>
      <w:r>
        <w:rPr>
          <w:rFonts w:hint="eastAsia" w:ascii="宋体" w:hAnsi="宋体" w:cs="宋体"/>
          <w:bCs/>
          <w:i w:val="0"/>
          <w:iCs w:val="0"/>
          <w:color w:val="auto"/>
          <w:szCs w:val="21"/>
          <w:u w:val="none"/>
          <w:lang w:eastAsia="zh-CN"/>
        </w:rPr>
        <w:t xml:space="preserve">中标人</w:t>
      </w:r>
      <w:r>
        <w:rPr>
          <w:rFonts w:hint="eastAsia" w:ascii="宋体" w:hAnsi="宋体" w:cs="宋体"/>
          <w:bCs/>
          <w:i w:val="0"/>
          <w:iCs w:val="0"/>
          <w:color w:val="auto"/>
          <w:szCs w:val="21"/>
          <w:u w:val="none"/>
        </w:rPr>
        <w:t xml:space="preserve">应客观公正依法</w:t>
      </w:r>
      <w:r>
        <w:rPr>
          <w:rFonts w:hint="eastAsia" w:ascii="宋体" w:hAnsi="宋体" w:cs="宋体"/>
          <w:bCs/>
          <w:i w:val="0"/>
          <w:iCs w:val="0"/>
          <w:color w:val="auto"/>
          <w:szCs w:val="21"/>
          <w:u w:val="none"/>
          <w:lang w:eastAsia="zh-Hans"/>
        </w:rPr>
        <w:t xml:space="preserve">开展项目建设</w:t>
      </w:r>
      <w:r>
        <w:rPr>
          <w:rFonts w:hint="eastAsia" w:ascii="宋体" w:hAnsi="宋体" w:cs="宋体"/>
          <w:bCs/>
          <w:i w:val="0"/>
          <w:iCs w:val="0"/>
          <w:color w:val="auto"/>
          <w:szCs w:val="21"/>
          <w:u w:val="none"/>
        </w:rPr>
        <w:t xml:space="preserve">，遵守</w:t>
      </w:r>
      <w:r>
        <w:rPr>
          <w:rFonts w:hint="eastAsia" w:ascii="宋体" w:hAnsi="宋体" w:cs="宋体"/>
          <w:bCs/>
          <w:i w:val="0"/>
          <w:iCs w:val="0"/>
          <w:color w:val="auto"/>
          <w:szCs w:val="21"/>
          <w:u w:val="none"/>
          <w:lang w:eastAsia="zh-Hans"/>
        </w:rPr>
        <w:t xml:space="preserve">公安项目建设</w:t>
      </w:r>
      <w:r>
        <w:rPr>
          <w:rFonts w:hint="eastAsia" w:ascii="宋体" w:hAnsi="宋体" w:cs="宋体"/>
          <w:bCs/>
          <w:i w:val="0"/>
          <w:iCs w:val="0"/>
          <w:color w:val="auto"/>
          <w:szCs w:val="21"/>
          <w:u w:val="none"/>
        </w:rPr>
        <w:t xml:space="preserve">纪律和职业道德。</w:t>
      </w:r>
      <w:r/>
    </w:p>
    <w:p>
      <w:pPr>
        <w:ind w:firstLine="420"/>
        <w:jc w:val="left"/>
        <w:spacing w:line="360" w:lineRule="auto"/>
        <w:rPr>
          <w:rFonts w:ascii="宋体" w:hAnsi="宋体" w:cs="宋体"/>
          <w:bCs/>
          <w:i w:val="0"/>
          <w:iCs w:val="0"/>
          <w:color w:val="auto"/>
          <w:szCs w:val="21"/>
          <w:u w:val="none"/>
        </w:rPr>
      </w:pPr>
      <w:r>
        <w:rPr>
          <w:rFonts w:hint="eastAsia" w:ascii="宋体" w:hAnsi="宋体" w:cs="宋体"/>
          <w:bCs/>
          <w:i w:val="0"/>
          <w:iCs w:val="0"/>
          <w:color w:val="auto"/>
          <w:szCs w:val="21"/>
          <w:u w:val="none"/>
          <w:lang w:val="en-US" w:eastAsia="zh-CN"/>
        </w:rPr>
        <w:t xml:space="preserve">3</w:t>
      </w:r>
      <w:r>
        <w:rPr>
          <w:rFonts w:hint="eastAsia" w:ascii="宋体" w:hAnsi="宋体" w:cs="宋体"/>
          <w:bCs/>
          <w:i w:val="0"/>
          <w:iCs w:val="0"/>
          <w:color w:val="auto"/>
          <w:szCs w:val="21"/>
          <w:u w:val="none"/>
        </w:rPr>
        <w:t xml:space="preserve">.2</w:t>
      </w:r>
      <w:r>
        <w:rPr>
          <w:rFonts w:hint="eastAsia" w:ascii="宋体" w:hAnsi="宋体" w:cs="宋体"/>
          <w:bCs/>
          <w:i w:val="0"/>
          <w:iCs w:val="0"/>
          <w:color w:val="auto"/>
          <w:szCs w:val="21"/>
          <w:u w:val="none"/>
          <w:lang w:val="en-US" w:eastAsia="zh-CN"/>
        </w:rPr>
        <w:t xml:space="preserve"> </w:t>
      </w:r>
      <w:r>
        <w:rPr>
          <w:rFonts w:hint="eastAsia" w:ascii="宋体" w:hAnsi="宋体" w:cs="宋体"/>
          <w:bCs/>
          <w:i w:val="0"/>
          <w:iCs w:val="0"/>
          <w:color w:val="auto"/>
          <w:szCs w:val="21"/>
          <w:u w:val="none"/>
          <w:lang w:eastAsia="zh-CN"/>
        </w:rPr>
        <w:t xml:space="preserve">中标人</w:t>
      </w:r>
      <w:r>
        <w:rPr>
          <w:rFonts w:hint="eastAsia" w:ascii="宋体" w:hAnsi="宋体" w:cs="宋体"/>
          <w:bCs/>
          <w:i w:val="0"/>
          <w:iCs w:val="0"/>
          <w:color w:val="auto"/>
          <w:szCs w:val="21"/>
          <w:u w:val="none"/>
        </w:rPr>
        <w:t xml:space="preserve">不得以任何形式将建设任务转包给其他机构。与建设单位或者建设事项有利害关系的，应履行回避原则。</w:t>
      </w:r>
      <w:r/>
    </w:p>
    <w:p>
      <w:pPr>
        <w:ind w:left="420"/>
        <w:jc w:val="left"/>
        <w:spacing w:line="360" w:lineRule="auto"/>
        <w:rPr>
          <w:rFonts w:ascii="宋体" w:hAnsi="宋体" w:cs="宋体"/>
          <w:i w:val="0"/>
          <w:iCs w:val="0"/>
          <w:color w:val="auto"/>
          <w:szCs w:val="21"/>
          <w:u w:val="none"/>
        </w:rPr>
      </w:pPr>
      <w:r>
        <w:rPr>
          <w:rFonts w:hint="eastAsia" w:ascii="宋体" w:hAnsi="宋体" w:cs="宋体"/>
          <w:bCs/>
          <w:i w:val="0"/>
          <w:iCs w:val="0"/>
          <w:color w:val="auto"/>
          <w:szCs w:val="21"/>
          <w:u w:val="none"/>
          <w:lang w:val="en-US" w:eastAsia="zh-CN"/>
        </w:rPr>
        <w:t xml:space="preserve">3</w:t>
      </w:r>
      <w:r>
        <w:rPr>
          <w:rFonts w:hint="eastAsia" w:ascii="宋体" w:hAnsi="宋体" w:cs="宋体"/>
          <w:bCs/>
          <w:i w:val="0"/>
          <w:iCs w:val="0"/>
          <w:color w:val="auto"/>
          <w:szCs w:val="21"/>
          <w:u w:val="none"/>
        </w:rPr>
        <w:t xml:space="preserve">.3</w:t>
      </w:r>
      <w:r>
        <w:rPr>
          <w:rFonts w:hint="eastAsia" w:ascii="宋体" w:hAnsi="宋体" w:cs="宋体"/>
          <w:bCs/>
          <w:i w:val="0"/>
          <w:iCs w:val="0"/>
          <w:color w:val="auto"/>
          <w:szCs w:val="21"/>
          <w:u w:val="none"/>
          <w:lang w:eastAsia="zh-CN"/>
        </w:rPr>
        <w:t xml:space="preserve">中标人</w:t>
      </w:r>
      <w:r>
        <w:rPr>
          <w:rFonts w:hint="eastAsia" w:ascii="宋体" w:hAnsi="宋体" w:cs="宋体"/>
          <w:i w:val="0"/>
          <w:iCs w:val="0"/>
          <w:color w:val="auto"/>
          <w:szCs w:val="21"/>
          <w:u w:val="none"/>
        </w:rPr>
        <w:t xml:space="preserve">在执行</w:t>
      </w:r>
      <w:r>
        <w:rPr>
          <w:rFonts w:hint="eastAsia" w:ascii="宋体" w:hAnsi="宋体" w:cs="宋体"/>
          <w:i w:val="0"/>
          <w:iCs w:val="0"/>
          <w:color w:val="auto"/>
          <w:szCs w:val="21"/>
          <w:u w:val="none"/>
          <w:lang w:eastAsia="zh-CN"/>
        </w:rPr>
        <w:t xml:space="preserve">采购人</w:t>
      </w:r>
      <w:r>
        <w:rPr>
          <w:rFonts w:hint="eastAsia" w:ascii="宋体" w:hAnsi="宋体" w:cs="宋体"/>
          <w:i w:val="0"/>
          <w:iCs w:val="0"/>
          <w:color w:val="auto"/>
          <w:szCs w:val="21"/>
          <w:u w:val="none"/>
        </w:rPr>
        <w:t xml:space="preserve">项目建设业务时，不得有下列行为：</w:t>
      </w:r>
      <w:r/>
    </w:p>
    <w:p>
      <w:pPr>
        <w:ind w:firstLine="420"/>
        <w:jc w:val="left"/>
        <w:spacing w:line="360" w:lineRule="auto"/>
        <w:rPr>
          <w:rFonts w:ascii="宋体" w:hAnsi="宋体" w:cs="宋体"/>
          <w:i w:val="0"/>
          <w:iCs w:val="0"/>
          <w:color w:val="auto"/>
          <w:szCs w:val="21"/>
          <w:u w:val="none"/>
        </w:rPr>
      </w:pPr>
      <w:r>
        <w:rPr>
          <w:rFonts w:hint="eastAsia" w:ascii="宋体" w:hAnsi="宋体" w:cs="宋体"/>
          <w:i w:val="0"/>
          <w:iCs w:val="0"/>
          <w:color w:val="auto"/>
          <w:szCs w:val="21"/>
          <w:u w:val="none"/>
        </w:rPr>
        <w:t xml:space="preserve">①索取、收受委托合同约定以外的酬金或者其他财物，或者利用执行业务之便，谋取其他不正当的利益。</w:t>
      </w:r>
      <w:r/>
    </w:p>
    <w:p>
      <w:pPr>
        <w:ind w:firstLine="420"/>
        <w:jc w:val="left"/>
        <w:spacing w:line="360" w:lineRule="auto"/>
        <w:rPr>
          <w:rFonts w:ascii="宋体" w:hAnsi="宋体" w:cs="宋体"/>
          <w:i w:val="0"/>
          <w:iCs w:val="0"/>
          <w:color w:val="auto"/>
          <w:szCs w:val="21"/>
          <w:u w:val="none"/>
        </w:rPr>
      </w:pPr>
      <w:r>
        <w:rPr>
          <w:rFonts w:hint="eastAsia" w:ascii="宋体" w:hAnsi="宋体" w:cs="宋体"/>
          <w:i w:val="0"/>
          <w:iCs w:val="0"/>
          <w:color w:val="auto"/>
          <w:szCs w:val="21"/>
          <w:u w:val="none"/>
        </w:rPr>
        <w:t xml:space="preserve">②允许他人以</w:t>
      </w:r>
      <w:r>
        <w:rPr>
          <w:rFonts w:hint="eastAsia" w:ascii="宋体" w:hAnsi="宋体" w:cs="宋体"/>
          <w:i w:val="0"/>
          <w:iCs w:val="0"/>
          <w:color w:val="auto"/>
          <w:szCs w:val="21"/>
          <w:u w:val="none"/>
          <w:lang w:eastAsia="zh-CN"/>
        </w:rPr>
        <w:t xml:space="preserve">中标人</w:t>
      </w:r>
      <w:r>
        <w:rPr>
          <w:rFonts w:hint="eastAsia" w:ascii="宋体" w:hAnsi="宋体" w:cs="宋体"/>
          <w:i w:val="0"/>
          <w:iCs w:val="0"/>
          <w:color w:val="auto"/>
          <w:szCs w:val="21"/>
          <w:u w:val="none"/>
        </w:rPr>
        <w:t xml:space="preserve">名义执行业务。</w:t>
      </w:r>
      <w:r/>
    </w:p>
    <w:p>
      <w:pPr>
        <w:ind w:firstLine="420"/>
        <w:jc w:val="left"/>
        <w:spacing w:line="360" w:lineRule="auto"/>
        <w:rPr>
          <w:rFonts w:ascii="宋体" w:hAnsi="宋体" w:cs="宋体"/>
          <w:i w:val="0"/>
          <w:iCs w:val="0"/>
          <w:color w:val="auto"/>
          <w:szCs w:val="21"/>
          <w:u w:val="none"/>
        </w:rPr>
      </w:pPr>
      <w:r>
        <w:rPr>
          <w:rFonts w:hint="eastAsia" w:ascii="宋体" w:hAnsi="宋体" w:cs="宋体"/>
          <w:i w:val="0"/>
          <w:iCs w:val="0"/>
          <w:color w:val="auto"/>
          <w:szCs w:val="21"/>
          <w:u w:val="none"/>
        </w:rPr>
        <w:t xml:space="preserve">③违反法律、行政法规的其他行为。</w:t>
      </w:r>
      <w:r/>
    </w:p>
    <w:p>
      <w:pPr>
        <w:numPr>
          <w:ilvl w:val="0"/>
          <w:numId w:val="0"/>
        </w:numPr>
        <w:jc w:val="left"/>
        <w:spacing w:line="360" w:lineRule="auto"/>
        <w:rPr>
          <w:rFonts w:ascii="宋体" w:hAnsi="宋体" w:cs="宋体"/>
          <w:b/>
          <w:bCs/>
          <w:i w:val="0"/>
          <w:iCs w:val="0"/>
          <w:color w:val="auto"/>
          <w:szCs w:val="21"/>
          <w:u w:val="none"/>
        </w:rPr>
      </w:pPr>
      <w:r>
        <w:rPr>
          <w:rFonts w:hint="eastAsia" w:ascii="宋体" w:hAnsi="宋体" w:cs="宋体"/>
          <w:b/>
          <w:bCs/>
          <w:i w:val="0"/>
          <w:iCs w:val="0"/>
          <w:color w:val="auto"/>
          <w:szCs w:val="21"/>
          <w:u w:val="none"/>
          <w:lang w:val="en-US" w:eastAsia="zh-CN"/>
        </w:rPr>
        <w:t xml:space="preserve">4、</w:t>
      </w:r>
      <w:r>
        <w:rPr>
          <w:rFonts w:hint="eastAsia" w:ascii="宋体" w:hAnsi="宋体" w:cs="宋体"/>
          <w:b/>
          <w:bCs/>
          <w:i w:val="0"/>
          <w:iCs w:val="0"/>
          <w:color w:val="auto"/>
          <w:szCs w:val="21"/>
          <w:u w:val="none"/>
        </w:rPr>
        <w:t xml:space="preserve">保密及工作纪律要求</w:t>
      </w:r>
      <w:r/>
    </w:p>
    <w:p>
      <w:pPr>
        <w:ind w:firstLine="420"/>
        <w:jc w:val="left"/>
        <w:spacing w:line="360" w:lineRule="auto"/>
        <w:rPr>
          <w:rFonts w:ascii="宋体" w:hAnsi="宋体" w:cs="宋体"/>
          <w:i w:val="0"/>
          <w:iCs w:val="0"/>
          <w:color w:val="auto"/>
          <w:szCs w:val="21"/>
          <w:u w:val="none"/>
        </w:rPr>
      </w:pPr>
      <w:r>
        <w:rPr>
          <w:rFonts w:hint="eastAsia" w:ascii="宋体" w:hAnsi="宋体" w:cs="宋体"/>
          <w:i w:val="0"/>
          <w:iCs w:val="0"/>
          <w:color w:val="auto"/>
          <w:szCs w:val="21"/>
          <w:u w:val="none"/>
          <w:lang w:val="en-US" w:eastAsia="zh-CN"/>
        </w:rPr>
        <w:t xml:space="preserve">4</w:t>
      </w:r>
      <w:r>
        <w:rPr>
          <w:rFonts w:hint="eastAsia" w:ascii="宋体" w:hAnsi="宋体" w:cs="宋体"/>
          <w:i w:val="0"/>
          <w:iCs w:val="0"/>
          <w:color w:val="auto"/>
          <w:szCs w:val="21"/>
          <w:u w:val="none"/>
        </w:rPr>
        <w:t xml:space="preserve">.1</w:t>
      </w:r>
      <w:r>
        <w:rPr>
          <w:rFonts w:hint="eastAsia" w:ascii="宋体" w:hAnsi="宋体" w:cs="宋体"/>
          <w:i w:val="0"/>
          <w:iCs w:val="0"/>
          <w:color w:val="auto"/>
          <w:szCs w:val="21"/>
          <w:u w:val="none"/>
          <w:lang w:eastAsia="zh-CN"/>
        </w:rPr>
        <w:t xml:space="preserve">中标人</w:t>
      </w:r>
      <w:r>
        <w:rPr>
          <w:rFonts w:hint="eastAsia" w:ascii="宋体" w:hAnsi="宋体" w:cs="宋体"/>
          <w:i w:val="0"/>
          <w:iCs w:val="0"/>
          <w:color w:val="auto"/>
          <w:szCs w:val="21"/>
          <w:u w:val="none"/>
        </w:rPr>
        <w:t xml:space="preserve">须同</w:t>
      </w:r>
      <w:r>
        <w:rPr>
          <w:rFonts w:hint="eastAsia" w:ascii="宋体" w:hAnsi="宋体" w:cs="宋体"/>
          <w:i w:val="0"/>
          <w:iCs w:val="0"/>
          <w:color w:val="auto"/>
          <w:szCs w:val="21"/>
          <w:u w:val="none"/>
          <w:lang w:eastAsia="zh-CN"/>
        </w:rPr>
        <w:t xml:space="preserve">采购人</w:t>
      </w:r>
      <w:r>
        <w:rPr>
          <w:rFonts w:hint="eastAsia" w:ascii="宋体" w:hAnsi="宋体" w:cs="宋体"/>
          <w:i w:val="0"/>
          <w:iCs w:val="0"/>
          <w:color w:val="auto"/>
          <w:szCs w:val="21"/>
          <w:u w:val="none"/>
        </w:rPr>
        <w:t xml:space="preserve">签署保密协议，签订保密承诺书。</w:t>
      </w:r>
      <w:r>
        <w:rPr>
          <w:rFonts w:hint="eastAsia" w:ascii="宋体" w:hAnsi="宋体" w:cs="宋体"/>
          <w:i w:val="0"/>
          <w:iCs w:val="0"/>
          <w:color w:val="auto"/>
          <w:szCs w:val="21"/>
          <w:u w:val="none"/>
          <w:lang w:eastAsia="zh-CN"/>
        </w:rPr>
        <w:t xml:space="preserve">中标人</w:t>
      </w:r>
      <w:r>
        <w:rPr>
          <w:rFonts w:hint="eastAsia" w:ascii="宋体" w:hAnsi="宋体" w:cs="宋体"/>
          <w:i w:val="0"/>
          <w:iCs w:val="0"/>
          <w:color w:val="auto"/>
          <w:szCs w:val="21"/>
          <w:u w:val="none"/>
        </w:rPr>
        <w:t xml:space="preserve">参与人员不得以任何形式向任何单位或个人披露</w:t>
      </w:r>
      <w:r>
        <w:rPr>
          <w:rFonts w:hint="eastAsia" w:ascii="宋体" w:hAnsi="宋体" w:cs="宋体"/>
          <w:i w:val="0"/>
          <w:iCs w:val="0"/>
          <w:color w:val="auto"/>
          <w:szCs w:val="21"/>
          <w:u w:val="none"/>
          <w:lang w:eastAsia="zh-Hans"/>
        </w:rPr>
        <w:t xml:space="preserve">项目</w:t>
      </w:r>
      <w:r>
        <w:rPr>
          <w:rFonts w:hint="eastAsia" w:ascii="宋体" w:hAnsi="宋体" w:cs="宋体"/>
          <w:i w:val="0"/>
          <w:iCs w:val="0"/>
          <w:color w:val="auto"/>
          <w:szCs w:val="21"/>
          <w:u w:val="none"/>
        </w:rPr>
        <w:t xml:space="preserve">的有关信息，对执业过程中知悉的国家秘密和</w:t>
      </w:r>
      <w:r>
        <w:rPr>
          <w:rFonts w:hint="eastAsia" w:ascii="宋体" w:hAnsi="宋体" w:cs="宋体"/>
          <w:i w:val="0"/>
          <w:iCs w:val="0"/>
          <w:color w:val="auto"/>
          <w:szCs w:val="21"/>
          <w:u w:val="none"/>
          <w:lang w:eastAsia="zh-CN"/>
        </w:rPr>
        <w:t xml:space="preserve">采购人</w:t>
      </w:r>
      <w:r>
        <w:rPr>
          <w:rFonts w:hint="eastAsia" w:ascii="宋体" w:hAnsi="宋体" w:cs="宋体"/>
          <w:i w:val="0"/>
          <w:iCs w:val="0"/>
          <w:color w:val="auto"/>
          <w:szCs w:val="21"/>
          <w:u w:val="none"/>
        </w:rPr>
        <w:t xml:space="preserve">工作秘密严加保密。</w:t>
      </w:r>
      <w:r/>
    </w:p>
    <w:p>
      <w:pPr>
        <w:ind w:firstLine="420"/>
        <w:jc w:val="left"/>
        <w:spacing w:line="360" w:lineRule="auto"/>
        <w:rPr>
          <w:rFonts w:hint="eastAsia" w:ascii="宋体" w:hAnsi="宋体" w:eastAsia="宋体" w:cs="宋体"/>
          <w:i w:val="0"/>
          <w:iCs w:val="0"/>
          <w:color w:val="auto"/>
          <w:szCs w:val="21"/>
          <w:u w:val="none"/>
        </w:rPr>
      </w:pPr>
      <w:r>
        <w:rPr>
          <w:rFonts w:hint="eastAsia" w:ascii="宋体" w:hAnsi="宋体" w:cs="宋体"/>
          <w:i w:val="0"/>
          <w:iCs w:val="0"/>
          <w:color w:val="auto"/>
          <w:szCs w:val="21"/>
          <w:u w:val="none"/>
          <w:lang w:val="en-US" w:eastAsia="zh-CN"/>
        </w:rPr>
        <w:t xml:space="preserve">4</w:t>
      </w:r>
      <w:r>
        <w:rPr>
          <w:rFonts w:hint="eastAsia" w:ascii="宋体" w:hAnsi="宋体" w:cs="宋体"/>
          <w:i w:val="0"/>
          <w:iCs w:val="0"/>
          <w:color w:val="auto"/>
          <w:szCs w:val="21"/>
          <w:u w:val="none"/>
        </w:rPr>
        <w:t xml:space="preserve">.2</w:t>
      </w:r>
      <w:r>
        <w:rPr>
          <w:rFonts w:hint="eastAsia" w:ascii="宋体" w:hAnsi="宋体" w:cs="宋体"/>
          <w:i w:val="0"/>
          <w:iCs w:val="0"/>
          <w:color w:val="auto"/>
          <w:szCs w:val="21"/>
          <w:u w:val="none"/>
          <w:lang w:eastAsia="zh-CN"/>
        </w:rPr>
        <w:t xml:space="preserve">中标人</w:t>
      </w:r>
      <w:r>
        <w:rPr>
          <w:rFonts w:hint="eastAsia" w:ascii="宋体" w:hAnsi="宋体" w:cs="宋体"/>
          <w:i w:val="0"/>
          <w:iCs w:val="0"/>
          <w:color w:val="auto"/>
          <w:szCs w:val="21"/>
          <w:u w:val="none"/>
        </w:rPr>
        <w:t xml:space="preserve">应按照约定时间完成项目建设任务。</w:t>
      </w:r>
      <w:r>
        <w:rPr>
          <w:rFonts w:hint="eastAsia" w:ascii="宋体" w:hAnsi="宋体" w:cs="宋体"/>
          <w:i w:val="0"/>
          <w:iCs w:val="0"/>
          <w:color w:val="auto"/>
          <w:szCs w:val="21"/>
          <w:u w:val="none"/>
          <w:lang w:eastAsia="zh-CN"/>
        </w:rPr>
        <w:t xml:space="preserve">中标人的</w:t>
      </w:r>
      <w:r>
        <w:rPr>
          <w:rFonts w:hint="eastAsia" w:ascii="宋体" w:hAnsi="宋体" w:cs="宋体"/>
          <w:i w:val="0"/>
          <w:iCs w:val="0"/>
          <w:color w:val="auto"/>
          <w:szCs w:val="21"/>
          <w:u w:val="none"/>
        </w:rPr>
        <w:t xml:space="preserve">人员在项目过程中遇到重大问</w:t>
      </w:r>
      <w:r>
        <w:rPr>
          <w:rFonts w:hint="eastAsia" w:ascii="宋体" w:hAnsi="宋体" w:eastAsia="宋体" w:cs="宋体"/>
          <w:i w:val="0"/>
          <w:iCs w:val="0"/>
          <w:color w:val="auto"/>
          <w:szCs w:val="21"/>
          <w:u w:val="none"/>
        </w:rPr>
        <w:t xml:space="preserve">题须及时向</w:t>
      </w:r>
      <w:r>
        <w:rPr>
          <w:rFonts w:hint="eastAsia" w:ascii="宋体" w:hAnsi="宋体" w:eastAsia="宋体" w:cs="宋体"/>
          <w:i w:val="0"/>
          <w:iCs w:val="0"/>
          <w:color w:val="auto"/>
          <w:szCs w:val="21"/>
          <w:u w:val="none"/>
          <w:lang w:eastAsia="zh-CN"/>
        </w:rPr>
        <w:t xml:space="preserve">采购人</w:t>
      </w:r>
      <w:r>
        <w:rPr>
          <w:rFonts w:hint="eastAsia" w:ascii="宋体" w:hAnsi="宋体" w:eastAsia="宋体" w:cs="宋体"/>
          <w:i w:val="0"/>
          <w:iCs w:val="0"/>
          <w:color w:val="auto"/>
          <w:szCs w:val="21"/>
          <w:u w:val="none"/>
        </w:rPr>
        <w:t xml:space="preserve">报告。</w:t>
      </w:r>
      <w:r>
        <w:rPr>
          <w:rFonts w:hint="eastAsia" w:ascii="宋体" w:hAnsi="宋体" w:eastAsia="宋体" w:cs="宋体"/>
          <w:i w:val="0"/>
          <w:iCs w:val="0"/>
          <w:color w:val="auto"/>
          <w:szCs w:val="21"/>
          <w:u w:val="none"/>
          <w:lang w:eastAsia="zh-CN"/>
        </w:rPr>
        <w:t xml:space="preserve">采购人</w:t>
      </w:r>
      <w:r>
        <w:rPr>
          <w:rFonts w:hint="eastAsia" w:ascii="宋体" w:hAnsi="宋体" w:eastAsia="宋体" w:cs="宋体"/>
          <w:i w:val="0"/>
          <w:iCs w:val="0"/>
          <w:color w:val="auto"/>
          <w:szCs w:val="21"/>
          <w:u w:val="none"/>
        </w:rPr>
        <w:t xml:space="preserve">对重要事项审查和复核过程中如遇疑问，</w:t>
      </w:r>
      <w:r>
        <w:rPr>
          <w:rFonts w:hint="eastAsia" w:ascii="宋体" w:hAnsi="宋体" w:eastAsia="宋体" w:cs="宋体"/>
          <w:i w:val="0"/>
          <w:iCs w:val="0"/>
          <w:color w:val="auto"/>
          <w:szCs w:val="21"/>
          <w:u w:val="none"/>
          <w:lang w:eastAsia="zh-CN"/>
        </w:rPr>
        <w:t xml:space="preserve">中标人</w:t>
      </w:r>
      <w:r>
        <w:rPr>
          <w:rFonts w:hint="eastAsia" w:ascii="宋体" w:hAnsi="宋体" w:eastAsia="宋体" w:cs="宋体"/>
          <w:i w:val="0"/>
          <w:iCs w:val="0"/>
          <w:color w:val="auto"/>
          <w:szCs w:val="21"/>
          <w:u w:val="none"/>
        </w:rPr>
        <w:t xml:space="preserve">派遣人员应履行解释说明义务。因严重过失或故意提供不实、内容虚假结果的，应承担相应法律责任，</w:t>
      </w:r>
      <w:r>
        <w:rPr>
          <w:rFonts w:hint="eastAsia" w:ascii="宋体" w:hAnsi="宋体" w:eastAsia="宋体" w:cs="宋体"/>
          <w:i w:val="0"/>
          <w:iCs w:val="0"/>
          <w:color w:val="auto"/>
          <w:szCs w:val="21"/>
          <w:u w:val="none"/>
          <w:lang w:eastAsia="zh-CN"/>
        </w:rPr>
        <w:t xml:space="preserve">采购人</w:t>
      </w:r>
      <w:r>
        <w:rPr>
          <w:rFonts w:hint="eastAsia" w:ascii="宋体" w:hAnsi="宋体" w:eastAsia="宋体" w:cs="宋体"/>
          <w:i w:val="0"/>
          <w:iCs w:val="0"/>
          <w:color w:val="auto"/>
          <w:szCs w:val="21"/>
          <w:u w:val="none"/>
        </w:rPr>
        <w:t xml:space="preserve">将保留向其追究相应法律责任的权力。</w:t>
      </w:r>
      <w:r/>
    </w:p>
    <w:p>
      <w:pPr>
        <w:numPr>
          <w:ilvl w:val="0"/>
          <w:numId w:val="0"/>
        </w:numPr>
        <w:jc w:val="left"/>
        <w:spacing w:line="360" w:lineRule="auto"/>
        <w:rPr>
          <w:rFonts w:hint="eastAsia" w:ascii="宋体" w:hAnsi="宋体" w:eastAsia="宋体" w:cs="宋体"/>
          <w:b/>
          <w:bCs/>
          <w:i w:val="0"/>
          <w:iCs w:val="0"/>
          <w:color w:val="auto"/>
          <w:szCs w:val="21"/>
          <w:u w:val="none"/>
          <w:lang w:val="en-US" w:eastAsia="zh-CN"/>
        </w:rPr>
      </w:pPr>
      <w:r>
        <w:rPr>
          <w:rFonts w:hint="eastAsia" w:ascii="宋体" w:hAnsi="宋体" w:eastAsia="宋体" w:cs="宋体"/>
          <w:b/>
          <w:bCs/>
          <w:i w:val="0"/>
          <w:iCs w:val="0"/>
          <w:color w:val="auto"/>
          <w:szCs w:val="21"/>
          <w:u w:val="none"/>
          <w:lang w:val="en-US" w:eastAsia="zh-CN"/>
        </w:rPr>
        <w:t xml:space="preserve">5、其他要求</w:t>
      </w:r>
      <w:r/>
    </w:p>
    <w:p>
      <w:pPr>
        <w:ind w:firstLine="420"/>
        <w:jc w:val="left"/>
        <w:spacing w:line="360" w:lineRule="auto"/>
        <w:rPr>
          <w:rFonts w:hint="eastAsia" w:ascii="宋体" w:hAnsi="宋体" w:eastAsia="宋体" w:cs="宋体"/>
          <w:i w:val="0"/>
          <w:iCs w:val="0"/>
          <w:color w:val="auto"/>
          <w:szCs w:val="21"/>
          <w:u w:val="none"/>
        </w:rPr>
      </w:pPr>
      <w:r>
        <w:rPr>
          <w:rFonts w:hint="eastAsia" w:ascii="宋体" w:hAnsi="宋体" w:eastAsia="宋体" w:cs="宋体"/>
          <w:i w:val="0"/>
          <w:iCs w:val="0"/>
          <w:color w:val="auto"/>
          <w:szCs w:val="21"/>
          <w:u w:val="none"/>
          <w:lang w:val="en-US" w:eastAsia="zh-CN"/>
        </w:rPr>
        <w:t xml:space="preserve">5.1</w:t>
      </w:r>
      <w:r>
        <w:rPr>
          <w:rFonts w:hint="eastAsia" w:ascii="宋体" w:hAnsi="宋体" w:eastAsia="宋体" w:cs="宋体"/>
          <w:i w:val="0"/>
          <w:iCs w:val="0"/>
          <w:color w:val="auto"/>
          <w:szCs w:val="21"/>
          <w:u w:val="none"/>
        </w:rPr>
        <w:t xml:space="preserve">本次招标全部内容为“交钥匙”工程，一切费用均包含在报价内，请各投标人认真考虑其各种风险。除合同另有规定之外，伴随服务的费用均已含在合同价款中，采购人不再另行支付。</w:t>
      </w:r>
      <w:r/>
    </w:p>
    <w:p>
      <w:pPr>
        <w:ind w:firstLine="420"/>
        <w:jc w:val="left"/>
        <w:spacing w:line="360" w:lineRule="auto"/>
        <w:rPr>
          <w:rFonts w:hint="eastAsia" w:ascii="宋体" w:hAnsi="宋体" w:eastAsia="宋体" w:cs="宋体"/>
          <w:i w:val="0"/>
          <w:iCs w:val="0"/>
          <w:color w:val="auto"/>
          <w:szCs w:val="21"/>
          <w:u w:val="none"/>
        </w:rPr>
      </w:pPr>
      <w:r>
        <w:rPr>
          <w:rFonts w:hint="eastAsia" w:ascii="宋体" w:hAnsi="宋体" w:eastAsia="宋体" w:cs="宋体"/>
          <w:i w:val="0"/>
          <w:iCs w:val="0"/>
          <w:color w:val="auto"/>
          <w:szCs w:val="21"/>
          <w:u w:val="none"/>
          <w:lang w:val="en-US" w:eastAsia="zh-CN"/>
        </w:rPr>
        <w:t xml:space="preserve">5.2</w:t>
      </w:r>
      <w:r>
        <w:rPr>
          <w:rFonts w:hint="eastAsia" w:ascii="宋体" w:hAnsi="宋体" w:eastAsia="宋体" w:cs="宋体"/>
          <w:i w:val="0"/>
          <w:iCs w:val="0"/>
          <w:color w:val="auto"/>
          <w:szCs w:val="21"/>
          <w:u w:val="none"/>
        </w:rPr>
        <w:t xml:space="preserve">安装要求：安装队伍必须加强管理，遵守现场的一切规章制度，文明安装，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ind w:firstLine="420"/>
        <w:jc w:val="left"/>
        <w:spacing w:line="360" w:lineRule="auto"/>
        <w:rPr>
          <w:rFonts w:hint="eastAsia" w:ascii="宋体" w:hAnsi="宋体" w:eastAsia="宋体" w:cs="宋体"/>
          <w:i w:val="0"/>
          <w:iCs w:val="0"/>
          <w:color w:val="auto"/>
          <w:szCs w:val="21"/>
          <w:u w:val="none"/>
        </w:rPr>
      </w:pPr>
      <w:r>
        <w:rPr>
          <w:rFonts w:hint="eastAsia" w:ascii="宋体" w:hAnsi="宋体" w:eastAsia="宋体" w:cs="宋体"/>
          <w:i w:val="0"/>
          <w:iCs w:val="0"/>
          <w:color w:val="auto"/>
          <w:szCs w:val="21"/>
          <w:u w:val="none"/>
          <w:lang w:val="en-US" w:eastAsia="zh-CN"/>
        </w:rPr>
        <w:t xml:space="preserve">5.3</w:t>
      </w:r>
      <w:r>
        <w:rPr>
          <w:rFonts w:hint="eastAsia" w:ascii="宋体" w:hAnsi="宋体" w:eastAsia="宋体" w:cs="宋体"/>
          <w:i w:val="0"/>
          <w:iCs w:val="0"/>
          <w:color w:val="auto"/>
          <w:szCs w:val="21"/>
          <w:u w:val="none"/>
        </w:rPr>
        <w:t xml:space="preserve">货物由供应商运至采购人指定地点，验收交货前存放及保管概由供应商负责。</w:t>
      </w:r>
      <w:r/>
    </w:p>
    <w:p>
      <w:pPr>
        <w:ind w:firstLine="420"/>
        <w:jc w:val="left"/>
        <w:spacing w:line="360" w:lineRule="auto"/>
        <w:rPr>
          <w:rFonts w:hint="eastAsia" w:ascii="宋体" w:hAnsi="宋体" w:eastAsia="宋体" w:cs="宋体"/>
          <w:i w:val="0"/>
          <w:iCs w:val="0"/>
          <w:color w:val="auto"/>
          <w:szCs w:val="21"/>
          <w:u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val="0"/>
          <w:iCs w:val="0"/>
          <w:color w:val="auto"/>
          <w:szCs w:val="21"/>
          <w:u w:val="none"/>
          <w:lang w:val="en-US" w:eastAsia="zh-CN"/>
        </w:rPr>
        <w:t xml:space="preserve">5.4</w:t>
      </w:r>
      <w:r>
        <w:rPr>
          <w:rFonts w:hint="eastAsia" w:ascii="宋体" w:hAnsi="宋体" w:eastAsia="宋体" w:cs="宋体"/>
          <w:i w:val="0"/>
          <w:iCs w:val="0"/>
          <w:color w:val="auto"/>
          <w:szCs w:val="21"/>
          <w:u w:val="none"/>
        </w:rPr>
        <w:t xml:space="preserve">设备材料的包装均应有良好的防湿、防锈、防潮、防雨、防腐及防碰撞的措施。凡由于包装不良造成的损失和由此产生的费用均由投标人承担。</w:t>
      </w:r>
      <w:r/>
    </w:p>
    <w:p>
      <w:pPr>
        <w:pStyle w:val="727"/>
        <w:ind w:left="0" w:firstLine="420"/>
        <w:pageBreakBefore w:val="0"/>
        <w:spacing w:after="0" w:line="360" w:lineRule="auto"/>
        <w:rPr>
          <w:rFonts w:hint="eastAsia" w:ascii="Times New Roman" w:hAnsi="Times New Roman" w:eastAsia="宋体" w:cs="宋体"/>
          <w:color w:val="0000ff"/>
          <w:szCs w:val="21"/>
          <w:highlight w:val="none"/>
        </w:rPr>
      </w:pPr>
      <w:r/>
      <w:bookmarkStart w:id="60" w:name="_Toc55204181"/>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四、节能产品要求</w:t>
      </w:r>
      <w:r/>
    </w:p>
    <w:p>
      <w:pPr>
        <w:ind w:firstLine="420"/>
        <w:jc w:val="left"/>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本项目涉及强制采购范围内产品有：无）</w:t>
      </w:r>
      <w:r/>
    </w:p>
    <w:p>
      <w:pPr>
        <w:pStyle w:val="710"/>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710"/>
        <w:jc w:val="center"/>
        <w:pageBreakBefore w:val="0"/>
        <w:spacing w:before="0" w:after="0" w:line="360" w:lineRule="auto"/>
        <w:rPr>
          <w:rFonts w:ascii="Times New Roman" w:hAnsi="Times New Roman" w:eastAsia="宋体"/>
          <w:color w:val="auto"/>
          <w:sz w:val="36"/>
          <w:highlight w:val="none"/>
        </w:rPr>
      </w:pPr>
      <w:r/>
      <w:bookmarkStart w:id="61" w:name="_Toc27469"/>
      <w:r>
        <w:rPr>
          <w:rFonts w:hint="eastAsia" w:ascii="Times New Roman" w:hAnsi="Times New Roman" w:eastAsia="宋体"/>
          <w:color w:val="auto"/>
          <w:sz w:val="36"/>
          <w:highlight w:val="none"/>
        </w:rPr>
        <w:t xml:space="preserve">第五章 评标方法及评标标准</w:t>
      </w:r>
      <w:bookmarkEnd w:id="60"/>
      <w:r/>
      <w:bookmarkEnd w:id="61"/>
      <w:r/>
      <w:r/>
    </w:p>
    <w:p>
      <w:pPr>
        <w:pStyle w:val="914"/>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4"/>
        <w:ind w:firstLine="420"/>
        <w:pageBreakBefore w:val="0"/>
        <w:spacing w:before="0" w:after="0" w:line="360" w:lineRule="auto"/>
        <w:rPr>
          <w:rFonts w:ascii="Times New Roman" w:hAnsi="Times New Roman" w:eastAsia="宋体"/>
          <w:color w:val="auto"/>
          <w:sz w:val="21"/>
          <w:szCs w:val="21"/>
          <w:highlight w:val="none"/>
        </w:rPr>
      </w:pPr>
      <w:r/>
      <w:bookmarkStart w:id="62" w:name="_Toc449017024"/>
      <w:r/>
      <w:bookmarkStart w:id="63"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2"/>
      <w:r/>
      <w:bookmarkEnd w:id="63"/>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4"/>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3）残疾人福利单位标准请参照《关于促进残疾人就业政府采购政策的通知》</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财库2017〕141号）。</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1）本项目对监狱和戒毒企业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2）监狱企业参加政府采购活动时，需提供由省级以上监狱管理局、戒毒管理局</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含新疆生产建设兵团</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出具的属于监狱企业的证明文件。供应商如不提供上述证明文件，价格将不做相应扣除。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3）监狱企业标准请参照《关于政府采购支持监狱企业发展有关问题的通知》</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财库[2014]68号）。</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4"/>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残疾人福利单位、监狱企业）组成联合体共同参加政府采购活动。联合协议中约定，小型、微型企业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4"/>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14"/>
        <w:ind w:firstLine="422"/>
        <w:keepLines w:val="0"/>
        <w:keepNext w:val="0"/>
        <w:pageBreakBefore w:val="0"/>
        <w:spacing w:before="0" w:after="0" w:line="360" w:lineRule="auto"/>
        <w:widowControl w:val="off"/>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72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6998"/>
      </w:tblGrid>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价 格</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以满足招标文件要求的最低投标报价为基准价，得满分30分，其他报价得分＝（基准价/其他投标报价）×30×100％</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技术性能</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投标人所投产品技术参数完全满足招标文件【技术参数要求】得30分，其中加★项为关键技术参数，每有一项负偏离扣2分，未加★项技术参数，每有一项负偏离扣1分，扣完为止。</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应</w:t>
            </w:r>
            <w:r>
              <w:rPr>
                <w:rFonts w:hint="eastAsia" w:ascii="宋体" w:hAnsi="宋体" w:eastAsia="宋体" w:cs="宋体"/>
                <w:color w:val="auto"/>
                <w:sz w:val="21"/>
                <w:szCs w:val="21"/>
              </w:rPr>
              <w:t xml:space="preserve">按照招标文件中要求提供相应证明材料扫描件上传</w:t>
            </w:r>
            <w:r>
              <w:rPr>
                <w:rFonts w:hint="eastAsia" w:ascii="宋体" w:hAnsi="宋体" w:eastAsia="宋体" w:cs="宋体"/>
                <w:color w:val="auto"/>
                <w:sz w:val="21"/>
                <w:szCs w:val="21"/>
                <w:lang w:val="en-US" w:eastAsia="zh-CN"/>
              </w:rPr>
              <w:t xml:space="preserve">并</w:t>
            </w:r>
            <w:r>
              <w:rPr>
                <w:rFonts w:hint="eastAsia" w:ascii="宋体" w:hAnsi="宋体" w:eastAsia="宋体" w:cs="宋体"/>
                <w:color w:val="auto"/>
                <w:sz w:val="21"/>
                <w:szCs w:val="21"/>
              </w:rPr>
              <w:t xml:space="preserve">应答技术参数响应及偏离表</w:t>
            </w:r>
            <w:r>
              <w:rPr>
                <w:rFonts w:hint="eastAsia" w:ascii="宋体" w:hAnsi="宋体" w:eastAsia="宋体" w:cs="宋体"/>
                <w:color w:val="auto"/>
                <w:sz w:val="21"/>
                <w:szCs w:val="21"/>
                <w:lang w:eastAsia="zh-CN"/>
              </w:rPr>
              <w:t xml:space="preserve">，</w:t>
            </w:r>
            <w:r>
              <w:rPr>
                <w:rFonts w:hint="eastAsia" w:cs="宋体"/>
                <w:color w:val="auto"/>
                <w:szCs w:val="21"/>
              </w:rPr>
              <w:t xml:space="preserve">所有指标均需在技术参数响应及偏离表中逐一列出</w:t>
            </w:r>
            <w:r>
              <w:rPr>
                <w:rFonts w:hint="eastAsia" w:ascii="宋体" w:hAnsi="宋体" w:eastAsia="宋体" w:cs="宋体"/>
                <w:color w:val="auto"/>
                <w:sz w:val="21"/>
                <w:szCs w:val="21"/>
              </w:rPr>
              <w:t xml:space="preserve">。如某功能参数要求提供证明材料但投标人未提供的，</w:t>
            </w:r>
            <w:r>
              <w:rPr>
                <w:rFonts w:hint="eastAsia" w:ascii="宋体" w:hAnsi="宋体" w:cs="宋体"/>
                <w:color w:val="auto"/>
                <w:sz w:val="21"/>
                <w:szCs w:val="21"/>
                <w:lang w:val="en-US" w:eastAsia="zh-CN"/>
              </w:rPr>
              <w:t xml:space="preserve">或</w:t>
            </w:r>
            <w:r>
              <w:rPr>
                <w:rFonts w:hint="eastAsia" w:cs="宋体"/>
                <w:bCs/>
                <w:color w:val="auto"/>
                <w:szCs w:val="21"/>
              </w:rPr>
              <w:t xml:space="preserve">证明材料中内容与</w:t>
            </w:r>
            <w:r>
              <w:rPr>
                <w:rFonts w:hint="eastAsia" w:cs="宋体"/>
                <w:color w:val="auto"/>
                <w:szCs w:val="21"/>
              </w:rPr>
              <w:t xml:space="preserve">技术参数响应及偏离表</w:t>
            </w:r>
            <w:r>
              <w:rPr>
                <w:rFonts w:hint="eastAsia" w:cs="宋体"/>
                <w:bCs/>
                <w:color w:val="auto"/>
                <w:szCs w:val="21"/>
              </w:rPr>
              <w:t xml:space="preserve">中所填报内容不一致的</w:t>
            </w:r>
            <w:r>
              <w:rPr>
                <w:rFonts w:hint="eastAsia" w:cs="宋体"/>
                <w:bCs/>
                <w:color w:val="auto"/>
                <w:szCs w:val="21"/>
                <w:lang w:eastAsia="zh-CN"/>
              </w:rPr>
              <w:t xml:space="preserve">，</w:t>
            </w:r>
            <w:r>
              <w:rPr>
                <w:rFonts w:hint="eastAsia" w:cs="宋体"/>
                <w:bCs/>
                <w:color w:val="auto"/>
                <w:szCs w:val="21"/>
                <w:lang w:val="en-US" w:eastAsia="zh-CN"/>
              </w:rPr>
              <w:t xml:space="preserve">均</w:t>
            </w:r>
            <w:r>
              <w:rPr>
                <w:rFonts w:hint="eastAsia" w:ascii="宋体" w:hAnsi="宋体" w:eastAsia="宋体" w:cs="宋体"/>
                <w:color w:val="auto"/>
                <w:sz w:val="21"/>
                <w:szCs w:val="21"/>
              </w:rPr>
              <w:t xml:space="preserve">视为该功能参数响应不满足，为负偏离）</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b/>
                <w:color w:val="auto"/>
                <w:szCs w:val="21"/>
                <w:highlight w:val="none"/>
              </w:rPr>
              <w:t xml:space="preserve">若发现有提供虚假的证明材料或虚假应答技术偏离表的，视为无效投标，上报采购监管部门并追究相关责任。</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类似</w:t>
            </w:r>
            <w:r>
              <w:rPr>
                <w:rFonts w:hint="eastAsia" w:ascii="宋体" w:hAnsi="宋体" w:eastAsia="宋体" w:cs="宋体"/>
                <w:color w:val="auto"/>
                <w:sz w:val="21"/>
                <w:szCs w:val="21"/>
              </w:rPr>
              <w:t xml:space="preserve">业绩（</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投标人提供2022年1月1日至今（以合同签订日期为准）与本项目类似的业绩，每提供一份合同得2分，满分</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分。（以合同签订时间为准，提供合同原件，扫描上传）</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综合实力</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1、投标人需具有由国家认证认可的监督管理部门批准设立的认证机构颁发并在有效期内的质量管理体系认证证书、环境管理体系认证证书、信息安全管理体系认证证书、隐私管理体系认证书，</w:t>
            </w:r>
            <w:r>
              <w:rPr>
                <w:rFonts w:hint="eastAsia" w:ascii="宋体" w:hAnsi="宋体" w:cs="宋体"/>
                <w:color w:val="auto"/>
                <w:sz w:val="21"/>
                <w:szCs w:val="21"/>
                <w:lang w:val="en-US" w:eastAsia="zh-CN"/>
              </w:rPr>
              <w:t xml:space="preserve">每有一项得1分，满分4分</w:t>
            </w:r>
            <w:r>
              <w:rPr>
                <w:rFonts w:hint="eastAsia" w:ascii="宋体" w:hAnsi="宋体" w:eastAsia="宋体" w:cs="宋体"/>
                <w:color w:val="auto"/>
                <w:sz w:val="21"/>
                <w:szCs w:val="21"/>
              </w:rPr>
              <w:t xml:space="preserve">。（需提供证书</w:t>
            </w:r>
            <w:r>
              <w:rPr>
                <w:rFonts w:hint="eastAsia" w:ascii="宋体" w:hAnsi="宋体" w:cs="宋体"/>
                <w:color w:val="auto"/>
                <w:sz w:val="21"/>
                <w:szCs w:val="21"/>
                <w:lang w:val="en-US" w:eastAsia="zh-CN"/>
              </w:rPr>
              <w:t xml:space="preserve">原件扫描上传</w:t>
            </w:r>
            <w:r>
              <w:rPr>
                <w:rFonts w:hint="eastAsia" w:ascii="宋体" w:hAnsi="宋体" w:eastAsia="宋体" w:cs="宋体"/>
                <w:color w:val="auto"/>
                <w:sz w:val="21"/>
                <w:szCs w:val="21"/>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2、投标人具备具有CCIA信息系统业务安全服务资质一级得3分，</w:t>
            </w:r>
            <w:r>
              <w:rPr>
                <w:rFonts w:hint="eastAsia" w:ascii="宋体" w:hAnsi="宋体" w:cs="宋体"/>
                <w:color w:val="auto"/>
                <w:sz w:val="21"/>
                <w:szCs w:val="21"/>
                <w:lang w:val="en-US" w:eastAsia="zh-CN"/>
              </w:rPr>
              <w:t xml:space="preserve">二级得2分，三级</w:t>
            </w:r>
            <w:r>
              <w:rPr>
                <w:rFonts w:hint="eastAsia" w:ascii="宋体" w:hAnsi="宋体" w:eastAsia="宋体" w:cs="宋体"/>
                <w:color w:val="auto"/>
                <w:sz w:val="21"/>
                <w:szCs w:val="21"/>
              </w:rPr>
              <w:t xml:space="preserve">得1分，</w:t>
            </w:r>
            <w:r>
              <w:rPr>
                <w:rFonts w:hint="eastAsia" w:ascii="宋体" w:hAnsi="宋体" w:cs="宋体"/>
                <w:color w:val="auto"/>
                <w:sz w:val="21"/>
                <w:szCs w:val="21"/>
                <w:lang w:val="en-US" w:eastAsia="zh-CN"/>
              </w:rPr>
              <w:t xml:space="preserve">不提供</w:t>
            </w:r>
            <w:r>
              <w:rPr>
                <w:rFonts w:hint="eastAsia" w:ascii="宋体" w:hAnsi="宋体" w:eastAsia="宋体" w:cs="宋体"/>
                <w:color w:val="auto"/>
                <w:sz w:val="21"/>
                <w:szCs w:val="21"/>
              </w:rPr>
              <w:t xml:space="preserve">不得分，最多得3分。（需提供证书</w:t>
            </w:r>
            <w:r>
              <w:rPr>
                <w:rFonts w:hint="eastAsia" w:ascii="宋体" w:hAnsi="宋体" w:cs="宋体"/>
                <w:color w:val="auto"/>
                <w:sz w:val="21"/>
                <w:szCs w:val="21"/>
                <w:lang w:val="en-US" w:eastAsia="zh-CN"/>
              </w:rPr>
              <w:t xml:space="preserve">原件扫描上传</w:t>
            </w:r>
            <w:r>
              <w:rPr>
                <w:rFonts w:hint="eastAsia" w:ascii="宋体" w:hAnsi="宋体" w:eastAsia="宋体" w:cs="宋体"/>
                <w:color w:val="auto"/>
                <w:sz w:val="21"/>
                <w:szCs w:val="21"/>
              </w:rPr>
              <w:t xml:space="preserve">）</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3、投标人具备CCRC信息安全服务资质认证的信息系统安全集成一级得3分</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二级得2分，三级</w:t>
            </w:r>
            <w:r>
              <w:rPr>
                <w:rFonts w:hint="eastAsia" w:ascii="宋体" w:hAnsi="宋体" w:eastAsia="宋体" w:cs="宋体"/>
                <w:color w:val="auto"/>
                <w:sz w:val="21"/>
                <w:szCs w:val="21"/>
              </w:rPr>
              <w:t xml:space="preserve">得1分，</w:t>
            </w:r>
            <w:r>
              <w:rPr>
                <w:rFonts w:hint="eastAsia" w:ascii="宋体" w:hAnsi="宋体" w:cs="宋体"/>
                <w:color w:val="auto"/>
                <w:sz w:val="21"/>
                <w:szCs w:val="21"/>
                <w:lang w:val="en-US" w:eastAsia="zh-CN"/>
              </w:rPr>
              <w:t xml:space="preserve">不提供</w:t>
            </w:r>
            <w:r>
              <w:rPr>
                <w:rFonts w:hint="eastAsia" w:ascii="宋体" w:hAnsi="宋体" w:eastAsia="宋体" w:cs="宋体"/>
                <w:color w:val="auto"/>
                <w:sz w:val="21"/>
                <w:szCs w:val="21"/>
              </w:rPr>
              <w:t xml:space="preserve">不得分，最多得3分。（需提供证书</w:t>
            </w:r>
            <w:r>
              <w:rPr>
                <w:rFonts w:hint="eastAsia" w:ascii="宋体" w:hAnsi="宋体" w:cs="宋体"/>
                <w:color w:val="auto"/>
                <w:sz w:val="21"/>
                <w:szCs w:val="21"/>
                <w:lang w:val="en-US" w:eastAsia="zh-CN"/>
              </w:rPr>
              <w:t xml:space="preserve">原件扫描上传</w:t>
            </w:r>
            <w:r>
              <w:rPr>
                <w:rFonts w:hint="eastAsia" w:ascii="宋体" w:hAnsi="宋体" w:eastAsia="宋体" w:cs="宋体"/>
                <w:color w:val="auto"/>
                <w:sz w:val="21"/>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总体设计方案</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的总体设计方案进行评分，方案设计内容齐全、功能完整，文档编写规范，完全响应用户需求。方案完整、内容有针对性、符合项目实际情况得5分，方案完整、基本符合项目实际情况得3分，方案有缺失、基本符合项目实际情况得1分，内容遗漏缺乏严谨性不得分。本项满分5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实施方案</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提供具体详实的实施方案，方案设计内容齐全、功能完整，文档编写规范，完全响应用户需求。方案完整、内容有针对性、符合项目实际情况得5分，方案完整、基本符合项目实际情况得3分，方案有缺失、基本符合项目实际情况得1分，内容遗漏缺乏严谨性不得分。本项满分5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售后服务和培训</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提供具体详实的售后服务和培训方案，方案设计内容齐全、功能完整，文档编写规范，完全响应用户需求。方案完整、内容有针对性、符合项目实际情况得5分，方案完整、基本符合项目实际情况得3分，方案有缺失、基本符合项目实际情况得1分，内容遗漏缺乏严谨性不得分。本项满分5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人员</w:t>
            </w:r>
            <w:r>
              <w:rPr>
                <w:rFonts w:hint="eastAsia" w:ascii="宋体" w:hAnsi="宋体" w:cs="宋体"/>
                <w:sz w:val="21"/>
                <w:szCs w:val="21"/>
                <w:lang w:val="en-US" w:eastAsia="zh-CN"/>
              </w:rPr>
              <w:t xml:space="preserve">配备</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投标人针对本项目拟派的项目经理具备信息系统项目管理师、</w:t>
            </w:r>
            <w:r>
              <w:rPr>
                <w:rFonts w:hint="eastAsia" w:ascii="宋体" w:hAnsi="宋体" w:eastAsia="宋体" w:cs="宋体"/>
                <w:color w:val="auto"/>
                <w:sz w:val="21"/>
                <w:szCs w:val="21"/>
                <w:lang w:val="en-US" w:eastAsia="zh-CN"/>
              </w:rPr>
              <w:t xml:space="preserve">PMP</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高级</w:t>
            </w:r>
            <w:r>
              <w:rPr>
                <w:rFonts w:hint="eastAsia" w:ascii="宋体" w:hAnsi="宋体" w:eastAsia="宋体" w:cs="宋体"/>
                <w:color w:val="auto"/>
                <w:sz w:val="21"/>
                <w:szCs w:val="21"/>
              </w:rPr>
              <w:t xml:space="preserve">信息系统业务安全服务工程师、注册信息安全专业人员（CISP）</w:t>
            </w:r>
            <w:r>
              <w:rPr>
                <w:rFonts w:hint="eastAsia" w:ascii="宋体" w:hAnsi="宋体" w:cs="宋体"/>
                <w:color w:val="auto"/>
                <w:sz w:val="21"/>
                <w:szCs w:val="21"/>
                <w:lang w:val="en-US" w:eastAsia="zh-CN"/>
              </w:rPr>
              <w:t xml:space="preserve">证书</w:t>
            </w:r>
            <w:r>
              <w:rPr>
                <w:rFonts w:hint="eastAsia" w:ascii="宋体" w:hAnsi="宋体" w:eastAsia="宋体" w:cs="宋体"/>
                <w:color w:val="auto"/>
                <w:sz w:val="21"/>
                <w:szCs w:val="21"/>
                <w:lang w:eastAsia="zh-CN"/>
              </w:rPr>
              <w:t xml:space="preserve">，每有一项得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分，满分</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投标人</w:t>
            </w:r>
            <w:r>
              <w:rPr>
                <w:rFonts w:hint="eastAsia" w:ascii="宋体" w:hAnsi="宋体" w:eastAsia="宋体" w:cs="宋体"/>
                <w:color w:val="auto"/>
                <w:sz w:val="21"/>
                <w:szCs w:val="21"/>
                <w:lang w:eastAsia="zh-CN"/>
              </w:rPr>
              <w:t xml:space="preserve">针对本项目拟派的项目实施人员（除项目经理外）具备CISP、CISAW、CCSC网络安全能力认证证书中</w:t>
            </w:r>
            <w:r>
              <w:rPr>
                <w:rFonts w:hint="eastAsia" w:ascii="宋体" w:hAnsi="宋体" w:cs="宋体"/>
                <w:color w:val="auto"/>
                <w:sz w:val="21"/>
                <w:szCs w:val="21"/>
                <w:lang w:val="en-US" w:eastAsia="zh-CN"/>
              </w:rPr>
              <w:t xml:space="preserve">任意一种</w:t>
            </w:r>
            <w:r>
              <w:rPr>
                <w:rFonts w:hint="eastAsia" w:ascii="宋体" w:hAnsi="宋体" w:eastAsia="宋体" w:cs="宋体"/>
                <w:color w:val="auto"/>
                <w:sz w:val="21"/>
                <w:szCs w:val="21"/>
                <w:lang w:eastAsia="zh-CN"/>
              </w:rPr>
              <w:t xml:space="preserve">证书</w:t>
            </w:r>
            <w:r>
              <w:rPr>
                <w:rFonts w:hint="eastAsia" w:ascii="宋体" w:hAnsi="宋体" w:cs="宋体"/>
                <w:color w:val="auto"/>
                <w:sz w:val="21"/>
                <w:szCs w:val="21"/>
                <w:lang w:val="en-US" w:eastAsia="zh-CN"/>
              </w:rPr>
              <w:t xml:space="preserve">或以上</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w:t>
            </w:r>
            <w:r>
              <w:rPr>
                <w:rFonts w:hint="eastAsia" w:ascii="宋体" w:hAnsi="宋体" w:cs="宋体"/>
                <w:color w:val="auto"/>
                <w:sz w:val="21"/>
                <w:szCs w:val="21"/>
                <w:lang w:val="en-US" w:eastAsia="zh-CN"/>
              </w:rPr>
              <w:t xml:space="preserve">有一人</w:t>
            </w:r>
            <w:r>
              <w:rPr>
                <w:rFonts w:hint="eastAsia" w:ascii="宋体" w:hAnsi="宋体" w:eastAsia="宋体" w:cs="宋体"/>
                <w:color w:val="auto"/>
                <w:sz w:val="21"/>
                <w:szCs w:val="21"/>
              </w:rPr>
              <w:t xml:space="preserve">得 1分，</w:t>
            </w:r>
            <w:r>
              <w:rPr>
                <w:rFonts w:hint="eastAsia" w:ascii="宋体" w:hAnsi="宋体" w:eastAsia="宋体" w:cs="宋体"/>
                <w:color w:val="auto"/>
                <w:sz w:val="21"/>
                <w:szCs w:val="21"/>
                <w:lang w:val="en-US" w:eastAsia="zh-CN"/>
              </w:rPr>
              <w:t xml:space="preserve">满分3</w:t>
            </w:r>
            <w:r>
              <w:rPr>
                <w:rFonts w:hint="eastAsia" w:ascii="宋体" w:hAnsi="宋体" w:eastAsia="宋体" w:cs="宋体"/>
                <w:color w:val="auto"/>
                <w:sz w:val="21"/>
                <w:szCs w:val="21"/>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w:t>
            </w:r>
            <w:r>
              <w:rPr>
                <w:rFonts w:hint="eastAsia" w:ascii="宋体" w:hAnsi="宋体" w:cs="宋体"/>
                <w:color w:val="auto"/>
                <w:sz w:val="21"/>
                <w:szCs w:val="21"/>
                <w:lang w:val="en-US" w:eastAsia="zh-CN"/>
              </w:rPr>
              <w:t xml:space="preserve">以上人员均需</w:t>
            </w:r>
            <w:r>
              <w:rPr>
                <w:rFonts w:hint="eastAsia" w:ascii="宋体" w:hAnsi="宋体" w:eastAsia="宋体" w:cs="宋体"/>
                <w:color w:val="auto"/>
                <w:sz w:val="21"/>
                <w:szCs w:val="21"/>
              </w:rPr>
              <w:t xml:space="preserve">提供</w:t>
            </w:r>
            <w:r>
              <w:rPr>
                <w:rFonts w:hint="eastAsia" w:ascii="宋体" w:hAnsi="宋体" w:cs="宋体"/>
                <w:color w:val="auto"/>
                <w:sz w:val="21"/>
                <w:szCs w:val="21"/>
                <w:lang w:val="en-US" w:eastAsia="zh-CN"/>
              </w:rPr>
              <w:t xml:space="preserve">近一年内任意一份</w:t>
            </w:r>
            <w:r>
              <w:rPr>
                <w:rFonts w:hint="eastAsia" w:ascii="宋体" w:hAnsi="宋体" w:eastAsia="宋体" w:cs="宋体"/>
                <w:color w:val="auto"/>
                <w:sz w:val="21"/>
                <w:szCs w:val="21"/>
              </w:rPr>
              <w:t xml:space="preserve">社保证明材料及有效身份证明、有效资质证书</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原件扫描上传</w:t>
            </w:r>
            <w:r>
              <w:rPr>
                <w:rFonts w:hint="eastAsia" w:ascii="宋体" w:hAnsi="宋体" w:eastAsia="宋体" w:cs="宋体"/>
                <w:color w:val="auto"/>
                <w:sz w:val="21"/>
                <w:szCs w:val="21"/>
              </w:rPr>
              <w:t xml:space="preserve">。</w:t>
            </w:r>
            <w:r/>
          </w:p>
        </w:tc>
      </w:tr>
    </w:tbl>
    <w:p>
      <w:pPr>
        <w:keepLines w:val="0"/>
        <w:keepNext w:val="0"/>
        <w:pageBreakBefore w:val="0"/>
        <w:spacing w:line="360" w:lineRule="auto"/>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四、评审委员会启动异常低价投标</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响应</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审查的情形和具体要求，包括:</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一</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评审过程中出现下列情形之一的，评审委员会应当启动异常低价投标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审查程序</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1.投标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报价低于采购项目预算 50%的，即投标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报价&lt;采购项目预算</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50%</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2.投标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报价低于采购项目最高限价45%的，即投标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报价&lt;采购项目最高限价</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45%</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3.评审委员会认定的供应商报价过低、有可能影响产品质量或者不能诚信履约的其他情形。</w:t>
      </w:r>
      <w:r/>
    </w:p>
    <w:p>
      <w:pPr>
        <w:keepLines w:val="0"/>
        <w:keepNext w:val="0"/>
        <w:pageBreakBefore w:val="0"/>
        <w:spacing w:line="360" w:lineRule="auto"/>
        <w:widowControl w:val="off"/>
        <w:rPr>
          <w:rFonts w:ascii="Times New Roman" w:hAnsi="Times New Roman" w:eastAsia="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二</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审查后，评审委员会应当要求相关供应商在评标现场合理的时间内，提供项目具体成本测算等与报价合理性相关的书面说明及相关证明材料，对投标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供应商不提供书面说明、证明材料，或者提供的书面说明、证明材料不能证明其报价合理性的，评审委员会应当将其作为无效投标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处理。审查相关情况应当在评审报告中进行记录。</w:t>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pStyle w:val="710"/>
        <w:jc w:val="center"/>
        <w:pageBreakBefore w:val="0"/>
        <w:spacing w:before="0" w:after="0" w:line="360" w:lineRule="auto"/>
        <w:rPr>
          <w:rFonts w:ascii="Times New Roman" w:hAnsi="Times New Roman" w:eastAsia="宋体"/>
          <w:color w:val="auto"/>
          <w:sz w:val="36"/>
          <w:highlight w:val="none"/>
        </w:rPr>
      </w:pPr>
      <w:r/>
      <w:bookmarkStart w:id="64" w:name="_Toc14764"/>
      <w:r>
        <w:rPr>
          <w:rFonts w:hint="eastAsia" w:ascii="Times New Roman" w:hAnsi="Times New Roman" w:eastAsia="宋体"/>
          <w:color w:val="auto"/>
          <w:sz w:val="36"/>
          <w:highlight w:val="none"/>
        </w:rPr>
        <w:t xml:space="preserve">第六章 投标文件格式</w:t>
      </w:r>
      <w:bookmarkEnd w:id="64"/>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  标  文  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 目 名 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 标 编 号：</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投标人名称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日      期 ：</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  标  人：</w:t>
      </w:r>
      <w:r>
        <w:rPr>
          <w:rFonts w:hint="eastAsia" w:ascii="Times New Roman" w:hAnsi="Times New Roman" w:eastAsia="宋体"/>
          <w:b/>
          <w:color w:val="auto"/>
          <w:sz w:val="36"/>
          <w:highlight w:val="none"/>
          <w:lang w:eastAsia="zh-CN"/>
        </w:rPr>
        <w:t xml:space="preserve">（</w:t>
      </w:r>
      <w:r>
        <w:rPr>
          <w:rFonts w:hint="eastAsia" w:ascii="Times New Roman" w:hAnsi="Times New Roman" w:eastAsia="宋体"/>
          <w:b/>
          <w:color w:val="auto"/>
          <w:sz w:val="36"/>
          <w:highlight w:val="none"/>
        </w:rPr>
        <w:t xml:space="preserve">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五、投标配置与分项报价表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 </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1"/>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5" w:name="_Toc8113"/>
      <w:r>
        <w:rPr>
          <w:rFonts w:hint="eastAsia" w:ascii="Times New Roman" w:hAnsi="Times New Roman" w:eastAsia="宋体"/>
          <w:color w:val="auto"/>
          <w:sz w:val="32"/>
          <w:highlight w:val="none"/>
        </w:rPr>
        <w:t xml:space="preserve">一、资格审查响应对照表</w:t>
      </w:r>
      <w:bookmarkEnd w:id="65"/>
      <w:r/>
      <w:r/>
    </w:p>
    <w:tbl>
      <w:tblPr>
        <w:tblStyle w:val="72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上一年度的财务状况报告</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成立不满一年不需提供）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 3 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  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供应商名称</w:t>
      </w:r>
      <w:r>
        <w:rPr>
          <w:rFonts w:hint="eastAsia" w:ascii="Times New Roman" w:hAnsi="Times New Roman" w:eastAsia="宋体"/>
          <w:bCs/>
          <w:color w:val="auto"/>
          <w:highlight w:val="none"/>
          <w:lang w:eastAsia="zh-CN"/>
        </w:rPr>
        <w:t xml:space="preserve">（</w:t>
      </w:r>
      <w:r>
        <w:rPr>
          <w:rFonts w:hint="eastAsia" w:ascii="Times New Roman" w:hAnsi="Times New Roman" w:eastAsia="宋体"/>
          <w:bCs/>
          <w:color w:val="auto"/>
          <w:highlight w:val="none"/>
        </w:rPr>
        <w:t xml:space="preserve">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日期：  年  月  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承诺单位</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签章）：           </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法定代表人</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年    月    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4"/>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）号招标文件，正式授权下述签字人_________________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代表我方______________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投标人的名称），全权处理本次项目投标的有关事宜。</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姓名）兹宣布同意如下：</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4"/>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 号：</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5"/>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被授权人的姓名）为我方就</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项目编号）号</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项目名称）项目采购活动的合法代理人，以本公司名义全权处理一切与该项目采购有关的事务。</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5"/>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 </w:t>
      </w:r>
      <w:r/>
    </w:p>
    <w:p>
      <w:pPr>
        <w:pStyle w:val="915"/>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手机）：</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 </w:t>
      </w:r>
      <w:r/>
    </w:p>
    <w:p>
      <w:pPr>
        <w:pStyle w:val="915"/>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Cs/>
          <w:color w:val="auto"/>
          <w:highlight w:val="none"/>
        </w:rPr>
        <w:t xml:space="preserve">法</w:t>
      </w:r>
      <w:r>
        <w:rPr>
          <w:rFonts w:hint="eastAsia" w:ascii="Times New Roman" w:hAnsi="Times New Roman" w:eastAsia="宋体"/>
          <w:bCs/>
          <w:color w:val="auto"/>
          <w:highlight w:val="none"/>
          <w:lang w:val="en-US" w:eastAsia="zh-CN"/>
        </w:rPr>
        <w:t xml:space="preserve">定代表</w:t>
      </w:r>
      <w:r>
        <w:rPr>
          <w:rFonts w:hint="eastAsia" w:ascii="Times New Roman" w:hAnsi="Times New Roman" w:eastAsia="宋体"/>
          <w:bCs/>
          <w:color w:val="auto"/>
          <w:highlight w:val="none"/>
        </w:rPr>
        <w:t xml:space="preserve">人身份证复印件：</w:t>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1"/>
        <w:pageBreakBefore w:val="0"/>
        <w:spacing w:before="0" w:after="0" w:line="360" w:lineRule="auto"/>
        <w:rPr>
          <w:rFonts w:ascii="Times New Roman" w:hAnsi="Times New Roman" w:eastAsia="宋体"/>
          <w:color w:val="auto"/>
          <w:sz w:val="32"/>
          <w:highlight w:val="none"/>
        </w:rPr>
      </w:pPr>
      <w:r/>
      <w:bookmarkStart w:id="66" w:name="_Toc25323"/>
      <w:r>
        <w:rPr>
          <w:rFonts w:hint="eastAsia" w:ascii="Times New Roman" w:hAnsi="Times New Roman" w:eastAsia="宋体"/>
          <w:color w:val="auto"/>
          <w:sz w:val="32"/>
          <w:highlight w:val="none"/>
        </w:rPr>
        <w:t xml:space="preserve">二、符合性审查响应对照表</w:t>
      </w:r>
      <w:bookmarkEnd w:id="66"/>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lang w:eastAsia="zh-CN"/>
              </w:rPr>
              <w:t xml:space="preserve">（</w:t>
            </w: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w:t>
            </w:r>
            <w:r>
              <w:rPr>
                <w:rFonts w:hint="eastAsia" w:ascii="Times New Roman" w:hAnsi="Times New Roman" w:eastAsia="宋体"/>
                <w:bCs/>
                <w:iCs/>
                <w:color w:val="auto"/>
                <w:szCs w:val="21"/>
                <w:highlight w:val="none"/>
                <w:lang w:eastAsia="zh-CN"/>
              </w:rPr>
              <w:t xml:space="preserve">（</w:t>
            </w:r>
            <w:r>
              <w:rPr>
                <w:rFonts w:hint="eastAsia" w:ascii="Times New Roman" w:hAnsi="Times New Roman" w:eastAsia="宋体"/>
                <w:bCs/>
                <w:iCs/>
                <w:color w:val="auto"/>
                <w:szCs w:val="21"/>
                <w:highlight w:val="none"/>
              </w:rPr>
              <w:t xml:space="preserve">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711"/>
        <w:pageBreakBefore w:val="0"/>
        <w:spacing w:before="0" w:after="0" w:line="360" w:lineRule="auto"/>
        <w:rPr>
          <w:rFonts w:ascii="Times New Roman" w:hAnsi="Times New Roman" w:eastAsia="宋体"/>
          <w:color w:val="auto"/>
          <w:sz w:val="32"/>
          <w:highlight w:val="none"/>
        </w:rPr>
      </w:pPr>
      <w:r/>
      <w:bookmarkStart w:id="67" w:name="_Toc16210"/>
      <w:r>
        <w:rPr>
          <w:rFonts w:hint="eastAsia" w:ascii="Times New Roman" w:hAnsi="Times New Roman" w:eastAsia="宋体"/>
          <w:color w:val="auto"/>
          <w:sz w:val="32"/>
          <w:highlight w:val="none"/>
        </w:rPr>
        <w:t xml:space="preserve">三、非实质性响应对照表</w:t>
      </w:r>
      <w:bookmarkEnd w:id="67"/>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lang w:eastAsia="zh-CN"/>
              </w:rPr>
              <w:t xml:space="preserve">（</w:t>
            </w: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《中小企业声明函》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w:t>
      </w:r>
      <w:r>
        <w:rPr>
          <w:rFonts w:hint="eastAsia" w:ascii="Times New Roman" w:hAnsi="Times New Roman" w:eastAsia="宋体"/>
          <w:b/>
          <w:bCs/>
          <w:color w:val="auto"/>
          <w:highlight w:val="none"/>
          <w:lang w:eastAsia="zh-CN"/>
        </w:rPr>
        <w:t xml:space="preserve">（</w:t>
      </w:r>
      <w:r>
        <w:rPr>
          <w:rFonts w:hint="eastAsia" w:ascii="Times New Roman" w:hAnsi="Times New Roman" w:eastAsia="宋体"/>
          <w:b/>
          <w:bCs/>
          <w:color w:val="auto"/>
          <w:highlight w:val="none"/>
        </w:rPr>
        <w:t xml:space="preserve">货物）</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联合体）郑重声明，根据《政府采购促进中小企业发展管理办法》</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财库﹝2020﹞46 号）的规定，本公司</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联合体）参加</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采购活动，提供的货物全部由符合政策要求的中小企业制造。相关企业</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lang w:eastAsia="zh-CN"/>
        </w:rPr>
        <w:t xml:space="preserve">（</w:t>
      </w:r>
      <w:r>
        <w:rPr>
          <w:rFonts w:hint="eastAsia" w:ascii="Times New Roman" w:hAnsi="Times New Roman" w:eastAsia="宋体" w:cs="宋体"/>
          <w:b/>
          <w:bCs/>
          <w:color w:val="auto"/>
          <w:szCs w:val="21"/>
          <w:highlight w:val="none"/>
          <w:u w:val="single"/>
        </w:rPr>
        <w:t xml:space="preserve">工业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lang w:eastAsia="zh-CN"/>
        </w:rPr>
        <w:t xml:space="preserve">（</w:t>
      </w:r>
      <w:r>
        <w:rPr>
          <w:rFonts w:hint="eastAsia" w:ascii="Times New Roman" w:hAnsi="Times New Roman" w:eastAsia="宋体" w:cs="宋体"/>
          <w:b/>
          <w:bCs/>
          <w:color w:val="auto"/>
          <w:szCs w:val="21"/>
          <w:highlight w:val="none"/>
          <w:u w:val="single"/>
        </w:rPr>
        <w:t xml:space="preserve">工业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，从业人员人，营业收入为万元，资产总额为万元，属于</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3、货物采购项目中，中小微企业判定以货物制造商的信息为准。</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6、声明函请按照第四章项目需求中的采购清单并根据实际情况逐项填写，否则视为不符合要求。</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7、</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11"/>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盖章）：</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日 期：</w:t>
      </w:r>
      <w:r/>
    </w:p>
    <w:p>
      <w:pPr>
        <w:jc w:val="center"/>
        <w:pageBreakBefore w:val="0"/>
        <w:spacing w:line="360" w:lineRule="auto"/>
        <w:rPr>
          <w:rStyle w:val="753"/>
          <w:rFonts w:ascii="Times New Roman" w:hAnsi="Times New Roman" w:eastAsia="宋体" w:cs="仿宋"/>
          <w:color w:val="auto"/>
          <w:szCs w:val="21"/>
          <w:highlight w:val="none"/>
        </w:rPr>
      </w:pPr>
      <w:r>
        <w:rPr>
          <w:rStyle w:val="753"/>
          <w:rFonts w:hint="eastAsia" w:ascii="Times New Roman" w:hAnsi="Times New Roman" w:eastAsia="宋体" w:cs="仿宋"/>
          <w:color w:val="auto"/>
          <w:szCs w:val="21"/>
          <w:highlight w:val="none"/>
        </w:rPr>
        <w:t xml:space="preserve">中小微企业划型标准</w:t>
      </w:r>
      <w:r/>
    </w:p>
    <w:p>
      <w:pPr>
        <w:pStyle w:val="748"/>
        <w:ind w:firstLine="420"/>
        <w:pageBreakBefore w:val="0"/>
        <w:spacing w:line="360" w:lineRule="auto"/>
        <w:widowControl/>
        <w:rPr>
          <w:rFonts w:ascii="Times New Roman" w:hAnsi="Times New Roman" w:eastAsia="宋体"/>
          <w:color w:val="auto"/>
          <w:sz w:val="21"/>
          <w:szCs w:val="21"/>
          <w:highlight w:val="none"/>
        </w:rPr>
      </w:pPr>
      <w:r>
        <w:rPr>
          <w:rFonts w:hint="eastAsia" w:ascii="Times New Roman" w:hAnsi="Times New Roman" w:eastAsia="宋体" w:cs="仿宋"/>
          <w:color w:val="auto"/>
          <w:sz w:val="21"/>
          <w:szCs w:val="21"/>
          <w:highlight w:val="none"/>
        </w:rPr>
        <w:t xml:space="preserve">    </w:t>
      </w:r>
      <w:r>
        <w:rPr>
          <w:rStyle w:val="753"/>
          <w:rFonts w:hint="eastAsia" w:ascii="Times New Roman" w:hAnsi="Times New Roman" w:eastAsia="宋体" w:cs="仿宋"/>
          <w:color w:val="auto"/>
          <w:sz w:val="21"/>
          <w:szCs w:val="21"/>
          <w:highlight w:val="none"/>
        </w:rPr>
        <w:t xml:space="preserve">中小微企业划型标准如下：</w:t>
      </w:r>
      <w:r/>
    </w:p>
    <w:tbl>
      <w:tblPr>
        <w:tblStyle w:val="72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8"/>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ind w:firstLine="420"/>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bl>
    <w:p>
      <w:pPr>
        <w:pStyle w:val="748"/>
        <w:ind w:firstLine="810"/>
        <w:pageBreakBefore w:val="0"/>
        <w:spacing w:line="360" w:lineRule="auto"/>
        <w:widowControl/>
        <w:rPr>
          <w:rStyle w:val="753"/>
          <w:rFonts w:ascii="Times New Roman" w:hAnsi="Times New Roman" w:eastAsia="宋体" w:cs="仿宋"/>
          <w:color w:val="auto"/>
          <w:sz w:val="21"/>
          <w:szCs w:val="21"/>
          <w:highlight w:val="none"/>
        </w:rPr>
      </w:pPr>
      <w:r>
        <w:rPr>
          <w:rStyle w:val="753"/>
          <w:rFonts w:hint="eastAsia" w:ascii="Times New Roman" w:hAnsi="Times New Roman" w:eastAsia="宋体" w:cs="仿宋"/>
          <w:color w:val="auto"/>
          <w:sz w:val="21"/>
          <w:szCs w:val="21"/>
          <w:highlight w:val="none"/>
        </w:rPr>
        <w:t xml:space="preserve">说明：上述标准参照《关于印发中小企业划型标准规定的通知》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工信部联企业</w:t>
      </w:r>
      <w:r>
        <w:rPr>
          <w:rStyle w:val="753"/>
          <w:rFonts w:hint="eastAsia" w:cs="仿宋"/>
          <w:color w:val="auto"/>
          <w:sz w:val="21"/>
          <w:szCs w:val="21"/>
          <w:highlight w:val="none"/>
          <w:lang w:eastAsia="zh-CN"/>
        </w:rPr>
        <w:t xml:space="preserve">〔2011〕300号</w:t>
      </w:r>
      <w:r>
        <w:rPr>
          <w:rStyle w:val="753"/>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pStyle w:val="712"/>
        <w:pageBreakBefore w:val="0"/>
        <w:spacing w:before="0" w:after="0" w:line="360" w:lineRule="auto"/>
        <w:rPr>
          <w:rStyle w:val="753"/>
          <w:rFonts w:ascii="Times New Roman" w:hAnsi="Times New Roman" w:eastAsia="宋体" w:cs="仿宋"/>
          <w:b w:val="0"/>
          <w:color w:val="auto"/>
          <w:sz w:val="21"/>
          <w:szCs w:val="21"/>
          <w:highlight w:val="none"/>
        </w:rPr>
      </w:pPr>
      <w:r>
        <w:rPr>
          <w:rStyle w:val="753"/>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 民政部 中国残疾人联合会关于促进残疾人就业政府采购政策的通知》</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财库</w:t>
      </w:r>
      <w:r>
        <w:rPr>
          <w:rFonts w:hint="eastAsia" w:ascii="Times New Roman" w:hAnsi="Times New Roman"/>
          <w:color w:val="auto"/>
          <w:szCs w:val="21"/>
          <w:highlight w:val="none"/>
          <w:lang w:eastAsia="zh-CN"/>
        </w:rPr>
        <w:t xml:space="preserve">〔2017〕141号</w:t>
      </w:r>
      <w:r>
        <w:rPr>
          <w:rFonts w:hint="eastAsia" w:ascii="Times New Roman" w:hAnsi="Times New Roman" w:eastAsia="宋体"/>
          <w:color w:val="auto"/>
          <w:szCs w:val="21"/>
          <w:highlight w:val="none"/>
        </w:rPr>
        <w:t xml:space="preserve">）的规定，本单位为符合条件的残疾人福利性单位，且本单位参加______单位的采购文件编号为______的项目采购活动提供本单位制造的产品或服务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由本单位承担工程/提供服务），或者提供其他残疾人福利性单位制造的产品或服务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大写）圆整</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     ）。</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供应商全称</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  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68" w:name="_Toc26122"/>
      <w:r>
        <w:rPr>
          <w:rFonts w:hint="eastAsia" w:ascii="Times New Roman" w:hAnsi="Times New Roman" w:eastAsia="宋体"/>
          <w:color w:val="auto"/>
          <w:sz w:val="32"/>
          <w:highlight w:val="none"/>
        </w:rPr>
        <w:t xml:space="preserve">四、开标一览表</w:t>
      </w:r>
      <w:bookmarkEnd w:id="68"/>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如有</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 </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72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26"/>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640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6"/>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人民币：元）</w:t>
            </w:r>
            <w:r/>
          </w:p>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                                              日期：  年月日</w:t>
      </w:r>
      <w:r/>
    </w:p>
    <w:p>
      <w:pPr>
        <w:pStyle w:val="723"/>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Style w:val="723"/>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69" w:name="_Toc29575"/>
      <w:r>
        <w:rPr>
          <w:rFonts w:hint="eastAsia" w:ascii="Times New Roman" w:hAnsi="Times New Roman" w:eastAsia="宋体"/>
          <w:color w:val="auto"/>
          <w:sz w:val="32"/>
          <w:highlight w:val="none"/>
        </w:rPr>
        <w:t xml:space="preserve">五、投标产品配置及分项报价表</w:t>
      </w:r>
      <w:bookmarkEnd w:id="69"/>
      <w:r/>
      <w:r/>
    </w:p>
    <w:tbl>
      <w:tblPr>
        <w:tblStyle w:val="720"/>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7"/>
        <w:gridCol w:w="1863"/>
        <w:gridCol w:w="980"/>
        <w:gridCol w:w="1114"/>
        <w:gridCol w:w="963"/>
        <w:gridCol w:w="845"/>
        <w:gridCol w:w="1060"/>
        <w:gridCol w:w="1141"/>
      </w:tblGrid>
      <w:tr>
        <w:trPr>
          <w:cantSplit/>
          <w:jc w:val="center"/>
          <w:trHeight w:val="677"/>
        </w:trPr>
        <w:tc>
          <w:tcPr>
            <w:tcW w:w="828" w:type="dxa"/>
            <w:vAlign w:val="center"/>
            <w:textDirection w:val="lrTb"/>
            <w:noWrap w:val="false"/>
          </w:tcPr>
          <w:p>
            <w:pPr>
              <w:jc w:val="center"/>
              <w:spacing w:line="360" w:lineRule="auto"/>
              <w:rPr>
                <w:rFonts w:hint="eastAsia"/>
                <w:szCs w:val="21"/>
              </w:rPr>
            </w:pPr>
            <w:r>
              <w:rPr>
                <w:rFonts w:hint="eastAsia"/>
                <w:szCs w:val="21"/>
              </w:rPr>
              <w:t xml:space="preserve">序号</w:t>
            </w:r>
            <w:r/>
          </w:p>
        </w:tc>
        <w:tc>
          <w:tcPr>
            <w:tcW w:w="1627" w:type="dxa"/>
            <w:vAlign w:val="center"/>
            <w:textDirection w:val="lrTb"/>
            <w:noWrap w:val="false"/>
          </w:tcPr>
          <w:p>
            <w:pPr>
              <w:jc w:val="center"/>
              <w:spacing w:line="360" w:lineRule="auto"/>
              <w:rPr>
                <w:szCs w:val="21"/>
              </w:rPr>
            </w:pPr>
            <w:r>
              <w:rPr>
                <w:rFonts w:hint="eastAsia"/>
                <w:szCs w:val="21"/>
              </w:rPr>
              <w:t xml:space="preserve">产品名称</w:t>
            </w:r>
            <w:r/>
          </w:p>
        </w:tc>
        <w:tc>
          <w:tcPr>
            <w:tcW w:w="1863" w:type="dxa"/>
            <w:vAlign w:val="center"/>
            <w:textDirection w:val="lrTb"/>
            <w:noWrap w:val="false"/>
          </w:tcPr>
          <w:p>
            <w:pPr>
              <w:jc w:val="center"/>
              <w:spacing w:line="360" w:lineRule="auto"/>
              <w:rPr>
                <w:szCs w:val="21"/>
              </w:rPr>
            </w:pPr>
            <w:r>
              <w:rPr>
                <w:rFonts w:hint="eastAsia"/>
                <w:szCs w:val="21"/>
              </w:rPr>
              <w:t xml:space="preserve">品牌、规格、型号</w:t>
            </w:r>
            <w:r/>
          </w:p>
        </w:tc>
        <w:tc>
          <w:tcPr>
            <w:tcW w:w="980" w:type="dxa"/>
            <w:vAlign w:val="center"/>
            <w:textDirection w:val="lrTb"/>
            <w:noWrap w:val="false"/>
          </w:tcPr>
          <w:p>
            <w:pPr>
              <w:jc w:val="center"/>
              <w:spacing w:line="360" w:lineRule="auto"/>
              <w:rPr>
                <w:rFonts w:hint="eastAsia"/>
                <w:szCs w:val="21"/>
              </w:rPr>
            </w:pPr>
            <w:r>
              <w:rPr>
                <w:rFonts w:hint="eastAsia"/>
                <w:szCs w:val="21"/>
              </w:rPr>
              <w:t xml:space="preserve">产地</w:t>
            </w:r>
            <w:r/>
          </w:p>
        </w:tc>
        <w:tc>
          <w:tcPr>
            <w:tcW w:w="1114" w:type="dxa"/>
            <w:vAlign w:val="center"/>
            <w:textDirection w:val="lrTb"/>
            <w:noWrap w:val="false"/>
          </w:tcPr>
          <w:p>
            <w:pPr>
              <w:jc w:val="center"/>
              <w:spacing w:line="360" w:lineRule="auto"/>
              <w:rPr>
                <w:szCs w:val="21"/>
              </w:rPr>
            </w:pPr>
            <w:r>
              <w:rPr>
                <w:rFonts w:hint="eastAsia"/>
                <w:szCs w:val="21"/>
              </w:rPr>
              <w:t xml:space="preserve">交付期</w:t>
            </w:r>
            <w:r/>
          </w:p>
        </w:tc>
        <w:tc>
          <w:tcPr>
            <w:tcW w:w="963" w:type="dxa"/>
            <w:vAlign w:val="center"/>
            <w:textDirection w:val="lrTb"/>
            <w:noWrap w:val="false"/>
          </w:tcPr>
          <w:p>
            <w:pPr>
              <w:jc w:val="center"/>
              <w:spacing w:line="360" w:lineRule="auto"/>
              <w:rPr>
                <w:szCs w:val="21"/>
              </w:rPr>
            </w:pPr>
            <w:r>
              <w:rPr>
                <w:rFonts w:hint="eastAsia"/>
                <w:szCs w:val="21"/>
              </w:rPr>
              <w:t xml:space="preserve">数量</w:t>
            </w:r>
            <w:r/>
          </w:p>
        </w:tc>
        <w:tc>
          <w:tcPr>
            <w:tcW w:w="845" w:type="dxa"/>
            <w:vAlign w:val="center"/>
            <w:textDirection w:val="lrTb"/>
            <w:noWrap w:val="false"/>
          </w:tcPr>
          <w:p>
            <w:pPr>
              <w:jc w:val="center"/>
              <w:spacing w:line="360" w:lineRule="auto"/>
              <w:rPr>
                <w:szCs w:val="21"/>
              </w:rPr>
            </w:pPr>
            <w:r>
              <w:rPr>
                <w:rFonts w:hint="eastAsia"/>
                <w:szCs w:val="21"/>
              </w:rPr>
              <w:t xml:space="preserve">单位</w:t>
            </w:r>
            <w:r/>
          </w:p>
        </w:tc>
        <w:tc>
          <w:tcPr>
            <w:tcW w:w="1060" w:type="dxa"/>
            <w:vAlign w:val="center"/>
            <w:textDirection w:val="lrTb"/>
            <w:noWrap w:val="false"/>
          </w:tcPr>
          <w:p>
            <w:pPr>
              <w:jc w:val="center"/>
              <w:spacing w:line="360" w:lineRule="auto"/>
              <w:rPr>
                <w:rFonts w:hint="eastAsia"/>
                <w:szCs w:val="21"/>
              </w:rPr>
            </w:pPr>
            <w:r>
              <w:rPr>
                <w:rFonts w:hint="eastAsia"/>
                <w:szCs w:val="21"/>
              </w:rPr>
              <w:t xml:space="preserve">单价（元）</w:t>
            </w:r>
            <w:r/>
          </w:p>
        </w:tc>
        <w:tc>
          <w:tcPr>
            <w:tcW w:w="1141" w:type="dxa"/>
            <w:vAlign w:val="center"/>
            <w:textDirection w:val="lrTb"/>
            <w:noWrap w:val="false"/>
          </w:tcPr>
          <w:p>
            <w:pPr>
              <w:jc w:val="center"/>
              <w:spacing w:line="360" w:lineRule="auto"/>
              <w:rPr>
                <w:szCs w:val="21"/>
              </w:rPr>
            </w:pPr>
            <w:r>
              <w:rPr>
                <w:rFonts w:hint="eastAsia"/>
                <w:szCs w:val="21"/>
              </w:rPr>
              <w:t xml:space="preserve">总价（元）</w:t>
            </w:r>
            <w:r/>
          </w:p>
        </w:tc>
      </w:tr>
      <w:tr>
        <w:trPr>
          <w:cantSplit/>
          <w:jc w:val="center"/>
          <w:trHeight w:val="846"/>
        </w:trPr>
        <w:tc>
          <w:tcPr>
            <w:tcW w:w="828" w:type="dxa"/>
            <w:vAlign w:val="center"/>
            <w:textDirection w:val="lrTb"/>
            <w:noWrap w:val="false"/>
          </w:tcPr>
          <w:p>
            <w:pPr>
              <w:jc w:val="center"/>
              <w:spacing w:line="360" w:lineRule="auto"/>
              <w:rPr>
                <w:rFonts w:hint="eastAsia"/>
                <w:szCs w:val="21"/>
              </w:rPr>
            </w:pPr>
            <w:r>
              <w:rPr>
                <w:rFonts w:hint="eastAsia"/>
                <w:szCs w:val="21"/>
              </w:rPr>
              <w:t xml:space="preserve">1</w:t>
            </w:r>
            <w:r/>
          </w:p>
        </w:tc>
        <w:tc>
          <w:tcPr>
            <w:tcW w:w="1627" w:type="dxa"/>
            <w:vAlign w:val="center"/>
            <w:textDirection w:val="lrTb"/>
            <w:noWrap w:val="false"/>
          </w:tcPr>
          <w:p>
            <w:pPr>
              <w:spacing w:line="360" w:lineRule="auto"/>
              <w:rPr>
                <w:szCs w:val="21"/>
              </w:rPr>
            </w:pPr>
            <w:r>
              <w:rPr>
                <w:szCs w:val="21"/>
              </w:rPr>
            </w:r>
            <w:r/>
          </w:p>
        </w:tc>
        <w:tc>
          <w:tcPr>
            <w:tcW w:w="1863" w:type="dxa"/>
            <w:vAlign w:val="center"/>
            <w:textDirection w:val="lrTb"/>
            <w:noWrap w:val="false"/>
          </w:tcPr>
          <w:p>
            <w:pPr>
              <w:spacing w:line="360" w:lineRule="auto"/>
              <w:rPr>
                <w:szCs w:val="21"/>
              </w:rPr>
            </w:pPr>
            <w:r>
              <w:rPr>
                <w:szCs w:val="21"/>
              </w:rPr>
            </w:r>
            <w:r/>
          </w:p>
        </w:tc>
        <w:tc>
          <w:tcPr>
            <w:tcW w:w="980" w:type="dxa"/>
            <w:vAlign w:val="center"/>
            <w:textDirection w:val="lrTb"/>
            <w:noWrap w:val="false"/>
          </w:tcPr>
          <w:p>
            <w:pPr>
              <w:spacing w:line="360" w:lineRule="auto"/>
              <w:rPr>
                <w:szCs w:val="21"/>
              </w:rPr>
            </w:pPr>
            <w:r>
              <w:rPr>
                <w:szCs w:val="21"/>
              </w:rPr>
            </w:r>
            <w:r/>
          </w:p>
        </w:tc>
        <w:tc>
          <w:tcPr>
            <w:tcW w:w="1114" w:type="dxa"/>
            <w:vAlign w:val="center"/>
            <w:textDirection w:val="lrTb"/>
            <w:noWrap w:val="false"/>
          </w:tcPr>
          <w:p>
            <w:pPr>
              <w:spacing w:line="360" w:lineRule="auto"/>
              <w:rPr>
                <w:szCs w:val="21"/>
              </w:rPr>
            </w:pPr>
            <w:r>
              <w:rPr>
                <w:szCs w:val="21"/>
              </w:rPr>
            </w:r>
            <w:r/>
          </w:p>
        </w:tc>
        <w:tc>
          <w:tcPr>
            <w:tcW w:w="963" w:type="dxa"/>
            <w:vAlign w:val="center"/>
            <w:textDirection w:val="lrTb"/>
            <w:noWrap w:val="false"/>
          </w:tcPr>
          <w:p>
            <w:pPr>
              <w:spacing w:line="360" w:lineRule="auto"/>
              <w:rPr>
                <w:szCs w:val="21"/>
              </w:rPr>
            </w:pPr>
            <w:r>
              <w:rPr>
                <w:szCs w:val="21"/>
              </w:rPr>
            </w:r>
            <w:r/>
          </w:p>
        </w:tc>
        <w:tc>
          <w:tcPr>
            <w:tcW w:w="845" w:type="dxa"/>
            <w:vAlign w:val="center"/>
            <w:textDirection w:val="lrTb"/>
            <w:noWrap w:val="false"/>
          </w:tcPr>
          <w:p>
            <w:pPr>
              <w:spacing w:line="360" w:lineRule="auto"/>
              <w:rPr>
                <w:szCs w:val="21"/>
              </w:rPr>
            </w:pPr>
            <w:r>
              <w:rPr>
                <w:szCs w:val="21"/>
              </w:rPr>
            </w:r>
            <w:r/>
          </w:p>
        </w:tc>
        <w:tc>
          <w:tcPr>
            <w:tcW w:w="1060" w:type="dxa"/>
            <w:vAlign w:val="center"/>
            <w:textDirection w:val="lrTb"/>
            <w:noWrap w:val="false"/>
          </w:tcPr>
          <w:p>
            <w:pPr>
              <w:spacing w:line="360" w:lineRule="auto"/>
              <w:rPr>
                <w:szCs w:val="21"/>
              </w:rPr>
            </w:pPr>
            <w:r>
              <w:rPr>
                <w:szCs w:val="21"/>
              </w:rPr>
            </w:r>
            <w:r/>
          </w:p>
        </w:tc>
        <w:tc>
          <w:tcPr>
            <w:tcW w:w="1141" w:type="dxa"/>
            <w:vAlign w:val="center"/>
            <w:textDirection w:val="lrTb"/>
            <w:noWrap w:val="false"/>
          </w:tcPr>
          <w:p>
            <w:pPr>
              <w:spacing w:line="360" w:lineRule="auto"/>
              <w:rPr>
                <w:szCs w:val="21"/>
              </w:rPr>
            </w:pPr>
            <w:r>
              <w:rPr>
                <w:szCs w:val="21"/>
              </w:rPr>
            </w:r>
            <w:r/>
          </w:p>
        </w:tc>
      </w:tr>
      <w:tr>
        <w:trPr>
          <w:cantSplit/>
          <w:jc w:val="center"/>
          <w:trHeight w:val="846"/>
        </w:trPr>
        <w:tc>
          <w:tcPr>
            <w:tcW w:w="828" w:type="dxa"/>
            <w:vAlign w:val="center"/>
            <w:textDirection w:val="lrTb"/>
            <w:noWrap w:val="false"/>
          </w:tcPr>
          <w:p>
            <w:pPr>
              <w:jc w:val="center"/>
              <w:spacing w:line="360" w:lineRule="auto"/>
              <w:rPr>
                <w:rFonts w:hint="eastAsia"/>
                <w:szCs w:val="21"/>
              </w:rPr>
            </w:pPr>
            <w:r>
              <w:rPr>
                <w:rFonts w:hint="eastAsia"/>
                <w:szCs w:val="21"/>
              </w:rPr>
              <w:t xml:space="preserve">2</w:t>
            </w:r>
            <w:r/>
          </w:p>
        </w:tc>
        <w:tc>
          <w:tcPr>
            <w:tcW w:w="1627" w:type="dxa"/>
            <w:vAlign w:val="center"/>
            <w:textDirection w:val="lrTb"/>
            <w:noWrap w:val="false"/>
          </w:tcPr>
          <w:p>
            <w:pPr>
              <w:spacing w:line="360" w:lineRule="auto"/>
              <w:rPr>
                <w:szCs w:val="21"/>
              </w:rPr>
            </w:pPr>
            <w:r>
              <w:rPr>
                <w:szCs w:val="21"/>
              </w:rPr>
            </w:r>
            <w:r/>
          </w:p>
        </w:tc>
        <w:tc>
          <w:tcPr>
            <w:tcW w:w="1863" w:type="dxa"/>
            <w:vAlign w:val="center"/>
            <w:textDirection w:val="lrTb"/>
            <w:noWrap w:val="false"/>
          </w:tcPr>
          <w:p>
            <w:pPr>
              <w:spacing w:line="360" w:lineRule="auto"/>
              <w:rPr>
                <w:szCs w:val="21"/>
              </w:rPr>
            </w:pPr>
            <w:r>
              <w:rPr>
                <w:szCs w:val="21"/>
              </w:rPr>
            </w:r>
            <w:r/>
          </w:p>
        </w:tc>
        <w:tc>
          <w:tcPr>
            <w:tcW w:w="980" w:type="dxa"/>
            <w:vAlign w:val="center"/>
            <w:textDirection w:val="lrTb"/>
            <w:noWrap w:val="false"/>
          </w:tcPr>
          <w:p>
            <w:pPr>
              <w:spacing w:line="360" w:lineRule="auto"/>
              <w:rPr>
                <w:szCs w:val="21"/>
              </w:rPr>
            </w:pPr>
            <w:r>
              <w:rPr>
                <w:szCs w:val="21"/>
              </w:rPr>
            </w:r>
            <w:r/>
          </w:p>
        </w:tc>
        <w:tc>
          <w:tcPr>
            <w:tcW w:w="1114" w:type="dxa"/>
            <w:vAlign w:val="center"/>
            <w:textDirection w:val="lrTb"/>
            <w:noWrap w:val="false"/>
          </w:tcPr>
          <w:p>
            <w:pPr>
              <w:spacing w:line="360" w:lineRule="auto"/>
              <w:rPr>
                <w:szCs w:val="21"/>
              </w:rPr>
            </w:pPr>
            <w:r>
              <w:rPr>
                <w:szCs w:val="21"/>
              </w:rPr>
            </w:r>
            <w:r/>
          </w:p>
        </w:tc>
        <w:tc>
          <w:tcPr>
            <w:tcW w:w="963" w:type="dxa"/>
            <w:vAlign w:val="center"/>
            <w:textDirection w:val="lrTb"/>
            <w:noWrap w:val="false"/>
          </w:tcPr>
          <w:p>
            <w:pPr>
              <w:spacing w:line="360" w:lineRule="auto"/>
              <w:rPr>
                <w:szCs w:val="21"/>
              </w:rPr>
            </w:pPr>
            <w:r>
              <w:rPr>
                <w:szCs w:val="21"/>
              </w:rPr>
            </w:r>
            <w:r/>
          </w:p>
        </w:tc>
        <w:tc>
          <w:tcPr>
            <w:tcW w:w="845" w:type="dxa"/>
            <w:vAlign w:val="center"/>
            <w:textDirection w:val="lrTb"/>
            <w:noWrap w:val="false"/>
          </w:tcPr>
          <w:p>
            <w:pPr>
              <w:spacing w:line="360" w:lineRule="auto"/>
              <w:rPr>
                <w:szCs w:val="21"/>
              </w:rPr>
            </w:pPr>
            <w:r>
              <w:rPr>
                <w:szCs w:val="21"/>
              </w:rPr>
            </w:r>
            <w:r/>
          </w:p>
        </w:tc>
        <w:tc>
          <w:tcPr>
            <w:tcW w:w="1060" w:type="dxa"/>
            <w:vAlign w:val="center"/>
            <w:textDirection w:val="lrTb"/>
            <w:noWrap w:val="false"/>
          </w:tcPr>
          <w:p>
            <w:pPr>
              <w:spacing w:line="360" w:lineRule="auto"/>
              <w:rPr>
                <w:szCs w:val="21"/>
              </w:rPr>
            </w:pPr>
            <w:r>
              <w:rPr>
                <w:szCs w:val="21"/>
              </w:rPr>
            </w:r>
            <w:r/>
          </w:p>
        </w:tc>
        <w:tc>
          <w:tcPr>
            <w:tcW w:w="1141" w:type="dxa"/>
            <w:vAlign w:val="center"/>
            <w:textDirection w:val="lrTb"/>
            <w:noWrap w:val="false"/>
          </w:tcPr>
          <w:p>
            <w:pPr>
              <w:spacing w:line="360" w:lineRule="auto"/>
              <w:rPr>
                <w:szCs w:val="21"/>
              </w:rPr>
            </w:pPr>
            <w:r>
              <w:rPr>
                <w:szCs w:val="21"/>
              </w:rPr>
            </w:r>
            <w:r/>
          </w:p>
        </w:tc>
      </w:tr>
      <w:tr>
        <w:trPr>
          <w:cantSplit/>
          <w:jc w:val="center"/>
          <w:trHeight w:val="846"/>
        </w:trPr>
        <w:tc>
          <w:tcPr>
            <w:tcW w:w="828" w:type="dxa"/>
            <w:vAlign w:val="center"/>
            <w:textDirection w:val="lrTb"/>
            <w:noWrap w:val="false"/>
          </w:tcPr>
          <w:p>
            <w:pPr>
              <w:jc w:val="center"/>
              <w:spacing w:line="360" w:lineRule="auto"/>
              <w:rPr>
                <w:rFonts w:hint="eastAsia"/>
                <w:szCs w:val="21"/>
              </w:rPr>
            </w:pPr>
            <w:r>
              <w:rPr>
                <w:rFonts w:hint="eastAsia"/>
                <w:szCs w:val="21"/>
              </w:rPr>
              <w:t xml:space="preserve">3</w:t>
            </w:r>
            <w:r/>
          </w:p>
        </w:tc>
        <w:tc>
          <w:tcPr>
            <w:tcW w:w="1627" w:type="dxa"/>
            <w:vAlign w:val="center"/>
            <w:textDirection w:val="lrTb"/>
            <w:noWrap w:val="false"/>
          </w:tcPr>
          <w:p>
            <w:pPr>
              <w:spacing w:line="360" w:lineRule="auto"/>
              <w:rPr>
                <w:szCs w:val="21"/>
              </w:rPr>
            </w:pPr>
            <w:r>
              <w:rPr>
                <w:szCs w:val="21"/>
              </w:rPr>
            </w:r>
            <w:r/>
          </w:p>
        </w:tc>
        <w:tc>
          <w:tcPr>
            <w:tcW w:w="1863" w:type="dxa"/>
            <w:vAlign w:val="center"/>
            <w:textDirection w:val="lrTb"/>
            <w:noWrap w:val="false"/>
          </w:tcPr>
          <w:p>
            <w:pPr>
              <w:spacing w:line="360" w:lineRule="auto"/>
              <w:rPr>
                <w:szCs w:val="21"/>
              </w:rPr>
            </w:pPr>
            <w:r>
              <w:rPr>
                <w:szCs w:val="21"/>
              </w:rPr>
            </w:r>
            <w:r/>
          </w:p>
        </w:tc>
        <w:tc>
          <w:tcPr>
            <w:tcW w:w="980" w:type="dxa"/>
            <w:vAlign w:val="center"/>
            <w:textDirection w:val="lrTb"/>
            <w:noWrap w:val="false"/>
          </w:tcPr>
          <w:p>
            <w:pPr>
              <w:spacing w:line="360" w:lineRule="auto"/>
              <w:rPr>
                <w:szCs w:val="21"/>
              </w:rPr>
            </w:pPr>
            <w:r>
              <w:rPr>
                <w:szCs w:val="21"/>
              </w:rPr>
            </w:r>
            <w:r/>
          </w:p>
        </w:tc>
        <w:tc>
          <w:tcPr>
            <w:tcW w:w="1114" w:type="dxa"/>
            <w:vAlign w:val="center"/>
            <w:textDirection w:val="lrTb"/>
            <w:noWrap w:val="false"/>
          </w:tcPr>
          <w:p>
            <w:pPr>
              <w:spacing w:line="360" w:lineRule="auto"/>
              <w:rPr>
                <w:szCs w:val="21"/>
              </w:rPr>
            </w:pPr>
            <w:r>
              <w:rPr>
                <w:szCs w:val="21"/>
              </w:rPr>
            </w:r>
            <w:r/>
          </w:p>
        </w:tc>
        <w:tc>
          <w:tcPr>
            <w:tcW w:w="963" w:type="dxa"/>
            <w:vAlign w:val="center"/>
            <w:textDirection w:val="lrTb"/>
            <w:noWrap w:val="false"/>
          </w:tcPr>
          <w:p>
            <w:pPr>
              <w:spacing w:line="360" w:lineRule="auto"/>
              <w:rPr>
                <w:szCs w:val="21"/>
              </w:rPr>
            </w:pPr>
            <w:r>
              <w:rPr>
                <w:szCs w:val="21"/>
              </w:rPr>
            </w:r>
            <w:r/>
          </w:p>
        </w:tc>
        <w:tc>
          <w:tcPr>
            <w:tcW w:w="845" w:type="dxa"/>
            <w:vAlign w:val="center"/>
            <w:textDirection w:val="lrTb"/>
            <w:noWrap w:val="false"/>
          </w:tcPr>
          <w:p>
            <w:pPr>
              <w:spacing w:line="360" w:lineRule="auto"/>
              <w:rPr>
                <w:szCs w:val="21"/>
              </w:rPr>
            </w:pPr>
            <w:r>
              <w:rPr>
                <w:szCs w:val="21"/>
              </w:rPr>
            </w:r>
            <w:r/>
          </w:p>
        </w:tc>
        <w:tc>
          <w:tcPr>
            <w:tcW w:w="1060" w:type="dxa"/>
            <w:vAlign w:val="center"/>
            <w:textDirection w:val="lrTb"/>
            <w:noWrap w:val="false"/>
          </w:tcPr>
          <w:p>
            <w:pPr>
              <w:spacing w:line="360" w:lineRule="auto"/>
              <w:rPr>
                <w:szCs w:val="21"/>
              </w:rPr>
            </w:pPr>
            <w:r>
              <w:rPr>
                <w:szCs w:val="21"/>
              </w:rPr>
            </w:r>
            <w:r/>
          </w:p>
        </w:tc>
        <w:tc>
          <w:tcPr>
            <w:tcW w:w="1141" w:type="dxa"/>
            <w:vAlign w:val="center"/>
            <w:textDirection w:val="lrTb"/>
            <w:noWrap w:val="false"/>
          </w:tcPr>
          <w:p>
            <w:pPr>
              <w:spacing w:line="360" w:lineRule="auto"/>
              <w:rPr>
                <w:szCs w:val="21"/>
              </w:rPr>
            </w:pPr>
            <w:r>
              <w:rPr>
                <w:szCs w:val="21"/>
              </w:rPr>
            </w:r>
            <w:r/>
          </w:p>
        </w:tc>
      </w:tr>
      <w:tr>
        <w:trPr>
          <w:cantSplit/>
          <w:jc w:val="center"/>
          <w:trHeight w:val="539"/>
        </w:trPr>
        <w:tc>
          <w:tcPr>
            <w:tcW w:w="828" w:type="dxa"/>
            <w:vAlign w:val="center"/>
            <w:textDirection w:val="lrTb"/>
            <w:noWrap w:val="false"/>
          </w:tcPr>
          <w:p>
            <w:pPr>
              <w:jc w:val="center"/>
              <w:spacing w:line="360" w:lineRule="auto"/>
              <w:rPr>
                <w:rFonts w:hint="eastAsia"/>
                <w:szCs w:val="21"/>
              </w:rPr>
            </w:pPr>
            <w:r>
              <w:rPr>
                <w:rFonts w:hint="eastAsia"/>
                <w:szCs w:val="21"/>
              </w:rPr>
              <w:t xml:space="preserve">4</w:t>
            </w:r>
            <w:r/>
          </w:p>
        </w:tc>
        <w:tc>
          <w:tcPr>
            <w:tcW w:w="1627" w:type="dxa"/>
            <w:vAlign w:val="center"/>
            <w:textDirection w:val="lrTb"/>
            <w:noWrap w:val="false"/>
          </w:tcPr>
          <w:p>
            <w:pPr>
              <w:spacing w:line="360" w:lineRule="auto"/>
              <w:rPr>
                <w:szCs w:val="21"/>
              </w:rPr>
            </w:pPr>
            <w:r>
              <w:rPr>
                <w:szCs w:val="21"/>
              </w:rPr>
            </w:r>
            <w:r/>
          </w:p>
        </w:tc>
        <w:tc>
          <w:tcPr>
            <w:tcW w:w="1863" w:type="dxa"/>
            <w:vAlign w:val="center"/>
            <w:textDirection w:val="lrTb"/>
            <w:noWrap w:val="false"/>
          </w:tcPr>
          <w:p>
            <w:pPr>
              <w:spacing w:line="360" w:lineRule="auto"/>
              <w:rPr>
                <w:szCs w:val="21"/>
              </w:rPr>
            </w:pPr>
            <w:r>
              <w:rPr>
                <w:szCs w:val="21"/>
              </w:rPr>
            </w:r>
            <w:r/>
          </w:p>
        </w:tc>
        <w:tc>
          <w:tcPr>
            <w:tcW w:w="980" w:type="dxa"/>
            <w:vAlign w:val="center"/>
            <w:textDirection w:val="lrTb"/>
            <w:noWrap w:val="false"/>
          </w:tcPr>
          <w:p>
            <w:pPr>
              <w:spacing w:line="360" w:lineRule="auto"/>
              <w:rPr>
                <w:szCs w:val="21"/>
              </w:rPr>
            </w:pPr>
            <w:r>
              <w:rPr>
                <w:szCs w:val="21"/>
              </w:rPr>
            </w:r>
            <w:r/>
          </w:p>
        </w:tc>
        <w:tc>
          <w:tcPr>
            <w:tcW w:w="1114" w:type="dxa"/>
            <w:vAlign w:val="center"/>
            <w:textDirection w:val="lrTb"/>
            <w:noWrap w:val="false"/>
          </w:tcPr>
          <w:p>
            <w:pPr>
              <w:spacing w:line="360" w:lineRule="auto"/>
              <w:rPr>
                <w:szCs w:val="21"/>
              </w:rPr>
            </w:pPr>
            <w:r>
              <w:rPr>
                <w:szCs w:val="21"/>
              </w:rPr>
            </w:r>
            <w:r/>
          </w:p>
        </w:tc>
        <w:tc>
          <w:tcPr>
            <w:tcW w:w="963" w:type="dxa"/>
            <w:vAlign w:val="center"/>
            <w:textDirection w:val="lrTb"/>
            <w:noWrap w:val="false"/>
          </w:tcPr>
          <w:p>
            <w:pPr>
              <w:spacing w:line="360" w:lineRule="auto"/>
              <w:rPr>
                <w:szCs w:val="21"/>
              </w:rPr>
            </w:pPr>
            <w:r>
              <w:rPr>
                <w:szCs w:val="21"/>
              </w:rPr>
            </w:r>
            <w:r/>
          </w:p>
        </w:tc>
        <w:tc>
          <w:tcPr>
            <w:tcW w:w="845" w:type="dxa"/>
            <w:vAlign w:val="center"/>
            <w:textDirection w:val="lrTb"/>
            <w:noWrap w:val="false"/>
          </w:tcPr>
          <w:p>
            <w:pPr>
              <w:spacing w:line="360" w:lineRule="auto"/>
              <w:rPr>
                <w:szCs w:val="21"/>
              </w:rPr>
            </w:pPr>
            <w:r>
              <w:rPr>
                <w:szCs w:val="21"/>
              </w:rPr>
            </w:r>
            <w:r/>
          </w:p>
        </w:tc>
        <w:tc>
          <w:tcPr>
            <w:tcW w:w="1060" w:type="dxa"/>
            <w:vAlign w:val="center"/>
            <w:textDirection w:val="lrTb"/>
            <w:noWrap w:val="false"/>
          </w:tcPr>
          <w:p>
            <w:pPr>
              <w:spacing w:line="360" w:lineRule="auto"/>
              <w:rPr>
                <w:szCs w:val="21"/>
              </w:rPr>
            </w:pPr>
            <w:r>
              <w:rPr>
                <w:szCs w:val="21"/>
              </w:rPr>
            </w:r>
            <w:r/>
          </w:p>
        </w:tc>
        <w:tc>
          <w:tcPr>
            <w:tcW w:w="1141" w:type="dxa"/>
            <w:vAlign w:val="center"/>
            <w:textDirection w:val="lrTb"/>
            <w:noWrap w:val="false"/>
          </w:tcPr>
          <w:p>
            <w:pPr>
              <w:spacing w:line="360" w:lineRule="auto"/>
              <w:rPr>
                <w:szCs w:val="21"/>
              </w:rPr>
            </w:pPr>
            <w:r>
              <w:rPr>
                <w:szCs w:val="21"/>
              </w:rPr>
            </w:r>
            <w:r/>
          </w:p>
        </w:tc>
      </w:tr>
      <w:tr>
        <w:trPr>
          <w:cantSplit/>
          <w:jc w:val="center"/>
          <w:trHeight w:val="959"/>
        </w:trPr>
        <w:tc>
          <w:tcPr>
            <w:gridSpan w:val="2"/>
            <w:tcW w:w="2455" w:type="dxa"/>
            <w:vAlign w:val="center"/>
            <w:textDirection w:val="lrTb"/>
            <w:noWrap w:val="false"/>
          </w:tcPr>
          <w:p>
            <w:pPr>
              <w:jc w:val="center"/>
              <w:spacing w:line="360" w:lineRule="auto"/>
              <w:rPr>
                <w:rFonts w:hint="eastAsia"/>
                <w:szCs w:val="21"/>
              </w:rPr>
            </w:pPr>
            <w:r>
              <w:rPr>
                <w:rFonts w:hint="eastAsia"/>
                <w:szCs w:val="21"/>
              </w:rPr>
              <w:t xml:space="preserve">合计（元）</w:t>
            </w:r>
            <w:r/>
          </w:p>
        </w:tc>
        <w:tc>
          <w:tcPr>
            <w:gridSpan w:val="7"/>
            <w:tcW w:w="7966" w:type="dxa"/>
            <w:vAlign w:val="top"/>
            <w:textDirection w:val="lrTb"/>
            <w:noWrap w:val="false"/>
          </w:tcPr>
          <w:p>
            <w:pPr>
              <w:spacing w:line="360" w:lineRule="auto"/>
              <w:rPr>
                <w:szCs w:val="21"/>
              </w:rPr>
            </w:pPr>
            <w:r>
              <w:rPr>
                <w:szCs w:val="21"/>
              </w:rPr>
            </w:r>
            <w:r/>
          </w:p>
        </w:tc>
      </w:tr>
    </w:tbl>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rPr>
          <w:rFonts w:hint="eastAsia" w:ascii="Times New Roman" w:hAnsi="Times New Roman" w:eastAsia="宋体"/>
          <w:color w:val="auto"/>
          <w:sz w:val="32"/>
          <w:highlight w:val="none"/>
        </w:rPr>
      </w:pPr>
      <w:r/>
      <w:bookmarkStart w:id="70" w:name="_Toc26069"/>
      <w:r>
        <w:rPr>
          <w:rFonts w:hint="eastAsia" w:ascii="Times New Roman" w:hAnsi="Times New Roman" w:eastAsia="宋体"/>
          <w:color w:val="auto"/>
          <w:sz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六、技术参数响应及偏离表</w:t>
      </w:r>
      <w:bookmarkEnd w:id="70"/>
      <w:r/>
      <w:r/>
    </w:p>
    <w:tbl>
      <w:tblPr>
        <w:tblStyle w:val="72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注：1、按照基本技术要求详细填列。</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71" w:name="_Hlt26955054"/>
      <w:r/>
      <w:bookmarkEnd w:id="71"/>
      <w:r/>
      <w:bookmarkStart w:id="72" w:name="_Toc8080"/>
      <w:r>
        <w:rPr>
          <w:rFonts w:hint="eastAsia" w:ascii="Times New Roman" w:hAnsi="Times New Roman" w:eastAsia="宋体"/>
          <w:color w:val="auto"/>
          <w:sz w:val="32"/>
          <w:highlight w:val="none"/>
        </w:rPr>
        <w:t xml:space="preserve">七、商务条款响应及偏离表</w:t>
      </w:r>
      <w:bookmarkEnd w:id="72"/>
      <w:r/>
      <w:r/>
    </w:p>
    <w:tbl>
      <w:tblPr>
        <w:tblStyle w:val="72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73" w:name="_Hlt26671343"/>
            <w:r/>
            <w:bookmarkEnd w:id="73"/>
            <w:r/>
            <w:bookmarkStart w:id="74" w:name="_Hlt24879081"/>
            <w:r/>
            <w:bookmarkEnd w:id="74"/>
            <w:r/>
            <w:bookmarkStart w:id="75" w:name="_Hlt26955056"/>
            <w:r/>
            <w:bookmarkEnd w:id="75"/>
            <w:r/>
            <w:bookmarkStart w:id="76" w:name="_Hlt26609391"/>
            <w:r/>
            <w:bookmarkEnd w:id="76"/>
            <w:r/>
            <w:bookmarkStart w:id="77" w:name="_Hlt26782999"/>
            <w:r/>
            <w:bookmarkEnd w:id="77"/>
            <w:r/>
            <w:bookmarkStart w:id="78" w:name="_Hlt26580838"/>
            <w:r/>
            <w:bookmarkEnd w:id="78"/>
            <w:r/>
            <w:bookmarkStart w:id="79" w:name="_Hlt26955064"/>
            <w:r/>
            <w:bookmarkEnd w:id="79"/>
            <w:r/>
            <w:bookmarkStart w:id="80" w:name="_Hlt26671372"/>
            <w:r/>
            <w:bookmarkEnd w:id="80"/>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723"/>
        <w:ind w:firstLine="480"/>
        <w:pageBreakBefore w:val="0"/>
        <w:spacing w:line="360" w:lineRule="auto"/>
        <w:rPr>
          <w:rFonts w:ascii="Times New Roman" w:hAnsi="Times New Roman" w:eastAsia="宋体"/>
          <w:color w:val="auto"/>
          <w:sz w:val="24"/>
          <w:highlight w:val="none"/>
        </w:rPr>
      </w:pPr>
      <w:r/>
      <w:bookmarkStart w:id="81" w:name="_Hlt26955066"/>
      <w:r/>
      <w:bookmarkEnd w:id="81"/>
      <w:r/>
      <w:bookmarkStart w:id="82" w:name="_Hlt26609389"/>
      <w:r/>
      <w:bookmarkEnd w:id="82"/>
      <w:r/>
      <w:bookmarkStart w:id="83" w:name="_Hlt26671374"/>
      <w:r/>
      <w:bookmarkEnd w:id="83"/>
      <w:r/>
      <w:bookmarkStart w:id="84" w:name="_Toc462564146"/>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84"/>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rPr>
          <w:rFonts w:hint="eastAsia" w:ascii="Times New Roman" w:hAnsi="Times New Roman" w:eastAsia="宋体"/>
          <w:b/>
          <w:color w:val="auto"/>
          <w:highlight w:val="none"/>
        </w:rPr>
      </w:pPr>
      <w:r>
        <w:rPr>
          <w:rFonts w:hint="eastAsia" w:ascii="Times New Roman" w:hAnsi="Times New Roman" w:eastAsia="宋体"/>
          <w:b/>
          <w:color w:val="auto"/>
          <w:highlight w:val="none"/>
        </w:rPr>
        <w:br w:type="page" w:clear="all"/>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w:t>
      </w:r>
      <w:r>
        <w:rPr>
          <w:rFonts w:hint="eastAsia" w:ascii="Times New Roman" w:hAnsi="Times New Roman" w:eastAsia="宋体"/>
          <w:b/>
          <w:color w:val="auto"/>
          <w:highlight w:val="none"/>
          <w:lang w:eastAsia="zh-CN"/>
        </w:rPr>
        <w:t xml:space="preserve">（</w:t>
      </w:r>
      <w:r>
        <w:rPr>
          <w:rFonts w:hint="eastAsia" w:ascii="Times New Roman" w:hAnsi="Times New Roman" w:eastAsia="宋体"/>
          <w:b/>
          <w:color w:val="auto"/>
          <w:highlight w:val="none"/>
        </w:rPr>
        <w:t xml:space="preserve">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72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w:t>
      </w:r>
      <w:r>
        <w:rPr>
          <w:rFonts w:hint="eastAsia" w:ascii="Times New Roman" w:hAnsi="Times New Roman" w:eastAsia="宋体"/>
          <w:b/>
          <w:color w:val="auto"/>
          <w:highlight w:val="none"/>
          <w:lang w:eastAsia="zh-CN"/>
        </w:rPr>
        <w:t xml:space="preserve">（</w:t>
      </w:r>
      <w:r>
        <w:rPr>
          <w:rFonts w:hint="eastAsia" w:ascii="Times New Roman" w:hAnsi="Times New Roman" w:eastAsia="宋体"/>
          <w:b/>
          <w:color w:val="auto"/>
          <w:highlight w:val="none"/>
        </w:rPr>
        <w:t xml:space="preserve">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1、我们自愿组成联合体，参加代理机构组织的采购编号为</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项目编号）</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项目全称）的政府采购活动。</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2、若我们联合中标、成交，</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供应商单位1全称）实施项目中</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工作内容）部分工作，并承担相应的责任。</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供应商单位2全称）实施项目中</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工作内容）部分工作，并承担相应的责任……。</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注：联合体中各供应商都应明示所承担的工作和相应的责任）。</w:t>
      </w:r>
      <w:r/>
    </w:p>
    <w:p>
      <w:pPr>
        <w:ind w:firstLine="645"/>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所有供应商全称：</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法定代表人：  </w:t>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Pr>
        <w:rFonts w:hint="eastAsia"/>
        <w:lang w:eastAsia="zh-CN"/>
      </w:rPr>
      <w:t xml:space="preserve">JSZC-321000-SWGC-G2025-0236号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pPr>
    <w:r>
      <w:rPr>
        <w:rFonts w:hint="eastAsia"/>
      </w:rPr>
      <w:t xml:space="preserve">JSZC-321000-SWGC-G2025-0236号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8"/>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chineseCountingThousand"/>
      <w:isLgl w:val="false"/>
      <w:suff w:val="space"/>
      <w:lvlText w:val="第%1章"/>
      <w:lvlJc w:val="left"/>
      <w:pPr>
        <w:ind w:left="0" w:firstLine="0"/>
      </w:pPr>
      <w:rPr>
        <w:rFonts w:hint="eastAsia" w:ascii="黑体" w:hAnsi="黑体" w:eastAsia="黑体"/>
        <w:b/>
        <w:i w:val="0"/>
        <w:sz w:val="36"/>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714"/>
      <w:isLgl/>
      <w:suff w:val="space"/>
      <w:lvlText w:val="%1.%2.%3.%4.%5"/>
      <w:lvlJc w:val="left"/>
      <w:pPr>
        <w:ind w:left="2694" w:firstLine="0"/>
      </w:pPr>
      <w:rPr>
        <w:rFonts w:hint="eastAsia"/>
      </w:rPr>
    </w:lvl>
    <w:lvl w:ilvl="5">
      <w:start w:val="1"/>
      <w:numFmt w:val="decimal"/>
      <w:pStyle w:val="715"/>
      <w:isLgl/>
      <w:suff w:val="space"/>
      <w:lvlText w:val="%1.%2.%3.%4.%5.%6"/>
      <w:lvlJc w:val="left"/>
      <w:pPr>
        <w:ind w:left="-1"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0">
    <w:name w:val="Heading 1"/>
    <w:basedOn w:val="709"/>
    <w:next w:val="709"/>
    <w:uiPriority w:val="9"/>
    <w:qFormat/>
    <w:pPr>
      <w:keepLines/>
      <w:keepNext/>
      <w:spacing w:before="340" w:after="330" w:line="578" w:lineRule="auto"/>
      <w:outlineLvl w:val="0"/>
    </w:pPr>
    <w:rPr>
      <w:b/>
      <w:bCs/>
      <w:sz w:val="44"/>
      <w:szCs w:val="44"/>
    </w:rPr>
  </w:style>
  <w:style w:type="paragraph" w:styleId="711">
    <w:name w:val="Heading 2"/>
    <w:basedOn w:val="709"/>
    <w:next w:val="7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2">
    <w:name w:val="Heading 3"/>
    <w:basedOn w:val="709"/>
    <w:next w:val="709"/>
    <w:uiPriority w:val="0"/>
    <w:qFormat/>
    <w:pPr>
      <w:keepLines/>
      <w:keepNext/>
      <w:spacing w:before="260" w:after="260" w:line="416" w:lineRule="auto"/>
      <w:outlineLvl w:val="2"/>
    </w:pPr>
    <w:rPr>
      <w:b/>
      <w:bCs/>
      <w:sz w:val="32"/>
      <w:szCs w:val="32"/>
    </w:rPr>
  </w:style>
  <w:style w:type="paragraph" w:styleId="713">
    <w:name w:val="Heading 4"/>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qFormat/>
    <w:pPr>
      <w:numPr>
        <w:ilvl w:val="4"/>
        <w:numId w:val="1"/>
      </w:numPr>
      <w:ind w:left="425"/>
      <w:spacing w:before="280" w:after="290"/>
      <w:outlineLvl w:val="4"/>
    </w:pPr>
    <w:rPr>
      <w:bCs/>
      <w:szCs w:val="28"/>
    </w:rPr>
  </w:style>
  <w:style w:type="paragraph" w:styleId="715">
    <w:name w:val="Heading 6"/>
    <w:basedOn w:val="709"/>
    <w:next w:val="709"/>
    <w:uiPriority w:val="9"/>
    <w:qFormat/>
    <w:pPr>
      <w:numPr>
        <w:ilvl w:val="5"/>
        <w:numId w:val="1"/>
      </w:numPr>
      <w:spacing w:before="240" w:after="64"/>
      <w:outlineLvl w:val="5"/>
    </w:pPr>
    <w:rPr>
      <w:rFonts w:cs="Times New Roman"/>
      <w:bCs/>
      <w:szCs w:val="24"/>
    </w:rPr>
  </w:style>
  <w:style w:type="paragraph" w:styleId="716">
    <w:name w:val="Heading 7"/>
    <w:basedOn w:val="709"/>
    <w:next w:val="709"/>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8"/>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pPr>
      <w:ind w:left="1701" w:right="0" w:firstLine="0"/>
      <w:spacing w:after="57"/>
    </w:pPr>
  </w:style>
  <w:style w:type="paragraph" w:styleId="722">
    <w:name w:val="table of authorities"/>
    <w:basedOn w:val="709"/>
    <w:next w:val="709"/>
    <w:uiPriority w:val="0"/>
    <w:qFormat/>
    <w:pPr>
      <w:ind w:left="420"/>
    </w:pPr>
  </w:style>
  <w:style w:type="paragraph" w:styleId="723">
    <w:name w:val="Normal Indent"/>
    <w:basedOn w:val="709"/>
    <w:next w:val="709"/>
    <w:uiPriority w:val="0"/>
    <w:unhideWhenUsed/>
    <w:qFormat/>
    <w:pPr>
      <w:ind w:firstLine="420"/>
    </w:pPr>
  </w:style>
  <w:style w:type="paragraph" w:styleId="724">
    <w:name w:val="Caption"/>
    <w:basedOn w:val="709"/>
    <w:next w:val="7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annotation text"/>
    <w:basedOn w:val="709"/>
    <w:link w:val="925"/>
    <w:uiPriority w:val="0"/>
    <w:qFormat/>
    <w:pPr>
      <w:jc w:val="left"/>
    </w:pPr>
  </w:style>
  <w:style w:type="paragraph" w:styleId="726">
    <w:name w:val="Body Text"/>
    <w:basedOn w:val="709"/>
    <w:next w:val="723"/>
    <w:uiPriority w:val="0"/>
    <w:qFormat/>
    <w:rPr>
      <w:rFonts w:ascii="楷体_GB2312" w:hAnsi="Arial" w:eastAsia="楷体_GB2312"/>
      <w:sz w:val="28"/>
      <w:szCs w:val="28"/>
    </w:rPr>
  </w:style>
  <w:style w:type="paragraph" w:styleId="727">
    <w:name w:val="Body Text Indent"/>
    <w:basedOn w:val="709"/>
    <w:next w:val="709"/>
    <w:uiPriority w:val="0"/>
    <w:qFormat/>
    <w:pPr>
      <w:ind w:left="420"/>
      <w:spacing w:after="120"/>
    </w:pPr>
    <w:rPr>
      <w:rFonts w:ascii="等线" w:hAnsi="等线" w:eastAsia="等线"/>
    </w:rPr>
  </w:style>
  <w:style w:type="paragraph" w:styleId="728">
    <w:name w:val="toc 5"/>
    <w:basedOn w:val="709"/>
    <w:next w:val="709"/>
    <w:uiPriority w:val="39"/>
    <w:unhideWhenUsed/>
    <w:pPr>
      <w:ind w:left="1134" w:right="0" w:firstLine="0"/>
      <w:spacing w:after="57"/>
    </w:pPr>
  </w:style>
  <w:style w:type="paragraph" w:styleId="729">
    <w:name w:val="toc 3"/>
    <w:basedOn w:val="709"/>
    <w:next w:val="709"/>
    <w:uiPriority w:val="39"/>
    <w:unhideWhenUsed/>
    <w:pPr>
      <w:ind w:left="567" w:right="0" w:firstLine="0"/>
      <w:spacing w:after="57"/>
    </w:pPr>
  </w:style>
  <w:style w:type="paragraph" w:styleId="730">
    <w:name w:val="Plain Text"/>
    <w:basedOn w:val="709"/>
    <w:uiPriority w:val="99"/>
    <w:qFormat/>
    <w:rPr>
      <w:rFonts w:ascii="宋体" w:hAnsi="Courier New"/>
      <w:sz w:val="20"/>
      <w:szCs w:val="21"/>
    </w:rPr>
  </w:style>
  <w:style w:type="paragraph" w:styleId="731">
    <w:name w:val="toc 8"/>
    <w:basedOn w:val="709"/>
    <w:next w:val="709"/>
    <w:uiPriority w:val="39"/>
    <w:unhideWhenUsed/>
    <w:pPr>
      <w:ind w:left="1984" w:right="0" w:firstLine="0"/>
      <w:spacing w:after="57"/>
    </w:pPr>
  </w:style>
  <w:style w:type="paragraph" w:styleId="732">
    <w:name w:val="Body Text Indent 2"/>
    <w:basedOn w:val="709"/>
    <w:uiPriority w:val="0"/>
    <w:qFormat/>
    <w:pPr>
      <w:ind w:left="640"/>
      <w:spacing w:after="120" w:line="480" w:lineRule="auto"/>
    </w:pPr>
    <w:rPr>
      <w:rFonts w:eastAsia="仿宋_GB2312"/>
      <w:sz w:val="32"/>
      <w:szCs w:val="28"/>
    </w:rPr>
  </w:style>
  <w:style w:type="paragraph" w:styleId="733">
    <w:name w:val="endnote text"/>
    <w:basedOn w:val="709"/>
    <w:link w:val="906"/>
    <w:uiPriority w:val="99"/>
    <w:semiHidden/>
    <w:unhideWhenUsed/>
    <w:pPr>
      <w:spacing w:after="0" w:line="240" w:lineRule="auto"/>
    </w:pPr>
    <w:rPr>
      <w:sz w:val="20"/>
    </w:rPr>
  </w:style>
  <w:style w:type="paragraph" w:styleId="734">
    <w:name w:val="Balloon Text"/>
    <w:basedOn w:val="709"/>
    <w:link w:val="916"/>
    <w:uiPriority w:val="0"/>
    <w:qFormat/>
    <w:rPr>
      <w:sz w:val="18"/>
      <w:szCs w:val="18"/>
    </w:rPr>
  </w:style>
  <w:style w:type="paragraph" w:styleId="735">
    <w:name w:val="Footer"/>
    <w:basedOn w:val="709"/>
    <w:uiPriority w:val="99"/>
    <w:unhideWhenUsed/>
    <w:qFormat/>
    <w:pPr>
      <w:jc w:val="left"/>
      <w:tabs>
        <w:tab w:val="center" w:pos="4153" w:leader="none"/>
        <w:tab w:val="right" w:pos="8306" w:leader="none"/>
      </w:tabs>
    </w:pPr>
    <w:rPr>
      <w:sz w:val="18"/>
      <w:szCs w:val="18"/>
    </w:rPr>
  </w:style>
  <w:style w:type="paragraph" w:styleId="736">
    <w:name w:val="envelope return"/>
    <w:basedOn w:val="709"/>
    <w:uiPriority w:val="99"/>
    <w:unhideWhenUsed/>
    <w:qFormat/>
    <w:rPr>
      <w:rFonts w:ascii="Arial" w:hAnsi="Arial"/>
    </w:rPr>
  </w:style>
  <w:style w:type="paragraph" w:styleId="737">
    <w:name w:val="Header"/>
    <w:basedOn w:val="7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9"/>
    <w:next w:val="709"/>
    <w:uiPriority w:val="39"/>
    <w:unhideWhenUsed/>
    <w:qFormat/>
  </w:style>
  <w:style w:type="paragraph" w:styleId="739">
    <w:name w:val="toc 4"/>
    <w:basedOn w:val="709"/>
    <w:next w:val="709"/>
    <w:uiPriority w:val="39"/>
    <w:unhideWhenUsed/>
    <w:pPr>
      <w:ind w:left="850" w:right="0" w:firstLine="0"/>
      <w:spacing w:after="57"/>
    </w:pPr>
  </w:style>
  <w:style w:type="paragraph" w:styleId="740">
    <w:name w:val="Subtitle"/>
    <w:basedOn w:val="709"/>
    <w:next w:val="709"/>
    <w:link w:val="772"/>
    <w:uiPriority w:val="11"/>
    <w:qFormat/>
    <w:pPr>
      <w:spacing w:before="200" w:after="200"/>
    </w:pPr>
    <w:rPr>
      <w:sz w:val="24"/>
      <w:szCs w:val="24"/>
    </w:rPr>
  </w:style>
  <w:style w:type="paragraph" w:styleId="741">
    <w:name w:val="footnote text"/>
    <w:basedOn w:val="709"/>
    <w:link w:val="905"/>
    <w:uiPriority w:val="99"/>
    <w:semiHidden/>
    <w:unhideWhenUsed/>
    <w:pPr>
      <w:spacing w:after="40" w:line="240" w:lineRule="auto"/>
    </w:pPr>
    <w:rPr>
      <w:sz w:val="18"/>
    </w:rPr>
  </w:style>
  <w:style w:type="paragraph" w:styleId="742">
    <w:name w:val="toc 6"/>
    <w:basedOn w:val="709"/>
    <w:next w:val="709"/>
    <w:uiPriority w:val="39"/>
    <w:unhideWhenUsed/>
    <w:pPr>
      <w:ind w:left="1417" w:right="0" w:firstLine="0"/>
      <w:spacing w:after="57"/>
    </w:pPr>
  </w:style>
  <w:style w:type="paragraph" w:styleId="743">
    <w:name w:val="table of figures"/>
    <w:basedOn w:val="709"/>
    <w:next w:val="709"/>
    <w:uiPriority w:val="99"/>
    <w:unhideWhenUsed/>
    <w:pPr>
      <w:spacing w:after="0" w:afterAutospacing="0"/>
    </w:pPr>
  </w:style>
  <w:style w:type="paragraph" w:styleId="744">
    <w:name w:val="toc 2"/>
    <w:basedOn w:val="709"/>
    <w:next w:val="709"/>
    <w:uiPriority w:val="0"/>
    <w:qFormat/>
    <w:pPr>
      <w:ind w:left="420"/>
    </w:pPr>
  </w:style>
  <w:style w:type="paragraph" w:styleId="745">
    <w:name w:val="toc 9"/>
    <w:basedOn w:val="709"/>
    <w:next w:val="709"/>
    <w:uiPriority w:val="39"/>
    <w:unhideWhenUsed/>
    <w:qFormat/>
    <w:pPr>
      <w:ind w:left="2268" w:right="0" w:firstLine="0"/>
      <w:spacing w:after="57"/>
    </w:pPr>
  </w:style>
  <w:style w:type="paragraph" w:styleId="746">
    <w:name w:val="Body Text 2"/>
    <w:basedOn w:val="709"/>
    <w:uiPriority w:val="0"/>
    <w:qFormat/>
    <w:pPr>
      <w:spacing w:after="120" w:line="480" w:lineRule="auto"/>
    </w:pPr>
  </w:style>
  <w:style w:type="paragraph" w:styleId="747">
    <w:name w:val="Message Header"/>
    <w:basedOn w:val="70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Normal (Web)"/>
    <w:basedOn w:val="709"/>
    <w:uiPriority w:val="0"/>
    <w:qFormat/>
    <w:rPr>
      <w:rFonts w:ascii="Times New Roman" w:hAnsi="Times New Roman"/>
      <w:sz w:val="24"/>
    </w:rPr>
  </w:style>
  <w:style w:type="paragraph" w:styleId="749">
    <w:name w:val="Title"/>
    <w:basedOn w:val="709"/>
    <w:next w:val="709"/>
    <w:link w:val="771"/>
    <w:uiPriority w:val="10"/>
    <w:qFormat/>
    <w:pPr>
      <w:contextualSpacing/>
      <w:spacing w:before="300" w:after="200"/>
    </w:pPr>
    <w:rPr>
      <w:sz w:val="48"/>
      <w:szCs w:val="48"/>
    </w:rPr>
  </w:style>
  <w:style w:type="paragraph" w:styleId="750">
    <w:name w:val="annotation subject"/>
    <w:basedOn w:val="725"/>
    <w:next w:val="725"/>
    <w:link w:val="926"/>
    <w:uiPriority w:val="0"/>
    <w:qFormat/>
    <w:rPr>
      <w:b/>
      <w:bCs/>
    </w:rPr>
  </w:style>
  <w:style w:type="paragraph" w:styleId="751">
    <w:name w:val="Body Text First Indent 2"/>
    <w:basedOn w:val="727"/>
    <w:uiPriority w:val="0"/>
    <w:qFormat/>
    <w:pPr>
      <w:ind w:firstLine="420"/>
      <w:spacing w:before="100" w:beforeAutospacing="1"/>
    </w:pPr>
    <w:rPr>
      <w:rFonts w:ascii="Times New Roman" w:hAnsi="Times New Roman" w:eastAsia="宋体"/>
      <w:sz w:val="20"/>
      <w:szCs w:val="21"/>
    </w:rPr>
  </w:style>
  <w:style w:type="table" w:styleId="752">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uiPriority w:val="0"/>
    <w:qFormat/>
    <w:rPr>
      <w:b/>
    </w:rPr>
  </w:style>
  <w:style w:type="character" w:styleId="754">
    <w:name w:val="endnote reference"/>
    <w:basedOn w:val="719"/>
    <w:uiPriority w:val="99"/>
    <w:semiHidden/>
    <w:unhideWhenUsed/>
    <w:qFormat/>
    <w:rPr>
      <w:vertAlign w:val="superscript"/>
    </w:rPr>
  </w:style>
  <w:style w:type="character" w:styleId="755">
    <w:name w:val="page number"/>
    <w:uiPriority w:val="0"/>
    <w:qFormat/>
  </w:style>
  <w:style w:type="character" w:styleId="756">
    <w:name w:val="FollowedHyperlink"/>
    <w:basedOn w:val="719"/>
    <w:uiPriority w:val="0"/>
    <w:qFormat/>
    <w:rPr>
      <w:color w:val="444444"/>
      <w:u w:val="none"/>
    </w:rPr>
  </w:style>
  <w:style w:type="character" w:styleId="757">
    <w:name w:val="Hyperlink"/>
    <w:basedOn w:val="719"/>
    <w:uiPriority w:val="0"/>
    <w:qFormat/>
    <w:rPr>
      <w:color w:val="0000ff"/>
      <w:u w:val="single"/>
    </w:rPr>
  </w:style>
  <w:style w:type="character" w:styleId="758">
    <w:name w:val="annotation reference"/>
    <w:basedOn w:val="719"/>
    <w:uiPriority w:val="0"/>
    <w:qFormat/>
    <w:rPr>
      <w:sz w:val="21"/>
      <w:szCs w:val="21"/>
    </w:rPr>
  </w:style>
  <w:style w:type="character" w:styleId="759">
    <w:name w:val="footnote reference"/>
    <w:basedOn w:val="719"/>
    <w:uiPriority w:val="99"/>
    <w:unhideWhenUsed/>
    <w:rPr>
      <w:vertAlign w:val="superscript"/>
    </w:rPr>
  </w:style>
  <w:style w:type="paragraph" w:styleId="760" w:customStyle="1">
    <w:name w:val="Default"/>
    <w:next w:val="709"/>
    <w:uiPriority w:val="0"/>
    <w:qFormat/>
    <w:pPr>
      <w:widowControl w:val="off"/>
    </w:pPr>
    <w:rPr>
      <w:rFonts w:ascii="宋体" w:hAnsi="Times New Roman" w:eastAsia="宋体" w:cs="宋体"/>
      <w:color w:val="000000"/>
      <w:sz w:val="24"/>
      <w:szCs w:val="24"/>
      <w:lang w:val="en-US" w:eastAsia="zh-CN" w:bidi="ar-SA"/>
    </w:rPr>
  </w:style>
  <w:style w:type="character" w:styleId="761" w:customStyle="1">
    <w:name w:val="Heading 1 Char"/>
    <w:basedOn w:val="719"/>
    <w:uiPriority w:val="9"/>
    <w:rPr>
      <w:rFonts w:ascii="Arial" w:hAnsi="Arial" w:eastAsia="Arial" w:cs="Arial"/>
      <w:sz w:val="40"/>
      <w:szCs w:val="40"/>
    </w:rPr>
  </w:style>
  <w:style w:type="character" w:styleId="762" w:customStyle="1">
    <w:name w:val="Heading 2 Char"/>
    <w:basedOn w:val="719"/>
    <w:uiPriority w:val="9"/>
    <w:rPr>
      <w:rFonts w:ascii="Arial" w:hAnsi="Arial" w:eastAsia="Arial" w:cs="Arial"/>
      <w:sz w:val="34"/>
    </w:rPr>
  </w:style>
  <w:style w:type="character" w:styleId="763" w:customStyle="1">
    <w:name w:val="Heading 3 Char"/>
    <w:basedOn w:val="719"/>
    <w:uiPriority w:val="9"/>
    <w:qFormat/>
    <w:rPr>
      <w:rFonts w:ascii="Arial" w:hAnsi="Arial" w:eastAsia="Arial" w:cs="Arial"/>
      <w:sz w:val="30"/>
      <w:szCs w:val="30"/>
    </w:rPr>
  </w:style>
  <w:style w:type="character" w:styleId="764" w:customStyle="1">
    <w:name w:val="Heading 4 Char"/>
    <w:basedOn w:val="719"/>
    <w:uiPriority w:val="9"/>
    <w:rPr>
      <w:rFonts w:ascii="Arial" w:hAnsi="Arial" w:eastAsia="Arial" w:cs="Arial"/>
      <w:b/>
      <w:bCs/>
      <w:sz w:val="26"/>
      <w:szCs w:val="26"/>
    </w:rPr>
  </w:style>
  <w:style w:type="character" w:styleId="765" w:customStyle="1">
    <w:name w:val="Heading 5 Char"/>
    <w:basedOn w:val="719"/>
    <w:uiPriority w:val="9"/>
    <w:qFormat/>
    <w:rPr>
      <w:rFonts w:ascii="Arial" w:hAnsi="Arial" w:eastAsia="Arial" w:cs="Arial"/>
      <w:b/>
      <w:bCs/>
      <w:sz w:val="24"/>
      <w:szCs w:val="24"/>
    </w:rPr>
  </w:style>
  <w:style w:type="character" w:styleId="766" w:customStyle="1">
    <w:name w:val="Heading 6 Char"/>
    <w:basedOn w:val="719"/>
    <w:uiPriority w:val="9"/>
    <w:qFormat/>
    <w:rPr>
      <w:rFonts w:ascii="Arial" w:hAnsi="Arial" w:eastAsia="Arial" w:cs="Arial"/>
      <w:b/>
      <w:bCs/>
      <w:sz w:val="22"/>
      <w:szCs w:val="22"/>
    </w:rPr>
  </w:style>
  <w:style w:type="character" w:styleId="767" w:customStyle="1">
    <w:name w:val="Heading 7 Char"/>
    <w:basedOn w:val="719"/>
    <w:link w:val="716"/>
    <w:uiPriority w:val="9"/>
    <w:qFormat/>
    <w:rPr>
      <w:rFonts w:ascii="Arial" w:hAnsi="Arial" w:eastAsia="Arial" w:cs="Arial"/>
      <w:b/>
      <w:bCs/>
      <w:i/>
      <w:iCs/>
      <w:sz w:val="22"/>
      <w:szCs w:val="22"/>
    </w:rPr>
  </w:style>
  <w:style w:type="character" w:styleId="768" w:customStyle="1">
    <w:name w:val="Heading 8 Char"/>
    <w:basedOn w:val="719"/>
    <w:link w:val="717"/>
    <w:uiPriority w:val="9"/>
    <w:qFormat/>
    <w:rPr>
      <w:rFonts w:ascii="Arial" w:hAnsi="Arial" w:eastAsia="Arial" w:cs="Arial"/>
      <w:i/>
      <w:iCs/>
      <w:sz w:val="22"/>
      <w:szCs w:val="22"/>
    </w:rPr>
  </w:style>
  <w:style w:type="character" w:styleId="769" w:customStyle="1">
    <w:name w:val="Heading 9 Char"/>
    <w:basedOn w:val="719"/>
    <w:link w:val="718"/>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Calibri" w:hAnsi="Calibri" w:eastAsia="宋体" w:cs="Times New Roman"/>
    </w:rPr>
  </w:style>
  <w:style w:type="character" w:styleId="771" w:customStyle="1">
    <w:name w:val="Title Char"/>
    <w:basedOn w:val="719"/>
    <w:link w:val="749"/>
    <w:uiPriority w:val="10"/>
    <w:qFormat/>
    <w:rPr>
      <w:sz w:val="48"/>
      <w:szCs w:val="48"/>
    </w:rPr>
  </w:style>
  <w:style w:type="character" w:styleId="772" w:customStyle="1">
    <w:name w:val="Subtitle Char"/>
    <w:basedOn w:val="719"/>
    <w:link w:val="740"/>
    <w:uiPriority w:val="11"/>
    <w:qFormat/>
    <w:rPr>
      <w:sz w:val="24"/>
      <w:szCs w:val="24"/>
    </w:rPr>
  </w:style>
  <w:style w:type="paragraph" w:styleId="773">
    <w:name w:val="Quote"/>
    <w:basedOn w:val="709"/>
    <w:next w:val="709"/>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09"/>
    <w:next w:val="709"/>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rPr>
      <w:i/>
    </w:rPr>
  </w:style>
  <w:style w:type="character" w:styleId="777" w:customStyle="1">
    <w:name w:val="Header Char"/>
    <w:basedOn w:val="719"/>
    <w:uiPriority w:val="99"/>
    <w:qFormat/>
  </w:style>
  <w:style w:type="character" w:styleId="778" w:customStyle="1">
    <w:name w:val="Footer Char"/>
    <w:basedOn w:val="719"/>
    <w:uiPriority w:val="99"/>
  </w:style>
  <w:style w:type="character" w:styleId="779" w:customStyle="1">
    <w:name w:val="Caption Char"/>
    <w:uiPriority w:val="99"/>
    <w:qFormat/>
  </w:style>
  <w:style w:type="table" w:styleId="780" w:customStyle="1">
    <w:name w:val="Table Grid Light"/>
    <w:basedOn w:val="72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0"/>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20"/>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2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20"/>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20"/>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20"/>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Grid Table 6 Colorful"/>
    <w:basedOn w:val="72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0"/>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0"/>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720"/>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7 Colorful"/>
    <w:basedOn w:val="72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0"/>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0"/>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0"/>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0"/>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0"/>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0"/>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0"/>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0"/>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0"/>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0"/>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0"/>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w:basedOn w:val="72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0"/>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720"/>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20"/>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20"/>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720"/>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720"/>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w:basedOn w:val="7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0"/>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2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0"/>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w:basedOn w:val="7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72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20"/>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2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720"/>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List Table 5 Dark"/>
    <w:basedOn w:val="72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0"/>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0"/>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0"/>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0"/>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0"/>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0"/>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720"/>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720"/>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720"/>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72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720"/>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List Table 7 Colorful"/>
    <w:basedOn w:val="72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0"/>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0"/>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0"/>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0"/>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0"/>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0"/>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2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0"/>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72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720"/>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20"/>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720"/>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720"/>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2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72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72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2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72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72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Footnote Text Char"/>
    <w:link w:val="741"/>
    <w:uiPriority w:val="99"/>
    <w:rPr>
      <w:sz w:val="18"/>
    </w:rPr>
  </w:style>
  <w:style w:type="character" w:styleId="906" w:customStyle="1">
    <w:name w:val="Endnote Text Char"/>
    <w:link w:val="733"/>
    <w:uiPriority w:val="99"/>
    <w:rPr>
      <w:sz w:val="20"/>
    </w:rPr>
  </w:style>
  <w:style w:type="paragraph" w:styleId="907" w:customStyle="1">
    <w:name w:val="TOC Heading"/>
    <w:uiPriority w:val="39"/>
    <w:unhideWhenUsed/>
    <w:rPr>
      <w:rFonts w:hint="default" w:ascii="Calibri" w:hAnsi="Calibri" w:eastAsia="宋体" w:cs="Times New Roman"/>
    </w:rPr>
  </w:style>
  <w:style w:type="paragraph" w:styleId="908" w:customStyle="1">
    <w:name w:val="正文（缩进）"/>
    <w:basedOn w:val="709"/>
    <w:uiPriority w:val="0"/>
    <w:qFormat/>
    <w:pPr>
      <w:ind w:firstLine="480"/>
      <w:spacing w:before="156" w:after="156"/>
    </w:pPr>
  </w:style>
  <w:style w:type="paragraph" w:styleId="909" w:customStyle="1">
    <w:name w:val="正文1"/>
    <w:basedOn w:val="709"/>
    <w:next w:val="910"/>
    <w:uiPriority w:val="0"/>
    <w:qFormat/>
    <w:pPr>
      <w:jc w:val="left"/>
      <w:spacing w:line="360" w:lineRule="atLeast"/>
    </w:pPr>
    <w:rPr>
      <w:rFonts w:ascii="宋体" w:hAnsiTheme="minorHAnsi" w:eastAsiaTheme="minorEastAsia" w:cstheme="minorBidi"/>
      <w:sz w:val="24"/>
      <w:szCs w:val="20"/>
    </w:rPr>
  </w:style>
  <w:style w:type="paragraph" w:styleId="910" w:customStyle="1">
    <w:name w:val="正文文本1"/>
    <w:basedOn w:val="909"/>
    <w:next w:val="911"/>
    <w:uiPriority w:val="0"/>
    <w:qFormat/>
    <w:pPr>
      <w:spacing w:after="120"/>
    </w:pPr>
    <w:rPr>
      <w:lang w:eastAsia="en-US"/>
    </w:rPr>
  </w:style>
  <w:style w:type="paragraph" w:styleId="911" w:customStyle="1">
    <w:name w:val="一级条标题"/>
    <w:basedOn w:val="91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3" w:customStyle="1">
    <w:name w:val="段"/>
    <w:basedOn w:val="909"/>
    <w:next w:val="709"/>
    <w:uiPriority w:val="0"/>
    <w:qFormat/>
    <w:pPr>
      <w:ind w:firstLine="200"/>
      <w:widowControl/>
    </w:pPr>
    <w:rPr>
      <w:sz w:val="20"/>
    </w:rPr>
  </w:style>
  <w:style w:type="paragraph" w:styleId="914"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15" w:customStyle="1">
    <w:name w:val="Char"/>
    <w:basedOn w:val="709"/>
    <w:uiPriority w:val="0"/>
    <w:qFormat/>
    <w:pPr>
      <w:ind w:firstLine="200"/>
      <w:tabs>
        <w:tab w:val="left" w:pos="360" w:leader="none"/>
      </w:tabs>
    </w:pPr>
    <w:rPr>
      <w:rFonts w:ascii="Times New Roman" w:hAnsi="Times New Roman"/>
      <w:sz w:val="28"/>
      <w:szCs w:val="30"/>
    </w:rPr>
  </w:style>
  <w:style w:type="character" w:styleId="916" w:customStyle="1">
    <w:name w:val="批注框文本 Char"/>
    <w:basedOn w:val="719"/>
    <w:link w:val="734"/>
    <w:uiPriority w:val="0"/>
    <w:qFormat/>
    <w:rPr>
      <w:sz w:val="18"/>
      <w:szCs w:val="18"/>
    </w:rPr>
  </w:style>
  <w:style w:type="paragraph" w:styleId="917" w:customStyle="1">
    <w:name w:val="Table Paragraph"/>
    <w:basedOn w:val="709"/>
    <w:uiPriority w:val="1"/>
    <w:qFormat/>
    <w:rPr>
      <w:rFonts w:ascii="Noto Sans CJK JP Regular" w:hAnsi="Noto Sans CJK JP Regular" w:eastAsia="Noto Sans CJK JP Regular" w:cs="Noto Sans CJK JP Regular"/>
    </w:rPr>
  </w:style>
  <w:style w:type="paragraph" w:styleId="918" w:customStyle="1">
    <w:name w:val="正文（1）"/>
    <w:basedOn w:val="709"/>
    <w:uiPriority w:val="0"/>
    <w:qFormat/>
    <w:pPr>
      <w:numPr>
        <w:ilvl w:val="0"/>
        <w:numId w:val="2"/>
      </w:numPr>
      <w:ind w:firstLine="200"/>
    </w:pPr>
    <w:rPr>
      <w:szCs w:val="24"/>
    </w:rPr>
  </w:style>
  <w:style w:type="paragraph" w:styleId="919" w:customStyle="1">
    <w:name w:val="朱-正文"/>
    <w:basedOn w:val="709"/>
    <w:uiPriority w:val="0"/>
    <w:qFormat/>
    <w:pPr>
      <w:ind w:firstLine="200"/>
    </w:pPr>
    <w:rPr>
      <w:rFonts w:ascii="Times New Roman"/>
      <w:color w:val="000000"/>
      <w:szCs w:val="24"/>
      <w:lang w:val="en-GB"/>
    </w:rPr>
  </w:style>
  <w:style w:type="paragraph" w:styleId="920" w:customStyle="1">
    <w:name w:val="GP正文(首行缩进)"/>
    <w:basedOn w:val="709"/>
    <w:uiPriority w:val="0"/>
    <w:qFormat/>
    <w:pPr>
      <w:ind w:firstLine="480"/>
      <w:jc w:val="left"/>
    </w:pPr>
    <w:rPr>
      <w:rFonts w:ascii="Times New Roman" w:hAnsi="宋体"/>
      <w:sz w:val="24"/>
      <w:szCs w:val="24"/>
    </w:rPr>
  </w:style>
  <w:style w:type="character" w:styleId="921" w:customStyle="1">
    <w:name w:val="font71"/>
    <w:basedOn w:val="719"/>
    <w:uiPriority w:val="0"/>
    <w:qFormat/>
    <w:rPr>
      <w:rFonts w:hint="eastAsia" w:ascii="宋体" w:hAnsi="宋体" w:eastAsia="宋体" w:cs="宋体"/>
      <w:color w:val="ff0000"/>
      <w:sz w:val="21"/>
      <w:szCs w:val="21"/>
      <w:u w:val="none"/>
    </w:rPr>
  </w:style>
  <w:style w:type="character" w:styleId="922" w:customStyle="1">
    <w:name w:val="font41"/>
    <w:basedOn w:val="719"/>
    <w:uiPriority w:val="0"/>
    <w:qFormat/>
    <w:rPr>
      <w:rFonts w:hint="eastAsia" w:ascii="宋体" w:hAnsi="宋体" w:eastAsia="宋体" w:cs="宋体"/>
      <w:color w:val="000000"/>
      <w:sz w:val="21"/>
      <w:szCs w:val="21"/>
      <w:u w:val="none"/>
    </w:rPr>
  </w:style>
  <w:style w:type="paragraph" w:styleId="923">
    <w:name w:val="List Paragraph"/>
    <w:basedOn w:val="709"/>
    <w:uiPriority w:val="0"/>
    <w:qFormat/>
    <w:pPr>
      <w:ind w:firstLine="420"/>
    </w:pPr>
  </w:style>
  <w:style w:type="paragraph" w:styleId="924" w:customStyle="1">
    <w:name w:val="列出段落2"/>
    <w:basedOn w:val="709"/>
    <w:uiPriority w:val="34"/>
    <w:qFormat/>
    <w:pPr>
      <w:ind w:firstLine="420"/>
    </w:pPr>
    <w:rPr>
      <w:rFonts w:ascii="宋体"/>
      <w:color w:val="404040"/>
    </w:rPr>
  </w:style>
  <w:style w:type="character" w:styleId="925" w:customStyle="1">
    <w:name w:val="批注文字 Char"/>
    <w:basedOn w:val="719"/>
    <w:link w:val="725"/>
    <w:uiPriority w:val="0"/>
    <w:qFormat/>
    <w:rPr>
      <w:rFonts w:ascii="Calibri" w:hAnsi="Calibri"/>
      <w:sz w:val="21"/>
      <w:szCs w:val="22"/>
    </w:rPr>
  </w:style>
  <w:style w:type="character" w:styleId="926" w:customStyle="1">
    <w:name w:val="批注主题 Char"/>
    <w:basedOn w:val="925"/>
    <w:link w:val="750"/>
    <w:uiPriority w:val="0"/>
    <w:qFormat/>
    <w:rPr>
      <w:rFonts w:ascii="Calibri" w:hAnsi="Calibri"/>
      <w:b/>
      <w:bCs/>
      <w:sz w:val="21"/>
      <w:szCs w:val="22"/>
    </w:rPr>
  </w:style>
  <w:style w:type="paragraph" w:styleId="927" w:customStyle="1">
    <w:name w:val="列表段落1"/>
    <w:basedOn w:val="709"/>
    <w:uiPriority w:val="0"/>
    <w:qFormat/>
    <w:pPr>
      <w:ind w:firstLine="200"/>
    </w:pPr>
    <w:rPr>
      <w:rFonts w:cs="宋体"/>
    </w:rPr>
  </w:style>
  <w:style w:type="character" w:styleId="928" w:customStyle="1">
    <w:name w:val="font51"/>
    <w:basedOn w:val="719"/>
    <w:uiPriority w:val="0"/>
    <w:qFormat/>
    <w:rPr>
      <w:rFonts w:hint="eastAsia" w:ascii="宋体" w:hAnsi="宋体" w:eastAsia="宋体" w:cs="宋体"/>
      <w:color w:val="000000"/>
      <w:sz w:val="24"/>
      <w:szCs w:val="24"/>
      <w:u w:val="none"/>
      <w:vertAlign w:val="subscript"/>
    </w:rPr>
  </w:style>
  <w:style w:type="character" w:styleId="929" w:customStyle="1">
    <w:name w:val="font61"/>
    <w:basedOn w:val="719"/>
    <w:uiPriority w:val="0"/>
    <w:qFormat/>
    <w:rPr>
      <w:rFonts w:hint="eastAsia" w:ascii="宋体" w:hAnsi="宋体" w:eastAsia="宋体" w:cs="宋体"/>
      <w:color w:val="000000"/>
      <w:sz w:val="24"/>
      <w:szCs w:val="24"/>
      <w:u w:val="none"/>
    </w:rPr>
  </w:style>
  <w:style w:type="character" w:styleId="930" w:customStyle="1">
    <w:name w:val="font01"/>
    <w:basedOn w:val="719"/>
    <w:uiPriority w:val="0"/>
    <w:qFormat/>
    <w:rPr>
      <w:rFonts w:hint="eastAsia" w:ascii="宋体" w:hAnsi="宋体" w:eastAsia="宋体" w:cs="宋体"/>
      <w:color w:val="000000"/>
      <w:sz w:val="24"/>
      <w:szCs w:val="24"/>
      <w:u w:val="none"/>
    </w:rPr>
  </w:style>
  <w:style w:type="character" w:styleId="931" w:customStyle="1">
    <w:name w:val="font81"/>
    <w:basedOn w:val="719"/>
    <w:uiPriority w:val="0"/>
    <w:qFormat/>
    <w:rPr>
      <w:rFonts w:ascii="微软雅黑" w:hAnsi="微软雅黑" w:eastAsia="微软雅黑" w:cs="微软雅黑"/>
      <w:color w:val="000000"/>
      <w:sz w:val="24"/>
      <w:szCs w:val="24"/>
      <w:u w:val="none"/>
    </w:rPr>
  </w:style>
  <w:style w:type="character" w:styleId="932" w:customStyle="1">
    <w:name w:val="font91"/>
    <w:basedOn w:val="719"/>
    <w:uiPriority w:val="0"/>
    <w:qFormat/>
    <w:rPr>
      <w:rFonts w:ascii="Segoe UI Symbol" w:hAnsi="Segoe UI Symbol" w:eastAsia="Segoe UI Symbol" w:cs="Segoe UI Symbol"/>
      <w:color w:val="000000"/>
      <w:sz w:val="24"/>
      <w:szCs w:val="24"/>
      <w:u w:val="none"/>
    </w:rPr>
  </w:style>
  <w:style w:type="character" w:styleId="933" w:customStyle="1">
    <w:name w:val="font101"/>
    <w:basedOn w:val="719"/>
    <w:uiPriority w:val="0"/>
    <w:qFormat/>
    <w:rPr>
      <w:rFonts w:ascii="Calibri" w:hAnsi="Calibri" w:cs="Calibri"/>
      <w:color w:val="000000"/>
      <w:sz w:val="24"/>
      <w:szCs w:val="24"/>
      <w:u w:val="none"/>
    </w:rPr>
  </w:style>
  <w:style w:type="paragraph" w:styleId="934"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35" w:customStyle="1">
    <w:name w:val="TableEmphasis"/>
    <w:basedOn w:val="709"/>
    <w:uiPriority w:val="0"/>
    <w:qFormat/>
    <w:rPr>
      <w:rFonts w:ascii="Times New Roman" w:hAnsi="Times New Roman" w:eastAsia="Times New Roman"/>
      <w:b/>
      <w:bCs/>
      <w:color w:val="3333ff"/>
      <w:sz w:val="16"/>
      <w:szCs w:val="18"/>
    </w:rPr>
  </w:style>
  <w:style w:type="paragraph" w:styleId="936"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37" w:customStyle="1">
    <w:name w:val="修订2"/>
    <w:hidden/>
    <w:uiPriority w:val="99"/>
    <w:semiHidden/>
    <w:qFormat/>
    <w:rPr>
      <w:rFonts w:hint="default" w:ascii="Calibri" w:hAnsi="Calibri" w:eastAsia="宋体" w:cs="Times New Roman"/>
      <w:sz w:val="21"/>
      <w:szCs w:val="22"/>
      <w:lang w:val="en-US" w:eastAsia="zh-CN" w:bidi="ar-SA"/>
    </w:rPr>
  </w:style>
  <w:style w:type="character" w:styleId="938" w:customStyle="1">
    <w:name w:val="font31"/>
    <w:basedOn w:val="719"/>
    <w:uiPriority w:val="0"/>
    <w:qFormat/>
    <w:rPr>
      <w:rFonts w:hint="default" w:ascii="仿宋_GB2312" w:eastAsia="仿宋_GB2312" w:cs="仿宋_GB2312"/>
      <w:color w:val="000000"/>
      <w:sz w:val="24"/>
      <w:szCs w:val="24"/>
      <w:u w:val="none"/>
    </w:rPr>
  </w:style>
  <w:style w:type="paragraph" w:styleId="939" w:customStyle="1">
    <w:name w:val="修订3"/>
    <w:hidden/>
    <w:uiPriority w:val="99"/>
    <w:unhideWhenUsed/>
    <w:qFormat/>
    <w:rPr>
      <w:rFonts w:hint="default" w:ascii="Calibri" w:hAnsi="Calibri" w:eastAsia="宋体" w:cs="Times New Roman"/>
      <w:sz w:val="21"/>
      <w:szCs w:val="22"/>
      <w:lang w:val="en-US" w:eastAsia="zh-CN" w:bidi="ar-SA"/>
    </w:rPr>
  </w:style>
  <w:style w:type="character" w:styleId="940" w:customStyle="1">
    <w:name w:val="mark"/>
    <w:uiPriority w:val="0"/>
    <w:qFormat/>
  </w:style>
  <w:style w:type="character" w:styleId="941" w:customStyle="1">
    <w:name w:val="wx-space"/>
    <w:basedOn w:val="719"/>
    <w:uiPriority w:val="0"/>
    <w:qFormat/>
  </w:style>
  <w:style w:type="character" w:styleId="942" w:customStyle="1">
    <w:name w:val="wx-space1"/>
    <w:basedOn w:val="719"/>
    <w:uiPriority w:val="0"/>
    <w:qFormat/>
  </w:style>
  <w:style w:type="character" w:styleId="943" w:customStyle="1">
    <w:name w:val="hover2"/>
    <w:basedOn w:val="719"/>
    <w:uiPriority w:val="0"/>
    <w:qFormat/>
    <w:rPr>
      <w:color w:val="000000"/>
      <w:shd w:val="clear" w:color="auto" w:fill="ffffff"/>
    </w:rPr>
  </w:style>
  <w:style w:type="paragraph" w:styleId="944" w:customStyle="1">
    <w:name w:val="纯文本1"/>
    <w:basedOn w:val="709"/>
    <w:uiPriority w:val="99"/>
    <w:qFormat/>
    <w:rPr>
      <w:rFonts w:ascii="宋体" w:hAnsi="Courier New"/>
      <w:sz w:val="20"/>
      <w:szCs w:val="21"/>
    </w:rPr>
  </w:style>
  <w:style w:type="paragraph" w:styleId="945" w:customStyle="1">
    <w:name w:val="BodyText1I2"/>
    <w:basedOn w:val="946"/>
    <w:next w:val="947"/>
    <w:uiPriority w:val="0"/>
    <w:qFormat/>
    <w:pPr>
      <w:ind w:firstLine="420"/>
    </w:pPr>
  </w:style>
  <w:style w:type="paragraph" w:styleId="946" w:customStyle="1">
    <w:name w:val="BodyTextIndent"/>
    <w:basedOn w:val="709"/>
    <w:next w:val="709"/>
    <w:uiPriority w:val="0"/>
    <w:qFormat/>
    <w:pPr>
      <w:ind w:left="420"/>
      <w:spacing w:after="120"/>
    </w:pPr>
    <w:rPr>
      <w:szCs w:val="24"/>
    </w:rPr>
  </w:style>
  <w:style w:type="paragraph" w:styleId="947" w:customStyle="1">
    <w:name w:val="BodyText1I"/>
    <w:basedOn w:val="948"/>
    <w:uiPriority w:val="0"/>
    <w:qFormat/>
    <w:pPr>
      <w:ind w:firstLine="420"/>
    </w:pPr>
  </w:style>
  <w:style w:type="paragraph" w:styleId="948" w:customStyle="1">
    <w:name w:val="BodyText"/>
    <w:basedOn w:val="709"/>
    <w:uiPriority w:val="0"/>
    <w:qFormat/>
    <w:pPr>
      <w:spacing w:after="120"/>
    </w:pPr>
    <w:rPr>
      <w:rFonts w:ascii="Calibri"/>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2024-11-25T07:36:00Z</dcterms:created>
  <dcterms:modified xsi:type="dcterms:W3CDTF">2025-11-17T09:04:24Z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B09D9BC62BE146F0B92AE9A7AC660731_13</vt:lpwstr>
  </property>
  <property fmtid="{D5CDD505-2E9C-101B-9397-08002B2CF9AE}" pid="4" name="KSOTemplateDocerSaveRecord">
    <vt:lpwstr>eyJoZGlkIjoiZTFkMGE0MzdiZjYyNGRhYmNhOGNkOGYwYmM0NzcxNjYifQ==</vt:lpwstr>
  </property>
</Properties>
</file>