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52360" w14:textId="26EBFBDE" w:rsidR="00F7732E" w:rsidRDefault="00F7732E" w:rsidP="00014482">
      <w:pPr>
        <w:spacing w:line="360" w:lineRule="auto"/>
        <w:jc w:val="center"/>
      </w:pPr>
      <w:bookmarkStart w:id="0" w:name="_Toc528771312"/>
      <w:bookmarkStart w:id="1" w:name="_Toc27744861"/>
      <w:bookmarkStart w:id="2" w:name="_Toc4489964"/>
    </w:p>
    <w:p w14:paraId="2E7AD871" w14:textId="77777777" w:rsidR="00F7732E" w:rsidRDefault="00000000">
      <w:pPr>
        <w:pStyle w:val="aff2"/>
        <w:spacing w:before="120" w:after="120" w:line="360" w:lineRule="auto"/>
        <w:ind w:firstLine="422"/>
        <w:jc w:val="center"/>
        <w:rPr>
          <w:rFonts w:ascii="Times New Roman" w:hAnsi="Times New Roman"/>
          <w:b/>
          <w:bCs/>
          <w:sz w:val="21"/>
          <w:szCs w:val="22"/>
        </w:rPr>
      </w:pPr>
      <w:r>
        <w:rPr>
          <w:rFonts w:ascii="Times New Roman" w:hAnsi="Times New Roman" w:hint="eastAsia"/>
          <w:b/>
          <w:bCs/>
          <w:sz w:val="21"/>
          <w:szCs w:val="22"/>
        </w:rPr>
        <w:t>江都区政府采购合同（服务）（合同编号）</w:t>
      </w:r>
    </w:p>
    <w:p w14:paraId="39CE343B" w14:textId="77777777" w:rsidR="00F7732E" w:rsidRDefault="00000000" w:rsidP="00014482">
      <w:pPr>
        <w:pStyle w:val="aff2"/>
        <w:spacing w:before="120" w:after="120" w:line="360" w:lineRule="auto"/>
        <w:ind w:firstLine="420"/>
        <w:rPr>
          <w:rFonts w:hAnsi="宋体" w:hint="eastAsia"/>
        </w:rPr>
      </w:pPr>
      <w:r>
        <w:rPr>
          <w:rFonts w:ascii="Times New Roman" w:hAnsi="Times New Roman" w:hint="eastAsia"/>
          <w:sz w:val="21"/>
          <w:szCs w:val="22"/>
        </w:rPr>
        <w:t>项目名称：</w:t>
      </w:r>
      <w:r>
        <w:rPr>
          <w:rFonts w:ascii="Times New Roman" w:hAnsi="Times New Roman" w:hint="eastAsia"/>
          <w:sz w:val="21"/>
          <w:szCs w:val="22"/>
          <w:u w:val="single"/>
        </w:rPr>
        <w:t>江苏省江都经济开发区大桥镇</w:t>
      </w:r>
      <w:r>
        <w:rPr>
          <w:rFonts w:ascii="Times New Roman" w:hAnsi="Times New Roman" w:hint="eastAsia"/>
          <w:sz w:val="21"/>
          <w:szCs w:val="22"/>
          <w:u w:val="single"/>
        </w:rPr>
        <w:t>2025</w:t>
      </w:r>
      <w:r>
        <w:rPr>
          <w:rFonts w:ascii="Times New Roman" w:hAnsi="Times New Roman" w:hint="eastAsia"/>
          <w:sz w:val="21"/>
          <w:szCs w:val="22"/>
          <w:u w:val="single"/>
        </w:rPr>
        <w:t>年度工业企业安全生产兜底检查和重点企业季度检查</w:t>
      </w:r>
    </w:p>
    <w:p w14:paraId="36B6895C"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项目编号：</w:t>
      </w:r>
      <w:r>
        <w:rPr>
          <w:rFonts w:hAnsi="宋体" w:cs="宋体" w:hint="eastAsia"/>
          <w:szCs w:val="21"/>
        </w:rPr>
        <w:t>JSZC-321012-HCZX-C2025-0085</w:t>
      </w:r>
    </w:p>
    <w:p w14:paraId="13C064AB"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甲方：（买方）</w:t>
      </w:r>
      <w:r>
        <w:rPr>
          <w:rFonts w:ascii="Times New Roman" w:hAnsi="Times New Roman" w:hint="eastAsia"/>
          <w:sz w:val="21"/>
          <w:szCs w:val="22"/>
          <w:u w:val="single"/>
        </w:rPr>
        <w:t>江苏省江都经济开发区管理委员会</w:t>
      </w:r>
    </w:p>
    <w:p w14:paraId="56E2AA38" w14:textId="2ABAB496" w:rsidR="00F7732E" w:rsidRDefault="00000000" w:rsidP="00014482">
      <w:pPr>
        <w:pStyle w:val="aff2"/>
        <w:spacing w:before="120" w:after="120" w:line="360" w:lineRule="auto"/>
        <w:ind w:firstLine="420"/>
        <w:rPr>
          <w:rFonts w:hAnsi="宋体" w:hint="eastAsia"/>
          <w:u w:val="single"/>
        </w:rPr>
      </w:pPr>
      <w:r>
        <w:rPr>
          <w:rFonts w:ascii="Times New Roman" w:hAnsi="Times New Roman" w:hint="eastAsia"/>
          <w:sz w:val="21"/>
          <w:szCs w:val="22"/>
        </w:rPr>
        <w:t>乙方：（卖方）</w:t>
      </w:r>
      <w:r w:rsidR="00C55189" w:rsidRPr="00C55189">
        <w:rPr>
          <w:rFonts w:ascii="Times New Roman" w:hAnsi="Times New Roman" w:hint="eastAsia"/>
          <w:sz w:val="21"/>
          <w:szCs w:val="22"/>
          <w:u w:val="single"/>
        </w:rPr>
        <w:t>扬州市</w:t>
      </w:r>
      <w:proofErr w:type="gramStart"/>
      <w:r w:rsidR="00C55189" w:rsidRPr="00C55189">
        <w:rPr>
          <w:rFonts w:ascii="Times New Roman" w:hAnsi="Times New Roman" w:hint="eastAsia"/>
          <w:sz w:val="21"/>
          <w:szCs w:val="22"/>
          <w:u w:val="single"/>
        </w:rPr>
        <w:t>迪</w:t>
      </w:r>
      <w:proofErr w:type="gramEnd"/>
      <w:r w:rsidR="00C55189" w:rsidRPr="00C55189">
        <w:rPr>
          <w:rFonts w:ascii="Times New Roman" w:hAnsi="Times New Roman" w:hint="eastAsia"/>
          <w:sz w:val="21"/>
          <w:szCs w:val="22"/>
          <w:u w:val="single"/>
        </w:rPr>
        <w:t>天检测技术服务有限公司</w:t>
      </w:r>
    </w:p>
    <w:p w14:paraId="50A905BA"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甲、乙双方根据江苏汇诚投资咨询管理有限公司关于本项目竞争性磋商的结果，签署本合同。</w:t>
      </w:r>
    </w:p>
    <w:p w14:paraId="7F4D932C"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一、服务及产品内容</w:t>
      </w:r>
    </w:p>
    <w:p w14:paraId="5E1400AF" w14:textId="7C7D54D9"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1.1 </w:t>
      </w:r>
      <w:r>
        <w:rPr>
          <w:rFonts w:ascii="Times New Roman" w:hAnsi="Times New Roman" w:hint="eastAsia"/>
          <w:sz w:val="21"/>
          <w:szCs w:val="22"/>
        </w:rPr>
        <w:t>项目（产品）名称：</w:t>
      </w:r>
      <w:r>
        <w:rPr>
          <w:rFonts w:ascii="Times New Roman" w:hAnsi="Times New Roman" w:hint="eastAsia"/>
          <w:sz w:val="21"/>
          <w:szCs w:val="22"/>
          <w:u w:val="single"/>
        </w:rPr>
        <w:t>江苏省江都经济开发区大桥镇</w:t>
      </w:r>
      <w:r>
        <w:rPr>
          <w:rFonts w:ascii="Times New Roman" w:hAnsi="Times New Roman" w:hint="eastAsia"/>
          <w:sz w:val="21"/>
          <w:szCs w:val="22"/>
          <w:u w:val="single"/>
        </w:rPr>
        <w:t>2025</w:t>
      </w:r>
      <w:r>
        <w:rPr>
          <w:rFonts w:ascii="Times New Roman" w:hAnsi="Times New Roman" w:hint="eastAsia"/>
          <w:sz w:val="21"/>
          <w:szCs w:val="22"/>
          <w:u w:val="single"/>
        </w:rPr>
        <w:t>年度工业企业安全生产兜底检查和重点企业季度检查</w:t>
      </w:r>
      <w:r w:rsidR="00014482">
        <w:rPr>
          <w:rFonts w:ascii="Times New Roman" w:hAnsi="Times New Roman" w:hint="eastAsia"/>
          <w:sz w:val="21"/>
          <w:szCs w:val="22"/>
          <w:u w:val="single"/>
        </w:rPr>
        <w:t>（包</w:t>
      </w:r>
      <w:r w:rsidR="00C55189">
        <w:rPr>
          <w:rFonts w:ascii="Times New Roman" w:hAnsi="Times New Roman" w:hint="eastAsia"/>
          <w:sz w:val="21"/>
          <w:szCs w:val="22"/>
          <w:u w:val="single"/>
        </w:rPr>
        <w:t>二</w:t>
      </w:r>
      <w:r w:rsidR="00014482">
        <w:rPr>
          <w:rFonts w:ascii="Times New Roman" w:hAnsi="Times New Roman" w:hint="eastAsia"/>
          <w:sz w:val="21"/>
          <w:szCs w:val="22"/>
          <w:u w:val="single"/>
        </w:rPr>
        <w:t>）</w:t>
      </w:r>
    </w:p>
    <w:p w14:paraId="406B2399"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1.2 </w:t>
      </w:r>
      <w:r>
        <w:rPr>
          <w:rFonts w:ascii="Times New Roman" w:hAnsi="Times New Roman" w:hint="eastAsia"/>
          <w:sz w:val="21"/>
          <w:szCs w:val="22"/>
        </w:rPr>
        <w:t>项目服务内容：</w:t>
      </w:r>
      <w:r>
        <w:rPr>
          <w:rFonts w:ascii="Times New Roman" w:hAnsi="Times New Roman" w:hint="eastAsia"/>
          <w:sz w:val="21"/>
          <w:szCs w:val="22"/>
          <w:u w:val="single"/>
        </w:rPr>
        <w:t>见采购文件第四章</w:t>
      </w:r>
    </w:p>
    <w:p w14:paraId="69417F3E"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二、合同金额</w:t>
      </w:r>
    </w:p>
    <w:p w14:paraId="10BB657D" w14:textId="0EA1D65B"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2.1 </w:t>
      </w:r>
      <w:r>
        <w:rPr>
          <w:rFonts w:ascii="Times New Roman" w:hAnsi="Times New Roman" w:hint="eastAsia"/>
          <w:sz w:val="21"/>
          <w:szCs w:val="22"/>
        </w:rPr>
        <w:t>本合同金额为（大写）：</w:t>
      </w:r>
      <w:r w:rsidR="00014482" w:rsidRPr="00014482">
        <w:rPr>
          <w:rFonts w:ascii="Times New Roman" w:hAnsi="Times New Roman" w:hint="eastAsia"/>
          <w:b/>
          <w:bCs/>
          <w:sz w:val="21"/>
          <w:szCs w:val="22"/>
          <w:u w:val="single"/>
        </w:rPr>
        <w:t xml:space="preserve"> </w:t>
      </w:r>
      <w:r w:rsidR="00C55189">
        <w:rPr>
          <w:rFonts w:ascii="Times New Roman" w:hAnsi="Times New Roman" w:hint="eastAsia"/>
          <w:b/>
          <w:bCs/>
          <w:sz w:val="21"/>
          <w:szCs w:val="22"/>
          <w:u w:val="single"/>
        </w:rPr>
        <w:t>贰拾陆</w:t>
      </w:r>
      <w:r w:rsidR="00014482" w:rsidRPr="00014482">
        <w:rPr>
          <w:rFonts w:ascii="Times New Roman" w:hAnsi="Times New Roman" w:hint="eastAsia"/>
          <w:b/>
          <w:bCs/>
          <w:sz w:val="21"/>
          <w:szCs w:val="22"/>
          <w:u w:val="single"/>
        </w:rPr>
        <w:t>万</w:t>
      </w:r>
      <w:r w:rsidR="00014482" w:rsidRPr="00014482">
        <w:rPr>
          <w:rFonts w:ascii="Times New Roman" w:hAnsi="Times New Roman" w:hint="eastAsia"/>
          <w:b/>
          <w:bCs/>
          <w:sz w:val="21"/>
          <w:szCs w:val="22"/>
          <w:u w:val="single"/>
        </w:rPr>
        <w:t xml:space="preserve"> </w:t>
      </w:r>
      <w:r>
        <w:rPr>
          <w:rFonts w:ascii="Times New Roman" w:hAnsi="Times New Roman" w:hint="eastAsia"/>
          <w:sz w:val="21"/>
          <w:szCs w:val="22"/>
        </w:rPr>
        <w:t>圆（小写）</w:t>
      </w:r>
      <w:r>
        <w:rPr>
          <w:rFonts w:ascii="Times New Roman" w:hAnsi="Times New Roman" w:hint="eastAsia"/>
          <w:b/>
          <w:bCs/>
          <w:sz w:val="21"/>
          <w:szCs w:val="22"/>
        </w:rPr>
        <w:t>￥</w:t>
      </w:r>
      <w:r w:rsidRPr="00014482">
        <w:rPr>
          <w:rFonts w:ascii="Times New Roman" w:hAnsi="Times New Roman" w:hint="eastAsia"/>
          <w:b/>
          <w:bCs/>
          <w:sz w:val="21"/>
          <w:szCs w:val="22"/>
        </w:rPr>
        <w:t>_</w:t>
      </w:r>
      <w:r w:rsidR="00C55189">
        <w:rPr>
          <w:rFonts w:ascii="Times New Roman" w:hAnsi="Times New Roman" w:hint="eastAsia"/>
          <w:b/>
          <w:bCs/>
          <w:sz w:val="21"/>
          <w:szCs w:val="22"/>
          <w:u w:val="single"/>
        </w:rPr>
        <w:t>26</w:t>
      </w:r>
      <w:r w:rsidR="00014482" w:rsidRPr="00014482">
        <w:rPr>
          <w:rFonts w:ascii="Times New Roman" w:hAnsi="Times New Roman" w:hint="eastAsia"/>
          <w:b/>
          <w:bCs/>
          <w:sz w:val="21"/>
          <w:szCs w:val="22"/>
          <w:u w:val="single"/>
        </w:rPr>
        <w:t>0000.00</w:t>
      </w:r>
      <w:r w:rsidRPr="00014482">
        <w:rPr>
          <w:rFonts w:ascii="Times New Roman" w:hAnsi="Times New Roman" w:hint="eastAsia"/>
          <w:b/>
          <w:bCs/>
          <w:sz w:val="21"/>
          <w:szCs w:val="22"/>
        </w:rPr>
        <w:t>_</w:t>
      </w:r>
      <w:r>
        <w:rPr>
          <w:rFonts w:ascii="Times New Roman" w:hAnsi="Times New Roman" w:hint="eastAsia"/>
          <w:sz w:val="21"/>
          <w:szCs w:val="22"/>
        </w:rPr>
        <w:t>元人民币。</w:t>
      </w:r>
    </w:p>
    <w:p w14:paraId="00311879" w14:textId="77777777" w:rsidR="00F7732E" w:rsidRDefault="00000000" w:rsidP="00014482">
      <w:pPr>
        <w:pStyle w:val="16"/>
        <w:spacing w:before="120" w:after="120" w:line="360" w:lineRule="auto"/>
        <w:ind w:firstLine="420"/>
        <w:rPr>
          <w:rFonts w:ascii="Times New Roman" w:hAnsi="Times New Roman"/>
          <w:szCs w:val="22"/>
        </w:rPr>
      </w:pPr>
      <w:r>
        <w:rPr>
          <w:rFonts w:ascii="Times New Roman" w:hAnsi="Times New Roman" w:hint="eastAsia"/>
          <w:szCs w:val="22"/>
        </w:rPr>
        <w:t xml:space="preserve">2.2 </w:t>
      </w:r>
      <w:r>
        <w:rPr>
          <w:rFonts w:ascii="Times New Roman" w:hAnsi="Times New Roman" w:hint="eastAsia"/>
          <w:szCs w:val="22"/>
        </w:rPr>
        <w:t>本合同总金额包括乙方提供的服务及其他有关的为完成本项目发生的所有费用，包括并不仅限于：人员工资、交通住宿费、检查费、编制报告费、法定税费、管理费、培训费、宣传服务费、自有设备配件费和维修费等为完成磋商文件规定的服务工作所涉及到的一切相关费用。磋商文件中另有规定的除外。</w:t>
      </w:r>
    </w:p>
    <w:p w14:paraId="768485F0" w14:textId="77777777" w:rsidR="00F7732E" w:rsidRDefault="00000000" w:rsidP="00014482">
      <w:pPr>
        <w:pStyle w:val="16"/>
        <w:spacing w:before="120" w:after="120" w:line="360" w:lineRule="auto"/>
        <w:ind w:firstLine="420"/>
        <w:rPr>
          <w:rFonts w:ascii="Times New Roman" w:hAnsi="Times New Roman"/>
          <w:szCs w:val="22"/>
        </w:rPr>
      </w:pPr>
      <w:r>
        <w:rPr>
          <w:rFonts w:ascii="Times New Roman" w:hAnsi="Times New Roman" w:hint="eastAsia"/>
          <w:szCs w:val="22"/>
        </w:rPr>
        <w:t xml:space="preserve">2.3 </w:t>
      </w:r>
      <w:r>
        <w:rPr>
          <w:rFonts w:ascii="Times New Roman" w:hAnsi="Times New Roman" w:hint="eastAsia"/>
          <w:szCs w:val="22"/>
        </w:rPr>
        <w:t>在磋商文件未列明，而乙方认为履行本合同必需的费用也包含在合同总金额中。</w:t>
      </w:r>
    </w:p>
    <w:p w14:paraId="551339EE" w14:textId="77777777" w:rsidR="00F7732E" w:rsidRDefault="00000000" w:rsidP="00014482">
      <w:pPr>
        <w:pStyle w:val="16"/>
        <w:spacing w:before="120" w:after="120" w:line="360" w:lineRule="auto"/>
        <w:ind w:firstLine="420"/>
        <w:rPr>
          <w:rFonts w:ascii="Times New Roman" w:hAnsi="Times New Roman"/>
          <w:szCs w:val="22"/>
        </w:rPr>
      </w:pPr>
      <w:r>
        <w:rPr>
          <w:rFonts w:ascii="Times New Roman" w:hAnsi="Times New Roman" w:hint="eastAsia"/>
          <w:szCs w:val="22"/>
        </w:rPr>
        <w:t xml:space="preserve">2.4 </w:t>
      </w:r>
      <w:r>
        <w:rPr>
          <w:rFonts w:ascii="Times New Roman" w:hAnsi="Times New Roman" w:hint="eastAsia"/>
          <w:szCs w:val="22"/>
        </w:rPr>
        <w:t>本合同总金额还包含乙方提供的伴随服务</w:t>
      </w:r>
      <w:r>
        <w:rPr>
          <w:rFonts w:ascii="Times New Roman" w:hAnsi="Times New Roman" w:hint="eastAsia"/>
          <w:szCs w:val="22"/>
        </w:rPr>
        <w:t>/</w:t>
      </w:r>
      <w:r>
        <w:rPr>
          <w:rFonts w:ascii="Times New Roman" w:hAnsi="Times New Roman" w:hint="eastAsia"/>
          <w:szCs w:val="22"/>
        </w:rPr>
        <w:t>售后服务费用。</w:t>
      </w:r>
    </w:p>
    <w:p w14:paraId="5DA23D58" w14:textId="77777777" w:rsidR="00F7732E" w:rsidRDefault="00000000" w:rsidP="00014482">
      <w:pPr>
        <w:pStyle w:val="16"/>
        <w:spacing w:before="120" w:after="120" w:line="360" w:lineRule="auto"/>
        <w:ind w:firstLine="420"/>
        <w:rPr>
          <w:rFonts w:hAnsi="宋体" w:hint="eastAsia"/>
        </w:rPr>
      </w:pPr>
      <w:r>
        <w:rPr>
          <w:rFonts w:hAnsi="宋体" w:hint="eastAsia"/>
        </w:rPr>
        <w:t>2.5 本合同签订后：由于</w:t>
      </w:r>
      <w:r>
        <w:rPr>
          <w:rFonts w:hAnsi="宋体" w:hint="eastAsia"/>
          <w:b/>
          <w:bCs/>
        </w:rPr>
        <w:t>检查企业数量存在动态变化的可能性，原则上实际检查企业数量上、下浮动不超过5</w:t>
      </w:r>
      <w:r>
        <w:rPr>
          <w:rFonts w:hAnsi="宋体"/>
          <w:b/>
          <w:bCs/>
        </w:rPr>
        <w:t>%</w:t>
      </w:r>
      <w:r>
        <w:rPr>
          <w:rFonts w:hAnsi="宋体" w:hint="eastAsia"/>
          <w:b/>
          <w:bCs/>
        </w:rPr>
        <w:t>，</w:t>
      </w:r>
      <w:r>
        <w:rPr>
          <w:rFonts w:hAnsi="宋体" w:hint="eastAsia"/>
          <w:b/>
          <w:bCs/>
          <w:lang w:val="zh-CN"/>
        </w:rPr>
        <w:t>本合同执行期间合同总金额不变。</w:t>
      </w:r>
    </w:p>
    <w:p w14:paraId="341849A9"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三、技术资料</w:t>
      </w:r>
    </w:p>
    <w:p w14:paraId="22CEB96E"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3.1</w:t>
      </w:r>
      <w:r>
        <w:rPr>
          <w:rFonts w:ascii="Times New Roman" w:hAnsi="Times New Roman" w:hint="eastAsia"/>
          <w:sz w:val="21"/>
          <w:szCs w:val="22"/>
        </w:rPr>
        <w:t>乙方应按采购文件规定的时间向甲方提供使用服务或产品的有关技术资料。</w:t>
      </w:r>
    </w:p>
    <w:p w14:paraId="6FAC6D0D"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3.2 </w:t>
      </w:r>
      <w:r>
        <w:rPr>
          <w:rFonts w:ascii="Times New Roman" w:hAnsi="Times New Roman" w:hint="eastAsia"/>
          <w:sz w:val="21"/>
          <w:szCs w:val="22"/>
        </w:rPr>
        <w:t>没有甲方事先书面同意，乙方不得将由甲方提供的有关合同或任何合同条文、规格、计划、图纸、样品或资料提供给与履行本合同无关的任何其他人。即使</w:t>
      </w:r>
      <w:proofErr w:type="gramStart"/>
      <w:r>
        <w:rPr>
          <w:rFonts w:ascii="Times New Roman" w:hAnsi="Times New Roman" w:hint="eastAsia"/>
          <w:sz w:val="21"/>
          <w:szCs w:val="22"/>
        </w:rPr>
        <w:t>向履行</w:t>
      </w:r>
      <w:proofErr w:type="gramEnd"/>
      <w:r>
        <w:rPr>
          <w:rFonts w:ascii="Times New Roman" w:hAnsi="Times New Roman" w:hint="eastAsia"/>
          <w:sz w:val="21"/>
          <w:szCs w:val="22"/>
        </w:rPr>
        <w:t>本合同有关的人员提供，也应注意保密并限于履行合同的必需范围。</w:t>
      </w:r>
    </w:p>
    <w:p w14:paraId="44E07F7D"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四、知识产权</w:t>
      </w:r>
    </w:p>
    <w:p w14:paraId="7387AA4F"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lastRenderedPageBreak/>
        <w:t>4.1</w:t>
      </w:r>
      <w:r>
        <w:rPr>
          <w:rFonts w:ascii="Times New Roman" w:hAnsi="Times New Roman" w:hint="eastAsia"/>
          <w:sz w:val="21"/>
          <w:szCs w:val="22"/>
        </w:rPr>
        <w:t>乙方应保证甲方在使用、接受本合同服务或产品或其任何一部分时不受第三方提出侵犯其专利权、版权、商标权和工业设计权等知识产权的起诉。一旦出现侵权，由乙方负全部责任。</w:t>
      </w:r>
    </w:p>
    <w:p w14:paraId="369D98FA"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五、产权担保</w:t>
      </w:r>
    </w:p>
    <w:p w14:paraId="57028776"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5.1 </w:t>
      </w:r>
      <w:r>
        <w:rPr>
          <w:rFonts w:ascii="Times New Roman" w:hAnsi="Times New Roman" w:hint="eastAsia"/>
          <w:sz w:val="21"/>
          <w:szCs w:val="22"/>
        </w:rPr>
        <w:t>乙方保证所交付的服务或产品的所有权完全属于</w:t>
      </w:r>
      <w:proofErr w:type="gramStart"/>
      <w:r>
        <w:rPr>
          <w:rFonts w:ascii="Times New Roman" w:hAnsi="Times New Roman" w:hint="eastAsia"/>
          <w:sz w:val="21"/>
          <w:szCs w:val="22"/>
        </w:rPr>
        <w:t>乙方且</w:t>
      </w:r>
      <w:proofErr w:type="gramEnd"/>
      <w:r>
        <w:rPr>
          <w:rFonts w:ascii="Times New Roman" w:hAnsi="Times New Roman" w:hint="eastAsia"/>
          <w:sz w:val="21"/>
          <w:szCs w:val="22"/>
        </w:rPr>
        <w:t>无任何抵押、查封等产权瑕疵。</w:t>
      </w:r>
    </w:p>
    <w:p w14:paraId="17138F23"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六、履约保证金</w:t>
      </w:r>
    </w:p>
    <w:p w14:paraId="64670050"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sz w:val="21"/>
          <w:szCs w:val="22"/>
        </w:rPr>
        <w:t>6.1 </w:t>
      </w:r>
      <w:r>
        <w:rPr>
          <w:rFonts w:ascii="Times New Roman" w:hAnsi="Times New Roman"/>
          <w:sz w:val="21"/>
          <w:szCs w:val="22"/>
        </w:rPr>
        <w:t>收取履约保证金的，</w:t>
      </w:r>
      <w:r>
        <w:rPr>
          <w:rFonts w:ascii="Times New Roman" w:hAnsi="Times New Roman" w:hint="eastAsia"/>
          <w:sz w:val="21"/>
          <w:szCs w:val="22"/>
        </w:rPr>
        <w:t>允许成交单位自主选择支票、汇票、本票、保函等非现金形式缴纳或提交，</w:t>
      </w:r>
      <w:r>
        <w:rPr>
          <w:rFonts w:ascii="Times New Roman" w:hAnsi="Times New Roman"/>
          <w:sz w:val="21"/>
          <w:szCs w:val="22"/>
        </w:rPr>
        <w:t>应当在采购合同中约定履约保证金退还的方式、时间、条件和不予退还的情形，明确逾期退还履约保证金的违约责任。</w:t>
      </w:r>
    </w:p>
    <w:p w14:paraId="5E83EBA8"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6.2</w:t>
      </w:r>
      <w:r>
        <w:rPr>
          <w:rFonts w:ascii="Times New Roman" w:hAnsi="Times New Roman" w:hint="eastAsia"/>
          <w:sz w:val="21"/>
          <w:szCs w:val="22"/>
        </w:rPr>
        <w:t>履约保证金用以约束乙方在合同履行中的行为，以及弥补合同履行中由于乙方自身行为可能给甲方带来的各种损失；若履约保证金额不足以弥补乙方违约造成甲方损失的，甲方可继续向乙方主张索赔。</w:t>
      </w:r>
    </w:p>
    <w:p w14:paraId="05F469C5"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6.3 </w:t>
      </w:r>
      <w:r>
        <w:rPr>
          <w:rFonts w:ascii="Times New Roman" w:hAnsi="Times New Roman" w:hint="eastAsia"/>
          <w:sz w:val="21"/>
          <w:szCs w:val="22"/>
        </w:rPr>
        <w:t>履约保证金扣除甲方应得的补偿后的余额，在本合同履行结束后由甲方无息退还。</w:t>
      </w:r>
    </w:p>
    <w:p w14:paraId="0C8A66F6"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6.4 </w:t>
      </w:r>
      <w:r>
        <w:rPr>
          <w:rFonts w:ascii="Times New Roman" w:hAnsi="Times New Roman" w:hint="eastAsia"/>
          <w:sz w:val="21"/>
          <w:szCs w:val="22"/>
        </w:rPr>
        <w:t>履约保证收取：无</w:t>
      </w:r>
    </w:p>
    <w:p w14:paraId="349CAE47"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七、转包或分包</w:t>
      </w:r>
    </w:p>
    <w:p w14:paraId="79D6BB7F"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7.1</w:t>
      </w:r>
      <w:r>
        <w:rPr>
          <w:rFonts w:ascii="Times New Roman" w:hAnsi="Times New Roman" w:hint="eastAsia"/>
          <w:sz w:val="21"/>
          <w:szCs w:val="22"/>
        </w:rPr>
        <w:t>本合同范围的服务或产品，应由乙方直接供应，不得转让他人供应；</w:t>
      </w:r>
    </w:p>
    <w:p w14:paraId="3DE3F1F2"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7.2 </w:t>
      </w:r>
      <w:r>
        <w:rPr>
          <w:rFonts w:ascii="Times New Roman" w:hAnsi="Times New Roman" w:hint="eastAsia"/>
          <w:sz w:val="21"/>
          <w:szCs w:val="22"/>
        </w:rPr>
        <w:t>除非得到甲方的书面同意，乙方不得部分分包给他人供应。</w:t>
      </w:r>
    </w:p>
    <w:p w14:paraId="6CC59FA9"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7.3</w:t>
      </w:r>
      <w:r>
        <w:rPr>
          <w:rFonts w:ascii="Times New Roman" w:hAnsi="Times New Roman" w:hint="eastAsia"/>
          <w:sz w:val="21"/>
          <w:szCs w:val="22"/>
        </w:rPr>
        <w:t>如有转让和未经甲方同意的分包行为，甲方有权给予终止合同。</w:t>
      </w:r>
    </w:p>
    <w:p w14:paraId="748B12EC" w14:textId="77777777" w:rsidR="00F7732E" w:rsidRDefault="00000000" w:rsidP="00014482">
      <w:pPr>
        <w:pStyle w:val="aff2"/>
        <w:spacing w:before="120" w:after="120" w:line="360" w:lineRule="auto"/>
        <w:ind w:firstLine="422"/>
        <w:rPr>
          <w:rFonts w:ascii="Times New Roman" w:hAnsi="Times New Roman"/>
          <w:b/>
          <w:bCs/>
          <w:sz w:val="21"/>
          <w:szCs w:val="22"/>
        </w:rPr>
      </w:pPr>
      <w:r>
        <w:rPr>
          <w:rFonts w:ascii="Times New Roman" w:hAnsi="Times New Roman" w:hint="eastAsia"/>
          <w:b/>
          <w:bCs/>
          <w:sz w:val="21"/>
          <w:szCs w:val="22"/>
        </w:rPr>
        <w:t>八、服务期限</w:t>
      </w:r>
    </w:p>
    <w:p w14:paraId="1661E3BE" w14:textId="77777777" w:rsidR="00F7732E" w:rsidRDefault="00000000" w:rsidP="00014482">
      <w:pPr>
        <w:pStyle w:val="aff2"/>
        <w:spacing w:before="120" w:after="120" w:line="360" w:lineRule="auto"/>
        <w:ind w:firstLine="420"/>
        <w:rPr>
          <w:rFonts w:ascii="Times New Roman" w:hAnsi="Times New Roman"/>
          <w:sz w:val="21"/>
          <w:szCs w:val="22"/>
        </w:rPr>
      </w:pPr>
      <w:r>
        <w:rPr>
          <w:rFonts w:ascii="Times New Roman" w:hAnsi="Times New Roman" w:hint="eastAsia"/>
          <w:sz w:val="21"/>
          <w:szCs w:val="22"/>
        </w:rPr>
        <w:t xml:space="preserve">8.1 </w:t>
      </w:r>
      <w:r>
        <w:rPr>
          <w:rFonts w:ascii="Times New Roman" w:hAnsi="Times New Roman" w:hint="eastAsia"/>
          <w:sz w:val="21"/>
          <w:szCs w:val="22"/>
        </w:rPr>
        <w:t>服务期限</w:t>
      </w:r>
      <w:r>
        <w:rPr>
          <w:rFonts w:ascii="Times New Roman" w:hAnsi="Times New Roman" w:hint="eastAsia"/>
          <w:sz w:val="21"/>
          <w:szCs w:val="22"/>
          <w:u w:val="single"/>
        </w:rPr>
        <w:t>合同签订之日起一年</w:t>
      </w:r>
      <w:r>
        <w:rPr>
          <w:rFonts w:ascii="Times New Roman" w:hAnsi="Times New Roman" w:hint="eastAsia"/>
          <w:sz w:val="21"/>
          <w:szCs w:val="22"/>
        </w:rPr>
        <w:t>。</w:t>
      </w:r>
    </w:p>
    <w:p w14:paraId="446ABB2D" w14:textId="77777777" w:rsidR="00F7732E" w:rsidRDefault="00000000" w:rsidP="00014482">
      <w:pPr>
        <w:pStyle w:val="16"/>
        <w:spacing w:before="120" w:after="120" w:line="360" w:lineRule="auto"/>
        <w:ind w:firstLine="402"/>
        <w:rPr>
          <w:rFonts w:hAnsi="宋体" w:hint="eastAsia"/>
          <w:b/>
          <w:bCs/>
        </w:rPr>
      </w:pPr>
      <w:r>
        <w:rPr>
          <w:rFonts w:hAnsi="宋体" w:hint="eastAsia"/>
          <w:b/>
          <w:bCs/>
        </w:rPr>
        <w:t>九、交付期、交付方式及交付地点</w:t>
      </w:r>
    </w:p>
    <w:p w14:paraId="4D9B8E4E" w14:textId="77777777" w:rsidR="00F7732E" w:rsidRDefault="00000000" w:rsidP="00014482">
      <w:pPr>
        <w:pStyle w:val="16"/>
        <w:spacing w:before="120" w:after="120" w:line="360" w:lineRule="auto"/>
        <w:ind w:firstLine="420"/>
        <w:rPr>
          <w:rFonts w:hAnsi="宋体" w:hint="eastAsia"/>
        </w:rPr>
      </w:pPr>
      <w:r>
        <w:rPr>
          <w:rFonts w:hAnsi="宋体" w:hint="eastAsia"/>
        </w:rPr>
        <w:t xml:space="preserve">9.1 交付期：_________  </w:t>
      </w:r>
    </w:p>
    <w:p w14:paraId="63AF21D2" w14:textId="77777777" w:rsidR="00F7732E" w:rsidRDefault="00000000" w:rsidP="00014482">
      <w:pPr>
        <w:pStyle w:val="16"/>
        <w:spacing w:before="120" w:after="120" w:line="360" w:lineRule="auto"/>
        <w:ind w:firstLine="420"/>
        <w:rPr>
          <w:rFonts w:hAnsi="宋体" w:hint="eastAsia"/>
        </w:rPr>
      </w:pPr>
      <w:r>
        <w:rPr>
          <w:rFonts w:hAnsi="宋体" w:hint="eastAsia"/>
        </w:rPr>
        <w:t>9.2 交付方式：_________</w:t>
      </w:r>
    </w:p>
    <w:p w14:paraId="50B16D2C" w14:textId="77777777" w:rsidR="00F7732E" w:rsidRDefault="00000000" w:rsidP="00014482">
      <w:pPr>
        <w:pStyle w:val="16"/>
        <w:spacing w:before="120" w:after="120" w:line="360" w:lineRule="auto"/>
        <w:ind w:firstLine="420"/>
        <w:rPr>
          <w:rFonts w:hAnsi="宋体" w:hint="eastAsia"/>
        </w:rPr>
      </w:pPr>
      <w:r>
        <w:rPr>
          <w:rFonts w:hAnsi="宋体" w:hint="eastAsia"/>
        </w:rPr>
        <w:t>9.3 交付地点：_________</w:t>
      </w:r>
    </w:p>
    <w:p w14:paraId="41B622CD"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十、货款支付</w:t>
      </w:r>
    </w:p>
    <w:p w14:paraId="0361E8F2" w14:textId="77777777" w:rsidR="00F7732E" w:rsidRDefault="00000000" w:rsidP="00014482">
      <w:pPr>
        <w:spacing w:line="360" w:lineRule="auto"/>
        <w:ind w:firstLine="420"/>
        <w:rPr>
          <w:rFonts w:ascii="宋体" w:hAnsi="宋体" w:hint="eastAsia"/>
          <w:szCs w:val="21"/>
        </w:rPr>
      </w:pPr>
      <w:r>
        <w:rPr>
          <w:rFonts w:ascii="宋体" w:hAnsi="宋体" w:hint="eastAsia"/>
          <w:szCs w:val="21"/>
        </w:rPr>
        <w:t xml:space="preserve">10.1 本合同项下所有款项均以人民币支付。 </w:t>
      </w:r>
    </w:p>
    <w:p w14:paraId="5E32308D" w14:textId="77777777" w:rsidR="00F7732E" w:rsidRDefault="00000000" w:rsidP="00014482">
      <w:pPr>
        <w:spacing w:line="360" w:lineRule="auto"/>
        <w:ind w:firstLine="420"/>
        <w:rPr>
          <w:rFonts w:ascii="宋体" w:hAnsi="宋体" w:hint="eastAsia"/>
          <w:szCs w:val="21"/>
        </w:rPr>
      </w:pPr>
      <w:r>
        <w:rPr>
          <w:rFonts w:ascii="宋体" w:hAnsi="宋体" w:hint="eastAsia"/>
          <w:szCs w:val="21"/>
        </w:rPr>
        <w:lastRenderedPageBreak/>
        <w:t>10.2 本合同项下的采购资金由甲方支付，付款前乙方向甲方开具发票。</w:t>
      </w:r>
    </w:p>
    <w:p w14:paraId="467D8A9B" w14:textId="77777777" w:rsidR="00F7732E" w:rsidRDefault="00000000" w:rsidP="00014482">
      <w:pPr>
        <w:pStyle w:val="aff2"/>
        <w:spacing w:before="120" w:after="120" w:line="360" w:lineRule="auto"/>
        <w:ind w:firstLine="422"/>
        <w:rPr>
          <w:rFonts w:hAnsi="宋体" w:hint="eastAsia"/>
          <w:sz w:val="21"/>
          <w:szCs w:val="21"/>
        </w:rPr>
      </w:pPr>
      <w:r>
        <w:rPr>
          <w:rFonts w:hAnsi="宋体" w:hint="eastAsia"/>
          <w:sz w:val="21"/>
          <w:szCs w:val="21"/>
        </w:rPr>
        <w:t>10.3 甲方付款方式：合同签订后</w:t>
      </w:r>
      <w:r>
        <w:rPr>
          <w:rFonts w:hAnsi="宋体" w:cs="宋体" w:hint="eastAsia"/>
          <w:sz w:val="21"/>
          <w:szCs w:val="21"/>
          <w:u w:val="single"/>
        </w:rPr>
        <w:t>乙方向甲方开具发票</w:t>
      </w:r>
      <w:r>
        <w:rPr>
          <w:rFonts w:hAnsi="宋体" w:hint="eastAsia"/>
          <w:sz w:val="21"/>
          <w:szCs w:val="21"/>
          <w:u w:val="single"/>
        </w:rPr>
        <w:t>，甲方自收到发票15日内支付合同总额的10%的预付款；</w:t>
      </w:r>
      <w:r>
        <w:rPr>
          <w:rFonts w:hAnsi="宋体" w:hint="eastAsia"/>
          <w:sz w:val="21"/>
          <w:szCs w:val="21"/>
        </w:rPr>
        <w:t>项目检查及复查出具报告后自收到乙方发票15日内，一次性付清余款。</w:t>
      </w:r>
    </w:p>
    <w:p w14:paraId="593B4009"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十一、税</w:t>
      </w:r>
    </w:p>
    <w:p w14:paraId="51149068"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11.1本合同执行中相关的一切税费均由乙方负担。</w:t>
      </w:r>
    </w:p>
    <w:p w14:paraId="1CF4B848"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十二、质量保证及售后服务</w:t>
      </w:r>
    </w:p>
    <w:p w14:paraId="734E551B"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12.1 乙方应按采购文件规定的服务或产品性能、技术要求、质量标准向甲方提供。</w:t>
      </w:r>
    </w:p>
    <w:p w14:paraId="1F23DA6E"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12.2 乙方提供的服务或产品在质量期内因服务及产品本身的质量问题发生故障，乙方应负责免费更换。对达不到技术要求者，根据实际情况，经双方协商，可按以下办法处理：</w:t>
      </w:r>
    </w:p>
    <w:p w14:paraId="3D7F7DE9"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⑴更换：由乙方承担所发生的全部费用。</w:t>
      </w:r>
    </w:p>
    <w:p w14:paraId="5F0E2637"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⑵贬值处理：由甲乙双方合议定价。</w:t>
      </w:r>
    </w:p>
    <w:p w14:paraId="3CDCEC44"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⑶退还处理：乙方应退还甲方支付的合同款，同时</w:t>
      </w:r>
      <w:proofErr w:type="gramStart"/>
      <w:r>
        <w:rPr>
          <w:rFonts w:hAnsi="宋体" w:hint="eastAsia"/>
          <w:sz w:val="21"/>
          <w:szCs w:val="21"/>
        </w:rPr>
        <w:t>应承担该服务</w:t>
      </w:r>
      <w:proofErr w:type="gramEnd"/>
      <w:r>
        <w:rPr>
          <w:rFonts w:hAnsi="宋体" w:hint="eastAsia"/>
          <w:sz w:val="21"/>
          <w:szCs w:val="21"/>
        </w:rPr>
        <w:t>或产品的直接费用（运输、保险、检验、款项利息及银行手续费等）。</w:t>
      </w:r>
    </w:p>
    <w:p w14:paraId="0260AFD8"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12.3 如在使用过程中发生质量问题，乙方在接到甲方通知后在______小时内到达甲方现场。</w:t>
      </w:r>
    </w:p>
    <w:p w14:paraId="52469B5A"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12.4 在质保期内，乙方应对服务或产品出现的质量及安全问题负责处理解决并承担一切费用。</w:t>
      </w:r>
    </w:p>
    <w:p w14:paraId="79C2BA24"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12.5上述的服务或产品免费保修期为</w:t>
      </w:r>
      <w:r>
        <w:rPr>
          <w:rFonts w:hAnsi="宋体" w:hint="eastAsia"/>
          <w:sz w:val="21"/>
          <w:szCs w:val="21"/>
          <w:u w:val="single"/>
        </w:rPr>
        <w:t xml:space="preserve">   /  </w:t>
      </w:r>
      <w:r>
        <w:rPr>
          <w:rFonts w:hAnsi="宋体" w:hint="eastAsia"/>
          <w:sz w:val="21"/>
          <w:szCs w:val="21"/>
        </w:rPr>
        <w:t>年，因人为因素出现的故障不在免费保修范围内。超过保修期的机器设备，终生维修，维修时只收部件成本费。</w:t>
      </w:r>
    </w:p>
    <w:p w14:paraId="3E6BDDE1"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12.6</w:t>
      </w:r>
      <w:r>
        <w:rPr>
          <w:rFonts w:hAnsi="宋体" w:hint="eastAsia"/>
          <w:b/>
          <w:bCs/>
          <w:sz w:val="21"/>
          <w:szCs w:val="21"/>
        </w:rPr>
        <w:t>检查服务期内被服务单位因设备设施存在安全事故隐患、乙方应发现而未发现导致发生一般生产安全事故的，按照该事故单位服务金额的十倍进行扣款；发生较大事故的按照该事故单位服务金额的五十倍进行扣款，取消其在江苏省江都经济开发区大桥镇服</w:t>
      </w:r>
      <w:proofErr w:type="gramStart"/>
      <w:r>
        <w:rPr>
          <w:rFonts w:hAnsi="宋体" w:hint="eastAsia"/>
          <w:b/>
          <w:bCs/>
          <w:sz w:val="21"/>
          <w:szCs w:val="21"/>
        </w:rPr>
        <w:t>务</w:t>
      </w:r>
      <w:proofErr w:type="gramEnd"/>
      <w:r>
        <w:rPr>
          <w:rFonts w:hAnsi="宋体" w:hint="eastAsia"/>
          <w:b/>
          <w:bCs/>
          <w:sz w:val="21"/>
          <w:szCs w:val="21"/>
        </w:rPr>
        <w:t>资格，</w:t>
      </w:r>
      <w:bookmarkStart w:id="3" w:name="OLE_LINK2"/>
      <w:bookmarkStart w:id="4" w:name="OLE_LINK3"/>
      <w:r>
        <w:rPr>
          <w:rFonts w:hAnsi="宋体" w:hint="eastAsia"/>
          <w:b/>
          <w:bCs/>
          <w:sz w:val="21"/>
          <w:szCs w:val="21"/>
        </w:rPr>
        <w:t>并报请江都区应急管理局建议取消其在江都区服务资格</w:t>
      </w:r>
      <w:bookmarkEnd w:id="3"/>
      <w:bookmarkEnd w:id="4"/>
      <w:r>
        <w:rPr>
          <w:rFonts w:hAnsi="宋体" w:hint="eastAsia"/>
          <w:sz w:val="21"/>
          <w:szCs w:val="21"/>
        </w:rPr>
        <w:t>。</w:t>
      </w:r>
    </w:p>
    <w:p w14:paraId="4B2BE2AB"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十三、调试和验收</w:t>
      </w:r>
    </w:p>
    <w:p w14:paraId="6DA3A378"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p>
    <w:p w14:paraId="39C31B45"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lastRenderedPageBreak/>
        <w:t>13.2 乙方交付前应对服务或产品</w:t>
      </w:r>
      <w:proofErr w:type="gramStart"/>
      <w:r>
        <w:rPr>
          <w:rFonts w:hAnsi="宋体" w:hint="eastAsia"/>
          <w:sz w:val="21"/>
          <w:szCs w:val="21"/>
        </w:rPr>
        <w:t>作出</w:t>
      </w:r>
      <w:proofErr w:type="gramEnd"/>
      <w:r>
        <w:rPr>
          <w:rFonts w:hAnsi="宋体" w:hint="eastAsia"/>
          <w:sz w:val="21"/>
          <w:szCs w:val="21"/>
        </w:rPr>
        <w:t>全面检查和对验收文件进行整理，并列出清单，作为甲方交付验收和使用的技术条件依据，检验的结果应随服务或产品交甲方。</w:t>
      </w:r>
    </w:p>
    <w:p w14:paraId="0CF9F678"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13.3 甲方对乙方提供的服务或产品在使用前进行调试时，乙方需负责安装并培训甲方的使用操作人员，并协助甲方一起调试，直到符合技术要求，甲方才做最终验收。</w:t>
      </w:r>
    </w:p>
    <w:p w14:paraId="6C71093F"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13.4 对技术复杂的服务或产品，甲方可请国家认可的专业检测机构参与初步验收及最终验收，并由其出具质量检测报告。</w:t>
      </w:r>
    </w:p>
    <w:p w14:paraId="477CA3CE"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13.5 验收时乙方必须在现场，验收完毕后作出验收结果报告；验收费用由甲乙双方协商解决。</w:t>
      </w:r>
    </w:p>
    <w:p w14:paraId="13A501A9"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十四、服务或产品包装、发运及运输</w:t>
      </w:r>
    </w:p>
    <w:p w14:paraId="3C3D727B"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14.1 乙方应在服务或产品发运前对其进行满足运输距离、防潮、防震、防锈和防破损装卸等要求包装，以保证服务或产品安全运达甲方指定地点。</w:t>
      </w:r>
    </w:p>
    <w:p w14:paraId="1C5DBA78"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14.2 使用说明书、质量检验证明书、随配附件和工具以及清单一并交付甲方。</w:t>
      </w:r>
    </w:p>
    <w:p w14:paraId="52C742A4"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14.3 乙方在服务或产品发运手续办理完毕后24小时内或交付到甲方48小时前通知甲方，以准备接受交付。</w:t>
      </w:r>
    </w:p>
    <w:p w14:paraId="41547E7F"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14.4 服务在交付甲方前发生的风险均由乙方负责。</w:t>
      </w:r>
    </w:p>
    <w:p w14:paraId="61859DB5"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14.5 服务或产品在规定的交付期限内由乙方送达甲方指定的地点视为交付，乙方同时需通知甲方服务或产品已送达。</w:t>
      </w:r>
    </w:p>
    <w:p w14:paraId="5E002535"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十五、违约责任</w:t>
      </w:r>
    </w:p>
    <w:p w14:paraId="46A05724"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15.1 甲方无正当理由拒收服务或产品的，甲方向乙方偿付拒收款项总值的百分之五违约金。</w:t>
      </w:r>
    </w:p>
    <w:p w14:paraId="103BE7B5"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15.2 甲方无故逾期验收和办理款项支付手续的,甲方应按逾期付款总额每日万分之五向乙方支付违约金。</w:t>
      </w:r>
    </w:p>
    <w:p w14:paraId="6534C63F"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4A64145"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14:paraId="6922BA7F"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十六、不可抗力事件处理</w:t>
      </w:r>
    </w:p>
    <w:p w14:paraId="74599072"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lastRenderedPageBreak/>
        <w:t>16.1 在合同有效期内，任何一方因不可抗力事件导致不能履行合同，则合同履行期可延长，其延长期与不可抗力影响期相同。</w:t>
      </w:r>
    </w:p>
    <w:p w14:paraId="2B075E5A"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16.2 不可抗力事件发生后，应立即通知对方，并寄送有关权威机构出具的证明。</w:t>
      </w:r>
    </w:p>
    <w:p w14:paraId="54BB5CC4"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16.3 不可抗力事件延续120天以上，双方应通过友好协商，确定是否继续履行合同。</w:t>
      </w:r>
    </w:p>
    <w:p w14:paraId="32E29C47"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十七、诉讼</w:t>
      </w:r>
    </w:p>
    <w:p w14:paraId="3A9217CD"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17.1 双方在执行合同中所发生的一切争议，应通过协商解决。如协商不成，可向合同签订地法院起诉，合同签订地在此约定为扬州市江都区。</w:t>
      </w:r>
    </w:p>
    <w:p w14:paraId="11A7DC4E" w14:textId="77777777" w:rsidR="00F7732E" w:rsidRDefault="00000000" w:rsidP="00014482">
      <w:pPr>
        <w:spacing w:line="360" w:lineRule="auto"/>
        <w:ind w:firstLine="422"/>
        <w:rPr>
          <w:rFonts w:ascii="宋体" w:hAnsi="宋体" w:hint="eastAsia"/>
          <w:szCs w:val="21"/>
        </w:rPr>
      </w:pPr>
      <w:r>
        <w:rPr>
          <w:rFonts w:ascii="宋体" w:hAnsi="宋体" w:hint="eastAsia"/>
          <w:b/>
          <w:bCs/>
          <w:szCs w:val="21"/>
        </w:rPr>
        <w:t>十八、</w:t>
      </w:r>
      <w:r>
        <w:rPr>
          <w:rFonts w:ascii="宋体" w:hAnsi="宋体" w:hint="eastAsia"/>
          <w:szCs w:val="21"/>
        </w:rPr>
        <w:t>为提升政府采购供应商的融资可得性，解决中小企业融资难问题，中国人民银行、市财政局、市公共资源交易中心推出了政府</w:t>
      </w:r>
      <w:proofErr w:type="gramStart"/>
      <w:r>
        <w:rPr>
          <w:rFonts w:ascii="宋体" w:hAnsi="宋体" w:hint="eastAsia"/>
          <w:szCs w:val="21"/>
        </w:rPr>
        <w:t>采购线</w:t>
      </w:r>
      <w:proofErr w:type="gramEnd"/>
      <w:r>
        <w:rPr>
          <w:rFonts w:ascii="宋体" w:hAnsi="宋体" w:hint="eastAsia"/>
          <w:szCs w:val="21"/>
        </w:rPr>
        <w:t>上应收账款融资模式。各供应商如果有融资需求，可以</w:t>
      </w:r>
      <w:proofErr w:type="gramStart"/>
      <w:r>
        <w:rPr>
          <w:rFonts w:ascii="宋体" w:hAnsi="宋体" w:hint="eastAsia"/>
          <w:szCs w:val="21"/>
        </w:rPr>
        <w:t>凭借政府</w:t>
      </w:r>
      <w:proofErr w:type="gramEnd"/>
      <w:r>
        <w:rPr>
          <w:rFonts w:ascii="宋体" w:hAnsi="宋体" w:hint="eastAsia"/>
          <w:szCs w:val="21"/>
        </w:rPr>
        <w:t>采购中标（成交）通知书或政府采购合同，通过中国人民银行征信中心“中征应收账款融资服务平台（www.crcrfsp.com）”向参与政府采购融资业务的金融机构</w:t>
      </w:r>
      <w:proofErr w:type="gramStart"/>
      <w:r>
        <w:rPr>
          <w:rFonts w:ascii="宋体" w:hAnsi="宋体" w:hint="eastAsia"/>
          <w:szCs w:val="21"/>
        </w:rPr>
        <w:t>申请线</w:t>
      </w:r>
      <w:proofErr w:type="gramEnd"/>
      <w:r>
        <w:rPr>
          <w:rFonts w:ascii="宋体" w:hAnsi="宋体" w:hint="eastAsia"/>
          <w:szCs w:val="21"/>
        </w:rPr>
        <w:t>上融资，相关事宜可向市人民银行咨询，联系电话：0514-87936653。</w:t>
      </w:r>
    </w:p>
    <w:p w14:paraId="6FBB6517" w14:textId="77777777" w:rsidR="00F7732E" w:rsidRDefault="00000000" w:rsidP="00014482">
      <w:pPr>
        <w:pStyle w:val="aff2"/>
        <w:spacing w:before="120" w:after="120" w:line="360" w:lineRule="auto"/>
        <w:ind w:firstLine="422"/>
        <w:rPr>
          <w:rFonts w:hAnsi="宋体" w:hint="eastAsia"/>
          <w:b/>
          <w:bCs/>
          <w:sz w:val="21"/>
          <w:szCs w:val="21"/>
        </w:rPr>
      </w:pPr>
      <w:r>
        <w:rPr>
          <w:rFonts w:hAnsi="宋体" w:hint="eastAsia"/>
          <w:b/>
          <w:bCs/>
          <w:sz w:val="21"/>
          <w:szCs w:val="21"/>
        </w:rPr>
        <w:t>十九、合同生效及其它</w:t>
      </w:r>
    </w:p>
    <w:p w14:paraId="03220B83"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19.1 合同经双方法定代表人签章并加盖单位公章，并经采购代理机构见证盖章后生效。</w:t>
      </w:r>
    </w:p>
    <w:p w14:paraId="4C204049"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19.2本合同未尽事宜，遵照《民法典》有关条文执行。</w:t>
      </w:r>
    </w:p>
    <w:p w14:paraId="0C4F03FF" w14:textId="77777777" w:rsidR="00F7732E" w:rsidRDefault="00000000" w:rsidP="00014482">
      <w:pPr>
        <w:pStyle w:val="aff2"/>
        <w:spacing w:before="120" w:after="120" w:line="360" w:lineRule="auto"/>
        <w:ind w:firstLine="420"/>
        <w:rPr>
          <w:rFonts w:hAnsi="宋体" w:hint="eastAsia"/>
          <w:sz w:val="21"/>
          <w:szCs w:val="21"/>
        </w:rPr>
      </w:pPr>
      <w:r>
        <w:rPr>
          <w:rFonts w:hAnsi="宋体" w:hint="eastAsia"/>
          <w:sz w:val="21"/>
          <w:szCs w:val="21"/>
        </w:rPr>
        <w:t>19.3 本合同正本一式</w:t>
      </w:r>
      <w:r>
        <w:rPr>
          <w:rFonts w:hAnsi="宋体" w:hint="eastAsia"/>
          <w:b/>
          <w:bCs/>
          <w:sz w:val="21"/>
          <w:szCs w:val="21"/>
          <w:u w:val="single"/>
        </w:rPr>
        <w:t>陆</w:t>
      </w:r>
      <w:r>
        <w:rPr>
          <w:rFonts w:hAnsi="宋体" w:hint="eastAsia"/>
          <w:sz w:val="21"/>
          <w:szCs w:val="21"/>
        </w:rPr>
        <w:t>份，具有同等法律效力，甲方、乙方、双方各执</w:t>
      </w:r>
      <w:r>
        <w:rPr>
          <w:rFonts w:hAnsi="宋体" w:hint="eastAsia"/>
          <w:sz w:val="21"/>
          <w:szCs w:val="21"/>
          <w:u w:val="single"/>
        </w:rPr>
        <w:t>贰</w:t>
      </w:r>
      <w:r>
        <w:rPr>
          <w:rFonts w:hAnsi="宋体" w:hint="eastAsia"/>
          <w:sz w:val="21"/>
          <w:szCs w:val="21"/>
        </w:rPr>
        <w:t>份，见证方及财政监管部门（扬州市财政局政府采购管理处）各执</w:t>
      </w:r>
      <w:r>
        <w:rPr>
          <w:rFonts w:hAnsi="宋体" w:hint="eastAsia"/>
          <w:b/>
          <w:bCs/>
          <w:sz w:val="21"/>
          <w:szCs w:val="21"/>
          <w:u w:val="single"/>
        </w:rPr>
        <w:t>壹</w:t>
      </w:r>
      <w:r>
        <w:rPr>
          <w:rFonts w:hAnsi="宋体" w:hint="eastAsia"/>
          <w:sz w:val="21"/>
          <w:szCs w:val="21"/>
        </w:rPr>
        <w:t xml:space="preserve">份。  </w:t>
      </w:r>
    </w:p>
    <w:tbl>
      <w:tblPr>
        <w:tblW w:w="0" w:type="auto"/>
        <w:tblInd w:w="135" w:type="dxa"/>
        <w:tblLayout w:type="fixed"/>
        <w:tblLook w:val="04A0" w:firstRow="1" w:lastRow="0" w:firstColumn="1" w:lastColumn="0" w:noHBand="0" w:noVBand="1"/>
      </w:tblPr>
      <w:tblGrid>
        <w:gridCol w:w="4193"/>
        <w:gridCol w:w="4148"/>
      </w:tblGrid>
      <w:tr w:rsidR="00F7732E" w14:paraId="53BEAA98" w14:textId="77777777" w:rsidTr="00014482">
        <w:trPr>
          <w:trHeight w:val="466"/>
        </w:trPr>
        <w:tc>
          <w:tcPr>
            <w:tcW w:w="4193" w:type="dxa"/>
            <w:tcBorders>
              <w:top w:val="none" w:sz="4" w:space="0" w:color="000000"/>
              <w:left w:val="none" w:sz="4" w:space="0" w:color="000000"/>
              <w:bottom w:val="none" w:sz="4" w:space="0" w:color="000000"/>
              <w:right w:val="none" w:sz="4" w:space="0" w:color="000000"/>
            </w:tcBorders>
          </w:tcPr>
          <w:p w14:paraId="4E58FF17"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甲方：（采购单位）</w:t>
            </w:r>
          </w:p>
        </w:tc>
        <w:tc>
          <w:tcPr>
            <w:tcW w:w="4148" w:type="dxa"/>
            <w:tcBorders>
              <w:top w:val="none" w:sz="4" w:space="0" w:color="000000"/>
              <w:left w:val="none" w:sz="4" w:space="0" w:color="000000"/>
              <w:bottom w:val="none" w:sz="4" w:space="0" w:color="000000"/>
              <w:right w:val="none" w:sz="4" w:space="0" w:color="000000"/>
            </w:tcBorders>
          </w:tcPr>
          <w:p w14:paraId="473EEAB3"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 xml:space="preserve">乙方： </w:t>
            </w:r>
          </w:p>
        </w:tc>
      </w:tr>
      <w:tr w:rsidR="00F7732E" w14:paraId="3E803A61" w14:textId="77777777" w:rsidTr="00014482">
        <w:trPr>
          <w:trHeight w:val="466"/>
        </w:trPr>
        <w:tc>
          <w:tcPr>
            <w:tcW w:w="4193" w:type="dxa"/>
            <w:tcBorders>
              <w:top w:val="none" w:sz="4" w:space="0" w:color="000000"/>
              <w:left w:val="none" w:sz="4" w:space="0" w:color="000000"/>
              <w:bottom w:val="none" w:sz="4" w:space="0" w:color="000000"/>
              <w:right w:val="none" w:sz="4" w:space="0" w:color="000000"/>
            </w:tcBorders>
          </w:tcPr>
          <w:p w14:paraId="54A373B1"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地址：</w:t>
            </w:r>
          </w:p>
        </w:tc>
        <w:tc>
          <w:tcPr>
            <w:tcW w:w="4148" w:type="dxa"/>
            <w:tcBorders>
              <w:top w:val="none" w:sz="4" w:space="0" w:color="000000"/>
              <w:left w:val="none" w:sz="4" w:space="0" w:color="000000"/>
              <w:bottom w:val="none" w:sz="4" w:space="0" w:color="000000"/>
              <w:right w:val="none" w:sz="4" w:space="0" w:color="000000"/>
            </w:tcBorders>
          </w:tcPr>
          <w:p w14:paraId="1D9A2B6A"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 xml:space="preserve">地址： </w:t>
            </w:r>
          </w:p>
        </w:tc>
      </w:tr>
      <w:tr w:rsidR="00F7732E" w14:paraId="213DB320" w14:textId="77777777" w:rsidTr="00014482">
        <w:trPr>
          <w:trHeight w:val="466"/>
        </w:trPr>
        <w:tc>
          <w:tcPr>
            <w:tcW w:w="4193" w:type="dxa"/>
            <w:tcBorders>
              <w:top w:val="none" w:sz="4" w:space="0" w:color="000000"/>
              <w:left w:val="none" w:sz="4" w:space="0" w:color="000000"/>
              <w:bottom w:val="none" w:sz="4" w:space="0" w:color="000000"/>
              <w:right w:val="none" w:sz="4" w:space="0" w:color="000000"/>
            </w:tcBorders>
          </w:tcPr>
          <w:p w14:paraId="584C6FE8"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法定代表人或授权代表：</w:t>
            </w:r>
          </w:p>
        </w:tc>
        <w:tc>
          <w:tcPr>
            <w:tcW w:w="4148" w:type="dxa"/>
            <w:tcBorders>
              <w:top w:val="none" w:sz="4" w:space="0" w:color="000000"/>
              <w:left w:val="none" w:sz="4" w:space="0" w:color="000000"/>
              <w:bottom w:val="none" w:sz="4" w:space="0" w:color="000000"/>
              <w:right w:val="none" w:sz="4" w:space="0" w:color="000000"/>
            </w:tcBorders>
          </w:tcPr>
          <w:p w14:paraId="076DFADD"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法定代表人或授权代表：</w:t>
            </w:r>
          </w:p>
        </w:tc>
      </w:tr>
      <w:tr w:rsidR="00F7732E" w14:paraId="6626FFF9" w14:textId="77777777" w:rsidTr="00014482">
        <w:trPr>
          <w:trHeight w:val="466"/>
        </w:trPr>
        <w:tc>
          <w:tcPr>
            <w:tcW w:w="4193" w:type="dxa"/>
            <w:tcBorders>
              <w:top w:val="none" w:sz="4" w:space="0" w:color="000000"/>
              <w:left w:val="none" w:sz="4" w:space="0" w:color="000000"/>
              <w:bottom w:val="none" w:sz="4" w:space="0" w:color="000000"/>
              <w:right w:val="none" w:sz="4" w:space="0" w:color="000000"/>
            </w:tcBorders>
          </w:tcPr>
          <w:p w14:paraId="570D8700"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联系电话：</w:t>
            </w:r>
          </w:p>
        </w:tc>
        <w:tc>
          <w:tcPr>
            <w:tcW w:w="4148" w:type="dxa"/>
            <w:tcBorders>
              <w:top w:val="none" w:sz="4" w:space="0" w:color="000000"/>
              <w:left w:val="none" w:sz="4" w:space="0" w:color="000000"/>
              <w:bottom w:val="none" w:sz="4" w:space="0" w:color="000000"/>
              <w:right w:val="none" w:sz="4" w:space="0" w:color="000000"/>
            </w:tcBorders>
          </w:tcPr>
          <w:p w14:paraId="3D00E391"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联系电话：</w:t>
            </w:r>
          </w:p>
        </w:tc>
      </w:tr>
      <w:tr w:rsidR="00F7732E" w14:paraId="51954E24" w14:textId="77777777" w:rsidTr="00014482">
        <w:trPr>
          <w:trHeight w:val="403"/>
        </w:trPr>
        <w:tc>
          <w:tcPr>
            <w:tcW w:w="4193" w:type="dxa"/>
            <w:tcBorders>
              <w:top w:val="none" w:sz="4" w:space="0" w:color="000000"/>
              <w:left w:val="none" w:sz="4" w:space="0" w:color="000000"/>
              <w:bottom w:val="none" w:sz="4" w:space="0" w:color="000000"/>
              <w:right w:val="none" w:sz="4" w:space="0" w:color="000000"/>
            </w:tcBorders>
          </w:tcPr>
          <w:p w14:paraId="0136EC8C" w14:textId="77777777" w:rsidR="00F7732E" w:rsidRDefault="00000000" w:rsidP="00014482">
            <w:pPr>
              <w:pStyle w:val="aff2"/>
              <w:spacing w:before="120" w:after="120" w:line="360" w:lineRule="auto"/>
              <w:rPr>
                <w:rFonts w:hAnsi="宋体" w:hint="eastAsia"/>
                <w:sz w:val="21"/>
                <w:szCs w:val="21"/>
              </w:rPr>
            </w:pPr>
            <w:r>
              <w:rPr>
                <w:rFonts w:hAnsi="宋体" w:hint="eastAsia"/>
                <w:sz w:val="21"/>
                <w:szCs w:val="21"/>
              </w:rPr>
              <w:t xml:space="preserve">日期：      年    月    日  </w:t>
            </w:r>
          </w:p>
        </w:tc>
        <w:tc>
          <w:tcPr>
            <w:tcW w:w="4148" w:type="dxa"/>
            <w:tcBorders>
              <w:top w:val="none" w:sz="4" w:space="0" w:color="000000"/>
              <w:left w:val="none" w:sz="4" w:space="0" w:color="000000"/>
              <w:bottom w:val="none" w:sz="4" w:space="0" w:color="000000"/>
              <w:right w:val="none" w:sz="4" w:space="0" w:color="000000"/>
            </w:tcBorders>
          </w:tcPr>
          <w:p w14:paraId="07D355F5" w14:textId="01C22C9E" w:rsidR="00F7732E" w:rsidRDefault="00000000" w:rsidP="00014482">
            <w:pPr>
              <w:pStyle w:val="aff2"/>
              <w:spacing w:before="120" w:after="120" w:line="360" w:lineRule="auto"/>
              <w:rPr>
                <w:rFonts w:hAnsi="宋体" w:hint="eastAsia"/>
                <w:sz w:val="21"/>
                <w:szCs w:val="21"/>
              </w:rPr>
            </w:pPr>
            <w:r>
              <w:rPr>
                <w:rFonts w:hAnsi="宋体" w:hint="eastAsia"/>
                <w:sz w:val="21"/>
                <w:szCs w:val="21"/>
              </w:rPr>
              <w:t>日期：      年    月    日</w:t>
            </w:r>
          </w:p>
        </w:tc>
      </w:tr>
    </w:tbl>
    <w:p w14:paraId="1DB57247" w14:textId="77777777" w:rsidR="00014482" w:rsidRDefault="00014482" w:rsidP="00014482">
      <w:pPr>
        <w:pStyle w:val="aff2"/>
        <w:spacing w:before="120" w:after="120" w:line="360" w:lineRule="auto"/>
        <w:rPr>
          <w:rFonts w:hAnsi="宋体" w:hint="eastAsia"/>
          <w:sz w:val="21"/>
          <w:szCs w:val="21"/>
        </w:rPr>
      </w:pPr>
    </w:p>
    <w:p w14:paraId="13CE665E" w14:textId="5AB2F031" w:rsidR="00014482" w:rsidRDefault="00000000" w:rsidP="00014482">
      <w:pPr>
        <w:pStyle w:val="aff2"/>
        <w:spacing w:before="120" w:after="120" w:line="360" w:lineRule="auto"/>
        <w:rPr>
          <w:rFonts w:hAnsi="宋体" w:hint="eastAsia"/>
          <w:sz w:val="21"/>
          <w:szCs w:val="21"/>
        </w:rPr>
      </w:pPr>
      <w:r>
        <w:rPr>
          <w:rFonts w:hAnsi="宋体" w:hint="eastAsia"/>
          <w:sz w:val="21"/>
          <w:szCs w:val="21"/>
        </w:rPr>
        <w:t>见证方：</w:t>
      </w:r>
    </w:p>
    <w:p w14:paraId="490BEE82" w14:textId="6FA7CF73" w:rsidR="00F7732E" w:rsidRPr="00014482" w:rsidRDefault="00000000" w:rsidP="00014482">
      <w:pPr>
        <w:pStyle w:val="aff2"/>
        <w:spacing w:before="120" w:after="120" w:line="360" w:lineRule="auto"/>
        <w:jc w:val="right"/>
        <w:rPr>
          <w:rFonts w:hAnsi="宋体" w:hint="eastAsia"/>
          <w:sz w:val="21"/>
          <w:szCs w:val="21"/>
        </w:rPr>
      </w:pPr>
      <w:r>
        <w:rPr>
          <w:rFonts w:hAnsi="宋体" w:hint="eastAsia"/>
          <w:sz w:val="21"/>
          <w:szCs w:val="21"/>
        </w:rPr>
        <w:t>日期：     年   月   日</w:t>
      </w:r>
      <w:bookmarkEnd w:id="0"/>
      <w:bookmarkEnd w:id="1"/>
      <w:bookmarkEnd w:id="2"/>
    </w:p>
    <w:sectPr w:rsidR="00F7732E" w:rsidRPr="00014482">
      <w:headerReference w:type="default" r:id="rId7"/>
      <w:footerReference w:type="default" r:id="rId8"/>
      <w:pgSz w:w="11906" w:h="16838"/>
      <w:pgMar w:top="1440" w:right="1800" w:bottom="1440" w:left="180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28A3A" w14:textId="77777777" w:rsidR="001C05F1" w:rsidRDefault="001C05F1">
      <w:r>
        <w:separator/>
      </w:r>
    </w:p>
  </w:endnote>
  <w:endnote w:type="continuationSeparator" w:id="0">
    <w:p w14:paraId="3F088412" w14:textId="77777777" w:rsidR="001C05F1" w:rsidRDefault="001C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00"/>
    <w:family w:val="auto"/>
    <w:pitch w:val="default"/>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9E1E" w14:textId="44407B69" w:rsidR="00F7732E" w:rsidRDefault="00000000">
    <w:pPr>
      <w:pStyle w:val="af1"/>
    </w:pPr>
    <w:r>
      <w:rPr>
        <w:noProof/>
      </w:rPr>
      <w:pict w14:anchorId="2E6FE6BE">
        <v:shapetype id="_x0000_t202" coordsize="21600,21600" o:spt="202" path="m,l,21600r21600,l21600,xe">
          <v:stroke joinstyle="miter"/>
          <v:path gradientshapeok="t" o:connecttype="rect"/>
        </v:shapetype>
        <v:shape id="文本框 2" o:spid="_x0000_s1025" type="#_x0000_t202" style="position:absolute;margin-left:0;margin-top:0;width:9.05pt;height:22.4pt;z-index:1;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" filled="f" stroked="f">
          <v:textbox style="mso-fit-shape-to-text:t" inset="0,0,0,0">
            <w:txbxContent>
              <w:p w14:paraId="5CD9CB8F" w14:textId="77777777" w:rsidR="00F7732E" w:rsidRDefault="00000000">
                <w:pPr>
                  <w:pStyle w:val="af1"/>
                </w:pPr>
                <w:r>
                  <w:fldChar w:fldCharType="begin"/>
                </w:r>
                <w:r>
                  <w:instrText xml:space="preserve"> PAGE  \* MERGEFORMAT </w:instrText>
                </w:r>
                <w:r>
                  <w:fldChar w:fldCharType="separate"/>
                </w:r>
                <w:r>
                  <w:t>44</w:t>
                </w:r>
                <w:r>
                  <w:fldChar w:fldCharType="end"/>
                </w:r>
              </w:p>
              <w:p w14:paraId="2A631D45" w14:textId="77777777" w:rsidR="00F7732E" w:rsidRDefault="00F7732E"/>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ADF48" w14:textId="77777777" w:rsidR="001C05F1" w:rsidRDefault="001C05F1">
      <w:r>
        <w:separator/>
      </w:r>
    </w:p>
  </w:footnote>
  <w:footnote w:type="continuationSeparator" w:id="0">
    <w:p w14:paraId="4BF19CB8" w14:textId="77777777" w:rsidR="001C05F1" w:rsidRDefault="001C0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67C6" w14:textId="77777777" w:rsidR="00F7732E" w:rsidRDefault="00F7732E">
    <w:pPr>
      <w:pStyle w:val="af"/>
      <w:rPr>
        <w:szCs w:val="22"/>
      </w:rPr>
    </w:pPr>
    <w:bookmarkStart w:id="5" w:name="_Hlk69393955"/>
    <w:bookmarkStart w:id="6" w:name="_Hlk69393956"/>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44BB9"/>
    <w:multiLevelType w:val="hybridMultilevel"/>
    <w:tmpl w:val="DC487364"/>
    <w:lvl w:ilvl="0" w:tplc="5B64840C">
      <w:start w:val="7"/>
      <w:numFmt w:val="decimal"/>
      <w:suff w:val="nothing"/>
      <w:lvlText w:val="%1、"/>
      <w:lvlJc w:val="left"/>
    </w:lvl>
    <w:lvl w:ilvl="1" w:tplc="5EB6E1EE">
      <w:start w:val="1"/>
      <w:numFmt w:val="bullet"/>
      <w:lvlText w:val="o"/>
      <w:lvlJc w:val="left"/>
      <w:pPr>
        <w:ind w:left="1440" w:hanging="360"/>
      </w:pPr>
      <w:rPr>
        <w:rFonts w:ascii="Courier New" w:eastAsia="Courier New" w:hAnsi="Courier New" w:cs="Courier New" w:hint="default"/>
      </w:rPr>
    </w:lvl>
    <w:lvl w:ilvl="2" w:tplc="23AAB1FC">
      <w:start w:val="1"/>
      <w:numFmt w:val="bullet"/>
      <w:lvlText w:val="§"/>
      <w:lvlJc w:val="left"/>
      <w:pPr>
        <w:ind w:left="2160" w:hanging="360"/>
      </w:pPr>
      <w:rPr>
        <w:rFonts w:ascii="Wingdings" w:eastAsia="Wingdings" w:hAnsi="Wingdings" w:cs="Wingdings" w:hint="default"/>
      </w:rPr>
    </w:lvl>
    <w:lvl w:ilvl="3" w:tplc="A3BE2728">
      <w:start w:val="1"/>
      <w:numFmt w:val="bullet"/>
      <w:lvlText w:val="·"/>
      <w:lvlJc w:val="left"/>
      <w:pPr>
        <w:ind w:left="2880" w:hanging="360"/>
      </w:pPr>
      <w:rPr>
        <w:rFonts w:ascii="Symbol" w:eastAsia="Symbol" w:hAnsi="Symbol" w:cs="Symbol" w:hint="default"/>
      </w:rPr>
    </w:lvl>
    <w:lvl w:ilvl="4" w:tplc="77C67414">
      <w:start w:val="1"/>
      <w:numFmt w:val="bullet"/>
      <w:lvlText w:val="o"/>
      <w:lvlJc w:val="left"/>
      <w:pPr>
        <w:ind w:left="3600" w:hanging="360"/>
      </w:pPr>
      <w:rPr>
        <w:rFonts w:ascii="Courier New" w:eastAsia="Courier New" w:hAnsi="Courier New" w:cs="Courier New" w:hint="default"/>
      </w:rPr>
    </w:lvl>
    <w:lvl w:ilvl="5" w:tplc="B5BC9618">
      <w:start w:val="1"/>
      <w:numFmt w:val="bullet"/>
      <w:lvlText w:val="§"/>
      <w:lvlJc w:val="left"/>
      <w:pPr>
        <w:ind w:left="4320" w:hanging="360"/>
      </w:pPr>
      <w:rPr>
        <w:rFonts w:ascii="Wingdings" w:eastAsia="Wingdings" w:hAnsi="Wingdings" w:cs="Wingdings" w:hint="default"/>
      </w:rPr>
    </w:lvl>
    <w:lvl w:ilvl="6" w:tplc="AA087242">
      <w:start w:val="1"/>
      <w:numFmt w:val="bullet"/>
      <w:lvlText w:val="·"/>
      <w:lvlJc w:val="left"/>
      <w:pPr>
        <w:ind w:left="5040" w:hanging="360"/>
      </w:pPr>
      <w:rPr>
        <w:rFonts w:ascii="Symbol" w:eastAsia="Symbol" w:hAnsi="Symbol" w:cs="Symbol" w:hint="default"/>
      </w:rPr>
    </w:lvl>
    <w:lvl w:ilvl="7" w:tplc="AD1C969E">
      <w:start w:val="1"/>
      <w:numFmt w:val="bullet"/>
      <w:lvlText w:val="o"/>
      <w:lvlJc w:val="left"/>
      <w:pPr>
        <w:ind w:left="5760" w:hanging="360"/>
      </w:pPr>
      <w:rPr>
        <w:rFonts w:ascii="Courier New" w:eastAsia="Courier New" w:hAnsi="Courier New" w:cs="Courier New" w:hint="default"/>
      </w:rPr>
    </w:lvl>
    <w:lvl w:ilvl="8" w:tplc="A5D0C9D0">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622E383A"/>
    <w:multiLevelType w:val="hybridMultilevel"/>
    <w:tmpl w:val="9EC69508"/>
    <w:lvl w:ilvl="0" w:tplc="EA66DA1C">
      <w:start w:val="2"/>
      <w:numFmt w:val="chineseCounting"/>
      <w:suff w:val="nothing"/>
      <w:lvlText w:val="%1、"/>
      <w:lvlJc w:val="left"/>
      <w:rPr>
        <w:rFonts w:hint="eastAsia"/>
      </w:rPr>
    </w:lvl>
    <w:lvl w:ilvl="1" w:tplc="0FC43B18">
      <w:start w:val="1"/>
      <w:numFmt w:val="bullet"/>
      <w:lvlText w:val="o"/>
      <w:lvlJc w:val="left"/>
      <w:pPr>
        <w:ind w:left="1440" w:hanging="360"/>
      </w:pPr>
      <w:rPr>
        <w:rFonts w:ascii="Courier New" w:eastAsia="Courier New" w:hAnsi="Courier New" w:cs="Courier New" w:hint="default"/>
      </w:rPr>
    </w:lvl>
    <w:lvl w:ilvl="2" w:tplc="9BF22CBC">
      <w:start w:val="1"/>
      <w:numFmt w:val="bullet"/>
      <w:lvlText w:val="§"/>
      <w:lvlJc w:val="left"/>
      <w:pPr>
        <w:ind w:left="2160" w:hanging="360"/>
      </w:pPr>
      <w:rPr>
        <w:rFonts w:ascii="Wingdings" w:eastAsia="Wingdings" w:hAnsi="Wingdings" w:cs="Wingdings" w:hint="default"/>
      </w:rPr>
    </w:lvl>
    <w:lvl w:ilvl="3" w:tplc="9454E0D0">
      <w:start w:val="1"/>
      <w:numFmt w:val="bullet"/>
      <w:lvlText w:val="·"/>
      <w:lvlJc w:val="left"/>
      <w:pPr>
        <w:ind w:left="2880" w:hanging="360"/>
      </w:pPr>
      <w:rPr>
        <w:rFonts w:ascii="Symbol" w:eastAsia="Symbol" w:hAnsi="Symbol" w:cs="Symbol" w:hint="default"/>
      </w:rPr>
    </w:lvl>
    <w:lvl w:ilvl="4" w:tplc="18FA7C74">
      <w:start w:val="1"/>
      <w:numFmt w:val="bullet"/>
      <w:lvlText w:val="o"/>
      <w:lvlJc w:val="left"/>
      <w:pPr>
        <w:ind w:left="3600" w:hanging="360"/>
      </w:pPr>
      <w:rPr>
        <w:rFonts w:ascii="Courier New" w:eastAsia="Courier New" w:hAnsi="Courier New" w:cs="Courier New" w:hint="default"/>
      </w:rPr>
    </w:lvl>
    <w:lvl w:ilvl="5" w:tplc="EFD451A6">
      <w:start w:val="1"/>
      <w:numFmt w:val="bullet"/>
      <w:lvlText w:val="§"/>
      <w:lvlJc w:val="left"/>
      <w:pPr>
        <w:ind w:left="4320" w:hanging="360"/>
      </w:pPr>
      <w:rPr>
        <w:rFonts w:ascii="Wingdings" w:eastAsia="Wingdings" w:hAnsi="Wingdings" w:cs="Wingdings" w:hint="default"/>
      </w:rPr>
    </w:lvl>
    <w:lvl w:ilvl="6" w:tplc="BECC4E52">
      <w:start w:val="1"/>
      <w:numFmt w:val="bullet"/>
      <w:lvlText w:val="·"/>
      <w:lvlJc w:val="left"/>
      <w:pPr>
        <w:ind w:left="5040" w:hanging="360"/>
      </w:pPr>
      <w:rPr>
        <w:rFonts w:ascii="Symbol" w:eastAsia="Symbol" w:hAnsi="Symbol" w:cs="Symbol" w:hint="default"/>
      </w:rPr>
    </w:lvl>
    <w:lvl w:ilvl="7" w:tplc="F98624AA">
      <w:start w:val="1"/>
      <w:numFmt w:val="bullet"/>
      <w:lvlText w:val="o"/>
      <w:lvlJc w:val="left"/>
      <w:pPr>
        <w:ind w:left="5760" w:hanging="360"/>
      </w:pPr>
      <w:rPr>
        <w:rFonts w:ascii="Courier New" w:eastAsia="Courier New" w:hAnsi="Courier New" w:cs="Courier New" w:hint="default"/>
      </w:rPr>
    </w:lvl>
    <w:lvl w:ilvl="8" w:tplc="F04293E2">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1383EB5"/>
    <w:multiLevelType w:val="hybridMultilevel"/>
    <w:tmpl w:val="E042F022"/>
    <w:lvl w:ilvl="0" w:tplc="F35A4DAE">
      <w:start w:val="1"/>
      <w:numFmt w:val="decimal"/>
      <w:suff w:val="space"/>
      <w:lvlText w:val="%1."/>
      <w:lvlJc w:val="left"/>
    </w:lvl>
    <w:lvl w:ilvl="1" w:tplc="9B28FE96">
      <w:start w:val="1"/>
      <w:numFmt w:val="bullet"/>
      <w:lvlText w:val="o"/>
      <w:lvlJc w:val="left"/>
      <w:pPr>
        <w:ind w:left="1440" w:hanging="360"/>
      </w:pPr>
      <w:rPr>
        <w:rFonts w:ascii="Courier New" w:eastAsia="Courier New" w:hAnsi="Courier New" w:cs="Courier New" w:hint="default"/>
      </w:rPr>
    </w:lvl>
    <w:lvl w:ilvl="2" w:tplc="5C7C6F42">
      <w:start w:val="1"/>
      <w:numFmt w:val="bullet"/>
      <w:lvlText w:val="§"/>
      <w:lvlJc w:val="left"/>
      <w:pPr>
        <w:ind w:left="2160" w:hanging="360"/>
      </w:pPr>
      <w:rPr>
        <w:rFonts w:ascii="Wingdings" w:eastAsia="Wingdings" w:hAnsi="Wingdings" w:cs="Wingdings" w:hint="default"/>
      </w:rPr>
    </w:lvl>
    <w:lvl w:ilvl="3" w:tplc="C6D448AA">
      <w:start w:val="1"/>
      <w:numFmt w:val="bullet"/>
      <w:lvlText w:val="·"/>
      <w:lvlJc w:val="left"/>
      <w:pPr>
        <w:ind w:left="2880" w:hanging="360"/>
      </w:pPr>
      <w:rPr>
        <w:rFonts w:ascii="Symbol" w:eastAsia="Symbol" w:hAnsi="Symbol" w:cs="Symbol" w:hint="default"/>
      </w:rPr>
    </w:lvl>
    <w:lvl w:ilvl="4" w:tplc="0638D3BC">
      <w:start w:val="1"/>
      <w:numFmt w:val="bullet"/>
      <w:lvlText w:val="o"/>
      <w:lvlJc w:val="left"/>
      <w:pPr>
        <w:ind w:left="3600" w:hanging="360"/>
      </w:pPr>
      <w:rPr>
        <w:rFonts w:ascii="Courier New" w:eastAsia="Courier New" w:hAnsi="Courier New" w:cs="Courier New" w:hint="default"/>
      </w:rPr>
    </w:lvl>
    <w:lvl w:ilvl="5" w:tplc="76EA8B98">
      <w:start w:val="1"/>
      <w:numFmt w:val="bullet"/>
      <w:lvlText w:val="§"/>
      <w:lvlJc w:val="left"/>
      <w:pPr>
        <w:ind w:left="4320" w:hanging="360"/>
      </w:pPr>
      <w:rPr>
        <w:rFonts w:ascii="Wingdings" w:eastAsia="Wingdings" w:hAnsi="Wingdings" w:cs="Wingdings" w:hint="default"/>
      </w:rPr>
    </w:lvl>
    <w:lvl w:ilvl="6" w:tplc="DDBC19DC">
      <w:start w:val="1"/>
      <w:numFmt w:val="bullet"/>
      <w:lvlText w:val="·"/>
      <w:lvlJc w:val="left"/>
      <w:pPr>
        <w:ind w:left="5040" w:hanging="360"/>
      </w:pPr>
      <w:rPr>
        <w:rFonts w:ascii="Symbol" w:eastAsia="Symbol" w:hAnsi="Symbol" w:cs="Symbol" w:hint="default"/>
      </w:rPr>
    </w:lvl>
    <w:lvl w:ilvl="7" w:tplc="64F4845C">
      <w:start w:val="1"/>
      <w:numFmt w:val="bullet"/>
      <w:lvlText w:val="o"/>
      <w:lvlJc w:val="left"/>
      <w:pPr>
        <w:ind w:left="5760" w:hanging="360"/>
      </w:pPr>
      <w:rPr>
        <w:rFonts w:ascii="Courier New" w:eastAsia="Courier New" w:hAnsi="Courier New" w:cs="Courier New" w:hint="default"/>
      </w:rPr>
    </w:lvl>
    <w:lvl w:ilvl="8" w:tplc="2C3C6802">
      <w:start w:val="1"/>
      <w:numFmt w:val="bullet"/>
      <w:lvlText w:val="§"/>
      <w:lvlJc w:val="left"/>
      <w:pPr>
        <w:ind w:left="6480" w:hanging="360"/>
      </w:pPr>
      <w:rPr>
        <w:rFonts w:ascii="Wingdings" w:eastAsia="Wingdings" w:hAnsi="Wingdings" w:cs="Wingdings" w:hint="default"/>
      </w:rPr>
    </w:lvl>
  </w:abstractNum>
  <w:num w:numId="1" w16cid:durableId="1267470547">
    <w:abstractNumId w:val="0"/>
  </w:num>
  <w:num w:numId="2" w16cid:durableId="1589845538">
    <w:abstractNumId w:val="1"/>
  </w:num>
  <w:num w:numId="3" w16cid:durableId="874654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4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732E"/>
    <w:rsid w:val="00014482"/>
    <w:rsid w:val="001C05F1"/>
    <w:rsid w:val="00710746"/>
    <w:rsid w:val="00771CA2"/>
    <w:rsid w:val="00C55189"/>
    <w:rsid w:val="00C85056"/>
    <w:rsid w:val="00D8147A"/>
    <w:rsid w:val="00ED57F6"/>
    <w:rsid w:val="00EE5157"/>
    <w:rsid w:val="00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48E02F"/>
  <w15:docId w15:val="{944CD037-2B75-472E-8F0D-F9350F8F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szCs w:val="22"/>
    </w:rPr>
  </w:style>
  <w:style w:type="paragraph" w:styleId="1">
    <w:name w:val="heading 1"/>
    <w:basedOn w:val="a"/>
    <w:next w:val="a"/>
    <w:link w:val="10"/>
    <w:uiPriority w:val="9"/>
    <w:qFormat/>
    <w:pPr>
      <w:keepNext/>
      <w:keepLines/>
      <w:spacing w:before="340" w:after="330" w:line="578" w:lineRule="auto"/>
      <w:outlineLvl w:val="0"/>
    </w:pPr>
    <w:rPr>
      <w:rFonts w:ascii="Calibri" w:hAnsi="Calibri"/>
      <w:b/>
      <w:bCs/>
      <w:sz w:val="44"/>
      <w:szCs w:val="44"/>
    </w:rPr>
  </w:style>
  <w:style w:type="paragraph" w:styleId="2">
    <w:name w:val="heading 2"/>
    <w:basedOn w:val="a"/>
    <w:next w:val="a1"/>
    <w:link w:val="20"/>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rFonts w:ascii="Calibri" w:hAnsi="Calibri"/>
      <w:b/>
      <w:bCs/>
      <w:sz w:val="32"/>
      <w:szCs w:val="32"/>
    </w:rPr>
  </w:style>
  <w:style w:type="paragraph" w:styleId="4">
    <w:name w:val="heading 4"/>
    <w:basedOn w:val="a"/>
    <w:next w:val="a"/>
    <w:link w:val="40"/>
    <w:qFormat/>
    <w:pPr>
      <w:spacing w:before="280" w:after="290" w:line="377" w:lineRule="auto"/>
      <w:outlineLvl w:val="3"/>
    </w:pPr>
    <w:rPr>
      <w:rFonts w:ascii="Arial" w:eastAsia="黑体" w:hAnsi="Arial"/>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i/>
      <w:iCs/>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5">
    <w:name w:val="List Paragraph"/>
    <w:basedOn w:val="a"/>
    <w:uiPriority w:val="34"/>
    <w:qFormat/>
    <w:pPr>
      <w:ind w:left="720"/>
      <w:contextualSpacing/>
    </w:pPr>
  </w:style>
  <w:style w:type="paragraph" w:styleId="a6">
    <w:name w:val="No Spacing"/>
    <w:uiPriority w:val="99"/>
    <w:qFormat/>
    <w:pPr>
      <w:widowControl w:val="0"/>
      <w:jc w:val="both"/>
    </w:pPr>
    <w:rPr>
      <w:sz w:val="21"/>
      <w:szCs w:val="21"/>
    </w:rPr>
  </w:style>
  <w:style w:type="paragraph" w:styleId="a7">
    <w:name w:val="Title"/>
    <w:basedOn w:val="a"/>
    <w:next w:val="a"/>
    <w:link w:val="a8"/>
    <w:uiPriority w:val="10"/>
    <w:qFormat/>
    <w:pPr>
      <w:spacing w:before="300" w:after="200"/>
      <w:contextualSpacing/>
    </w:pPr>
    <w:rPr>
      <w:sz w:val="48"/>
      <w:szCs w:val="48"/>
    </w:rPr>
  </w:style>
  <w:style w:type="character" w:customStyle="1" w:styleId="a8">
    <w:name w:val="标题 字符"/>
    <w:link w:val="a7"/>
    <w:uiPriority w:val="10"/>
    <w:rPr>
      <w:sz w:val="48"/>
      <w:szCs w:val="48"/>
    </w:rPr>
  </w:style>
  <w:style w:type="paragraph" w:styleId="a9">
    <w:name w:val="Subtitle"/>
    <w:basedOn w:val="a"/>
    <w:next w:val="a"/>
    <w:link w:val="aa"/>
    <w:uiPriority w:val="11"/>
    <w:qFormat/>
    <w:pPr>
      <w:spacing w:before="200" w:after="200"/>
    </w:pPr>
    <w:rPr>
      <w:sz w:val="24"/>
      <w:szCs w:val="24"/>
    </w:rPr>
  </w:style>
  <w:style w:type="character" w:customStyle="1" w:styleId="aa">
    <w:name w:val="副标题 字符"/>
    <w:link w:val="a9"/>
    <w:uiPriority w:val="11"/>
    <w:rPr>
      <w:sz w:val="24"/>
      <w:szCs w:val="24"/>
    </w:rPr>
  </w:style>
  <w:style w:type="paragraph" w:styleId="ab">
    <w:name w:val="Quote"/>
    <w:basedOn w:val="a"/>
    <w:next w:val="a"/>
    <w:link w:val="ac"/>
    <w:uiPriority w:val="29"/>
    <w:qFormat/>
    <w:pPr>
      <w:ind w:left="720" w:right="720"/>
    </w:pPr>
    <w:rPr>
      <w:i/>
      <w:sz w:val="20"/>
      <w:szCs w:val="20"/>
    </w:rPr>
  </w:style>
  <w:style w:type="character" w:customStyle="1" w:styleId="ac">
    <w:name w:val="引用 字符"/>
    <w:link w:val="ab"/>
    <w:uiPriority w:val="29"/>
    <w:rPr>
      <w:i/>
    </w:rPr>
  </w:style>
  <w:style w:type="paragraph" w:styleId="ad">
    <w:name w:val="Intense Quote"/>
    <w:basedOn w:val="a"/>
    <w:next w:val="a"/>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e">
    <w:name w:val="明显引用 字符"/>
    <w:link w:val="ad"/>
    <w:uiPriority w:val="30"/>
    <w:rPr>
      <w:i/>
    </w:rPr>
  </w:style>
  <w:style w:type="paragraph" w:styleId="af">
    <w:name w:val="header"/>
    <w:basedOn w:val="a"/>
    <w:link w:val="af0"/>
    <w:uiPriority w:val="99"/>
    <w:unhideWhenUsed/>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f1">
    <w:name w:val="footer"/>
    <w:basedOn w:val="a"/>
    <w:link w:val="af2"/>
    <w:uiPriority w:val="99"/>
    <w:unhideWhenUsed/>
    <w:pPr>
      <w:tabs>
        <w:tab w:val="center" w:pos="4153"/>
        <w:tab w:val="right" w:pos="8306"/>
      </w:tabs>
      <w:jc w:val="left"/>
    </w:pPr>
    <w:rPr>
      <w:sz w:val="18"/>
      <w:szCs w:val="18"/>
    </w:rPr>
  </w:style>
  <w:style w:type="character" w:customStyle="1" w:styleId="FooterChar">
    <w:name w:val="Footer Char"/>
    <w:uiPriority w:val="99"/>
  </w:style>
  <w:style w:type="paragraph" w:styleId="af3">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4">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无格式表格 1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无格式表格 21"/>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tblPr>
      <w:tblStyleRowBandSize w:val="1"/>
      <w:tblStyleColBandSize w:val="1"/>
      <w:tblInd w:w="0" w:type="dxa"/>
      <w:tblCellMar>
        <w:top w:w="0" w:type="dxa"/>
        <w:left w:w="0" w:type="dxa"/>
        <w:bottom w:w="0" w:type="dxa"/>
        <w:right w:w="0" w:type="dxa"/>
      </w:tblCellMar>
    </w:tblPr>
  </w:style>
  <w:style w:type="table" w:customStyle="1" w:styleId="41">
    <w:name w:val="无格式表格 41"/>
    <w:uiPriority w:val="99"/>
    <w:tblPr>
      <w:tblStyleRowBandSize w:val="1"/>
      <w:tblStyleColBandSize w:val="1"/>
      <w:tblInd w:w="0" w:type="dxa"/>
      <w:tblCellMar>
        <w:top w:w="0" w:type="dxa"/>
        <w:left w:w="0" w:type="dxa"/>
        <w:bottom w:w="0" w:type="dxa"/>
        <w:right w:w="0" w:type="dxa"/>
      </w:tblCellMar>
    </w:tblPr>
  </w:style>
  <w:style w:type="table" w:customStyle="1" w:styleId="51">
    <w:name w:val="无格式表格 51"/>
    <w:uiPriority w:val="99"/>
    <w:tblPr>
      <w:tblStyleRowBandSize w:val="1"/>
      <w:tblStyleColBandSize w:val="1"/>
      <w:tblInd w:w="0" w:type="dxa"/>
      <w:tblCellMar>
        <w:top w:w="0" w:type="dxa"/>
        <w:left w:w="0" w:type="dxa"/>
        <w:bottom w:w="0" w:type="dxa"/>
        <w:right w:w="0" w:type="dxa"/>
      </w:tblCellMar>
    </w:tblPr>
  </w:style>
  <w:style w:type="table" w:customStyle="1" w:styleId="110">
    <w:name w:val="网格表 1 浅色1"/>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
    <w:name w:val="网格表 2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
    <w:name w:val="网格表 6 彩色1"/>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1">
    <w:name w:val="清单表 1 浅色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style>
  <w:style w:type="table" w:customStyle="1" w:styleId="211">
    <w:name w:val="清单表 21"/>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0">
    <w:name w:val="清单表 6 彩色1"/>
    <w:uiPriority w:val="9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5">
    <w:name w:val="Hyperlink"/>
    <w:uiPriority w:val="99"/>
    <w:unhideWhenUsed/>
    <w:rPr>
      <w:color w:val="0000FF"/>
      <w:u w:val="single"/>
    </w:rPr>
  </w:style>
  <w:style w:type="paragraph" w:styleId="af6">
    <w:name w:val="footnote text"/>
    <w:basedOn w:val="a"/>
    <w:link w:val="af7"/>
    <w:uiPriority w:val="99"/>
    <w:semiHidden/>
    <w:unhideWhenUsed/>
    <w:pPr>
      <w:spacing w:after="40"/>
    </w:pPr>
    <w:rPr>
      <w:sz w:val="18"/>
      <w:szCs w:val="20"/>
    </w:rPr>
  </w:style>
  <w:style w:type="character" w:customStyle="1" w:styleId="af7">
    <w:name w:val="脚注文本 字符"/>
    <w:link w:val="af6"/>
    <w:uiPriority w:val="99"/>
    <w:rPr>
      <w:sz w:val="18"/>
    </w:rPr>
  </w:style>
  <w:style w:type="character" w:styleId="af8">
    <w:name w:val="footnote reference"/>
    <w:uiPriority w:val="99"/>
    <w:unhideWhenUsed/>
    <w:rPr>
      <w:vertAlign w:val="superscript"/>
    </w:rPr>
  </w:style>
  <w:style w:type="paragraph" w:styleId="af9">
    <w:name w:val="endnote text"/>
    <w:basedOn w:val="a"/>
    <w:link w:val="afa"/>
    <w:uiPriority w:val="99"/>
    <w:semiHidden/>
    <w:unhideWhenUsed/>
    <w:rPr>
      <w:sz w:val="20"/>
      <w:szCs w:val="20"/>
    </w:rPr>
  </w:style>
  <w:style w:type="character" w:customStyle="1" w:styleId="afa">
    <w:name w:val="尾注文本 字符"/>
    <w:link w:val="af9"/>
    <w:uiPriority w:val="99"/>
    <w:rPr>
      <w:sz w:val="20"/>
    </w:rPr>
  </w:style>
  <w:style w:type="character" w:styleId="afb">
    <w:name w:val="endnote reference"/>
    <w:uiPriority w:val="99"/>
    <w:semiHidden/>
    <w:unhideWhenUsed/>
    <w:rPr>
      <w:vertAlign w:val="superscript"/>
    </w:rPr>
  </w:style>
  <w:style w:type="paragraph" w:styleId="TOC1">
    <w:name w:val="toc 1"/>
    <w:basedOn w:val="a"/>
    <w:next w:val="a"/>
    <w:uiPriority w:val="39"/>
    <w:unhideWhenUsed/>
    <w:pPr>
      <w:spacing w:after="57"/>
    </w:pPr>
  </w:style>
  <w:style w:type="paragraph" w:styleId="TOC2">
    <w:name w:val="toc 2"/>
    <w:basedOn w:val="a"/>
    <w:next w:val="a"/>
    <w:uiPriority w:val="39"/>
    <w:unhideWhenUsed/>
    <w:pPr>
      <w:spacing w:after="57"/>
      <w:ind w:left="283"/>
    </w:pPr>
  </w:style>
  <w:style w:type="paragraph" w:styleId="TOC3">
    <w:name w:val="toc 3"/>
    <w:basedOn w:val="a"/>
    <w:next w:val="a"/>
    <w:uiPriority w:val="39"/>
    <w:unhideWhenUsed/>
    <w:pPr>
      <w:spacing w:after="57"/>
      <w:ind w:left="567"/>
    </w:pPr>
  </w:style>
  <w:style w:type="paragraph" w:styleId="TOC4">
    <w:name w:val="toc 4"/>
    <w:basedOn w:val="a"/>
    <w:next w:val="a"/>
    <w:uiPriority w:val="39"/>
    <w:unhideWhenUsed/>
    <w:pPr>
      <w:spacing w:after="57"/>
      <w:ind w:left="850"/>
    </w:pPr>
  </w:style>
  <w:style w:type="paragraph" w:styleId="TOC5">
    <w:name w:val="toc 5"/>
    <w:basedOn w:val="a"/>
    <w:next w:val="a"/>
    <w:uiPriority w:val="39"/>
    <w:unhideWhenUsed/>
    <w:pPr>
      <w:spacing w:after="57"/>
      <w:ind w:left="1134"/>
    </w:pPr>
  </w:style>
  <w:style w:type="paragraph" w:styleId="TOC6">
    <w:name w:val="toc 6"/>
    <w:basedOn w:val="a"/>
    <w:next w:val="a"/>
    <w:uiPriority w:val="39"/>
    <w:unhideWhenUsed/>
    <w:pPr>
      <w:spacing w:after="57"/>
      <w:ind w:left="1417"/>
    </w:pPr>
  </w:style>
  <w:style w:type="paragraph" w:styleId="TOC7">
    <w:name w:val="toc 7"/>
    <w:basedOn w:val="a"/>
    <w:next w:val="a"/>
    <w:uiPriority w:val="39"/>
    <w:unhideWhenUsed/>
    <w:pPr>
      <w:spacing w:after="57"/>
      <w:ind w:left="1701"/>
    </w:pPr>
  </w:style>
  <w:style w:type="paragraph" w:styleId="TOC8">
    <w:name w:val="toc 8"/>
    <w:basedOn w:val="a"/>
    <w:next w:val="a"/>
    <w:uiPriority w:val="39"/>
    <w:unhideWhenUsed/>
    <w:pPr>
      <w:spacing w:after="57"/>
      <w:ind w:left="1984"/>
    </w:pPr>
  </w:style>
  <w:style w:type="paragraph" w:styleId="TOC9">
    <w:name w:val="toc 9"/>
    <w:basedOn w:val="a"/>
    <w:next w:val="a"/>
    <w:uiPriority w:val="39"/>
    <w:unhideWhenUsed/>
    <w:pPr>
      <w:spacing w:after="57"/>
      <w:ind w:left="2268"/>
    </w:pPr>
  </w:style>
  <w:style w:type="paragraph" w:styleId="TOC">
    <w:name w:val="TOC Heading"/>
    <w:uiPriority w:val="39"/>
    <w:unhideWhenUsed/>
  </w:style>
  <w:style w:type="paragraph" w:styleId="afc">
    <w:name w:val="table of figures"/>
    <w:basedOn w:val="a"/>
    <w:next w:val="a"/>
    <w:uiPriority w:val="99"/>
    <w:unhideWhenUsed/>
  </w:style>
  <w:style w:type="paragraph" w:customStyle="1" w:styleId="a0">
    <w:name w:val="正文（缩进）"/>
    <w:basedOn w:val="a"/>
    <w:next w:val="a"/>
    <w:qFormat/>
    <w:pPr>
      <w:ind w:firstLine="480"/>
    </w:pPr>
    <w:rPr>
      <w:rFonts w:ascii="Calibri" w:hAnsi="Calibri"/>
      <w:szCs w:val="24"/>
    </w:rPr>
  </w:style>
  <w:style w:type="character" w:customStyle="1" w:styleId="10">
    <w:name w:val="标题 1 字符"/>
    <w:link w:val="1"/>
    <w:uiPriority w:val="9"/>
    <w:qFormat/>
    <w:rPr>
      <w:rFonts w:ascii="Calibri" w:eastAsia="宋体" w:hAnsi="Calibri" w:cs="Times New Roman"/>
      <w:b/>
      <w:bCs/>
      <w:sz w:val="44"/>
      <w:szCs w:val="44"/>
    </w:rPr>
  </w:style>
  <w:style w:type="character" w:customStyle="1" w:styleId="20">
    <w:name w:val="标题 2 字符"/>
    <w:link w:val="2"/>
    <w:uiPriority w:val="9"/>
    <w:rPr>
      <w:rFonts w:ascii="Cambria" w:eastAsia="宋体" w:hAnsi="Cambria" w:cs="Times New Roman"/>
      <w:b/>
      <w:bCs/>
      <w:sz w:val="32"/>
      <w:szCs w:val="32"/>
    </w:rPr>
  </w:style>
  <w:style w:type="paragraph" w:styleId="a1">
    <w:name w:val="Normal Indent"/>
    <w:basedOn w:val="a"/>
    <w:unhideWhenUsed/>
    <w:pPr>
      <w:ind w:firstLine="420"/>
    </w:pPr>
    <w:rPr>
      <w:rFonts w:ascii="Calibri" w:hAnsi="Calibri"/>
    </w:rPr>
  </w:style>
  <w:style w:type="character" w:customStyle="1" w:styleId="30">
    <w:name w:val="标题 3 字符"/>
    <w:link w:val="3"/>
    <w:rPr>
      <w:rFonts w:ascii="Calibri" w:eastAsia="宋体" w:hAnsi="Calibri" w:cs="Times New Roman"/>
      <w:b/>
      <w:bCs/>
      <w:sz w:val="32"/>
      <w:szCs w:val="32"/>
    </w:rPr>
  </w:style>
  <w:style w:type="character" w:customStyle="1" w:styleId="40">
    <w:name w:val="标题 4 字符"/>
    <w:link w:val="4"/>
    <w:rPr>
      <w:rFonts w:ascii="Arial" w:eastAsia="黑体" w:hAnsi="Arial" w:cs="Times New Roman"/>
      <w:b/>
      <w:bCs/>
      <w:sz w:val="28"/>
      <w:szCs w:val="28"/>
    </w:rPr>
  </w:style>
  <w:style w:type="paragraph" w:styleId="afd">
    <w:name w:val="Document Map"/>
    <w:basedOn w:val="a"/>
    <w:link w:val="afe"/>
    <w:uiPriority w:val="99"/>
    <w:unhideWhenUsed/>
    <w:rPr>
      <w:rFonts w:ascii="宋体"/>
      <w:sz w:val="18"/>
      <w:szCs w:val="18"/>
    </w:rPr>
  </w:style>
  <w:style w:type="character" w:customStyle="1" w:styleId="afe">
    <w:name w:val="文档结构图 字符"/>
    <w:link w:val="afd"/>
    <w:uiPriority w:val="99"/>
    <w:semiHidden/>
    <w:rPr>
      <w:rFonts w:ascii="宋体"/>
      <w:sz w:val="18"/>
      <w:szCs w:val="18"/>
    </w:rPr>
  </w:style>
  <w:style w:type="paragraph" w:styleId="aff">
    <w:name w:val="Body Text"/>
    <w:basedOn w:val="a"/>
    <w:qFormat/>
    <w:rPr>
      <w:rFonts w:ascii="楷体_GB2312" w:eastAsia="楷体_GB2312" w:hAnsi="Arial"/>
      <w:sz w:val="28"/>
      <w:szCs w:val="28"/>
    </w:rPr>
  </w:style>
  <w:style w:type="paragraph" w:styleId="aff0">
    <w:name w:val="Body Text Indent"/>
    <w:qFormat/>
    <w:pPr>
      <w:widowControl w:val="0"/>
      <w:spacing w:after="120"/>
      <w:ind w:left="420"/>
      <w:jc w:val="both"/>
    </w:pPr>
    <w:rPr>
      <w:sz w:val="21"/>
      <w:szCs w:val="21"/>
    </w:rPr>
  </w:style>
  <w:style w:type="paragraph" w:styleId="aff1">
    <w:name w:val="Block Text"/>
    <w:basedOn w:val="a"/>
    <w:uiPriority w:val="99"/>
    <w:unhideWhenUsed/>
    <w:qFormat/>
    <w:pPr>
      <w:ind w:left="567" w:right="454" w:firstLine="498"/>
      <w:jc w:val="left"/>
    </w:pPr>
    <w:rPr>
      <w:rFonts w:ascii="仿宋_GB2312" w:eastAsia="仿宋_GB2312"/>
      <w:sz w:val="30"/>
      <w:szCs w:val="20"/>
    </w:rPr>
  </w:style>
  <w:style w:type="paragraph" w:customStyle="1" w:styleId="312">
    <w:name w:val="目录 31"/>
    <w:basedOn w:val="a"/>
    <w:next w:val="a"/>
    <w:uiPriority w:val="39"/>
    <w:unhideWhenUsed/>
    <w:pPr>
      <w:ind w:left="840"/>
    </w:pPr>
  </w:style>
  <w:style w:type="paragraph" w:styleId="aff2">
    <w:name w:val="Plain Text"/>
    <w:basedOn w:val="a"/>
    <w:link w:val="aff3"/>
    <w:uiPriority w:val="99"/>
    <w:unhideWhenUsed/>
    <w:qFormat/>
    <w:rPr>
      <w:rFonts w:ascii="宋体" w:hAnsi="Courier New"/>
      <w:sz w:val="20"/>
      <w:szCs w:val="20"/>
    </w:rPr>
  </w:style>
  <w:style w:type="character" w:customStyle="1" w:styleId="aff3">
    <w:name w:val="纯文本 字符"/>
    <w:link w:val="aff2"/>
    <w:uiPriority w:val="99"/>
    <w:rPr>
      <w:rFonts w:ascii="宋体" w:hAnsi="Courier New"/>
    </w:rPr>
  </w:style>
  <w:style w:type="paragraph" w:styleId="aff4">
    <w:name w:val="Date"/>
    <w:basedOn w:val="a"/>
    <w:next w:val="a"/>
    <w:link w:val="aff5"/>
    <w:qFormat/>
    <w:rPr>
      <w:sz w:val="24"/>
      <w:szCs w:val="20"/>
    </w:rPr>
  </w:style>
  <w:style w:type="character" w:customStyle="1" w:styleId="aff5">
    <w:name w:val="日期 字符"/>
    <w:link w:val="aff4"/>
    <w:rPr>
      <w:rFonts w:ascii="Times New Roman" w:hAnsi="Times New Roman"/>
      <w:sz w:val="24"/>
    </w:rPr>
  </w:style>
  <w:style w:type="paragraph" w:styleId="22">
    <w:name w:val="Body Text Indent 2"/>
    <w:basedOn w:val="a"/>
    <w:uiPriority w:val="99"/>
    <w:unhideWhenUsed/>
    <w:qFormat/>
    <w:pPr>
      <w:spacing w:line="480" w:lineRule="exact"/>
      <w:ind w:firstLine="562"/>
    </w:pPr>
    <w:rPr>
      <w:b/>
      <w:bCs/>
      <w:sz w:val="28"/>
      <w:szCs w:val="28"/>
    </w:rPr>
  </w:style>
  <w:style w:type="character" w:customStyle="1" w:styleId="af2">
    <w:name w:val="页脚 字符"/>
    <w:link w:val="af1"/>
    <w:uiPriority w:val="99"/>
    <w:rPr>
      <w:sz w:val="18"/>
      <w:szCs w:val="18"/>
    </w:rPr>
  </w:style>
  <w:style w:type="character" w:customStyle="1" w:styleId="af0">
    <w:name w:val="页眉 字符"/>
    <w:link w:val="af"/>
    <w:uiPriority w:val="99"/>
    <w:rPr>
      <w:sz w:val="18"/>
      <w:szCs w:val="18"/>
    </w:rPr>
  </w:style>
  <w:style w:type="paragraph" w:customStyle="1" w:styleId="112">
    <w:name w:val="目录 11"/>
    <w:basedOn w:val="a"/>
    <w:next w:val="a"/>
    <w:uiPriority w:val="39"/>
    <w:unhideWhenUsed/>
    <w:rPr>
      <w:rFonts w:ascii="Calibri" w:hAnsi="Calibri"/>
    </w:rPr>
  </w:style>
  <w:style w:type="paragraph" w:customStyle="1" w:styleId="212">
    <w:name w:val="目录 21"/>
    <w:basedOn w:val="a"/>
    <w:next w:val="a"/>
    <w:uiPriority w:val="39"/>
    <w:unhideWhenUsed/>
    <w:pPr>
      <w:ind w:left="420"/>
    </w:pPr>
  </w:style>
  <w:style w:type="paragraph" w:styleId="aff6">
    <w:name w:val="Normal (Web)"/>
    <w:basedOn w:val="a"/>
    <w:unhideWhenUsed/>
    <w:pPr>
      <w:jc w:val="left"/>
    </w:pPr>
    <w:rPr>
      <w:rFonts w:ascii="Calibri" w:hAnsi="Calibri"/>
      <w:sz w:val="24"/>
      <w:szCs w:val="24"/>
    </w:rPr>
  </w:style>
  <w:style w:type="character" w:styleId="aff7">
    <w:name w:val="Strong"/>
    <w:qFormat/>
    <w:rPr>
      <w:b/>
    </w:rPr>
  </w:style>
  <w:style w:type="character" w:customStyle="1" w:styleId="htd0">
    <w:name w:val="htd0"/>
    <w:qFormat/>
  </w:style>
  <w:style w:type="character" w:customStyle="1" w:styleId="Char1">
    <w:name w:val="页脚 Char1"/>
    <w:uiPriority w:val="99"/>
    <w:semiHidden/>
    <w:rPr>
      <w:sz w:val="18"/>
      <w:szCs w:val="18"/>
    </w:rPr>
  </w:style>
  <w:style w:type="character" w:customStyle="1" w:styleId="Char10">
    <w:name w:val="纯文本 Char1"/>
    <w:qFormat/>
    <w:rPr>
      <w:rFonts w:ascii="宋体" w:eastAsia="宋体" w:hAnsi="Courier New" w:cs="Courier New"/>
      <w:szCs w:val="21"/>
    </w:rPr>
  </w:style>
  <w:style w:type="character" w:customStyle="1" w:styleId="12">
    <w:name w:val="批注引用1"/>
    <w:link w:val="1110"/>
    <w:qFormat/>
    <w:rPr>
      <w:rFonts w:ascii="Calibri" w:hAnsi="Calibri"/>
      <w:sz w:val="21"/>
      <w:szCs w:val="24"/>
      <w:lang w:val="en-US" w:eastAsia="zh-CN" w:bidi="ar-SA"/>
    </w:rPr>
  </w:style>
  <w:style w:type="paragraph" w:customStyle="1" w:styleId="1110">
    <w:name w:val="正文111"/>
    <w:next w:val="13"/>
    <w:link w:val="12"/>
    <w:qFormat/>
    <w:pPr>
      <w:widowControl w:val="0"/>
      <w:jc w:val="both"/>
    </w:pPr>
    <w:rPr>
      <w:rFonts w:ascii="Calibri" w:hAnsi="Calibri"/>
      <w:sz w:val="21"/>
      <w:szCs w:val="24"/>
    </w:rPr>
  </w:style>
  <w:style w:type="paragraph" w:customStyle="1" w:styleId="13">
    <w:name w:val="文本块1"/>
    <w:basedOn w:val="1110"/>
    <w:qFormat/>
    <w:pPr>
      <w:widowControl/>
      <w:ind w:left="567" w:right="454" w:firstLine="498"/>
      <w:jc w:val="left"/>
    </w:pPr>
    <w:rPr>
      <w:rFonts w:ascii="仿宋_GB2312" w:eastAsia="仿宋_GB2312"/>
      <w:sz w:val="30"/>
      <w:szCs w:val="20"/>
    </w:rPr>
  </w:style>
  <w:style w:type="character" w:customStyle="1" w:styleId="Char11">
    <w:name w:val="页眉 Char1"/>
    <w:uiPriority w:val="99"/>
    <w:semiHidden/>
    <w:rPr>
      <w:sz w:val="18"/>
      <w:szCs w:val="18"/>
    </w:rPr>
  </w:style>
  <w:style w:type="character" w:customStyle="1" w:styleId="Char12">
    <w:name w:val="日期 Char1"/>
    <w:uiPriority w:val="99"/>
    <w:semiHidden/>
  </w:style>
  <w:style w:type="paragraph" w:customStyle="1" w:styleId="aff8">
    <w:name w:val="一级条标题"/>
    <w:basedOn w:val="aff9"/>
    <w:next w:val="affa"/>
    <w:qFormat/>
    <w:pPr>
      <w:tabs>
        <w:tab w:val="left" w:pos="907"/>
      </w:tabs>
      <w:spacing w:before="0" w:after="0"/>
      <w:ind w:left="907" w:hanging="907"/>
      <w:outlineLvl w:val="2"/>
    </w:pPr>
    <w:rPr>
      <w:rFonts w:hAnsi="宋体"/>
      <w:sz w:val="20"/>
      <w:szCs w:val="20"/>
    </w:rPr>
  </w:style>
  <w:style w:type="paragraph" w:customStyle="1" w:styleId="aff9">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fa">
    <w:name w:val="段"/>
    <w:basedOn w:val="14"/>
    <w:next w:val="a"/>
    <w:qFormat/>
    <w:pPr>
      <w:widowControl/>
      <w:ind w:firstLine="200"/>
    </w:pPr>
    <w:rPr>
      <w:sz w:val="20"/>
    </w:rPr>
  </w:style>
  <w:style w:type="paragraph" w:customStyle="1" w:styleId="14">
    <w:name w:val="正文1"/>
    <w:basedOn w:val="a"/>
    <w:next w:val="15"/>
    <w:qFormat/>
    <w:pPr>
      <w:spacing w:line="360" w:lineRule="atLeast"/>
      <w:jc w:val="left"/>
    </w:pPr>
    <w:rPr>
      <w:rFonts w:ascii="宋体" w:hAnsi="Calibri"/>
      <w:sz w:val="24"/>
      <w:szCs w:val="20"/>
    </w:rPr>
  </w:style>
  <w:style w:type="paragraph" w:customStyle="1" w:styleId="15">
    <w:name w:val="正文文本1"/>
    <w:basedOn w:val="14"/>
    <w:next w:val="aff8"/>
    <w:qFormat/>
    <w:pPr>
      <w:spacing w:after="120"/>
    </w:pPr>
    <w:rPr>
      <w:lang w:eastAsia="en-US"/>
    </w:rPr>
  </w:style>
  <w:style w:type="paragraph" w:customStyle="1" w:styleId="16">
    <w:name w:val="纯文本1"/>
    <w:basedOn w:val="1110"/>
    <w:qFormat/>
    <w:rPr>
      <w:rFonts w:ascii="宋体" w:hAnsi="Courier New"/>
      <w:szCs w:val="21"/>
    </w:rPr>
  </w:style>
  <w:style w:type="paragraph" w:customStyle="1" w:styleId="17">
    <w:name w:val="页眉1"/>
    <w:basedOn w:val="1110"/>
    <w:qFormat/>
    <w:pPr>
      <w:pBdr>
        <w:bottom w:val="single" w:sz="6" w:space="1" w:color="000000"/>
      </w:pBdr>
      <w:tabs>
        <w:tab w:val="center" w:pos="4153"/>
        <w:tab w:val="right" w:pos="8306"/>
      </w:tabs>
      <w:jc w:val="center"/>
    </w:pPr>
    <w:rPr>
      <w:sz w:val="18"/>
      <w:szCs w:val="18"/>
    </w:rPr>
  </w:style>
  <w:style w:type="paragraph" w:customStyle="1" w:styleId="affb">
    <w:name w:val="普通正文"/>
    <w:basedOn w:val="a"/>
    <w:pPr>
      <w:spacing w:before="120" w:after="120" w:line="360" w:lineRule="auto"/>
      <w:ind w:firstLine="480"/>
      <w:jc w:val="left"/>
    </w:pPr>
    <w:rPr>
      <w:rFonts w:ascii="Arial" w:hAnsi="Arial"/>
      <w:sz w:val="24"/>
      <w:szCs w:val="24"/>
    </w:rPr>
  </w:style>
  <w:style w:type="paragraph" w:customStyle="1" w:styleId="ParaCharCharCharCharCharCharChar">
    <w:name w:val="默认段落字体 Para Char Char Char Char Char Char Char"/>
    <w:basedOn w:val="a"/>
    <w:next w:val="a"/>
    <w:uiPriority w:val="99"/>
    <w:qFormat/>
    <w:pPr>
      <w:ind w:firstLine="200"/>
    </w:pPr>
    <w:rPr>
      <w:rFonts w:ascii="Calibri" w:hAnsi="Calibri" w:cs="Arial"/>
      <w:szCs w:val="24"/>
    </w:rPr>
  </w:style>
  <w:style w:type="paragraph" w:customStyle="1" w:styleId="Default">
    <w:name w:val="Default"/>
    <w:qFormat/>
    <w:pPr>
      <w:widowControl w:val="0"/>
    </w:pPr>
    <w:rPr>
      <w:rFonts w:ascii="宋体" w:hAnsi="宋体"/>
      <w:color w:val="000000"/>
      <w:sz w:val="24"/>
      <w:szCs w:val="22"/>
    </w:rPr>
  </w:style>
  <w:style w:type="paragraph" w:customStyle="1" w:styleId="Char">
    <w:name w:val="Char"/>
    <w:basedOn w:val="a"/>
    <w:qFormat/>
    <w:pPr>
      <w:tabs>
        <w:tab w:val="left" w:pos="360"/>
      </w:tabs>
      <w:ind w:firstLine="200"/>
    </w:pPr>
    <w:rPr>
      <w:sz w:val="28"/>
      <w:szCs w:val="30"/>
    </w:rPr>
  </w:style>
  <w:style w:type="paragraph" w:customStyle="1" w:styleId="0">
    <w:name w:val="正文_0"/>
    <w:qFormat/>
    <w:pPr>
      <w:widowControl w:val="0"/>
      <w:jc w:val="both"/>
    </w:pPr>
    <w:rPr>
      <w:rFonts w:ascii="Calibri" w:hAnsi="Calibri"/>
      <w:sz w:val="21"/>
      <w:szCs w:val="22"/>
    </w:rPr>
  </w:style>
  <w:style w:type="paragraph" w:customStyle="1" w:styleId="00">
    <w:name w:val="正文_0_0"/>
    <w:qFormat/>
    <w:pPr>
      <w:widowControl w:val="0"/>
      <w:jc w:val="both"/>
    </w:pPr>
    <w:rPr>
      <w:sz w:val="21"/>
      <w:szCs w:val="22"/>
    </w:rPr>
  </w:style>
  <w:style w:type="paragraph" w:customStyle="1" w:styleId="18">
    <w:name w:val="页脚1"/>
    <w:basedOn w:val="1110"/>
    <w:qFormat/>
    <w:pPr>
      <w:tabs>
        <w:tab w:val="center" w:pos="4153"/>
        <w:tab w:val="right" w:pos="8306"/>
      </w:tabs>
      <w:jc w:val="left"/>
    </w:pPr>
    <w:rPr>
      <w:sz w:val="18"/>
      <w:szCs w:val="18"/>
    </w:rPr>
  </w:style>
  <w:style w:type="paragraph" w:customStyle="1" w:styleId="affc">
    <w:name w:val="首行缩进"/>
    <w:basedOn w:val="a"/>
    <w:qFormat/>
    <w:pPr>
      <w:ind w:firstLine="480"/>
    </w:pPr>
  </w:style>
  <w:style w:type="paragraph" w:customStyle="1" w:styleId="Style4">
    <w:name w:val="_Style 4"/>
    <w:next w:val="a"/>
    <w:qFormat/>
    <w:pPr>
      <w:keepNext/>
      <w:keepLines/>
      <w:widowControl w:val="0"/>
      <w:spacing w:before="340" w:after="330" w:line="578" w:lineRule="auto"/>
      <w:jc w:val="both"/>
    </w:pPr>
    <w:rPr>
      <w:b/>
      <w:bCs/>
      <w:sz w:val="44"/>
      <w:szCs w:val="44"/>
    </w:rPr>
  </w:style>
  <w:style w:type="paragraph" w:customStyle="1" w:styleId="23">
    <w:name w:val="正文_2"/>
    <w:qFormat/>
  </w:style>
  <w:style w:type="character" w:customStyle="1" w:styleId="font41">
    <w:name w:val="font41"/>
    <w:rPr>
      <w:rFonts w:ascii="宋体" w:eastAsia="宋体" w:hAnsi="宋体" w:cs="宋体" w:hint="eastAsia"/>
      <w:b/>
      <w:bCs/>
      <w:i w:val="0"/>
      <w:iCs w:val="0"/>
      <w:color w:val="000000"/>
      <w:sz w:val="24"/>
      <w:szCs w:val="24"/>
      <w:u w:val="none"/>
    </w:rPr>
  </w:style>
  <w:style w:type="character" w:customStyle="1" w:styleId="font51">
    <w:name w:val="font51"/>
    <w:rPr>
      <w:rFonts w:ascii="宋体" w:eastAsia="宋体" w:hAnsi="宋体" w:cs="宋体" w:hint="eastAsia"/>
      <w:b/>
      <w:bCs/>
      <w:i w:val="0"/>
      <w:iCs w:val="0"/>
      <w:color w:val="FF0000"/>
      <w:sz w:val="24"/>
      <w:szCs w:val="24"/>
      <w:u w:val="none"/>
    </w:rPr>
  </w:style>
  <w:style w:type="character" w:customStyle="1" w:styleId="font21">
    <w:name w:val="font21"/>
    <w:rPr>
      <w:rFonts w:ascii="宋体" w:eastAsia="宋体" w:hAnsi="宋体" w:cs="宋体" w:hint="eastAsia"/>
      <w:b/>
      <w:bCs/>
      <w:i w:val="0"/>
      <w:iCs w:val="0"/>
      <w:color w:val="FF0000"/>
      <w:sz w:val="24"/>
      <w:szCs w:val="24"/>
      <w:u w:val="none"/>
    </w:rPr>
  </w:style>
  <w:style w:type="paragraph" w:customStyle="1" w:styleId="19">
    <w:name w:val="正文缩进1"/>
    <w:basedOn w:val="a"/>
    <w:pPr>
      <w:ind w:firstLine="420"/>
    </w:pPr>
    <w:rPr>
      <w:rFonts w:ascii="Calibri" w:hAnsi="Calibri"/>
      <w:szCs w:val="21"/>
    </w:rPr>
  </w:style>
  <w:style w:type="paragraph" w:customStyle="1" w:styleId="1a">
    <w:name w:val="正文文本缩进1"/>
    <w:basedOn w:val="a"/>
    <w:next w:val="a"/>
    <w:link w:val="Char0"/>
    <w:qFormat/>
    <w:pPr>
      <w:spacing w:after="120"/>
      <w:ind w:left="420"/>
    </w:pPr>
    <w:rPr>
      <w:sz w:val="20"/>
      <w:szCs w:val="24"/>
    </w:rPr>
  </w:style>
  <w:style w:type="character" w:customStyle="1" w:styleId="Char0">
    <w:name w:val="正文文本缩进 Char"/>
    <w:link w:val="1a"/>
    <w:qFormat/>
    <w:rPr>
      <w:szCs w:val="24"/>
    </w:rPr>
  </w:style>
  <w:style w:type="character" w:customStyle="1" w:styleId="1b">
    <w:name w:val="超链接1"/>
    <w:uiPriority w:val="99"/>
    <w:qFormat/>
    <w:rPr>
      <w:rFonts w:ascii="Times New Roman" w:eastAsia="宋体" w:hAnsi="Times New Roman" w:cs="Times New Roman"/>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1827</Words>
  <Characters>1956</Characters>
  <Application>Microsoft Office Word</Application>
  <DocSecurity>0</DocSecurity>
  <Lines>81</Lines>
  <Paragraphs>96</Paragraphs>
  <ScaleCrop>false</ScaleCrop>
  <Company>Microsoft</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圣 赵</dc:creator>
  <cp:keywords/>
  <dc:description/>
  <cp:lastModifiedBy>圣 赵</cp:lastModifiedBy>
  <cp:revision>29</cp:revision>
  <cp:lastPrinted>2025-09-28T00:25:00Z</cp:lastPrinted>
  <dcterms:created xsi:type="dcterms:W3CDTF">2025-05-12T11:39:00Z</dcterms:created>
  <dcterms:modified xsi:type="dcterms:W3CDTF">2025-10-09T02:05:00Z</dcterms:modified>
</cp:coreProperties>
</file>