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EF503">
      <w:pPr>
        <w:spacing w:line="360" w:lineRule="auto"/>
        <w:jc w:val="center"/>
        <w:rPr>
          <w:rFonts w:ascii="宋体" w:hAnsi="宋体"/>
          <w:b/>
          <w:bCs/>
          <w:color w:val="FF0000"/>
          <w:spacing w:val="32"/>
          <w:sz w:val="44"/>
        </w:rPr>
      </w:pPr>
      <w:bookmarkStart w:id="0" w:name="_GoBack"/>
      <w:bookmarkEnd w:id="0"/>
      <w:r>
        <w:rPr>
          <w:rFonts w:hint="eastAsia" w:ascii="宋体" w:hAnsi="宋体"/>
          <w:b/>
          <w:bCs/>
          <w:color w:val="FF0000"/>
          <w:spacing w:val="32"/>
          <w:sz w:val="44"/>
        </w:rPr>
        <w:t>扬州筑苑工程招标咨询有限公司</w:t>
      </w:r>
    </w:p>
    <w:p w14:paraId="09A01B1D">
      <w:pPr>
        <w:spacing w:line="360" w:lineRule="auto"/>
        <w:jc w:val="center"/>
        <w:rPr>
          <w:rFonts w:hint="default" w:ascii="宋体" w:hAnsi="宋体" w:eastAsia="宋体"/>
          <w:sz w:val="28"/>
          <w:lang w:val="en-US" w:eastAsia="zh-CN"/>
        </w:rPr>
      </w:pPr>
      <w:r>
        <w:rPr>
          <w:rFonts w:hint="eastAsia" w:ascii="宋体" w:hAnsi="宋体"/>
          <w:sz w:val="28"/>
        </w:rPr>
        <w:t>扬筑招审</w:t>
      </w:r>
      <w:r>
        <w:rPr>
          <w:rFonts w:hint="eastAsia" w:ascii="宋体" w:hAnsi="宋体"/>
          <w:sz w:val="28"/>
          <w:lang w:val="en-US" w:eastAsia="zh-CN"/>
        </w:rPr>
        <w:t>2025101</w:t>
      </w:r>
    </w:p>
    <w:p w14:paraId="66365932">
      <w:pPr>
        <w:spacing w:line="360" w:lineRule="auto"/>
        <w:jc w:val="center"/>
        <w:rPr>
          <w:rFonts w:ascii="宋体" w:hAnsi="宋体"/>
          <w:b/>
          <w:bCs/>
          <w:color w:val="FF0000"/>
          <w:sz w:val="44"/>
        </w:rPr>
      </w:pPr>
      <w:r>
        <w:rPr>
          <w:rFonts w:ascii="宋体" w:hAnsi="宋体"/>
          <w:b/>
          <w:bCs/>
          <w:color w:val="FF0000"/>
          <w:sz w:val="32"/>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218440</wp:posOffset>
                </wp:positionV>
                <wp:extent cx="2396490" cy="0"/>
                <wp:effectExtent l="0" t="6350" r="0" b="6350"/>
                <wp:wrapNone/>
                <wp:docPr id="2" name="直线 2"/>
                <wp:cNvGraphicFramePr/>
                <a:graphic xmlns:a="http://schemas.openxmlformats.org/drawingml/2006/main">
                  <a:graphicData uri="http://schemas.microsoft.com/office/word/2010/wordprocessingShape">
                    <wps:wsp>
                      <wps:cNvCnPr/>
                      <wps:spPr>
                        <a:xfrm>
                          <a:off x="0" y="0"/>
                          <a:ext cx="239649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28.3pt;margin-top:17.2pt;height:0pt;width:188.7pt;z-index:251660288;mso-width-relative:page;mso-height-relative:page;" filled="f" stroked="t" coordsize="21600,21600" o:gfxdata="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Ck&#10;+f3XAAAACQEAAA8AAAAAAAAAAQAgAAAAIgAAAGRycy9kb3ducmV2LnhtbFBLAQIUABQAAAAIAIdO&#10;4kCP6lth6wEAANwDAAAOAAAAAAAAAAEAIAAAACYBAABkcnMvZTJvRG9jLnhtbFBLBQYAAAAABgAG&#10;AFkBAACDBQAAAAA=&#10;">
                <v:fill on="f" focussize="0,0"/>
                <v:stroke weight="1pt" color="#FF0000" joinstyle="round"/>
                <v:imagedata o:title=""/>
                <o:lock v:ext="edit" aspectratio="f"/>
              </v:line>
            </w:pict>
          </mc:Fallback>
        </mc:AlternateContent>
      </w:r>
      <w:r>
        <w:rPr>
          <w:rFonts w:ascii="宋体" w:hAnsi="宋体"/>
          <w:b/>
          <w:bCs/>
          <w:color w:val="FF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198120</wp:posOffset>
                </wp:positionV>
                <wp:extent cx="2400300" cy="0"/>
                <wp:effectExtent l="0" t="6350" r="0" b="6350"/>
                <wp:wrapNone/>
                <wp:docPr id="1" name="直线 3"/>
                <wp:cNvGraphicFramePr/>
                <a:graphic xmlns:a="http://schemas.openxmlformats.org/drawingml/2006/main">
                  <a:graphicData uri="http://schemas.microsoft.com/office/word/2010/wordprocessingShape">
                    <wps:wsp>
                      <wps:cNvCnPr/>
                      <wps:spPr>
                        <a:xfrm>
                          <a:off x="0" y="0"/>
                          <a:ext cx="240030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5.6pt;height:0pt;width:189pt;z-index:251659264;mso-width-relative:page;mso-height-relative:page;" filled="f" stroked="t" coordsize="21600,21600" o:gfxdata="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DPvUAAAA&#10;BgEAAA8AAAAAAAAAAQAgAAAAIgAAAGRycy9kb3ducmV2LnhtbFBLAQIUABQAAAAIAIdO4kAWTL1T&#10;6AEAANwDAAAOAAAAAAAAAAEAIAAAACMBAABkcnMvZTJvRG9jLnhtbFBLBQYAAAAABgAGAFkBAAB9&#10;BQAAAAA=&#10;">
                <v:fill on="f" focussize="0,0"/>
                <v:stroke weight="1pt" color="#FF0000" joinstyle="round"/>
                <v:imagedata o:title=""/>
                <o:lock v:ext="edit" aspectratio="f"/>
              </v:line>
            </w:pict>
          </mc:Fallback>
        </mc:AlternateContent>
      </w:r>
      <w:r>
        <w:rPr>
          <w:rFonts w:hint="eastAsia" w:ascii="宋体" w:hAnsi="宋体"/>
          <w:b/>
          <w:bCs/>
          <w:color w:val="FF0000"/>
          <w:sz w:val="32"/>
        </w:rPr>
        <w:t>★</w:t>
      </w:r>
    </w:p>
    <w:p w14:paraId="4EBBD1D3">
      <w:pPr>
        <w:widowControl/>
        <w:jc w:val="center"/>
        <w:rPr>
          <w:rFonts w:ascii="宋体" w:hAnsi="宋体" w:cs="宋体"/>
          <w:b/>
          <w:bCs/>
          <w:color w:val="000000"/>
          <w:kern w:val="0"/>
          <w:sz w:val="31"/>
          <w:szCs w:val="31"/>
          <w:lang w:bidi="ar"/>
        </w:rPr>
      </w:pPr>
      <w:r>
        <w:rPr>
          <w:rFonts w:hint="eastAsia" w:ascii="宋体" w:hAnsi="宋体" w:cs="宋体"/>
          <w:b/>
          <w:bCs/>
          <w:color w:val="000000"/>
          <w:kern w:val="0"/>
          <w:sz w:val="31"/>
          <w:szCs w:val="31"/>
          <w:lang w:bidi="ar"/>
        </w:rPr>
        <w:t>关</w:t>
      </w:r>
      <w:r>
        <w:rPr>
          <w:rFonts w:hint="eastAsia" w:ascii="宋体" w:hAnsi="宋体" w:cs="宋体"/>
          <w:b/>
          <w:bCs/>
          <w:color w:val="000000"/>
          <w:kern w:val="0"/>
          <w:sz w:val="31"/>
          <w:szCs w:val="31"/>
          <w:lang w:val="en-US" w:eastAsia="zh-CN" w:bidi="ar"/>
        </w:rPr>
        <w:t>于芒稻船闸闸区环境（服务设施）提升项目</w:t>
      </w:r>
    </w:p>
    <w:p w14:paraId="23D81048">
      <w:pPr>
        <w:widowControl/>
        <w:jc w:val="center"/>
        <w:rPr>
          <w:rFonts w:ascii="宋体" w:hAnsi="宋体"/>
          <w:b/>
          <w:bCs/>
          <w:sz w:val="32"/>
          <w:szCs w:val="32"/>
        </w:rPr>
      </w:pPr>
      <w:r>
        <w:rPr>
          <w:rFonts w:hint="eastAsia" w:ascii="宋体" w:hAnsi="宋体" w:cs="宋体"/>
          <w:b/>
          <w:bCs/>
          <w:color w:val="000000"/>
          <w:kern w:val="0"/>
          <w:sz w:val="31"/>
          <w:szCs w:val="31"/>
          <w:lang w:bidi="ar"/>
        </w:rPr>
        <w:t>工程量清单及最高投标限价审核咨询成果报告书</w:t>
      </w:r>
    </w:p>
    <w:p w14:paraId="4F76EA38">
      <w:pPr>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扬州市港航事业发展中心：</w:t>
      </w:r>
    </w:p>
    <w:p w14:paraId="75711397">
      <w:pPr>
        <w:pStyle w:val="4"/>
        <w:spacing w:line="60" w:lineRule="atLeast"/>
        <w:jc w:val="left"/>
        <w:rPr>
          <w:rFonts w:ascii="宋体" w:hAnsi="宋体"/>
          <w:sz w:val="28"/>
          <w:szCs w:val="28"/>
        </w:rPr>
      </w:pPr>
      <w:r>
        <w:rPr>
          <w:rFonts w:hint="eastAsia"/>
          <w:sz w:val="28"/>
          <w:szCs w:val="28"/>
          <w:lang w:val="en-US" w:eastAsia="zh-CN"/>
        </w:rPr>
        <w:t xml:space="preserve">    </w:t>
      </w:r>
      <w:r>
        <w:rPr>
          <w:rFonts w:hint="eastAsia" w:ascii="宋体" w:hAnsi="宋体"/>
          <w:sz w:val="28"/>
          <w:szCs w:val="28"/>
        </w:rPr>
        <w:t>我公司接受贵单位委托，为</w:t>
      </w:r>
      <w:r>
        <w:rPr>
          <w:rFonts w:hint="eastAsia" w:ascii="宋体" w:hAnsi="宋体"/>
          <w:sz w:val="28"/>
          <w:szCs w:val="28"/>
          <w:lang w:val="en-US" w:eastAsia="zh-CN"/>
        </w:rPr>
        <w:t>芒稻船闸闸区环境（服务设施）提升项目</w:t>
      </w:r>
      <w:r>
        <w:rPr>
          <w:rFonts w:hint="eastAsia" w:ascii="宋体" w:hAnsi="宋体"/>
          <w:sz w:val="28"/>
          <w:szCs w:val="28"/>
        </w:rPr>
        <w:t>工程量清单及最高投标限价。现将最高投标限价审核情况报告如下：</w:t>
      </w:r>
    </w:p>
    <w:p w14:paraId="1B198E66">
      <w:pPr>
        <w:spacing w:line="360" w:lineRule="auto"/>
        <w:ind w:firstLine="562" w:firstLineChars="200"/>
        <w:rPr>
          <w:rFonts w:ascii="宋体" w:hAnsi="宋体"/>
          <w:b/>
          <w:sz w:val="28"/>
          <w:szCs w:val="28"/>
        </w:rPr>
      </w:pPr>
      <w:r>
        <w:rPr>
          <w:rFonts w:hint="eastAsia" w:ascii="宋体" w:hAnsi="宋体"/>
          <w:b/>
          <w:sz w:val="28"/>
          <w:szCs w:val="28"/>
        </w:rPr>
        <w:t>一、工程概况</w:t>
      </w:r>
    </w:p>
    <w:p w14:paraId="68E4AD9F">
      <w:pPr>
        <w:spacing w:line="360" w:lineRule="auto"/>
        <w:ind w:firstLine="560" w:firstLineChars="200"/>
        <w:rPr>
          <w:rFonts w:ascii="宋体" w:hAnsi="宋体"/>
          <w:sz w:val="28"/>
          <w:szCs w:val="28"/>
        </w:rPr>
      </w:pPr>
      <w:r>
        <w:rPr>
          <w:rFonts w:hint="eastAsia" w:ascii="宋体" w:hAnsi="宋体"/>
          <w:sz w:val="28"/>
          <w:szCs w:val="28"/>
        </w:rPr>
        <w:t>1、项目名称：</w:t>
      </w:r>
      <w:r>
        <w:rPr>
          <w:rFonts w:hint="eastAsia" w:ascii="宋体" w:hAnsi="宋体"/>
          <w:sz w:val="28"/>
          <w:szCs w:val="28"/>
          <w:lang w:val="en-US" w:eastAsia="zh-CN"/>
        </w:rPr>
        <w:t>芒稻船闸闸区环境（服务设施）提升项目</w:t>
      </w:r>
      <w:r>
        <w:rPr>
          <w:rFonts w:hint="eastAsia" w:ascii="宋体" w:hAnsi="宋体" w:eastAsia="宋体"/>
          <w:sz w:val="28"/>
          <w:szCs w:val="28"/>
          <w:lang w:val="en-US" w:eastAsia="zh-CN"/>
        </w:rPr>
        <w:t>；</w:t>
      </w:r>
    </w:p>
    <w:p w14:paraId="2B3B0B71">
      <w:pPr>
        <w:spacing w:line="360" w:lineRule="auto"/>
        <w:ind w:firstLine="560" w:firstLineChars="200"/>
        <w:rPr>
          <w:rFonts w:hint="eastAsia" w:ascii="宋体" w:hAnsi="宋体"/>
          <w:sz w:val="28"/>
          <w:szCs w:val="28"/>
        </w:rPr>
      </w:pPr>
      <w:r>
        <w:rPr>
          <w:rFonts w:hint="eastAsia" w:ascii="宋体" w:hAnsi="宋体"/>
          <w:sz w:val="28"/>
          <w:szCs w:val="28"/>
        </w:rPr>
        <w:t>2、建设地</w:t>
      </w:r>
      <w:r>
        <w:rPr>
          <w:rFonts w:hint="eastAsia" w:ascii="宋体" w:hAnsi="宋体" w:eastAsia="宋体"/>
          <w:sz w:val="28"/>
          <w:szCs w:val="28"/>
          <w:lang w:val="en-US" w:eastAsia="zh-CN"/>
        </w:rPr>
        <w:t>点：扬州市江都区；</w:t>
      </w:r>
    </w:p>
    <w:p w14:paraId="1AFF44A2">
      <w:pPr>
        <w:spacing w:line="360" w:lineRule="auto"/>
        <w:ind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、编制内容：</w:t>
      </w:r>
      <w:r>
        <w:rPr>
          <w:rFonts w:hint="eastAsia" w:ascii="宋体" w:hAnsi="宋体"/>
          <w:sz w:val="28"/>
          <w:szCs w:val="28"/>
          <w:lang w:val="en-US" w:eastAsia="zh-CN"/>
        </w:rPr>
        <w:t>芒稻船闸闸区环境（服务设施）提升项目设计范围内</w:t>
      </w:r>
      <w:r>
        <w:rPr>
          <w:rFonts w:hint="default" w:ascii="宋体" w:hAnsi="宋体"/>
          <w:sz w:val="28"/>
          <w:szCs w:val="28"/>
          <w:lang w:val="en-US" w:eastAsia="zh-CN"/>
        </w:rPr>
        <w:t>内容</w:t>
      </w:r>
      <w:r>
        <w:rPr>
          <w:rFonts w:hint="eastAsia" w:ascii="宋体" w:hAnsi="宋体"/>
          <w:sz w:val="28"/>
          <w:szCs w:val="28"/>
          <w:lang w:val="en-US" w:eastAsia="zh-CN"/>
        </w:rPr>
        <w:t>；</w:t>
      </w:r>
    </w:p>
    <w:p w14:paraId="2C5C9EDA">
      <w:pPr>
        <w:spacing w:line="360" w:lineRule="auto"/>
        <w:ind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、施工现场实际情况：投标人自行考虑施工现场施工条件；</w:t>
      </w:r>
    </w:p>
    <w:p w14:paraId="024703FC">
      <w:pPr>
        <w:spacing w:line="360" w:lineRule="auto"/>
        <w:ind w:firstLine="560" w:firstLineChars="200"/>
        <w:rPr>
          <w:rFonts w:hint="eastAsia" w:ascii="宋体" w:hAnsi="宋体"/>
          <w:b/>
          <w:sz w:val="28"/>
          <w:szCs w:val="28"/>
        </w:rPr>
      </w:pPr>
      <w:r>
        <w:rPr>
          <w:rFonts w:hint="eastAsia" w:ascii="宋体" w:hAnsi="宋体"/>
          <w:sz w:val="28"/>
          <w:szCs w:val="28"/>
          <w:lang w:val="en-US" w:eastAsia="zh-CN"/>
        </w:rPr>
        <w:t>5</w:t>
      </w:r>
      <w:r>
        <w:rPr>
          <w:rFonts w:hint="eastAsia" w:ascii="宋体" w:hAnsi="宋体"/>
          <w:sz w:val="28"/>
          <w:szCs w:val="28"/>
        </w:rPr>
        <w:t>、环境保护要求：必须符合当地环保部门对噪音、粉尘、污水、垃圾的限制或处理的要求。</w:t>
      </w:r>
    </w:p>
    <w:p w14:paraId="649EBDCE">
      <w:pPr>
        <w:spacing w:line="360" w:lineRule="auto"/>
        <w:ind w:firstLine="562" w:firstLineChars="200"/>
        <w:rPr>
          <w:rFonts w:ascii="宋体" w:hAnsi="宋体"/>
          <w:b/>
          <w:sz w:val="28"/>
          <w:szCs w:val="28"/>
        </w:rPr>
      </w:pPr>
      <w:r>
        <w:rPr>
          <w:rFonts w:hint="eastAsia" w:ascii="宋体" w:hAnsi="宋体"/>
          <w:b/>
          <w:sz w:val="28"/>
          <w:szCs w:val="28"/>
        </w:rPr>
        <w:t>二、审核依据</w:t>
      </w:r>
    </w:p>
    <w:p w14:paraId="458F88A8">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w:t>
      </w:r>
      <w:r>
        <w:rPr>
          <w:rFonts w:hint="eastAsia" w:ascii="宋体" w:hAnsi="宋体"/>
          <w:sz w:val="28"/>
          <w:szCs w:val="28"/>
          <w:lang w:val="en-US" w:eastAsia="zh-CN"/>
        </w:rPr>
        <w:t>江苏唯诚建设咨询有限公司</w:t>
      </w:r>
      <w:r>
        <w:rPr>
          <w:rFonts w:hint="eastAsia" w:ascii="宋体" w:hAnsi="宋体" w:eastAsia="宋体"/>
          <w:sz w:val="28"/>
          <w:szCs w:val="28"/>
          <w:lang w:val="en-US" w:eastAsia="zh-CN"/>
        </w:rPr>
        <w:t>提供的关于</w:t>
      </w:r>
      <w:r>
        <w:rPr>
          <w:rFonts w:hint="eastAsia" w:ascii="宋体" w:hAnsi="宋体"/>
          <w:sz w:val="28"/>
          <w:szCs w:val="28"/>
          <w:lang w:val="en-US" w:eastAsia="zh-CN"/>
        </w:rPr>
        <w:t>“芒稻船闸闸区环境（服务设施）提升项目”</w:t>
      </w:r>
      <w:r>
        <w:rPr>
          <w:rFonts w:hint="eastAsia" w:ascii="宋体" w:hAnsi="宋体" w:eastAsia="宋体"/>
          <w:sz w:val="28"/>
          <w:szCs w:val="28"/>
          <w:lang w:val="en-US" w:eastAsia="zh-CN"/>
        </w:rPr>
        <w:t>工程量清单及最高投标限价编制的报告；</w:t>
      </w:r>
    </w:p>
    <w:p w14:paraId="788B0EB4">
      <w:pPr>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2、芒稻船闸闸区环境（服务设施）提升项目</w:t>
      </w:r>
      <w:r>
        <w:rPr>
          <w:rFonts w:hint="eastAsia" w:ascii="宋体" w:hAnsi="宋体" w:eastAsia="宋体"/>
          <w:sz w:val="28"/>
          <w:szCs w:val="28"/>
          <w:lang w:val="en-US" w:eastAsia="zh-CN"/>
        </w:rPr>
        <w:t>施工图</w:t>
      </w:r>
    </w:p>
    <w:p w14:paraId="512245D5">
      <w:pPr>
        <w:spacing w:line="360" w:lineRule="auto"/>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3、</w:t>
      </w:r>
      <w:r>
        <w:rPr>
          <w:rFonts w:hint="eastAsia" w:ascii="宋体" w:hAnsi="宋体" w:eastAsia="宋体"/>
          <w:sz w:val="28"/>
          <w:szCs w:val="28"/>
          <w:lang w:val="en-US" w:eastAsia="zh-CN"/>
        </w:rPr>
        <w:t>《建设工程工程量清单计价规范》（GB50500-2013）；</w:t>
      </w:r>
    </w:p>
    <w:p w14:paraId="7408CD44">
      <w:pPr>
        <w:spacing w:line="360" w:lineRule="auto"/>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4、</w:t>
      </w:r>
      <w:r>
        <w:rPr>
          <w:rFonts w:hint="eastAsia" w:ascii="宋体" w:hAnsi="宋体" w:eastAsia="宋体"/>
          <w:sz w:val="28"/>
          <w:szCs w:val="28"/>
          <w:lang w:val="en-US" w:eastAsia="zh-CN"/>
        </w:rPr>
        <w:t>房屋建筑与装饰工程工程量计算规范（GB50854-2013）、园林绿化工程工程量计算规范（GB50858-2013）；</w:t>
      </w:r>
    </w:p>
    <w:p w14:paraId="7E46F6C1">
      <w:pPr>
        <w:spacing w:line="360" w:lineRule="auto"/>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5、</w:t>
      </w:r>
      <w:r>
        <w:rPr>
          <w:rFonts w:hint="eastAsia" w:ascii="宋体" w:hAnsi="宋体" w:eastAsia="宋体"/>
          <w:sz w:val="28"/>
          <w:szCs w:val="28"/>
          <w:lang w:val="en-US" w:eastAsia="zh-CN"/>
        </w:rPr>
        <w:t>省住房城乡建设厅关于《建设工程工程量清单计价规范》（GB50500—2013）及其9本工程量计算规范的贯彻意见（苏建价〔2014〕448号）；</w:t>
      </w:r>
    </w:p>
    <w:p w14:paraId="508B7526">
      <w:pPr>
        <w:spacing w:line="360" w:lineRule="auto"/>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6、</w:t>
      </w:r>
      <w:r>
        <w:rPr>
          <w:rFonts w:hint="eastAsia" w:ascii="宋体" w:hAnsi="宋体" w:eastAsia="宋体"/>
          <w:sz w:val="28"/>
          <w:szCs w:val="28"/>
          <w:lang w:val="en-US" w:eastAsia="zh-CN"/>
        </w:rPr>
        <w:t>关于执行《省住房城乡建设厅关于〈建设工程工程量清单计价规范〉（GB50500-2013）及其9本工程量计算规范的贯彻意见》的通知（扬建工〔2014〕20号）；</w:t>
      </w:r>
    </w:p>
    <w:p w14:paraId="3A3080DD">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7.《江苏省园林工程计价定额》(2007年)；</w:t>
      </w:r>
    </w:p>
    <w:p w14:paraId="1A7732D5">
      <w:pPr>
        <w:spacing w:line="360" w:lineRule="auto"/>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8</w:t>
      </w:r>
      <w:r>
        <w:rPr>
          <w:rFonts w:hint="eastAsia" w:ascii="宋体" w:hAnsi="宋体" w:eastAsia="宋体"/>
          <w:sz w:val="28"/>
          <w:szCs w:val="28"/>
          <w:lang w:val="en-US" w:eastAsia="zh-CN"/>
        </w:rPr>
        <w:t>.《江苏省建筑工程计价定额》（2014年)；</w:t>
      </w:r>
    </w:p>
    <w:p w14:paraId="60EFFE11">
      <w:pPr>
        <w:spacing w:line="360" w:lineRule="auto"/>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9</w:t>
      </w:r>
      <w:r>
        <w:rPr>
          <w:rFonts w:hint="eastAsia" w:ascii="宋体" w:hAnsi="宋体" w:eastAsia="宋体"/>
          <w:sz w:val="28"/>
          <w:szCs w:val="28"/>
          <w:lang w:val="en-US" w:eastAsia="zh-CN"/>
        </w:rPr>
        <w:t>.省住房城乡建设厅《关于建筑业实施营改增后江苏省建设工程计价依据调整的通知》（苏建价[2016]154号）；</w:t>
      </w:r>
    </w:p>
    <w:p w14:paraId="43F02D0E">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w:t>
      </w:r>
      <w:r>
        <w:rPr>
          <w:rFonts w:hint="eastAsia" w:ascii="宋体" w:hAnsi="宋体"/>
          <w:sz w:val="28"/>
          <w:szCs w:val="28"/>
          <w:lang w:val="en-US" w:eastAsia="zh-CN"/>
        </w:rPr>
        <w:t>0</w:t>
      </w:r>
      <w:r>
        <w:rPr>
          <w:rFonts w:hint="eastAsia" w:ascii="宋体" w:hAnsi="宋体" w:eastAsia="宋体"/>
          <w:sz w:val="28"/>
          <w:szCs w:val="28"/>
          <w:lang w:val="en-US" w:eastAsia="zh-CN"/>
        </w:rPr>
        <w:t>.材料价格依据《扬州工程造价管理》2025年第8期，缺项部分参照市场价;</w:t>
      </w:r>
    </w:p>
    <w:p w14:paraId="2EE40FEB">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12.人工工资按苏建函价【2025】273号文执行；</w:t>
      </w:r>
    </w:p>
    <w:p w14:paraId="27DC4EFF">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lang w:val="en-US" w:eastAsia="zh-CN"/>
        </w:rPr>
        <w:t>3、</w:t>
      </w:r>
      <w:r>
        <w:rPr>
          <w:rFonts w:hint="eastAsia" w:ascii="宋体" w:hAnsi="宋体" w:cs="宋体"/>
          <w:kern w:val="0"/>
          <w:sz w:val="28"/>
          <w:szCs w:val="28"/>
        </w:rPr>
        <w:t>与本工程项目有关的标准、规范、技术资料；</w:t>
      </w:r>
    </w:p>
    <w:p w14:paraId="35CDDDF0">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lang w:val="en-US" w:eastAsia="zh-CN"/>
        </w:rPr>
        <w:t>14、</w:t>
      </w:r>
      <w:r>
        <w:rPr>
          <w:rFonts w:hint="eastAsia" w:ascii="宋体" w:hAnsi="宋体" w:cs="宋体"/>
          <w:kern w:val="0"/>
          <w:sz w:val="28"/>
          <w:szCs w:val="28"/>
        </w:rPr>
        <w:t>施工现场情况、工程特点及常规施工方案；</w:t>
      </w:r>
    </w:p>
    <w:p w14:paraId="76B73D92">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lang w:val="en-US" w:eastAsia="zh-CN"/>
        </w:rPr>
        <w:t>15、</w:t>
      </w:r>
      <w:r>
        <w:rPr>
          <w:rFonts w:hint="eastAsia" w:ascii="宋体" w:hAnsi="宋体" w:cs="宋体"/>
          <w:kern w:val="0"/>
          <w:sz w:val="28"/>
          <w:szCs w:val="28"/>
        </w:rPr>
        <w:t>其他相关资料。</w:t>
      </w:r>
    </w:p>
    <w:p w14:paraId="0588AB13">
      <w:pPr>
        <w:spacing w:line="360" w:lineRule="auto"/>
        <w:ind w:firstLine="562" w:firstLineChars="200"/>
        <w:rPr>
          <w:rFonts w:ascii="宋体" w:hAnsi="宋体"/>
          <w:b/>
          <w:bCs/>
          <w:sz w:val="28"/>
        </w:rPr>
      </w:pPr>
      <w:r>
        <w:rPr>
          <w:rFonts w:hint="eastAsia" w:ascii="宋体" w:hAnsi="宋体"/>
          <w:b/>
          <w:bCs/>
          <w:sz w:val="28"/>
        </w:rPr>
        <w:t>三、编制责任</w:t>
      </w:r>
    </w:p>
    <w:p w14:paraId="39E737AB">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委托方：对提供资料的真实性、合法性、完整性负责。 </w:t>
      </w:r>
    </w:p>
    <w:p w14:paraId="7FB05806">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受托方：对咨询成果文件的真实性、合法性负责。</w:t>
      </w:r>
    </w:p>
    <w:p w14:paraId="7BE1FEF8">
      <w:pPr>
        <w:spacing w:line="360" w:lineRule="auto"/>
        <w:ind w:firstLine="560" w:firstLineChars="200"/>
        <w:rPr>
          <w:rFonts w:hint="eastAsia" w:ascii="宋体" w:hAnsi="宋体" w:cs="宋体"/>
          <w:kern w:val="0"/>
          <w:sz w:val="28"/>
          <w:szCs w:val="28"/>
          <w:lang w:val="en-US" w:eastAsia="zh-CN"/>
        </w:rPr>
      </w:pPr>
    </w:p>
    <w:p w14:paraId="5FD658D8">
      <w:pPr>
        <w:numPr>
          <w:ilvl w:val="0"/>
          <w:numId w:val="1"/>
        </w:numPr>
        <w:spacing w:line="360" w:lineRule="auto"/>
        <w:ind w:firstLine="562" w:firstLineChars="200"/>
        <w:rPr>
          <w:rFonts w:hint="eastAsia" w:ascii="宋体" w:hAnsi="宋体"/>
          <w:b/>
          <w:bCs/>
          <w:sz w:val="28"/>
        </w:rPr>
      </w:pPr>
      <w:r>
        <w:rPr>
          <w:rFonts w:hint="eastAsia" w:ascii="宋体" w:hAnsi="宋体"/>
          <w:b/>
          <w:bCs/>
          <w:sz w:val="28"/>
        </w:rPr>
        <w:t>编制说明</w:t>
      </w:r>
    </w:p>
    <w:p w14:paraId="3F51C7A8">
      <w:pPr>
        <w:spacing w:line="360" w:lineRule="auto"/>
        <w:ind w:firstLine="560" w:firstLineChars="200"/>
        <w:rPr>
          <w:rFonts w:hint="default" w:ascii="宋体" w:hAnsi="宋体" w:cs="宋体"/>
          <w:kern w:val="0"/>
          <w:sz w:val="28"/>
          <w:szCs w:val="28"/>
          <w:lang w:val="en-US" w:eastAsia="zh-CN"/>
        </w:rPr>
      </w:pPr>
      <w:r>
        <w:rPr>
          <w:rFonts w:hint="default" w:ascii="宋体" w:hAnsi="宋体" w:cs="宋体"/>
          <w:kern w:val="0"/>
          <w:sz w:val="28"/>
          <w:szCs w:val="28"/>
          <w:lang w:val="en-US" w:eastAsia="zh-CN"/>
        </w:rPr>
        <w:t>（一）一般说明</w:t>
      </w:r>
    </w:p>
    <w:p w14:paraId="07D0FBA5">
      <w:pPr>
        <w:spacing w:line="360" w:lineRule="auto"/>
        <w:ind w:firstLine="560" w:firstLineChars="200"/>
        <w:rPr>
          <w:rFonts w:hint="default" w:ascii="宋体" w:hAnsi="宋体" w:cs="宋体"/>
          <w:kern w:val="0"/>
          <w:sz w:val="28"/>
          <w:szCs w:val="28"/>
          <w:lang w:val="en-US" w:eastAsia="zh-CN"/>
        </w:rPr>
      </w:pPr>
      <w:r>
        <w:rPr>
          <w:rFonts w:hint="default" w:ascii="宋体" w:hAnsi="宋体" w:cs="宋体"/>
          <w:kern w:val="0"/>
          <w:sz w:val="28"/>
          <w:szCs w:val="28"/>
          <w:lang w:val="en-US" w:eastAsia="zh-CN"/>
        </w:rPr>
        <w:t>1、施工现场情况：以现场踏勘情况为准。</w:t>
      </w:r>
    </w:p>
    <w:p w14:paraId="3DCDF66C">
      <w:pPr>
        <w:spacing w:line="360" w:lineRule="auto"/>
        <w:ind w:firstLine="560" w:firstLineChars="200"/>
        <w:rPr>
          <w:rFonts w:hint="default" w:ascii="宋体" w:hAnsi="宋体" w:cs="宋体"/>
          <w:kern w:val="0"/>
          <w:sz w:val="28"/>
          <w:szCs w:val="28"/>
          <w:lang w:val="en-US" w:eastAsia="zh-CN"/>
        </w:rPr>
      </w:pPr>
      <w:r>
        <w:rPr>
          <w:rFonts w:hint="default" w:ascii="宋体" w:hAnsi="宋体" w:cs="宋体"/>
          <w:kern w:val="0"/>
          <w:sz w:val="28"/>
          <w:szCs w:val="28"/>
          <w:lang w:val="en-US" w:eastAsia="zh-CN"/>
        </w:rPr>
        <w:t>2、交通运输情况：以现场踏勘情况为准。</w:t>
      </w:r>
    </w:p>
    <w:p w14:paraId="4CF3414C">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3、环境保护要求；满足省、市及当地政府对环境保护的相关要求和规定。 </w:t>
      </w:r>
    </w:p>
    <w:p w14:paraId="043EB103">
      <w:pPr>
        <w:spacing w:line="360" w:lineRule="auto"/>
        <w:ind w:firstLine="560" w:firstLineChars="200"/>
        <w:rPr>
          <w:rFonts w:hint="default" w:ascii="宋体" w:hAnsi="宋体" w:cs="宋体"/>
          <w:kern w:val="0"/>
          <w:sz w:val="28"/>
          <w:szCs w:val="28"/>
          <w:lang w:val="en-US" w:eastAsia="zh-CN"/>
        </w:rPr>
      </w:pPr>
      <w:r>
        <w:rPr>
          <w:rFonts w:hint="eastAsia" w:ascii="宋体" w:hAnsi="宋体" w:cs="宋体"/>
          <w:kern w:val="0"/>
          <w:sz w:val="28"/>
          <w:szCs w:val="28"/>
          <w:lang w:val="en-US" w:eastAsia="zh-CN"/>
        </w:rPr>
        <w:t xml:space="preserve">4、工程量清单中的每一个项目，都需填入综合单价及合价；不同单项及单位工程中的分部分项工程量清单中相同项目（项目特征及工作内容相同）的报价应统一，如有差异，按最低一个报价进行结算。 </w:t>
      </w:r>
    </w:p>
    <w:p w14:paraId="7475144F">
      <w:pPr>
        <w:spacing w:line="360" w:lineRule="auto"/>
        <w:ind w:firstLine="560" w:firstLineChars="200"/>
        <w:rPr>
          <w:rFonts w:hint="default" w:ascii="宋体" w:hAnsi="宋体" w:cs="宋体"/>
          <w:kern w:val="0"/>
          <w:sz w:val="28"/>
          <w:szCs w:val="28"/>
          <w:lang w:val="en-US" w:eastAsia="zh-CN"/>
        </w:rPr>
      </w:pPr>
      <w:r>
        <w:rPr>
          <w:rFonts w:hint="eastAsia" w:ascii="宋体" w:hAnsi="宋体" w:cs="宋体"/>
          <w:kern w:val="0"/>
          <w:sz w:val="28"/>
          <w:szCs w:val="28"/>
          <w:lang w:val="en-US" w:eastAsia="zh-CN"/>
        </w:rPr>
        <w:t xml:space="preserve">5、本工程量清单中的分部分项工程量及措施项目工程量均是根据本工程施工图、按照“工程量计算规范”的规定进行计算的，仅作为施工企业投标报价的共同基础，不能作为最终结算与支付价款的依据。 </w:t>
      </w:r>
    </w:p>
    <w:p w14:paraId="64706E6D">
      <w:pPr>
        <w:spacing w:line="360" w:lineRule="auto"/>
        <w:ind w:firstLine="560" w:firstLineChars="200"/>
        <w:rPr>
          <w:rFonts w:hint="default" w:ascii="宋体" w:hAnsi="宋体" w:cs="宋体"/>
          <w:kern w:val="0"/>
          <w:sz w:val="28"/>
          <w:szCs w:val="28"/>
          <w:lang w:val="en-US" w:eastAsia="zh-CN"/>
        </w:rPr>
      </w:pPr>
      <w:r>
        <w:rPr>
          <w:rFonts w:hint="eastAsia" w:ascii="宋体" w:hAnsi="宋体" w:cs="宋体"/>
          <w:kern w:val="0"/>
          <w:sz w:val="28"/>
          <w:szCs w:val="28"/>
          <w:lang w:val="en-US" w:eastAsia="zh-CN"/>
        </w:rPr>
        <w:t xml:space="preserve">6、工程量清单及其计价格式中的任何内容不得随意删除或涂改，若有错误，在招标答疑时及时提出，以“补遗”资料为准。 </w:t>
      </w:r>
    </w:p>
    <w:p w14:paraId="7BE6B81F">
      <w:pPr>
        <w:spacing w:line="360" w:lineRule="auto"/>
        <w:ind w:firstLine="560" w:firstLineChars="200"/>
        <w:rPr>
          <w:rFonts w:hint="default" w:ascii="宋体" w:hAnsi="宋体" w:cs="宋体"/>
          <w:kern w:val="0"/>
          <w:sz w:val="28"/>
          <w:szCs w:val="28"/>
          <w:lang w:val="en-US" w:eastAsia="zh-CN"/>
        </w:rPr>
      </w:pPr>
      <w:r>
        <w:rPr>
          <w:rFonts w:hint="eastAsia" w:ascii="宋体" w:hAnsi="宋体" w:cs="宋体"/>
          <w:kern w:val="0"/>
          <w:sz w:val="28"/>
          <w:szCs w:val="28"/>
          <w:lang w:val="en-US" w:eastAsia="zh-CN"/>
        </w:rPr>
        <w:t>7、</w:t>
      </w:r>
      <w:r>
        <w:rPr>
          <w:rFonts w:hint="default" w:ascii="宋体" w:hAnsi="宋体" w:cs="宋体"/>
          <w:kern w:val="0"/>
          <w:sz w:val="28"/>
          <w:szCs w:val="28"/>
          <w:lang w:val="en-US" w:eastAsia="zh-CN"/>
        </w:rPr>
        <w:t xml:space="preserve">分部分项工程量清单中对工程项目的项目特征及具体做法制作重点描述，详细情况见施工图设计、技术说明及相关标准图集。组价时应结合投标人现场勘查情况包括完成所有工序工作内容的全部费用。 </w:t>
      </w:r>
    </w:p>
    <w:p w14:paraId="5E0B0FF8">
      <w:pPr>
        <w:spacing w:line="360" w:lineRule="auto"/>
        <w:ind w:firstLine="560" w:firstLineChars="200"/>
        <w:rPr>
          <w:rFonts w:hint="default" w:ascii="宋体" w:hAnsi="宋体" w:cs="宋体"/>
          <w:kern w:val="0"/>
          <w:sz w:val="28"/>
          <w:szCs w:val="28"/>
          <w:lang w:val="en-US" w:eastAsia="zh-CN"/>
        </w:rPr>
      </w:pPr>
      <w:r>
        <w:rPr>
          <w:rFonts w:hint="default" w:ascii="宋体" w:hAnsi="宋体" w:cs="宋体"/>
          <w:kern w:val="0"/>
          <w:sz w:val="28"/>
          <w:szCs w:val="28"/>
          <w:lang w:val="en-US" w:eastAsia="zh-CN"/>
        </w:rPr>
        <w:t>（二）其他说明</w:t>
      </w:r>
    </w:p>
    <w:p w14:paraId="3ED9F38A">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1、投标人投标前需自行查勘现场，综合考虑施工现场情况、在投标报价自行考虑，不因施工方案的调整而调整造价。</w:t>
      </w:r>
    </w:p>
    <w:p w14:paraId="651AA14C">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2、各清单内容施工过程中可能发生的各种措施费用投标人自行考虑。</w:t>
      </w:r>
    </w:p>
    <w:p w14:paraId="2F53C067">
      <w:pPr>
        <w:spacing w:line="360" w:lineRule="auto"/>
        <w:ind w:firstLine="560" w:firstLineChars="200"/>
        <w:rPr>
          <w:rFonts w:hint="default" w:ascii="宋体" w:hAnsi="宋体" w:cs="宋体"/>
          <w:kern w:val="0"/>
          <w:sz w:val="28"/>
          <w:szCs w:val="28"/>
          <w:lang w:val="en-US" w:eastAsia="zh-CN"/>
        </w:rPr>
      </w:pPr>
      <w:r>
        <w:rPr>
          <w:rFonts w:hint="eastAsia" w:ascii="宋体" w:hAnsi="宋体" w:cs="宋体"/>
          <w:kern w:val="0"/>
          <w:sz w:val="28"/>
          <w:szCs w:val="28"/>
          <w:lang w:val="en-US" w:eastAsia="zh-CN"/>
        </w:rPr>
        <w:t>3、其他说明详见清单说明和项目特征说明及行业规范内容。</w:t>
      </w:r>
    </w:p>
    <w:p w14:paraId="496434BD">
      <w:pPr>
        <w:spacing w:line="360" w:lineRule="auto"/>
        <w:ind w:firstLine="560" w:firstLineChars="200"/>
        <w:rPr>
          <w:rFonts w:hint="default" w:ascii="宋体" w:hAnsi="宋体" w:cs="宋体"/>
          <w:kern w:val="0"/>
          <w:sz w:val="28"/>
          <w:szCs w:val="28"/>
          <w:lang w:val="en-US" w:eastAsia="zh-CN"/>
        </w:rPr>
      </w:pPr>
      <w:r>
        <w:rPr>
          <w:rFonts w:hint="eastAsia" w:ascii="宋体" w:hAnsi="宋体" w:cs="宋体"/>
          <w:kern w:val="0"/>
          <w:sz w:val="28"/>
          <w:szCs w:val="28"/>
          <w:lang w:val="en-US" w:eastAsia="zh-CN"/>
        </w:rPr>
        <w:t>4、工程量清单应与招标文件、招标项目图纸等文件结合起来查阅与理解,工程量清单中所描述的项目特征仅为招标人对该分部分项工程主要特征的概述,而非是工程特征的全面描述,工程量清单中的次要特征描述和次要工作内容不全时，应结合设计图纸、招标文件，并应当综合考虑专业技术要求、施工规范、地方规章和常规施工方案等要求，所产生的费用计入投标报价中；清单特征中未描述的，但现行计价计算规范中注明的工程内容，承包人在报价中应充分考虑“工程内容”而产生的费用，列入相应报价中。</w:t>
      </w:r>
    </w:p>
    <w:p w14:paraId="1AAA6CA9">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5</w:t>
      </w:r>
      <w:r>
        <w:rPr>
          <w:rFonts w:hint="default" w:ascii="宋体" w:hAnsi="宋体" w:cs="宋体"/>
          <w:kern w:val="0"/>
          <w:sz w:val="28"/>
          <w:szCs w:val="28"/>
          <w:lang w:val="en-US" w:eastAsia="zh-CN"/>
        </w:rPr>
        <w:t>、其他相关说明</w:t>
      </w:r>
    </w:p>
    <w:p w14:paraId="305747FA">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（1）、发包人提供材料设备情况：无。</w:t>
      </w:r>
    </w:p>
    <w:p w14:paraId="76BE2FC5">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（2）、材料（工程设备）暂估价：详见《材料（工程设备）暂估单价及调整表》。</w:t>
      </w:r>
    </w:p>
    <w:p w14:paraId="71EBFDA0">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（3）、材料暂估价：8000元。</w:t>
      </w:r>
    </w:p>
    <w:p w14:paraId="516941B2">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（4）、暂列金额情况：详见《暂列金额明细表》。</w:t>
      </w:r>
    </w:p>
    <w:p w14:paraId="0F4EEB2C">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（5）、安全文明施工费计取情况：无。</w:t>
      </w:r>
    </w:p>
    <w:p w14:paraId="254CA69E">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（6）、赶工措施费情况：无。</w:t>
      </w:r>
    </w:p>
    <w:p w14:paraId="34786042">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（7）、按质论价情况：无。</w:t>
      </w:r>
    </w:p>
    <w:p w14:paraId="4F118CC0">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（8）、材料、设备品牌情况：无。</w:t>
      </w:r>
    </w:p>
    <w:p w14:paraId="51211AA1">
      <w:pPr>
        <w:spacing w:line="360" w:lineRule="auto"/>
        <w:ind w:firstLine="560" w:firstLineChars="200"/>
        <w:rPr>
          <w:rFonts w:hint="default" w:ascii="宋体" w:hAnsi="宋体" w:cs="宋体"/>
          <w:kern w:val="0"/>
          <w:sz w:val="28"/>
          <w:szCs w:val="28"/>
          <w:lang w:val="en-US" w:eastAsia="zh-CN"/>
        </w:rPr>
      </w:pPr>
    </w:p>
    <w:p w14:paraId="4942EFEB">
      <w:pPr>
        <w:spacing w:line="360" w:lineRule="auto"/>
        <w:ind w:firstLine="562" w:firstLineChars="200"/>
        <w:rPr>
          <w:rFonts w:hint="eastAsia" w:ascii="宋体" w:hAnsi="宋体"/>
          <w:b/>
          <w:bCs/>
          <w:sz w:val="28"/>
        </w:rPr>
      </w:pPr>
      <w:r>
        <w:rPr>
          <w:rFonts w:hint="eastAsia" w:ascii="宋体" w:hAnsi="宋体"/>
          <w:b/>
          <w:bCs/>
          <w:sz w:val="28"/>
        </w:rPr>
        <w:t>五、审核说明</w:t>
      </w:r>
    </w:p>
    <w:p w14:paraId="1B71C61C">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1、连廊砖基础工程量有误，已调整；</w:t>
      </w:r>
    </w:p>
    <w:p w14:paraId="0145DA55">
      <w:pPr>
        <w:spacing w:line="360" w:lineRule="auto"/>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2、连廊挂落制安定额与半坡廊挂落制安定额统一，已调整；</w:t>
      </w:r>
    </w:p>
    <w:p w14:paraId="6133A624">
      <w:pPr>
        <w:spacing w:line="360" w:lineRule="auto"/>
        <w:ind w:firstLine="560" w:firstLineChars="200"/>
        <w:rPr>
          <w:rFonts w:hint="eastAsia" w:ascii="宋体" w:hAnsi="宋体"/>
          <w:sz w:val="28"/>
          <w:szCs w:val="28"/>
          <w:lang w:val="en-US" w:eastAsia="zh-CN"/>
        </w:rPr>
      </w:pPr>
      <w:r>
        <w:rPr>
          <w:rFonts w:hint="eastAsia" w:ascii="宋体" w:hAnsi="宋体" w:cs="宋体"/>
          <w:kern w:val="0"/>
          <w:sz w:val="28"/>
          <w:szCs w:val="28"/>
          <w:lang w:val="en-US" w:eastAsia="zh-CN"/>
        </w:rPr>
        <w:t>3、个别材料单价未按</w:t>
      </w:r>
      <w:r>
        <w:rPr>
          <w:rFonts w:hint="eastAsia" w:ascii="宋体" w:hAnsi="宋体" w:eastAsia="宋体"/>
          <w:sz w:val="28"/>
          <w:szCs w:val="28"/>
          <w:lang w:val="en-US" w:eastAsia="zh-CN"/>
        </w:rPr>
        <w:t>《扬州工程造价管理》2025年第8期</w:t>
      </w:r>
      <w:r>
        <w:rPr>
          <w:rFonts w:hint="eastAsia" w:ascii="宋体" w:hAnsi="宋体"/>
          <w:sz w:val="28"/>
          <w:szCs w:val="28"/>
          <w:lang w:val="en-US" w:eastAsia="zh-CN"/>
        </w:rPr>
        <w:t>调整到位，已调整；</w:t>
      </w:r>
    </w:p>
    <w:p w14:paraId="1A0ED683">
      <w:pPr>
        <w:spacing w:line="360" w:lineRule="auto"/>
        <w:ind w:firstLine="560" w:firstLineChars="200"/>
        <w:rPr>
          <w:rFonts w:hint="eastAsia" w:ascii="宋体" w:hAnsi="宋体"/>
          <w:sz w:val="28"/>
          <w:szCs w:val="28"/>
          <w:lang w:val="en-US" w:eastAsia="zh-CN"/>
        </w:rPr>
      </w:pPr>
      <w:r>
        <w:rPr>
          <w:rFonts w:hint="eastAsia" w:ascii="宋体" w:hAnsi="宋体"/>
          <w:sz w:val="28"/>
          <w:szCs w:val="28"/>
          <w:lang w:val="en-US" w:eastAsia="zh-CN"/>
        </w:rPr>
        <w:t>4、增加总价措施夜间施工和冬雨季施工；</w:t>
      </w:r>
    </w:p>
    <w:p w14:paraId="0BC450C9">
      <w:pPr>
        <w:spacing w:line="360" w:lineRule="auto"/>
        <w:ind w:firstLine="560" w:firstLineChars="200"/>
        <w:rPr>
          <w:rFonts w:hint="default" w:ascii="宋体" w:hAnsi="宋体"/>
          <w:sz w:val="28"/>
          <w:szCs w:val="28"/>
          <w:lang w:val="en-US" w:eastAsia="zh-CN"/>
        </w:rPr>
      </w:pPr>
      <w:r>
        <w:rPr>
          <w:rFonts w:hint="eastAsia" w:ascii="宋体" w:hAnsi="宋体"/>
          <w:sz w:val="28"/>
          <w:szCs w:val="28"/>
          <w:lang w:val="en-US" w:eastAsia="zh-CN"/>
        </w:rPr>
        <w:t>5、部分清单描述空缺（如角牙、撑牙），已调整</w:t>
      </w:r>
    </w:p>
    <w:p w14:paraId="7E623E94">
      <w:pPr>
        <w:spacing w:line="360" w:lineRule="auto"/>
        <w:ind w:firstLine="560" w:firstLineChars="200"/>
        <w:rPr>
          <w:rFonts w:hint="default" w:ascii="宋体" w:hAnsi="宋体"/>
          <w:sz w:val="28"/>
          <w:szCs w:val="28"/>
          <w:lang w:val="en-US" w:eastAsia="zh-CN"/>
        </w:rPr>
      </w:pPr>
      <w:r>
        <w:rPr>
          <w:rFonts w:hint="eastAsia" w:ascii="宋体" w:hAnsi="宋体"/>
          <w:sz w:val="28"/>
          <w:szCs w:val="28"/>
          <w:lang w:val="en-US" w:eastAsia="zh-CN"/>
        </w:rPr>
        <w:t>6、经与最高投标限价编制单位对接，排水沟及安装内容本次限价无需考虑。</w:t>
      </w:r>
    </w:p>
    <w:p w14:paraId="4E8DDF3E">
      <w:pPr>
        <w:spacing w:line="360" w:lineRule="auto"/>
        <w:ind w:firstLine="562" w:firstLineChars="200"/>
        <w:rPr>
          <w:rFonts w:ascii="宋体" w:hAnsi="宋体" w:cs="宋体"/>
          <w:b/>
          <w:bCs/>
          <w:sz w:val="28"/>
          <w:szCs w:val="28"/>
        </w:rPr>
      </w:pPr>
      <w:r>
        <w:rPr>
          <w:rFonts w:hint="eastAsia" w:ascii="宋体" w:hAnsi="宋体" w:cs="宋体"/>
          <w:b/>
          <w:bCs/>
          <w:sz w:val="28"/>
          <w:szCs w:val="28"/>
        </w:rPr>
        <w:t xml:space="preserve">六、最高投标限价总价 </w:t>
      </w:r>
    </w:p>
    <w:p w14:paraId="3EC3990E">
      <w:pPr>
        <w:spacing w:line="360" w:lineRule="auto"/>
        <w:ind w:firstLine="560" w:firstLineChars="200"/>
        <w:rPr>
          <w:rFonts w:hint="eastAsia" w:ascii="宋体" w:hAnsi="宋体" w:cs="宋体"/>
          <w:sz w:val="28"/>
          <w:szCs w:val="28"/>
        </w:rPr>
      </w:pPr>
      <w:r>
        <w:rPr>
          <w:rFonts w:hint="eastAsia" w:ascii="宋体" w:hAnsi="宋体" w:cs="宋体"/>
          <w:sz w:val="28"/>
          <w:szCs w:val="28"/>
        </w:rPr>
        <w:t>送审最高投标限价总价为</w:t>
      </w:r>
      <w:r>
        <w:rPr>
          <w:rFonts w:hint="eastAsia" w:ascii="宋体" w:hAnsi="宋体" w:cs="宋体"/>
          <w:sz w:val="28"/>
          <w:szCs w:val="28"/>
          <w:lang w:val="en-US" w:eastAsia="zh-CN"/>
        </w:rPr>
        <w:t>767975.74</w:t>
      </w:r>
      <w:r>
        <w:rPr>
          <w:rFonts w:hint="eastAsia" w:ascii="宋体" w:hAnsi="宋体" w:cs="宋体"/>
          <w:sz w:val="28"/>
          <w:szCs w:val="28"/>
        </w:rPr>
        <w:t>元，经审核最高投标限价总价为</w:t>
      </w:r>
      <w:r>
        <w:rPr>
          <w:rFonts w:hint="eastAsia" w:ascii="宋体" w:hAnsi="宋体" w:cs="宋体"/>
          <w:sz w:val="28"/>
          <w:szCs w:val="28"/>
          <w:lang w:val="en-US" w:eastAsia="zh-CN"/>
        </w:rPr>
        <w:t>753733.48</w:t>
      </w:r>
      <w:r>
        <w:rPr>
          <w:rFonts w:hint="eastAsia" w:ascii="宋体" w:hAnsi="宋体" w:cs="宋体"/>
          <w:sz w:val="28"/>
          <w:szCs w:val="28"/>
        </w:rPr>
        <w:t xml:space="preserve">元。 </w:t>
      </w:r>
    </w:p>
    <w:p w14:paraId="2E2DA5ED">
      <w:pPr>
        <w:spacing w:line="360" w:lineRule="auto"/>
        <w:ind w:firstLine="560" w:firstLineChars="200"/>
        <w:rPr>
          <w:rFonts w:hint="eastAsia" w:ascii="宋体" w:hAnsi="宋体" w:cs="宋体"/>
          <w:sz w:val="28"/>
          <w:szCs w:val="28"/>
        </w:rPr>
      </w:pPr>
    </w:p>
    <w:p w14:paraId="2C84E585">
      <w:pPr>
        <w:spacing w:line="360" w:lineRule="auto"/>
        <w:ind w:firstLine="560" w:firstLineChars="200"/>
        <w:rPr>
          <w:rFonts w:hint="eastAsia" w:ascii="宋体" w:hAnsi="宋体" w:cs="宋体"/>
          <w:sz w:val="28"/>
          <w:szCs w:val="28"/>
        </w:rPr>
      </w:pPr>
      <w:r>
        <w:rPr>
          <w:rFonts w:hint="eastAsia" w:ascii="宋体" w:hAnsi="宋体" w:cs="宋体"/>
          <w:sz w:val="28"/>
          <w:szCs w:val="28"/>
        </w:rPr>
        <w:t>附</w:t>
      </w:r>
      <w:r>
        <w:rPr>
          <w:rFonts w:hint="eastAsia" w:ascii="宋体" w:hAnsi="宋体" w:cs="宋体"/>
          <w:sz w:val="28"/>
          <w:szCs w:val="28"/>
          <w:lang w:val="en-US" w:eastAsia="zh-CN"/>
        </w:rPr>
        <w:t>件</w:t>
      </w:r>
      <w:r>
        <w:rPr>
          <w:rFonts w:hint="eastAsia" w:ascii="宋体" w:hAnsi="宋体" w:cs="宋体"/>
          <w:sz w:val="28"/>
          <w:szCs w:val="28"/>
        </w:rPr>
        <w:t>：最高投标限价</w:t>
      </w:r>
    </w:p>
    <w:p w14:paraId="68084818">
      <w:pPr>
        <w:spacing w:line="360" w:lineRule="auto"/>
        <w:ind w:firstLine="560" w:firstLineChars="200"/>
        <w:rPr>
          <w:rFonts w:ascii="宋体" w:hAnsi="宋体"/>
          <w:color w:val="000000"/>
          <w:sz w:val="28"/>
          <w:szCs w:val="28"/>
        </w:rPr>
      </w:pPr>
      <w:r>
        <w:rPr>
          <w:rFonts w:hint="eastAsia" w:ascii="宋体" w:hAnsi="宋体" w:cs="宋体"/>
          <w:sz w:val="28"/>
          <w:szCs w:val="28"/>
          <w:lang w:val="en-US" w:eastAsia="zh-CN"/>
        </w:rPr>
        <w:t xml:space="preserve">      招标工程量清单</w:t>
      </w:r>
    </w:p>
    <w:p w14:paraId="180E919A">
      <w:pPr>
        <w:spacing w:line="360" w:lineRule="auto"/>
        <w:ind w:firstLine="560" w:firstLineChars="200"/>
        <w:rPr>
          <w:rFonts w:ascii="宋体" w:hAnsi="宋体"/>
          <w:sz w:val="24"/>
        </w:rPr>
      </w:pPr>
      <w:r>
        <w:rPr>
          <w:rFonts w:hint="eastAsia" w:ascii="宋体" w:hAnsi="宋体"/>
          <w:color w:val="000000"/>
          <w:sz w:val="28"/>
          <w:szCs w:val="28"/>
        </w:rPr>
        <w:t>项目负责人（签字盖章）：</w:t>
      </w:r>
    </w:p>
    <w:p w14:paraId="4208DBAB">
      <w:pPr>
        <w:ind w:left="5750" w:hanging="5750" w:hangingChars="2396"/>
        <w:jc w:val="right"/>
        <w:rPr>
          <w:rFonts w:hint="eastAsia" w:ascii="宋体" w:hAnsi="宋体"/>
          <w:bCs/>
          <w:color w:val="000000"/>
          <w:sz w:val="28"/>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bCs/>
          <w:color w:val="000000"/>
          <w:sz w:val="28"/>
        </w:rPr>
        <w:t>扬州筑苑工程招标咨询有限公司 （章）</w:t>
      </w:r>
    </w:p>
    <w:p w14:paraId="6A843784">
      <w:pPr>
        <w:ind w:left="5750" w:hanging="6708" w:hangingChars="2396"/>
        <w:jc w:val="center"/>
        <w:rPr>
          <w:rFonts w:hint="eastAsia" w:ascii="宋体" w:hAnsi="宋体"/>
          <w:bCs/>
          <w:color w:val="000000"/>
          <w:sz w:val="28"/>
        </w:rPr>
      </w:pPr>
      <w:r>
        <w:rPr>
          <w:rFonts w:hint="eastAsia" w:ascii="宋体" w:hAnsi="宋体"/>
          <w:bCs/>
          <w:color w:val="000000"/>
          <w:sz w:val="28"/>
          <w:lang w:val="en-US" w:eastAsia="zh-CN"/>
        </w:rPr>
        <w:t xml:space="preserve">                      </w:t>
      </w:r>
      <w:r>
        <w:rPr>
          <w:rFonts w:hint="eastAsia" w:ascii="宋体" w:hAnsi="宋体"/>
          <w:bCs/>
          <w:color w:val="000000"/>
          <w:sz w:val="28"/>
        </w:rPr>
        <w:t>202</w:t>
      </w:r>
      <w:r>
        <w:rPr>
          <w:rFonts w:hint="eastAsia" w:ascii="宋体" w:hAnsi="宋体"/>
          <w:bCs/>
          <w:color w:val="000000"/>
          <w:sz w:val="28"/>
          <w:lang w:val="en-US" w:eastAsia="zh-CN"/>
        </w:rPr>
        <w:t>5</w:t>
      </w:r>
      <w:r>
        <w:rPr>
          <w:rFonts w:hint="eastAsia" w:ascii="宋体" w:hAnsi="宋体"/>
          <w:bCs/>
          <w:color w:val="000000"/>
          <w:sz w:val="28"/>
        </w:rPr>
        <w:t>年</w:t>
      </w:r>
      <w:r>
        <w:rPr>
          <w:rFonts w:hint="eastAsia" w:ascii="宋体" w:hAnsi="宋体"/>
          <w:bCs/>
          <w:color w:val="000000"/>
          <w:sz w:val="28"/>
          <w:lang w:val="en-US" w:eastAsia="zh-CN"/>
        </w:rPr>
        <w:t>9</w:t>
      </w:r>
      <w:r>
        <w:rPr>
          <w:rFonts w:hint="eastAsia" w:ascii="宋体" w:hAnsi="宋体"/>
          <w:bCs/>
          <w:color w:val="000000"/>
          <w:sz w:val="28"/>
        </w:rPr>
        <w:t>月</w:t>
      </w:r>
      <w:r>
        <w:rPr>
          <w:rFonts w:hint="eastAsia" w:ascii="宋体" w:hAnsi="宋体"/>
          <w:bCs/>
          <w:color w:val="000000"/>
          <w:sz w:val="28"/>
          <w:lang w:val="en-US" w:eastAsia="zh-CN"/>
        </w:rPr>
        <w:t>25</w:t>
      </w:r>
      <w:r>
        <w:rPr>
          <w:rFonts w:hint="eastAsia" w:ascii="宋体" w:hAnsi="宋体"/>
          <w:bCs/>
          <w:color w:val="000000"/>
          <w:sz w:val="28"/>
        </w:rPr>
        <w:t>日</w:t>
      </w:r>
    </w:p>
    <w:p w14:paraId="42DD0C68">
      <w:pPr>
        <w:ind w:left="5750" w:hanging="6708" w:hangingChars="2396"/>
        <w:jc w:val="center"/>
        <w:rPr>
          <w:rFonts w:hint="eastAsia" w:ascii="宋体" w:hAnsi="宋体"/>
          <w:bCs/>
          <w:color w:val="000000"/>
          <w:sz w:val="28"/>
        </w:rPr>
      </w:pPr>
    </w:p>
    <w:p w14:paraId="3352F9D0">
      <w:pPr>
        <w:rPr>
          <w:rFonts w:ascii="宋体" w:hAnsi="宋体"/>
          <w:sz w:val="28"/>
        </w:rPr>
      </w:pPr>
      <w:r>
        <w:rPr>
          <w:rFonts w:ascii="宋体" w:hAnsi="宋体"/>
          <w:sz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353695</wp:posOffset>
                </wp:positionV>
                <wp:extent cx="5410200" cy="0"/>
                <wp:effectExtent l="0" t="4445" r="0" b="5080"/>
                <wp:wrapNone/>
                <wp:docPr id="3" name="直线 4"/>
                <wp:cNvGraphicFramePr/>
                <a:graphic xmlns:a="http://schemas.openxmlformats.org/drawingml/2006/main">
                  <a:graphicData uri="http://schemas.microsoft.com/office/word/2010/wordprocessingShape">
                    <wps:wsp>
                      <wps:cNvCnPr/>
                      <wps:spPr>
                        <a:xfrm>
                          <a:off x="0" y="0"/>
                          <a:ext cx="5410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27.85pt;height:0pt;width:426pt;z-index:251661312;mso-width-relative:page;mso-height-relative:page;" filled="f" stroked="t" coordsize="21600,21600" o:gfxdata="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x+up0wAAAAYB&#10;AAAPAAAAAAAAAAEAIAAAACIAAABkcnMvZG93bnJldi54bWxQSwECFAAUAAAACACHTuJAcTlm++cB&#10;AADbAwAADgAAAAAAAAABACAAAAAiAQAAZHJzL2Uyb0RvYy54bWxQSwUGAAAAAAYABgBZAQAAewUA&#10;AAAA&#10;">
                <v:fill on="f" focussize="0,0"/>
                <v:stroke color="#000000" joinstyle="round"/>
                <v:imagedata o:title=""/>
                <o:lock v:ext="edit" aspectratio="f"/>
              </v:line>
            </w:pict>
          </mc:Fallback>
        </mc:AlternateContent>
      </w:r>
      <w:r>
        <w:rPr>
          <w:rFonts w:hint="eastAsia" w:ascii="宋体" w:hAnsi="宋体"/>
          <w:b/>
          <w:bCs/>
          <w:sz w:val="28"/>
        </w:rPr>
        <w:t>主题词：</w:t>
      </w:r>
      <w:r>
        <w:rPr>
          <w:rFonts w:hint="eastAsia" w:ascii="宋体" w:hAnsi="宋体"/>
          <w:sz w:val="28"/>
        </w:rPr>
        <w:t>最高投标限价、工程量清单</w:t>
      </w:r>
    </w:p>
    <w:p w14:paraId="0765B1C0">
      <w:pPr>
        <w:spacing w:line="0" w:lineRule="atLeast"/>
        <w:rPr>
          <w:rFonts w:ascii="宋体" w:hAnsi="宋体"/>
          <w:sz w:val="28"/>
          <w:szCs w:val="28"/>
        </w:rPr>
      </w:pPr>
      <w:r>
        <w:rPr>
          <w:rFonts w:hint="eastAsia" w:ascii="宋体" w:hAnsi="宋体"/>
          <w:sz w:val="28"/>
        </w:rPr>
        <w:t>抄  送：</w:t>
      </w:r>
    </w:p>
    <w:p w14:paraId="1DCC874D">
      <w:pPr>
        <w:jc w:val="right"/>
        <w:rPr>
          <w:rFonts w:ascii="宋体" w:hAnsi="宋体"/>
          <w:sz w:val="28"/>
        </w:rPr>
      </w:pPr>
      <w:r>
        <w:rPr>
          <w:rFonts w:ascii="宋体" w:hAnsi="宋体"/>
          <w:sz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67310</wp:posOffset>
                </wp:positionV>
                <wp:extent cx="5410200" cy="0"/>
                <wp:effectExtent l="0" t="4445" r="0" b="5080"/>
                <wp:wrapNone/>
                <wp:docPr id="4" name="直线 5"/>
                <wp:cNvGraphicFramePr/>
                <a:graphic xmlns:a="http://schemas.openxmlformats.org/drawingml/2006/main">
                  <a:graphicData uri="http://schemas.microsoft.com/office/word/2010/wordprocessingShape">
                    <wps:wsp>
                      <wps:cNvCnPr/>
                      <wps:spPr>
                        <a:xfrm>
                          <a:off x="0" y="0"/>
                          <a:ext cx="5410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5.3pt;height:0pt;width:426pt;z-index:251662336;mso-width-relative:page;mso-height-relative:page;" filled="f" stroked="t" coordsize="21600,21600" o:gfxdata="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z7GWfSAAAABgEA&#10;AA8AAAAAAAAAAQAgAAAAIgAAAGRycy9kb3ducmV2LnhtbFBLAQIUABQAAAAIAIdO4kALt8Ba5wEA&#10;ANsDAAAOAAAAAAAAAAEAIAAAACEBAABkcnMvZTJvRG9jLnhtbFBLBQYAAAAABgAGAFkBAAB6BQAA&#10;AAA=&#10;">
                <v:fill on="f" focussize="0,0"/>
                <v:stroke color="#000000" joinstyle="round"/>
                <v:imagedata o:title=""/>
                <o:lock v:ext="edit" aspectratio="f"/>
              </v:line>
            </w:pict>
          </mc:Fallback>
        </mc:AlternateContent>
      </w:r>
      <w:r>
        <w:rPr>
          <w:rFonts w:hint="eastAsia" w:ascii="宋体" w:hAnsi="宋体"/>
          <w:sz w:val="28"/>
        </w:rPr>
        <w:t>共印： 4 份</w:t>
      </w:r>
    </w:p>
    <w:p w14:paraId="62AC793F"/>
    <w:sectPr>
      <w:headerReference r:id="rId3" w:type="default"/>
      <w:pgSz w:w="11907" w:h="16834"/>
      <w:pgMar w:top="1440" w:right="1803" w:bottom="1440" w:left="1803" w:header="851" w:footer="992" w:gutter="0"/>
      <w:cols w:space="720" w:num="1"/>
      <w:docGrid w:type="line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2183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916EB5"/>
    <w:multiLevelType w:val="singleLevel"/>
    <w:tmpl w:val="7C916EB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DM1OWNmNWE4YjU3M2Y1ZjQ3MDQ4NDdhZDUzYzYifQ=="/>
  </w:docVars>
  <w:rsids>
    <w:rsidRoot w:val="00A52848"/>
    <w:rsid w:val="0023699F"/>
    <w:rsid w:val="0031426A"/>
    <w:rsid w:val="00375793"/>
    <w:rsid w:val="004E1D2A"/>
    <w:rsid w:val="004F5EE0"/>
    <w:rsid w:val="00533E4E"/>
    <w:rsid w:val="006935A9"/>
    <w:rsid w:val="00942EFD"/>
    <w:rsid w:val="009F1E7A"/>
    <w:rsid w:val="00A345A2"/>
    <w:rsid w:val="00A52848"/>
    <w:rsid w:val="00B43D7B"/>
    <w:rsid w:val="00C21C56"/>
    <w:rsid w:val="00DC44B2"/>
    <w:rsid w:val="00E06EA4"/>
    <w:rsid w:val="01FC7A4C"/>
    <w:rsid w:val="02FF0F39"/>
    <w:rsid w:val="03F93E27"/>
    <w:rsid w:val="07146EF4"/>
    <w:rsid w:val="0E512538"/>
    <w:rsid w:val="0EFB513A"/>
    <w:rsid w:val="0F000F7B"/>
    <w:rsid w:val="0F8562DF"/>
    <w:rsid w:val="120F1304"/>
    <w:rsid w:val="13762E21"/>
    <w:rsid w:val="13B431A4"/>
    <w:rsid w:val="184E7B2F"/>
    <w:rsid w:val="18A03F9D"/>
    <w:rsid w:val="1B385265"/>
    <w:rsid w:val="1C073073"/>
    <w:rsid w:val="1DF26308"/>
    <w:rsid w:val="1F054F0F"/>
    <w:rsid w:val="1F98777C"/>
    <w:rsid w:val="22F76B04"/>
    <w:rsid w:val="23B87442"/>
    <w:rsid w:val="24A467F5"/>
    <w:rsid w:val="2553066B"/>
    <w:rsid w:val="25D32AED"/>
    <w:rsid w:val="274C7868"/>
    <w:rsid w:val="277D729C"/>
    <w:rsid w:val="279C2BA2"/>
    <w:rsid w:val="2B3C30CD"/>
    <w:rsid w:val="2B78786B"/>
    <w:rsid w:val="2B831E88"/>
    <w:rsid w:val="2DAB4B3C"/>
    <w:rsid w:val="2DF12F8B"/>
    <w:rsid w:val="2E77151C"/>
    <w:rsid w:val="2F113F05"/>
    <w:rsid w:val="2F1D59E8"/>
    <w:rsid w:val="32DA0858"/>
    <w:rsid w:val="33922761"/>
    <w:rsid w:val="33B57FEF"/>
    <w:rsid w:val="34081AB8"/>
    <w:rsid w:val="34BC2233"/>
    <w:rsid w:val="35835968"/>
    <w:rsid w:val="37311B9C"/>
    <w:rsid w:val="3818369F"/>
    <w:rsid w:val="38D6051A"/>
    <w:rsid w:val="3A202F7F"/>
    <w:rsid w:val="3A5313C6"/>
    <w:rsid w:val="3A7A76AD"/>
    <w:rsid w:val="3BB22EDB"/>
    <w:rsid w:val="3C591BC1"/>
    <w:rsid w:val="3D512774"/>
    <w:rsid w:val="3D79502E"/>
    <w:rsid w:val="3FA93901"/>
    <w:rsid w:val="3FD110D8"/>
    <w:rsid w:val="3FEA319D"/>
    <w:rsid w:val="40DE4A38"/>
    <w:rsid w:val="417A7B2C"/>
    <w:rsid w:val="43715FA9"/>
    <w:rsid w:val="44984A51"/>
    <w:rsid w:val="4530392C"/>
    <w:rsid w:val="45BB4392"/>
    <w:rsid w:val="47A52B36"/>
    <w:rsid w:val="48A96953"/>
    <w:rsid w:val="4A622B3E"/>
    <w:rsid w:val="4AB56535"/>
    <w:rsid w:val="4BC64C38"/>
    <w:rsid w:val="4BE22459"/>
    <w:rsid w:val="4C661C40"/>
    <w:rsid w:val="4E0C5E77"/>
    <w:rsid w:val="4EAC01BA"/>
    <w:rsid w:val="51ED4256"/>
    <w:rsid w:val="547A1D3E"/>
    <w:rsid w:val="563D5BA3"/>
    <w:rsid w:val="566B3C4A"/>
    <w:rsid w:val="56CA6414"/>
    <w:rsid w:val="572E54EC"/>
    <w:rsid w:val="579959C4"/>
    <w:rsid w:val="5B4C5B52"/>
    <w:rsid w:val="5BD411EF"/>
    <w:rsid w:val="5C1E08E3"/>
    <w:rsid w:val="5D936E78"/>
    <w:rsid w:val="5DA17774"/>
    <w:rsid w:val="5F536CAC"/>
    <w:rsid w:val="61E04AC2"/>
    <w:rsid w:val="62913F4B"/>
    <w:rsid w:val="65AE4DE6"/>
    <w:rsid w:val="695E4020"/>
    <w:rsid w:val="6CD1145E"/>
    <w:rsid w:val="6CE17198"/>
    <w:rsid w:val="6DC31D6C"/>
    <w:rsid w:val="6FB67B9D"/>
    <w:rsid w:val="70271985"/>
    <w:rsid w:val="709D61CD"/>
    <w:rsid w:val="70C85CD3"/>
    <w:rsid w:val="72B31562"/>
    <w:rsid w:val="72E857F7"/>
    <w:rsid w:val="77EC555C"/>
    <w:rsid w:val="7A091533"/>
    <w:rsid w:val="7A346515"/>
    <w:rsid w:val="7B370DDE"/>
    <w:rsid w:val="7BF9691F"/>
    <w:rsid w:val="7D3B14FB"/>
    <w:rsid w:val="7F6D3C73"/>
    <w:rsid w:val="7FAD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autoRedefine/>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w:basedOn w:val="1"/>
    <w:autoRedefine/>
    <w:qFormat/>
    <w:uiPriority w:val="0"/>
    <w:pPr>
      <w:jc w:val="center"/>
    </w:pPr>
    <w:rPr>
      <w:rFonts w:ascii="宋体" w:hAnsi="宋体"/>
      <w:sz w:val="36"/>
    </w:rPr>
  </w:style>
  <w:style w:type="paragraph" w:styleId="5">
    <w:name w:val="Date"/>
    <w:basedOn w:val="1"/>
    <w:next w:val="1"/>
    <w:link w:val="25"/>
    <w:autoRedefine/>
    <w:unhideWhenUsed/>
    <w:qFormat/>
    <w:uiPriority w:val="99"/>
    <w:pPr>
      <w:spacing w:before="100" w:beforeAutospacing="1" w:after="100" w:afterAutospacing="1"/>
      <w:ind w:left="100" w:leftChars="2500"/>
    </w:pPr>
    <w:rPr>
      <w:sz w:val="24"/>
      <w:szCs w:val="24"/>
    </w:rPr>
  </w:style>
  <w:style w:type="paragraph" w:styleId="6">
    <w:name w:val="Balloon Text"/>
    <w:basedOn w:val="1"/>
    <w:link w:val="24"/>
    <w:autoRedefine/>
    <w:semiHidden/>
    <w:unhideWhenUsed/>
    <w:qFormat/>
    <w:uiPriority w:val="99"/>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style>
  <w:style w:type="character" w:styleId="13">
    <w:name w:val="FollowedHyperlink"/>
    <w:basedOn w:val="11"/>
    <w:autoRedefine/>
    <w:semiHidden/>
    <w:unhideWhenUsed/>
    <w:qFormat/>
    <w:uiPriority w:val="99"/>
    <w:rPr>
      <w:color w:val="800080"/>
      <w:u w:val="none"/>
    </w:rPr>
  </w:style>
  <w:style w:type="character" w:styleId="14">
    <w:name w:val="Emphasis"/>
    <w:basedOn w:val="11"/>
    <w:autoRedefine/>
    <w:qFormat/>
    <w:uiPriority w:val="20"/>
  </w:style>
  <w:style w:type="character" w:styleId="15">
    <w:name w:val="HTML Definition"/>
    <w:basedOn w:val="11"/>
    <w:autoRedefine/>
    <w:semiHidden/>
    <w:unhideWhenUsed/>
    <w:qFormat/>
    <w:uiPriority w:val="99"/>
  </w:style>
  <w:style w:type="character" w:styleId="16">
    <w:name w:val="HTML Typewriter"/>
    <w:basedOn w:val="11"/>
    <w:autoRedefine/>
    <w:semiHidden/>
    <w:unhideWhenUsed/>
    <w:qFormat/>
    <w:uiPriority w:val="99"/>
    <w:rPr>
      <w:rFonts w:hint="default" w:ascii="monospace" w:hAnsi="monospace" w:eastAsia="monospace" w:cs="monospace"/>
      <w:sz w:val="20"/>
    </w:rPr>
  </w:style>
  <w:style w:type="character" w:styleId="17">
    <w:name w:val="HTML Acronym"/>
    <w:basedOn w:val="11"/>
    <w:autoRedefine/>
    <w:semiHidden/>
    <w:unhideWhenUsed/>
    <w:qFormat/>
    <w:uiPriority w:val="99"/>
  </w:style>
  <w:style w:type="character" w:styleId="18">
    <w:name w:val="HTML Variable"/>
    <w:basedOn w:val="11"/>
    <w:autoRedefine/>
    <w:semiHidden/>
    <w:unhideWhenUsed/>
    <w:qFormat/>
    <w:uiPriority w:val="99"/>
  </w:style>
  <w:style w:type="character" w:styleId="19">
    <w:name w:val="Hyperlink"/>
    <w:basedOn w:val="11"/>
    <w:autoRedefine/>
    <w:unhideWhenUsed/>
    <w:qFormat/>
    <w:uiPriority w:val="99"/>
    <w:rPr>
      <w:color w:val="0000FF"/>
      <w:u w:val="none"/>
    </w:rPr>
  </w:style>
  <w:style w:type="character" w:styleId="20">
    <w:name w:val="HTML Code"/>
    <w:basedOn w:val="11"/>
    <w:autoRedefine/>
    <w:semiHidden/>
    <w:unhideWhenUsed/>
    <w:qFormat/>
    <w:uiPriority w:val="99"/>
    <w:rPr>
      <w:rFonts w:ascii="monospace" w:hAnsi="monospace" w:eastAsia="monospace" w:cs="monospace"/>
      <w:sz w:val="20"/>
    </w:rPr>
  </w:style>
  <w:style w:type="character" w:styleId="21">
    <w:name w:val="HTML Cite"/>
    <w:basedOn w:val="11"/>
    <w:autoRedefine/>
    <w:semiHidden/>
    <w:unhideWhenUsed/>
    <w:qFormat/>
    <w:uiPriority w:val="99"/>
  </w:style>
  <w:style w:type="character" w:styleId="22">
    <w:name w:val="HTML Keyboard"/>
    <w:basedOn w:val="11"/>
    <w:autoRedefine/>
    <w:semiHidden/>
    <w:unhideWhenUsed/>
    <w:qFormat/>
    <w:uiPriority w:val="99"/>
    <w:rPr>
      <w:rFonts w:hint="default" w:ascii="monospace" w:hAnsi="monospace" w:eastAsia="monospace" w:cs="monospace"/>
      <w:sz w:val="20"/>
    </w:rPr>
  </w:style>
  <w:style w:type="character" w:styleId="23">
    <w:name w:val="HTML Sample"/>
    <w:basedOn w:val="11"/>
    <w:autoRedefine/>
    <w:semiHidden/>
    <w:unhideWhenUsed/>
    <w:qFormat/>
    <w:uiPriority w:val="99"/>
    <w:rPr>
      <w:rFonts w:hint="default" w:ascii="monospace" w:hAnsi="monospace" w:eastAsia="monospace" w:cs="monospace"/>
    </w:rPr>
  </w:style>
  <w:style w:type="character" w:customStyle="1" w:styleId="24">
    <w:name w:val="批注框文本 字符"/>
    <w:basedOn w:val="11"/>
    <w:link w:val="6"/>
    <w:autoRedefine/>
    <w:semiHidden/>
    <w:qFormat/>
    <w:uiPriority w:val="99"/>
    <w:rPr>
      <w:rFonts w:ascii="Times New Roman" w:hAnsi="Times New Roman" w:eastAsia="宋体" w:cs="Times New Roman"/>
      <w:sz w:val="18"/>
      <w:szCs w:val="18"/>
    </w:rPr>
  </w:style>
  <w:style w:type="character" w:customStyle="1" w:styleId="25">
    <w:name w:val="日期 字符"/>
    <w:basedOn w:val="11"/>
    <w:link w:val="5"/>
    <w:autoRedefine/>
    <w:qFormat/>
    <w:uiPriority w:val="99"/>
    <w:rPr>
      <w:rFonts w:ascii="Times New Roman" w:hAnsi="Times New Roman" w:eastAsia="宋体" w:cs="Times New Roman"/>
      <w:sz w:val="24"/>
      <w:szCs w:val="24"/>
    </w:rPr>
  </w:style>
  <w:style w:type="character" w:customStyle="1" w:styleId="26">
    <w:name w:val="layui-layer-tabnow"/>
    <w:basedOn w:val="11"/>
    <w:autoRedefine/>
    <w:qFormat/>
    <w:uiPriority w:val="0"/>
    <w:rPr>
      <w:bdr w:val="single" w:color="CCCCCC" w:sz="6" w:space="0"/>
      <w:shd w:val="clear" w:color="auto" w:fill="FFFFFF"/>
    </w:rPr>
  </w:style>
  <w:style w:type="character" w:customStyle="1" w:styleId="27">
    <w:name w:val="first-child"/>
    <w:basedOn w:val="11"/>
    <w:autoRedefine/>
    <w:qFormat/>
    <w:uiPriority w:val="0"/>
  </w:style>
  <w:style w:type="paragraph" w:customStyle="1" w:styleId="28">
    <w:name w:val="正文（缩进）"/>
    <w:basedOn w:val="1"/>
    <w:qFormat/>
    <w:uiPriority w:val="0"/>
    <w:pPr>
      <w:spacing w:line="360" w:lineRule="auto"/>
      <w:ind w:firstLine="200" w:firstLineChars="200"/>
    </w:pPr>
    <w:rPr>
      <w:rFonts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1973</Words>
  <Characters>2100</Characters>
  <Lines>32</Lines>
  <Paragraphs>9</Paragraphs>
  <TotalTime>25</TotalTime>
  <ScaleCrop>false</ScaleCrop>
  <LinksUpToDate>false</LinksUpToDate>
  <CharactersWithSpaces>2166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2024-04-30T02:14:00Z</dcterms:created>
  <dc:creator>zyljs</dc:creator>
  <cp:lastModifiedBy>linzuchao</cp:lastModifiedBy>
  <cp:lastPrinted>2025-05-30T00:18:00Z</cp:lastPrinted>
  <dcterms:modified xsi:type="dcterms:W3CDTF">2025-10-10T08:13:41Z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896A9014E4BE421ABBFEBEC4B383D1F9_13</vt:lpwstr>
  </property>
  <property fmtid="{D5CDD505-2E9C-101B-9397-08002B2CF9AE}" pid="4" name="KSOTemplateDocerSaveRecord">
    <vt:lpwstr>eyJoZGlkIjoiMmNlOGViZGI2M2I0Njk0MDYzMDI1YWMxNzVjNzY0ZGQiLCJ1c2VySWQiOiIxMDQxMDExNjYwIn0=</vt:lpwstr>
  </property>
</Properties>
</file>