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rPr>
          <w:rFonts w:hint="eastAsia" w:ascii="宋体" w:hAnsi="宋体" w:eastAsia="宋体"/>
          <w:color w:val="auto"/>
          <w:sz w:val="36"/>
          <w:highlight w:val="none"/>
          <w:lang w:eastAsia="zh-CN"/>
        </w:rPr>
      </w:pPr>
      <w:r>
        <w:rPr>
          <w:rFonts w:hint="eastAsia" w:ascii="宋体" w:hAnsi="宋体"/>
          <w:color w:val="auto"/>
          <w:sz w:val="36"/>
          <w:highlight w:val="none"/>
        </w:rPr>
        <w:t xml:space="preserve">编号：</w:t>
      </w:r>
      <w:r>
        <w:rPr>
          <w:rFonts w:hint="eastAsia" w:ascii="宋体" w:hAnsi="宋体"/>
          <w:color w:val="auto"/>
          <w:sz w:val="36"/>
          <w:highlight w:val="none"/>
          <w:lang w:eastAsia="zh-CN"/>
        </w:rPr>
        <w:t xml:space="preserve">JSZC-321000-YZCC-G2026-0001</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hint="eastAsia" w:ascii="宋体" w:hAnsi="宋体"/>
          <w:color w:val="auto"/>
          <w:sz w:val="36"/>
          <w:highlight w:val="none"/>
        </w:rPr>
        <w:t xml:space="preserve">2026年度扬州市普通国省道路网监测设施日常维护项目公开招标文件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color w:val="auto"/>
          <w:highlight w:val="none"/>
        </w:rPr>
        <mc:AlternateContent>
          <mc:Choice Requires="wpg">
            <w:drawing>
              <wp:inline xmlns:wp="http://schemas.openxmlformats.org/drawingml/2006/wordprocessingDrawing" distT="0" distB="0" distL="0" distR="0">
                <wp:extent cx="5745480" cy="4282440"/>
                <wp:effectExtent l="0" t="0" r="7620" b="10160"/>
                <wp:docPr id="1"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5745518" cy="42830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2.4pt;height:337.2pt;mso-wrap-distance-left:0.0pt;mso-wrap-distance-top:0.0pt;mso-wrap-distance-right:0.0pt;mso-wrap-distance-bottom:0.0pt;" stroked="f">
                <v:path textboxrect="0,0,0,0"/>
                <v:imagedata r:id="rId12" o:title=""/>
              </v:shape>
            </w:pict>
          </mc:Fallback>
        </mc:AlternateConten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hint="eastAsia" w:ascii="宋体" w:hAnsi="宋体"/>
          <w:color w:val="auto"/>
          <w:sz w:val="36"/>
          <w:highlight w:val="none"/>
        </w:rPr>
        <w:t xml:space="preserve">江苏辰诚工程咨询有限公司</w:t>
      </w:r>
      <w:r/>
    </w:p>
    <w:p>
      <w:pPr>
        <w:jc w:val="center"/>
        <w:rPr>
          <w:rFonts w:ascii="宋体" w:hAnsi="宋体"/>
          <w:color w:val="auto"/>
          <w:sz w:val="36"/>
          <w:highlight w:val="none"/>
        </w:rPr>
      </w:pPr>
      <w:r>
        <w:rPr>
          <w:rFonts w:hint="eastAsia" w:ascii="宋体" w:hAnsi="宋体"/>
          <w:color w:val="auto"/>
          <w:sz w:val="36"/>
          <w:highlight w:val="none"/>
        </w:rPr>
        <w:t xml:space="preserve">2026年1月</w:t>
      </w:r>
      <w:r/>
    </w:p>
    <w:p>
      <w:pPr>
        <w:rPr>
          <w:color w:val="auto"/>
          <w:highlight w:val="none"/>
        </w:rPr>
      </w:pPr>
      <w:r>
        <w:rPr>
          <w:color w:val="auto"/>
          <w:highlight w:val="none"/>
        </w:rPr>
        <w:br w:type="page" w:clear="all"/>
      </w:r>
      <w:r/>
    </w:p>
    <w:p>
      <w:pPr>
        <w:jc w:val="center"/>
        <w:rPr>
          <w:rFonts w:ascii="宋体" w:hAnsi="宋体"/>
          <w:color w:val="auto"/>
          <w:sz w:val="32"/>
          <w:highlight w:val="none"/>
        </w:rPr>
      </w:pPr>
      <w:r>
        <w:rPr>
          <w:rFonts w:hint="eastAsia" w:ascii="宋体" w:hAnsi="宋体"/>
          <w:color w:val="auto"/>
          <w:sz w:val="32"/>
          <w:highlight w:val="none"/>
        </w:rPr>
        <w:t xml:space="preserve">目 录</w:t>
      </w:r>
      <w:r/>
    </w:p>
    <w:p>
      <w:pPr>
        <w:pStyle w:val="860"/>
        <w:tabs>
          <w:tab w:val="right" w:pos="8296" w:leader="dot"/>
        </w:tabs>
        <w:rPr>
          <w:rFonts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_Toc27125722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3</w:t>
      </w:r>
      <w:r>
        <w:rPr>
          <w:rFonts w:hint="eastAsia" w:ascii="宋体" w:hAnsi="宋体" w:cs="宋体"/>
          <w:color w:val="auto"/>
          <w:highlight w:val="none"/>
        </w:rPr>
        <w:fldChar w:fldCharType="end"/>
      </w:r>
      <w:r/>
    </w:p>
    <w:p>
      <w:pPr>
        <w:pStyle w:val="860"/>
        <w:tabs>
          <w:tab w:val="right" w:pos="8296" w:leader="dot"/>
        </w:tabs>
        <w:rPr>
          <w:rFonts w:ascii="宋体" w:hAnsi="宋体" w:cs="宋体"/>
          <w:color w:val="auto"/>
          <w:highlight w:val="none"/>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rPr>
        <w:t xml:space="preserve">8</w:t>
      </w:r>
      <w:r/>
    </w:p>
    <w:p>
      <w:pPr>
        <w:pStyle w:val="860"/>
        <w:tabs>
          <w:tab w:val="right" w:pos="8296" w:leader="dot"/>
        </w:tabs>
        <w:rPr>
          <w:rFonts w:ascii="宋体" w:hAnsi="宋体" w:cs="宋体"/>
          <w:color w:val="auto"/>
          <w:highlight w:val="none"/>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_Toc27125724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20</w:t>
      </w:r>
      <w:r>
        <w:rPr>
          <w:rFonts w:hint="eastAsia" w:ascii="宋体" w:hAnsi="宋体" w:cs="宋体"/>
          <w:color w:val="auto"/>
          <w:highlight w:val="none"/>
        </w:rPr>
        <w:fldChar w:fldCharType="end"/>
      </w:r>
      <w:r/>
    </w:p>
    <w:p>
      <w:pPr>
        <w:pStyle w:val="860"/>
        <w:tabs>
          <w:tab w:val="right" w:pos="8296" w:leader="dot"/>
        </w:tabs>
        <w:rPr>
          <w:rFonts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_Toc27125725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27</w:t>
      </w:r>
      <w:r>
        <w:rPr>
          <w:rFonts w:hint="eastAsia" w:ascii="宋体" w:hAnsi="宋体" w:cs="宋体"/>
          <w:color w:val="auto"/>
          <w:highlight w:val="none"/>
        </w:rPr>
        <w:fldChar w:fldCharType="end"/>
      </w:r>
      <w:r/>
    </w:p>
    <w:p>
      <w:pPr>
        <w:pStyle w:val="860"/>
        <w:tabs>
          <w:tab w:val="right" w:pos="8296" w:leader="dot"/>
        </w:tabs>
        <w:rPr>
          <w:rFonts w:ascii="宋体" w:hAnsi="宋体" w:cs="宋体"/>
          <w:color w:val="auto"/>
          <w:highlight w:val="none"/>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rPr>
        <w:t xml:space="preserve">69</w:t>
      </w:r>
      <w:r/>
    </w:p>
    <w:p>
      <w:pPr>
        <w:pStyle w:val="860"/>
        <w:tabs>
          <w:tab w:val="right" w:pos="8296" w:leader="dot"/>
        </w:tabs>
        <w:rPr>
          <w:rFonts w:ascii="宋体" w:hAnsi="宋体" w:cs="宋体"/>
          <w:color w:val="auto"/>
          <w:highlight w:val="none"/>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rPr>
        <w:t xml:space="preserve">73</w:t>
      </w:r>
      <w:r/>
    </w:p>
    <w:p>
      <w:pPr>
        <w:rPr>
          <w:rFonts w:ascii="宋体" w:hAnsi="宋体"/>
          <w:color w:val="auto"/>
          <w:sz w:val="28"/>
          <w:highlight w:val="none"/>
        </w:rPr>
      </w:pPr>
      <w:r>
        <w:rPr>
          <w:rFonts w:hint="eastAsia" w:ascii="宋体" w:hAnsi="宋体" w:cs="宋体"/>
          <w:color w:val="auto"/>
          <w:sz w:val="28"/>
          <w:highlight w:val="none"/>
        </w:rPr>
        <w:fldChar w:fldCharType="end"/>
      </w:r>
      <w:r/>
    </w:p>
    <w:p>
      <w:pPr>
        <w:rPr>
          <w:color w:val="auto"/>
          <w:highlight w:val="none"/>
        </w:rPr>
      </w:pPr>
      <w:r>
        <w:rPr>
          <w:rFonts w:hint="eastAsia" w:ascii="宋体" w:hAnsi="宋体"/>
          <w:color w:val="auto"/>
          <w:sz w:val="28"/>
          <w:highlight w:val="none"/>
        </w:rPr>
        <w:br w:type="page" w:clear="all"/>
      </w:r>
      <w:r/>
    </w:p>
    <w:p>
      <w:pPr>
        <w:pStyle w:val="847"/>
        <w:jc w:val="center"/>
        <w:spacing w:before="0" w:after="0" w:line="360" w:lineRule="auto"/>
        <w:rPr>
          <w:rFonts w:ascii="宋体" w:hAnsi="宋体"/>
          <w:color w:val="auto"/>
          <w:sz w:val="32"/>
          <w:szCs w:val="24"/>
          <w:highlight w:val="none"/>
        </w:rPr>
      </w:pPr>
      <w:r/>
      <w:bookmarkStart w:id="0" w:name="_Toc55204177"/>
      <w:r>
        <w:rPr>
          <w:rFonts w:hint="eastAsia" w:ascii="宋体" w:hAnsi="宋体"/>
          <w:color w:val="auto"/>
          <w:sz w:val="32"/>
          <w:szCs w:val="24"/>
          <w:highlight w:val="none"/>
        </w:rPr>
        <w:t xml:space="preserve">第一章 江苏辰诚工程咨询有限公司关于2026年度扬州市普通国省道路网监测设施日常维护项目(</w:t>
      </w:r>
      <w:r>
        <w:rPr>
          <w:rFonts w:hint="eastAsia" w:ascii="宋体" w:hAnsi="宋体"/>
          <w:color w:val="auto"/>
          <w:sz w:val="32"/>
          <w:szCs w:val="24"/>
          <w:highlight w:val="none"/>
          <w:lang w:eastAsia="zh-CN"/>
        </w:rPr>
        <w:t xml:space="preserve">JSZC-321000-YZCC-G2026-0001</w:t>
      </w:r>
      <w:r>
        <w:rPr>
          <w:rFonts w:hint="eastAsia" w:ascii="宋体" w:hAnsi="宋体"/>
          <w:color w:val="auto"/>
          <w:sz w:val="32"/>
          <w:szCs w:val="24"/>
          <w:highlight w:val="none"/>
        </w:rPr>
        <w:t xml:space="preserve">)项目的招标公告</w:t>
      </w:r>
      <w:bookmarkEnd w:id="0"/>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u w:val="single"/>
        </w:rPr>
        <w:t xml:space="preserve">扬州市公路事业发展中心</w:t>
      </w:r>
      <w:r>
        <w:rPr>
          <w:rFonts w:hint="eastAsia" w:ascii="宋体" w:hAnsi="宋体" w:cs="宋体"/>
          <w:color w:val="auto"/>
          <w:highlight w:val="none"/>
        </w:rPr>
        <w:t xml:space="preserve">的委托，</w:t>
      </w:r>
      <w:r>
        <w:rPr>
          <w:rFonts w:hint="eastAsia" w:ascii="宋体" w:hAnsi="宋体" w:cs="宋体"/>
          <w:color w:val="auto"/>
          <w:highlight w:val="none"/>
          <w:u w:val="single"/>
        </w:rPr>
        <w:t xml:space="preserve">江苏辰诚工程咨询有限公司</w:t>
      </w:r>
      <w:r>
        <w:rPr>
          <w:rFonts w:hint="eastAsia" w:ascii="宋体" w:hAnsi="宋体" w:cs="宋体"/>
          <w:color w:val="auto"/>
          <w:highlight w:val="none"/>
        </w:rPr>
        <w:t xml:space="preserve">就</w:t>
      </w:r>
      <w:r>
        <w:rPr>
          <w:rFonts w:hint="eastAsia" w:ascii="宋体" w:hAnsi="宋体" w:cs="宋体"/>
          <w:color w:val="auto"/>
          <w:highlight w:val="none"/>
          <w:u w:val="single"/>
        </w:rPr>
        <w:t xml:space="preserve">2026年度扬州市普通国省道路网监测设施日常维护项目</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JSZC-321000-YZCC-G2026-0001</w:t>
      </w:r>
      <w:r>
        <w:rPr>
          <w:rFonts w:hint="eastAsia" w:ascii="宋体" w:hAnsi="宋体" w:cs="宋体"/>
          <w:color w:val="auto"/>
          <w:highlight w:val="none"/>
        </w:rPr>
        <w:t xml:space="preserve">)项目进行公开招标采购，欢迎符合条件的供应商投标。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rPr>
        <w:t xml:space="preserve"> 2026年度扬州市普通国省道路网监测设施日常维护项目</w:t>
      </w:r>
      <w:r>
        <w:rPr>
          <w:rFonts w:hint="eastAsia" w:ascii="宋体" w:hAnsi="宋体" w:cs="宋体"/>
          <w:color w:val="auto"/>
          <w:highlight w:val="none"/>
        </w:rPr>
        <w:t xml:space="preserve"> 招标项目的潜在投标人可在</w:t>
      </w:r>
      <w:r>
        <w:rPr>
          <w:rFonts w:hint="eastAsia" w:ascii="宋体" w:hAnsi="宋体" w:cs="宋体"/>
          <w:color w:val="auto"/>
          <w:highlight w:val="none"/>
          <w:u w:val="single"/>
        </w:rPr>
        <w:t xml:space="preserve"> “扬州市政府采购网”、“江苏省政府采购网”自行免费下载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rPr>
        <w:t xml:space="preserve">2026年1月</w:t>
      </w:r>
      <w:r>
        <w:rPr>
          <w:rFonts w:hint="eastAsia" w:ascii="宋体" w:hAnsi="宋体" w:cs="宋体"/>
          <w:bCs/>
          <w:color w:val="auto"/>
          <w:highlight w:val="none"/>
          <w:u w:val="single"/>
          <w:lang w:val="en-US" w:eastAsia="zh-CN"/>
        </w:rPr>
        <w:t xml:space="preserve">28</w:t>
      </w:r>
      <w:r>
        <w:rPr>
          <w:rFonts w:hint="eastAsia" w:ascii="宋体" w:hAnsi="宋体" w:cs="宋体"/>
          <w:bCs/>
          <w:color w:val="auto"/>
          <w:highlight w:val="none"/>
          <w:u w:val="single"/>
        </w:rPr>
        <w:t xml:space="preserve">日9点30分（</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1" w:name="_Toc38985263"/>
      <w:r/>
      <w:bookmarkStart w:id="2" w:name="_Toc35393790"/>
      <w:r/>
      <w:bookmarkStart w:id="3" w:name="_Toc35393621"/>
      <w:r/>
      <w:bookmarkStart w:id="4" w:name="_Toc28359079"/>
      <w:r/>
      <w:bookmarkStart w:id="5" w:name="_Toc28359002"/>
      <w:r/>
      <w:bookmarkStart w:id="6" w:name="_Hlk24379207"/>
      <w:r>
        <w:rPr>
          <w:rFonts w:hint="eastAsia" w:ascii="宋体" w:hAnsi="宋体" w:cs="宋体"/>
          <w:b/>
          <w:bCs/>
          <w:color w:val="auto"/>
          <w:highlight w:val="none"/>
        </w:rPr>
        <w:t xml:space="preserve">一、项目基本情况</w:t>
      </w:r>
      <w:bookmarkEnd w:id="1"/>
      <w:r/>
      <w:bookmarkEnd w:id="2"/>
      <w:r/>
      <w:bookmarkEnd w:id="3"/>
      <w:r/>
      <w:bookmarkEnd w:id="4"/>
      <w:r/>
      <w:bookmarkEnd w:id="5"/>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JSZC-321000-YZCC-G2026-0001</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2.项目名称：2026年度扬州市普通国省道路网监测设施日常维护项目</w:t>
      </w:r>
      <w:bookmarkEnd w:id="6"/>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3.预算金额：</w:t>
      </w:r>
      <w:r>
        <w:rPr>
          <w:rFonts w:hint="eastAsia" w:ascii="宋体" w:hAnsi="宋体" w:cs="宋体"/>
          <w:color w:val="auto"/>
          <w:highlight w:val="none"/>
          <w:lang w:val="en-US" w:eastAsia="zh-CN"/>
        </w:rPr>
        <w:t xml:space="preserve">444</w:t>
      </w:r>
      <w:r>
        <w:rPr>
          <w:rFonts w:hint="eastAsia" w:ascii="宋体" w:hAnsi="宋体" w:cs="宋体"/>
          <w:color w:val="auto"/>
          <w:highlight w:val="none"/>
        </w:rPr>
        <w:t xml:space="preserve">万元（采购包1：</w:t>
      </w:r>
      <w:r>
        <w:rPr>
          <w:rFonts w:hint="eastAsia" w:ascii="宋体" w:hAnsi="宋体" w:cs="宋体"/>
          <w:color w:val="auto"/>
          <w:highlight w:val="none"/>
          <w:lang w:val="en-US" w:eastAsia="zh-CN"/>
        </w:rPr>
        <w:t xml:space="preserve">198.79</w:t>
      </w:r>
      <w:r>
        <w:rPr>
          <w:rFonts w:hint="eastAsia" w:ascii="宋体" w:hAnsi="宋体" w:cs="宋体"/>
          <w:color w:val="auto"/>
          <w:highlight w:val="none"/>
        </w:rPr>
        <w:t xml:space="preserve">万元；采购包2：</w:t>
      </w:r>
      <w:r>
        <w:rPr>
          <w:rFonts w:hint="eastAsia" w:ascii="宋体" w:hAnsi="宋体" w:cs="宋体"/>
          <w:color w:val="auto"/>
          <w:highlight w:val="none"/>
          <w:lang w:val="en-US" w:eastAsia="zh-CN"/>
        </w:rPr>
        <w:t xml:space="preserve">245.21</w:t>
      </w:r>
      <w:r>
        <w:rPr>
          <w:rFonts w:hint="eastAsia" w:ascii="宋体" w:hAnsi="宋体" w:cs="宋体"/>
          <w:color w:val="auto"/>
          <w:highlight w:val="none"/>
        </w:rPr>
        <w:t xml:space="preserve">万元）</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4.最高限价（如有）</w:t>
      </w:r>
      <w:r>
        <w:rPr>
          <w:rFonts w:hint="eastAsia" w:ascii="宋体" w:hAnsi="宋体" w:cs="宋体"/>
          <w:i/>
          <w:iCs/>
          <w:color w:val="auto"/>
          <w:highlight w:val="none"/>
          <w:u w:val="single"/>
        </w:rPr>
        <w:t xml:space="preserve">：</w:t>
      </w:r>
      <w:r>
        <w:rPr>
          <w:rFonts w:ascii="宋体" w:hAnsi="宋体" w:cs="宋体"/>
          <w:i/>
          <w:iCs/>
          <w:color w:val="auto"/>
          <w:highlight w:val="none"/>
          <w:u w:val="single"/>
        </w:rPr>
        <w:t xml:space="preserve">422</w:t>
      </w:r>
      <w:r>
        <w:rPr>
          <w:rFonts w:hint="eastAsia" w:ascii="宋体" w:hAnsi="宋体" w:cs="宋体"/>
          <w:i/>
          <w:iCs/>
          <w:color w:val="auto"/>
          <w:highlight w:val="none"/>
          <w:u w:val="single"/>
        </w:rPr>
        <w:t xml:space="preserve">.</w:t>
      </w:r>
      <w:r>
        <w:rPr>
          <w:rFonts w:ascii="宋体" w:hAnsi="宋体" w:cs="宋体"/>
          <w:i/>
          <w:iCs/>
          <w:color w:val="auto"/>
          <w:highlight w:val="none"/>
          <w:u w:val="single"/>
        </w:rPr>
        <w:t xml:space="preserve">25</w:t>
      </w:r>
      <w:r>
        <w:rPr>
          <w:rFonts w:hint="eastAsia" w:ascii="宋体" w:hAnsi="宋体" w:cs="宋体"/>
          <w:i/>
          <w:iCs/>
          <w:color w:val="auto"/>
          <w:highlight w:val="none"/>
          <w:u w:val="single"/>
        </w:rPr>
        <w:t xml:space="preserve">万元，其中采购包1最高限价：</w:t>
      </w:r>
      <w:r>
        <w:rPr>
          <w:rFonts w:ascii="宋体" w:hAnsi="宋体" w:cs="宋体"/>
          <w:i/>
          <w:iCs/>
          <w:color w:val="auto"/>
          <w:highlight w:val="none"/>
          <w:u w:val="single"/>
        </w:rPr>
        <w:t xml:space="preserve">189</w:t>
      </w:r>
      <w:r>
        <w:rPr>
          <w:rFonts w:hint="eastAsia" w:ascii="宋体" w:hAnsi="宋体" w:cs="宋体"/>
          <w:i/>
          <w:iCs/>
          <w:color w:val="auto"/>
          <w:highlight w:val="none"/>
          <w:u w:val="single"/>
        </w:rPr>
        <w:t xml:space="preserve">.</w:t>
      </w:r>
      <w:r>
        <w:rPr>
          <w:rFonts w:ascii="宋体" w:hAnsi="宋体" w:cs="宋体"/>
          <w:i/>
          <w:iCs/>
          <w:color w:val="auto"/>
          <w:highlight w:val="none"/>
          <w:u w:val="single"/>
        </w:rPr>
        <w:t xml:space="preserve">05</w:t>
      </w:r>
      <w:r>
        <w:rPr>
          <w:rFonts w:hint="eastAsia" w:ascii="宋体" w:hAnsi="宋体" w:cs="宋体"/>
          <w:i/>
          <w:iCs/>
          <w:color w:val="auto"/>
          <w:highlight w:val="none"/>
          <w:u w:val="single"/>
        </w:rPr>
        <w:t xml:space="preserve">万元；采购包2最高限价：</w:t>
      </w:r>
      <w:r>
        <w:rPr>
          <w:rFonts w:ascii="宋体" w:hAnsi="宋体" w:cs="宋体"/>
          <w:i/>
          <w:iCs/>
          <w:color w:val="auto"/>
          <w:highlight w:val="none"/>
          <w:u w:val="single"/>
        </w:rPr>
        <w:t xml:space="preserve">233</w:t>
      </w:r>
      <w:r>
        <w:rPr>
          <w:rFonts w:hint="eastAsia" w:ascii="宋体" w:hAnsi="宋体" w:cs="宋体"/>
          <w:i/>
          <w:iCs/>
          <w:color w:val="auto"/>
          <w:highlight w:val="none"/>
          <w:u w:val="single"/>
        </w:rPr>
        <w:t xml:space="preserve">.</w:t>
      </w:r>
      <w:r>
        <w:rPr>
          <w:rFonts w:ascii="宋体" w:hAnsi="宋体" w:cs="宋体"/>
          <w:i/>
          <w:iCs/>
          <w:color w:val="auto"/>
          <w:highlight w:val="none"/>
          <w:u w:val="single"/>
        </w:rPr>
        <w:t xml:space="preserve">2</w:t>
      </w:r>
      <w:r>
        <w:rPr>
          <w:rFonts w:hint="eastAsia" w:ascii="宋体" w:hAnsi="宋体" w:cs="宋体"/>
          <w:i/>
          <w:iCs/>
          <w:color w:val="auto"/>
          <w:highlight w:val="none"/>
          <w:u w:val="single"/>
          <w:lang w:val="en-US" w:eastAsia="zh-CN"/>
        </w:rPr>
        <w:t xml:space="preserve">万</w:t>
      </w:r>
      <w:r>
        <w:rPr>
          <w:rFonts w:hint="eastAsia" w:ascii="宋体" w:hAnsi="宋体" w:cs="宋体"/>
          <w:i/>
          <w:iCs/>
          <w:color w:val="auto"/>
          <w:highlight w:val="none"/>
          <w:u w:val="single"/>
        </w:rPr>
        <w:t xml:space="preserve">元。各分包报价超过各分包最高限价的为无效报价，按照无效响应处理，视为无效响应文件。</w:t>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5.采购需求：</w:t>
      </w:r>
      <w:r>
        <w:rPr>
          <w:rFonts w:hint="eastAsia" w:ascii="宋体" w:hAnsi="宋体" w:cs="宋体"/>
          <w:b/>
          <w:bCs/>
          <w:color w:val="auto"/>
          <w:highlight w:val="none"/>
        </w:rPr>
        <w:t xml:space="preserve">本项目开、评标顺序为包1、包2，供应商可以兼投不可兼中。详细内容见本采购文件第四章。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6.合同履行期限：2026年2月至2027年1月，共12个月。</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rPr>
        <w:t xml:space="preserve">不</w:t>
      </w:r>
      <w:r>
        <w:rPr>
          <w:rFonts w:hint="eastAsia" w:ascii="宋体" w:hAnsi="宋体" w:cs="宋体"/>
          <w:color w:val="auto"/>
          <w:highlight w:val="none"/>
          <w:u w:val="single"/>
          <w:lang w:val="en-US" w:eastAsia="zh-CN"/>
        </w:rPr>
        <w:t xml:space="preserve">接受</w:t>
      </w:r>
      <w:r>
        <w:rPr>
          <w:rFonts w:hint="eastAsia" w:ascii="宋体" w:hAnsi="宋体" w:cs="宋体"/>
          <w:color w:val="auto"/>
          <w:highlight w:val="none"/>
        </w:rPr>
        <w:t xml:space="preserve">联合体投标。</w:t>
      </w:r>
      <w:r/>
    </w:p>
    <w:p>
      <w:pPr>
        <w:ind w:firstLine="420"/>
        <w:spacing w:line="360" w:lineRule="auto"/>
        <w:rPr>
          <w:color w:val="auto"/>
          <w:highlight w:val="none"/>
        </w:rPr>
      </w:pPr>
      <w:r>
        <w:rPr>
          <w:rFonts w:hint="eastAsia" w:ascii="宋体" w:hAnsi="宋体" w:cs="宋体"/>
          <w:color w:val="auto"/>
          <w:highlight w:val="none"/>
        </w:rPr>
        <w:t xml:space="preserve">8.本项目</w:t>
      </w:r>
      <w:r>
        <w:rPr>
          <w:rFonts w:hint="eastAsia" w:ascii="宋体" w:hAnsi="宋体" w:cs="宋体"/>
          <w:color w:val="auto"/>
          <w:highlight w:val="none"/>
          <w:u w:val="single"/>
        </w:rPr>
        <w:t xml:space="preserve">不</w:t>
      </w:r>
      <w:r>
        <w:rPr>
          <w:rFonts w:hint="eastAsia" w:ascii="宋体" w:hAnsi="宋体" w:cs="宋体"/>
          <w:color w:val="auto"/>
          <w:highlight w:val="none"/>
          <w:u w:val="single"/>
          <w:lang w:val="en-US" w:eastAsia="zh-CN"/>
        </w:rPr>
        <w:t xml:space="preserve">接受</w:t>
      </w:r>
      <w:r>
        <w:rPr>
          <w:rFonts w:hint="eastAsia" w:ascii="宋体" w:hAnsi="宋体" w:cs="宋体"/>
          <w:color w:val="auto"/>
          <w:highlight w:val="none"/>
        </w:rPr>
        <w:t xml:space="preserve">进口产品投标。</w:t>
      </w:r>
      <w:r/>
    </w:p>
    <w:p>
      <w:pPr>
        <w:spacing w:line="360" w:lineRule="auto"/>
        <w:tabs>
          <w:tab w:val="left" w:pos="266" w:leader="none"/>
        </w:tabs>
        <w:rPr>
          <w:rFonts w:ascii="宋体" w:hAnsi="宋体" w:cs="宋体"/>
          <w:b/>
          <w:bCs/>
          <w:color w:val="auto"/>
          <w:highlight w:val="none"/>
        </w:rPr>
      </w:pPr>
      <w:r/>
      <w:bookmarkStart w:id="7" w:name="_Toc28359003"/>
      <w:r/>
      <w:bookmarkStart w:id="8" w:name="_Toc35393622"/>
      <w:r/>
      <w:bookmarkStart w:id="9" w:name="_Toc35393791"/>
      <w:r/>
      <w:bookmarkStart w:id="10" w:name="_Toc28359080"/>
      <w:r/>
      <w:bookmarkStart w:id="11" w:name="_Toc38985264"/>
      <w:r>
        <w:rPr>
          <w:rFonts w:hint="eastAsia" w:ascii="宋体" w:hAnsi="宋体" w:cs="宋体"/>
          <w:b/>
          <w:bCs/>
          <w:color w:val="auto"/>
          <w:highlight w:val="none"/>
        </w:rPr>
        <w:t xml:space="preserve">二、申请人的资格要求：</w:t>
      </w:r>
      <w:bookmarkEnd w:id="7"/>
      <w:r/>
      <w:bookmarkEnd w:id="8"/>
      <w:r/>
      <w:bookmarkEnd w:id="9"/>
      <w:r/>
      <w:bookmarkEnd w:id="10"/>
      <w:r/>
      <w:bookmarkEnd w:id="11"/>
      <w:r/>
      <w:r/>
    </w:p>
    <w:p>
      <w:pPr>
        <w:ind w:firstLine="420"/>
        <w:spacing w:line="360" w:lineRule="auto"/>
        <w:rPr>
          <w:rFonts w:ascii="宋体" w:hAnsi="宋体" w:cs="宋体"/>
          <w:color w:val="auto"/>
          <w:szCs w:val="21"/>
          <w:highlight w:val="none"/>
        </w:rPr>
      </w:pPr>
      <w:r/>
      <w:bookmarkStart w:id="12" w:name="_Toc35393623"/>
      <w:r/>
      <w:bookmarkStart w:id="13" w:name="_Toc28359081"/>
      <w:r/>
      <w:bookmarkStart w:id="14" w:name="_Toc28359004"/>
      <w:r/>
      <w:bookmarkStart w:id="15" w:name="_Toc38985265"/>
      <w:r/>
      <w:bookmarkStart w:id="16" w:name="_Toc35393792"/>
      <w:r>
        <w:rPr>
          <w:rFonts w:hint="eastAsia" w:ascii="宋体" w:hAnsi="宋体" w:cs="宋体"/>
          <w:color w:val="auto"/>
          <w:szCs w:val="21"/>
          <w:highlight w:val="none"/>
        </w:rPr>
        <w:t xml:space="preserve">（一）满足《中华人民共和国政府采购法》第二十二条规定：</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1.法人或者其他组织的营业执照等证明文件，自然人的身份证明（身份证为正、反面）；</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2.上一年度的财务状况报告（提供2024年度或2025年度的财务</w:t>
      </w:r>
      <w:r>
        <w:rPr>
          <w:rFonts w:hint="eastAsia" w:ascii="宋体" w:hAnsi="宋体" w:cs="宋体"/>
          <w:i/>
          <w:iCs/>
          <w:color w:val="auto"/>
          <w:szCs w:val="21"/>
          <w:highlight w:val="none"/>
          <w:u w:val="single"/>
          <w:lang w:eastAsia="zh-CN"/>
        </w:rPr>
        <w:t xml:space="preserve">状况</w:t>
      </w:r>
      <w:r>
        <w:rPr>
          <w:rFonts w:hint="eastAsia" w:ascii="宋体" w:hAnsi="宋体" w:cs="宋体"/>
          <w:i/>
          <w:iCs/>
          <w:color w:val="auto"/>
          <w:szCs w:val="21"/>
          <w:highlight w:val="none"/>
          <w:u w:val="single"/>
        </w:rPr>
        <w:t xml:space="preserve">报告，成立不满一年不需提供）；</w:t>
      </w:r>
      <w:r/>
    </w:p>
    <w:p>
      <w:pPr>
        <w:ind w:firstLine="42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3.依法缴纳税收和社会保障资金的相关材料</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w:t>
      </w:r>
      <w:r>
        <w:rPr>
          <w:rFonts w:hint="eastAsia" w:ascii="宋体" w:hAnsi="宋体" w:cs="宋体"/>
          <w:i/>
          <w:iCs/>
          <w:color w:val="auto"/>
          <w:szCs w:val="21"/>
          <w:highlight w:val="none"/>
          <w:u w:val="single"/>
        </w:rPr>
        <w:t xml:space="preserve">；</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4.具备履行合同所必需的设备和专业技术能力的书面声明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5.参加政府采购活动前3年内在经营活动中没有重大违法记录的书面声明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6.供应商信用承诺函</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中小企业声明函》不符合要求或未提供的，投标文件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（三）本项目的特定资格要求：</w:t>
      </w:r>
      <w:r>
        <w:rPr>
          <w:rFonts w:hint="eastAsia" w:ascii="宋体" w:hAnsi="宋体" w:cs="宋体"/>
          <w:i/>
          <w:color w:val="auto"/>
          <w:szCs w:val="21"/>
          <w:highlight w:val="none"/>
          <w:u w:val="single"/>
        </w:rPr>
        <w:t xml:space="preserve">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2"/>
      <w:r/>
      <w:bookmarkEnd w:id="13"/>
      <w:r/>
      <w:bookmarkEnd w:id="14"/>
      <w:r/>
      <w:bookmarkEnd w:id="15"/>
      <w:r/>
      <w:bookmarkEnd w:id="16"/>
      <w:r/>
      <w:r/>
    </w:p>
    <w:p>
      <w:pPr>
        <w:ind w:firstLine="420"/>
        <w:spacing w:line="360" w:lineRule="auto"/>
        <w:rPr>
          <w:rFonts w:ascii="宋体" w:hAnsi="宋体" w:cs="宋体"/>
          <w:color w:val="auto"/>
          <w:szCs w:val="21"/>
          <w:highlight w:val="none"/>
        </w:rPr>
      </w:pPr>
      <w:r/>
      <w:bookmarkStart w:id="17" w:name="_Toc28359005"/>
      <w:r/>
      <w:bookmarkStart w:id="18" w:name="_Toc28359082"/>
      <w:r/>
      <w:bookmarkStart w:id="19" w:name="_Toc35393793"/>
      <w:r/>
      <w:bookmarkStart w:id="20" w:name="_Toc35393624"/>
      <w:r/>
      <w:bookmarkStart w:id="21" w:name="_Toc38985266"/>
      <w:r>
        <w:rPr>
          <w:rFonts w:hint="eastAsia" w:ascii="宋体" w:hAnsi="宋体" w:cs="宋体"/>
          <w:color w:val="auto"/>
          <w:szCs w:val="21"/>
          <w:highlight w:val="none"/>
        </w:rPr>
        <w:t xml:space="preserve">时间：自招标文件公告发布之日起5个工作日。5个工作日后仍可下载采购文件，但不作为供应商权益受到损害的证明材料和依据。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地点：“扬州市政府采购网”和“江苏省政府采购网”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方式：网上获取。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售价：0.00元</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7"/>
      <w:r/>
      <w:bookmarkEnd w:id="18"/>
      <w:r>
        <w:rPr>
          <w:rFonts w:hint="eastAsia" w:ascii="宋体" w:hAnsi="宋体" w:cs="宋体"/>
          <w:b/>
          <w:bCs/>
          <w:color w:val="auto"/>
          <w:highlight w:val="none"/>
        </w:rPr>
        <w:t xml:space="preserve">截止时间、开标时间和地点</w:t>
      </w:r>
      <w:bookmarkEnd w:id="19"/>
      <w:r/>
      <w:bookmarkEnd w:id="20"/>
      <w:r/>
      <w:bookmarkEnd w:id="21"/>
      <w:r/>
      <w:r/>
    </w:p>
    <w:p>
      <w:pPr>
        <w:ind w:firstLine="420"/>
        <w:spacing w:line="360" w:lineRule="auto"/>
        <w:rPr>
          <w:rFonts w:ascii="宋体" w:hAnsi="宋体" w:cs="宋体"/>
          <w:color w:val="auto"/>
          <w:szCs w:val="21"/>
          <w:highlight w:val="none"/>
        </w:rPr>
      </w:pPr>
      <w:r/>
      <w:bookmarkStart w:id="22" w:name="_Toc35393794"/>
      <w:r/>
      <w:bookmarkStart w:id="23" w:name="_Toc28359007"/>
      <w:r/>
      <w:bookmarkStart w:id="24" w:name="_Toc28359084"/>
      <w:r/>
      <w:bookmarkStart w:id="25" w:name="_Toc38985267"/>
      <w:r/>
      <w:bookmarkStart w:id="26" w:name="_Toc35393625"/>
      <w:r>
        <w:rPr>
          <w:rFonts w:hint="eastAsia" w:ascii="宋体" w:hAnsi="宋体" w:cs="宋体"/>
          <w:color w:val="auto"/>
          <w:szCs w:val="21"/>
          <w:highlight w:val="none"/>
        </w:rPr>
        <w:t xml:space="preserve">2026-1-</w:t>
      </w:r>
      <w:r>
        <w:rPr>
          <w:rFonts w:hint="eastAsia" w:ascii="宋体" w:hAnsi="宋体" w:cs="宋体"/>
          <w:color w:val="auto"/>
          <w:szCs w:val="21"/>
          <w:highlight w:val="none"/>
          <w:lang w:val="en-US" w:eastAsia="zh-CN"/>
        </w:rPr>
        <w:t xml:space="preserve">28</w:t>
      </w: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地点：“苏采云”系统（网址：http://jszfcg.jsczt.cn/）“开标大厅”</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五、公告期限</w:t>
      </w:r>
      <w:bookmarkEnd w:id="22"/>
      <w:r/>
      <w:bookmarkEnd w:id="23"/>
      <w:r/>
      <w:bookmarkEnd w:id="24"/>
      <w:r/>
      <w:bookmarkEnd w:id="25"/>
      <w:r/>
      <w:bookmarkEnd w:id="26"/>
      <w:r/>
      <w:r/>
    </w:p>
    <w:p>
      <w:pPr>
        <w:ind w:firstLine="420"/>
        <w:spacing w:line="360" w:lineRule="auto"/>
        <w:rPr>
          <w:rFonts w:ascii="宋体" w:hAnsi="宋体" w:cs="宋体"/>
          <w:color w:val="auto"/>
          <w:highlight w:val="none"/>
        </w:rPr>
      </w:pPr>
      <w:r/>
      <w:bookmarkStart w:id="27" w:name="_Toc35393626"/>
      <w:r/>
      <w:bookmarkStart w:id="28" w:name="_Toc38985268"/>
      <w:r/>
      <w:bookmarkStart w:id="29" w:name="_Toc35393795"/>
      <w:r>
        <w:rPr>
          <w:rFonts w:hint="eastAsia" w:ascii="宋体" w:hAnsi="宋体" w:cs="宋体"/>
          <w:color w:val="auto"/>
          <w:highlight w:val="none"/>
        </w:rPr>
        <w:t xml:space="preserve">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7"/>
      <w:r/>
      <w:bookmarkEnd w:id="28"/>
      <w:r/>
      <w:bookmarkEnd w:id="29"/>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（一）拒绝下述供应商参加本次采购活动：</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（1）供应商单位负责人为同一人或者存在直接控股、管理关系的不同供应商，不得参加同一合同项下的政府采购活动。</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（2）凡为采购项目提供整体设计、规范编制或者项目管理、检测等服务的供应商，不得再参加该项目的其他采购活动。</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（二）潜在供应商访问政府采购管理交易系统（苏采云）的网络地址和方法：</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ffff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（3）“CA数字证书”的办理材料以及供应商操作手册详见：http://zfcg.yangzhou.gov.cn/zfcg/xzzx/202309/4d7de1f7865f4a2894fc22bc452f94d8.shtml。</w:t>
      </w:r>
      <w:r>
        <w:rPr>
          <w:rFonts w:hint="eastAsia" w:ascii="宋体" w:hAnsi="宋体" w:cs="宋体"/>
          <w:b/>
          <w:bCs/>
          <w:color w:val="auto"/>
          <w:szCs w:val="21"/>
          <w:highlight w:val="none"/>
          <w:lang w:eastAsia="zh-CN"/>
        </w:rPr>
        <w:t xml:space="preserve">（以网站最新通知为准）</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（5）采购文件（后缀名为“.kedt”）、供应商操作手册及政府采购客户端工具可通过“苏采云”系统--已报名项目--报名详情页面内相应链接进行下载。</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（6）招标代理机构（采购代理机构）将数据电文形式的招标文件加载至“苏采云”系统，供潜在供应商下载或者查阅。</w:t>
      </w:r>
      <w:r/>
    </w:p>
    <w:p>
      <w:pPr>
        <w:ind w:firstLine="422"/>
        <w:spacing w:line="360" w:lineRule="auto"/>
        <w:shd w:val="clear" w:color="auto" w:fill="ffffff"/>
        <w:rPr>
          <w:rFonts w:ascii="宋体" w:hAnsi="宋体" w:cs="宋体"/>
          <w:color w:val="auto"/>
          <w:szCs w:val="21"/>
          <w:highlight w:val="none"/>
          <w:u w:val="single"/>
        </w:rPr>
      </w:pPr>
      <w:r>
        <w:rPr>
          <w:rFonts w:hint="eastAsia" w:ascii="宋体" w:hAnsi="宋体" w:cs="宋体"/>
          <w:b/>
          <w:bCs/>
          <w:color w:val="auto"/>
          <w:szCs w:val="21"/>
          <w:highlight w:val="none"/>
        </w:rPr>
        <w:t xml:space="preserve">（7）苏采云系统使用谷歌浏览器参与不见面开标。</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（三）其他</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投标人自行承担。</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（2）供应商如确定参加投标，可自行下载招标文件及有关资料，按照《操作手册》进行注册，领取CA和办理电子签章，并按《操作手册》要求制作、上传电子投标文件，技术支持联系方式：13813140731。</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（3）潜在投标人对招标文件项目需求部分的询问、质疑请向采购人提出，由采购人负责答复。</w:t>
      </w:r>
      <w:r/>
    </w:p>
    <w:p>
      <w:pPr>
        <w:ind w:firstLine="420"/>
        <w:spacing w:line="360" w:lineRule="auto"/>
        <w:rPr>
          <w:rFonts w:ascii="宋体" w:hAnsi="宋体" w:cs="宋体"/>
          <w:bCs/>
          <w:color w:val="auto"/>
          <w:highlight w:val="none"/>
        </w:rPr>
      </w:pPr>
      <w:r>
        <w:rPr>
          <w:rFonts w:hint="eastAsia" w:ascii="宋体" w:hAnsi="宋体" w:cs="宋体"/>
          <w:bCs/>
          <w:color w:val="auto"/>
          <w:szCs w:val="21"/>
          <w:highlight w:val="none"/>
        </w:rPr>
        <w:t xml:space="preserve">（4）</w:t>
      </w:r>
      <w:r>
        <w:rPr>
          <w:rFonts w:hint="eastAsia" w:ascii="宋体" w:hAnsi="宋体" w:cs="宋体"/>
          <w:color w:val="auto"/>
          <w:highlight w:val="none"/>
        </w:rPr>
        <w:t xml:space="preserve">本次采购不收取保证金。</w:t>
      </w:r>
      <w:r/>
    </w:p>
    <w:p>
      <w:pPr>
        <w:ind w:firstLine="420"/>
        <w:spacing w:line="360" w:lineRule="auto"/>
        <w:rPr>
          <w:rFonts w:ascii="宋体" w:hAnsi="宋体" w:cs="宋体"/>
          <w:bCs/>
          <w:color w:val="auto"/>
          <w:highlight w:val="none"/>
        </w:rPr>
      </w:pPr>
      <w:r>
        <w:rPr>
          <w:rFonts w:hint="eastAsia" w:ascii="宋体" w:hAnsi="宋体" w:cs="宋体"/>
          <w:color w:val="auto"/>
          <w:szCs w:val="21"/>
          <w:highlight w:val="none"/>
        </w:rPr>
        <w:t xml:space="preserve">（5）</w:t>
      </w:r>
      <w:r>
        <w:rPr>
          <w:rFonts w:hint="eastAsia" w:ascii="宋体" w:hAnsi="宋体" w:cs="宋体"/>
          <w:bCs/>
          <w:color w:val="auto"/>
          <w:highlight w:val="none"/>
        </w:rPr>
        <w:t xml:space="preserve">有关本次招标的事项若存在变动或修改，敬请及时关注“扬州市政府采购网”、“江苏省政府采购网”发布的信息。</w:t>
      </w:r>
      <w:r/>
    </w:p>
    <w:p>
      <w:pPr>
        <w:ind w:firstLine="422"/>
        <w:spacing w:line="360" w:lineRule="auto"/>
        <w:rPr>
          <w:rFonts w:ascii="宋体" w:hAnsi="宋体" w:cs="宋体"/>
          <w:b/>
          <w:i/>
          <w:iCs/>
          <w:color w:val="auto"/>
          <w:highlight w:val="none"/>
          <w:u w:val="single"/>
        </w:rPr>
      </w:pPr>
      <w:r>
        <w:rPr>
          <w:rFonts w:hint="eastAsia" w:ascii="宋体" w:hAnsi="宋体" w:cs="宋体"/>
          <w:b/>
          <w:i/>
          <w:iCs/>
          <w:color w:val="auto"/>
          <w:highlight w:val="none"/>
          <w:u w:val="single"/>
        </w:rPr>
        <w:t xml:space="preserve">（6）本项目招标文件中所有斜体下划线部分为实质性条款，如不满足，则为无效投标。</w:t>
      </w:r>
      <w:r/>
    </w:p>
    <w:p>
      <w:pPr>
        <w:ind w:firstLine="422"/>
        <w:spacing w:line="360" w:lineRule="auto"/>
        <w:rPr>
          <w:rFonts w:ascii="宋体" w:hAnsi="宋体" w:cs="宋体"/>
          <w:b/>
          <w:color w:val="auto"/>
          <w:highlight w:val="none"/>
        </w:rPr>
      </w:pPr>
      <w:r/>
      <w:bookmarkStart w:id="30" w:name="_Toc35393636"/>
      <w:r/>
      <w:bookmarkStart w:id="31" w:name="_Toc35393805"/>
      <w:r/>
      <w:bookmarkStart w:id="32" w:name="_Toc28359095"/>
      <w:r/>
      <w:bookmarkStart w:id="33" w:name="_Toc28359018"/>
      <w:r>
        <w:rPr>
          <w:rFonts w:hint="eastAsia" w:ascii="宋体" w:hAnsi="宋体" w:cs="宋体"/>
          <w:b/>
          <w:color w:val="auto"/>
          <w:highlight w:val="none"/>
        </w:rPr>
        <w:t xml:space="preserve">（四）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（五）供应商对于投标产品的包装应按照“财办库〔2020〕123号《关于印发《商品包装政府采购需求标准（试行）》、《快递包装政府采购需求标准（试行）》的通知》”执行。</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（六）落实好政府采购履约资金扶持政策。中标/成交供应商可凭政府采购合同办理融资贷款，详见江苏政府采购网“政采贷”专栏。</w:t>
      </w:r>
      <w:r/>
    </w:p>
    <w:p>
      <w:pPr>
        <w:ind w:firstLine="420"/>
        <w:spacing w:line="360" w:lineRule="auto"/>
        <w:rPr>
          <w:rFonts w:ascii="宋体" w:hAnsi="宋体" w:cs="宋体"/>
          <w:color w:val="auto"/>
          <w:szCs w:val="21"/>
          <w:highlight w:val="none"/>
        </w:rPr>
      </w:pPr>
      <w:r>
        <w:rPr>
          <w:rFonts w:hint="eastAsia" w:ascii="宋体" w:hAnsi="宋体" w:cs="宋体"/>
          <w:b/>
          <w:color w:val="auto"/>
          <w:highlight w:val="none"/>
        </w:rPr>
        <w:t xml:space="preserve">（七）严格执行政府采购关于支持</w:t>
      </w:r>
      <w:r>
        <w:rPr>
          <w:rFonts w:hint="eastAsia" w:ascii="宋体" w:hAnsi="宋体" w:cs="宋体"/>
          <w:b/>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30"/>
      <w:r/>
      <w:bookmarkEnd w:id="31"/>
      <w:r/>
      <w:bookmarkEnd w:id="32"/>
      <w:r/>
      <w:bookmarkEnd w:id="33"/>
      <w:r/>
      <w:r/>
    </w:p>
    <w:p>
      <w:pPr>
        <w:spacing w:line="360" w:lineRule="auto"/>
        <w:tabs>
          <w:tab w:val="left" w:pos="266" w:leader="none"/>
        </w:tabs>
        <w:rPr>
          <w:rFonts w:ascii="宋体" w:hAnsi="宋体" w:cs="宋体"/>
          <w:b/>
          <w:bCs/>
          <w:color w:val="auto"/>
          <w:highlight w:val="none"/>
        </w:rPr>
      </w:pPr>
      <w:r/>
      <w:bookmarkStart w:id="34" w:name="_Toc35393796"/>
      <w:r/>
      <w:bookmarkStart w:id="35" w:name="_Toc28359008"/>
      <w:r/>
      <w:bookmarkStart w:id="36" w:name="_Toc38985269"/>
      <w:r/>
      <w:bookmarkStart w:id="37" w:name="_Toc35393627"/>
      <w:r/>
      <w:bookmarkStart w:id="38" w:name="_Toc28359085"/>
      <w:r>
        <w:rPr>
          <w:rFonts w:hint="eastAsia" w:ascii="宋体" w:hAnsi="宋体" w:cs="宋体"/>
          <w:b/>
          <w:bCs/>
          <w:color w:val="auto"/>
          <w:highlight w:val="none"/>
        </w:rPr>
        <w:t xml:space="preserve">七、本次招标联系方式</w:t>
      </w:r>
      <w:bookmarkEnd w:id="34"/>
      <w:r/>
      <w:bookmarkEnd w:id="35"/>
      <w:r/>
      <w:bookmarkEnd w:id="36"/>
      <w:r/>
      <w:bookmarkEnd w:id="37"/>
      <w:r/>
      <w:bookmarkEnd w:id="38"/>
      <w:r/>
      <w:r/>
    </w:p>
    <w:p>
      <w:pPr>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1.采购人信息</w:t>
      </w:r>
      <w:r/>
    </w:p>
    <w:p>
      <w:pPr>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采购包1、采购包2</w:t>
      </w:r>
      <w:r/>
    </w:p>
    <w:p>
      <w:pPr>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单位名称：扬州市公路事业发展中心</w:t>
      </w:r>
      <w:r/>
    </w:p>
    <w:p>
      <w:pPr>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单位地址：扬州市史可法路50号</w:t>
      </w:r>
      <w:r/>
    </w:p>
    <w:p>
      <w:pPr>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联系人：汤女士</w:t>
      </w:r>
      <w:r/>
    </w:p>
    <w:p>
      <w:pPr>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联系电话：</w:t>
      </w:r>
      <w:bookmarkStart w:id="39" w:name="OLE_LINK2"/>
      <w:r>
        <w:rPr>
          <w:rFonts w:hint="eastAsia" w:ascii="宋体" w:hAnsi="宋体" w:cs="宋体"/>
          <w:color w:val="auto"/>
          <w:highlight w:val="none"/>
        </w:rPr>
        <w:t xml:space="preserve">0514-87627403</w:t>
      </w:r>
      <w:bookmarkEnd w:id="39"/>
      <w:r/>
      <w:r/>
    </w:p>
    <w:p>
      <w:pPr>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2.采购代理机构信息（如有）</w:t>
      </w:r>
      <w:r/>
    </w:p>
    <w:p>
      <w:pPr>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单位名称：江苏辰诚工程咨询有限公司</w:t>
      </w:r>
      <w:r/>
    </w:p>
    <w:p>
      <w:pPr>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单位地址：扬州市江都区龙城路31号</w:t>
      </w:r>
      <w:r/>
    </w:p>
    <w:p>
      <w:pPr>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联系人：靖玉琴</w:t>
      </w:r>
      <w:r/>
    </w:p>
    <w:p>
      <w:pPr>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联系电话：13358130411</w:t>
      </w:r>
      <w:r/>
    </w:p>
    <w:p>
      <w:pPr>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3.项目联系方式</w:t>
      </w:r>
      <w:r/>
    </w:p>
    <w:p>
      <w:pPr>
        <w:ind w:firstLine="420"/>
        <w:jc w:val="left"/>
        <w:spacing w:line="360" w:lineRule="auto"/>
        <w:widowControl/>
        <w:rPr>
          <w:rFonts w:ascii="宋体" w:hAnsi="宋体" w:cs="宋体"/>
          <w:color w:val="auto"/>
          <w:highlight w:val="none"/>
        </w:rPr>
      </w:pPr>
      <w:r/>
      <w:bookmarkStart w:id="40" w:name="_Toc28359087"/>
      <w:r/>
      <w:bookmarkStart w:id="41" w:name="_Toc28359010"/>
      <w:r>
        <w:rPr>
          <w:rFonts w:hint="eastAsia" w:ascii="宋体" w:hAnsi="宋体" w:cs="宋体"/>
          <w:color w:val="auto"/>
          <w:highlight w:val="none"/>
        </w:rPr>
        <w:t xml:space="preserve">项目联系人：靖玉琴</w:t>
      </w:r>
      <w:r/>
    </w:p>
    <w:p>
      <w:pPr>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电话：13358130411</w:t>
      </w:r>
      <w:bookmarkEnd w:id="40"/>
      <w:r/>
      <w:bookmarkEnd w:id="41"/>
      <w:r/>
      <w:r/>
    </w:p>
    <w:p>
      <w:pPr>
        <w:rPr>
          <w:color w:val="auto"/>
          <w:highlight w:val="none"/>
        </w:rPr>
      </w:pPr>
      <w:r>
        <w:rPr>
          <w:color w:val="auto"/>
          <w:highlight w:val="none"/>
        </w:rPr>
      </w:r>
      <w:r/>
    </w:p>
    <w:p>
      <w:pPr>
        <w:rPr>
          <w:color w:val="auto"/>
          <w:highlight w:val="none"/>
        </w:rPr>
      </w:pPr>
      <w:r>
        <w:rPr>
          <w:color w:val="auto"/>
          <w:highlight w:val="none"/>
        </w:rPr>
        <w:br w:type="page" w:clear="all"/>
      </w:r>
      <w:r/>
    </w:p>
    <w:p>
      <w:pPr>
        <w:pStyle w:val="847"/>
        <w:jc w:val="center"/>
        <w:rPr>
          <w:rFonts w:ascii="宋体" w:hAnsi="宋体"/>
          <w:color w:val="auto"/>
          <w:szCs w:val="36"/>
          <w:highlight w:val="none"/>
        </w:rPr>
      </w:pPr>
      <w:r/>
      <w:bookmarkStart w:id="42" w:name="_Toc55204178"/>
      <w:r>
        <w:rPr>
          <w:rFonts w:hint="eastAsia" w:ascii="宋体" w:hAnsi="宋体"/>
          <w:color w:val="auto"/>
          <w:szCs w:val="36"/>
          <w:highlight w:val="none"/>
        </w:rPr>
        <w:t xml:space="preserve">第二章 投标人须知</w:t>
      </w:r>
      <w:bookmarkEnd w:id="42"/>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1.1本次招标采取公开招标方式，本招标文件仅适用于</w:t>
      </w:r>
      <w:r>
        <w:rPr>
          <w:rFonts w:hint="eastAsia" w:ascii="宋体" w:hAnsi="宋体"/>
          <w:bCs/>
          <w:color w:val="auto"/>
          <w:szCs w:val="21"/>
          <w:highlight w:val="none"/>
          <w:lang w:eastAsia="zh-CN"/>
        </w:rPr>
        <w:t xml:space="preserve">JSZC-321000-YZCC-G2026-0001</w:t>
      </w:r>
      <w:r>
        <w:rPr>
          <w:rFonts w:hint="eastAsia" w:ascii="宋体" w:hAnsi="宋体"/>
          <w:bCs/>
          <w:color w:val="auto"/>
          <w:szCs w:val="21"/>
          <w:highlight w:val="none"/>
        </w:rPr>
        <w:t xml:space="preserve">号项目。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2.1本招标文件中“供应商”，即“投标人”，是指参加投标竞争，并符合招标文件规定资格条件的法人、其他组织或者自然人。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2.2.1满足招标公告中供应商的资格条件要求的规定。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2.2.2满足本文件实质性条款的规定。</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3.1本次招标及由此产生的合同受中华人民共和国有关的法律法规制约和保护。</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4.2本次采购由采购人支付代理服务费。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4.3专家评审费按扬财购【2020】40号文《关于进一步规范扬州市政府采购专家评审费标准的 通知》执行。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5.1投标人一旦参加本项目采购活动，即被认为接受了本招标文件的规定和约束。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6.1招标文件有以下部分组成：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6.3招标文件如果要求供应商提交备选投标方案的，供应商可以提交备选方案；否则，备选方案将被拒绝。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8.1在投标截止时间前，代理机构可以对招标文件进行修改。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9.2除技术性能另有规定外，投标文件所使用的度量衡单位，均须采用国家法定计量单位。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（7）商务条款响应及偏离表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（8）拟投入本项目人员一览表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（9）其他（投标人认为有必要提供的声明和文件，如有自拟并自行添加）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11.5证明投标人所提供服务与招标文件的要求相一致的文件可以是手册、图纸、文字资料和数据。</w:t>
      </w:r>
      <w:r/>
    </w:p>
    <w:p>
      <w:pPr>
        <w:ind w:left="420"/>
        <w:spacing w:line="360" w:lineRule="auto"/>
        <w:rPr>
          <w:rFonts w:ascii="宋体" w:hAnsi="宋体"/>
          <w:b/>
          <w:color w:val="auto"/>
          <w:szCs w:val="21"/>
          <w:highlight w:val="none"/>
        </w:rPr>
      </w:pPr>
      <w:r>
        <w:rPr>
          <w:rFonts w:hint="eastAsia" w:ascii="宋体" w:hAnsi="宋体"/>
          <w:b/>
          <w:color w:val="auto"/>
          <w:szCs w:val="21"/>
          <w:highlight w:val="none"/>
        </w:rPr>
        <w:t xml:space="preserve">12、</w:t>
      </w:r>
      <w:r>
        <w:rPr>
          <w:rFonts w:hint="eastAsia"/>
          <w:b/>
          <w:bCs/>
          <w:color w:val="auto"/>
          <w:highlight w:val="none"/>
        </w:rPr>
        <w:t xml:space="preserve">分项报价表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12.1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12.2标的物</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360" w:lineRule="auto"/>
        <w:rPr>
          <w:rFonts w:ascii="宋体" w:hAnsi="宋体"/>
          <w:color w:val="auto"/>
          <w:highlight w:val="none"/>
        </w:rPr>
      </w:pPr>
      <w:r>
        <w:rPr>
          <w:rFonts w:hint="eastAsia" w:ascii="宋体" w:hAnsi="宋体"/>
          <w:color w:val="auto"/>
          <w:highlight w:val="none"/>
        </w:rPr>
        <w:t xml:space="preserve">12.3其它费用处理</w:t>
      </w:r>
      <w:r/>
    </w:p>
    <w:p>
      <w:pPr>
        <w:ind w:firstLine="420"/>
        <w:spacing w:line="360" w:lineRule="auto"/>
        <w:rPr>
          <w:rFonts w:ascii="宋体" w:hAnsi="宋体"/>
          <w:color w:val="auto"/>
          <w:highlight w:val="none"/>
        </w:rPr>
      </w:pPr>
      <w:r>
        <w:rPr>
          <w:rFonts w:hint="eastAsia" w:ascii="宋体" w:hAnsi="宋体"/>
          <w:color w:val="auto"/>
          <w:highlight w:val="none"/>
        </w:rPr>
        <w:t xml:space="preserve">招标文件未列明，而投标人认为必需的费用也需列入报价。</w:t>
      </w:r>
      <w:r/>
    </w:p>
    <w:p>
      <w:pPr>
        <w:ind w:firstLine="420"/>
        <w:spacing w:line="360" w:lineRule="auto"/>
        <w:rPr>
          <w:rFonts w:ascii="宋体" w:hAnsi="宋体"/>
          <w:color w:val="auto"/>
          <w:highlight w:val="none"/>
        </w:rPr>
      </w:pPr>
      <w:r>
        <w:rPr>
          <w:rFonts w:hint="eastAsia" w:ascii="宋体" w:hAnsi="宋体"/>
          <w:color w:val="auto"/>
          <w:highlight w:val="none"/>
        </w:rPr>
        <w:t xml:space="preserve">12.4投标货币</w:t>
      </w:r>
      <w:r/>
    </w:p>
    <w:p>
      <w:pPr>
        <w:ind w:firstLine="420"/>
        <w:spacing w:line="360" w:lineRule="auto"/>
        <w:rPr>
          <w:rFonts w:ascii="宋体" w:hAnsi="宋体"/>
          <w:color w:val="auto"/>
          <w:highlight w:val="none"/>
        </w:rPr>
      </w:pPr>
      <w:r>
        <w:rPr>
          <w:rFonts w:hint="eastAsia" w:ascii="宋体" w:hAnsi="宋体"/>
          <w:color w:val="auto"/>
          <w:highlight w:val="none"/>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13.1投标人需对招标文件中的技术要求与商务要求逐项作出响应或偏离，并说明原因。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13.2投标人可在投标文件中提供认为需要的其他技术文件或说明。</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14.1投标人的服务承诺应按不低于招标文件中商务要求的标准。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15.1投标人应按照招标文件中提供的格式完整、正确填写投标函、开标一览表。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16.1投标有效期为开标之日起六十（60）天。投标有效期比规定短的将被视为非响应性投标而予以拒绝。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auto"/>
          <w:szCs w:val="21"/>
          <w:highlight w:val="none"/>
        </w:rPr>
      </w:pPr>
      <w:r/>
      <w:bookmarkStart w:id="43" w:name="_Toc513029225"/>
      <w:r/>
      <w:bookmarkStart w:id="44" w:name="_Toc20823297"/>
      <w:r/>
      <w:bookmarkStart w:id="45" w:name="_Toc462564084"/>
      <w:r/>
      <w:bookmarkStart w:id="46" w:name="_Toc16938541"/>
      <w:r>
        <w:rPr>
          <w:rFonts w:hint="eastAsia" w:ascii="宋体" w:hAnsi="宋体"/>
          <w:b/>
          <w:color w:val="auto"/>
          <w:szCs w:val="21"/>
          <w:highlight w:val="none"/>
        </w:rPr>
        <w:t xml:space="preserve">17、投标文件</w:t>
      </w:r>
      <w:bookmarkEnd w:id="43"/>
      <w:r/>
      <w:bookmarkEnd w:id="44"/>
      <w:r/>
      <w:bookmarkEnd w:id="45"/>
      <w:r/>
      <w:bookmarkEnd w:id="46"/>
      <w:r>
        <w:rPr>
          <w:rFonts w:hint="eastAsia" w:ascii="宋体" w:hAnsi="宋体"/>
          <w:b/>
          <w:color w:val="auto"/>
          <w:szCs w:val="21"/>
          <w:highlight w:val="none"/>
        </w:rPr>
        <w:t xml:space="preserve">的递交</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17.1电子投标文件的递交投标人应当按照《操作手册》规定，在投标截止时间前制作并上传电子投标文件。</w:t>
      </w:r>
      <w:bookmarkStart w:id="47" w:name="_Toc513029226"/>
      <w:r/>
      <w:bookmarkStart w:id="48" w:name="_Toc20823298"/>
      <w:r/>
      <w:bookmarkStart w:id="49" w:name="_Toc16938542"/>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17.3投标人应对CA证书妥善保管，如被他人盗用投标，因此带来的结果均由投标人自行承担。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18、投标截止日期</w:t>
      </w:r>
      <w:bookmarkEnd w:id="47"/>
      <w:r/>
      <w:bookmarkEnd w:id="48"/>
      <w:r/>
      <w:bookmarkEnd w:id="49"/>
      <w:r/>
      <w:r/>
    </w:p>
    <w:p>
      <w:pPr>
        <w:ind w:firstLine="42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18.1投标人上传电子投标文件的时间不得迟于招标公告中规定的投标截止时间。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auto"/>
          <w:szCs w:val="21"/>
          <w:highlight w:val="none"/>
        </w:rPr>
      </w:pPr>
      <w:r/>
      <w:bookmarkStart w:id="50" w:name="_Toc20823299"/>
      <w:r/>
      <w:bookmarkStart w:id="51" w:name="_Toc513029227"/>
      <w:r/>
      <w:bookmarkStart w:id="52" w:name="_Toc16938543"/>
      <w:r>
        <w:rPr>
          <w:rFonts w:hint="eastAsia" w:ascii="宋体" w:hAnsi="宋体"/>
          <w:b/>
          <w:color w:val="auto"/>
          <w:szCs w:val="21"/>
          <w:highlight w:val="none"/>
        </w:rPr>
        <w:t xml:space="preserve">19、投标文件</w:t>
      </w:r>
      <w:bookmarkEnd w:id="50"/>
      <w:r/>
      <w:bookmarkEnd w:id="51"/>
      <w:r/>
      <w:bookmarkEnd w:id="52"/>
      <w:r>
        <w:rPr>
          <w:rFonts w:hint="eastAsia" w:ascii="宋体" w:hAnsi="宋体"/>
          <w:b/>
          <w:color w:val="auto"/>
          <w:szCs w:val="21"/>
          <w:highlight w:val="none"/>
        </w:rPr>
        <w:t xml:space="preserve">的拒收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360" w:lineRule="auto"/>
        <w:rPr>
          <w:rFonts w:ascii="宋体" w:hAnsi="宋体"/>
          <w:b/>
          <w:color w:val="auto"/>
          <w:szCs w:val="21"/>
          <w:highlight w:val="none"/>
        </w:rPr>
      </w:pPr>
      <w:r/>
      <w:bookmarkStart w:id="53" w:name="_Toc16938544"/>
      <w:r/>
      <w:bookmarkStart w:id="54" w:name="_Toc20823300"/>
      <w:r/>
      <w:bookmarkStart w:id="55" w:name="_Toc513029228"/>
      <w:r>
        <w:rPr>
          <w:rFonts w:hint="eastAsia" w:ascii="宋体" w:hAnsi="宋体"/>
          <w:b/>
          <w:color w:val="auto"/>
          <w:szCs w:val="21"/>
          <w:highlight w:val="none"/>
        </w:rPr>
        <w:t xml:space="preserve">20、投标文件的撤回和修改</w:t>
      </w:r>
      <w:bookmarkEnd w:id="53"/>
      <w:r/>
      <w:bookmarkEnd w:id="54"/>
      <w:r/>
      <w:bookmarkEnd w:id="55"/>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20.1.1电子投标文件的撤回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20.1.2投标人撤回电子投标文件，则认为其不再参与本项目投标活动。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20.2投标文件的修改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20.3在投标截止时间之后，投标人不得对其电子投标文件作任何修改。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20.4在投标截止时间至招标文件中规定的投标有效期满之间的这段时间内，投标人不得撤回其投标。</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21.1代理机构将在招标公告中规定的时间和地点组织公开开标。投标人应当按照《操作手册》规定，参加开标活动和在苏采云系统规定的时间内对投标文件进行解密。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ind w:firstLine="422"/>
        <w:spacing w:line="360" w:lineRule="auto"/>
        <w:rPr>
          <w:rFonts w:ascii="宋体" w:hAnsi="宋体"/>
          <w:bCs/>
          <w:color w:val="auto"/>
          <w:szCs w:val="21"/>
          <w:highlight w:val="none"/>
        </w:rPr>
      </w:pP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21.5投标人如果对开标过程和开标记录有疑义，应当根据《操作手册》规定提出，如苏采云系统中《开标记录表》宣布后5分钟内未提出的，视同认可开标结果。</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22、评标委员会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22.1开标后，代理机构将立即组织评标委员会（以下简称评委会）进行评标。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22.2评委会由采购人代表和有关技术、经济等方面的专家组成，且人员构成符合政府采购有关规定。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22.3评委会独立工作，负责评审所有投标文件并确定中标候选人。</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23.3在评标期间，代理机构将设专门工作人员与投标人联系。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23.4代理机构和评委会不向未中标的投标人解释未中标原因，也不公布评标过程中的相关细节。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24.3接到评委会澄清要求的投标人如未按规定做出澄清，其风险由投标人自行承担。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25.7投标人在开、评标全过程中应保持通讯畅通，并安排专人与代理机构及评委会联系。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26.1.1投标人未成功解密电子投标文件的。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26.1.2投标人未按照招标文件要求上传电子投标文件的。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26.1.9投标文件含有采购人不能接受的附加条件的。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26.1.10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26.1.11本项目采购产品被财政部、国家发改委、生态环境部等列入“节能产品品目清单”、“环境标志产品品目清单”强制采购范围，而投标人所投标产品不在强制采购范围内的。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26.1.12投标文件未按照招标文件要求加盖电子签章。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420"/>
        <w:spacing w:line="360" w:lineRule="auto"/>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26.3投标截止时间结束后参加投标的供应商不足三家的处理：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27.2采购人应根据评委会推荐的中标候选人确定中标人。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28.5代理机构及采购人只接收以纸质原件形式送达的质疑。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28.8以下情形的质疑不予受理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28.8.1内容不符合《政府采购质疑和投诉办法》第十二条规定的质疑。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28.8.2超出政府采购法定期限的质疑。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28.8.3以传真、电子邮件等方式递交的非原件形式的质疑。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28.8.4未参加投标活动的供应商或在投标活动中自身权益未受到损害的供应商所提出的质疑。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29.l中标结果确定后，代理机构将向中标人发出中标通知书。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29.2中标人可在“政府采购管理交易系统（苏采云）”中标通知书下载模块中自行下载中标通知书。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30、签订合同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30.2招标文件、中标人的投标文件及招标过程中有关澄清、承诺文件均应作为合同附件。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30.3合同在“政府采购管理交易系统（苏采云）”中签订，签订合同后，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31、其他</w:t>
      </w:r>
      <w:r/>
    </w:p>
    <w:p>
      <w:pPr>
        <w:ind w:firstLine="420"/>
        <w:spacing w:line="360" w:lineRule="auto"/>
        <w:rPr>
          <w:rFonts w:ascii="宋体" w:hAnsi="宋体" w:cs="宋体"/>
          <w:bCs/>
          <w:color w:val="auto"/>
          <w:szCs w:val="21"/>
          <w:highlight w:val="none"/>
        </w:rPr>
      </w:pPr>
      <w:r>
        <w:rPr>
          <w:rFonts w:hint="eastAsia" w:ascii="宋体" w:hAnsi="宋体" w:cs="宋体"/>
          <w:color w:val="auto"/>
          <w:highlight w:val="none"/>
        </w:rPr>
        <w:t xml:space="preserve">31.1依据《政府采购促进中小企业发展管理办法》享受享受扶持政策获得政府采购合同的，小微企业不得将合同分包给大中型企业，中型企业不得将合同分包给大型企业。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br w:type="page" w:clear="all"/>
      </w:r>
      <w:r/>
    </w:p>
    <w:p>
      <w:pPr>
        <w:pStyle w:val="847"/>
        <w:jc w:val="center"/>
        <w:rPr>
          <w:rFonts w:ascii="宋体" w:hAnsi="宋体"/>
          <w:color w:val="auto"/>
          <w:szCs w:val="36"/>
          <w:highlight w:val="none"/>
        </w:rPr>
      </w:pPr>
      <w:r/>
      <w:bookmarkStart w:id="56" w:name="_Toc55204179"/>
      <w:r/>
      <w:bookmarkStart w:id="57" w:name="_Hlk69392822"/>
      <w:r>
        <w:rPr>
          <w:rFonts w:hint="eastAsia" w:ascii="宋体" w:hAnsi="宋体"/>
          <w:color w:val="auto"/>
          <w:szCs w:val="36"/>
          <w:highlight w:val="none"/>
        </w:rPr>
        <w:t xml:space="preserve">第三章 合同条款及格式</w:t>
      </w:r>
      <w:bookmarkEnd w:id="56"/>
      <w:r/>
      <w:r/>
    </w:p>
    <w:p>
      <w:pPr>
        <w:pStyle w:val="856"/>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856"/>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扬州市政府采购合同（服务)（合同编号）</w:t>
      </w:r>
      <w:r/>
    </w:p>
    <w:p>
      <w:pPr>
        <w:pStyle w:val="856"/>
        <w:ind w:firstLine="420"/>
        <w:spacing w:before="120" w:after="120" w:line="360" w:lineRule="auto"/>
        <w:rPr>
          <w:rFonts w:hAnsi="宋体"/>
          <w:color w:val="auto"/>
          <w:sz w:val="21"/>
          <w:highlight w:val="none"/>
        </w:rPr>
      </w:pPr>
      <w:r>
        <w:rPr>
          <w:rFonts w:hint="eastAsia" w:hAnsi="宋体"/>
          <w:color w:val="auto"/>
          <w:sz w:val="21"/>
          <w:highlight w:val="none"/>
        </w:rPr>
        <w:t xml:space="preserve">项目名称：2026年度扬州市普通国省道路网监测设施日常维护项目</w:t>
      </w:r>
      <w:r/>
    </w:p>
    <w:p>
      <w:pPr>
        <w:pStyle w:val="856"/>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项目编号：</w:t>
      </w:r>
      <w:r>
        <w:rPr>
          <w:rFonts w:hint="eastAsia" w:hAnsi="宋体"/>
          <w:color w:val="auto"/>
          <w:sz w:val="21"/>
          <w:highlight w:val="none"/>
          <w:lang w:eastAsia="zh-CN"/>
        </w:rPr>
        <w:t xml:space="preserve">JSZC-321000-YZCC-G2026-0001</w:t>
      </w:r>
      <w:r/>
    </w:p>
    <w:p>
      <w:pPr>
        <w:pStyle w:val="856"/>
        <w:ind w:firstLine="420"/>
        <w:spacing w:before="120" w:after="120" w:line="360" w:lineRule="auto"/>
        <w:rPr>
          <w:rFonts w:hAnsi="宋体"/>
          <w:color w:val="auto"/>
          <w:sz w:val="21"/>
          <w:highlight w:val="none"/>
        </w:rPr>
      </w:pPr>
      <w:r>
        <w:rPr>
          <w:rFonts w:hint="eastAsia" w:hAnsi="宋体"/>
          <w:color w:val="auto"/>
          <w:sz w:val="21"/>
          <w:highlight w:val="none"/>
        </w:rPr>
        <w:t xml:space="preserve">甲方：（买方）扬州市公路事业发展中心</w:t>
      </w:r>
      <w:r/>
    </w:p>
    <w:p>
      <w:pPr>
        <w:pStyle w:val="856"/>
        <w:ind w:firstLine="420"/>
        <w:spacing w:before="120" w:after="120" w:line="360" w:lineRule="auto"/>
        <w:rPr>
          <w:rFonts w:hAnsi="宋体"/>
          <w:color w:val="auto"/>
          <w:sz w:val="21"/>
          <w:highlight w:val="none"/>
        </w:rPr>
      </w:pPr>
      <w:r>
        <w:rPr>
          <w:rFonts w:hint="eastAsia" w:hAnsi="宋体"/>
          <w:color w:val="auto"/>
          <w:sz w:val="21"/>
          <w:highlight w:val="none"/>
        </w:rPr>
        <w:t xml:space="preserve">乙方：（卖方）_________</w:t>
      </w:r>
      <w:r/>
    </w:p>
    <w:p>
      <w:pPr>
        <w:pStyle w:val="856"/>
        <w:ind w:firstLine="420"/>
        <w:spacing w:before="120" w:after="120" w:line="360" w:lineRule="auto"/>
        <w:rPr>
          <w:rFonts w:hAnsi="宋体"/>
          <w:color w:val="auto"/>
          <w:sz w:val="21"/>
          <w:highlight w:val="none"/>
        </w:rPr>
      </w:pPr>
      <w:r>
        <w:rPr>
          <w:rFonts w:hint="eastAsia" w:hAnsi="宋体"/>
          <w:color w:val="auto"/>
          <w:sz w:val="21"/>
          <w:highlight w:val="none"/>
        </w:rPr>
        <w:t xml:space="preserve">甲、乙双方根据江苏辰诚工程咨询有限公司</w:t>
      </w:r>
      <w:r>
        <w:rPr>
          <w:rFonts w:hint="eastAsia" w:hAnsi="宋体"/>
          <w:color w:val="auto"/>
          <w:sz w:val="21"/>
          <w:highlight w:val="none"/>
          <w:u w:val="single"/>
        </w:rPr>
        <w:t xml:space="preserve"> 2026年度扬州市普通国省道路网监测设施日常维护项目 </w:t>
      </w:r>
      <w:r>
        <w:rPr>
          <w:rFonts w:hint="eastAsia" w:hAnsi="宋体"/>
          <w:color w:val="auto"/>
          <w:sz w:val="21"/>
          <w:highlight w:val="none"/>
        </w:rPr>
        <w:t xml:space="preserve">项目公开招标的结果，签署本合同。</w:t>
      </w:r>
      <w:r/>
    </w:p>
    <w:p>
      <w:pPr>
        <w:pStyle w:val="856"/>
        <w:ind w:firstLine="422"/>
        <w:spacing w:line="360" w:lineRule="auto"/>
        <w:rPr>
          <w:rFonts w:hAnsi="宋体"/>
          <w:b/>
          <w:bCs/>
          <w:color w:val="auto"/>
          <w:sz w:val="21"/>
          <w:highlight w:val="none"/>
        </w:rPr>
      </w:pPr>
      <w:r>
        <w:rPr>
          <w:rFonts w:hint="eastAsia" w:hAnsi="宋体"/>
          <w:b/>
          <w:bCs/>
          <w:color w:val="auto"/>
          <w:sz w:val="21"/>
          <w:highlight w:val="none"/>
        </w:rPr>
        <w:t xml:space="preserve">一、服务及产品名称</w:t>
      </w:r>
      <w:r/>
    </w:p>
    <w:p>
      <w:pPr>
        <w:pStyle w:val="856"/>
        <w:ind w:firstLine="420"/>
        <w:spacing w:line="360" w:lineRule="auto"/>
        <w:rPr>
          <w:rFonts w:hAnsi="宋体"/>
          <w:color w:val="auto"/>
          <w:sz w:val="21"/>
          <w:highlight w:val="none"/>
        </w:rPr>
      </w:pPr>
      <w:r>
        <w:rPr>
          <w:rFonts w:hint="eastAsia" w:hAnsi="宋体"/>
          <w:color w:val="auto"/>
          <w:sz w:val="21"/>
          <w:highlight w:val="none"/>
        </w:rPr>
        <w:t xml:space="preserve">1.1项目（产品）名称：</w:t>
      </w:r>
      <w:r>
        <w:rPr>
          <w:rFonts w:hint="eastAsia" w:hAnsi="宋体"/>
          <w:color w:val="auto"/>
          <w:sz w:val="21"/>
          <w:highlight w:val="none"/>
          <w:u w:val="single"/>
        </w:rPr>
        <w:t xml:space="preserve">2026年度扬州市普通国省道路网监测设施日常维护项目</w:t>
      </w:r>
      <w:r/>
    </w:p>
    <w:p>
      <w:pPr>
        <w:pStyle w:val="856"/>
        <w:ind w:firstLine="422"/>
        <w:spacing w:line="360" w:lineRule="auto"/>
        <w:rPr>
          <w:rFonts w:hAnsi="宋体"/>
          <w:b/>
          <w:bCs/>
          <w:color w:val="auto"/>
          <w:sz w:val="21"/>
          <w:highlight w:val="none"/>
        </w:rPr>
      </w:pPr>
      <w:r>
        <w:rPr>
          <w:rFonts w:hint="eastAsia" w:hAnsi="宋体"/>
          <w:b/>
          <w:bCs/>
          <w:color w:val="auto"/>
          <w:sz w:val="21"/>
          <w:highlight w:val="none"/>
        </w:rPr>
        <w:t xml:space="preserve">二、合同金额</w:t>
      </w:r>
      <w:r/>
    </w:p>
    <w:p>
      <w:pPr>
        <w:pStyle w:val="856"/>
        <w:ind w:firstLine="420"/>
        <w:spacing w:line="360" w:lineRule="auto"/>
        <w:rPr>
          <w:rFonts w:hAnsi="宋体"/>
          <w:color w:val="auto"/>
          <w:sz w:val="21"/>
          <w:highlight w:val="none"/>
        </w:rPr>
      </w:pPr>
      <w:r>
        <w:rPr>
          <w:rFonts w:hint="eastAsia" w:hAnsi="宋体"/>
          <w:color w:val="auto"/>
          <w:sz w:val="21"/>
          <w:highlight w:val="none"/>
        </w:rPr>
        <w:t xml:space="preserve">2.1本合同金额为（大写）：____________元整（</w:t>
      </w:r>
      <w:r>
        <w:rPr>
          <w:rFonts w:hint="eastAsia" w:hAnsi="宋体"/>
          <w:color w:val="auto"/>
          <w:sz w:val="21"/>
          <w:highlight w:val="none"/>
          <w:u w:val="single"/>
        </w:rPr>
        <w:t xml:space="preserve">￥</w:t>
      </w:r>
      <w:r>
        <w:rPr>
          <w:rFonts w:hint="eastAsia" w:hAnsi="宋体"/>
          <w:color w:val="auto"/>
          <w:sz w:val="21"/>
          <w:highlight w:val="none"/>
          <w:u w:val="single"/>
          <w:lang w:val="en-US" w:eastAsia="zh-CN"/>
        </w:rPr>
        <w:t xml:space="preserve">           </w:t>
      </w:r>
      <w:r>
        <w:rPr>
          <w:rFonts w:hint="eastAsia" w:hAnsi="宋体"/>
          <w:color w:val="auto"/>
          <w:sz w:val="21"/>
          <w:highlight w:val="none"/>
        </w:rPr>
        <w:t xml:space="preserve">元）人民币。</w:t>
      </w:r>
      <w:r/>
    </w:p>
    <w:p>
      <w:pPr>
        <w:pStyle w:val="856"/>
        <w:ind w:firstLine="422"/>
        <w:spacing w:line="360" w:lineRule="auto"/>
        <w:rPr>
          <w:rFonts w:hAnsi="宋体"/>
          <w:b/>
          <w:bCs/>
          <w:color w:val="auto"/>
          <w:sz w:val="21"/>
          <w:highlight w:val="none"/>
        </w:rPr>
      </w:pPr>
      <w:r>
        <w:rPr>
          <w:rFonts w:hint="eastAsia" w:hAnsi="宋体"/>
          <w:b/>
          <w:bCs/>
          <w:color w:val="auto"/>
          <w:sz w:val="21"/>
          <w:highlight w:val="none"/>
        </w:rPr>
        <w:t xml:space="preserve">三、技术资料</w:t>
      </w:r>
      <w:r/>
    </w:p>
    <w:p>
      <w:pPr>
        <w:pStyle w:val="856"/>
        <w:ind w:firstLine="420"/>
        <w:spacing w:line="360" w:lineRule="auto"/>
        <w:rPr>
          <w:rFonts w:hAnsi="宋体"/>
          <w:color w:val="auto"/>
          <w:sz w:val="21"/>
          <w:highlight w:val="none"/>
        </w:rPr>
      </w:pPr>
      <w:r>
        <w:rPr>
          <w:rFonts w:hint="eastAsia" w:hAnsi="宋体"/>
          <w:color w:val="auto"/>
          <w:sz w:val="21"/>
          <w:highlight w:val="none"/>
        </w:rPr>
        <w:t xml:space="preserve">3.1乙方应按采购文件规定的时间向甲方提供使用服务或产品的有关技术资料。</w:t>
      </w:r>
      <w:r/>
    </w:p>
    <w:p>
      <w:pPr>
        <w:pStyle w:val="856"/>
        <w:ind w:firstLine="420"/>
        <w:spacing w:line="360" w:lineRule="auto"/>
        <w:rPr>
          <w:rFonts w:hAnsi="宋体"/>
          <w:color w:val="auto"/>
          <w:sz w:val="21"/>
          <w:highlight w:val="none"/>
        </w:rPr>
      </w:pPr>
      <w:r>
        <w:rPr>
          <w:rFonts w:hint="eastAsia" w:hAnsi="宋体"/>
          <w:color w:val="auto"/>
          <w:sz w:val="21"/>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6"/>
        <w:ind w:firstLine="422"/>
        <w:spacing w:line="360" w:lineRule="auto"/>
        <w:rPr>
          <w:rFonts w:hAnsi="宋体"/>
          <w:b/>
          <w:bCs/>
          <w:color w:val="auto"/>
          <w:sz w:val="21"/>
          <w:highlight w:val="none"/>
        </w:rPr>
      </w:pPr>
      <w:r>
        <w:rPr>
          <w:rFonts w:hint="eastAsia" w:hAnsi="宋体"/>
          <w:b/>
          <w:bCs/>
          <w:color w:val="auto"/>
          <w:sz w:val="21"/>
          <w:highlight w:val="none"/>
        </w:rPr>
        <w:t xml:space="preserve">四、知识产权</w:t>
      </w:r>
      <w:r/>
    </w:p>
    <w:p>
      <w:pPr>
        <w:pStyle w:val="856"/>
        <w:ind w:firstLine="420"/>
        <w:spacing w:line="360" w:lineRule="auto"/>
        <w:rPr>
          <w:rFonts w:hAnsi="宋体"/>
          <w:color w:val="auto"/>
          <w:sz w:val="21"/>
          <w:highlight w:val="none"/>
        </w:rPr>
      </w:pPr>
      <w:r>
        <w:rPr>
          <w:rFonts w:hint="eastAsia" w:hAnsi="宋体"/>
          <w:color w:val="auto"/>
          <w:sz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875"/>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五、产权担保</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5.1乙方保证所交付的服务或产品的所有权完全属于乙方且无任何抵押、查封等产权瑕疵。</w:t>
      </w:r>
      <w:r/>
    </w:p>
    <w:p>
      <w:pPr>
        <w:pStyle w:val="875"/>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六、履约保证金</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6.1收取履约保证金的，允许成交人自主选择支票、汇票、本票、保函等非现金形式缴纳或提交，应当在采购合同中约定履约保证金退还的方式、时间、条件和不予退还的情形，明确逾期退还履约保证金的违约责任。</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6.3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6.4履约保证金收取：无</w:t>
      </w:r>
      <w:r/>
    </w:p>
    <w:p>
      <w:pPr>
        <w:pStyle w:val="875"/>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七、转包或分包</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7.1本合同范围的服务或产品，应由乙方直接供应，不得转让他人供应；</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7.2除非得到甲方的书面同意，乙方不得部分分包给他人供应。</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7.3如有转让和未经甲方同意的分包行为，甲方有权给予终止合同。</w:t>
      </w:r>
      <w:r/>
    </w:p>
    <w:p>
      <w:pPr>
        <w:pStyle w:val="877"/>
        <w:ind w:firstLine="422"/>
        <w:spacing w:line="360" w:lineRule="auto"/>
        <w:rPr>
          <w:rFonts w:hAnsi="宋体"/>
          <w:b/>
          <w:bCs/>
          <w:color w:val="auto"/>
          <w:sz w:val="21"/>
          <w:highlight w:val="none"/>
        </w:rPr>
      </w:pPr>
      <w:r>
        <w:rPr>
          <w:rFonts w:hAnsi="宋体"/>
          <w:b/>
          <w:bCs/>
          <w:color w:val="auto"/>
          <w:sz w:val="21"/>
          <w:highlight w:val="none"/>
        </w:rPr>
        <w:t xml:space="preserve">8、</w:t>
      </w:r>
      <w:r>
        <w:rPr>
          <w:rFonts w:hint="eastAsia" w:hAnsi="宋体"/>
          <w:b/>
          <w:bCs/>
          <w:color w:val="auto"/>
          <w:sz w:val="21"/>
          <w:highlight w:val="none"/>
        </w:rPr>
        <w:t xml:space="preserve">服务</w:t>
      </w:r>
      <w:r>
        <w:rPr>
          <w:rFonts w:hAnsi="宋体"/>
          <w:b/>
          <w:bCs/>
          <w:color w:val="auto"/>
          <w:sz w:val="21"/>
          <w:highlight w:val="none"/>
        </w:rPr>
        <w:t xml:space="preserve">期</w:t>
      </w:r>
      <w:r/>
    </w:p>
    <w:p>
      <w:pPr>
        <w:pStyle w:val="877"/>
        <w:ind w:firstLine="420"/>
        <w:spacing w:line="360" w:lineRule="auto"/>
        <w:rPr>
          <w:rFonts w:hAnsi="宋体"/>
          <w:color w:val="auto"/>
          <w:sz w:val="21"/>
          <w:highlight w:val="none"/>
        </w:rPr>
      </w:pPr>
      <w:r>
        <w:rPr>
          <w:rFonts w:hAnsi="宋体"/>
          <w:color w:val="auto"/>
          <w:sz w:val="21"/>
          <w:highlight w:val="none"/>
        </w:rPr>
        <w:t xml:space="preserve">8.1</w:t>
      </w:r>
      <w:r>
        <w:rPr>
          <w:rFonts w:hint="eastAsia" w:hAnsi="宋体"/>
          <w:color w:val="auto"/>
          <w:sz w:val="21"/>
          <w:highlight w:val="none"/>
        </w:rPr>
        <w:t xml:space="preserve">服务</w:t>
      </w:r>
      <w:r>
        <w:rPr>
          <w:rFonts w:hAnsi="宋体"/>
          <w:color w:val="auto"/>
          <w:sz w:val="21"/>
          <w:highlight w:val="none"/>
        </w:rPr>
        <w:t xml:space="preserve">期</w:t>
      </w:r>
      <w:r>
        <w:rPr>
          <w:rFonts w:hint="eastAsia" w:hAnsi="宋体"/>
          <w:color w:val="auto"/>
          <w:sz w:val="21"/>
          <w:highlight w:val="none"/>
          <w:u w:val="single"/>
          <w:lang w:val="en-US" w:eastAsia="zh-CN"/>
        </w:rPr>
        <w:t xml:space="preserve"> </w:t>
      </w:r>
      <w:r>
        <w:rPr>
          <w:rFonts w:hint="eastAsia" w:hAnsi="宋体"/>
          <w:color w:val="auto"/>
          <w:sz w:val="21"/>
          <w:highlight w:val="none"/>
          <w:u w:val="single"/>
        </w:rPr>
        <w:t xml:space="preserve">壹</w:t>
      </w:r>
      <w:r>
        <w:rPr>
          <w:rFonts w:hint="eastAsia" w:hAnsi="宋体"/>
          <w:color w:val="auto"/>
          <w:sz w:val="21"/>
          <w:highlight w:val="none"/>
          <w:u w:val="single"/>
          <w:lang w:val="en-US" w:eastAsia="zh-CN"/>
        </w:rPr>
        <w:t xml:space="preserve"> </w:t>
      </w:r>
      <w:r>
        <w:rPr>
          <w:rFonts w:hAnsi="宋体"/>
          <w:color w:val="auto"/>
          <w:sz w:val="21"/>
          <w:highlight w:val="none"/>
        </w:rPr>
        <w:t xml:space="preserve">年。</w:t>
      </w:r>
      <w:r/>
    </w:p>
    <w:p>
      <w:pPr>
        <w:pStyle w:val="875"/>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九、交付期、交付方式及交付地点</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9.1交付期：_________</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9.2交付方式：_________</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9.3交付地点：_________</w:t>
      </w:r>
      <w:r/>
    </w:p>
    <w:p>
      <w:pPr>
        <w:pStyle w:val="875"/>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十、支付方式</w:t>
      </w:r>
      <w:r/>
    </w:p>
    <w:p>
      <w:pPr>
        <w:pStyle w:val="87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10.1本合同项下所有款项均以人民币支付。</w:t>
      </w:r>
      <w:r/>
    </w:p>
    <w:p>
      <w:pPr>
        <w:pStyle w:val="87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10.2本合同项下的采购资金由甲方支付，付款前乙方向甲方开具发票。</w:t>
      </w:r>
      <w:r/>
    </w:p>
    <w:p>
      <w:pPr>
        <w:pStyle w:val="878"/>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10.3甲方付款方式：</w:t>
      </w:r>
      <w:r/>
    </w:p>
    <w:p>
      <w:pPr>
        <w:pStyle w:val="878"/>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合同签订后1个月内，甲方自收到乙方提供的发票之日起10个工作日内支付至合同总价的30%；实施半年后，甲方进行合同付款履约</w:t>
      </w:r>
      <w:r>
        <w:rPr>
          <w:rFonts w:hint="eastAsia" w:ascii="宋体" w:hAnsi="宋体" w:cs="宋体"/>
          <w:color w:val="auto"/>
          <w:sz w:val="21"/>
          <w:szCs w:val="21"/>
          <w:highlight w:val="none"/>
          <w:lang w:eastAsia="zh-CN"/>
        </w:rPr>
        <w:t xml:space="preserve">考核</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根据考核结果，</w:t>
      </w:r>
      <w:r>
        <w:rPr>
          <w:rFonts w:hint="eastAsia" w:ascii="宋体" w:hAnsi="宋体" w:cs="宋体"/>
          <w:color w:val="auto"/>
          <w:sz w:val="21"/>
          <w:szCs w:val="21"/>
          <w:highlight w:val="none"/>
        </w:rPr>
        <w:t xml:space="preserve">甲方自收到乙方提供的发票之日起10个工作日内支付至合同总价的60%；项目实施结束，甲方进行合同付款履约</w:t>
      </w:r>
      <w:r>
        <w:rPr>
          <w:rFonts w:hint="eastAsia" w:ascii="宋体" w:hAnsi="宋体" w:cs="宋体"/>
          <w:color w:val="auto"/>
          <w:sz w:val="21"/>
          <w:szCs w:val="21"/>
          <w:highlight w:val="none"/>
          <w:lang w:eastAsia="zh-CN"/>
        </w:rPr>
        <w:t xml:space="preserve">考核</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根据考核结果，</w:t>
      </w:r>
      <w:r>
        <w:rPr>
          <w:rFonts w:hint="eastAsia" w:ascii="宋体" w:hAnsi="宋体" w:cs="宋体"/>
          <w:color w:val="auto"/>
          <w:sz w:val="21"/>
          <w:szCs w:val="21"/>
          <w:highlight w:val="none"/>
        </w:rPr>
        <w:t xml:space="preserve">甲方自收到乙方提供的发票之日起10个工作日内支付完合同剩余费用。</w:t>
      </w:r>
      <w:r/>
    </w:p>
    <w:p>
      <w:pPr>
        <w:pStyle w:val="875"/>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十一、税费</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11.1本合同执行中相关的一切税费均由乙方负担。</w:t>
      </w:r>
      <w:r/>
    </w:p>
    <w:p>
      <w:pPr>
        <w:pStyle w:val="875"/>
        <w:numPr>
          <w:ilvl w:val="0"/>
          <w:numId w:val="1"/>
        </w:numPr>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双方的权利和义备</w:t>
      </w:r>
      <w:r/>
    </w:p>
    <w:p>
      <w:pPr>
        <w:pStyle w:val="875"/>
        <w:ind w:firstLine="376"/>
        <w:spacing w:line="360" w:lineRule="auto"/>
        <w:rPr>
          <w:rFonts w:hAnsi="宋体" w:cs="宋体"/>
          <w:b/>
          <w:bCs/>
          <w:color w:val="auto"/>
          <w:sz w:val="21"/>
          <w:highlight w:val="none"/>
        </w:rPr>
      </w:pPr>
      <w:r>
        <w:rPr>
          <w:rFonts w:hint="eastAsia" w:hAnsi="宋体" w:cs="宋体"/>
          <w:color w:val="auto"/>
          <w:spacing w:val="-6"/>
          <w:highlight w:val="none"/>
        </w:rPr>
        <w:t xml:space="preserve">12.1</w:t>
      </w:r>
      <w:r>
        <w:rPr>
          <w:rFonts w:hAnsi="宋体" w:cs="宋体"/>
          <w:color w:val="auto"/>
          <w:spacing w:val="-6"/>
          <w:highlight w:val="none"/>
        </w:rPr>
        <w:t xml:space="preserve">甲方权利与义务：</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12.1.1配合乙方做好工程实施、运行维护相关协调工作。</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12.1.2按合同要求对承包人的工作情况进行检查考核。乙方严重违约的，甲方有权解除合同，由乙方承担相关损失。</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12.1.3按照合同及时支付费用。</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12.1.4若因原设备供应商维护服务质量差、违约等导致监测设施维护受到较大影响，甲方有权指令乙方更换设备供应商，乙方保证更换期间正常传输运行。</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12.1.5由于甲方原因引起的本地终端物理位置变更、需要进行网络线路调整时，甲方应提前10天通知乙方。网络线路调整涉及的具体事宜，由甲乙双方的承办机构协商确定。</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12.1.6由于甲方业务需要进行网络扩容，新建大容量的传输通道时，甲方应向乙方提供网络扩容调整计划。乙方需根据实际情况与甲方进行协商，采取相应措施，以及时满足甲方需要。</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12.1.7甲方在项目实施过程中，应定期将使用情况和除保密数据以外的相关数据同乙方交流，以保证业务的开展和使用的顺畅。</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12.1.8甲方对乙方实施传输通道线路接入提供必要的配合和支持，应无偿提供安装相关设备所需的机房环境、电源和空调。</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12.1.9甲方不得将线路用于传输各类违法信息，否则乙方有权终止合同并要求甲方承担违约责任。</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12.1.10甲方保证遵守国家有关法律、法规，不传播非法内容或泄露国家机密，不允许操作国家及工业信息化部不允许的业务等，否则，甲方将承担其行为所引发的一切责任。</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12.1.11甲方如果改变业务的用途，需要提前通知乙方并重新签署业务合作合同。如发现甲方擅自改变业务的用途或者业务设置，违反国家及工业信息化部的相关规定，乙方有权立即暂停甲方的数据专线 业务，甲方有义务立即整改并配合乙方及相关部门追查出现问题的原因和责任人。甲方如不整改，乙方有权提前终止合同，并要求甲方承担违约责任。</w:t>
      </w:r>
      <w:r/>
    </w:p>
    <w:p>
      <w:pPr>
        <w:ind w:firstLine="396"/>
        <w:spacing w:line="360" w:lineRule="auto"/>
        <w:rPr>
          <w:rFonts w:ascii="宋体" w:hAnsi="宋体" w:cs="宋体"/>
          <w:color w:val="auto"/>
          <w:highlight w:val="none"/>
        </w:rPr>
      </w:pPr>
      <w:r>
        <w:rPr>
          <w:rFonts w:hint="eastAsia" w:ascii="宋体" w:hAnsi="宋体" w:cs="宋体"/>
          <w:color w:val="auto"/>
          <w:spacing w:val="-6"/>
          <w:highlight w:val="none"/>
        </w:rPr>
        <w:t xml:space="preserve">12.2</w:t>
      </w:r>
      <w:r>
        <w:rPr>
          <w:rFonts w:ascii="宋体" w:hAnsi="宋体" w:cs="宋体"/>
          <w:color w:val="auto"/>
          <w:spacing w:val="-6"/>
          <w:highlight w:val="none"/>
        </w:rPr>
        <w:t xml:space="preserve">乙方权利与义务：</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12.2.1乙方应承诺成交后在扬州设立专门维护机构，配备3名及以上有实际运维经验人员，配备车辆，以便及时响应维修保障服务。乙方须投入投标时承诺的维护人员、维护设备材料、备品备件，乙方如有人员变动应提前申请甲方同意。专业维修维护人员如遇休假等情况不能正常进行维修维护服务时，乙方须经甲方同意后安排其他人员进行专业维修维护工作。乙方须提供投标时承诺成交后提供的技术授权等相关资料。乙方应每天监测所有委托维护设备工作情况，出现问题后应及时修复，同时向甲方报备。</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12.2.2为保障维护不断档，点位原网络运营商、原设备供应商等原则上不作更换，若需更换，需经乙方书面提出申请，报甲方同意后，实施更换，乙方须保证更换期间正常传输运行。乙方须加强网络设备服务等管理，完善技术支持与服务约定，否则，产生的不良后果由乙方自行承担。若因原网络运营商、原设备供应商维护服务质量差、违约等导致监测设施维护受到较大影响，乙方有权书面提出申请，报甲方同意后，实施更换，乙方须保证更换期间正常传输运行。</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12.2.3负责定期组织对有关人员的技术培训。按照甲方通知，组织一次全市路网相关人员培训，相关会务费、食宿费等费用纳入合同总价，不单独支付与计量。</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12.2.4采取必要的安全防护措施并对维护人员进行安全生产教育和管理；健全组织制度，指定主要负责人负责安全工作，确保维护人员和车辆、设备的安全。产生不良后果均由乙方承担。</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12.2.5作业人员须穿着统一的安全标志服在作业封闭区内作业，严禁随意穿越车道。乙方在维护过程中发生的任何交通、生产事故造成财产损失或人员伤亡的，以及与其他第三方发生的任何纠纷或事故，甲方概不承担任何责任和费用。乙方应在整个维护期间对其为本合同工作的乙方人员投保意外伤害险；乙方还应为其为完成本合同的设备、车辆购买财产保险，其投保金额应足以现场重置。办理保险的一切费用均由乙方承担，并已包括在本合同总额价中，甲方不单独支付。</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12.2.6乙方上路作业应按规定办理相关手续，遵守公路的有关规定，服从公安、路政等部门的管理，自觉保护维护公路路产；遵守地方政府和有关部门对施工场地交通、环保和施工噪音等管理规定（《省交通运输厅关于招标文件贯彻落实扬尘污染防治</w:t>
      </w:r>
      <w:r>
        <w:rPr>
          <w:rFonts w:hint="eastAsia" w:hAnsi="宋体" w:cs="宋体"/>
          <w:color w:val="auto"/>
          <w:sz w:val="21"/>
          <w:highlight w:val="none"/>
        </w:rPr>
        <w:t xml:space="preserve">有关法律法规规定的指导意见》（苏交建〔2018〕17号文）、《省交通综合执法局关于印发江苏省公路水运工程施工扬尘污染防治指导手册的通知》（苏交执法发〔2021〕48号）、《扬州市扬尘污染防治条例》第3号、市交通运输局关于印发《扬州市公路水运工程扬尘污染防治实施意见的通知》（扬交技〔2022〕5号）、《关于在公路水运工程施工期落实污染防治工作有关要求的函》苏交建便函〔2023〕71号、《关于开展全市交通工程施工期污染防治集中整治行动的通知》扬交技〔2023〕13号）的要求，否则将承担由此造成的有权部门的处罚。</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12.2.7本维护项目禁止转包或违法分包。</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12.2.8经甲方认定不在合同约定范围内引起的故障，期间产生的数据中断时间不计入乙方考核范围。</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12.2.9维护合同结束前，乙方提供系统完整的自检报告（包括且不限于设备数据质量、运行情况、立柱、机箱、基础、线缆、安全评价、维护工作评价及建议等），甲方按照合同相关维护要求进行检查，并纳入考核。乙方须按要求整改。</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12.2.10乙方应当依据《转发省人力资源和社会保障厅等六部门关于铁路公路水运水利能源机场工程建设项目参加工伤保险通知的通知》（扬交建(2018)12号）、《江苏省工伤保险费率管理办法》的通知（苏人社规〔2020〕1号）、《关于印发&lt;</w:t>
      </w:r>
      <w:r>
        <w:rPr>
          <w:rFonts w:hint="eastAsia" w:hAnsi="宋体" w:cs="宋体"/>
          <w:color w:val="auto"/>
          <w:sz w:val="21"/>
          <w:highlight w:val="none"/>
        </w:rPr>
        <w:t xml:space="preserve">江苏省超过法定退休年龄人员和实习生参加工伤保险办法&gt;的通知》（苏人社规〔2020〕6号）、《省人力资源社会保障厅关于确定2025年全省工程建设项目工伤保险费率的通知》（苏人社函〔2025〕1号）规定，项目实施前，以项目为单元参加工伤保险，按合同总造价的2.5‰（如遇政策调整，以人社等部门的最新规定为准），并一次性缴纳到项目所在地的工伤保险经办机构。如果乙方办理不及时，甲方有权直接办理，其费用由甲方直接扣回，乙方还须按合同条款向甲方支付违约金。工程项目工伤保险期限从维护开始之日起至维护结束之日止（合同工期）。</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12.2.11乙方在合同实施期间，应按照国家、江苏省、扬州市及甲方规定，按照节能、环保的原则维护，制定相应的保障措施，因此产生的费用包含在合同总价中，发包不单独计量与支付。</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12.2.12乙方应规范路网监测设施相关平台权限管理、密码管理，规范设备接口、远程监测等。确保路网监测设施网络安全。</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12.2.13乙方负责提供履行本合同项下服务所需的基础网络支持，并确保本合同项下服务的正常进行。</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12.2.14乙方负责提供透明传输通道，承担应用层设备（如：路由器）之前的所有投资（包括光端机、列架等）；有关应用层设备的新增与改造由甲方承担，乙方可配合提供组网建议并协助甲方做好相关工作。乙方向甲方提供的数据专线服务所涉及的传输设备及光缆的产权属于乙方，乙方保证维护段落的正常运行，进行日常维护和保养，同时甲方需配合乙方进行相应的维护工作。</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12.2.15乙方从事设备安装、维护等工作，需由乙方人员携带相关证件及单位证明，与甲方相关部门联系并办理相关手续，甲方应及时提供相关配合。</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12.2.16乙方保证本合同所涉及的传输通道为甲方专用，带宽独享。</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12.2.17乙方根据自身网络的发展状况，需变动本合同项下的服务应用方案、修改通信接口和调度其它通信资源时，应事先书面向甲方提出相应的变动建议，且该变更不应损害甲方的利益。</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12.2.18乙方对外场设施网络线路维护时，必须用专用钥匙打开设备箱门，不得以任何理由暴力开箱门。维护完成后须整理好设备线缆并锁好箱门。如造成设备损坏，乙方不能证明非乙方原因造成的，甲方有权从本合同中扣除甲方的经济损失费。</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12.2.19乙方须对自身的数据专线进行通断监控，发现问题或故障应主动反馈告知甲方。</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12.2.20乙方数据专线接入必须按甲方要求进行安装和理线，保证充足的维护备件。</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12.2.21乙方必需安排专人完成本合同的履约工作，负责处理甲方《扬州市普通公路外场感知设施运维管理平台》故障派单处理。</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12.2.22乙方每月进行合同内通讯线路自检，完成线路故障处理汇总统计，形成报告反馈给甲方。乙方在每期付款发票送达前应向甲方提供本月网络线路的运行状况信息和自检报告。</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12.2.23乙方派员参加甲方组织召开的相关工作会议。</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12.2.24乙方在数据专线租用服务交接时，有义务配合甲方和下一服务期成交方做好数据专线割接工作。</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12.2.25乙方配合甲方处理数据专线接入到甲方设备后出现的各类问题。</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12.2.26乙方指定专人负责监视监控路网监测设施断电（多状态）监测系统，发现异常后及时主动进行处置 处理。断对电（多状态）监测软件进行必要的升级、漏洞修复，以满足甲方的管理使用要求。保证内网离线地图更新工作，负责离线地图内网服务器升级和离线地图后期维护工作，确保平台正常使用。及时更新完善基础数据信息。</w:t>
      </w:r>
      <w:r/>
    </w:p>
    <w:p>
      <w:pPr>
        <w:pStyle w:val="875"/>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十三、交付和验收</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13.1甲方对乙方提交的服务或产品依据招标文件上的技术要求和国家有关质量标准进行现场初步验收，符合招标文件技术要求的，给予签收，初步验收不合格的不予签收。</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13.2乙方交付前应对服务或产品作出全面检查和对验收文件进行整理，并列出清单，作为甲方交付验收和使用的技术条件依据，检验的结果应随服务或产品交甲方。</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13.3对技术复杂的服务或产品，甲方可请国家认可的专业检测机构参与初步验收及最终验收，并由其出具质量检测报告。</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13.4验收时乙方必须在现场，验收完毕后作出验收结果报告；验收费用由甲乙双方协商解决。</w:t>
      </w:r>
      <w:r/>
    </w:p>
    <w:p>
      <w:pPr>
        <w:pStyle w:val="877"/>
        <w:ind w:firstLine="422"/>
        <w:spacing w:line="360" w:lineRule="auto"/>
        <w:rPr>
          <w:b/>
          <w:bCs/>
          <w:color w:val="auto"/>
          <w:sz w:val="21"/>
          <w:szCs w:val="21"/>
          <w:highlight w:val="none"/>
        </w:rPr>
      </w:pPr>
      <w:r>
        <w:rPr>
          <w:rFonts w:hint="eastAsia"/>
          <w:b/>
          <w:bCs/>
          <w:color w:val="auto"/>
          <w:sz w:val="21"/>
          <w:szCs w:val="21"/>
          <w:highlight w:val="none"/>
        </w:rPr>
        <w:t xml:space="preserve">十四、服务</w:t>
      </w:r>
      <w:r/>
    </w:p>
    <w:p>
      <w:pPr>
        <w:pStyle w:val="877"/>
        <w:ind w:firstLine="420"/>
        <w:spacing w:line="360" w:lineRule="auto"/>
        <w:rPr>
          <w:color w:val="auto"/>
          <w:sz w:val="21"/>
          <w:szCs w:val="21"/>
          <w:highlight w:val="none"/>
        </w:rPr>
      </w:pPr>
      <w:r>
        <w:rPr>
          <w:rFonts w:hint="eastAsia"/>
          <w:color w:val="auto"/>
          <w:sz w:val="21"/>
          <w:szCs w:val="21"/>
          <w:highlight w:val="none"/>
        </w:rPr>
        <w:t xml:space="preserve">14.1服务在交付甲方前发生的风险均由乙方负责。</w:t>
      </w:r>
      <w:r/>
    </w:p>
    <w:p>
      <w:pPr>
        <w:pStyle w:val="875"/>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十五、违约责任</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15.1甲方无正当理由拒收服务或产品的，甲方向乙方偿付拒收款项总值的百分之五违约金。</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15.2甲方无故逾期验收和办理款项支付手续的,甲方应按逾期付款总额每日万分之五向乙方支付违约金。</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15.3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15.4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875"/>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十六、不可抗力事件处理</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16.1在合同有效期内，任何一方因不可抗力事件导致不能履行合同，则合同履行期可延长，其延长期与不可抗力影响期相同。</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16.2不可抗力事件发生后，应立即通知对方，并寄送有关权威机构出具的证明。</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16.3不可抗力事件延续120天以上，双方应通过友好协商，确定是否继续履行合同。</w:t>
      </w:r>
      <w:r/>
    </w:p>
    <w:p>
      <w:pPr>
        <w:pStyle w:val="875"/>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十七、诉讼</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17.1双方在执行合同中所发生的一切争议，应通过协商解决。如协商不成，可向合同签订地法院起诉，合同签订地在此约定为扬州市。</w:t>
      </w:r>
      <w:r/>
    </w:p>
    <w:p>
      <w:pPr>
        <w:pStyle w:val="876"/>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十八、</w:t>
      </w:r>
      <w:r>
        <w:rPr>
          <w:rFonts w:hint="eastAsia" w:ascii="宋体" w:hAnsi="宋体" w:cs="宋体"/>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875"/>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十九、合同生效及其它</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19.1合同经双方法定代表人签章并加盖单位公章后生效。</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19.2本合同未尽事宜，遵照《中华人民共和国民法典》有关条文执行。</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19.3本合同正本一式肆份，具有同等法律效力，甲方、乙方各执贰份。</w:t>
      </w:r>
      <w:r/>
    </w:p>
    <w:p>
      <w:pPr>
        <w:pStyle w:val="875"/>
        <w:ind w:firstLine="420"/>
        <w:spacing w:line="360" w:lineRule="auto"/>
        <w:rPr>
          <w:rFonts w:hAnsi="宋体" w:cs="宋体"/>
          <w:color w:val="auto"/>
          <w:sz w:val="21"/>
          <w:highlight w:val="none"/>
        </w:rPr>
      </w:pPr>
      <w:r>
        <w:rPr>
          <w:rFonts w:hAnsi="宋体" w:cs="宋体"/>
          <w:color w:val="auto"/>
          <w:sz w:val="21"/>
          <w:highlight w:val="none"/>
        </w:rPr>
      </w:r>
      <w:r/>
    </w:p>
    <w:tbl>
      <w:tblPr>
        <w:tblStyle w:val="851"/>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56"/>
              <w:spacing w:before="120" w:after="120" w:line="360" w:lineRule="auto"/>
              <w:rPr>
                <w:rFonts w:hAnsi="宋体"/>
                <w:color w:val="auto"/>
                <w:sz w:val="21"/>
                <w:highlight w:val="none"/>
              </w:rPr>
            </w:pPr>
            <w:r>
              <w:rPr>
                <w:rFonts w:hint="eastAsia" w:hAnsi="宋体"/>
                <w:color w:val="auto"/>
                <w:sz w:val="21"/>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56"/>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56"/>
              <w:spacing w:before="120" w:after="120" w:line="360" w:lineRule="auto"/>
              <w:rPr>
                <w:rFonts w:hAnsi="宋体"/>
                <w:color w:val="auto"/>
                <w:sz w:val="21"/>
                <w:highlight w:val="none"/>
              </w:rPr>
            </w:pPr>
            <w:r>
              <w:rPr>
                <w:rFonts w:hint="eastAsia" w:hAnsi="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56"/>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56"/>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56"/>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56"/>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56"/>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56"/>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56"/>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bl>
    <w:p>
      <w:pPr>
        <w:rPr>
          <w:color w:val="auto"/>
          <w:highlight w:val="none"/>
        </w:rPr>
      </w:pPr>
      <w:r>
        <w:rPr>
          <w:color w:val="auto"/>
          <w:highlight w:val="none"/>
        </w:rPr>
        <w:br w:type="page" w:clear="all"/>
      </w:r>
      <w:bookmarkEnd w:id="57"/>
      <w:r/>
      <w:r/>
    </w:p>
    <w:p>
      <w:pPr>
        <w:pStyle w:val="847"/>
        <w:numPr>
          <w:ilvl w:val="0"/>
          <w:numId w:val="2"/>
        </w:numPr>
        <w:jc w:val="center"/>
        <w:rPr>
          <w:rFonts w:ascii="宋体" w:hAnsi="宋体"/>
          <w:color w:val="auto"/>
          <w:highlight w:val="none"/>
        </w:rPr>
      </w:pPr>
      <w:r>
        <w:rPr>
          <w:rFonts w:hint="eastAsia" w:ascii="宋体" w:hAnsi="宋体"/>
          <w:color w:val="auto"/>
          <w:highlight w:val="none"/>
        </w:rPr>
        <w:t xml:space="preserve">项目需求</w:t>
      </w:r>
      <w:r/>
    </w:p>
    <w:p>
      <w:pPr>
        <w:ind w:right="-15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项目属性：</w:t>
      </w:r>
      <w:r>
        <w:rPr>
          <w:rFonts w:hint="eastAsia" w:ascii="宋体" w:hAnsi="宋体" w:cs="宋体"/>
          <w:b/>
          <w:bCs/>
          <w:color w:val="auto"/>
          <w:szCs w:val="21"/>
          <w:highlight w:val="none"/>
        </w:rPr>
        <w:t xml:space="preserve">服务类项目</w:t>
      </w:r>
      <w:r/>
    </w:p>
    <w:p>
      <w:pPr>
        <w:ind w:right="-153"/>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其他要求：</w:t>
      </w:r>
      <w:r/>
    </w:p>
    <w:p>
      <w:pPr>
        <w:ind w:right="-153"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Cs w:val="21"/>
          <w:highlight w:val="none"/>
          <w:u w:val="single"/>
        </w:rPr>
        <w:t xml:space="preserve">如属政府强制采购产品未提供认证证书的或认证证书提供不全的将视为未实质性响应采购要求</w:t>
      </w:r>
      <w:r>
        <w:rPr>
          <w:rFonts w:hint="eastAsia" w:ascii="宋体" w:hAnsi="宋体" w:cs="宋体"/>
          <w:color w:val="auto"/>
          <w:szCs w:val="21"/>
          <w:highlight w:val="none"/>
        </w:rPr>
        <w:t xml:space="preserve">。其他条件相同情况下，应当优先采购节能产品、环境标志产品。</w:t>
      </w:r>
      <w:r/>
    </w:p>
    <w:p>
      <w:pPr>
        <w:ind w:right="-153"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供应商对于投标产品的包装应按照“财办库〔2020〕123号《关于印发《商品包装政府采购需求标准（试行）》、《快递包装政府采购需求标准（试行）》的通知》”执行。</w:t>
      </w:r>
      <w:r/>
    </w:p>
    <w:p>
      <w:pPr>
        <w:ind w:right="-153"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right="-153"/>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本项目所属行业：软件和信息技术服务业</w:t>
      </w:r>
      <w:r/>
    </w:p>
    <w:p>
      <w:pPr>
        <w:rPr>
          <w:color w:val="auto"/>
          <w:highlight w:val="none"/>
        </w:rPr>
      </w:pPr>
      <w:r>
        <w:rPr>
          <w:color w:val="auto"/>
          <w:highlight w:val="none"/>
        </w:rPr>
      </w:r>
      <w:r/>
    </w:p>
    <w:p>
      <w:pPr>
        <w:ind w:firstLine="394"/>
        <w:spacing w:line="360" w:lineRule="auto"/>
        <w:rPr>
          <w:rFonts w:ascii="宋体" w:hAnsi="宋体" w:cs="宋体"/>
          <w:b/>
          <w:bCs/>
          <w:color w:val="auto"/>
          <w:highlight w:val="none"/>
        </w:rPr>
      </w:pPr>
      <w:r>
        <w:rPr>
          <w:rFonts w:hint="eastAsia" w:ascii="宋体" w:hAnsi="宋体" w:cs="宋体"/>
          <w:b/>
          <w:bCs/>
          <w:color w:val="auto"/>
          <w:spacing w:val="-7"/>
          <w:highlight w:val="none"/>
        </w:rPr>
        <w:t xml:space="preserve">一、项目内容：</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本项目主要是承担2026年度扬州市普通国省道路网监测设施日常维护项目数据质量、系统、设备、杆件、机箱、基础、供电、网络、安全运行、基础信息等一体化运行维护工作。</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1.维护范围：</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包1：163处视频、23处一类交调、9处情报板、4处上云监测设施的数据质量、系统、设备、杆件、机箱、基础、供电、网络、安全运行、基础信息等一体化运行维护工作。</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包2：228处视频、30处一类交调、3处情报板、3处上云监测设施的数据质量、系统、设备、杆件、机箱、基础、供电、网络、安全运行、基础信息等一体化运行维护工作。</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2、维护方式：工程技术人员上门服务。</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3、维护内容：维护内容主要包括一类交调站、情报板、气象设施的数据、系统、设备、杆件、机箱、基础、供电、网络、安全运行、基础信息等一体化运行维护工作；市、县路网中心的视频上云、情报板接入服务。（除供电部门停电、甲方系统平台自身问题、不可抗力外，为保证正常运行涉及的全部维护内容均由乙方负责）。</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3.1路网监测设施日常维护（含设备风险）：</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①内场设备</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包括路网监测接入配套设备设施，如NVR、硬盘、交换机等，负责除不可抗力因素之外的维修更换工作。</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②前端系统</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交调、视频监控：设备、杆件、机箱及箱内设备和线缆、基础、防雷及接地系统、供电保障（含电表、供电设备、供电线路、架电线杆）。保证数据正常传输，运行状态、数据质量符合交通运输部、省交通运输厅公路事业发展中心及扬州市公路事业发展中心相关规范和要求。</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可变情报板：显示屏体、控制器、串口服务器、杆件、机箱及箱内设备和线缆、基础、防雷及接地系统、供电保障（含电表、供电设备、供电线路、架电线杆）。保证在相关平台正常发布信息，运行状态、数据质量符合交通运输部、省交通运输厅公路事业发展中心及扬州市公路事业发展中心相关规范和要求。</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③平台系统</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路网监测设施所涉及到的视频监控平台系统、交调平台系统、运维管理平台系统、情报板平台系统等系统中要求的基础数据，及平台系统升级改造涉及的对接工作。建立相关资料档案，按要求及时更新完善（如经纬度等）。</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3.2路网监测设施供电线缆维护：</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负责供电电表（含电表）至设备机箱之间的供电管线、架电线杆的排查、检修、维护工作（除不可抗力引起的故障之外的所有故障的维护修复）。</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3.3断电（多状态）监测设备系统维护（含设备风险）：</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本维护服务内容包括乙方对路网监测设施断电（多状态）监测设备的维修、更换、新增、拆除，为完成监测数据传输所涉及到的软硬件维护等全套服务，保证系统的可靠工作、数据通信传输正常。主要内容如下：</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①设备硬件的维护</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1）保证终端设备数据通信传输正常、通信程序数据收发正常；</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2）乙方为甲方提供设备的更换、维修及拆除服务。</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②路网设施工作状态数据库</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1）开放数据库表结构并根据业主的需求及时修改完善。</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2）提供其他业务系统对设备工作状态数据库调用的技术支持。</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③其他要求</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1）所有设备安装均应符合外场监测设施管理部门相关要求。</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2）按甲方要求做好断电（多状态）监测数据接入运维管理平台，做好平台对接工作，保证正常使用，保证网络安全。</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本合同内断电（多状态）监测所有软硬件设施的损坏、丢失等影响系统正常运行的情况，均由乙方负责恢复正常,费用包干使用，因设备损坏产生的更换费用甲方不再单独支付。</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4.维护考核要求：</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保证数据采集正常传输，运行状态、数据质量符合交通运输部和省交通运输厅公路事业发展中心相关规范和要求。做好系统软、硬件检测、维护更新、故障排除、系统升级等。保证路网监测设施正常运行状态。保证路网监测设施外场设施的网络和信息安全，防止网络入侵和不良信息发布。保证路网监测设施设备、杆件及其附属设施安全运行，做好防雷接地、防漏电等，严禁发生安全事故。故障须在24小时内完成修复并上线运行。</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所有点位的级联电力（含私户供电电源）和网络的设备、线缆等全部由接入（借用）使用的一方负责排查维护；如特殊点位排查不出故障原因，需要乙方申请与其他相关单位共同去排查处置，并各自出具证明。如乙方出具证明与最终实际不符，或者乙方未主动申请联合排查处置，所有后果由乙方承担，并进行服务考核；由于乙方增加、更换的设备、线缆引起的故障，均由乙方</w:t>
      </w:r>
      <w:r>
        <w:rPr>
          <w:rFonts w:hint="eastAsia" w:hAnsi="宋体" w:cs="宋体"/>
          <w:color w:val="auto"/>
          <w:sz w:val="21"/>
          <w:highlight w:val="none"/>
        </w:rPr>
        <w:t xml:space="preserve">负责协调至此点位恢复正常；如设备被盗，乙方需要按照规定时间及时上报，如延迟上报，后续恢复由乙方负责；设备被盗后，乙方要牵头及时拿出恢复方案并组织实施；乙方按时校准设备采集准确性，并定时向甲方汇报数据调试结果，每天核查后台设备数据，如缺失、不正常，及时维护；情报板故障或者屏幕区域显示不完整，乙方及时维护、更换，按照甲方要求按时完成设备开关、信息发布等任务。乙方反馈电力不稳定情况，需24小时内提供第三方现场检测情况说明并签字盖章，如最终与事实情况不符，后续恢复由乙方负责，产生后果全部由乙方承担，并从严履约考核。</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保证断电（多状态）监测设备系统数据采集正常传输，数据质量符合交通运输部和省交通运输厅公路事业发展中心相关规范和要求。做好断电（多状态）监测系统软、硬件检测、维护更新、故障排除、系统升级等。保证本协议涉及设施的网络和信息安全，防止网络入侵和不良信息发布。保证设备安装牢固，安全可靠，保证本协议涉及设施设备及其附属设施安全运行，做好防雷接地、防漏电等，严禁发生安全事故。</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采购人根据部省市平台系统统计及通报或简报、第三方检测报告，进行服务考核。经乙方佐证申请，采购人评估，认为本项有关指标不达标的原因，不是乙方的责任或者乙方责任较轻或者有其他特殊情况的，不予扣减合同费用。否则，甲方有权按照相关系统、检查等考核结果扣除费用。</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乙方每日对所有站点至少系统巡查1次，及时主动排查、24小时内修复故障，单个设备(交调、视频监控、情报板)当月在线率达95%以上（即设备当月累计离线时长不得超过36小时）。若单个设备单次故障每超期1天，或单个设备当月累计离</w:t>
      </w:r>
      <w:r>
        <w:rPr>
          <w:rFonts w:hint="eastAsia" w:hAnsi="宋体" w:cs="宋体"/>
          <w:color w:val="auto"/>
          <w:sz w:val="21"/>
          <w:highlight w:val="none"/>
        </w:rPr>
        <w:t xml:space="preserve">线时长每超期1天，每多1天，甲方有权扣除300元（按费用高者扣除）；若单个设备当月发生故障2次及以上，每多1次，甲方有权扣除300元；若单个设备当月累计离线时长超过7天（168小时），或者单个设备当月发生故障4次及以上，甲方有权按照《江苏省公路水运服务类单位信用评价实施细则》等相关文件履约行为考核“未按照合同全面履行合同义务”等条款，每发现一次扣5分，满分40，扣完为止。（以上不足1天，按1天计算）若情报板无法正常通过平台远程发布信息，乙方为第一维护责任人，须统筹协调、及时排查修复，否则，对其从严履约考核。</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2）交调设备每月在线率达95%。设备数据每月完整率达95%以上、及时率达95%以上，异常率和24小时零流量率1%以下。数据质量保持设备流量精度95%以上、车速精度在92%以上、车型精度在90%以上。根据部省市平台系统统计及通报或简报、第三方检测报告：</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A、在线率在95%以下、完整率在95%以下、及时率在95%以下，异常率和24小时零流量率1%以上的，每出现一次扣除500元。</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B、流量、车速、车型精度指标不达标但在70%以上的，1个指标一次扣除1000元；误差在70%以下的，1个指标一次扣除3000元。</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C、若数据质量不达标，设备指标位列全省后五名的，1个指标一次扣除5000元。（若有重复，以此项为准）</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D、被上级部门通报的其他问题，每发生一次扣除500元。</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若单个交调设备流量、车速、车速精度其中一项在60%以下，采购人有权按照《江苏省公路水运工程服务类单位信用评价实施细则》等相关文件履约行为考核“未按照合同全面履行合同义务”等条款，每发现一次扣5分，满分40，扣完为止。</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（3）断电（多状态）监测设备故障在24小时内修复，否则，单个设备单次故障每超期24小时（不足24小时的按24小时计），甲方有权扣除300元。</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4）每月3号前向甲方提交上月故障及排除情况汇总表，采用纸质文件（附电子档）由项目负责人当面、书面报甲方。汇总表包括故障站点、时间、原因、详细处置过程、恢复时间、累计故障时间等详细信息（含设备设施、供电、</w:t>
      </w:r>
      <w:r>
        <w:rPr>
          <w:rFonts w:hint="eastAsia" w:hAnsi="宋体" w:cs="宋体"/>
          <w:color w:val="auto"/>
          <w:sz w:val="21"/>
          <w:highlight w:val="none"/>
        </w:rPr>
        <w:t xml:space="preserve">网络、断电监测等全部内容），不得迟报、漏报。每季度末对所有站点设备运行情况进行1次定期巡检和保养。巡检内容包括站点名称、巡检时间、发现问题、设备运行状况、数据精度、详细处置过程、保养情况等信息（含设备设施、供电、网络、断电监测等全部内容，交调设备维护质量完全符合《江苏省干线公路路网监测设施验收检测与期间核查操作规程（试行）》苏交公路网﹝2018﹞186号文的要求）并形成自检报告。每季度最后一个月30号前，由项目负责人当面、书面报甲方，不得迟报、漏报。不符合以上任一要求的，每发现一次，甲方有权扣除4000元。</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5）按照省、市公路部门规范及要求，及时更新完善基础数据信息，每发现1处未按要求填写，甲方有权扣除200元；严格落实省中心、市中心的数据核查整改要求，及时上报整改报告，每拖延1天，甲方有权扣除500元。</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6）服务范围内所有路网外场监测设备、路网中心及机房设备等故障需要维修或者更换零配件时，承包人应自行采购更换，更换后总体性能不得低于在用设备，并满足江苏省交通运输厅公路事业发展中心相关要求。如需更换设备，应报发包人同意，更换设备单点费用3000元以下自行承担，费用3000元以上另行与发包人结算，但因维护造成的设备损坏应由成交供应商负责。</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（7）成交供应商应承诺对更换的新设备按照质保期的要求进行质保，该成交供应商服务期满但仍属于质保期内的设备，设备维修更换所产生的费用由该成交供应商承担。</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（8）每个维护单位需保证配备</w:t>
      </w:r>
      <w:r>
        <w:rPr>
          <w:rFonts w:hint="eastAsia" w:hAnsi="宋体" w:cs="宋体"/>
          <w:color w:val="auto"/>
          <w:sz w:val="21"/>
          <w:highlight w:val="none"/>
          <w:lang w:eastAsia="zh-CN"/>
        </w:rPr>
        <w:t xml:space="preserve">不少于</w:t>
      </w:r>
      <w:r>
        <w:rPr>
          <w:rFonts w:hint="eastAsia" w:hAnsi="宋体" w:cs="宋体"/>
          <w:color w:val="auto"/>
          <w:sz w:val="21"/>
          <w:highlight w:val="none"/>
          <w:lang w:val="en-US" w:eastAsia="zh-CN"/>
        </w:rPr>
        <w:t xml:space="preserve">6名维护人员，其中至少</w:t>
      </w:r>
      <w:r>
        <w:rPr>
          <w:rFonts w:hint="eastAsia" w:hAnsi="宋体" w:cs="宋体"/>
          <w:color w:val="auto"/>
          <w:sz w:val="21"/>
          <w:highlight w:val="none"/>
        </w:rPr>
        <w:t xml:space="preserve">1名维护人员提供7*24小时</w:t>
      </w:r>
      <w:r>
        <w:rPr>
          <w:rFonts w:hint="eastAsia" w:hAnsi="宋体" w:cs="宋体"/>
          <w:color w:val="auto"/>
          <w:sz w:val="21"/>
          <w:highlight w:val="none"/>
          <w:lang w:eastAsia="zh-CN"/>
        </w:rPr>
        <w:t xml:space="preserve">驻场</w:t>
      </w:r>
      <w:r>
        <w:rPr>
          <w:rFonts w:hint="eastAsia" w:hAnsi="宋体" w:cs="宋体"/>
          <w:color w:val="auto"/>
          <w:sz w:val="21"/>
          <w:highlight w:val="none"/>
        </w:rPr>
        <w:t xml:space="preserve">服务（工作日及应急时期），专职履行路网监测设施系统巡检、数据质量分析、故障维修及现场巡检等服务，服从甲方的管理，遵守各项规章制度及工作纪律。成交人须保证7*24小时服务人员的稳定性，用工符合《</w:t>
      </w:r>
      <w:r>
        <w:rPr>
          <w:rFonts w:ascii="SimSun" w:hAnsi="SimSun" w:eastAsia="SimSun" w:cs="SimSun"/>
          <w:color w:val="000000"/>
          <w:sz w:val="21"/>
        </w:rPr>
        <w:t xml:space="preserve">中华人民共和国</w:t>
      </w:r>
      <w:r>
        <w:rPr>
          <w:rFonts w:hint="eastAsia" w:hAnsi="宋体" w:cs="宋体"/>
          <w:color w:val="auto"/>
          <w:sz w:val="21"/>
          <w:highlight w:val="none"/>
        </w:rPr>
        <w:t xml:space="preserve">劳动法》等法律法规，按规定办缴纳“五险一金”等，保障劳动者合法权益。</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（9）维护单位负责自行储备一定数量的常用备品备件，保障维护工作的及时开展，备品备件数量由维护单位自定。</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（10）其他违约行为严格按照《江苏省公路水运服务类单位信用评价实施细则》等相关现行法律、法规、规范和标准进行履约考核。</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（11）严重违约情形</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A、成交人中途单方面终止合同。</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B、交调流量、车速、车型某一精度指标在60%以下的站点数量占维护总数的20%及以上。</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C、任何一个公历月度，因成交人维护不力，造成单个设备在线率50%以下。</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D、成交人方拒不履行合同相关要求，情节严重的。</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E、信用评价累计扣减达40分。</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对于出现以上严重违约情形之一的，发包人将按照《江苏省公路水运建设市场信用信息管理办法》等对承包人进行履约考核，考核不得高于“中”，并将履约考核结果上报上级交通行政主管部门，由上级行政主管部门核实后计入承包人信用档案。</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5.设施更新升级</w:t>
      </w:r>
      <w:r>
        <w:rPr>
          <w:rFonts w:hint="eastAsia" w:hAnsi="宋体" w:cs="宋体"/>
          <w:color w:val="auto"/>
          <w:sz w:val="21"/>
          <w:highlight w:val="none"/>
          <w:lang w:eastAsia="zh-CN"/>
        </w:rPr>
        <w:t xml:space="preserve">（本项目设备均为国产设备）</w:t>
      </w:r>
      <w:r>
        <w:rPr>
          <w:rFonts w:hint="eastAsia" w:hAnsi="宋体" w:cs="宋体"/>
          <w:color w:val="auto"/>
          <w:sz w:val="21"/>
          <w:highlight w:val="none"/>
        </w:rPr>
        <w:t xml:space="preserve">：</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如路网监测设施主要设备及附属设施等损坏无法修复或存在安全隐患的，成交人负责免费为甲方更换，甲方不再另支付费用。</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更换的设备原厂不再生产或不再销售的，成交人应提供原品牌厂家的升级产品，相关费用包含在合同总价中，甲方不再另付费用。</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6.甲方指令的其他维护内容：</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根据甲方的其他要求，完成另外的维护工作，按市场价格据实计量，另行支付。</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二、适用规范标准</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承包人在开发及技术服务工作中必须使用下述法律、法规或行业管理规定(包括但不限于)：</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1、《省交通运输厅公路局关于进一步加强全省路网监测设施数据质量管理工作的通知》（苏交公路网[2017]282号）；</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2、《江苏省干线公路路网监测设施验收检测与期间核查操作规程（试行）》（苏交公路网[2018]186号）；</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3、《公路网运行监测与服务暂行技术要求》（2012年第3号公告）；</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4、《江苏省干线公路视频监控系统建设技术要求（2019年修订版）》；</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5、《安全防范视频监控联网系统信息传输、交换、控制技术要求》（GB/T28181）</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6、《江苏省主线公路通信专网总体建设要求》。</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7、《中华人民共和国网络安全法》</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8、《信息安全技术网络安全等级保护基本要求》GBT22239-2019</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9、关于印发《江苏省公路信息化工程网络维护管理指导意见》的通知交公技（2002）240号</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10、《公路交通情况调查设备第1部分：技术条件》（JT/T 1008.1-2015）；</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11、《公路交通情况调查设备第2部分：通信协议》（JT/T 1008.2-2015）；</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12、《电气装置安装工程施工及验收规范》（GB50254~50259-06）；</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13、《电力工程电缆设计规范》（GB50217-2018）；</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14、《低压配电设计规范》（GB-50054-2011）；</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15、《供配电系统设计规程》（GB 50052-2009）；</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16、《公路工程技术标准》（JTG-B01-2014）；</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17、路网设备断电（多状态）监测通信协议满足JT/T808-2013协议；</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18、新增和更换现场断电（多状态）监测模块能够对接采购方已有监测系统平台。</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三、发包人财产清单</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1.发包人提供的设备、设施：7*24小时服务人员办公场所包括计算机设施、办公桌椅、文件柜等。</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2.发包人提供的资料：本项目相关资料需承包人自行收集并承担所有相关费用，发包人不另行支付费用。</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四、承包人需要自备的工作条件</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1.承包人自备的工作手册：如本项目必备的法律、法规、规范、标准等；</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2.承包人自备的办公设备：如计算机、软件、投影、打印机、复印机、照相机等；</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3.承包人自备的交通工具：如出行车辆等；</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4.承包人自备的安全设施：如交通安全标志标牌、锥桶、反光服、安全帽、安全鞋、手电筒等；</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5.承包人自备检测仪器、设备、维修机械工具等；</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6.承包人自备工作餐；</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7.承包人应根据实际需要：</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（一）自行搜集调查资料等工作；</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（二）承包人现状调研。</w:t>
      </w:r>
      <w:r/>
    </w:p>
    <w:p>
      <w:pPr>
        <w:pStyle w:val="875"/>
        <w:ind w:firstLine="420"/>
        <w:spacing w:line="360" w:lineRule="auto"/>
        <w:rPr>
          <w:rFonts w:hAnsi="宋体" w:cs="宋体"/>
          <w:color w:val="auto"/>
          <w:sz w:val="21"/>
          <w:highlight w:val="none"/>
        </w:rPr>
      </w:pPr>
      <w:r>
        <w:rPr>
          <w:rFonts w:hint="eastAsia" w:hAnsi="宋体" w:cs="宋体"/>
          <w:color w:val="auto"/>
          <w:sz w:val="21"/>
          <w:highlight w:val="none"/>
        </w:rPr>
        <w:t xml:space="preserve">五、维护工具(包括但不限于)：</w:t>
      </w:r>
      <w:r/>
    </w:p>
    <w:p>
      <w:pPr>
        <w:pStyle w:val="852"/>
        <w:ind w:left="0" w:firstLine="420"/>
        <w:spacing w:after="0" w:line="360" w:lineRule="auto"/>
        <w:rPr>
          <w:rFonts w:ascii="宋体" w:hAnsi="宋体" w:cs="宋体"/>
          <w:color w:val="auto"/>
          <w:highlight w:val="none"/>
        </w:rPr>
      </w:pPr>
      <w:r>
        <w:rPr>
          <w:rFonts w:hint="eastAsia" w:ascii="宋体" w:hAnsi="宋体" w:cs="宋体"/>
          <w:color w:val="auto"/>
          <w:highlight w:val="none"/>
        </w:rPr>
        <w:t xml:space="preserve">工程车、登高作业车、电焊机、气焊机、光纤熔接机、冲击钻、开孔机、切割机、光缆连接工具、电缆连接工具、示波器、光功率计、光衰减器、数字万用表、线缆测试仪、RCL测试仪、光时域反射仪、便携计算机、施工限速标志标识、锥筒、反光服、多用工具包等。</w:t>
      </w:r>
      <w:r/>
    </w:p>
    <w:p>
      <w:pPr>
        <w:pStyle w:val="852"/>
        <w:ind w:left="0" w:firstLine="420"/>
        <w:spacing w:after="0" w:line="360" w:lineRule="auto"/>
        <w:rPr>
          <w:rFonts w:ascii="宋体" w:hAnsi="宋体" w:cs="宋体"/>
          <w:color w:val="auto"/>
          <w:highlight w:val="none"/>
        </w:rPr>
      </w:pPr>
      <w:r>
        <w:rPr>
          <w:rFonts w:ascii="宋体" w:hAnsi="宋体" w:cs="宋体"/>
          <w:color w:val="auto"/>
          <w:highlight w:val="none"/>
        </w:rPr>
      </w:r>
      <w:r/>
    </w:p>
    <w:p>
      <w:pPr>
        <w:pStyle w:val="852"/>
        <w:ind w:left="0" w:firstLine="420"/>
        <w:spacing w:after="0" w:line="360" w:lineRule="auto"/>
        <w:rPr>
          <w:rFonts w:ascii="宋体" w:hAnsi="宋体" w:cs="宋体"/>
          <w:color w:val="auto"/>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highlight w:val="none"/>
        </w:rPr>
      </w:r>
      <w:r/>
    </w:p>
    <w:p>
      <w:pPr>
        <w:pStyle w:val="875"/>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包1：</w:t>
      </w:r>
      <w:r/>
    </w:p>
    <w:tbl>
      <w:tblPr>
        <w:tblStyle w:val="851"/>
        <w:tblW w:w="14688" w:type="dxa"/>
        <w:tblInd w:w="91" w:type="dxa"/>
        <w:tblLayout w:type="autofit"/>
        <w:tblCellMar>
          <w:left w:w="108" w:type="dxa"/>
          <w:top w:w="0" w:type="dxa"/>
          <w:right w:w="108" w:type="dxa"/>
          <w:bottom w:w="0" w:type="dxa"/>
        </w:tblCellMar>
        <w:tblLook w:val="04A0" w:firstRow="1" w:lastRow="0" w:firstColumn="1" w:lastColumn="0" w:noHBand="0" w:noVBand="1"/>
      </w:tblPr>
      <w:tblGrid>
        <w:gridCol w:w="963"/>
        <w:gridCol w:w="5550"/>
        <w:gridCol w:w="1753"/>
        <w:gridCol w:w="1846"/>
        <w:gridCol w:w="1722"/>
        <w:gridCol w:w="1690"/>
        <w:gridCol w:w="1164"/>
      </w:tblGrid>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桩号（系统）</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建设时间</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bookmarkStart w:id="58" w:name="OLE_LINK1"/>
            <w:r>
              <w:rPr>
                <w:rFonts w:hint="eastAsia" w:ascii="宋体" w:hAnsi="宋体" w:cs="宋体"/>
                <w:color w:val="auto"/>
                <w:szCs w:val="21"/>
                <w:highlight w:val="none"/>
              </w:rPr>
              <w:t xml:space="preserve">维护</w:t>
            </w:r>
            <w:r>
              <w:rPr>
                <w:rFonts w:hint="eastAsia" w:ascii="宋体" w:hAnsi="宋体" w:cs="宋体"/>
                <w:color w:val="auto"/>
                <w:szCs w:val="21"/>
                <w:highlight w:val="none"/>
                <w:lang w:eastAsia="zh-CN"/>
              </w:rPr>
              <w:t xml:space="preserve">到</w:t>
            </w:r>
            <w:r>
              <w:rPr>
                <w:rFonts w:hint="eastAsia" w:ascii="宋体" w:hAnsi="宋体" w:cs="宋体"/>
                <w:color w:val="auto"/>
                <w:szCs w:val="21"/>
                <w:highlight w:val="none"/>
              </w:rPr>
              <w:t xml:space="preserve">期时间</w:t>
            </w:r>
            <w:bookmarkEnd w:id="58"/>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辖区</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设备类型</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江苏-G345-与六纲公路交叉口北-K355+650-下行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K355+650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江苏-G345-大仪转化物流段-K357+950-下行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K357+950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江苏-G345-与兴仪路交叉口南-K360+100-下行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K360+100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江苏-G345-香沟桥东-K365+460-上行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K365+460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江苏-G345-大仪公安检查站-K368+500-上行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K368+500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江苏-G345-大仪镇王庄-K357+130-上行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K357+130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江苏-G345-扬州传化公路港-K359+050-下行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K359+050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江苏-G345-张家村村委会-K364+450-下行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K364+450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江苏-G345-苏皖省界-K369+700-下行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K369+700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江苏-G345-与S125交叉口-K361+750-下行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K361+750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江苏-G345-香沟桥-K366+450-上行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K366+450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江苏-G345-与S418交叉口-K339+746-上行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K339+746</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江苏-G345-与江宁路交叉口-K340+996-下行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K340+996</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14</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江苏-G345-与茶果路交叉口-K342+446-上行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K342+446</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江苏-G345-中利水库溢洪河中桥-K345+346-下行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K345+346</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16</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江苏-G345-与仓房路交叉口-K349+646-上行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K349+646</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17</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江苏-G345-卞庄-K352+546-上行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K352+546</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18</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江苏-G345-如意桥-K353+970-下行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K353+970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19</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江苏-G345-与S532交叉口-K353+446-上行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K353+446</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2021年</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20</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江苏-S125-仪泗河中桥南-K1+950-上行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K1+950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21</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江苏-S125-与金谷路交叉口西-K14+150-下行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K14+150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22</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江苏-S125-上跨CP5铁路专线桥-K7+900-下行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K7+900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23</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江苏-S125-下穿宁启铁路桥（易积水）-K9+400-下行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K9+400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24</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江苏-S125-与仪天线交叉口-K18+930-下行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K18+930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25</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江苏-S125-月塘镇俞庄-K22+200-上行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K22+200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26</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江苏-S125-丁营-K24+740-下行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K24+740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27</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江苏-S125-陈集镇大糜庄-K26+150-下行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K26+150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28</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江苏-S125-孔雀山公园-K27+620-上行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K27+620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29</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江苏-S125-陈集中学-K29+600-下行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K29+600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30</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江苏-S125-与西山路交叉口-K32+200-下行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K32+200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31</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江苏-S125-糜庄-K34+920-上行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K34+920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32</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江苏-S125-广塘-K39+800-上行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K39+800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33</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江苏-S125-与G328平交道口-K5+580-中分带</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K5+580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34</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江苏-S125-与联众路交叉-K7+100-上行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K7+100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35</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江苏-S125-G40高速连接线上跨桥南-K11+200-上行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K11+200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36</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江苏-S125-丁桥-K28+400-下行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K28+400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37</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江苏-S125-陈集-K30+410-上行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K30+410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38</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江苏-S125-大巷-K41+200-下行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K41+200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39</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江苏-S125-仪征高邮界-K43+580-上行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K43+580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40</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江苏-S353-秦桥邱云四岔路口-K159+300-下行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K159+300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41</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江苏-S353-与邱莹路交叉口东-K160+130-下行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K160+130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42</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江苏-S353-大庄曹中桥东-K175+380-下行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K175+380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43</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江苏-S353-龙河大桥-K158+000-中分带</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K158+000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44</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江苏-S353-胥浦河大桥-K171+600-下行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K171+600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45</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江苏-S353-龙涧河中桥-K153+450-下行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K153+450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46</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江苏-S353-四庄服务区-K169+300-下行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K169+300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47</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江苏-S353-宁扬市界-K179+000-下行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K179+000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48</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江苏-S353-丰收河小桥-K154+700-下行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K154+700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49</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江苏-S353-与X305交叉口-K156+600-上行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K156+600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50</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江苏-S353-与X201交叉口-K152+340-上行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K152+340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51</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江苏-S353-新民村党群服务中心-K161+400-上行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K161+400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52</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江苏-S353-X204汉金路平交路口-K172+080-下行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K172+080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53</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江苏-S353-魏井路平交路口东-K173+200-下行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K173+200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54</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江苏-S353-扬州南京界-K180+200-上行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K180+200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55</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江苏-S356-与大新线交叉口东-K314+450-上行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K314+450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56</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江苏-S356-与大庆路路口东-K320+650-上行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K320+650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57</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江苏-S356-烟灯河中桥东-K325+580-上行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K325+580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58</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江苏-S356-与龙仪路路口西-K329+230-下行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K329+230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59</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江苏-S356-龙山森林公园-K331+500-下行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K331+500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60</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江苏-S356-三益村-K309+500-上行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K309+500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61</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江苏-S356-仪扬河大桥-K320+020-中分带</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K320+020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62</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江苏-S356-与X204交叉口-K328+200-下行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K328+200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63</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江苏-S356-宁扬市界-K334+020-下行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K334+020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64</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江苏-S356-官山小桥弯道-K332+915-下行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K332+915</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65</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江苏-S356-潘庄弯道-K330+720-上行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K330+720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66</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江苏-S356-与S125交叉口-K316+680-上行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K316+680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67</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江苏-S356-国泰应急产业园路口-K311+540-下行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K311+540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68</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江苏-S356-东园南路东-K318+500-下行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K318+500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69</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江苏-S418-扬溧高速扬州西出入口-K0+000-上行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K0+000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70</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江苏-S418-宁启铁路上跨桥-K1+000-下行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K1+000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71</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江苏-S418-宁启铁路大桥西-K1+810 -上行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K1+810 </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72</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江苏-S418-友谊河桥东-K002+750 -下行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K002+750 </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73</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江苏-S439-扬州南京界-K11+050-下行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K11+050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74</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江苏-S125-下穿宁启铁路通道(积水点）-K9+355-上行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K9+355</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2023.4</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75</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江苏-G328-芒稻河大桥下-K304+654-</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K304+654</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76</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江苏-G328-芒稻河大桥西-K304+870-上行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K304+870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77</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江苏-G328-廖家沟大桥中分带-K309+900-中分带</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K309+900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78</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江苏-G328-运河大桥-K314+000-下行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K314+000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79</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江苏-G328-京杭运河大桥下-K314+200-</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K314+200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80</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江苏-G328-古运河大桥-K319+500-下行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K319+500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81</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江苏-G328-沪陕高速蒋王出入口-K326+640-下行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K326+640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82</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江苏-G328-廖家沟大桥-K309+870-上行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K309+870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83</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江苏-G328-广陵分中心-K327+200-下行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K327+200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2015</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84</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江苏-G328-与维扬路交接点-K320+800 -下行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K320+800 </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85</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江苏-G328-宁仪界匝道(枣林湾)-K354+100 -下行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K354+100 </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86</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江苏-G328-八字桥南-K328+300-下行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K328+300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87</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江苏-G328-扬子江路东南角-K320+000-下行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K320+000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88</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江苏-G328-与吉安北路交叉口-K323+610-下行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K323+610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89</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江苏-S243-瓜洲汽渡-K2+930-上行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K2+930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2018.12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90</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江苏-S243-瓜洲桥北-K0+730-下行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K0+730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91</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江苏-G345-京杭运河大桥-K310+191-下行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K310+191</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92</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江苏-G345-京杭运河大桥-K309+643-下行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K309+643</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93</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江苏-G345-古运河大桥-K317+291-下行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K317+291</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94</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江苏-G345-扬溧高速跨线桥-K319+991-上行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K319+991</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95</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江苏-G345-建华大桥-K321+321-上行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K321+321</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96</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江苏-S356-扬仪界-K308+600-上行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K308+600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97</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江苏-G345-头桥镇东-K289+591-上行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K289+591</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98</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江苏-G345-头桥镇丰裕路口-K293+241-下行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K293+241</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99</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江苏-G345-江宜高速出入口东-K294+541-上行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K294+541</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100</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江苏-G345-江宜高速出入口西-K295+491-下行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K295+491</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101</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江苏-G345-铁路桥西-K299+741-上行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K299+741</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102</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江苏-G345-朴席镇三联村-K322+451-上行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K322+451</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103</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江苏-G345-朴席镇唐桥-K323+396-下行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K323+396</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104</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江苏-G345-康健路交叉口-K301+831-上行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K301+831</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105</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江苏-G345-人民南路交叉口-K303+841-上行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K303+841</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106</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江苏-G345-小虹村村委会-K305+141-上行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K305+141</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107</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江苏-G345-扬子江南路交叉口-K312+941-上行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K312+941</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108</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江苏-G345-临江路交叉口-K311+891-上行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K311+891</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109</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江苏-G345-四通路交叉口-K306+401-下行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K306+401</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110</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江苏-G345-金春路交叉口-K314+241-上行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K314+241</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111</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江苏-G345-马港河桥东-K315+421-下行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K315+421</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112</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江苏-G345-建华大桥西-K321+561-上行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K321+561</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113</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江苏-G345-小夹江中桥-K301+790-下行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K301+790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114</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江苏-S532-启扬高速扬州北出入口-K0+140-下行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K0+140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2018.12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115</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江苏-S532-新甘泉大道交叉口-K1+700-下行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K1+700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2018.12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116</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江苏-S532-甘泉服务区-K7+150-上行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K7+150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2018.12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117</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江苏-S532-甘泉镇香巷路东-K4+000 -上行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K4+000 </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118</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江苏-S532-回归大道交叉口-K8+700-下行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K8+700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119</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江苏-S532-虞都河桥南-K9+460-上行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K9+460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120</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江苏-S437-沪陕高速扬州南出入口-K0+000-上行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K0+000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121</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江苏-S437-S356交叉口-K7+300-下行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K7+300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122</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江苏-S531-田桥大桥南-K6+660-下行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K6+660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123</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江苏-S531-沪陕高速杭集南出入口-K3+000-下行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K3+000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124</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江苏-S531-田桥大桥北-K5+100 -下行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K5+100 </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125</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江苏-S531-李典镇东-K9+850 -下行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K9+850 </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126</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江苏-S531-主线桥北-K0+100-下行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K0+100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127</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江苏-S531-主线桥南-K1+295-下行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K1+295</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128</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江苏-S531-X305交叉口-K9+110-下行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K9+110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129</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江苏-S611-向阳河大桥-K9+000-下行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K9+000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2017.12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130</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江苏-S611-人民河中桥-K10+410-上行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K10+410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2017.12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131</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江苏-S611-公道河大桥-K15+000-下行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K15+000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2017.12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132</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江苏-S611-施庄-K21+000-下行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K21+000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2017.12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133</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江苏-S611-团结河小桥-K31+700-下行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K31+700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2017.12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134</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江苏-S611-姚大线交叉口-K32+400-下行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K32+400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2017.12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135</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江苏-S611-邗江港中桥北-K28+400-上行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K28+400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2017.12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136</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江苏-S611-姚槐岗-K25+900-下行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K25+900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2017.12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137</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江苏-S611-北方寺大桥-K24+200-下行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K24+200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2017.12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138</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江苏-S28-启扬高速瘦西湖出入口-/-/</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139</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江苏-G328-石河桥西-K344+900-下行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K344+900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140</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江苏-G328-浦东路大桥-K348+500-下行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K348+500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141</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江苏-G328-胥浦河大桥-K349+950-下行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K349+950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142</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江苏-G328-芍药园化工园区-K352+050-下行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K352+050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143</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江苏-G328-汉金大道-K353+800-下行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K353+800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 w:val="22"/>
                <w:highlight w:val="none"/>
              </w:rPr>
            </w:pPr>
            <w:r>
              <w:rPr>
                <w:rFonts w:hint="eastAsia" w:ascii="宋体" w:hAnsi="宋体" w:cs="宋体"/>
                <w:color w:val="auto"/>
                <w:sz w:val="22"/>
                <w:highlight w:val="none"/>
              </w:rPr>
              <w:t xml:space="preserve">144</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江苏-G328-安墩桥-K355+900-下行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K355+900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2021.1.31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145</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江苏-G328-长山路大桥-K357+500-上行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K357+500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146</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江苏-G328-万年大道上跨桥-K346+750-下行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K346+750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147</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江苏-G328-万年大道上跨桥-K346+750-上行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K346+750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148</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江苏-G328-工农路出口-K344+950-上行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K344+950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149</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江苏-G328-八字桥-K329+700-下行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K329+700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150</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江苏-G328-人民路跨线桥西-K332+150-下行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K332+150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151</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江苏-G328-人民路跨线桥西-K332+950-上行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K332+950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152</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江苏-G328-七方中桥-K333+800-上行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K333+800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153</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江苏-G328-金家中桥-K335+100-下行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K335+100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154</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江苏-G328-科研二路跨线大桥-K337+750-上行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K337+750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155</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江苏-G328-闵泰大道跨线桥-K339+100-上行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K339+100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156</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江苏-G328-新城大桥-K340+000-下行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K340+000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157</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江苏-G328-与S125跨线桥-K341+500-上行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K341+500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158</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江苏-G328-新城大桥西-K342+600-下行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K342+600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159</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江苏-G328-仪征服务区东-K343+600-下行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K343+600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160</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江苏-G328-石河桥大桥-K344+500-下行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K344+500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161</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江苏-G328-广州路-K304+200-下行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K304+200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2021.10.1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162</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江苏-G328-龙川南路-K302+800-下行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K302+800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2021.10.1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163</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江苏-G345-S531交叉口-K297+571-下行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K297+571</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扬州G328八字桥</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K329+500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2021.3.23</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扬州G328廖家沟</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K311+200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2012.9.1（2019年改造</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扬州G328枣林湾</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K357+110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2021.8.19（2021年改造</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扬州G345大仪</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K363+000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2019.11.14（2021年改造</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扬州G345邱庄</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K346+846</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2021.1.12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扬州S125马集</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K16+850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2015.11.20（2021年改造</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扬州S125大仪</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K36+400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2012.11.16（2020年改造</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扬州S125真州</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K8+400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2020.10</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扬州S125开发区</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K3+000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2019.12.1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扬州S243瓜州</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K3+400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2022年迁移</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扬州S353马集</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K163+998</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2017.10.24</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扬州S353月塘</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K177+500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2019.11.15</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扬州S356十二圩</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K315+000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2020.10.31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14</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扬州S356八里</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K298+820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2019.11.14</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扬州S356李典</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K280+530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2014.11.11（2018年迁移</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16</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扬州S356胥浦</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K327+330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2020.11.18（2020年改造</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17</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扬州S417甘泉</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K6+080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2015.7.31（2021年改造</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18</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扬州S418金田</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K2+500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2021.12.6</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19</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扬州S461杭集</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K5+980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2017.10.31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20</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扬州S462广陵新城</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K4+400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2017.11.1</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21</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S437江苏扬州邗江K002+400扬子津交调站</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K2+400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2022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22</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S243江苏扬州邗江K002+750瓜洲交调站</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K2+750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2022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23</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S611江苏扬州邗江K021+560沿湖交调站</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K21+560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2022</w:t>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邗江分中心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G345K2+300立柱情报板</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K2+250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情报板</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G345K5+620立柱情报板</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K5+620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情报板</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G345K6+750立柱情报板</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K6+750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情报板</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G345K346+866立柱情报板</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K346+866</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情报板</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G345K348+136立柱情报板</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K348+136</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情报板</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G328安墩南K358+900</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K358+900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情报板</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G328青山北K357+250</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K357+250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情报板</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G328新集南K335+900</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K335+900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情报板</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G328新集北K335+900</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K335+900</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广陵分中心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情报板</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w:t>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G345江苏扬州仪征K351+246气象站</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K351+246</w:t>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仪征分中心</w:t>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气象设备</w:t>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仪征分中心上云</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扬州分中心上云</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邗江分中心上云</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青云SD-WAN接入云盒租用（4个）</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8" w:space="0"/>
              <w:left w:val="single" w:color="000000" w:sz="8" w:space="0"/>
              <w:bottom w:val="single" w:color="000000" w:sz="8" w:space="0"/>
              <w:right w:val="single" w:color="000000" w:sz="8" w:space="0"/>
            </w:tcBorders>
            <w:tcW w:w="963"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555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青云SD-WAN链路服务5M（4个）</w:t>
            </w:r>
            <w:r/>
          </w:p>
        </w:tc>
        <w:tc>
          <w:tcPr>
            <w:tcBorders>
              <w:top w:val="single" w:color="000000" w:sz="8" w:space="0"/>
              <w:left w:val="single" w:color="000000" w:sz="8" w:space="0"/>
              <w:bottom w:val="single" w:color="000000" w:sz="8" w:space="0"/>
              <w:right w:val="single" w:color="000000" w:sz="8" w:space="0"/>
            </w:tcBorders>
            <w:tcW w:w="1753"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84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72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8" w:space="0"/>
              <w:left w:val="single" w:color="000000" w:sz="8" w:space="0"/>
              <w:bottom w:val="single" w:color="000000" w:sz="8" w:space="0"/>
              <w:right w:val="single" w:color="000000" w:sz="8" w:space="0"/>
            </w:tcBorders>
            <w:tcW w:w="169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1164"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bl>
    <w:p>
      <w:pPr>
        <w:pStyle w:val="875"/>
        <w:ind w:firstLine="420"/>
        <w:spacing w:before="120" w:after="120" w:line="360" w:lineRule="auto"/>
        <w:rPr>
          <w:rFonts w:hAnsi="宋体" w:cs="宋体"/>
          <w:color w:val="auto"/>
          <w:sz w:val="21"/>
          <w:highlight w:val="none"/>
        </w:rPr>
      </w:pPr>
      <w:r>
        <w:rPr>
          <w:rFonts w:hAnsi="宋体" w:cs="宋体"/>
          <w:color w:val="auto"/>
          <w:sz w:val="21"/>
          <w:highlight w:val="none"/>
        </w:rPr>
      </w:r>
      <w:r/>
    </w:p>
    <w:p>
      <w:pPr>
        <w:pStyle w:val="875"/>
        <w:ind w:firstLine="420"/>
        <w:spacing w:before="120" w:after="120" w:line="360" w:lineRule="auto"/>
        <w:rPr>
          <w:rFonts w:hAnsi="宋体" w:cs="宋体"/>
          <w:color w:val="auto"/>
          <w:sz w:val="21"/>
          <w:highlight w:val="none"/>
        </w:rPr>
      </w:pPr>
      <w:r>
        <w:rPr>
          <w:rFonts w:hAnsi="宋体" w:cs="宋体"/>
          <w:color w:val="auto"/>
          <w:sz w:val="21"/>
          <w:highlight w:val="none"/>
        </w:rPr>
      </w:r>
      <w:r/>
    </w:p>
    <w:p>
      <w:pPr>
        <w:pStyle w:val="875"/>
        <w:ind w:firstLine="420"/>
        <w:spacing w:before="120" w:after="120" w:line="360" w:lineRule="auto"/>
        <w:rPr>
          <w:rFonts w:hAnsi="宋体" w:cs="宋体"/>
          <w:color w:val="auto"/>
          <w:sz w:val="21"/>
          <w:highlight w:val="none"/>
        </w:rPr>
      </w:pPr>
      <w:r>
        <w:rPr>
          <w:rFonts w:hAnsi="宋体" w:cs="宋体"/>
          <w:color w:val="auto"/>
          <w:sz w:val="21"/>
          <w:highlight w:val="none"/>
        </w:rPr>
      </w:r>
      <w:r/>
    </w:p>
    <w:p>
      <w:pPr>
        <w:pStyle w:val="879"/>
        <w:jc w:val="left"/>
        <w:spacing w:line="360" w:lineRule="auto"/>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包2：</w:t>
      </w:r>
      <w:r/>
    </w:p>
    <w:tbl>
      <w:tblPr>
        <w:tblStyle w:val="851"/>
        <w:tblW w:w="13903" w:type="dxa"/>
        <w:tblInd w:w="91" w:type="dxa"/>
        <w:tblLayout w:type="fixed"/>
        <w:tblCellMar>
          <w:left w:w="108" w:type="dxa"/>
          <w:top w:w="0" w:type="dxa"/>
          <w:right w:w="108" w:type="dxa"/>
          <w:bottom w:w="0" w:type="dxa"/>
        </w:tblCellMar>
        <w:tblLook w:val="04A0" w:firstRow="1" w:lastRow="0" w:firstColumn="1" w:lastColumn="0" w:noHBand="0" w:noVBand="1"/>
      </w:tblPr>
      <w:tblGrid>
        <w:gridCol w:w="880"/>
        <w:gridCol w:w="5292"/>
        <w:gridCol w:w="1646"/>
        <w:gridCol w:w="1763"/>
        <w:gridCol w:w="1602"/>
        <w:gridCol w:w="1631"/>
        <w:gridCol w:w="1089"/>
      </w:tblGrid>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桩号（系统）</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建设时间</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维护到期时间</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辖区</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设备类型</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江苏-G233-甘马线交叉口-K1567+100-下行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K1567+100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江苏-G233-旧X302交叉口-K1557+000-下行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K1557+000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江苏-G233-横立路交叉口-K1570+200-上行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K1570+200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江苏-G233-X307交叉口-K1582+050-下行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K1582+050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江苏-G233-城南新区-K1590+000-下行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K1590+000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江苏-G233-新六安河中桥-K1555+570-上行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K1555+570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江苏-G233-通湖路交叉口-K1574+000-下行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K1574+000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江苏-G233-海潮东路交叉口-K1575+100-下行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K1575+100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江苏-G233-北澄子河桥墩下-K1573+300-下行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K1573+300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2017</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江苏-G233-S351交叉口南-K1579+950-下行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K1579+950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江苏-G233-凌波路-K1571+100-上行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K1571+100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江苏-G233-秦邮路交叉口-K1572+280-上行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K1572+280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江苏-G233-高邮与宝应交界-K1547+550-下行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K1547+550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江苏-G233-城南新区大龙庄-K1588+500-上行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K1588+500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江苏-G233-S352交叉口-K1584+400-下行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K1584+400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江苏-G233-勤王北路-K1581+000-下行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K1581+000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江苏-G233-中心大道交叉口-K1579+000-下行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K1579+000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江苏-G233-老横泾河路北-K1561+100-上行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K1561+100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江苏-G233-X303交叉口-K1561+600-下行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K1561+600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江苏-G233-马棚镇凌家庄-K1566+000-上行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K1566+000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江苏-G233-波司登大道丁字路口-K1569+450-下行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K1569+450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江苏-G233-藏量河中桥-K1587+100-下行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K1587+100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江苏-G233-泾龙交调路口南-K1512+320-上行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K1512+320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2018</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江苏-G233-宝射河桥南-K1524+070-下行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K1524+070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2019迁移</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江苏-G233-与新S331交叉口-K1527+590-上行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K1527+590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江苏-G233-与X303交叉口-K1531+300-上行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K1531+300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江苏-G233-潼河大桥-K1544+100-上行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K1544+100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江苏-G233-八浅大沟桥-K1516+050-上行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K1516+050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江苏-G233-二排河桥-K1509+000-上行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K1509+000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江苏-G233-与通湖路交叉口-K1536+800-下行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K1536+800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江苏-G233-宝应高邮界-K1547+140-下行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K1547+140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江苏-G233-宝曹河中桥-K1518+190-上行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K1518+190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江苏-G233-一横河中桥-K1532+650-上行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K1532+650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江苏-G233-与宋埠路交叉口南-K1538+850-下行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K1538+850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江苏-G233-与范夏路交叉口南-K1541+450-上行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K1541+450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江苏-G233-与成龙路交叉南-K1535+150-下行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K1535+150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江苏-G233-小刘庄-K1515+600-下行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K1515+600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江苏-G233-周圩加油站南-K1508+000-上行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K1508+000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江苏-G233-北河东路丁字路口-K1521+300-下行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K1521+300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江苏-G233-与宝楠路交叉口南-K1525+750-上行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K1525+750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江苏-G233-与东阳北路交叉口-K1519+800-下行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K1519+800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江苏-G233-施小庄北侧-K1510+150-下行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K1510+150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江苏-G233-安宜镇江跳村-K1515+100-下行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K1515+100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江苏-G233-国庆路交叉口-K1549+700-下行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K1549+700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江苏-G233-新X302交叉口-K1553+600-上行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K1553+600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江苏-G233-龙虬镇-K1563+600-下行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K1563+600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江苏-G233-清水潭度假区-K1562+410-下行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K1562+410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江苏-G233-与宋埠村村道交叉口-K1540+200-下行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K1540+200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江苏-G344-扬州与兴化交界-K135+750-下行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K135+750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2018</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江苏-G344-甘临线交叉口-K136+910-下行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K136+910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2018</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江苏-G344-临泽镇蒋颜湾-K141+100-上行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K141+100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2018</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江苏-G344-振兴路交叉口-K144+720-上行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K144+720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2018</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江苏-G344-临泽公路桥-K145+790-下行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K145+790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2018</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江苏-G344-临泽镇临西村-K145+200-上行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K145+200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江苏-G344-高邮与宝应交界-K146+900-下行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K146+900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江苏-G344-临泽镇蒋颜村-K141+600-上行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K141+600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江苏-G344-临泽客运站-K144+100-下行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K144+100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江苏-G344-临泽公路桥西-K146+200-下行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K146+200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江苏-G344-宝应运河三桥-K163+750-中分带</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K163+750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2018</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江苏-G344-宝应运河三桥-K164+380-中分带</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K164+380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2018</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江苏-G344-宝应运河三桥-K164+800-中分带</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K164+800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2018</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江苏-G344-宝应运河三桥-K165+600-上行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K165+600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2018</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江苏-G344-扬州淮安交界-K169+000-下行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K169+000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2018</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江苏-G344-王营集镇段绕行弯道-K153+470-下行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K153+470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江苏-G344-夏集子婴河-K151+500-下行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K151+500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江苏-G344-与G233交叉路口-K161+800-上行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K161+800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江苏-G344-王桥集镇段-K155+100-下行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K155+100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江苏-G344-卫星村-K157+100-下行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K157+100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江苏-S125-高邮湖大桥东桥头桥下-K71+680-上行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K71+680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江苏-S125-高邮湖大桥-K65+740-上行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K65+740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2016</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江苏-S125-高邮湖大桥-K63+880-上行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K63+880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2016</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江苏-S125-高邮湖大桥-K67+850-上行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K67+850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2016</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江苏-S125-高邮湖大桥-K69+620-上行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K69+620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2016</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江苏-S125-X311交叉口-K49+250-下行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K49+250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2016</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江苏-S125-X310交叉口-K56+500-下行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K56+500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2016</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江苏-S125-高邮仪征界-K44+320-下行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K44+320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江苏-S125-送桥大道交叉口-K51+890-下行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K51+890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江苏-S125-向阳河中桥-K57+650-下行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K57+650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江苏-S125-高邮湖大桥1-K64+780-下行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K64+780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江苏-S125-高邮湖大桥1-K66+780-下行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K66+780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江苏-S125-高邮湖大桥1-K68+780-下行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K68+780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江苏-S125-高邮湖大桥1-K70+780-下行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K70+780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江苏-S125-金柳大道交叉口-K59+670-下行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K59+670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江苏-S264-绿草荡大桥-K112+200-下行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K112+200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江苏-S264-与S414交叉口-K113+800-下行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K113+800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江苏-S264-西安丰镇黄荡村-K116+500-下行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K116+500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江苏-S264-大官河大桥-K118+700-下行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K118+700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江苏-S264-宝射河大桥-K126+900-上行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K126+900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江苏-S264-与新S331交叉口-K132+400-下行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K132+400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江苏-S264-柳堡电工电气产业园-K139+200-上行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K139+200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江苏-S264-与X304交叉口-K140+680-上行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K140+680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江苏-S264-三横河大桥-K142+600-下行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K142+600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江苏-S264-夏集镇赵雍村-K144+200-下行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K144+200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江苏-S264-大伟生态农业-K145+100-下行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K145+100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江苏-S264-与X352交叉口-K147+100-上行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K147+100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江苏-S264-大三王河桥-K150+750-下行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K150+750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江苏-S264-高邮宝应交界处-K152+300-下行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K152+300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江苏-S264-临川生产河中桥北-K153+300-下行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K153+300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江苏-S264-与X302交叉口-K156+870-下行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K156+870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江苏-S264-二里大沟桥南-K158+620-下行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K158+620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江苏-S264-荡区一号大桥-K159+480-下行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K159+480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江苏-S264-荡区二号大桥-K160+750-下行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K160+750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江苏-S264-荡区三号大桥-K161+450-下行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K161+450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江苏-S264-荡区四号大桥-K163+080-上行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K163+080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江苏-S264-大葛桥南-K164+300-下行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K164+300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江苏-S264-与X303交叉口-K168+820-下行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K168+820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江苏-S264-洛阳河桥-K176+070-上行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K176+070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江苏-S264-北澄子河大桥-K180+100-下行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K180+100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江苏-S264-甸汤线交叉口-K185+850-上行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K185+850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江苏-S264-迎宾大道交叉口-K187+180-下行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K187+180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江苏-S264-曾钰河大桥-K188+300-上行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K188+300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江苏-S264-汉中路口交叉口-K189+650-上行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K189+650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江苏-S264-高邮江都界-K191+800-下行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K191+800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江苏-S264-大溪河大桥-K120+950-上行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K120+950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江苏-S264-三垛镇顾家庄-K178+060-下行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K178+060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江苏-S331-与X204交叉口-K148+400-上行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K148+400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2018</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江苏-S331-蔷薇河特大桥东-K103+750-下行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K103+750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江苏-S331-蔷薇河特大桥西-K105+360-上行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K105+360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江苏-S331-与X201交叉口-K108+720-下行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K108+720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江苏-S331-与老331交叉口-K112+850-下行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K112+850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江苏-S331-宝射河大桥南-K114+030-下行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K114+030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江苏-S331-陶林村-K118+550-下行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K118+550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江苏-S331-与S264交叉口-K123+150-下行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K123+150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江苏-S331-问家庄-K128+260-下行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K128+260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江苏-S331-与G233交叉口-K134+670-下行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K134+670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江苏-S331-与船郑路交叉口-K139+200-下行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K139+200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江苏-S331-京杭大运河大桥西-K140+750-上行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K140+750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江苏-S331-宝应湖特大桥东-K144+570-下行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K144+570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江苏-S331-宝应湖特大桥东-K144+610-上行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K144+610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江苏-S331-山阳-K151+800-下行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K151+800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江苏-S351-扬州泰州市界-K116+859-上行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K116+859</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江苏-S351-京沪高速高邮出入口-K146+626-下行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K146+626</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江苏-S351-X202西交叉口-K125+409-下行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K125+409</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江苏-S351-三阳河大桥-K130+729-上行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K130+729</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江苏-S351-人字河大桥西-K138+359-上行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K138+359</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江苏-S351-X201交叉口-K118+829-上行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K118+829</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江苏-S351-S333交叉口东-K121+159-上行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K121+159</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江苏-S351-X202交叉口-K124+059-上行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K124+059</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江苏-S351-X204交叉口-K137+649-上行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K137+649</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140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江苏-S351-X205交叉口-K144+989-下行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K144+989</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141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江苏-S351-陈庄灌溉渠桥-K146+159-下行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K146+159</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142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江苏-S519-曹甸集镇段-K7+852-下行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K7+852</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143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江苏-S519-与G233交叉口-K22+172-下行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K22+172</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144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江苏-S519-与X252交叉口-K25+122-下行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K25+122</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145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江苏-S519-与曹安线交叉口东-K10+192-下行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K10+192</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146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江苏-S519-黄家村-K11+822-下行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K11+822</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147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江苏-S519-古塔村-K12+872-上行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K12+872</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148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江苏-S611-S125交叉口-K0+185-上行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K0+185</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2016</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149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江苏-S611-漫水公路交叉口-K1+255-上行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K1+255</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2016</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江苏-S611-向阳河大桥-K7+570-上行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K7+570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2016</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S611江苏扬州高邮K002+200郭集镇徐坝村下行-K002+200-下行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K002+200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江苏-S611-朝阳河中桥北-K2+300-下行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K2+300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江苏-S611-车头沟中桥-K6+000-上行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K6+000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江苏-S352-高速八桥出入口-K7+470-下行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K7+470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2018</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江苏-G233-北澄子河桥北-K1572+750-上行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K1572+750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江苏-G344-下穿京沪高速公路（积水点）-K159+900-上行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K159+900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2023.4</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江苏-S125-高邮湖大桥西桥头桥下-K63+380-下行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K63+380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2017</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江苏-S125-高邮湖大桥下湖滨村-K70+520-上行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K70+520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2017</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江苏-G233-盐邵河大桥南-K1603+700-下行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K1603+700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160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江苏-G233-物流园-K1613+700-下行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K1613+700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161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江苏-G233-邵伯原种厂-K1599+980-上行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K1599+980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162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江苏-G233-跨328国道大桥-K1616+450-下行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K1616+450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163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江苏-G233-延马路-K1612+790-下行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K1612+790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164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江苏-G233-与友善路交叉口北-K1619+200-下行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K1619+200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165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江苏-G233-绿洋湖公路交叉口-K1591+050-上行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K1591+050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166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江苏-G233-绍关干渠桥-K1602+200-上行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K1602+200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167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江苏-G233-菩提寺旁-K1608+790-下行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K1608+790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168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江苏-G233-与华山路交叉口南-K1615+000-下行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K1615+000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169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江苏-G233-跨G328国道大桥南-K1617+350-下行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K1617+350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170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江苏-G233-与樊绍线交叉口北-K1595+400-上行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K1595+400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171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江苏-G328-宜陵镇西湖村-K292+910-上行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K292+910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172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江苏-G328-郭村周家楼-K274+980-上行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K274+980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173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江苏-G328-郭村胡庄-K277+050-上行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K277+050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174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江苏-G328-郭村四庄-K278+900-下行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K278+900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175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江苏-G328-广福桥-K281+000-下行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K281+000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176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江苏-G328-宜陵小湖庄-K284+040-上行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K284+040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177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江苏-G328-焦庄加油站-K290+900-上行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K290+900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178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江苏-G328-阿波罗花木市场-K294+000-上行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K294+000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179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江苏-G328-砖桥集镇段-K295+300-下行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K295+300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180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江苏-G328-新都路交叉口-K299+700-下行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K299+700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181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江苏-G328-与264省道交叉口-K286+300-下行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K286+300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2015.12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182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江苏-G328-宜陵称重检测点-K288+500-上行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K288+500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2015.12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183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江苏-G328-五金城-K297+000-下行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K297+000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2015.12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184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江苏-G328-张纲大转盘-K302+000-下行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K302+000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2015.12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185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江苏-G345-与武嘶线交叉口-K274+150-下行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K274+150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186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江苏-G345-扬州与泰州交界-K271+540-上行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K271+540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187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江苏-G345-嘶马闸桥-K278+000-下行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K278+000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188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江苏-G345-大江线交叉口-K281+430-下行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K281+430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189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江苏-G233-江宜高速出入口-K1625+670-上行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K1625+670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190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江苏-G345-沪陕高速江都南出入口-K297+400-下行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K297+400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191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江苏-G233-江宜高速东入口-K1626+600-下行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K1626+600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192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江苏-S264-江都高邮界-K192+870-下行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K192+870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193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江苏-S264-与凤阳公路交叉口-K194+250-下行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K194+250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194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江苏-S264-与S352交叉口南-K195+430-上行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K195+430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195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江苏-S264-樊川大桥-K196+600-中分带</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K196+600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196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江苏-S264-樊川大桥南-K197+100-下行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K197+100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197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江苏-S264-与三阳河桥交叉口-K202+250-上行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K202+250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198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江苏-S264-陈家庄-K204+200-上行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K204+200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199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江苏-S264-纪安线路口-K206+220-上行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K206+220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200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江苏-S264-空港路口-K209+150-下行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K209+150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201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江苏-S264-机场路交叉口-K211+400-上行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K211+400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2016.12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202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江苏-S264-七里集镇段-K214+100-上行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K214+100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203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江苏-S264-新通扬运河桥北-K215+650-上行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K215+650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204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江苏-S264-宜陵停车区南-K218+000-上行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K218+000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205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江苏-S264-吴桥三防篷布厂-K224+600-上行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K224+600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206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江苏-S264-白塔河大桥-K227+600-下行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K227+600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207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江苏-S264与345国道交叉口-K233+600-上行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K233+600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2016.12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208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江苏-S264-江都港-K237+270-下行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K237+270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209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江苏-S352-缪家厦-K113+910-下行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K113+910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210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江苏-G345-夹江大桥下-K288+200-桥下</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K288+200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211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江苏-G345-夹江大桥-K288+100-上行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K288+100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212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江苏-G345-夹江大桥-K289+100-上行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K289+100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213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江苏-S416-盐邵闸桥-K7+410-上行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K7+410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214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江苏-S416-启扬高速江都北出入口-K0+000-上行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K0+000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215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江苏-S416-昭关闸东-K9+420-上行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K9+420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2022.10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216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江苏-X202-沪陕高速浦头出入口-K4+000-下行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K4+000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217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江苏-G233-跨启扬高速大桥南-K1610+900-上行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K1610+900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218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江苏-G233-宁启铁路桥南-K1614+350-上行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K1614+350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219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江苏-G233-新老通扬运河大桥西-K1616+200-上行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K1616+200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220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江苏-G233-跨宁通公路桥北（易积水）-K1619+700-下行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K1619+700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221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江苏-G233-跨宁通公路桥南（易积水）-K1619+800-下行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K1619+800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222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江苏-G233-大江线交叉口-K1621+450-下行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K1621+450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223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江苏-G233-与G345交叉口-K1624+600-下行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K1624+600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2021.1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224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G233江都K1622+350下穿沪陕高速公路通道(积水点）-k1622+350-上行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k1622+350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2023.4</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225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江苏-G233-下穿沪陕高速-K1626+610-上行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K1626+610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2023.4</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226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江苏-S352-塘头河中桥-K102+468-上行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K102+468</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227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江苏-S352-野田河大桥-K108+762-上行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K108+762</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228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江苏-S352-盐邵河大桥-K116+955-上行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K116+955</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视频</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扬州G233泾龙</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K1512+230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2019.3.1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扬州G233车逻</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K1583+870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2019.11.18</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扬州G233马棚</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K1558+700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2018.11.18</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扬州G233邵伯</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K1604+700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2019.12.1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扬州G233长红</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K1622+790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2019.11.15</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扬州G233潘桥</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K1528+700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2019.11.15</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扬州G233新民</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K1543+750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2019.11.15</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扬州G233物流园</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K1613+750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2020.10.31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扬州G328宜陵</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K288+500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2013.7.30（2021年改造）</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扬州G328郭村</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K279+650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2021.11.30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扬州G344临泽东</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K139+200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2020.10.31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扬州G344王乔</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K159+163</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2012.8.25</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扬州G345大桥</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K281+020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2012.8.30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扬州S125湖西</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K71+800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2013.12.21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扬州S264临泽</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K155+550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2016.11.10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扬州S264北澄子河</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K183+900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2014.1.2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扬州S264野元</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K210+521</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2013.11.19</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扬州S264刁夷</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K121+750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2018.11.18</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扬州S264童兴</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K230+300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2019.11.15</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扬州S264樊川</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K201+450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2020.10.31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扬州S264吴桥</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K219+980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2020.11.27</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扬州S331山阳</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K151+871</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2014.1.2（2018年升级</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扬州S333三垛</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K23+950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2012.8.7（2021年改造</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24</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扬州S333卸甲</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K27+010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2021.11.30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25</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扬州S352扬泰交界</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K3+850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2021.11.30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26</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扬州S352钱家厦</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K20+140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2021.11.30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江都分中心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27</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扬州S414泾河</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K13+544</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2016.1.8</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28</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扬州S611郭集</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K5+500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2019.11.15</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29</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S264江苏扬州宝应K133+180鲁垛交调站全覆盖</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K133+180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2022.10.28</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30</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扬州S331蔷薇河大桥</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K40+000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2022.2.22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 w:val="22"/>
                <w:highlight w:val="none"/>
              </w:rPr>
              <w:t xml:space="preserve">交调</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G233K1523+500立柱情报板</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K1523+500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宝应分中心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情报板</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G233K1572+300立柱情报板</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K1572+300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情报板</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S611K2+380立柱情报板</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K2+380</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情报板</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right"/>
              <w:widowControl/>
              <w:rPr>
                <w:rFonts w:ascii="宋体" w:hAnsi="宋体" w:cs="宋体"/>
                <w:color w:val="auto"/>
                <w:szCs w:val="21"/>
                <w:highlight w:val="none"/>
              </w:rPr>
            </w:pPr>
            <w:r>
              <w:rPr>
                <w:rFonts w:hint="eastAsia" w:ascii="宋体" w:hAnsi="宋体" w:cs="宋体"/>
                <w:color w:val="auto"/>
                <w:sz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S611向阳河大桥气象站</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高邮分中心</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气象设备</w:t>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宝应分中心上云</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2019</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高邮分中心上云</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江都分中心上云</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2020</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青云SD-WAN接入云盒租用（3个）</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2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青云SD-WAN链路服务5M（3个）</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2"/>
                <w:highlight w:val="none"/>
              </w:rPr>
              <w:t xml:space="preserve">2026.1</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bl>
    <w:p>
      <w:pPr>
        <w:rPr>
          <w:color w:val="auto"/>
          <w:highlight w:val="none"/>
        </w:rPr>
      </w:pPr>
      <w:r>
        <w:rPr>
          <w:color w:val="auto"/>
          <w:highlight w:val="none"/>
        </w:rPr>
      </w:r>
      <w:r/>
    </w:p>
    <w:p>
      <w:pPr>
        <w:pStyle w:val="852"/>
        <w:ind w:left="0" w:firstLine="420"/>
        <w:spacing w:after="0" w:line="360" w:lineRule="auto"/>
        <w:rPr>
          <w:rFonts w:ascii="宋体" w:hAnsi="宋体" w:cs="宋体"/>
          <w:color w:val="auto"/>
          <w:highlight w:val="none"/>
        </w:rPr>
      </w:pPr>
      <w:r>
        <w:rPr>
          <w:rFonts w:ascii="宋体" w:hAnsi="宋体" w:cs="宋体"/>
          <w:color w:val="auto"/>
          <w:highlight w:val="none"/>
        </w:rPr>
      </w:r>
      <w:r/>
    </w:p>
    <w:p>
      <w:pPr>
        <w:pStyle w:val="852"/>
        <w:ind w:left="0" w:firstLine="420"/>
        <w:spacing w:after="0" w:line="360" w:lineRule="auto"/>
        <w:rPr>
          <w:rFonts w:ascii="宋体" w:hAnsi="宋体" w:cs="宋体"/>
          <w:color w:val="auto"/>
          <w:highlight w:val="none"/>
        </w:rPr>
        <w:sectPr>
          <w:footnotePr/>
          <w:endnotePr/>
          <w:type w:val="nextPage"/>
          <w:pgSz w:w="16838" w:h="11906" w:orient="landscape"/>
          <w:pgMar w:top="1800" w:right="1440" w:bottom="1800" w:left="1440" w:header="851" w:footer="992" w:gutter="0"/>
          <w:cols w:num="1" w:sep="0" w:space="720" w:equalWidth="1"/>
          <w:docGrid w:linePitch="360"/>
        </w:sectPr>
      </w:pPr>
      <w:r>
        <w:rPr>
          <w:rFonts w:ascii="宋体" w:hAnsi="宋体" w:cs="宋体"/>
          <w:color w:val="auto"/>
          <w:highlight w:val="none"/>
        </w:rPr>
      </w:r>
      <w:r/>
    </w:p>
    <w:p>
      <w:pPr>
        <w:pStyle w:val="847"/>
        <w:jc w:val="center"/>
        <w:rPr>
          <w:rFonts w:ascii="宋体" w:hAnsi="宋体"/>
          <w:color w:val="auto"/>
          <w:highlight w:val="none"/>
        </w:rPr>
      </w:pPr>
      <w:r/>
      <w:bookmarkStart w:id="59" w:name="_Toc55204181"/>
      <w:r>
        <w:rPr>
          <w:rFonts w:hint="eastAsia" w:ascii="宋体" w:hAnsi="宋体"/>
          <w:color w:val="auto"/>
          <w:highlight w:val="none"/>
        </w:rPr>
        <w:t xml:space="preserve">第五章 评标方法及评标标准</w:t>
      </w:r>
      <w:bookmarkEnd w:id="59"/>
      <w:r/>
      <w:r/>
    </w:p>
    <w:p>
      <w:pPr>
        <w:pStyle w:val="872"/>
        <w:ind w:firstLine="422"/>
        <w:spacing w:before="0" w:after="0"/>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872"/>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本项目采用综合评分法，评标结果按评审后得分由高到低顺序排列。得分相同的，按投标报价由低到高顺序排列。得分且投标报价相同的并列。</w:t>
      </w:r>
      <w:r/>
    </w:p>
    <w:tbl>
      <w:tblPr>
        <w:tblStyle w:val="862"/>
        <w:tblW w:w="907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234"/>
        <w:gridCol w:w="5662"/>
      </w:tblGrid>
      <w:tr>
        <w:trPr>
          <w:trHeight w:val="3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6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240" w:lineRule="auto"/>
              <w:rPr>
                <w:rFonts w:hint="default" w:eastAsia="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2"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满足招标文件全部实质性要求，且按照评审因素的量化指标评审得分最高的投标人为中标候选人。</w:t>
            </w:r>
            <w:r/>
          </w:p>
        </w:tc>
      </w:tr>
    </w:tbl>
    <w:p>
      <w:pPr>
        <w:ind w:firstLine="422"/>
        <w:spacing w:line="360" w:lineRule="auto"/>
        <w:rPr>
          <w:rFonts w:ascii="宋体" w:hAnsi="宋体"/>
          <w:b/>
          <w:color w:val="auto"/>
          <w:szCs w:val="21"/>
          <w:highlight w:val="none"/>
        </w:rPr>
      </w:pPr>
      <w:r/>
      <w:bookmarkStart w:id="60" w:name="_Toc449016388"/>
      <w:r/>
      <w:bookmarkStart w:id="61" w:name="_Toc449017024"/>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60"/>
      <w:r/>
      <w:bookmarkEnd w:id="61"/>
      <w:r/>
      <w:r/>
    </w:p>
    <w:p>
      <w:pPr>
        <w:pStyle w:val="872"/>
        <w:ind w:firstLine="422"/>
        <w:spacing w:before="0" w:after="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本项目专门面向中小企业采购</w:t>
      </w:r>
      <w:r/>
    </w:p>
    <w:p>
      <w:pPr>
        <w:pStyle w:val="872"/>
        <w:ind w:firstLine="420"/>
        <w:spacing w:before="0" w:after="0"/>
        <w:rPr>
          <w:rFonts w:ascii="宋体" w:hAnsi="宋体"/>
          <w:color w:val="auto"/>
          <w:sz w:val="21"/>
          <w:szCs w:val="21"/>
          <w:highlight w:val="none"/>
        </w:rPr>
      </w:pPr>
      <w:r>
        <w:rPr>
          <w:rFonts w:ascii="宋体" w:hAnsi="宋体"/>
          <w:color w:val="auto"/>
          <w:sz w:val="21"/>
          <w:szCs w:val="21"/>
          <w:highlight w:val="none"/>
        </w:rPr>
        <w:t xml:space="preserve">1、小微型企业价格扣除</w:t>
      </w:r>
      <w:r/>
    </w:p>
    <w:p>
      <w:pPr>
        <w:pStyle w:val="872"/>
        <w:ind w:firstLine="420"/>
        <w:spacing w:before="0" w:after="0"/>
        <w:rPr>
          <w:rFonts w:ascii="宋体" w:hAnsi="宋体"/>
          <w:color w:val="auto"/>
          <w:sz w:val="21"/>
          <w:szCs w:val="21"/>
          <w:highlight w:val="none"/>
        </w:rPr>
      </w:pPr>
      <w:r>
        <w:rPr>
          <w:rFonts w:ascii="宋体" w:hAnsi="宋体"/>
          <w:color w:val="auto"/>
          <w:sz w:val="21"/>
          <w:szCs w:val="21"/>
          <w:highlight w:val="none"/>
        </w:rPr>
        <w:t xml:space="preserve">（1）本项目对小型和微型企业产品给予</w:t>
      </w:r>
      <w:r>
        <w:rPr>
          <w:rFonts w:hint="eastAsia" w:ascii="宋体" w:hAnsi="宋体"/>
          <w:color w:val="auto"/>
          <w:sz w:val="21"/>
          <w:szCs w:val="21"/>
          <w:highlight w:val="none"/>
        </w:rPr>
        <w:t xml:space="preserve">/</w:t>
      </w:r>
      <w:r>
        <w:rPr>
          <w:rFonts w:ascii="宋体" w:hAnsi="宋体"/>
          <w:color w:val="auto"/>
          <w:sz w:val="21"/>
          <w:szCs w:val="21"/>
          <w:highlight w:val="none"/>
        </w:rPr>
        <w:t xml:space="preserve">%的扣除价格，用扣除后的价格参与评审。</w:t>
      </w:r>
      <w:r/>
    </w:p>
    <w:p>
      <w:pPr>
        <w:pStyle w:val="872"/>
        <w:ind w:firstLine="420"/>
        <w:spacing w:before="0" w:after="0"/>
        <w:rPr>
          <w:rFonts w:ascii="宋体" w:hAnsi="宋体"/>
          <w:color w:val="auto"/>
          <w:sz w:val="21"/>
          <w:szCs w:val="21"/>
          <w:highlight w:val="none"/>
        </w:rPr>
      </w:pPr>
      <w:r>
        <w:rPr>
          <w:rFonts w:ascii="宋体" w:hAnsi="宋体"/>
          <w:color w:val="auto"/>
          <w:sz w:val="21"/>
          <w:szCs w:val="21"/>
          <w:highlight w:val="none"/>
        </w:rPr>
        <w:t xml:space="preserve">（2）供应商需按照采购文件的要求提供相应的《企业声明函》。</w:t>
      </w:r>
      <w:r/>
    </w:p>
    <w:p>
      <w:pPr>
        <w:pStyle w:val="872"/>
        <w:ind w:firstLine="420"/>
        <w:spacing w:before="0" w:after="0"/>
        <w:rPr>
          <w:rFonts w:ascii="宋体" w:hAnsi="宋体"/>
          <w:color w:val="auto"/>
          <w:sz w:val="21"/>
          <w:szCs w:val="21"/>
          <w:highlight w:val="none"/>
        </w:rPr>
      </w:pPr>
      <w:r>
        <w:rPr>
          <w:rFonts w:ascii="宋体" w:hAnsi="宋体"/>
          <w:color w:val="auto"/>
          <w:sz w:val="21"/>
          <w:szCs w:val="21"/>
          <w:highlight w:val="none"/>
        </w:rPr>
        <w:t xml:space="preserve">2、残疾人福利单位价格扣除</w:t>
      </w:r>
      <w:r/>
    </w:p>
    <w:p>
      <w:pPr>
        <w:pStyle w:val="872"/>
        <w:ind w:firstLine="420"/>
        <w:spacing w:before="0" w:after="0"/>
        <w:rPr>
          <w:rFonts w:ascii="宋体" w:hAnsi="宋体"/>
          <w:color w:val="auto"/>
          <w:sz w:val="21"/>
          <w:szCs w:val="21"/>
          <w:highlight w:val="none"/>
        </w:rPr>
      </w:pPr>
      <w:r>
        <w:rPr>
          <w:rFonts w:ascii="宋体" w:hAnsi="宋体"/>
          <w:color w:val="auto"/>
          <w:sz w:val="21"/>
          <w:szCs w:val="21"/>
          <w:highlight w:val="none"/>
        </w:rPr>
        <w:t xml:space="preserve">（1）本项目对残疾人福利性单位视同小型、微型企业，给予</w:t>
      </w:r>
      <w:r>
        <w:rPr>
          <w:rFonts w:hint="eastAsia" w:ascii="宋体" w:hAnsi="宋体"/>
          <w:color w:val="auto"/>
          <w:sz w:val="21"/>
          <w:szCs w:val="21"/>
          <w:highlight w:val="none"/>
        </w:rPr>
        <w:t xml:space="preserve">/</w:t>
      </w:r>
      <w:r>
        <w:rPr>
          <w:rFonts w:ascii="宋体" w:hAnsi="宋体"/>
          <w:color w:val="auto"/>
          <w:sz w:val="21"/>
          <w:szCs w:val="21"/>
          <w:highlight w:val="none"/>
        </w:rPr>
        <w:t xml:space="preserve">%的价格扣除，用扣除后的价格参与评审。</w:t>
      </w:r>
      <w:r/>
    </w:p>
    <w:p>
      <w:pPr>
        <w:pStyle w:val="872"/>
        <w:ind w:firstLine="420"/>
        <w:spacing w:before="0" w:after="0"/>
        <w:rPr>
          <w:rFonts w:ascii="宋体" w:hAnsi="宋体"/>
          <w:color w:val="auto"/>
          <w:sz w:val="21"/>
          <w:szCs w:val="21"/>
          <w:highlight w:val="none"/>
        </w:rPr>
      </w:pPr>
      <w:r>
        <w:rPr>
          <w:rFonts w:ascii="宋体" w:hAnsi="宋体"/>
          <w:color w:val="auto"/>
          <w:sz w:val="21"/>
          <w:szCs w:val="21"/>
          <w:highlight w:val="none"/>
        </w:rPr>
        <w:t xml:space="preserve">（2）残疾人福利单位需按照采购文件的要求提供《残疾人福利性单位声明函》。</w:t>
      </w:r>
      <w:r/>
    </w:p>
    <w:p>
      <w:pPr>
        <w:pStyle w:val="872"/>
        <w:ind w:firstLine="420"/>
        <w:spacing w:before="0" w:after="0"/>
        <w:rPr>
          <w:rFonts w:ascii="宋体" w:hAnsi="宋体"/>
          <w:color w:val="auto"/>
          <w:sz w:val="21"/>
          <w:szCs w:val="21"/>
          <w:highlight w:val="none"/>
        </w:rPr>
      </w:pPr>
      <w:r>
        <w:rPr>
          <w:rFonts w:ascii="宋体" w:hAnsi="宋体"/>
          <w:color w:val="auto"/>
          <w:sz w:val="21"/>
          <w:szCs w:val="21"/>
          <w:highlight w:val="none"/>
        </w:rPr>
        <w:t xml:space="preserve">（3）残疾人福利单位标准请参照《关于促进残疾人就业政府采购政策的通知》（财库〔2017〕141号）。</w:t>
      </w:r>
      <w:r/>
    </w:p>
    <w:p>
      <w:pPr>
        <w:pStyle w:val="872"/>
        <w:ind w:firstLine="420"/>
        <w:spacing w:before="0" w:after="0"/>
        <w:rPr>
          <w:rFonts w:ascii="宋体" w:hAnsi="宋体"/>
          <w:color w:val="auto"/>
          <w:sz w:val="21"/>
          <w:szCs w:val="21"/>
          <w:highlight w:val="none"/>
        </w:rPr>
      </w:pPr>
      <w:r>
        <w:rPr>
          <w:rFonts w:ascii="宋体" w:hAnsi="宋体"/>
          <w:color w:val="auto"/>
          <w:sz w:val="21"/>
          <w:szCs w:val="21"/>
          <w:highlight w:val="none"/>
        </w:rPr>
        <w:t xml:space="preserve">3、监狱和戒毒企业价格扣除</w:t>
      </w:r>
      <w:r/>
    </w:p>
    <w:p>
      <w:pPr>
        <w:pStyle w:val="872"/>
        <w:ind w:firstLine="420"/>
        <w:spacing w:before="0" w:after="0"/>
        <w:rPr>
          <w:rFonts w:ascii="宋体" w:hAnsi="宋体"/>
          <w:color w:val="auto"/>
          <w:sz w:val="21"/>
          <w:szCs w:val="21"/>
          <w:highlight w:val="none"/>
        </w:rPr>
      </w:pPr>
      <w:r>
        <w:rPr>
          <w:rFonts w:ascii="宋体" w:hAnsi="宋体"/>
          <w:color w:val="auto"/>
          <w:sz w:val="21"/>
          <w:szCs w:val="21"/>
          <w:highlight w:val="none"/>
        </w:rPr>
        <w:t xml:space="preserve">（1）本项目对监狱和戒毒企业（简称监狱企业）视同小型、微型企业，给予</w:t>
      </w:r>
      <w:r>
        <w:rPr>
          <w:rFonts w:hint="eastAsia" w:ascii="宋体" w:hAnsi="宋体"/>
          <w:color w:val="auto"/>
          <w:sz w:val="21"/>
          <w:szCs w:val="21"/>
          <w:highlight w:val="none"/>
        </w:rPr>
        <w:t xml:space="preserve">/</w:t>
      </w:r>
      <w:r>
        <w:rPr>
          <w:rFonts w:ascii="宋体" w:hAnsi="宋体"/>
          <w:color w:val="auto"/>
          <w:sz w:val="21"/>
          <w:szCs w:val="21"/>
          <w:highlight w:val="none"/>
        </w:rPr>
        <w:t xml:space="preserve">%的价格扣除，用扣除后的价格参与评审。</w:t>
      </w:r>
      <w:r/>
    </w:p>
    <w:p>
      <w:pPr>
        <w:pStyle w:val="872"/>
        <w:ind w:firstLine="420"/>
        <w:spacing w:before="0" w:after="0"/>
        <w:rPr>
          <w:rFonts w:ascii="宋体" w:hAnsi="宋体"/>
          <w:color w:val="auto"/>
          <w:sz w:val="21"/>
          <w:szCs w:val="21"/>
          <w:highlight w:val="none"/>
        </w:rPr>
      </w:pPr>
      <w:r>
        <w:rPr>
          <w:rFonts w:ascii="宋体" w:hAnsi="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72"/>
        <w:ind w:firstLine="420"/>
        <w:spacing w:before="0" w:after="0"/>
        <w:rPr>
          <w:rFonts w:ascii="宋体" w:hAnsi="宋体"/>
          <w:color w:val="auto"/>
          <w:sz w:val="21"/>
          <w:szCs w:val="21"/>
          <w:highlight w:val="none"/>
        </w:rPr>
      </w:pPr>
      <w:r>
        <w:rPr>
          <w:rFonts w:ascii="宋体" w:hAnsi="宋体"/>
          <w:color w:val="auto"/>
          <w:sz w:val="21"/>
          <w:szCs w:val="21"/>
          <w:highlight w:val="none"/>
        </w:rPr>
        <w:t xml:space="preserve">（3）监狱企业标准请参照《关于政府采购支持监狱企业发展有关问题的通知》（财库[2014]68号）。</w:t>
      </w:r>
      <w:r/>
    </w:p>
    <w:p>
      <w:pPr>
        <w:pStyle w:val="872"/>
        <w:ind w:firstLine="420"/>
        <w:spacing w:before="0" w:after="0"/>
        <w:rPr>
          <w:rFonts w:ascii="宋体" w:hAnsi="宋体"/>
          <w:color w:val="auto"/>
          <w:sz w:val="21"/>
          <w:szCs w:val="21"/>
          <w:highlight w:val="none"/>
        </w:rPr>
      </w:pPr>
      <w:r>
        <w:rPr>
          <w:rFonts w:ascii="宋体" w:hAnsi="宋体"/>
          <w:color w:val="auto"/>
          <w:sz w:val="21"/>
          <w:szCs w:val="21"/>
          <w:highlight w:val="none"/>
        </w:rPr>
        <w:t xml:space="preserve">4、残疾人福利单位、监狱企业属于小型、微型企业的，不重复享受政策。</w:t>
      </w:r>
      <w:r/>
    </w:p>
    <w:p>
      <w:pPr>
        <w:pStyle w:val="872"/>
        <w:ind w:firstLine="420"/>
        <w:spacing w:before="0" w:after="0"/>
        <w:rPr>
          <w:rFonts w:ascii="宋体" w:hAnsi="宋体"/>
          <w:color w:val="auto"/>
          <w:sz w:val="21"/>
          <w:szCs w:val="21"/>
          <w:highlight w:val="none"/>
        </w:rPr>
      </w:pPr>
      <w:r>
        <w:rPr>
          <w:rFonts w:ascii="宋体" w:hAnsi="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auto"/>
          <w:sz w:val="21"/>
          <w:szCs w:val="21"/>
          <w:highlight w:val="none"/>
        </w:rPr>
        <w:t xml:space="preserve">/</w:t>
      </w:r>
      <w:r>
        <w:rPr>
          <w:rFonts w:ascii="宋体" w:hAnsi="宋体"/>
          <w:color w:val="auto"/>
          <w:sz w:val="21"/>
          <w:szCs w:val="21"/>
          <w:highlight w:val="none"/>
        </w:rPr>
        <w:t xml:space="preserve">%的价格扣除，用扣除后的价格参与评审。</w:t>
      </w:r>
      <w:r/>
    </w:p>
    <w:p>
      <w:pPr>
        <w:pStyle w:val="872"/>
        <w:ind w:firstLine="420"/>
        <w:spacing w:before="0" w:after="0"/>
        <w:rPr>
          <w:rFonts w:ascii="宋体" w:hAnsi="宋体"/>
          <w:color w:val="auto"/>
          <w:sz w:val="21"/>
          <w:szCs w:val="21"/>
          <w:highlight w:val="none"/>
        </w:rPr>
      </w:pPr>
      <w:r>
        <w:rPr>
          <w:rFonts w:ascii="宋体" w:hAnsi="宋体"/>
          <w:color w:val="auto"/>
          <w:sz w:val="21"/>
          <w:szCs w:val="21"/>
          <w:highlight w:val="none"/>
        </w:rPr>
        <w:t xml:space="preserve">6、联合体各方均为小型、微型企业（残疾人福利单位、监狱企业）的，联合体享受</w:t>
      </w:r>
      <w:r>
        <w:rPr>
          <w:rFonts w:hint="eastAsia" w:ascii="宋体" w:hAnsi="宋体"/>
          <w:color w:val="auto"/>
          <w:sz w:val="21"/>
          <w:szCs w:val="21"/>
          <w:highlight w:val="none"/>
        </w:rPr>
        <w:t xml:space="preserve">/</w:t>
      </w:r>
      <w:r>
        <w:rPr>
          <w:rFonts w:ascii="宋体" w:hAnsi="宋体"/>
          <w:color w:val="auto"/>
          <w:sz w:val="21"/>
          <w:szCs w:val="21"/>
          <w:highlight w:val="none"/>
        </w:rPr>
        <w:t xml:space="preserve">%价格扣除，用扣除后的价格参与评审。</w:t>
      </w:r>
      <w:r/>
    </w:p>
    <w:p>
      <w:pPr>
        <w:pStyle w:val="87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7、大中型企业向小型、微型企业分包的，分包意向协议约定小型、微型企业合同份额占到合同总金额30%以上的，给予/%的价格扣除，用扣除后的价格参与评审。</w:t>
      </w:r>
      <w:r/>
    </w:p>
    <w:p>
      <w:pPr>
        <w:pStyle w:val="872"/>
        <w:ind w:firstLine="422"/>
        <w:rPr>
          <w:rFonts w:ascii="宋体" w:hAnsi="宋体"/>
          <w:b/>
          <w:color w:val="auto"/>
          <w:sz w:val="21"/>
          <w:szCs w:val="21"/>
          <w:highlight w:val="none"/>
        </w:rPr>
      </w:pPr>
      <w:r>
        <w:rPr>
          <w:rFonts w:hint="eastAsia" w:ascii="宋体" w:hAnsi="宋体"/>
          <w:b/>
          <w:color w:val="auto"/>
          <w:sz w:val="21"/>
          <w:szCs w:val="21"/>
          <w:highlight w:val="none"/>
        </w:rPr>
        <w:t xml:space="preserve">三、评标标准</w:t>
      </w:r>
      <w:r/>
    </w:p>
    <w:tbl>
      <w:tblPr>
        <w:tblStyle w:val="851"/>
        <w:tblW w:w="83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5"/>
        <w:gridCol w:w="7043"/>
      </w:tblGrid>
      <w:tr>
        <w:trPr>
          <w:jc w:val="center"/>
          <w:trHeight w:val="161"/>
        </w:trPr>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项目</w:t>
            </w:r>
            <w:r/>
          </w:p>
        </w:tc>
        <w:tc>
          <w:tcPr>
            <w:tcBorders>
              <w:top w:val="single" w:color="000000" w:sz="4" w:space="0"/>
              <w:left w:val="none" w:color="000000" w:sz="4" w:space="0"/>
              <w:bottom w:val="single" w:color="000000" w:sz="4" w:space="0"/>
              <w:right w:val="single" w:color="000000" w:sz="4" w:space="0"/>
            </w:tcBorders>
            <w:tcW w:w="7043" w:type="dxa"/>
            <w:vAlign w:val="center"/>
            <w:textDirection w:val="lrTb"/>
            <w:noWrap/>
          </w:tcPr>
          <w:p>
            <w:pPr>
              <w:jc w:val="center"/>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评分标准</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报价</w:t>
            </w:r>
            <w:r/>
          </w:p>
          <w:p>
            <w:pPr>
              <w:jc w:val="center"/>
              <w:rPr>
                <w:rFonts w:ascii="宋体" w:hAnsi="宋体" w:cs="宋体"/>
                <w:color w:val="auto"/>
                <w:highlight w:val="none"/>
              </w:rPr>
            </w:pPr>
            <w:r>
              <w:rPr>
                <w:rFonts w:hint="eastAsia" w:ascii="宋体" w:hAnsi="宋体" w:cs="宋体"/>
                <w:color w:val="auto"/>
                <w:highlight w:val="none"/>
              </w:rPr>
              <w:t xml:space="preserve">（10分）</w:t>
            </w:r>
            <w:r/>
          </w:p>
        </w:tc>
        <w:tc>
          <w:tcPr>
            <w:tcBorders>
              <w:top w:val="single" w:color="000000" w:sz="4" w:space="0"/>
              <w:left w:val="none" w:color="000000" w:sz="4" w:space="0"/>
              <w:bottom w:val="single" w:color="000000" w:sz="4" w:space="0"/>
              <w:right w:val="single" w:color="000000" w:sz="4" w:space="0"/>
            </w:tcBorders>
            <w:tcW w:w="7043" w:type="dxa"/>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以满足招标文件要求的最低投标报价为评审基准价，得满分10分。其他投标报价得分=（评审基准价/其他投标报价）×10×100％（保留两位小数）。</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实施方案</w:t>
            </w:r>
            <w:r/>
          </w:p>
          <w:p>
            <w:pPr>
              <w:jc w:val="center"/>
              <w:rPr>
                <w:rFonts w:ascii="宋体" w:hAnsi="宋体" w:cs="仿宋"/>
                <w:color w:val="auto"/>
                <w:szCs w:val="21"/>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51</w:t>
            </w:r>
            <w:r>
              <w:rPr>
                <w:rFonts w:hint="eastAsia" w:ascii="宋体" w:hAnsi="宋体" w:cs="宋体"/>
                <w:color w:val="auto"/>
                <w:highlight w:val="none"/>
              </w:rPr>
              <w:t xml:space="preserve">分）</w:t>
            </w:r>
            <w:r/>
          </w:p>
        </w:tc>
        <w:tc>
          <w:tcPr>
            <w:tcBorders>
              <w:top w:val="single" w:color="000000" w:sz="4" w:space="0"/>
              <w:left w:val="none" w:color="000000" w:sz="4" w:space="0"/>
              <w:bottom w:val="single" w:color="000000" w:sz="4" w:space="0"/>
              <w:right w:val="single" w:color="000000" w:sz="4" w:space="0"/>
            </w:tcBorders>
            <w:tcW w:w="7043" w:type="dxa"/>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1、对项目的理解程度（</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分）</w:t>
            </w:r>
            <w:r/>
          </w:p>
          <w:p>
            <w:pPr>
              <w:rPr>
                <w:rFonts w:ascii="宋体" w:hAnsi="宋体" w:cs="宋体"/>
                <w:color w:val="auto"/>
                <w:highlight w:val="none"/>
              </w:rPr>
            </w:pPr>
            <w:r>
              <w:rPr>
                <w:rFonts w:hint="eastAsia" w:ascii="宋体" w:hAnsi="宋体" w:cs="宋体"/>
                <w:color w:val="auto"/>
                <w:highlight w:val="none"/>
              </w:rPr>
              <w:t xml:space="preserve">根据投标人关于（1）对本项目点位外场设施设备、平台系统、维管平台的运行现状了解与认识；（2）对部省市公路部门维护管理规范及要求的理解；</w:t>
            </w:r>
            <w:r/>
          </w:p>
          <w:p>
            <w:pPr>
              <w:rPr>
                <w:rFonts w:ascii="宋体" w:hAnsi="宋体" w:cs="宋体"/>
                <w:color w:val="auto"/>
                <w:highlight w:val="none"/>
              </w:rPr>
            </w:pPr>
            <w:r>
              <w:rPr>
                <w:rFonts w:hint="eastAsia" w:ascii="宋体" w:hAnsi="宋体" w:cs="宋体"/>
                <w:color w:val="auto"/>
                <w:highlight w:val="none"/>
              </w:rPr>
              <w:t xml:space="preserve">方案科学、严密、合理，描述详细且具有针对性的得</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分；</w:t>
            </w:r>
            <w:r/>
          </w:p>
          <w:p>
            <w:pPr>
              <w:rPr>
                <w:rFonts w:ascii="宋体" w:hAnsi="宋体" w:cs="宋体"/>
                <w:color w:val="auto"/>
                <w:highlight w:val="none"/>
              </w:rPr>
            </w:pPr>
            <w:r>
              <w:rPr>
                <w:rFonts w:hint="eastAsia" w:ascii="宋体" w:hAnsi="宋体" w:cs="宋体"/>
                <w:color w:val="auto"/>
                <w:highlight w:val="none"/>
              </w:rPr>
              <w:t xml:space="preserve">方案较合理、严密、描述较为详细的得</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分；</w:t>
            </w:r>
            <w:r/>
          </w:p>
          <w:p>
            <w:pPr>
              <w:rPr>
                <w:rFonts w:ascii="宋体" w:hAnsi="宋体" w:cs="宋体"/>
                <w:color w:val="auto"/>
                <w:highlight w:val="none"/>
              </w:rPr>
            </w:pPr>
            <w:r>
              <w:rPr>
                <w:rFonts w:hint="eastAsia" w:ascii="宋体" w:hAnsi="宋体" w:cs="宋体"/>
                <w:color w:val="auto"/>
                <w:highlight w:val="none"/>
              </w:rPr>
              <w:t xml:space="preserve">方案基本合理、描述一般的得</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p>
            <w:pPr>
              <w:rPr>
                <w:rFonts w:ascii="宋体" w:hAnsi="宋体" w:cs="宋体"/>
                <w:color w:val="auto"/>
                <w:highlight w:val="none"/>
              </w:rPr>
            </w:pPr>
            <w:r>
              <w:rPr>
                <w:rFonts w:hint="eastAsia" w:ascii="宋体" w:hAnsi="宋体" w:cs="宋体"/>
                <w:color w:val="auto"/>
                <w:highlight w:val="none"/>
              </w:rPr>
              <w:t xml:space="preserve">方案较差、描述欠缺的得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p>
          <w:p>
            <w:pPr>
              <w:rPr>
                <w:rFonts w:ascii="宋体" w:hAnsi="宋体" w:cs="宋体"/>
                <w:color w:val="auto"/>
                <w:highlight w:val="none"/>
              </w:rPr>
            </w:pPr>
            <w:r>
              <w:rPr>
                <w:rFonts w:hint="eastAsia" w:ascii="宋体" w:hAnsi="宋体" w:cs="宋体"/>
                <w:color w:val="auto"/>
                <w:highlight w:val="none"/>
              </w:rPr>
              <w:t xml:space="preserve">未提供不得分。</w:t>
            </w:r>
            <w:r/>
          </w:p>
          <w:p>
            <w:pPr>
              <w:rPr>
                <w:rFonts w:ascii="宋体" w:hAnsi="宋体" w:cs="宋体"/>
                <w:color w:val="auto"/>
                <w:highlight w:val="none"/>
              </w:rPr>
            </w:pPr>
            <w:r>
              <w:rPr>
                <w:rFonts w:hint="eastAsia" w:ascii="宋体" w:hAnsi="宋体" w:cs="宋体"/>
                <w:color w:val="auto"/>
                <w:highlight w:val="none"/>
              </w:rPr>
              <w:t xml:space="preserve">2、维护方案（</w:t>
            </w:r>
            <w:r>
              <w:rPr>
                <w:rFonts w:hint="eastAsia" w:ascii="宋体" w:hAnsi="宋体" w:cs="宋体"/>
                <w:color w:val="auto"/>
                <w:highlight w:val="none"/>
                <w:lang w:val="en-US" w:eastAsia="zh-CN"/>
              </w:rPr>
              <w:t xml:space="preserve">11</w:t>
            </w:r>
            <w:r>
              <w:rPr>
                <w:rFonts w:hint="eastAsia" w:ascii="宋体" w:hAnsi="宋体" w:cs="宋体"/>
                <w:color w:val="auto"/>
                <w:highlight w:val="none"/>
              </w:rPr>
              <w:t xml:space="preserve">分）</w:t>
            </w:r>
            <w:r/>
          </w:p>
          <w:p>
            <w:pPr>
              <w:rPr>
                <w:rFonts w:ascii="宋体" w:hAnsi="宋体" w:cs="宋体"/>
                <w:color w:val="auto"/>
                <w:highlight w:val="none"/>
              </w:rPr>
            </w:pPr>
            <w:r/>
            <w:bookmarkStart w:id="62" w:name="OLE_LINK3"/>
            <w:r>
              <w:rPr>
                <w:rFonts w:hint="eastAsia" w:ascii="宋体" w:hAnsi="宋体" w:cs="宋体"/>
                <w:color w:val="auto"/>
                <w:highlight w:val="none"/>
              </w:rPr>
              <w:t xml:space="preserve">包括（1）维护工作方法及技术措施；（2）维护响应时间、故障处理效率、日常维护措施、应急方案、定期巡检、预防性维护措施及维护质量和成效保证措施；（3）维护队伍整体配备数量、技术能力、相关工作经验；（4）安全、环保方案及保证措施。</w:t>
            </w:r>
            <w:r/>
          </w:p>
          <w:p>
            <w:pPr>
              <w:rPr>
                <w:rFonts w:ascii="宋体" w:hAnsi="宋体" w:cs="宋体"/>
                <w:color w:val="auto"/>
                <w:highlight w:val="none"/>
              </w:rPr>
            </w:pPr>
            <w:r>
              <w:rPr>
                <w:rFonts w:hint="eastAsia" w:ascii="宋体" w:hAnsi="宋体" w:cs="宋体"/>
                <w:color w:val="auto"/>
                <w:highlight w:val="none"/>
              </w:rPr>
              <w:t xml:space="preserve">方案科学、严密、合理，描述详细且具有针对性的得</w:t>
            </w:r>
            <w:r>
              <w:rPr>
                <w:rFonts w:hint="eastAsia" w:ascii="宋体" w:hAnsi="宋体" w:cs="宋体"/>
                <w:color w:val="auto"/>
                <w:highlight w:val="none"/>
                <w:lang w:val="en-US" w:eastAsia="zh-CN"/>
              </w:rPr>
              <w:t xml:space="preserve">11</w:t>
            </w:r>
            <w:r>
              <w:rPr>
                <w:rFonts w:hint="eastAsia" w:ascii="宋体" w:hAnsi="宋体" w:cs="宋体"/>
                <w:color w:val="auto"/>
                <w:highlight w:val="none"/>
              </w:rPr>
              <w:t xml:space="preserve">分；</w:t>
            </w:r>
            <w:r/>
          </w:p>
          <w:p>
            <w:pPr>
              <w:rPr>
                <w:rFonts w:ascii="宋体" w:hAnsi="宋体" w:cs="宋体"/>
                <w:color w:val="auto"/>
                <w:highlight w:val="none"/>
              </w:rPr>
            </w:pPr>
            <w:r>
              <w:rPr>
                <w:rFonts w:hint="eastAsia" w:ascii="宋体" w:hAnsi="宋体" w:cs="宋体"/>
                <w:color w:val="auto"/>
                <w:highlight w:val="none"/>
              </w:rPr>
              <w:t xml:space="preserve">方案较合理、严密、描述较为详细的得</w:t>
            </w: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分；</w:t>
            </w:r>
            <w:r/>
          </w:p>
          <w:p>
            <w:pPr>
              <w:rPr>
                <w:rFonts w:ascii="宋体" w:hAnsi="宋体" w:cs="宋体"/>
                <w:color w:val="auto"/>
                <w:highlight w:val="none"/>
              </w:rPr>
            </w:pPr>
            <w:r>
              <w:rPr>
                <w:rFonts w:hint="eastAsia" w:ascii="宋体" w:hAnsi="宋体" w:cs="宋体"/>
                <w:color w:val="auto"/>
                <w:highlight w:val="none"/>
              </w:rPr>
              <w:t xml:space="preserve">方案基本合理、描述一般的得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rPr>
                <w:rFonts w:ascii="宋体" w:hAnsi="宋体" w:cs="宋体"/>
                <w:color w:val="auto"/>
                <w:highlight w:val="none"/>
              </w:rPr>
            </w:pPr>
            <w:r>
              <w:rPr>
                <w:rFonts w:hint="eastAsia" w:ascii="宋体" w:hAnsi="宋体" w:cs="宋体"/>
                <w:color w:val="auto"/>
                <w:highlight w:val="none"/>
              </w:rPr>
              <w:t xml:space="preserve">方案较差、描述欠缺的得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rPr>
                <w:rFonts w:ascii="宋体" w:hAnsi="宋体" w:cs="宋体"/>
                <w:color w:val="auto"/>
                <w:highlight w:val="none"/>
              </w:rPr>
            </w:pPr>
            <w:r>
              <w:rPr>
                <w:rFonts w:hint="eastAsia" w:ascii="宋体" w:hAnsi="宋体" w:cs="宋体"/>
                <w:color w:val="auto"/>
                <w:highlight w:val="none"/>
              </w:rPr>
              <w:t xml:space="preserve">未提供不得分。</w:t>
            </w:r>
            <w:bookmarkEnd w:id="62"/>
            <w:r/>
            <w:r/>
          </w:p>
          <w:p>
            <w:pPr>
              <w:rPr>
                <w:rFonts w:ascii="宋体" w:hAnsi="宋体" w:cs="宋体"/>
                <w:color w:val="auto"/>
                <w:highlight w:val="none"/>
              </w:rPr>
            </w:pPr>
            <w:r>
              <w:rPr>
                <w:rFonts w:hint="eastAsia" w:ascii="宋体" w:hAnsi="宋体" w:cs="宋体"/>
                <w:color w:val="auto"/>
                <w:highlight w:val="none"/>
              </w:rPr>
              <w:t xml:space="preserve">3、针对项目重点难点分析及相关建议方案（</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分）</w:t>
            </w:r>
            <w:r/>
          </w:p>
          <w:p>
            <w:pPr>
              <w:rPr>
                <w:rFonts w:ascii="宋体" w:hAnsi="宋体" w:cs="宋体"/>
                <w:color w:val="auto"/>
                <w:highlight w:val="none"/>
              </w:rPr>
            </w:pPr>
            <w:r>
              <w:rPr>
                <w:rFonts w:hint="eastAsia" w:ascii="宋体" w:hAnsi="宋体" w:cs="宋体"/>
                <w:color w:val="auto"/>
                <w:highlight w:val="none"/>
              </w:rPr>
              <w:t xml:space="preserve">方案科学、严密、合理，描述详细且具有针对性的得</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分；</w:t>
            </w:r>
            <w:r/>
          </w:p>
          <w:p>
            <w:pPr>
              <w:rPr>
                <w:rFonts w:ascii="宋体" w:hAnsi="宋体" w:cs="宋体"/>
                <w:color w:val="auto"/>
                <w:highlight w:val="none"/>
              </w:rPr>
            </w:pPr>
            <w:r>
              <w:rPr>
                <w:rFonts w:hint="eastAsia" w:ascii="宋体" w:hAnsi="宋体" w:cs="宋体"/>
                <w:color w:val="auto"/>
                <w:highlight w:val="none"/>
              </w:rPr>
              <w:t xml:space="preserve">方案较合理、严密、描述较为详细的得</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分；</w:t>
            </w:r>
            <w:r/>
          </w:p>
          <w:p>
            <w:pPr>
              <w:rPr>
                <w:rFonts w:ascii="宋体" w:hAnsi="宋体" w:cs="宋体"/>
                <w:color w:val="auto"/>
                <w:highlight w:val="none"/>
              </w:rPr>
            </w:pPr>
            <w:r>
              <w:rPr>
                <w:rFonts w:hint="eastAsia" w:ascii="宋体" w:hAnsi="宋体" w:cs="宋体"/>
                <w:color w:val="auto"/>
                <w:highlight w:val="none"/>
              </w:rPr>
              <w:t xml:space="preserve">方案基本合理、描述一般的得</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p>
            <w:pPr>
              <w:rPr>
                <w:rFonts w:ascii="宋体" w:hAnsi="宋体" w:cs="宋体"/>
                <w:color w:val="auto"/>
                <w:highlight w:val="none"/>
              </w:rPr>
            </w:pPr>
            <w:r>
              <w:rPr>
                <w:rFonts w:hint="eastAsia" w:ascii="宋体" w:hAnsi="宋体" w:cs="宋体"/>
                <w:color w:val="auto"/>
                <w:highlight w:val="none"/>
              </w:rPr>
              <w:t xml:space="preserve">方案较差、描述欠缺的得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p>
          <w:p>
            <w:pPr>
              <w:rPr>
                <w:rFonts w:ascii="宋体" w:hAnsi="宋体" w:cs="宋体"/>
                <w:color w:val="auto"/>
                <w:highlight w:val="none"/>
              </w:rPr>
            </w:pPr>
            <w:r>
              <w:rPr>
                <w:rFonts w:hint="eastAsia" w:ascii="宋体" w:hAnsi="宋体" w:cs="宋体"/>
                <w:color w:val="auto"/>
                <w:highlight w:val="none"/>
              </w:rPr>
              <w:t xml:space="preserve">未提供不得分。</w:t>
            </w:r>
            <w:r/>
          </w:p>
          <w:p>
            <w:pPr>
              <w:rPr>
                <w:rFonts w:ascii="宋体" w:hAnsi="宋体" w:cs="宋体"/>
                <w:color w:val="auto"/>
                <w:highlight w:val="none"/>
              </w:rPr>
            </w:pPr>
            <w:r>
              <w:rPr>
                <w:rFonts w:hint="eastAsia" w:ascii="宋体" w:hAnsi="宋体" w:cs="宋体"/>
                <w:color w:val="auto"/>
                <w:highlight w:val="none"/>
              </w:rPr>
              <w:t xml:space="preserve">4、维护工具及备品备件（</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分）</w:t>
            </w:r>
            <w:r/>
          </w:p>
          <w:p>
            <w:pPr>
              <w:rPr>
                <w:rFonts w:ascii="宋体" w:hAnsi="宋体" w:cs="宋体"/>
                <w:color w:val="auto"/>
                <w:highlight w:val="none"/>
              </w:rPr>
            </w:pPr>
            <w:r>
              <w:rPr>
                <w:rFonts w:hint="eastAsia" w:ascii="宋体" w:hAnsi="宋体" w:cs="宋体"/>
                <w:color w:val="auto"/>
                <w:highlight w:val="none"/>
              </w:rPr>
              <w:t xml:space="preserve">（1）维护机械、设备、材料等维护工具配备；（2）主要设备设施的备品备件的种类、数量及保证措施。</w:t>
            </w:r>
            <w:r/>
          </w:p>
          <w:p>
            <w:pPr>
              <w:rPr>
                <w:rFonts w:ascii="宋体" w:hAnsi="宋体" w:cs="宋体"/>
                <w:color w:val="auto"/>
                <w:highlight w:val="none"/>
              </w:rPr>
            </w:pPr>
            <w:r>
              <w:rPr>
                <w:rFonts w:hint="eastAsia" w:ascii="宋体" w:hAnsi="宋体" w:cs="宋体"/>
                <w:color w:val="auto"/>
                <w:highlight w:val="none"/>
              </w:rPr>
              <w:t xml:space="preserve">方案科学、严密、合理，描述详细且具有针对性的得</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分；</w:t>
            </w:r>
            <w:r/>
          </w:p>
          <w:p>
            <w:pPr>
              <w:rPr>
                <w:rFonts w:ascii="宋体" w:hAnsi="宋体" w:cs="宋体"/>
                <w:color w:val="auto"/>
                <w:highlight w:val="none"/>
              </w:rPr>
            </w:pPr>
            <w:r>
              <w:rPr>
                <w:rFonts w:hint="eastAsia" w:ascii="宋体" w:hAnsi="宋体" w:cs="宋体"/>
                <w:color w:val="auto"/>
                <w:highlight w:val="none"/>
              </w:rPr>
              <w:t xml:space="preserve">方案较合理、严密、描述较为详细的得</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分；</w:t>
            </w:r>
            <w:r/>
          </w:p>
          <w:p>
            <w:pPr>
              <w:rPr>
                <w:rFonts w:ascii="宋体" w:hAnsi="宋体" w:cs="宋体"/>
                <w:color w:val="auto"/>
                <w:highlight w:val="none"/>
              </w:rPr>
            </w:pPr>
            <w:r>
              <w:rPr>
                <w:rFonts w:hint="eastAsia" w:ascii="宋体" w:hAnsi="宋体" w:cs="宋体"/>
                <w:color w:val="auto"/>
                <w:highlight w:val="none"/>
              </w:rPr>
              <w:t xml:space="preserve">方案基本合理、描述一般的得</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p>
            <w:pPr>
              <w:rPr>
                <w:rFonts w:ascii="宋体" w:hAnsi="宋体" w:cs="宋体"/>
                <w:color w:val="auto"/>
                <w:highlight w:val="none"/>
              </w:rPr>
            </w:pPr>
            <w:r>
              <w:rPr>
                <w:rFonts w:hint="eastAsia" w:ascii="宋体" w:hAnsi="宋体" w:cs="宋体"/>
                <w:color w:val="auto"/>
                <w:highlight w:val="none"/>
              </w:rPr>
              <w:t xml:space="preserve">方案较差、描述欠缺的得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p>
          <w:p>
            <w:pPr>
              <w:rPr>
                <w:rFonts w:ascii="宋体" w:hAnsi="宋体" w:cs="宋体"/>
                <w:color w:val="auto"/>
                <w:highlight w:val="none"/>
              </w:rPr>
            </w:pPr>
            <w:r>
              <w:rPr>
                <w:rFonts w:hint="eastAsia" w:ascii="宋体" w:hAnsi="宋体" w:cs="宋体"/>
                <w:color w:val="auto"/>
                <w:highlight w:val="none"/>
              </w:rPr>
              <w:t xml:space="preserve">未提供不得分。</w:t>
            </w:r>
            <w:r/>
          </w:p>
          <w:p>
            <w:pPr>
              <w:rPr>
                <w:rFonts w:ascii="宋体" w:hAnsi="宋体" w:cs="宋体"/>
                <w:color w:val="auto"/>
                <w:highlight w:val="none"/>
              </w:rPr>
            </w:pPr>
            <w:r>
              <w:rPr>
                <w:rFonts w:hint="eastAsia" w:ascii="宋体" w:hAnsi="宋体" w:cs="宋体"/>
                <w:color w:val="auto"/>
                <w:highlight w:val="none"/>
              </w:rPr>
              <w:t xml:space="preserve">5、</w:t>
            </w:r>
            <w:r>
              <w:rPr>
                <w:rFonts w:hint="eastAsia" w:ascii="宋体" w:hAnsi="宋体" w:cs="宋体"/>
                <w:color w:val="auto"/>
                <w:highlight w:val="none"/>
                <w:lang w:val="zh-CN"/>
              </w:rPr>
              <w:t xml:space="preserve">合理化建议</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分）</w:t>
            </w:r>
            <w:r/>
          </w:p>
          <w:p>
            <w:pPr>
              <w:rPr>
                <w:rFonts w:ascii="宋体" w:hAnsi="宋体" w:cs="宋体"/>
                <w:color w:val="auto"/>
                <w:highlight w:val="none"/>
              </w:rPr>
            </w:pPr>
            <w:r/>
            <w:bookmarkStart w:id="63" w:name="OLE_LINK4"/>
            <w:r>
              <w:rPr>
                <w:rFonts w:hint="eastAsia" w:ascii="宋体" w:hAnsi="宋体" w:cs="宋体"/>
                <w:color w:val="auto"/>
                <w:highlight w:val="none"/>
              </w:rPr>
              <w:t xml:space="preserve">方案科学、严密、合理，描述详细且具有针对性的得</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分；</w:t>
            </w:r>
            <w:r/>
          </w:p>
          <w:p>
            <w:pPr>
              <w:rPr>
                <w:rFonts w:ascii="宋体" w:hAnsi="宋体" w:cs="宋体"/>
                <w:color w:val="auto"/>
                <w:highlight w:val="none"/>
              </w:rPr>
            </w:pPr>
            <w:r>
              <w:rPr>
                <w:rFonts w:hint="eastAsia" w:ascii="宋体" w:hAnsi="宋体" w:cs="宋体"/>
                <w:color w:val="auto"/>
                <w:highlight w:val="none"/>
              </w:rPr>
              <w:t xml:space="preserve">方案较合理、严密、描述较为详细的得</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分；</w:t>
            </w:r>
            <w:r/>
          </w:p>
          <w:p>
            <w:pPr>
              <w:rPr>
                <w:rFonts w:ascii="宋体" w:hAnsi="宋体" w:cs="宋体"/>
                <w:color w:val="auto"/>
                <w:highlight w:val="none"/>
              </w:rPr>
            </w:pPr>
            <w:r>
              <w:rPr>
                <w:rFonts w:hint="eastAsia" w:ascii="宋体" w:hAnsi="宋体" w:cs="宋体"/>
                <w:color w:val="auto"/>
                <w:highlight w:val="none"/>
              </w:rPr>
              <w:t xml:space="preserve">方案基本合理、描述一般的得</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p>
            <w:pPr>
              <w:rPr>
                <w:rFonts w:ascii="宋体" w:hAnsi="宋体" w:cs="宋体"/>
                <w:color w:val="auto"/>
                <w:highlight w:val="none"/>
              </w:rPr>
            </w:pPr>
            <w:r>
              <w:rPr>
                <w:rFonts w:hint="eastAsia" w:ascii="宋体" w:hAnsi="宋体" w:cs="宋体"/>
                <w:color w:val="auto"/>
                <w:highlight w:val="none"/>
              </w:rPr>
              <w:t xml:space="preserve">方案较差、描述欠缺的得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p>
          <w:p>
            <w:pPr>
              <w:rPr>
                <w:rFonts w:ascii="宋体" w:hAnsi="宋体" w:cs="宋体"/>
                <w:color w:val="auto"/>
                <w:highlight w:val="none"/>
              </w:rPr>
            </w:pPr>
            <w:r>
              <w:rPr>
                <w:rFonts w:hint="eastAsia" w:ascii="宋体" w:hAnsi="宋体" w:cs="宋体"/>
                <w:color w:val="auto"/>
                <w:highlight w:val="none"/>
              </w:rPr>
              <w:t xml:space="preserve">未提供不得分。</w:t>
            </w:r>
            <w:bookmarkEnd w:id="63"/>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综合实力</w:t>
            </w:r>
            <w:r/>
          </w:p>
          <w:p>
            <w:pPr>
              <w:jc w:val="center"/>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p>
        </w:tc>
        <w:tc>
          <w:tcPr>
            <w:tcBorders>
              <w:top w:val="single" w:color="000000" w:sz="4" w:space="0"/>
              <w:left w:val="none" w:color="000000" w:sz="4" w:space="0"/>
              <w:bottom w:val="single" w:color="000000" w:sz="4" w:space="0"/>
              <w:right w:val="single" w:color="000000" w:sz="4" w:space="0"/>
            </w:tcBorders>
            <w:tcW w:w="7043" w:type="dxa"/>
            <w:vAlign w:val="center"/>
            <w:textDirection w:val="lrTb"/>
            <w:noWrap/>
          </w:tcPr>
          <w:p>
            <w:pPr>
              <w:rPr>
                <w:rFonts w:ascii="宋体" w:hAnsi="宋体" w:cs="仿宋"/>
                <w:color w:val="auto"/>
                <w:szCs w:val="21"/>
                <w:highlight w:val="none"/>
              </w:rPr>
            </w:pPr>
            <w:r/>
            <w:bookmarkStart w:id="64" w:name="OLE_LINK5"/>
            <w:r>
              <w:rPr>
                <w:rFonts w:hint="eastAsia" w:ascii="宋体" w:hAnsi="宋体" w:cs="仿宋"/>
                <w:color w:val="auto"/>
                <w:szCs w:val="21"/>
                <w:highlight w:val="none"/>
              </w:rPr>
              <w:t xml:space="preserve">投标人具有有效期内的质量管理体系认证证书、环境管理体系认证证书、职业健康安全管理体系认证证书，每项得1分，本项最高得</w:t>
            </w:r>
            <w:r>
              <w:rPr>
                <w:rFonts w:hint="eastAsia" w:ascii="宋体" w:hAnsi="宋体" w:cs="仿宋"/>
                <w:color w:val="auto"/>
                <w:szCs w:val="21"/>
                <w:highlight w:val="none"/>
                <w:lang w:val="en-US" w:eastAsia="zh-CN"/>
              </w:rPr>
              <w:t xml:space="preserve">3</w:t>
            </w:r>
            <w:r>
              <w:rPr>
                <w:rFonts w:hint="eastAsia" w:ascii="宋体" w:hAnsi="宋体" w:cs="仿宋"/>
                <w:color w:val="auto"/>
                <w:szCs w:val="21"/>
                <w:highlight w:val="none"/>
              </w:rPr>
              <w:t xml:space="preserve">分。（提供证书原件扫描上传，以上证书在“国家市场监督管理总局-全国认证认可信息公共服务平台”可查询并处于“有效”状态，否则不得分。）</w:t>
            </w:r>
            <w:bookmarkEnd w:id="64"/>
            <w:r/>
            <w:r/>
          </w:p>
        </w:tc>
      </w:tr>
      <w:tr>
        <w:trPr>
          <w:jc w:val="center"/>
          <w:trHeight w:val="90"/>
        </w:trPr>
        <w:tc>
          <w:tcPr>
            <w:tcBorders>
              <w:top w:val="single" w:color="000000" w:sz="4" w:space="0"/>
              <w:left w:val="single" w:color="000000" w:sz="4" w:space="0"/>
              <w:right w:val="single" w:color="000000" w:sz="4" w:space="0"/>
            </w:tcBorders>
            <w:tcW w:w="1295" w:type="dxa"/>
            <w:vAlign w:val="center"/>
            <w:vMerge w:val="restart"/>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人员配备（</w:t>
            </w:r>
            <w:r>
              <w:rPr>
                <w:rFonts w:hint="eastAsia" w:ascii="宋体" w:hAnsi="宋体" w:cs="宋体"/>
                <w:color w:val="auto"/>
                <w:highlight w:val="none"/>
                <w:lang w:val="en-US" w:eastAsia="zh-CN"/>
              </w:rPr>
              <w:t xml:space="preserve">24</w:t>
            </w:r>
            <w:r>
              <w:rPr>
                <w:rFonts w:hint="eastAsia" w:ascii="宋体" w:hAnsi="宋体" w:cs="宋体"/>
                <w:color w:val="auto"/>
                <w:highlight w:val="none"/>
              </w:rPr>
              <w:t xml:space="preserve">分）</w:t>
            </w:r>
            <w:r/>
          </w:p>
        </w:tc>
        <w:tc>
          <w:tcPr>
            <w:tcBorders>
              <w:top w:val="single" w:color="000000" w:sz="4" w:space="0"/>
              <w:left w:val="none" w:color="000000" w:sz="4" w:space="0"/>
              <w:bottom w:val="single" w:color="000000" w:sz="4" w:space="0"/>
              <w:right w:val="single" w:color="000000" w:sz="4" w:space="0"/>
            </w:tcBorders>
            <w:tcW w:w="7043" w:type="dxa"/>
            <w:vAlign w:val="center"/>
            <w:textDirection w:val="lrTb"/>
            <w:noWrap/>
          </w:tcPr>
          <w:p>
            <w:pPr>
              <w:rPr>
                <w:rFonts w:ascii="宋体" w:hAnsi="宋体" w:cs="宋体"/>
                <w:color w:val="auto"/>
                <w:szCs w:val="21"/>
                <w:highlight w:val="none"/>
              </w:rPr>
            </w:pPr>
            <w:r>
              <w:rPr>
                <w:rFonts w:hint="eastAsia" w:ascii="宋体" w:hAnsi="宋体" w:cs="宋体"/>
                <w:color w:val="auto"/>
                <w:highlight w:val="none"/>
              </w:rPr>
              <w:t xml:space="preserve">项目负责人（1</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p>
          <w:p>
            <w:pPr>
              <w:rPr>
                <w:rFonts w:ascii="宋体" w:hAnsi="宋体" w:cs="仿宋"/>
                <w:color w:val="auto"/>
                <w:szCs w:val="21"/>
                <w:highlight w:val="none"/>
              </w:rPr>
            </w:pPr>
            <w:r/>
            <w:bookmarkStart w:id="65" w:name="OLE_LINK6"/>
            <w:r>
              <w:rPr>
                <w:rFonts w:hint="eastAsia" w:ascii="宋体" w:hAnsi="宋体" w:cs="仿宋"/>
                <w:color w:val="auto"/>
                <w:szCs w:val="21"/>
                <w:highlight w:val="none"/>
              </w:rPr>
              <w:t xml:space="preserve">1、拟投入项目负责人：具有中级职称的，得2分；具有高级或以上职称的，得</w:t>
            </w:r>
            <w:r>
              <w:rPr>
                <w:rFonts w:hint="eastAsia" w:ascii="宋体" w:hAnsi="宋体" w:cs="仿宋"/>
                <w:color w:val="auto"/>
                <w:szCs w:val="21"/>
                <w:highlight w:val="none"/>
                <w:lang w:val="en-US" w:eastAsia="zh-CN"/>
              </w:rPr>
              <w:t xml:space="preserve">3</w:t>
            </w:r>
            <w:r>
              <w:rPr>
                <w:rFonts w:hint="eastAsia" w:ascii="宋体" w:hAnsi="宋体" w:cs="仿宋"/>
                <w:color w:val="auto"/>
                <w:szCs w:val="21"/>
                <w:highlight w:val="none"/>
              </w:rPr>
              <w:t xml:space="preserve">分；具有机电安装工程或公路工程二级及以上注册建造师执业资格的，得2分。本项最高得</w:t>
            </w:r>
            <w:r>
              <w:rPr>
                <w:rFonts w:hint="eastAsia" w:ascii="宋体" w:hAnsi="宋体" w:cs="仿宋"/>
                <w:color w:val="auto"/>
                <w:szCs w:val="21"/>
                <w:highlight w:val="none"/>
                <w:lang w:val="en-US" w:eastAsia="zh-CN"/>
              </w:rPr>
              <w:t xml:space="preserve">5</w:t>
            </w:r>
            <w:r>
              <w:rPr>
                <w:rFonts w:hint="eastAsia" w:ascii="宋体" w:hAnsi="宋体" w:cs="仿宋"/>
                <w:color w:val="auto"/>
                <w:szCs w:val="21"/>
                <w:highlight w:val="none"/>
              </w:rPr>
              <w:t xml:space="preserve">分</w:t>
            </w:r>
            <w:r>
              <w:rPr>
                <w:rFonts w:hint="eastAsia" w:ascii="宋体" w:hAnsi="宋体" w:cs="仿宋"/>
                <w:color w:val="auto"/>
                <w:szCs w:val="21"/>
                <w:highlight w:val="none"/>
                <w:lang w:eastAsia="zh-CN"/>
              </w:rPr>
              <w:t xml:space="preserve">。</w:t>
            </w:r>
            <w:r>
              <w:rPr>
                <w:rFonts w:hint="eastAsia"/>
                <w:color w:val="auto"/>
                <w:highlight w:val="none"/>
              </w:rPr>
              <w:t xml:space="preserve">（提供有效相关证书及投标人为其缴纳的近三个月任意一个月的社保证明材料；原件扫描上传，未提供不得分。）</w:t>
            </w:r>
            <w:r/>
          </w:p>
          <w:p>
            <w:pPr>
              <w:rPr>
                <w:rFonts w:ascii="宋体" w:hAnsi="宋体" w:cs="仿宋"/>
                <w:color w:val="auto"/>
                <w:szCs w:val="21"/>
                <w:highlight w:val="none"/>
              </w:rPr>
            </w:pPr>
            <w:r>
              <w:rPr>
                <w:rFonts w:hint="eastAsia" w:ascii="宋体" w:hAnsi="宋体" w:cs="宋体"/>
                <w:color w:val="auto"/>
                <w:szCs w:val="21"/>
                <w:highlight w:val="none"/>
              </w:rPr>
              <w:t xml:space="preserve">2、2021年1月1日以来</w:t>
            </w:r>
            <w:r>
              <w:rPr>
                <w:rFonts w:hint="eastAsia"/>
                <w:color w:val="auto"/>
                <w:highlight w:val="none"/>
                <w:lang w:val="zh-CN"/>
              </w:rPr>
              <w:t xml:space="preserve">（以合同签订时间为准）</w:t>
            </w:r>
            <w:r>
              <w:rPr>
                <w:rFonts w:hint="eastAsia" w:ascii="宋体" w:hAnsi="宋体" w:cs="宋体"/>
                <w:color w:val="auto"/>
                <w:szCs w:val="21"/>
                <w:highlight w:val="none"/>
              </w:rPr>
              <w:t xml:space="preserve">，拟投入项目负责人参与过类似监测或机电设施维护项目</w:t>
            </w:r>
            <w:r>
              <w:rPr>
                <w:rFonts w:hint="eastAsia" w:ascii="宋体" w:hAnsi="宋体" w:cs="宋体"/>
                <w:color w:val="auto"/>
                <w:highlight w:val="none"/>
              </w:rPr>
              <w:t xml:space="preserve">的</w:t>
            </w:r>
            <w:r>
              <w:rPr>
                <w:rFonts w:hint="eastAsia" w:ascii="宋体" w:hAnsi="宋体" w:cs="宋体"/>
                <w:color w:val="auto"/>
                <w:szCs w:val="21"/>
                <w:highlight w:val="none"/>
              </w:rPr>
              <w:t xml:space="preserve">，</w:t>
            </w:r>
            <w:r>
              <w:rPr>
                <w:rFonts w:hint="eastAsia" w:ascii="宋体" w:hAnsi="宋体" w:cs="宋体"/>
                <w:color w:val="auto"/>
                <w:highlight w:val="none"/>
              </w:rPr>
              <w:t xml:space="preserve">有一个得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rPr>
                <w:rFonts w:hint="eastAsia" w:ascii="宋体" w:hAnsi="宋体" w:cs="宋体"/>
                <w:color w:val="auto"/>
                <w:szCs w:val="21"/>
                <w:highlight w:val="none"/>
              </w:rPr>
              <w:t xml:space="preserve">本项最高得</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rPr>
                <w:rFonts w:hint="eastAsia" w:ascii="宋体" w:hAnsi="宋体" w:cs="宋体"/>
                <w:color w:val="auto"/>
                <w:highlight w:val="none"/>
                <w:lang w:val="zh-CN"/>
              </w:rPr>
              <w:t xml:space="preserve">（提供中标（成交）通知书、合同</w:t>
            </w:r>
            <w:r>
              <w:rPr>
                <w:rFonts w:hint="eastAsia" w:ascii="宋体" w:hAnsi="宋体" w:cs="宋体"/>
                <w:color w:val="auto"/>
                <w:highlight w:val="none"/>
              </w:rPr>
              <w:t xml:space="preserve">等原件扫描上传，未提供不得分。提供的证明材料必须能反映出相关内容，否则视为未提供</w:t>
            </w:r>
            <w:r>
              <w:rPr>
                <w:rFonts w:hint="eastAsia" w:ascii="宋体" w:hAnsi="宋体" w:cs="宋体"/>
                <w:color w:val="auto"/>
                <w:highlight w:val="none"/>
                <w:lang w:eastAsia="zh-CN"/>
              </w:rPr>
              <w:t xml:space="preserve">。</w:t>
            </w:r>
            <w:r>
              <w:rPr>
                <w:rFonts w:hint="eastAsia" w:ascii="宋体" w:hAnsi="宋体" w:cs="宋体"/>
                <w:color w:val="auto"/>
                <w:highlight w:val="none"/>
                <w:lang w:val="zh-CN"/>
              </w:rPr>
              <w:t xml:space="preserve">）</w:t>
            </w:r>
            <w:bookmarkEnd w:id="65"/>
            <w:r/>
            <w:r/>
          </w:p>
        </w:tc>
      </w:tr>
      <w:tr>
        <w:trPr>
          <w:jc w:val="center"/>
          <w:trHeight w:val="90"/>
        </w:trPr>
        <w:tc>
          <w:tcPr>
            <w:tcBorders>
              <w:left w:val="single" w:color="000000" w:sz="4" w:space="0"/>
              <w:bottom w:val="single" w:color="000000" w:sz="4" w:space="0"/>
              <w:right w:val="single" w:color="000000" w:sz="4" w:space="0"/>
            </w:tcBorders>
            <w:tcW w:w="1295" w:type="dxa"/>
            <w:vAlign w:val="center"/>
            <w:vMerge w:val="continue"/>
            <w:textDirection w:val="lrTb"/>
            <w:noWrap/>
          </w:tcPr>
          <w:p>
            <w:pPr>
              <w:jc w:val="center"/>
              <w:spacing w:line="360" w:lineRule="auto"/>
              <w:rPr>
                <w:rFonts w:ascii="宋体" w:hAnsi="宋体" w:cs="仿宋"/>
                <w:color w:val="auto"/>
                <w:szCs w:val="21"/>
                <w:highlight w:val="none"/>
              </w:rPr>
            </w:pPr>
            <w:r>
              <w:rPr>
                <w:rFonts w:ascii="宋体" w:hAnsi="宋体" w:cs="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43" w:type="dxa"/>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项目组其他人员（不含项目负责人）（10分）</w:t>
            </w:r>
            <w:r/>
          </w:p>
          <w:p>
            <w:pPr>
              <w:rPr>
                <w:rFonts w:ascii="宋体" w:hAnsi="宋体" w:cs="仿宋"/>
                <w:color w:val="auto"/>
                <w:szCs w:val="21"/>
                <w:highlight w:val="none"/>
              </w:rPr>
            </w:pPr>
            <w:r>
              <w:rPr>
                <w:rFonts w:hint="eastAsia" w:ascii="宋体" w:hAnsi="宋体" w:cs="宋体"/>
                <w:color w:val="auto"/>
                <w:szCs w:val="21"/>
                <w:highlight w:val="none"/>
              </w:rPr>
              <w:t xml:space="preserve">项目组其他人员</w:t>
            </w:r>
            <w:r>
              <w:rPr>
                <w:rFonts w:hint="eastAsia" w:ascii="宋体" w:hAnsi="宋体" w:cs="宋体"/>
                <w:color w:val="auto"/>
                <w:highlight w:val="none"/>
              </w:rPr>
              <w:t xml:space="preserve">（不含项目负责人）</w:t>
            </w:r>
            <w:r>
              <w:rPr>
                <w:rFonts w:hint="eastAsia" w:ascii="宋体" w:hAnsi="宋体" w:cs="宋体"/>
                <w:color w:val="auto"/>
                <w:szCs w:val="21"/>
                <w:highlight w:val="none"/>
              </w:rPr>
              <w:t xml:space="preserve">具有中级或以上职称证书的，每提供1名得2分，本项最高得10分。（</w:t>
            </w:r>
            <w:r>
              <w:rPr>
                <w:rFonts w:hint="eastAsia"/>
                <w:color w:val="auto"/>
                <w:highlight w:val="none"/>
              </w:rPr>
              <w:t xml:space="preserve">提供有效相关证书及投标人为其缴纳的近三个月任意一个月的社保证明材料；原件扫描上传，未提供不得分。</w:t>
            </w:r>
            <w:r>
              <w:rPr>
                <w:rFonts w:hint="eastAsia" w:ascii="宋体" w:hAnsi="宋体" w:cs="宋体"/>
                <w:color w:val="auto"/>
                <w:szCs w:val="21"/>
                <w:highlight w:val="none"/>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企业业绩</w:t>
            </w:r>
            <w:r/>
          </w:p>
          <w:p>
            <w:pPr>
              <w:jc w:val="center"/>
              <w:rPr>
                <w:rFonts w:ascii="宋体" w:hAnsi="宋体" w:cs="仿宋"/>
                <w:color w:val="auto"/>
                <w:szCs w:val="21"/>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12</w:t>
            </w:r>
            <w:r>
              <w:rPr>
                <w:rFonts w:hint="eastAsia" w:ascii="宋体" w:hAnsi="宋体" w:cs="宋体"/>
                <w:color w:val="auto"/>
                <w:highlight w:val="none"/>
              </w:rPr>
              <w:t xml:space="preserve">）</w:t>
            </w:r>
            <w:r/>
          </w:p>
        </w:tc>
        <w:tc>
          <w:tcPr>
            <w:tcBorders>
              <w:top w:val="single" w:color="000000" w:sz="4" w:space="0"/>
              <w:left w:val="none" w:color="000000" w:sz="4" w:space="0"/>
              <w:bottom w:val="single" w:color="000000" w:sz="4" w:space="0"/>
              <w:right w:val="single" w:color="000000" w:sz="4" w:space="0"/>
            </w:tcBorders>
            <w:tcW w:w="7043" w:type="dxa"/>
            <w:vAlign w:val="center"/>
            <w:textDirection w:val="lrTb"/>
            <w:noWrap/>
          </w:tcPr>
          <w:p>
            <w:pPr>
              <w:rPr>
                <w:rFonts w:ascii="宋体" w:hAnsi="宋体" w:cs="仿宋"/>
                <w:color w:val="auto"/>
                <w:szCs w:val="21"/>
                <w:highlight w:val="none"/>
              </w:rPr>
            </w:pPr>
            <w:r>
              <w:rPr>
                <w:rFonts w:hint="eastAsia" w:ascii="宋体" w:hAnsi="宋体" w:cs="仿宋"/>
                <w:color w:val="auto"/>
                <w:szCs w:val="21"/>
                <w:highlight w:val="none"/>
              </w:rPr>
              <w:t xml:space="preserve">2021年1月1日以来</w:t>
            </w:r>
            <w:r>
              <w:rPr>
                <w:rFonts w:hint="eastAsia"/>
                <w:color w:val="auto"/>
                <w:highlight w:val="none"/>
                <w:lang w:val="zh-CN"/>
              </w:rPr>
              <w:t xml:space="preserve">（以合同签订时间为准）</w:t>
            </w:r>
            <w:r>
              <w:rPr>
                <w:rFonts w:hint="eastAsia" w:ascii="宋体" w:hAnsi="宋体" w:cs="仿宋"/>
                <w:color w:val="auto"/>
                <w:szCs w:val="21"/>
                <w:highlight w:val="none"/>
              </w:rPr>
              <w:t xml:space="preserve">，承担过类似监测</w:t>
            </w:r>
            <w:r>
              <w:rPr>
                <w:rFonts w:hint="eastAsia" w:ascii="宋体" w:hAnsi="宋体" w:cs="宋体"/>
                <w:color w:val="auto"/>
                <w:szCs w:val="21"/>
                <w:highlight w:val="none"/>
              </w:rPr>
              <w:t xml:space="preserve">或机电</w:t>
            </w:r>
            <w:r>
              <w:rPr>
                <w:rFonts w:hint="eastAsia" w:ascii="宋体" w:hAnsi="宋体" w:cs="仿宋"/>
                <w:color w:val="auto"/>
                <w:szCs w:val="21"/>
                <w:highlight w:val="none"/>
              </w:rPr>
              <w:t xml:space="preserve">设施维护项目业绩，</w:t>
            </w:r>
            <w:r>
              <w:rPr>
                <w:rFonts w:hint="eastAsia" w:ascii="宋体" w:hAnsi="宋体" w:cs="宋体"/>
                <w:color w:val="auto"/>
                <w:szCs w:val="21"/>
                <w:highlight w:val="none"/>
                <w:lang w:val="zh-CN"/>
              </w:rPr>
              <w:t xml:space="preserve">每提供一个得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分</w:t>
            </w:r>
            <w:r>
              <w:rPr>
                <w:rFonts w:hint="eastAsia" w:ascii="宋体" w:hAnsi="宋体" w:cs="仿宋"/>
                <w:color w:val="auto"/>
                <w:szCs w:val="21"/>
                <w:highlight w:val="none"/>
              </w:rPr>
              <w:t xml:space="preserve">，</w:t>
            </w:r>
            <w:r>
              <w:rPr>
                <w:rFonts w:hint="eastAsia" w:ascii="宋体" w:hAnsi="宋体" w:cs="宋体"/>
                <w:color w:val="auto"/>
                <w:szCs w:val="21"/>
                <w:highlight w:val="none"/>
              </w:rPr>
              <w:t xml:space="preserve">本项最高得</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rPr>
              <w:t xml:space="preserve">（提供中标（成交）通知书、合同</w:t>
            </w:r>
            <w:r>
              <w:rPr>
                <w:rFonts w:hint="eastAsia" w:ascii="宋体" w:hAnsi="宋体" w:cs="宋体"/>
                <w:color w:val="auto"/>
                <w:szCs w:val="21"/>
                <w:highlight w:val="none"/>
              </w:rPr>
              <w:t xml:space="preserve">等原件扫描上传，未提供不得分。提供的证明材料必须能反映出相关内容，否则视为未提供</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rPr>
              <w:t xml:space="preserve">）</w:t>
            </w:r>
            <w:r/>
          </w:p>
        </w:tc>
      </w:tr>
    </w:tbl>
    <w:p>
      <w:pPr>
        <w:pStyle w:val="872"/>
        <w:ind w:firstLine="422"/>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1、评审过程中出现下列情形之一的，评审委员会应当启动异常低价投标（响应）审查程序：（1）投标（响应）报价低于采购项目预算50%的，即投标（响应）报价&lt;采购项目预算×50%；（2）投标（响应）报价低于采购项目最高限价45%的，即投标（响应）报价&lt;采购项目最高限价×45%；（3）评审委员会认定的供应商报价过低、有可能影响产品质量或者不能诚信履约的其他情形。</w:t>
      </w:r>
      <w:r/>
    </w:p>
    <w:p>
      <w:pPr>
        <w:pStyle w:val="872"/>
        <w:ind w:firstLine="422"/>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72"/>
        <w:ind w:firstLine="422"/>
        <w:rPr>
          <w:rFonts w:ascii="宋体" w:hAnsi="宋体"/>
          <w:b/>
          <w:color w:val="auto"/>
          <w:sz w:val="21"/>
          <w:szCs w:val="21"/>
          <w:highlight w:val="none"/>
        </w:rPr>
      </w:pPr>
      <w:r>
        <w:rPr>
          <w:rFonts w:ascii="宋体" w:hAnsi="宋体"/>
          <w:b/>
          <w:color w:val="auto"/>
          <w:sz w:val="21"/>
          <w:szCs w:val="21"/>
          <w:highlight w:val="none"/>
        </w:rPr>
      </w:r>
      <w:r/>
    </w:p>
    <w:p>
      <w:pPr>
        <w:rPr>
          <w:color w:val="auto"/>
          <w:highlight w:val="none"/>
        </w:rPr>
      </w:pPr>
      <w:r>
        <w:rPr>
          <w:color w:val="auto"/>
          <w:highlight w:val="none"/>
        </w:rPr>
        <w:br w:type="page" w:clear="all"/>
      </w:r>
      <w:r/>
    </w:p>
    <w:p>
      <w:pPr>
        <w:rPr>
          <w:rFonts w:ascii="黑体" w:eastAsia="黑体"/>
          <w:bCs/>
          <w:color w:val="auto"/>
          <w:sz w:val="44"/>
          <w:highlight w:val="none"/>
        </w:rPr>
      </w:pPr>
      <w:r>
        <w:rPr>
          <w:rFonts w:ascii="黑体" w:eastAsia="黑体"/>
          <w:bCs/>
          <w:color w:val="auto"/>
          <w:sz w:val="44"/>
          <w:highlight w:val="none"/>
        </w:rPr>
      </w:r>
      <w:r/>
    </w:p>
    <w:p>
      <w:pPr>
        <w:pStyle w:val="847"/>
        <w:jc w:val="center"/>
        <w:rPr>
          <w:rFonts w:ascii="宋体" w:hAnsi="宋体"/>
          <w:color w:val="auto"/>
          <w:highlight w:val="none"/>
        </w:rPr>
      </w:pPr>
      <w:r>
        <w:rPr>
          <w:rFonts w:hint="eastAsia" w:ascii="宋体" w:hAnsi="宋体"/>
          <w:color w:val="auto"/>
          <w:highlight w:val="none"/>
        </w:rPr>
        <w:t xml:space="preserve"> 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 ：</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八、拟投入本项目人员一览表</w:t>
      </w:r>
      <w:r/>
    </w:p>
    <w:p>
      <w:pPr>
        <w:ind w:firstLine="480"/>
        <w:spacing w:line="360" w:lineRule="auto"/>
        <w:rPr>
          <w:color w:val="auto"/>
          <w:sz w:val="36"/>
          <w:szCs w:val="36"/>
          <w:highlight w:val="none"/>
        </w:rPr>
      </w:pPr>
      <w:r>
        <w:rPr>
          <w:rFonts w:hint="eastAsia" w:ascii="宋体" w:hAnsi="宋体"/>
          <w:color w:val="auto"/>
          <w:sz w:val="24"/>
          <w:highlight w:val="none"/>
        </w:rPr>
        <w:t xml:space="preserve">九、其他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848"/>
        <w:rPr>
          <w:rFonts w:asciiTheme="minorEastAsia" w:hAnsiTheme="minorEastAsia" w:eastAsiaTheme="minorEastAsia"/>
          <w:b w:val="0"/>
          <w:color w:val="auto"/>
          <w:sz w:val="32"/>
          <w:szCs w:val="32"/>
          <w:highlight w:val="none"/>
        </w:rPr>
      </w:pPr>
      <w:r>
        <w:rPr>
          <w:rFonts w:hint="eastAsia" w:ascii="宋体" w:hAnsi="宋体"/>
          <w:color w:val="auto"/>
          <w:sz w:val="32"/>
          <w:szCs w:val="32"/>
          <w:highlight w:val="none"/>
        </w:rPr>
        <w:br w:type="page" w:clear="all"/>
      </w:r>
      <w:r>
        <w:rPr>
          <w:rFonts w:hint="eastAsia" w:asciiTheme="minorEastAsia" w:hAnsiTheme="minorEastAsia" w:eastAsiaTheme="minorEastAsia"/>
          <w:color w:val="auto"/>
          <w:sz w:val="32"/>
          <w:highlight w:val="none"/>
        </w:rPr>
        <w:t xml:space="preserve">一、资格审查响应对照表</w:t>
      </w:r>
      <w:r/>
    </w:p>
    <w:tbl>
      <w:tblPr>
        <w:tblStyle w:val="851"/>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461"/>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rPr>
                <w:rFonts w:ascii="宋体" w:hAnsi="宋体" w:cs="宋体"/>
                <w:i/>
                <w:color w:val="auto"/>
                <w:szCs w:val="21"/>
                <w:highlight w:val="none"/>
                <w:u w:val="single"/>
              </w:rPr>
            </w:pPr>
            <w:r>
              <w:rPr>
                <w:rFonts w:hint="eastAsia" w:ascii="宋体" w:hAnsi="宋体" w:cs="宋体"/>
                <w:i/>
                <w:color w:val="auto"/>
                <w:szCs w:val="21"/>
                <w:highlight w:val="none"/>
                <w:u w:val="single"/>
              </w:rPr>
              <w:t xml:space="preserve">法人或者其他组织的营业执照等证明文件，自然人的身份证明（身份证为正、反面）；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294"/>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rPr>
                <w:rFonts w:ascii="宋体" w:hAnsi="宋体" w:cs="宋体"/>
                <w:i/>
                <w:color w:val="auto"/>
                <w:szCs w:val="21"/>
                <w:highlight w:val="none"/>
                <w:u w:val="single"/>
              </w:rPr>
            </w:pPr>
            <w:r>
              <w:rPr>
                <w:rFonts w:hint="eastAsia" w:ascii="宋体" w:hAnsi="宋体" w:cs="宋体"/>
                <w:i/>
                <w:color w:val="auto"/>
                <w:szCs w:val="21"/>
                <w:highlight w:val="none"/>
                <w:u w:val="single"/>
              </w:rPr>
              <w:t xml:space="preserve">上一年度的财务状况报告（提供2024年度或2025年度的财务</w:t>
            </w:r>
            <w:r>
              <w:rPr>
                <w:rFonts w:hint="eastAsia" w:ascii="宋体" w:hAnsi="宋体" w:cs="宋体"/>
                <w:i/>
                <w:color w:val="auto"/>
                <w:szCs w:val="21"/>
                <w:highlight w:val="none"/>
                <w:u w:val="single"/>
                <w:lang w:eastAsia="zh-CN"/>
              </w:rPr>
              <w:t xml:space="preserve">状况</w:t>
            </w:r>
            <w:r>
              <w:rPr>
                <w:rFonts w:hint="eastAsia" w:ascii="宋体" w:hAnsi="宋体" w:cs="宋体"/>
                <w:i/>
                <w:color w:val="auto"/>
                <w:szCs w:val="21"/>
                <w:highlight w:val="none"/>
                <w:u w:val="single"/>
              </w:rPr>
              <w:t xml:space="preserve">报告，成立不满一年不需提供）；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1138"/>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rPr>
                <w:rFonts w:ascii="宋体" w:hAnsi="宋体" w:cs="宋体"/>
                <w:i/>
                <w:color w:val="auto"/>
                <w:szCs w:val="21"/>
                <w:highlight w:val="none"/>
                <w:u w:val="single"/>
              </w:rPr>
            </w:pPr>
            <w:r>
              <w:rPr>
                <w:rFonts w:hint="eastAsia" w:ascii="宋体" w:hAnsi="宋体" w:cs="宋体"/>
                <w:i/>
                <w:color w:val="auto"/>
                <w:szCs w:val="21"/>
                <w:highlight w:val="none"/>
                <w:u w:val="singl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2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rPr>
                <w:rFonts w:ascii="宋体" w:hAnsi="宋体" w:cs="宋体"/>
                <w:i/>
                <w:color w:val="auto"/>
                <w:szCs w:val="21"/>
                <w:highlight w:val="none"/>
                <w:u w:val="single"/>
              </w:rPr>
            </w:pPr>
            <w:r>
              <w:rPr>
                <w:rFonts w:hint="eastAsia" w:ascii="宋体" w:hAnsi="宋体" w:cs="宋体"/>
                <w:i/>
                <w:color w:val="auto"/>
                <w:szCs w:val="21"/>
                <w:highlight w:val="none"/>
                <w:u w:val="single"/>
              </w:rPr>
              <w:t xml:space="preserve">具备履行合同所必需的设备和专业技术能力的书面声明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61"/>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rPr>
                <w:rFonts w:ascii="宋体" w:hAnsi="宋体" w:cs="宋体"/>
                <w:i/>
                <w:color w:val="auto"/>
                <w:szCs w:val="21"/>
                <w:highlight w:val="none"/>
                <w:u w:val="single"/>
              </w:rPr>
            </w:pPr>
            <w:r>
              <w:rPr>
                <w:rFonts w:hint="eastAsia" w:ascii="宋体" w:hAnsi="宋体" w:cs="宋体"/>
                <w:i/>
                <w:color w:val="auto"/>
                <w:szCs w:val="21"/>
                <w:highlight w:val="none"/>
                <w:u w:val="single"/>
              </w:rPr>
              <w:t xml:space="preserve">参加政府采购活动前3年内在经营活动中没有重大违法记录的书面声明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6"/>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rPr>
                <w:rFonts w:ascii="宋体" w:hAnsi="宋体" w:cs="宋体"/>
                <w:i/>
                <w:color w:val="auto"/>
                <w:szCs w:val="21"/>
                <w:highlight w:val="none"/>
                <w:u w:val="single"/>
              </w:rPr>
            </w:pPr>
            <w:r>
              <w:rPr>
                <w:rFonts w:hint="eastAsia" w:ascii="宋体" w:hAnsi="宋体" w:cs="宋体"/>
                <w:i/>
                <w:color w:val="auto"/>
                <w:szCs w:val="21"/>
                <w:highlight w:val="none"/>
                <w:u w:val="singl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rPr>
                <w:rFonts w:ascii="宋体" w:hAnsi="宋体" w:cs="宋体"/>
                <w:i/>
                <w:color w:val="auto"/>
                <w:szCs w:val="21"/>
                <w:highlight w:val="none"/>
                <w:u w:val="single"/>
              </w:rPr>
            </w:pPr>
            <w:r>
              <w:rPr>
                <w:rFonts w:hint="eastAsia" w:ascii="宋体" w:hAnsi="宋体" w:cs="宋体"/>
                <w:i/>
                <w:color w:val="auto"/>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rPr>
                <w:color w:val="auto"/>
                <w:highlight w:val="none"/>
              </w:rPr>
            </w:pPr>
            <w:r>
              <w:rPr>
                <w:rFonts w:hint="eastAsia" w:ascii="宋体" w:hAnsi="宋体" w:cs="宋体"/>
                <w:i/>
                <w:color w:val="auto"/>
                <w:szCs w:val="21"/>
                <w:highlight w:val="none"/>
                <w:u w:val="single"/>
              </w:rPr>
              <w:t xml:space="preserve">《中小企业声明函》或《残疾人福利性单位声明函》，或提供由省级以上监狱管理局、戒毒管理局(含新疆生产建设兵团)出具的属于监狱企业的证明文件</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rPr>
                <w:rFonts w:ascii="宋体" w:hAnsi="宋体"/>
                <w:iCs/>
                <w:color w:val="auto"/>
                <w:szCs w:val="21"/>
                <w:highlight w:val="none"/>
              </w:rPr>
            </w:pPr>
            <w:r>
              <w:rPr>
                <w:rFonts w:hint="eastAsia" w:ascii="宋体" w:hAnsi="宋体"/>
                <w:iCs/>
                <w:color w:val="auto"/>
                <w:szCs w:val="21"/>
                <w:highlight w:val="none"/>
              </w:rPr>
              <w:t xml:space="preserve">无</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rPr>
          <w:rFonts w:ascii="宋体" w:hAnsi="宋体"/>
          <w:b/>
          <w:bCs/>
          <w:color w:val="auto"/>
          <w:highlight w:val="none"/>
        </w:rPr>
      </w:pPr>
      <w:r>
        <w:rPr>
          <w:rFonts w:hint="eastAsia" w:ascii="宋体" w:hAnsi="宋体"/>
          <w:b/>
          <w:bCs/>
          <w:color w:val="auto"/>
          <w:highlight w:val="none"/>
        </w:rPr>
        <w:br w:type="page" w:clear="all"/>
      </w:r>
      <w:r/>
    </w:p>
    <w:p>
      <w:pPr>
        <w:ind w:firstLine="1476"/>
        <w:spacing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Cs/>
          <w:color w:val="auto"/>
          <w:highlight w:val="none"/>
        </w:rPr>
      </w:pPr>
      <w:r>
        <w:rPr>
          <w:rFonts w:hint="eastAsia" w:ascii="宋体" w:hAnsi="宋体"/>
          <w:bCs/>
          <w:color w:val="auto"/>
          <w:highlight w:val="none"/>
        </w:rPr>
        <w:t xml:space="preserve">                               </w:t>
      </w:r>
      <w:r>
        <w:rPr>
          <w:rFonts w:hint="eastAsia" w:ascii="宋体" w:hAnsi="宋体"/>
          <w:bCs/>
          <w:color w:val="auto"/>
          <w:highlight w:val="none"/>
          <w:lang w:val="en-US" w:eastAsia="zh-CN"/>
        </w:rPr>
        <w:t xml:space="preserve">投标人</w:t>
      </w:r>
      <w:r>
        <w:rPr>
          <w:rFonts w:hint="eastAsia" w:ascii="宋体" w:hAnsi="宋体"/>
          <w:bCs/>
          <w:color w:val="auto"/>
          <w:highlight w:val="none"/>
        </w:rPr>
        <w:t xml:space="preserve">名称（公章）：</w:t>
      </w:r>
      <w:r/>
    </w:p>
    <w:p>
      <w:pPr>
        <w:spacing w:line="360" w:lineRule="auto"/>
        <w:rPr>
          <w:rFonts w:hint="default" w:ascii="宋体" w:hAnsi="宋体" w:eastAsia="宋体"/>
          <w:bCs/>
          <w:color w:val="auto"/>
          <w:highlight w:val="none"/>
          <w:lang w:val="en-US" w:eastAsia="zh-CN"/>
        </w:rPr>
      </w:pPr>
      <w:r>
        <w:rPr>
          <w:rFonts w:hint="eastAsia" w:ascii="宋体" w:hAnsi="宋体"/>
          <w:bCs/>
          <w:color w:val="auto"/>
          <w:highlight w:val="none"/>
        </w:rPr>
        <w:t xml:space="preserve">                               法定代表人签章：</w:t>
      </w:r>
      <w:r>
        <w:rPr>
          <w:rFonts w:hint="eastAsia" w:ascii="宋体" w:hAnsi="宋体"/>
          <w:bCs/>
          <w:color w:val="auto"/>
          <w:highlight w:val="none"/>
          <w:u w:val="single"/>
          <w:lang w:val="en-US" w:eastAsia="zh-CN"/>
        </w:rPr>
        <w:t xml:space="preserve">                    </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lang w:val="en-US" w:eastAsia="zh-CN"/>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u w:val="single"/>
          <w:lang w:val="en-US" w:eastAsia="zh-CN"/>
        </w:rPr>
        <w:t xml:space="preserve"> </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ascii="宋体" w:hAnsi="宋体"/>
          <w:bCs/>
          <w:color w:val="auto"/>
          <w:highlight w:val="none"/>
        </w:rPr>
      </w:pPr>
      <w:r>
        <w:rPr>
          <w:rFonts w:hint="eastAsia" w:ascii="宋体" w:hAnsi="宋体"/>
          <w:bCs/>
          <w:color w:val="auto"/>
          <w:highlight w:val="none"/>
        </w:rPr>
        <w:t xml:space="preserve">                               </w:t>
      </w:r>
      <w:r>
        <w:rPr>
          <w:rFonts w:hint="eastAsia" w:ascii="宋体" w:hAnsi="宋体"/>
          <w:bCs/>
          <w:color w:val="auto"/>
          <w:highlight w:val="none"/>
          <w:lang w:val="en-US" w:eastAsia="zh-CN"/>
        </w:rPr>
        <w:t xml:space="preserve">投标人</w:t>
      </w:r>
      <w:r>
        <w:rPr>
          <w:rFonts w:hint="eastAsia" w:ascii="宋体" w:hAnsi="宋体"/>
          <w:bCs/>
          <w:color w:val="auto"/>
          <w:highlight w:val="none"/>
        </w:rPr>
        <w:t xml:space="preserve">名称（公章）：</w:t>
      </w:r>
      <w:r/>
    </w:p>
    <w:p>
      <w:pPr>
        <w:spacing w:line="360" w:lineRule="auto"/>
        <w:rPr>
          <w:rFonts w:hint="default" w:ascii="宋体" w:hAnsi="宋体" w:eastAsia="宋体"/>
          <w:bCs/>
          <w:color w:val="auto"/>
          <w:highlight w:val="none"/>
          <w:lang w:val="en-US" w:eastAsia="zh-CN"/>
        </w:rPr>
      </w:pPr>
      <w:r>
        <w:rPr>
          <w:rFonts w:hint="eastAsia" w:ascii="宋体" w:hAnsi="宋体"/>
          <w:bCs/>
          <w:color w:val="auto"/>
          <w:highlight w:val="none"/>
        </w:rPr>
        <w:t xml:space="preserve">                               法定代表人签章：</w:t>
      </w:r>
      <w:r>
        <w:rPr>
          <w:rFonts w:hint="eastAsia" w:ascii="宋体" w:hAnsi="宋体"/>
          <w:bCs/>
          <w:color w:val="auto"/>
          <w:highlight w:val="none"/>
          <w:u w:val="single"/>
          <w:lang w:val="en-US" w:eastAsia="zh-CN"/>
        </w:rPr>
        <w:t xml:space="preserve">                    </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lang w:val="en-US" w:eastAsia="zh-CN"/>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u w:val="single"/>
          <w:lang w:val="en-US" w:eastAsia="zh-CN"/>
        </w:rPr>
        <w:t xml:space="preserve"> </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500" w:lineRule="exact"/>
        <w:rPr>
          <w:rFonts w:ascii="方正仿宋_GBK"/>
          <w:color w:val="auto"/>
          <w:szCs w:val="32"/>
          <w:highlight w:val="none"/>
        </w:rPr>
      </w:pPr>
      <w:r>
        <w:rPr>
          <w:rFonts w:ascii="方正仿宋_GBK"/>
          <w:color w:val="auto"/>
          <w:szCs w:val="32"/>
          <w:highlight w:val="none"/>
        </w:rPr>
      </w:r>
      <w:r/>
    </w:p>
    <w:p>
      <w:pPr>
        <w:spacing w:line="440" w:lineRule="exact"/>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统一社会信用代码：</w:t>
      </w:r>
      <w:r/>
    </w:p>
    <w:p>
      <w:pPr>
        <w:spacing w:line="440" w:lineRule="exact"/>
        <w:rPr>
          <w:rFonts w:ascii="宋体" w:hAnsi="宋体"/>
          <w:color w:val="auto"/>
          <w:szCs w:val="21"/>
          <w:highlight w:val="none"/>
        </w:rPr>
      </w:pPr>
      <w:r>
        <w:rPr>
          <w:rFonts w:ascii="宋体" w:hAnsi="宋体"/>
          <w:color w:val="auto"/>
          <w:szCs w:val="21"/>
          <w:highlight w:val="none"/>
        </w:rPr>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（注：法定代表人或负责人、主体名称发生变更的应当重新做出承诺。）</w:t>
      </w:r>
      <w:r/>
    </w:p>
    <w:p>
      <w:pPr>
        <w:spacing w:line="440" w:lineRule="exact"/>
        <w:rPr>
          <w:rFonts w:ascii="宋体" w:hAnsi="宋体"/>
          <w:color w:val="auto"/>
          <w:szCs w:val="21"/>
          <w:highlight w:val="none"/>
        </w:rPr>
      </w:pPr>
      <w:r>
        <w:rPr>
          <w:rFonts w:ascii="宋体" w:hAnsi="宋体"/>
          <w:color w:val="auto"/>
          <w:szCs w:val="21"/>
          <w:highlight w:val="none"/>
        </w:rPr>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b/>
          <w:bCs/>
          <w:color w:val="auto"/>
          <w:highlight w:val="none"/>
        </w:rPr>
      </w:pPr>
      <w:r>
        <w:rPr>
          <w:rFonts w:hint="eastAsia"/>
          <w:b/>
          <w:bCs/>
          <w:color w:val="auto"/>
          <w:highlight w:val="none"/>
        </w:rPr>
        <w:t xml:space="preserve">中小企业声明函（工程、服务）</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keepLines w:val="0"/>
        <w:keepNext w:val="0"/>
        <w:pageBreakBefore w:val="0"/>
        <w:spacing w:line="40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bCs/>
          <w:color w:val="auto"/>
          <w:highlight w:val="none"/>
          <w:u w:val="single"/>
        </w:rPr>
        <w:t xml:space="preserve">（软件和信息技术服务业）</w:t>
      </w:r>
      <w:r>
        <w:rPr>
          <w:rFonts w:hint="eastAsia" w:ascii="宋体" w:hAnsi="宋体" w:eastAsia="宋体" w:cs="宋体"/>
          <w:color w:val="auto"/>
          <w:highlight w:val="none"/>
          <w:u w:val="single"/>
        </w:rPr>
        <w:t xml:space="preserve">（不得对行业类别修改）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keepLines w:val="0"/>
        <w:keepNext w:val="0"/>
        <w:pageBreakBefore w:val="0"/>
        <w:spacing w:line="40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 ，属于</w:t>
      </w:r>
      <w:r>
        <w:rPr>
          <w:rFonts w:hint="eastAsia" w:ascii="宋体" w:hAnsi="宋体" w:eastAsia="宋体" w:cs="宋体"/>
          <w:color w:val="auto"/>
          <w:highlight w:val="none"/>
          <w:u w:val="single"/>
        </w:rPr>
        <w:t xml:space="preserve">（）（不得对行业类别修改）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420"/>
        <w:jc w:val="left"/>
        <w:spacing w:line="400" w:lineRule="exact"/>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highlight w:val="none"/>
        </w:rPr>
      </w:pPr>
      <w:r>
        <w:rPr>
          <w:rFonts w:hint="eastAsia" w:ascii="宋体" w:hAnsi="宋体" w:cs="宋体"/>
          <w:color w:val="auto"/>
          <w:highlight w:val="none"/>
        </w:rPr>
        <w:t xml:space="preserve">注：1、从业人员（不仅指在职职工）、营业收入、资产总额填报上一年度数据，无上一年度数据的新成立企业可不填报。</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400" w:lineRule="exact"/>
        <w:rPr>
          <w:rFonts w:ascii="宋体" w:hAnsi="宋体" w:cs="宋体"/>
          <w:color w:val="auto"/>
          <w:highlight w:val="none"/>
        </w:rPr>
      </w:pPr>
      <w:r>
        <w:rPr>
          <w:rFonts w:hint="eastAsia" w:ascii="宋体" w:hAnsi="宋体" w:cs="宋体"/>
          <w:color w:val="auto"/>
          <w:highlight w:val="none"/>
        </w:rPr>
        <w:t xml:space="preserve">    3、企业声明函请完整填写，中标后将公示。</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00" w:lineRule="exact"/>
        <w:rPr>
          <w:rFonts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400" w:lineRule="exact"/>
        <w:rPr>
          <w:rFonts w:ascii="宋体" w:hAnsi="宋体" w:cs="宋体"/>
          <w:color w:val="auto"/>
          <w:highlight w:val="none"/>
        </w:rPr>
      </w:pPr>
      <w:r>
        <w:rPr>
          <w:rFonts w:hint="eastAsia" w:ascii="宋体" w:hAnsi="宋体" w:cs="宋体"/>
          <w:color w:val="auto"/>
          <w:highlight w:val="none"/>
        </w:rPr>
        <w:t xml:space="preserve">日 期：</w:t>
      </w:r>
      <w:r/>
    </w:p>
    <w:p>
      <w:pPr>
        <w:pStyle w:val="848"/>
        <w:spacing w:before="300" w:after="300" w:line="360" w:lineRule="auto"/>
        <w:widowControl/>
        <w:rPr>
          <w:rFonts w:ascii="宋体" w:hAnsi="宋体" w:eastAsia="宋体"/>
          <w:color w:val="auto"/>
          <w:sz w:val="21"/>
          <w:szCs w:val="21"/>
          <w:highlight w:val="none"/>
        </w:rPr>
      </w:pPr>
      <w:r>
        <w:rPr>
          <w:rFonts w:hint="eastAsia" w:ascii="宋体" w:hAnsi="宋体" w:eastAsia="宋体" w:cs="微软雅黑"/>
          <w:bCs w:val="0"/>
          <w:color w:val="auto"/>
          <w:sz w:val="21"/>
          <w:szCs w:val="21"/>
          <w:highlight w:val="none"/>
        </w:rPr>
        <w:t xml:space="preserve">中小微企业划型标准 </w:t>
      </w:r>
      <w:r/>
    </w:p>
    <w:p>
      <w:pPr>
        <w:pStyle w:val="861"/>
        <w:ind w:firstLine="422"/>
        <w:keepLines w:val="0"/>
        <w:keepNext w:val="0"/>
        <w:pageBreakBefore w:val="0"/>
        <w:spacing w:line="360" w:lineRule="auto"/>
        <w:widowControl/>
        <w:rPr>
          <w:rStyle w:val="863"/>
          <w:rFonts w:hint="eastAsia" w:ascii="宋体" w:hAnsi="宋体" w:cs="仿宋"/>
          <w:color w:val="auto"/>
          <w:sz w:val="21"/>
          <w:szCs w:val="21"/>
          <w:highlight w:val="none"/>
        </w:rPr>
      </w:pPr>
      <w:r>
        <w:rPr>
          <w:rStyle w:val="863"/>
          <w:rFonts w:hint="eastAsia" w:ascii="宋体" w:hAnsi="宋体" w:cs="仿宋"/>
          <w:color w:val="auto"/>
          <w:sz w:val="21"/>
          <w:szCs w:val="21"/>
          <w:highlight w:val="none"/>
        </w:rPr>
        <w:t xml:space="preserve">中小微企业划型标准如下：</w:t>
      </w:r>
      <w:r/>
    </w:p>
    <w:p>
      <w:pPr>
        <w:pStyle w:val="861"/>
        <w:ind w:firstLine="422"/>
        <w:keepLines w:val="0"/>
        <w:keepNext w:val="0"/>
        <w:pageBreakBefore w:val="0"/>
        <w:spacing w:line="360" w:lineRule="auto"/>
        <w:widowControl/>
        <w:rPr>
          <w:rStyle w:val="863"/>
          <w:rFonts w:hint="eastAsia" w:ascii="宋体" w:hAnsi="宋体" w:cs="仿宋"/>
          <w:color w:val="auto"/>
          <w:sz w:val="21"/>
          <w:szCs w:val="21"/>
          <w:highlight w:val="none"/>
        </w:rPr>
      </w:pPr>
      <w:r>
        <w:rPr>
          <w:rFonts w:hint="eastAsia" w:ascii="宋体" w:hAnsi="宋体" w:cs="仿宋"/>
          <w:color w:val="auto"/>
          <w:sz w:val="21"/>
          <w:szCs w:val="21"/>
          <w:highlight w:val="none"/>
        </w:rPr>
      </w:r>
      <w:r/>
    </w:p>
    <w:tbl>
      <w:tblPr>
        <w:tblStyle w:val="862"/>
        <w:tblW w:w="88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Mar>
              <w:left w:w="105" w:type="dxa"/>
              <w:top w:w="0" w:type="dxa"/>
              <w:right w:w="105" w:type="dxa"/>
              <w:bottom w:w="0" w:type="dxa"/>
            </w:tcMar>
            <w:tcW w:w="171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行业名称</w:t>
            </w:r>
            <w:r/>
          </w:p>
        </w:tc>
        <w:tc>
          <w:tcPr>
            <w:tcMar>
              <w:left w:w="105" w:type="dxa"/>
              <w:top w:w="0" w:type="dxa"/>
              <w:right w:w="105" w:type="dxa"/>
              <w:bottom w:w="0" w:type="dxa"/>
            </w:tcMar>
            <w:tcW w:w="1417"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指标名称</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计量单位</w:t>
            </w:r>
            <w:r/>
          </w:p>
        </w:tc>
        <w:tc>
          <w:tcPr>
            <w:tcMar>
              <w:left w:w="105" w:type="dxa"/>
              <w:top w:w="0" w:type="dxa"/>
              <w:right w:w="105" w:type="dxa"/>
              <w:bottom w:w="0" w:type="dxa"/>
            </w:tcMar>
            <w:tcW w:w="1134"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中型</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小型</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微型</w:t>
            </w:r>
            <w:r/>
          </w:p>
        </w:tc>
      </w:tr>
      <w:tr>
        <w:trPr>
          <w:trHeight w:val="225"/>
        </w:trPr>
        <w:tc>
          <w:tcPr>
            <w:tcMar>
              <w:left w:w="105" w:type="dxa"/>
              <w:top w:w="0" w:type="dxa"/>
              <w:right w:w="105" w:type="dxa"/>
              <w:bottom w:w="0" w:type="dxa"/>
            </w:tcMar>
            <w:tcW w:w="1716"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农、林、牧、渔</w:t>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500≤Y＜20000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50≤Y＜500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Y＜50</w:t>
            </w:r>
            <w:r/>
          </w:p>
        </w:tc>
      </w:tr>
      <w:tr>
        <w:trPr>
          <w:trHeight w:val="225"/>
        </w:trPr>
        <w:tc>
          <w:tcPr>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工业</w:t>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300≤X＜1000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20≤X＜300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X＜20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2000≤Y＜40000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300≤Y＜2000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Y＜300</w:t>
            </w:r>
            <w:r/>
          </w:p>
        </w:tc>
      </w:tr>
      <w:tr>
        <w:trPr>
          <w:trHeight w:val="225"/>
        </w:trPr>
        <w:tc>
          <w:tcPr>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建筑业</w:t>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6000≤Y＜80000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300≤Y＜6000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Y＜300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资产总额（Z）</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5000≤Z＜80000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300≤Z＜5000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Z＜300</w:t>
            </w:r>
            <w:r/>
          </w:p>
        </w:tc>
      </w:tr>
      <w:tr>
        <w:trPr>
          <w:trHeight w:val="225"/>
        </w:trPr>
        <w:tc>
          <w:tcPr>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批发业</w:t>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20≤X＜200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5≤X＜20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X＜5</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5000≤Y＜40000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1000≤Y＜5000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Y＜1000</w:t>
            </w:r>
            <w:r/>
          </w:p>
        </w:tc>
      </w:tr>
      <w:tr>
        <w:trPr>
          <w:trHeight w:val="225"/>
        </w:trPr>
        <w:tc>
          <w:tcPr>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零售业</w:t>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50≤X＜300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10≤X＜50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500≤Y＜20000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100≤Y＜500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交通运输业</w:t>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300≤X＜1000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20≤X＜300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X＜20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3000≤Y＜30000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200≤Y＜3000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Y＜200</w:t>
            </w:r>
            <w:r/>
          </w:p>
        </w:tc>
      </w:tr>
      <w:tr>
        <w:trPr>
          <w:trHeight w:val="225"/>
        </w:trPr>
        <w:tc>
          <w:tcPr>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仓储业</w:t>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100≤X＜200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20≤X＜100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X＜20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1000≤Y＜30000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100≤Y＜1000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邮政业</w:t>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300≤X＜1000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20≤X＜300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X＜20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2000≤Y＜30000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100≤Y＜2000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住宿业</w:t>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2000≤Y＜10000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100≤Y＜2000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餐饮业</w:t>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2000≤Y＜10000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100≤Y＜2000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信息传输业</w:t>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100≤X＜2000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1000≤Y＜100000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100≤Y＜1000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Mar>
              <w:left w:w="105" w:type="dxa"/>
              <w:top w:w="0" w:type="dxa"/>
              <w:right w:w="105" w:type="dxa"/>
              <w:bottom w:w="0" w:type="dxa"/>
            </w:tcMar>
            <w:tcW w:w="1716" w:type="dxa"/>
            <w:vAlign w:val="center"/>
            <w:vMerge w:val="restart"/>
            <w:textDirection w:val="lrTb"/>
            <w:noWrap w:val="false"/>
          </w:tcPr>
          <w:p>
            <w:pPr>
              <w:ind w:firstLine="420"/>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软件和信息技术服务业</w:t>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1000≤Y＜10000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50≤Y＜1000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Y＜50</w:t>
            </w:r>
            <w:r/>
          </w:p>
        </w:tc>
      </w:tr>
      <w:tr>
        <w:trPr>
          <w:trHeight w:val="225"/>
        </w:trPr>
        <w:tc>
          <w:tcPr>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房地产开发经营</w:t>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1000≤Y＜200000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100≤X＜1000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资产总额（Z）</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5000≤Z＜10000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2000≤Y＜5000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Y＜2000</w:t>
            </w:r>
            <w:r/>
          </w:p>
        </w:tc>
      </w:tr>
      <w:tr>
        <w:trPr>
          <w:trHeight w:val="225"/>
        </w:trPr>
        <w:tc>
          <w:tcPr>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物业管理</w:t>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300≤X＜1000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1000≤Y＜5000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500≤Y＜1000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Y＜500</w:t>
            </w:r>
            <w:r/>
          </w:p>
        </w:tc>
      </w:tr>
      <w:tr>
        <w:trPr>
          <w:trHeight w:val="225"/>
        </w:trPr>
        <w:tc>
          <w:tcPr>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租赁和商务服务业</w:t>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资产总额（Z）</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8000≤Z＜120000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100≤Z＜8000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Mar>
              <w:left w:w="105" w:type="dxa"/>
              <w:top w:w="0" w:type="dxa"/>
              <w:right w:w="105" w:type="dxa"/>
              <w:bottom w:w="0" w:type="dxa"/>
            </w:tcMar>
            <w:tcW w:w="1716"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其他未列明行业</w:t>
            </w:r>
            <w:r/>
          </w:p>
        </w:tc>
        <w:tc>
          <w:tcPr>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bl>
    <w:p>
      <w:pPr>
        <w:pStyle w:val="861"/>
        <w:ind w:firstLine="422"/>
        <w:spacing w:before="300" w:after="452" w:line="360" w:lineRule="auto"/>
        <w:widowControl/>
        <w:rPr>
          <w:rFonts w:ascii="宋体" w:hAnsi="宋体"/>
          <w:b/>
          <w:bCs/>
          <w:color w:val="auto"/>
          <w:highlight w:val="none"/>
        </w:rPr>
      </w:pPr>
      <w:r>
        <w:rPr>
          <w:rStyle w:val="863"/>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ascii="宋体" w:hAnsi="宋体"/>
          <w:b/>
          <w:bCs/>
          <w:color w:val="auto"/>
          <w:highlight w:val="none"/>
        </w:rPr>
      </w:pPr>
      <w:r>
        <w:rPr>
          <w:rFonts w:hint="eastAsia" w:ascii="宋体" w:hAnsi="宋体"/>
          <w:b/>
          <w:bCs/>
          <w:color w:val="auto"/>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投标人</w:t>
      </w:r>
      <w:r>
        <w:rPr>
          <w:rFonts w:hint="eastAsia" w:ascii="宋体" w:hAnsi="宋体"/>
          <w:color w:val="auto"/>
          <w:szCs w:val="21"/>
          <w:highlight w:val="none"/>
        </w:rPr>
        <w:t xml:space="preserve">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color w:val="auto"/>
          <w:sz w:val="32"/>
          <w:szCs w:val="32"/>
          <w:highlight w:val="none"/>
        </w:rPr>
      </w:pPr>
      <w:r>
        <w:rPr>
          <w:rFonts w:hint="eastAsia" w:ascii="宋体" w:hAnsi="宋体"/>
          <w:b/>
          <w:color w:val="auto"/>
          <w:sz w:val="32"/>
          <w:szCs w:val="32"/>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872"/>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hAnsi="宋体"/>
          <w:color w:val="auto"/>
          <w:sz w:val="21"/>
          <w:highlight w:val="none"/>
          <w:lang w:eastAsia="zh-CN"/>
        </w:rPr>
        <w:t xml:space="preserve">江苏辰诚工程咨询有限公司</w:t>
      </w:r>
      <w:r/>
    </w:p>
    <w:p>
      <w:pPr>
        <w:pStyle w:val="87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rPr>
        <w:t xml:space="preserve">号招标文件，正式授权下述签字人_________________(姓名)代表我方______________（投标人的名称），全权处理本次项目投标的有关事宜。</w:t>
      </w:r>
      <w:r/>
    </w:p>
    <w:p>
      <w:pPr>
        <w:pStyle w:val="87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87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87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87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87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87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87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87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872"/>
        <w:ind w:left="0"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地 址：</w:t>
      </w:r>
      <w:r/>
    </w:p>
    <w:p>
      <w:pPr>
        <w:pStyle w:val="872"/>
        <w:ind w:left="0"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邮 编：</w:t>
      </w:r>
      <w:r/>
    </w:p>
    <w:p>
      <w:pPr>
        <w:pStyle w:val="872"/>
        <w:ind w:left="0"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电 话： </w:t>
      </w:r>
      <w:r/>
    </w:p>
    <w:p>
      <w:pPr>
        <w:pStyle w:val="872"/>
        <w:ind w:left="0"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传 真： </w:t>
      </w:r>
      <w:r/>
    </w:p>
    <w:p>
      <w:pPr>
        <w:pStyle w:val="872"/>
        <w:ind w:left="0"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872"/>
        <w:ind w:left="0"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账 户： </w:t>
      </w:r>
      <w:r/>
    </w:p>
    <w:p>
      <w:pPr>
        <w:pStyle w:val="872"/>
        <w:ind w:left="0"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行 号：</w:t>
      </w:r>
      <w:r/>
    </w:p>
    <w:p>
      <w:pPr>
        <w:pStyle w:val="872"/>
        <w:ind w:left="0"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法定代表人姓名（签章）：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联系电话：</w:t>
      </w:r>
      <w:r/>
    </w:p>
    <w:p>
      <w:pPr>
        <w:pStyle w:val="872"/>
        <w:ind w:left="0"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投标人</w:t>
      </w:r>
      <w:r>
        <w:rPr>
          <w:rFonts w:hint="eastAsia" w:ascii="宋体" w:hAnsi="宋体"/>
          <w:color w:val="auto"/>
          <w:sz w:val="21"/>
          <w:szCs w:val="21"/>
          <w:highlight w:val="none"/>
        </w:rPr>
        <w:t xml:space="preserve">名称（公章）：            </w:t>
      </w:r>
      <w:r/>
    </w:p>
    <w:p>
      <w:pPr>
        <w:pStyle w:val="872"/>
        <w:ind w:left="0"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873"/>
        <w:ind w:firstLine="422"/>
        <w:jc w:val="center"/>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873"/>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u w:val="single"/>
        </w:rPr>
        <w:t xml:space="preserve">（项目编号）</w:t>
      </w:r>
      <w:r>
        <w:rPr>
          <w:rFonts w:hint="eastAsia" w:ascii="宋体" w:hAnsi="宋体"/>
          <w:color w:val="auto"/>
          <w:sz w:val="21"/>
          <w:szCs w:val="21"/>
          <w:highlight w:val="none"/>
        </w:rPr>
        <w:t xml:space="preserve">号</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项目采购活动的合法代理人，以本公司名义全权处理一切与该项目采购有关的事务。</w:t>
      </w:r>
      <w:r/>
    </w:p>
    <w:p>
      <w:pPr>
        <w:pStyle w:val="873"/>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873"/>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87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873"/>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联系电话（手机）：</w:t>
      </w:r>
      <w:r>
        <w:rPr>
          <w:rFonts w:hint="eastAsia" w:ascii="宋体" w:hAnsi="宋体" w:eastAsia="宋体" w:cs="宋体"/>
          <w:color w:val="auto"/>
          <w:sz w:val="21"/>
          <w:szCs w:val="21"/>
          <w:highlight w:val="none"/>
          <w:u w:val="single"/>
        </w:rPr>
        <w:t xml:space="preserve">                             </w:t>
      </w:r>
      <w:r/>
    </w:p>
    <w:p>
      <w:pPr>
        <w:pStyle w:val="873"/>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szCs w:val="21"/>
          <w:highlight w:val="none"/>
          <w:u w:val="single"/>
        </w:rPr>
        <w:t xml:space="preserve">                                     </w:t>
      </w:r>
      <w:r/>
    </w:p>
    <w:p>
      <w:pPr>
        <w:pStyle w:val="873"/>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u w:val="single"/>
        </w:rPr>
        <w:t xml:space="preserve">                                     </w:t>
      </w:r>
      <w:r/>
    </w:p>
    <w:p>
      <w:pPr>
        <w:pStyle w:val="87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873"/>
        <w:ind w:firstLine="420"/>
        <w:spacing w:line="360" w:lineRule="auto"/>
        <w:rPr>
          <w:color w:val="auto"/>
          <w:sz w:val="21"/>
          <w:szCs w:val="21"/>
          <w:highlight w:val="none"/>
        </w:rPr>
      </w:pPr>
      <w:r>
        <w:rPr>
          <w:color w:val="auto"/>
          <w:sz w:val="21"/>
          <w:szCs w:val="21"/>
          <w:highlight w:val="none"/>
        </w:rPr>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w:t>
      </w:r>
      <w:r/>
    </w:p>
    <w:p>
      <w:pPr>
        <w:pStyle w:val="848"/>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85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848"/>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85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b/>
          <w:bCs/>
          <w:color w:val="auto"/>
          <w:highlight w:val="none"/>
        </w:rPr>
      </w:pPr>
      <w:r>
        <w:rPr>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849"/>
        <w:rPr>
          <w:rStyle w:val="863"/>
          <w:rFonts w:cs="仿宋"/>
          <w:b w:val="0"/>
          <w:color w:val="auto"/>
          <w:sz w:val="21"/>
          <w:szCs w:val="21"/>
          <w:highlight w:val="none"/>
        </w:rPr>
      </w:pPr>
      <w:r>
        <w:rPr>
          <w:rStyle w:val="863"/>
          <w:rFonts w:ascii="宋体" w:hAnsi="宋体" w:cs="仿宋"/>
          <w:b w:val="0"/>
          <w:color w:val="auto"/>
          <w:sz w:val="21"/>
          <w:szCs w:val="21"/>
          <w:highlight w:val="none"/>
        </w:rPr>
        <w:br w:type="page" w:clear="all"/>
      </w:r>
      <w:r/>
    </w:p>
    <w:p>
      <w:pPr>
        <w:pStyle w:val="848"/>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四、开标一览表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w:t>
      </w:r>
      <w:r/>
    </w:p>
    <w:p>
      <w:pPr>
        <w:ind w:firstLine="480"/>
        <w:rPr>
          <w:rFonts w:ascii="宋体" w:hAnsi="宋体"/>
          <w:color w:val="auto"/>
          <w:szCs w:val="21"/>
          <w:highlight w:val="none"/>
        </w:rPr>
      </w:pPr>
      <w:r>
        <w:rPr>
          <w:rFonts w:ascii="宋体" w:hAnsi="宋体"/>
          <w:color w:val="auto"/>
          <w:szCs w:val="21"/>
          <w:highlight w:val="none"/>
        </w:rPr>
      </w:r>
      <w:r/>
    </w:p>
    <w:tbl>
      <w:tblPr>
        <w:tblStyle w:val="851"/>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55"/>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投标服务或产品名称</w:t>
            </w:r>
            <w:r/>
          </w:p>
        </w:tc>
        <w:tc>
          <w:tcPr>
            <w:tcW w:w="64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855"/>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872"/>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872"/>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tc>
      </w:tr>
    </w:tbl>
    <w:p>
      <w:pPr>
        <w:rPr>
          <w:rFonts w:ascii="宋体" w:hAnsi="宋体"/>
          <w:color w:val="auto"/>
          <w:szCs w:val="21"/>
          <w:highlight w:val="none"/>
        </w:rPr>
      </w:pPr>
      <w:r>
        <w:rPr>
          <w:rFonts w:ascii="宋体" w:hAnsi="宋体"/>
          <w:color w:val="auto"/>
          <w:szCs w:val="21"/>
          <w:highlight w:val="none"/>
        </w:rPr>
      </w:r>
      <w:r/>
    </w:p>
    <w:p>
      <w:pPr>
        <w:ind w:firstLine="5094"/>
        <w:rPr>
          <w:rFonts w:hint="eastAsia" w:ascii="宋体" w:hAnsi="宋体" w:eastAsia="宋体" w:cs="宋体"/>
          <w:color w:val="auto"/>
          <w:highlight w:val="none"/>
        </w:rPr>
      </w:pPr>
      <w:r>
        <w:rPr>
          <w:rFonts w:hint="eastAsia" w:ascii="宋体" w:hAnsi="宋体" w:eastAsia="宋体" w:cs="宋体"/>
          <w:color w:val="auto"/>
          <w:highlight w:val="none"/>
        </w:rPr>
        <w:t xml:space="preserve">供应商名称（加盖公章）：</w:t>
      </w:r>
      <w:r/>
    </w:p>
    <w:p>
      <w:pPr>
        <w:pStyle w:val="852"/>
        <w:rPr>
          <w:rFonts w:hint="eastAsia"/>
          <w:color w:val="auto"/>
          <w:highlight w:val="none"/>
        </w:rPr>
      </w:pPr>
      <w:r>
        <w:rPr>
          <w:rFonts w:hint="eastAsia"/>
          <w:color w:val="auto"/>
          <w:highlight w:val="none"/>
        </w:rPr>
      </w:r>
      <w:r/>
    </w:p>
    <w:p>
      <w:pPr>
        <w:ind w:firstLine="5724"/>
        <w:rPr>
          <w:rFonts w:ascii="宋体" w:hAnsi="宋体"/>
          <w:color w:val="auto"/>
          <w:szCs w:val="21"/>
          <w:highlight w:val="none"/>
        </w:rPr>
      </w:pPr>
      <w:r>
        <w:rPr>
          <w:rFonts w:hint="eastAsia" w:ascii="宋体" w:hAnsi="宋体"/>
          <w:color w:val="auto"/>
          <w:szCs w:val="21"/>
          <w:highlight w:val="none"/>
        </w:rPr>
        <w:t xml:space="preserve">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848"/>
        <w:ind w:firstLine="3213"/>
        <w:jc w:val="both"/>
        <w:rPr>
          <w:rFonts w:ascii="宋体" w:hAnsi="宋体" w:eastAsia="宋体" w:cs="Times New Roman"/>
          <w:bCs w:val="0"/>
          <w:color w:val="auto"/>
          <w:sz w:val="32"/>
          <w:szCs w:val="32"/>
          <w:highlight w:val="none"/>
        </w:rPr>
      </w:pPr>
      <w:r>
        <w:rPr>
          <w:rFonts w:ascii="宋体" w:hAnsi="宋体" w:eastAsia="宋体" w:cs="Times New Roman"/>
          <w:bCs w:val="0"/>
          <w:color w:val="auto"/>
          <w:sz w:val="32"/>
          <w:szCs w:val="32"/>
          <w:highlight w:val="none"/>
        </w:rPr>
      </w:r>
      <w:r/>
    </w:p>
    <w:p>
      <w:pPr>
        <w:pStyle w:val="853"/>
        <w:ind w:firstLine="64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848"/>
        <w:ind w:firstLine="3213"/>
        <w:jc w:val="both"/>
        <w:rPr>
          <w:rFonts w:ascii="宋体" w:hAnsi="宋体" w:eastAsia="宋体" w:cs="Times New Roman"/>
          <w:bCs w:val="0"/>
          <w:color w:val="auto"/>
          <w:sz w:val="32"/>
          <w:szCs w:val="32"/>
          <w:highlight w:val="none"/>
        </w:rPr>
      </w:pPr>
      <w:r/>
      <w:bookmarkStart w:id="66" w:name="_Toc113352361"/>
      <w:r>
        <w:rPr>
          <w:rFonts w:hint="eastAsia" w:ascii="宋体" w:hAnsi="宋体" w:eastAsia="宋体" w:cs="Times New Roman"/>
          <w:bCs w:val="0"/>
          <w:color w:val="auto"/>
          <w:sz w:val="32"/>
          <w:szCs w:val="32"/>
          <w:highlight w:val="none"/>
        </w:rPr>
        <w:t xml:space="preserve">五、分项报价表</w:t>
      </w:r>
      <w:bookmarkEnd w:id="66"/>
      <w:r/>
      <w:r/>
    </w:p>
    <w:tbl>
      <w:tblPr>
        <w:tblStyle w:val="851"/>
        <w:tblW w:w="8835" w:type="dxa"/>
        <w:jc w:val="center"/>
        <w:tblLayout w:type="fixed"/>
        <w:tblCellMar>
          <w:left w:w="108" w:type="dxa"/>
          <w:top w:w="0" w:type="dxa"/>
          <w:right w:w="108" w:type="dxa"/>
          <w:bottom w:w="0" w:type="dxa"/>
        </w:tblCellMar>
        <w:tblLook w:val="04A0" w:firstRow="1" w:lastRow="0" w:firstColumn="1" w:lastColumn="0" w:noHBand="0" w:noVBand="1"/>
      </w:tblPr>
      <w:tblGrid>
        <w:gridCol w:w="677"/>
        <w:gridCol w:w="1273"/>
        <w:gridCol w:w="645"/>
        <w:gridCol w:w="618"/>
        <w:gridCol w:w="1027"/>
        <w:gridCol w:w="1145"/>
        <w:gridCol w:w="1185"/>
        <w:gridCol w:w="2265"/>
      </w:tblGrid>
      <w:tr>
        <w:trPr>
          <w:jc w:val="center"/>
          <w:trHeight w:val="300"/>
        </w:trPr>
        <w:tc>
          <w:tcPr>
            <w:gridSpan w:val="2"/>
            <w:shd w:val="clear" w:color="auto" w:fill="auto"/>
            <w:tcBorders>
              <w:top w:val="none" w:color="000000" w:sz="4" w:space="0"/>
              <w:left w:val="none" w:color="000000" w:sz="4" w:space="0"/>
              <w:bottom w:val="none" w:color="000000" w:sz="4" w:space="0"/>
              <w:right w:val="none" w:color="000000" w:sz="4" w:space="0"/>
            </w:tcBorders>
            <w:tcW w:w="1950" w:type="dxa"/>
            <w:vAlign w:val="center"/>
            <w:textDirection w:val="lrTb"/>
            <w:noWrap/>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包1：</w:t>
            </w:r>
            <w:r/>
          </w:p>
        </w:tc>
        <w:tc>
          <w:tcPr>
            <w:shd w:val="clear" w:color="auto" w:fill="auto"/>
            <w:tcBorders>
              <w:top w:val="none" w:color="000000" w:sz="4" w:space="0"/>
              <w:left w:val="none" w:color="000000" w:sz="4" w:space="0"/>
              <w:bottom w:val="none" w:color="000000" w:sz="4" w:space="0"/>
              <w:right w:val="none" w:color="000000" w:sz="4" w:space="0"/>
            </w:tcBorders>
            <w:tcW w:w="64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618"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027"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14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18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226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r>
      <w:tr>
        <w:trPr>
          <w:jc w:val="center"/>
          <w:trHeight w:val="460"/>
        </w:trPr>
        <w:tc>
          <w:tcPr>
            <w:gridSpan w:val="8"/>
            <w:shd w:val="clear" w:color="auto" w:fill="auto"/>
            <w:tcBorders>
              <w:top w:val="single" w:color="000000" w:sz="4" w:space="0"/>
              <w:left w:val="single" w:color="000000" w:sz="4" w:space="0"/>
              <w:bottom w:val="single" w:color="000000" w:sz="4" w:space="0"/>
              <w:right w:val="single" w:color="000000" w:sz="4" w:space="0"/>
            </w:tcBorders>
            <w:tcW w:w="8835" w:type="dxa"/>
            <w:vAlign w:val="center"/>
            <w:textDirection w:val="lrTb"/>
            <w:noWrap/>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一、2026年度路网监测设施维护</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维护周期（年）</w:t>
            </w:r>
            <w:r/>
          </w:p>
        </w:tc>
        <w:tc>
          <w:tcPr>
            <w:shd w:val="clear" w:color="auto" w:fill="auto"/>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单价（元/个*年）</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备注</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视频</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自合同签订之日起至合同截止</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交调</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自合同签订之日起至合同截止</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情报板</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自合同签订之日起至合同截止</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气象设备</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自合同签订之日起至合同截止</w:t>
            </w:r>
            <w:r/>
          </w:p>
        </w:tc>
      </w:tr>
      <w:tr>
        <w:trPr>
          <w:jc w:val="center"/>
          <w:trHeight w:val="560"/>
        </w:trPr>
        <w:tc>
          <w:tcPr>
            <w:gridSpan w:val="8"/>
            <w:shd w:val="clear" w:color="auto" w:fill="auto"/>
            <w:tcBorders>
              <w:top w:val="single" w:color="000000" w:sz="4" w:space="0"/>
              <w:left w:val="single" w:color="000000" w:sz="4" w:space="0"/>
              <w:bottom w:val="single" w:color="000000" w:sz="4" w:space="0"/>
              <w:right w:val="single" w:color="000000" w:sz="4" w:space="0"/>
            </w:tcBorders>
            <w:tcW w:w="8835"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二、2026年度上云维护工作量</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维护周期（年）</w:t>
            </w:r>
            <w:r/>
          </w:p>
        </w:tc>
        <w:tc>
          <w:tcPr>
            <w:shd w:val="clear" w:color="auto" w:fill="auto"/>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单价（元/个*年）</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备注</w:t>
            </w:r>
            <w:r/>
          </w:p>
        </w:tc>
      </w:tr>
      <w:tr>
        <w:trPr>
          <w:jc w:val="center"/>
          <w:trHeight w:val="210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上云维护</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负责视频上云和情报板上云系统的日常在线和相关调试保障，包括（视频上云保障服务、视频上云网关设备维保、情报板上云保障服务、情报板接入网关设备维保）等。</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青云SD-WAN接入云盒租用、青云SD-WAN链路服务</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自合同签订之日起至合同截止</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情报板接入</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自合同签订之日起至合同截止</w:t>
            </w:r>
            <w:r/>
          </w:p>
        </w:tc>
      </w:tr>
      <w:tr>
        <w:trPr>
          <w:jc w:val="center"/>
          <w:trHeight w:val="460"/>
        </w:trPr>
        <w:tc>
          <w:tcPr>
            <w:gridSpan w:val="6"/>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合计:(一)+(二)</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r>
    </w:tbl>
    <w:p>
      <w:pPr>
        <w:pStyle w:val="876"/>
        <w:jc w:val="left"/>
        <w:widowControl/>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注：1、行数不够，可自行添加。</w:t>
      </w:r>
      <w:r/>
    </w:p>
    <w:p>
      <w:pPr>
        <w:pStyle w:val="852"/>
        <w:spacing w:line="360" w:lineRule="auto"/>
        <w:rPr>
          <w:rFonts w:ascii="宋体" w:hAnsi="宋体" w:cs="宋体"/>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Cs w:val="21"/>
          <w:highlight w:val="none"/>
        </w:rPr>
        <w:t xml:space="preserve">2、按分项报价表进行报价，分别填报单价和合价，要求填报完整，漏报项视为价格已分摊到其他清单项中。</w:t>
      </w:r>
      <w:r/>
    </w:p>
    <w:tbl>
      <w:tblPr>
        <w:tblStyle w:val="851"/>
        <w:tblW w:w="8825" w:type="dxa"/>
        <w:jc w:val="center"/>
        <w:tblLayout w:type="fixed"/>
        <w:tblCellMar>
          <w:left w:w="108" w:type="dxa"/>
          <w:top w:w="0" w:type="dxa"/>
          <w:right w:w="108" w:type="dxa"/>
          <w:bottom w:w="0" w:type="dxa"/>
        </w:tblCellMar>
        <w:tblLook w:val="04A0" w:firstRow="1" w:lastRow="0" w:firstColumn="1" w:lastColumn="0" w:noHBand="0" w:noVBand="1"/>
      </w:tblPr>
      <w:tblGrid>
        <w:gridCol w:w="667"/>
        <w:gridCol w:w="1236"/>
        <w:gridCol w:w="646"/>
        <w:gridCol w:w="654"/>
        <w:gridCol w:w="1046"/>
        <w:gridCol w:w="1146"/>
        <w:gridCol w:w="1163"/>
        <w:gridCol w:w="2267"/>
      </w:tblGrid>
      <w:tr>
        <w:trPr>
          <w:jc w:val="center"/>
          <w:trHeight w:val="300"/>
        </w:trPr>
        <w:tc>
          <w:tcPr>
            <w:gridSpan w:val="2"/>
            <w:shd w:val="clear" w:color="auto" w:fill="auto"/>
            <w:tcBorders>
              <w:top w:val="none" w:color="000000" w:sz="4" w:space="0"/>
              <w:left w:val="none" w:color="000000" w:sz="4" w:space="0"/>
              <w:bottom w:val="none" w:color="000000" w:sz="4" w:space="0"/>
              <w:right w:val="none" w:color="000000" w:sz="4" w:space="0"/>
            </w:tcBorders>
            <w:tcW w:w="1903" w:type="dxa"/>
            <w:vAlign w:val="center"/>
            <w:textDirection w:val="lrTb"/>
            <w:noWrap/>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包2：</w:t>
            </w:r>
            <w:r/>
          </w:p>
        </w:tc>
        <w:tc>
          <w:tcPr>
            <w:shd w:val="clear" w:color="auto" w:fill="auto"/>
            <w:tcBorders>
              <w:top w:val="none" w:color="000000" w:sz="4" w:space="0"/>
              <w:left w:val="none" w:color="000000" w:sz="4" w:space="0"/>
              <w:bottom w:val="none" w:color="000000" w:sz="4" w:space="0"/>
              <w:right w:val="none" w:color="000000" w:sz="4" w:space="0"/>
            </w:tcBorders>
            <w:tcW w:w="646"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654"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046"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146"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163"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2267"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r>
      <w:tr>
        <w:trPr>
          <w:jc w:val="center"/>
          <w:trHeight w:val="460"/>
        </w:trPr>
        <w:tc>
          <w:tcPr>
            <w:gridSpan w:val="8"/>
            <w:shd w:val="clear" w:color="auto" w:fill="auto"/>
            <w:tcBorders>
              <w:top w:val="single" w:color="000000" w:sz="4" w:space="0"/>
              <w:left w:val="single" w:color="000000" w:sz="4" w:space="0"/>
              <w:bottom w:val="single" w:color="000000" w:sz="4" w:space="0"/>
              <w:right w:val="single" w:color="000000" w:sz="4" w:space="0"/>
            </w:tcBorders>
            <w:tcW w:w="8825" w:type="dxa"/>
            <w:vAlign w:val="center"/>
            <w:textDirection w:val="lrTb"/>
            <w:noWrap/>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一、2026年度路网监测设施维护</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维护周期（年）</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单价（元/个*年）</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备注</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视频</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自合同签订之日起至合同截止</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交调</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自合同签订之日起至合同截止</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情报板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自合同签订之日起至合同截止</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气象设备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自合同签订之日起至合同截止</w:t>
            </w:r>
            <w:r/>
          </w:p>
        </w:tc>
      </w:tr>
      <w:tr>
        <w:trPr>
          <w:jc w:val="center"/>
          <w:trHeight w:val="560"/>
        </w:trPr>
        <w:tc>
          <w:tcPr>
            <w:gridSpan w:val="8"/>
            <w:shd w:val="clear" w:color="auto" w:fill="auto"/>
            <w:tcBorders>
              <w:top w:val="single" w:color="000000" w:sz="4" w:space="0"/>
              <w:left w:val="single" w:color="000000" w:sz="4" w:space="0"/>
              <w:bottom w:val="single" w:color="000000" w:sz="4" w:space="0"/>
              <w:right w:val="single" w:color="000000" w:sz="4" w:space="0"/>
            </w:tcBorders>
            <w:tcW w:w="8825"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二、2026年度上云维护工作量</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维护周期（年）</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单价（元/个*年）</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备注</w:t>
            </w:r>
            <w:r/>
          </w:p>
        </w:tc>
      </w:tr>
      <w:tr>
        <w:trPr>
          <w:jc w:val="center"/>
          <w:trHeight w:val="210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上云维护</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负责视频上云和情报板上云系统的日常在线和相关调试保障，包括（视频上云保障服务、视频上云网关设备维保、情报板上云保障服务、情报板接入网关设备维保）等。</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青云SD-WAN接入云盒租用、青云SD-WAN链路服务</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自合同签订之日起至合同截止</w:t>
            </w:r>
            <w:r/>
          </w:p>
        </w:tc>
      </w:tr>
      <w:tr>
        <w:trPr>
          <w:jc w:val="center"/>
          <w:trHeight w:val="460"/>
        </w:trPr>
        <w:tc>
          <w:tcPr>
            <w:gridSpan w:val="6"/>
            <w:shd w:val="clear" w:color="auto" w:fill="auto"/>
            <w:tcBorders>
              <w:top w:val="single" w:color="000000" w:sz="4" w:space="0"/>
              <w:left w:val="single" w:color="000000" w:sz="4" w:space="0"/>
              <w:bottom w:val="single" w:color="000000" w:sz="4" w:space="0"/>
              <w:right w:val="single" w:color="000000" w:sz="4" w:space="0"/>
            </w:tcBorders>
            <w:tcW w:w="5395"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合计:(一)+(二)</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r>
    </w:tbl>
    <w:p>
      <w:pPr>
        <w:pStyle w:val="876"/>
        <w:jc w:val="left"/>
        <w:widowControl/>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注：1、行数不够，可自行添加。</w:t>
      </w:r>
      <w:r/>
    </w:p>
    <w:p>
      <w:pPr>
        <w:pStyle w:val="881"/>
        <w:ind w:firstLine="420"/>
        <w:spacing w:line="360" w:lineRule="auto"/>
        <w:rPr>
          <w:rFonts w:ascii="宋体" w:hAnsi="宋体"/>
          <w:color w:val="auto"/>
          <w:sz w:val="32"/>
          <w:szCs w:val="32"/>
          <w:highlight w:val="none"/>
        </w:rPr>
      </w:pPr>
      <w:r>
        <w:rPr>
          <w:rFonts w:hint="eastAsia" w:ascii="宋体" w:hAnsi="宋体" w:cs="宋体"/>
          <w:color w:val="auto"/>
          <w:sz w:val="21"/>
          <w:szCs w:val="21"/>
          <w:highlight w:val="none"/>
        </w:rPr>
        <w:t xml:space="preserve">2、按分项报价表进行报价，分别填报单价和合价，要求填报完整，漏报项视为价格已分摊到其他清单项中。</w:t>
      </w:r>
      <w:r/>
    </w:p>
    <w:p>
      <w:pPr>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br w:type="page" w:clear="all"/>
      </w:r>
      <w:r/>
    </w:p>
    <w:p>
      <w:pPr>
        <w:pStyle w:val="848"/>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六、技术参数响应及偏离表</w:t>
      </w:r>
      <w:r/>
    </w:p>
    <w:tbl>
      <w:tblPr>
        <w:tblStyle w:val="851"/>
        <w:tblW w:w="84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3408"/>
        <w:gridCol w:w="1283"/>
        <w:gridCol w:w="1884"/>
        <w:gridCol w:w="1182"/>
      </w:tblGrid>
      <w:tr>
        <w:trPr>
          <w:cantSplit/>
          <w:trHeight w:val="552"/>
        </w:trPr>
        <w:tc>
          <w:tcPr>
            <w:tcW w:w="69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34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128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8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18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69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3408"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8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88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8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69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shd w:val="clear" w:color="auto" w:fill="auto"/>
            <w:tcW w:w="3408"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8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88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8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69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shd w:val="clear" w:color="auto" w:fill="auto"/>
            <w:tcW w:w="3408"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8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88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8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69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3408"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8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88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8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69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3408"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8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88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8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69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3408"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8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88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8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58"/>
        </w:trPr>
        <w:tc>
          <w:tcPr>
            <w:tcW w:w="69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408"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8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88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8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69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408"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8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88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8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黑体" w:hAnsi="Arial" w:eastAsia="黑体"/>
          <w:color w:val="auto"/>
          <w:sz w:val="32"/>
          <w:highlight w:val="none"/>
        </w:rPr>
      </w:pPr>
      <w:r>
        <w:rPr>
          <w:rFonts w:hint="eastAsia" w:ascii="宋体" w:hAnsi="宋体"/>
          <w:color w:val="auto"/>
          <w:sz w:val="24"/>
          <w:szCs w:val="24"/>
          <w:highlight w:val="none"/>
        </w:rPr>
        <w:t xml:space="preserve">2、行数不够，可自行添加。</w:t>
      </w:r>
      <w:r/>
    </w:p>
    <w:p>
      <w:pPr>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848"/>
        <w:rPr>
          <w:rFonts w:ascii="宋体" w:hAnsi="宋体" w:eastAsia="宋体" w:cs="Times New Roman"/>
          <w:bCs w:val="0"/>
          <w:color w:val="auto"/>
          <w:sz w:val="32"/>
          <w:szCs w:val="32"/>
          <w:highlight w:val="none"/>
        </w:rPr>
      </w:pPr>
      <w:r/>
      <w:bookmarkStart w:id="67" w:name="_Hlt26955054"/>
      <w:r/>
      <w:bookmarkEnd w:id="67"/>
      <w:r/>
      <w:bookmarkStart w:id="68" w:name="_Toc113352363"/>
      <w:r>
        <w:rPr>
          <w:rFonts w:hint="eastAsia" w:ascii="宋体" w:hAnsi="宋体" w:eastAsia="宋体" w:cs="Times New Roman"/>
          <w:bCs w:val="0"/>
          <w:color w:val="auto"/>
          <w:sz w:val="32"/>
          <w:szCs w:val="32"/>
          <w:highlight w:val="none"/>
        </w:rPr>
        <w:t xml:space="preserve">七、商务条款响应及偏离表</w:t>
      </w:r>
      <w:bookmarkEnd w:id="68"/>
      <w:r/>
      <w:r/>
    </w:p>
    <w:tbl>
      <w:tblPr>
        <w:tblStyle w:val="851"/>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仿宋_GB2312" w:hAnsi="宋体" w:eastAsia="仿宋_GB2312"/>
                <w:color w:val="auto"/>
                <w:szCs w:val="21"/>
                <w:highlight w:val="none"/>
              </w:rPr>
            </w:pPr>
            <w:r>
              <w:rPr>
                <w:rFonts w:hint="eastAsia" w:ascii="仿宋_GB2312" w:hAnsi="宋体"/>
                <w:color w:val="auto"/>
                <w:highlight w:val="none"/>
              </w:rPr>
              <w:t xml:space="preserve">服务期限</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rPr>
                <w:rFonts w:ascii="仿宋_GB2312" w:hAnsi="宋体"/>
                <w:color w:val="auto"/>
                <w:highlight w:val="none"/>
              </w:rPr>
            </w:pPr>
            <w:r>
              <w:rPr>
                <w:rFonts w:ascii="仿宋_GB2312" w:hAnsi="宋体"/>
                <w:color w:val="auto"/>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rPr>
                <w:rFonts w:ascii="仿宋_GB2312" w:hAnsi="宋体"/>
                <w:color w:val="auto"/>
                <w:highlight w:val="none"/>
              </w:rPr>
            </w:pPr>
            <w:r>
              <w:rPr>
                <w:rFonts w:ascii="仿宋_GB2312" w:hAnsi="宋体"/>
                <w:color w:val="auto"/>
                <w:highlight w:val="none"/>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rPr>
                <w:rFonts w:ascii="仿宋_GB2312" w:hAnsi="宋体"/>
                <w:color w:val="auto"/>
                <w:highlight w:val="none"/>
              </w:rPr>
            </w:pPr>
            <w:r>
              <w:rPr>
                <w:rFonts w:ascii="仿宋_GB2312" w:hAnsi="宋体"/>
                <w:color w:val="auto"/>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仿宋_GB2312"/>
                <w:color w:val="auto"/>
                <w:szCs w:val="21"/>
                <w:highlight w:val="none"/>
              </w:rPr>
            </w:pPr>
            <w:r>
              <w:rPr>
                <w:rFonts w:hint="eastAsia" w:ascii="仿宋_GB2312" w:hAnsi="宋体"/>
                <w:color w:val="auto"/>
                <w:highlight w:val="none"/>
              </w:rPr>
              <w:t xml:space="preserve">服务范围</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rPr>
                <w:rFonts w:ascii="仿宋_GB2312" w:hAnsi="宋体"/>
                <w:color w:val="auto"/>
                <w:highlight w:val="none"/>
              </w:rPr>
            </w:pPr>
            <w:r>
              <w:rPr>
                <w:rFonts w:ascii="仿宋_GB2312" w:hAnsi="宋体"/>
                <w:color w:val="auto"/>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rPr>
                <w:rFonts w:ascii="仿宋_GB2312" w:hAnsi="宋体"/>
                <w:color w:val="auto"/>
                <w:highlight w:val="none"/>
              </w:rPr>
            </w:pPr>
            <w:r>
              <w:rPr>
                <w:rFonts w:ascii="仿宋_GB2312" w:hAnsi="宋体"/>
                <w:color w:val="auto"/>
                <w:highlight w:val="none"/>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rPr>
                <w:rFonts w:ascii="仿宋_GB2312" w:hAnsi="宋体"/>
                <w:color w:val="auto"/>
                <w:highlight w:val="none"/>
              </w:rPr>
            </w:pPr>
            <w:r>
              <w:rPr>
                <w:rFonts w:ascii="仿宋_GB2312" w:hAnsi="宋体"/>
                <w:color w:val="auto"/>
                <w:highlight w:val="none"/>
              </w:rPr>
            </w:r>
            <w:r/>
          </w:p>
        </w:tc>
      </w:tr>
      <w:tr>
        <w:trPr>
          <w:trHeight w:val="460"/>
        </w:trPr>
        <w:tc>
          <w:tcPr>
            <w:shd w:val="clear" w:color="auto" w:fill="auto"/>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仿宋_GB2312" w:hAnsi="宋体"/>
                <w:color w:val="auto"/>
                <w:szCs w:val="21"/>
                <w:highlight w:val="none"/>
              </w:rPr>
            </w:pPr>
            <w:r>
              <w:rPr>
                <w:rFonts w:hint="eastAsia" w:ascii="仿宋_GB2312" w:hAnsi="宋体"/>
                <w:color w:val="auto"/>
                <w:highlight w:val="none"/>
              </w:rPr>
              <w:t xml:space="preserve">付款方式</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rPr>
                <w:rFonts w:ascii="仿宋_GB2312" w:hAnsi="宋体"/>
                <w:color w:val="auto"/>
                <w:highlight w:val="none"/>
              </w:rPr>
            </w:pPr>
            <w:r>
              <w:rPr>
                <w:rFonts w:ascii="仿宋_GB2312" w:hAnsi="宋体"/>
                <w:color w:val="auto"/>
                <w:highlight w:val="none"/>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rPr>
                <w:rFonts w:ascii="仿宋_GB2312" w:hAnsi="宋体"/>
                <w:color w:val="auto"/>
                <w:highlight w:val="none"/>
              </w:rPr>
            </w:pPr>
            <w:r>
              <w:rPr>
                <w:rFonts w:ascii="仿宋_GB2312" w:hAnsi="宋体"/>
                <w:color w:val="auto"/>
                <w:highlight w:val="none"/>
              </w:rPr>
            </w:r>
            <w:r/>
          </w:p>
        </w:tc>
      </w:tr>
      <w:tr>
        <w:trPr>
          <w:trHeight w:val="460"/>
        </w:trPr>
        <w:tc>
          <w:tcPr>
            <w:shd w:val="clear" w:color="auto" w:fill="auto"/>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rPr>
                <w:rFonts w:ascii="仿宋_GB2312" w:hAnsi="宋体"/>
                <w:color w:val="auto"/>
                <w:highlight w:val="none"/>
              </w:rPr>
            </w:pPr>
            <w:r>
              <w:rPr>
                <w:rFonts w:ascii="仿宋_GB2312" w:hAnsi="宋体"/>
                <w:color w:val="auto"/>
                <w:highlight w:val="none"/>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rPr>
                <w:rFonts w:ascii="仿宋_GB2312" w:hAnsi="宋体"/>
                <w:color w:val="auto"/>
                <w:highlight w:val="none"/>
              </w:rPr>
            </w:pPr>
            <w:r>
              <w:rPr>
                <w:rFonts w:ascii="仿宋_GB2312" w:hAnsi="宋体"/>
                <w:color w:val="auto"/>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rPr>
                <w:rFonts w:ascii="仿宋_GB2312" w:hAnsi="宋体"/>
                <w:color w:val="auto"/>
                <w:highlight w:val="none"/>
              </w:rPr>
            </w:pPr>
            <w:r>
              <w:rPr>
                <w:rFonts w:ascii="仿宋_GB2312" w:hAnsi="宋体"/>
                <w:color w:val="auto"/>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rPr>
                <w:rFonts w:ascii="仿宋_GB2312" w:hAnsi="宋体"/>
                <w:color w:val="auto"/>
                <w:highlight w:val="none"/>
              </w:rPr>
            </w:pPr>
            <w:r>
              <w:rPr>
                <w:rFonts w:ascii="仿宋_GB2312" w:hAnsi="宋体"/>
                <w:color w:val="auto"/>
                <w:highlight w:val="none"/>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rPr>
                <w:rFonts w:ascii="仿宋_GB2312" w:hAnsi="宋体"/>
                <w:color w:val="auto"/>
                <w:highlight w:val="none"/>
              </w:rPr>
            </w:pPr>
            <w:r>
              <w:rPr>
                <w:rFonts w:ascii="仿宋_GB2312" w:hAnsi="宋体"/>
                <w:color w:val="auto"/>
                <w:highlight w:val="none"/>
              </w:rPr>
            </w:r>
            <w:r/>
          </w:p>
        </w:tc>
      </w:tr>
    </w:tbl>
    <w:p>
      <w:pPr>
        <w:spacing w:line="480" w:lineRule="auto"/>
        <w:rPr>
          <w:rFonts w:ascii="仿宋_GB2312" w:hAnsi="Arial"/>
          <w:color w:val="auto"/>
          <w:sz w:val="30"/>
          <w:highlight w:val="none"/>
        </w:rPr>
      </w:pPr>
      <w:r/>
      <w:bookmarkStart w:id="74" w:name="_GoBack"/>
      <w:r/>
      <w:bookmarkEnd w:id="74"/>
      <w:r/>
      <w:r/>
    </w:p>
    <w:p>
      <w:pPr>
        <w:pStyle w:val="853"/>
        <w:ind w:firstLine="480"/>
        <w:rPr>
          <w:rFonts w:ascii="宋体" w:hAnsi="宋体"/>
          <w:color w:val="auto"/>
          <w:sz w:val="24"/>
          <w:highlight w:val="none"/>
        </w:rPr>
      </w:pPr>
      <w:r/>
      <w:bookmarkStart w:id="69" w:name="_Hlt26609389"/>
      <w:r/>
      <w:bookmarkEnd w:id="69"/>
      <w:r/>
      <w:bookmarkStart w:id="70" w:name="_Hlt26955066"/>
      <w:r/>
      <w:bookmarkEnd w:id="70"/>
      <w:r/>
      <w:bookmarkStart w:id="71" w:name="_Hlt26671374"/>
      <w:r/>
      <w:bookmarkEnd w:id="71"/>
      <w:r/>
      <w:bookmarkStart w:id="72" w:name="_Toc462564146"/>
      <w:r/>
      <w:r/>
    </w:p>
    <w:p>
      <w:pPr>
        <w:pStyle w:val="853"/>
        <w:ind w:firstLine="480"/>
        <w:rPr>
          <w:rFonts w:ascii="宋体" w:hAnsi="宋体"/>
          <w:color w:val="auto"/>
          <w:sz w:val="24"/>
          <w:highlight w:val="none"/>
        </w:rPr>
      </w:pPr>
      <w:r>
        <w:rPr>
          <w:rFonts w:ascii="宋体" w:hAnsi="宋体"/>
          <w:color w:val="auto"/>
          <w:sz w:val="24"/>
          <w:highlight w:val="none"/>
        </w:rPr>
      </w:r>
      <w:r/>
    </w:p>
    <w:p>
      <w:pPr>
        <w:pStyle w:val="853"/>
        <w:ind w:firstLine="480"/>
        <w:rPr>
          <w:rFonts w:ascii="宋体" w:hAnsi="宋体"/>
          <w:color w:val="auto"/>
          <w:sz w:val="24"/>
          <w:highlight w:val="none"/>
        </w:rPr>
      </w:pPr>
      <w:r>
        <w:rPr>
          <w:rFonts w:ascii="宋体" w:hAnsi="宋体"/>
          <w:color w:val="auto"/>
          <w:sz w:val="24"/>
          <w:highlight w:val="none"/>
        </w:rPr>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848"/>
        <w:rPr>
          <w:rFonts w:ascii="宋体" w:hAnsi="宋体" w:eastAsia="宋体" w:cs="Times New Roman"/>
          <w:bCs w:val="0"/>
          <w:color w:val="auto"/>
          <w:sz w:val="32"/>
          <w:szCs w:val="32"/>
          <w:highlight w:val="none"/>
        </w:rPr>
      </w:pPr>
      <w:r>
        <w:rPr>
          <w:rFonts w:hint="eastAsia" w:ascii="宋体" w:hAnsi="宋体" w:eastAsia="宋体" w:cs="Times New Roman"/>
          <w:bCs w:val="0"/>
          <w:color w:val="auto"/>
          <w:sz w:val="32"/>
          <w:szCs w:val="32"/>
          <w:highlight w:val="none"/>
        </w:rPr>
        <w:t xml:space="preserve">八、拟投入本项目人员一览表</w:t>
      </w:r>
      <w:r/>
    </w:p>
    <w:tbl>
      <w:tblPr>
        <w:tblStyle w:val="851"/>
        <w:tblW w:w="8593"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900"/>
        <w:gridCol w:w="900"/>
        <w:gridCol w:w="1080"/>
        <w:gridCol w:w="1260"/>
        <w:gridCol w:w="1316"/>
        <w:gridCol w:w="969"/>
        <w:gridCol w:w="1268"/>
      </w:tblGrid>
      <w:tr>
        <w:trPr>
          <w:trHeight w:val="624"/>
        </w:trPr>
        <w:tc>
          <w:tcPr>
            <w:tcW w:w="900" w:type="dxa"/>
            <w:vAlign w:val="center"/>
            <w:textDirection w:val="lrTb"/>
            <w:noWrap/>
          </w:tcPr>
          <w:p>
            <w:pPr>
              <w:ind w:right="-2"/>
              <w:jc w:val="center"/>
              <w:spacing w:before="325" w:line="360" w:lineRule="auto"/>
              <w:rPr>
                <w:rFonts w:ascii="宋体"/>
                <w:color w:val="auto"/>
                <w:highlight w:val="none"/>
              </w:rPr>
            </w:pPr>
            <w:r>
              <w:rPr>
                <w:rFonts w:hint="eastAsia" w:ascii="宋体" w:hAnsi="宋体"/>
                <w:color w:val="auto"/>
                <w:highlight w:val="none"/>
              </w:rPr>
              <w:t xml:space="preserve">岗位</w:t>
            </w:r>
            <w:r/>
          </w:p>
        </w:tc>
        <w:tc>
          <w:tcPr>
            <w:tcW w:w="900" w:type="dxa"/>
            <w:vAlign w:val="center"/>
            <w:textDirection w:val="lrTb"/>
            <w:noWrap/>
          </w:tcPr>
          <w:p>
            <w:pPr>
              <w:ind w:right="-2"/>
              <w:jc w:val="center"/>
              <w:spacing w:before="325" w:line="360" w:lineRule="auto"/>
              <w:rPr>
                <w:rFonts w:ascii="宋体"/>
                <w:color w:val="auto"/>
                <w:highlight w:val="none"/>
              </w:rPr>
            </w:pPr>
            <w:r>
              <w:rPr>
                <w:rFonts w:hint="eastAsia" w:ascii="宋体" w:hAnsi="宋体"/>
                <w:color w:val="auto"/>
                <w:highlight w:val="none"/>
              </w:rPr>
              <w:t xml:space="preserve">姓名</w:t>
            </w:r>
            <w:r/>
          </w:p>
        </w:tc>
        <w:tc>
          <w:tcPr>
            <w:tcW w:w="900" w:type="dxa"/>
            <w:vAlign w:val="center"/>
            <w:textDirection w:val="lrTb"/>
            <w:noWrap/>
          </w:tcPr>
          <w:p>
            <w:pPr>
              <w:ind w:right="-2"/>
              <w:jc w:val="center"/>
              <w:spacing w:before="325" w:line="360" w:lineRule="auto"/>
              <w:rPr>
                <w:rFonts w:ascii="宋体"/>
                <w:color w:val="auto"/>
                <w:highlight w:val="none"/>
              </w:rPr>
            </w:pPr>
            <w:r>
              <w:rPr>
                <w:rFonts w:hint="eastAsia" w:ascii="宋体" w:hAnsi="宋体"/>
                <w:color w:val="auto"/>
                <w:highlight w:val="none"/>
              </w:rPr>
              <w:t xml:space="preserve">性别</w:t>
            </w:r>
            <w:r/>
          </w:p>
        </w:tc>
        <w:tc>
          <w:tcPr>
            <w:tcW w:w="1080" w:type="dxa"/>
            <w:vAlign w:val="center"/>
            <w:textDirection w:val="lrTb"/>
            <w:noWrap/>
          </w:tcPr>
          <w:p>
            <w:pPr>
              <w:ind w:right="-2"/>
              <w:jc w:val="center"/>
              <w:spacing w:before="325" w:line="360" w:lineRule="auto"/>
              <w:rPr>
                <w:rFonts w:ascii="宋体"/>
                <w:color w:val="auto"/>
                <w:highlight w:val="none"/>
              </w:rPr>
            </w:pPr>
            <w:r>
              <w:rPr>
                <w:rFonts w:hint="eastAsia" w:ascii="宋体" w:hAnsi="宋体"/>
                <w:color w:val="auto"/>
                <w:highlight w:val="none"/>
              </w:rPr>
              <w:t xml:space="preserve">年龄</w:t>
            </w:r>
            <w:r/>
          </w:p>
        </w:tc>
        <w:tc>
          <w:tcPr>
            <w:tcW w:w="1260" w:type="dxa"/>
            <w:vAlign w:val="center"/>
            <w:textDirection w:val="lrTb"/>
            <w:noWrap/>
          </w:tcPr>
          <w:p>
            <w:pPr>
              <w:ind w:right="-2"/>
              <w:jc w:val="center"/>
              <w:spacing w:before="325" w:line="360" w:lineRule="auto"/>
              <w:rPr>
                <w:rFonts w:ascii="宋体"/>
                <w:color w:val="auto"/>
                <w:highlight w:val="none"/>
              </w:rPr>
            </w:pPr>
            <w:r>
              <w:rPr>
                <w:rFonts w:hint="eastAsia" w:ascii="宋体" w:hAnsi="宋体"/>
                <w:color w:val="auto"/>
                <w:highlight w:val="none"/>
              </w:rPr>
              <w:t xml:space="preserve">职称</w:t>
            </w:r>
            <w:r/>
          </w:p>
        </w:tc>
        <w:tc>
          <w:tcPr>
            <w:tcW w:w="1316" w:type="dxa"/>
            <w:vAlign w:val="center"/>
            <w:textDirection w:val="lrTb"/>
            <w:noWrap/>
          </w:tcPr>
          <w:p>
            <w:pPr>
              <w:ind w:right="-2"/>
              <w:jc w:val="center"/>
              <w:spacing w:before="325" w:line="360" w:lineRule="auto"/>
              <w:rPr>
                <w:rFonts w:ascii="宋体"/>
                <w:color w:val="auto"/>
                <w:highlight w:val="none"/>
              </w:rPr>
            </w:pPr>
            <w:r>
              <w:rPr>
                <w:rFonts w:hint="eastAsia" w:ascii="宋体" w:hAnsi="宋体"/>
                <w:color w:val="auto"/>
                <w:highlight w:val="none"/>
              </w:rPr>
              <w:t xml:space="preserve">职务</w:t>
            </w:r>
            <w:r/>
          </w:p>
        </w:tc>
        <w:tc>
          <w:tcPr>
            <w:tcW w:w="969" w:type="dxa"/>
            <w:vAlign w:val="center"/>
            <w:textDirection w:val="lrTb"/>
            <w:noWrap/>
          </w:tcPr>
          <w:p>
            <w:pPr>
              <w:ind w:right="-2"/>
              <w:jc w:val="center"/>
              <w:spacing w:before="325" w:line="360" w:lineRule="auto"/>
              <w:rPr>
                <w:rFonts w:ascii="宋体"/>
                <w:color w:val="auto"/>
                <w:highlight w:val="none"/>
              </w:rPr>
            </w:pPr>
            <w:r>
              <w:rPr>
                <w:rFonts w:hint="eastAsia" w:ascii="宋体" w:hAnsi="宋体"/>
                <w:color w:val="auto"/>
                <w:highlight w:val="none"/>
              </w:rPr>
              <w:t xml:space="preserve">学历</w:t>
            </w:r>
            <w:r/>
          </w:p>
        </w:tc>
        <w:tc>
          <w:tcPr>
            <w:tcW w:w="1268" w:type="dxa"/>
            <w:vAlign w:val="center"/>
            <w:textDirection w:val="lrTb"/>
            <w:noWrap/>
          </w:tcPr>
          <w:p>
            <w:pPr>
              <w:ind w:right="-2"/>
              <w:jc w:val="center"/>
              <w:spacing w:before="325" w:line="360" w:lineRule="auto"/>
              <w:rPr>
                <w:rFonts w:ascii="宋体"/>
                <w:color w:val="auto"/>
                <w:highlight w:val="none"/>
              </w:rPr>
            </w:pPr>
            <w:r>
              <w:rPr>
                <w:rFonts w:hint="eastAsia" w:ascii="宋体" w:hAnsi="宋体"/>
                <w:color w:val="auto"/>
                <w:highlight w:val="none"/>
              </w:rPr>
              <w:t xml:space="preserve">专业</w:t>
            </w:r>
            <w:r/>
          </w:p>
        </w:tc>
      </w:tr>
      <w:tr>
        <w:trPr/>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26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316"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69"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268"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r>
      <w:tr>
        <w:trPr/>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26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316"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69"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268"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r>
      <w:tr>
        <w:trPr/>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26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316"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69"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268"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r>
      <w:tr>
        <w:trPr/>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26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316"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69"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268"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r>
      <w:tr>
        <w:trPr/>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26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316"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69"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268"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r>
      <w:tr>
        <w:trPr/>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26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316"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69"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268"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r>
      <w:tr>
        <w:trPr/>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26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316"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69"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268"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r>
      <w:tr>
        <w:trPr/>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26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316"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69"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268"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r>
      <w:tr>
        <w:trPr/>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260"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316"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969"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c>
          <w:tcPr>
            <w:tcW w:w="1268" w:type="dxa"/>
            <w:vAlign w:val="center"/>
            <w:textDirection w:val="lrTb"/>
            <w:noWrap/>
          </w:tcPr>
          <w:p>
            <w:pPr>
              <w:ind w:right="-2"/>
              <w:jc w:val="center"/>
              <w:spacing w:line="360" w:lineRule="auto"/>
              <w:rPr>
                <w:rFonts w:ascii="宋体"/>
                <w:color w:val="auto"/>
                <w:highlight w:val="none"/>
              </w:rPr>
            </w:pPr>
            <w:r>
              <w:rPr>
                <w:rFonts w:ascii="宋体"/>
                <w:color w:val="auto"/>
                <w:highlight w:val="none"/>
              </w:rPr>
            </w:r>
            <w:r/>
          </w:p>
        </w:tc>
      </w:tr>
    </w:tbl>
    <w:p>
      <w:pPr>
        <w:pStyle w:val="853"/>
        <w:ind w:firstLine="480"/>
        <w:rPr>
          <w:rFonts w:ascii="宋体" w:hAnsi="宋体"/>
          <w:color w:val="auto"/>
          <w:sz w:val="24"/>
          <w:highlight w:val="none"/>
        </w:rPr>
      </w:pPr>
      <w:r>
        <w:rPr>
          <w:rFonts w:hint="eastAsia" w:ascii="宋体" w:hAnsi="宋体"/>
          <w:color w:val="auto"/>
          <w:sz w:val="24"/>
          <w:highlight w:val="none"/>
        </w:rPr>
        <w:t xml:space="preserve">.</w:t>
      </w:r>
      <w:r/>
    </w:p>
    <w:p>
      <w:pPr>
        <w:pStyle w:val="853"/>
        <w:ind w:firstLine="480"/>
        <w:rPr>
          <w:rFonts w:ascii="宋体" w:hAnsi="宋体"/>
          <w:color w:val="auto"/>
          <w:sz w:val="24"/>
          <w:highlight w:val="none"/>
        </w:rPr>
      </w:pPr>
      <w:r>
        <w:rPr>
          <w:rFonts w:ascii="宋体" w:hAnsi="宋体"/>
          <w:color w:val="auto"/>
          <w:sz w:val="24"/>
          <w:highlight w:val="none"/>
        </w:rPr>
      </w:r>
      <w:r/>
    </w:p>
    <w:p>
      <w:pPr>
        <w:pStyle w:val="853"/>
        <w:ind w:firstLine="480"/>
        <w:rPr>
          <w:rFonts w:ascii="宋体" w:hAnsi="宋体"/>
          <w:color w:val="auto"/>
          <w:sz w:val="24"/>
          <w:highlight w:val="none"/>
        </w:rPr>
      </w:pPr>
      <w:r>
        <w:rPr>
          <w:rFonts w:ascii="宋体" w:hAnsi="宋体"/>
          <w:color w:val="auto"/>
          <w:sz w:val="24"/>
          <w:highlight w:val="none"/>
        </w:rPr>
      </w:r>
      <w:bookmarkEnd w:id="72"/>
      <w:r/>
      <w:r/>
    </w:p>
    <w:p>
      <w:pPr>
        <w:jc w:val="left"/>
        <w:widowControl/>
        <w:rPr>
          <w:rFonts w:ascii="宋体" w:hAnsi="宋体"/>
          <w:b/>
          <w:color w:val="auto"/>
          <w:highlight w:val="none"/>
        </w:rPr>
      </w:pPr>
      <w:r/>
      <w:bookmarkStart w:id="73" w:name="_格式2__法定代表人授权书"/>
      <w:r/>
      <w:bookmarkEnd w:id="73"/>
      <w:r>
        <w:rPr>
          <w:rFonts w:ascii="宋体" w:hAnsi="宋体"/>
          <w:b/>
          <w:color w:val="auto"/>
          <w:highlight w:val="none"/>
        </w:rPr>
        <w:br w:type="page" w:clear="all"/>
      </w:r>
      <w:r/>
    </w:p>
    <w:p>
      <w:pPr>
        <w:pStyle w:val="848"/>
        <w:rPr>
          <w:rFonts w:ascii="宋体" w:hAnsi="宋体" w:eastAsia="宋体" w:cs="Times New Roman"/>
          <w:bCs w:val="0"/>
          <w:color w:val="auto"/>
          <w:sz w:val="32"/>
          <w:szCs w:val="32"/>
          <w:highlight w:val="none"/>
        </w:rPr>
      </w:pPr>
      <w:r>
        <w:rPr>
          <w:rFonts w:hint="eastAsia" w:ascii="宋体" w:hAnsi="宋体" w:eastAsia="宋体" w:cs="Times New Roman"/>
          <w:bCs w:val="0"/>
          <w:color w:val="auto"/>
          <w:sz w:val="32"/>
          <w:szCs w:val="32"/>
          <w:highlight w:val="none"/>
        </w:rPr>
        <w:t xml:space="preserve">九、其他</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（投标人认为有必要提供的声明和文件，如有自拟并自行添加）</w:t>
      </w:r>
      <w:r/>
    </w:p>
    <w:p>
      <w:pPr>
        <w:jc w:val="center"/>
        <w:spacing w:line="360" w:lineRule="auto"/>
        <w:rPr>
          <w:rFonts w:ascii="宋体" w:hAnsi="宋体"/>
          <w:b/>
          <w:color w:val="auto"/>
          <w:highlight w:val="none"/>
        </w:rPr>
      </w:pPr>
      <w:r>
        <w:rPr>
          <w:rFonts w:ascii="宋体" w:hAnsi="宋体"/>
          <w:b/>
          <w:color w:val="auto"/>
          <w:highlight w:val="none"/>
        </w:rPr>
      </w:r>
      <w:r/>
    </w:p>
    <w:p>
      <w:pPr>
        <w:rPr>
          <w:rFonts w:ascii="宋体" w:hAnsi="宋体"/>
          <w:b/>
          <w:color w:val="auto"/>
          <w:highlight w:val="none"/>
        </w:rPr>
      </w:pPr>
      <w:r>
        <w:rPr>
          <w:rFonts w:hint="eastAsia" w:ascii="宋体" w:hAnsi="宋体"/>
          <w:b/>
          <w:color w:val="auto"/>
          <w:highlight w:val="none"/>
        </w:rPr>
        <w:br w:type="page" w:clear="all"/>
      </w:r>
      <w:r/>
    </w:p>
    <w:p>
      <w:pPr>
        <w:jc w:val="center"/>
        <w:spacing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851"/>
        <w:tblW w:w="8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8"/>
      </w:tblGrid>
      <w:tr>
        <w:trPr/>
        <w:tc>
          <w:tcPr>
            <w:tcW w:w="8388"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2355"/>
        </w:trPr>
        <w:tc>
          <w:tcPr>
            <w:tcW w:w="8388"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color w:val="auto"/>
          <w:highlight w:val="none"/>
        </w:rPr>
      </w:pPr>
      <w:r>
        <w:rPr>
          <w:color w:val="auto"/>
          <w:highlight w:val="none"/>
        </w:r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fldChar w:fldCharType="begin"/>
    </w:r>
    <w:r>
      <w:instrText xml:space="preserve">PAGE   \* MERGEFORMAT</w:instrText>
    </w:r>
    <w:r>
      <w:fldChar w:fldCharType="separate"/>
    </w:r>
    <w:r>
      <w:rPr>
        <w:lang w:val="zh-CN"/>
      </w:rPr>
      <w:t xml:space="preserve">8</w:t>
    </w:r>
    <w:r>
      <w:rPr>
        <w:lang w:val="zh-CN"/>
      </w:rPr>
      <w:fldChar w:fldCharType="end"/>
    </w:r>
    <w:r/>
  </w:p>
  <w:p>
    <w:pPr>
      <w:pStyle w:val="8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850"/>
    <w:link w:val="847"/>
    <w:uiPriority w:val="9"/>
    <w:rPr>
      <w:rFonts w:ascii="Arial" w:hAnsi="Arial" w:eastAsia="Arial" w:cs="Arial"/>
      <w:sz w:val="40"/>
      <w:szCs w:val="40"/>
    </w:rPr>
  </w:style>
  <w:style w:type="character" w:styleId="677">
    <w:name w:val="Heading 2 Char"/>
    <w:basedOn w:val="850"/>
    <w:link w:val="848"/>
    <w:uiPriority w:val="9"/>
    <w:rPr>
      <w:rFonts w:ascii="Arial" w:hAnsi="Arial" w:eastAsia="Arial" w:cs="Arial"/>
      <w:sz w:val="34"/>
    </w:rPr>
  </w:style>
  <w:style w:type="character" w:styleId="678">
    <w:name w:val="Heading 3 Char"/>
    <w:basedOn w:val="850"/>
    <w:link w:val="849"/>
    <w:uiPriority w:val="9"/>
    <w:rPr>
      <w:rFonts w:ascii="Arial" w:hAnsi="Arial" w:eastAsia="Arial" w:cs="Arial"/>
      <w:sz w:val="30"/>
      <w:szCs w:val="30"/>
    </w:rPr>
  </w:style>
  <w:style w:type="paragraph" w:styleId="679">
    <w:name w:val="Heading 4"/>
    <w:basedOn w:val="846"/>
    <w:next w:val="846"/>
    <w:link w:val="680"/>
    <w:uiPriority w:val="9"/>
    <w:unhideWhenUsed/>
    <w:qFormat/>
    <w:pPr>
      <w:keepLines/>
      <w:keepNext/>
      <w:spacing w:before="320" w:after="200"/>
      <w:outlineLvl w:val="3"/>
    </w:pPr>
    <w:rPr>
      <w:rFonts w:ascii="Arial" w:hAnsi="Arial" w:eastAsia="Arial" w:cs="Arial"/>
      <w:b/>
      <w:bCs/>
      <w:sz w:val="26"/>
      <w:szCs w:val="26"/>
    </w:rPr>
  </w:style>
  <w:style w:type="character" w:styleId="680">
    <w:name w:val="Heading 4 Char"/>
    <w:basedOn w:val="850"/>
    <w:link w:val="679"/>
    <w:uiPriority w:val="9"/>
    <w:rPr>
      <w:rFonts w:ascii="Arial" w:hAnsi="Arial" w:eastAsia="Arial" w:cs="Arial"/>
      <w:b/>
      <w:bCs/>
      <w:sz w:val="26"/>
      <w:szCs w:val="26"/>
    </w:rPr>
  </w:style>
  <w:style w:type="paragraph" w:styleId="681">
    <w:name w:val="Heading 5"/>
    <w:basedOn w:val="846"/>
    <w:next w:val="846"/>
    <w:link w:val="682"/>
    <w:uiPriority w:val="9"/>
    <w:unhideWhenUsed/>
    <w:qFormat/>
    <w:pPr>
      <w:keepLines/>
      <w:keepNext/>
      <w:spacing w:before="320" w:after="200"/>
      <w:outlineLvl w:val="4"/>
    </w:pPr>
    <w:rPr>
      <w:rFonts w:ascii="Arial" w:hAnsi="Arial" w:eastAsia="Arial" w:cs="Arial"/>
      <w:b/>
      <w:bCs/>
      <w:sz w:val="24"/>
      <w:szCs w:val="24"/>
    </w:rPr>
  </w:style>
  <w:style w:type="character" w:styleId="682">
    <w:name w:val="Heading 5 Char"/>
    <w:basedOn w:val="850"/>
    <w:link w:val="681"/>
    <w:uiPriority w:val="9"/>
    <w:rPr>
      <w:rFonts w:ascii="Arial" w:hAnsi="Arial" w:eastAsia="Arial" w:cs="Arial"/>
      <w:b/>
      <w:bCs/>
      <w:sz w:val="24"/>
      <w:szCs w:val="24"/>
    </w:rPr>
  </w:style>
  <w:style w:type="paragraph" w:styleId="683">
    <w:name w:val="Heading 6"/>
    <w:basedOn w:val="846"/>
    <w:next w:val="846"/>
    <w:link w:val="684"/>
    <w:uiPriority w:val="9"/>
    <w:unhideWhenUsed/>
    <w:qFormat/>
    <w:pPr>
      <w:keepLines/>
      <w:keepNext/>
      <w:spacing w:before="320" w:after="200"/>
      <w:outlineLvl w:val="5"/>
    </w:pPr>
    <w:rPr>
      <w:rFonts w:ascii="Arial" w:hAnsi="Arial" w:eastAsia="Arial" w:cs="Arial"/>
      <w:b/>
      <w:bCs/>
      <w:sz w:val="22"/>
      <w:szCs w:val="22"/>
    </w:rPr>
  </w:style>
  <w:style w:type="character" w:styleId="684">
    <w:name w:val="Heading 6 Char"/>
    <w:basedOn w:val="850"/>
    <w:link w:val="683"/>
    <w:uiPriority w:val="9"/>
    <w:rPr>
      <w:rFonts w:ascii="Arial" w:hAnsi="Arial" w:eastAsia="Arial" w:cs="Arial"/>
      <w:b/>
      <w:bCs/>
      <w:sz w:val="22"/>
      <w:szCs w:val="22"/>
    </w:rPr>
  </w:style>
  <w:style w:type="paragraph" w:styleId="685">
    <w:name w:val="Heading 7"/>
    <w:basedOn w:val="846"/>
    <w:next w:val="846"/>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basedOn w:val="850"/>
    <w:link w:val="685"/>
    <w:uiPriority w:val="9"/>
    <w:rPr>
      <w:rFonts w:ascii="Arial" w:hAnsi="Arial" w:eastAsia="Arial" w:cs="Arial"/>
      <w:b/>
      <w:bCs/>
      <w:i/>
      <w:iCs/>
      <w:sz w:val="22"/>
      <w:szCs w:val="22"/>
    </w:rPr>
  </w:style>
  <w:style w:type="paragraph" w:styleId="687">
    <w:name w:val="Heading 8"/>
    <w:basedOn w:val="846"/>
    <w:next w:val="846"/>
    <w:link w:val="688"/>
    <w:uiPriority w:val="9"/>
    <w:unhideWhenUsed/>
    <w:qFormat/>
    <w:pPr>
      <w:keepLines/>
      <w:keepNext/>
      <w:spacing w:before="320" w:after="200"/>
      <w:outlineLvl w:val="7"/>
    </w:pPr>
    <w:rPr>
      <w:rFonts w:ascii="Arial" w:hAnsi="Arial" w:eastAsia="Arial" w:cs="Arial"/>
      <w:i/>
      <w:iCs/>
      <w:sz w:val="22"/>
      <w:szCs w:val="22"/>
    </w:rPr>
  </w:style>
  <w:style w:type="character" w:styleId="688">
    <w:name w:val="Heading 8 Char"/>
    <w:basedOn w:val="850"/>
    <w:link w:val="687"/>
    <w:uiPriority w:val="9"/>
    <w:rPr>
      <w:rFonts w:ascii="Arial" w:hAnsi="Arial" w:eastAsia="Arial" w:cs="Arial"/>
      <w:i/>
      <w:iCs/>
      <w:sz w:val="22"/>
      <w:szCs w:val="22"/>
    </w:rPr>
  </w:style>
  <w:style w:type="paragraph" w:styleId="689">
    <w:name w:val="Heading 9"/>
    <w:basedOn w:val="846"/>
    <w:next w:val="846"/>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basedOn w:val="850"/>
    <w:link w:val="689"/>
    <w:uiPriority w:val="9"/>
    <w:rPr>
      <w:rFonts w:ascii="Arial" w:hAnsi="Arial" w:eastAsia="Arial" w:cs="Arial"/>
      <w:i/>
      <w:iCs/>
      <w:sz w:val="21"/>
      <w:szCs w:val="21"/>
    </w:rPr>
  </w:style>
  <w:style w:type="paragraph" w:styleId="691">
    <w:name w:val="List Paragraph"/>
    <w:basedOn w:val="846"/>
    <w:uiPriority w:val="34"/>
    <w:qFormat/>
    <w:pPr>
      <w:contextualSpacing/>
      <w:ind w:left="720"/>
    </w:pPr>
  </w:style>
  <w:style w:type="paragraph" w:styleId="692">
    <w:name w:val="No Spacing"/>
    <w:uiPriority w:val="1"/>
    <w:qFormat/>
    <w:pPr>
      <w:spacing w:before="0" w:after="0" w:line="240" w:lineRule="auto"/>
    </w:pPr>
  </w:style>
  <w:style w:type="paragraph" w:styleId="693">
    <w:name w:val="Title"/>
    <w:basedOn w:val="846"/>
    <w:next w:val="846"/>
    <w:link w:val="694"/>
    <w:uiPriority w:val="10"/>
    <w:qFormat/>
    <w:pPr>
      <w:contextualSpacing/>
      <w:spacing w:before="300" w:after="200"/>
    </w:pPr>
    <w:rPr>
      <w:sz w:val="48"/>
      <w:szCs w:val="48"/>
    </w:rPr>
  </w:style>
  <w:style w:type="character" w:styleId="694">
    <w:name w:val="Title Char"/>
    <w:basedOn w:val="850"/>
    <w:link w:val="693"/>
    <w:uiPriority w:val="10"/>
    <w:rPr>
      <w:sz w:val="48"/>
      <w:szCs w:val="48"/>
    </w:rPr>
  </w:style>
  <w:style w:type="paragraph" w:styleId="695">
    <w:name w:val="Subtitle"/>
    <w:basedOn w:val="846"/>
    <w:next w:val="846"/>
    <w:link w:val="696"/>
    <w:uiPriority w:val="11"/>
    <w:qFormat/>
    <w:pPr>
      <w:spacing w:before="200" w:after="200"/>
    </w:pPr>
    <w:rPr>
      <w:sz w:val="24"/>
      <w:szCs w:val="24"/>
    </w:rPr>
  </w:style>
  <w:style w:type="character" w:styleId="696">
    <w:name w:val="Subtitle Char"/>
    <w:basedOn w:val="850"/>
    <w:link w:val="695"/>
    <w:uiPriority w:val="11"/>
    <w:rPr>
      <w:sz w:val="24"/>
      <w:szCs w:val="24"/>
    </w:rPr>
  </w:style>
  <w:style w:type="paragraph" w:styleId="697">
    <w:name w:val="Quote"/>
    <w:basedOn w:val="846"/>
    <w:next w:val="846"/>
    <w:link w:val="698"/>
    <w:uiPriority w:val="29"/>
    <w:qFormat/>
    <w:pPr>
      <w:ind w:left="720" w:right="720"/>
    </w:pPr>
    <w:rPr>
      <w:i/>
    </w:rPr>
  </w:style>
  <w:style w:type="character" w:styleId="698">
    <w:name w:val="Quote Char"/>
    <w:link w:val="697"/>
    <w:uiPriority w:val="29"/>
    <w:rPr>
      <w:i/>
    </w:rPr>
  </w:style>
  <w:style w:type="paragraph" w:styleId="699">
    <w:name w:val="Intense Quote"/>
    <w:basedOn w:val="846"/>
    <w:next w:val="846"/>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50"/>
    <w:link w:val="859"/>
    <w:uiPriority w:val="99"/>
  </w:style>
  <w:style w:type="character" w:styleId="702">
    <w:name w:val="Footer Char"/>
    <w:basedOn w:val="850"/>
    <w:link w:val="858"/>
    <w:uiPriority w:val="99"/>
  </w:style>
  <w:style w:type="paragraph" w:styleId="703">
    <w:name w:val="Caption"/>
    <w:basedOn w:val="846"/>
    <w:next w:val="846"/>
    <w:uiPriority w:val="35"/>
    <w:semiHidden/>
    <w:unhideWhenUsed/>
    <w:qFormat/>
    <w:pPr>
      <w:spacing w:line="276" w:lineRule="auto"/>
    </w:pPr>
    <w:rPr>
      <w:b/>
      <w:bCs/>
      <w:color w:val="4f81bd" w:themeColor="accent1"/>
      <w:sz w:val="18"/>
      <w:szCs w:val="18"/>
    </w:rPr>
  </w:style>
  <w:style w:type="character" w:styleId="704">
    <w:name w:val="Caption Char"/>
    <w:basedOn w:val="703"/>
    <w:link w:val="858"/>
    <w:uiPriority w:val="99"/>
  </w:style>
  <w:style w:type="table" w:styleId="705">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1">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2">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3">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4">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5">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6">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2">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3">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6">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7">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8">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9">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0">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1">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3">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4">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5">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6">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7">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8">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7">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8">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9">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0">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1">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2">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4">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5">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6">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7">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8">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9">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1">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2">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3">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4">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5">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6">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8">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9">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0">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1">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2">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3">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0">
    <w:name w:val="footnote text"/>
    <w:basedOn w:val="846"/>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50"/>
    <w:uiPriority w:val="99"/>
    <w:unhideWhenUsed/>
    <w:rPr>
      <w:vertAlign w:val="superscript"/>
    </w:rPr>
  </w:style>
  <w:style w:type="paragraph" w:styleId="833">
    <w:name w:val="endnote text"/>
    <w:basedOn w:val="846"/>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50"/>
    <w:uiPriority w:val="99"/>
    <w:semiHidden/>
    <w:unhideWhenUsed/>
    <w:rPr>
      <w:vertAlign w:val="superscript"/>
    </w:r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next w:val="852"/>
    <w:uiPriority w:val="0"/>
    <w:qFormat/>
    <w:pPr>
      <w:jc w:val="both"/>
      <w:widowControl w:val="off"/>
    </w:pPr>
    <w:rPr>
      <w:rFonts w:ascii="Calibri" w:hAnsi="Calibri" w:eastAsia="宋体" w:cs="Times New Roman"/>
      <w:sz w:val="21"/>
      <w:szCs w:val="22"/>
      <w:lang w:val="en-US" w:eastAsia="zh-CN" w:bidi="ar-SA"/>
    </w:rPr>
  </w:style>
  <w:style w:type="paragraph" w:styleId="847">
    <w:name w:val="Heading 1"/>
    <w:basedOn w:val="846"/>
    <w:next w:val="846"/>
    <w:uiPriority w:val="9"/>
    <w:qFormat/>
    <w:pPr>
      <w:keepLines/>
      <w:keepNext/>
      <w:spacing w:before="340" w:after="330" w:line="578" w:lineRule="auto"/>
      <w:outlineLvl w:val="0"/>
    </w:pPr>
    <w:rPr>
      <w:b/>
      <w:bCs/>
      <w:sz w:val="44"/>
      <w:szCs w:val="44"/>
    </w:rPr>
  </w:style>
  <w:style w:type="paragraph" w:styleId="848">
    <w:name w:val="Heading 2"/>
    <w:basedOn w:val="846"/>
    <w:next w:val="85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9">
    <w:name w:val="Heading 3"/>
    <w:basedOn w:val="846"/>
    <w:next w:val="846"/>
    <w:uiPriority w:val="0"/>
    <w:qFormat/>
    <w:pPr>
      <w:keepLines/>
      <w:keepNext/>
      <w:spacing w:before="260" w:after="260" w:line="416" w:lineRule="auto"/>
      <w:outlineLvl w:val="2"/>
    </w:pPr>
    <w:rPr>
      <w:b/>
      <w:bCs/>
      <w:sz w:val="32"/>
      <w:szCs w:val="32"/>
    </w:rPr>
  </w:style>
  <w:style w:type="character" w:styleId="850" w:default="1">
    <w:name w:val="Default Paragraph Font"/>
    <w:uiPriority w:val="1"/>
    <w:semiHidden/>
    <w:unhideWhenUsed/>
    <w:qFormat/>
  </w:style>
  <w:style w:type="table" w:styleId="851" w:default="1">
    <w:name w:val="Normal Table"/>
    <w:uiPriority w:val="99"/>
    <w:semiHidden/>
    <w:unhideWhenUsed/>
    <w:qFormat/>
    <w:tblPr>
      <w:tblCellMar>
        <w:left w:w="108" w:type="dxa"/>
        <w:top w:w="0" w:type="dxa"/>
        <w:right w:w="108" w:type="dxa"/>
        <w:bottom w:w="0" w:type="dxa"/>
      </w:tblCellMar>
    </w:tblPr>
  </w:style>
  <w:style w:type="paragraph" w:styleId="852">
    <w:name w:val="Body Text Indent"/>
    <w:basedOn w:val="846"/>
    <w:uiPriority w:val="0"/>
    <w:qFormat/>
    <w:pPr>
      <w:ind w:left="420"/>
      <w:spacing w:after="120"/>
    </w:pPr>
    <w:rPr>
      <w:szCs w:val="24"/>
    </w:rPr>
  </w:style>
  <w:style w:type="paragraph" w:styleId="853">
    <w:name w:val="Normal Indent"/>
    <w:basedOn w:val="846"/>
    <w:uiPriority w:val="0"/>
    <w:unhideWhenUsed/>
    <w:qFormat/>
    <w:pPr>
      <w:ind w:firstLine="420"/>
    </w:pPr>
  </w:style>
  <w:style w:type="paragraph" w:styleId="854">
    <w:name w:val="annotation text"/>
    <w:basedOn w:val="846"/>
    <w:uiPriority w:val="0"/>
    <w:qFormat/>
    <w:pPr>
      <w:jc w:val="left"/>
    </w:pPr>
  </w:style>
  <w:style w:type="paragraph" w:styleId="855">
    <w:name w:val="Body Text"/>
    <w:basedOn w:val="846"/>
    <w:uiPriority w:val="0"/>
    <w:qFormat/>
    <w:rPr>
      <w:rFonts w:ascii="楷体_GB2312" w:hAnsi="Arial" w:eastAsia="楷体_GB2312"/>
      <w:sz w:val="28"/>
      <w:szCs w:val="28"/>
    </w:rPr>
  </w:style>
  <w:style w:type="paragraph" w:styleId="856">
    <w:name w:val="Plain Text"/>
    <w:basedOn w:val="846"/>
    <w:uiPriority w:val="99"/>
    <w:qFormat/>
    <w:rPr>
      <w:rFonts w:ascii="宋体" w:hAnsi="Courier New"/>
      <w:sz w:val="20"/>
      <w:szCs w:val="21"/>
    </w:rPr>
  </w:style>
  <w:style w:type="paragraph" w:styleId="857">
    <w:name w:val="Balloon Text"/>
    <w:basedOn w:val="846"/>
    <w:link w:val="874"/>
    <w:uiPriority w:val="0"/>
    <w:qFormat/>
    <w:rPr>
      <w:sz w:val="18"/>
      <w:szCs w:val="18"/>
    </w:rPr>
  </w:style>
  <w:style w:type="paragraph" w:styleId="858">
    <w:name w:val="Footer"/>
    <w:basedOn w:val="846"/>
    <w:uiPriority w:val="99"/>
    <w:unhideWhenUsed/>
    <w:qFormat/>
    <w:pPr>
      <w:jc w:val="left"/>
      <w:tabs>
        <w:tab w:val="center" w:pos="4153" w:leader="none"/>
        <w:tab w:val="right" w:pos="8306" w:leader="none"/>
      </w:tabs>
    </w:pPr>
    <w:rPr>
      <w:sz w:val="18"/>
      <w:szCs w:val="18"/>
    </w:rPr>
  </w:style>
  <w:style w:type="paragraph" w:styleId="859">
    <w:name w:val="Header"/>
    <w:basedOn w:val="84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0">
    <w:name w:val="toc 1"/>
    <w:basedOn w:val="846"/>
    <w:next w:val="846"/>
    <w:uiPriority w:val="39"/>
    <w:unhideWhenUsed/>
    <w:qFormat/>
  </w:style>
  <w:style w:type="paragraph" w:styleId="861">
    <w:name w:val="Normal (Web)"/>
    <w:basedOn w:val="846"/>
    <w:uiPriority w:val="0"/>
    <w:qFormat/>
    <w:rPr>
      <w:rFonts w:ascii="Times New Roman" w:hAnsi="Times New Roman"/>
      <w:sz w:val="24"/>
    </w:rPr>
  </w:style>
  <w:style w:type="table" w:styleId="862">
    <w:name w:val="Table Grid"/>
    <w:basedOn w:val="8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Strong"/>
    <w:uiPriority w:val="0"/>
    <w:qFormat/>
    <w:rPr>
      <w:b/>
    </w:rPr>
  </w:style>
  <w:style w:type="character" w:styleId="864">
    <w:name w:val="Hyperlink"/>
    <w:basedOn w:val="850"/>
    <w:uiPriority w:val="0"/>
    <w:qFormat/>
    <w:rPr>
      <w:color w:val="0000ff"/>
      <w:u w:val="single"/>
    </w:rPr>
  </w:style>
  <w:style w:type="character" w:styleId="865">
    <w:name w:val="annotation reference"/>
    <w:basedOn w:val="850"/>
    <w:uiPriority w:val="0"/>
    <w:qFormat/>
    <w:rPr>
      <w:sz w:val="21"/>
      <w:szCs w:val="21"/>
    </w:rPr>
  </w:style>
  <w:style w:type="paragraph" w:styleId="866" w:customStyle="1">
    <w:name w:val="无间隔1"/>
    <w:uiPriority w:val="99"/>
    <w:qFormat/>
    <w:pPr>
      <w:jc w:val="both"/>
      <w:widowControl w:val="off"/>
    </w:pPr>
    <w:rPr>
      <w:rFonts w:ascii="Times New Roman" w:hAnsi="Times New Roman" w:eastAsia="宋体" w:cs="Times New Roman"/>
      <w:sz w:val="21"/>
      <w:szCs w:val="22"/>
      <w:lang w:val="en-US" w:eastAsia="zh-CN" w:bidi="ar-SA"/>
    </w:rPr>
  </w:style>
  <w:style w:type="paragraph" w:styleId="867" w:customStyle="1">
    <w:name w:val="正文1"/>
    <w:basedOn w:val="846"/>
    <w:uiPriority w:val="0"/>
    <w:qFormat/>
    <w:pPr>
      <w:jc w:val="left"/>
      <w:spacing w:line="360" w:lineRule="atLeast"/>
    </w:pPr>
    <w:rPr>
      <w:rFonts w:ascii="宋体" w:hAnsiTheme="minorHAnsi" w:eastAsiaTheme="minorEastAsia" w:cstheme="minorBidi"/>
      <w:sz w:val="24"/>
      <w:szCs w:val="20"/>
    </w:rPr>
  </w:style>
  <w:style w:type="paragraph" w:styleId="868" w:customStyle="1">
    <w:name w:val="正文文本1"/>
    <w:basedOn w:val="867"/>
    <w:next w:val="869"/>
    <w:uiPriority w:val="0"/>
    <w:qFormat/>
    <w:pPr>
      <w:spacing w:after="120"/>
    </w:pPr>
    <w:rPr>
      <w:lang w:eastAsia="en-US"/>
    </w:rPr>
  </w:style>
  <w:style w:type="paragraph" w:styleId="869" w:customStyle="1">
    <w:name w:val="一级条标题"/>
    <w:basedOn w:val="870"/>
    <w:next w:val="87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0" w:customStyle="1">
    <w:name w:val="章标题"/>
    <w:next w:val="84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71" w:customStyle="1">
    <w:name w:val="段"/>
    <w:basedOn w:val="867"/>
    <w:next w:val="846"/>
    <w:uiPriority w:val="0"/>
    <w:qFormat/>
    <w:pPr>
      <w:ind w:firstLine="200"/>
      <w:widowControl/>
    </w:pPr>
    <w:rPr>
      <w:sz w:val="20"/>
    </w:rPr>
  </w:style>
  <w:style w:type="paragraph" w:styleId="872" w:customStyle="1">
    <w:name w:val="普通正文"/>
    <w:basedOn w:val="867"/>
    <w:uiPriority w:val="0"/>
    <w:qFormat/>
    <w:pPr>
      <w:ind w:firstLine="480"/>
      <w:spacing w:before="120" w:after="120" w:line="360" w:lineRule="auto"/>
    </w:pPr>
    <w:rPr>
      <w:rFonts w:ascii="Arial" w:hAnsi="Arial"/>
      <w:szCs w:val="24"/>
    </w:rPr>
  </w:style>
  <w:style w:type="paragraph" w:styleId="873" w:customStyle="1">
    <w:name w:val="Char"/>
    <w:basedOn w:val="846"/>
    <w:uiPriority w:val="0"/>
    <w:qFormat/>
    <w:pPr>
      <w:ind w:firstLine="200"/>
      <w:tabs>
        <w:tab w:val="left" w:pos="360" w:leader="none"/>
      </w:tabs>
    </w:pPr>
    <w:rPr>
      <w:rFonts w:ascii="Times New Roman" w:hAnsi="Times New Roman"/>
      <w:sz w:val="28"/>
      <w:szCs w:val="30"/>
    </w:rPr>
  </w:style>
  <w:style w:type="character" w:styleId="874" w:customStyle="1">
    <w:name w:val="批注框文本 Char"/>
    <w:basedOn w:val="850"/>
    <w:link w:val="857"/>
    <w:uiPriority w:val="0"/>
    <w:qFormat/>
    <w:rPr>
      <w:sz w:val="18"/>
      <w:szCs w:val="18"/>
    </w:rPr>
  </w:style>
  <w:style w:type="paragraph" w:styleId="875" w:customStyle="1">
    <w:name w:val="纯文本11"/>
    <w:basedOn w:val="876"/>
    <w:uiPriority w:val="0"/>
    <w:qFormat/>
    <w:rPr>
      <w:rFonts w:ascii="宋体" w:hAnsi="Courier New"/>
      <w:sz w:val="20"/>
      <w:szCs w:val="21"/>
    </w:rPr>
  </w:style>
  <w:style w:type="paragraph" w:styleId="876" w:customStyle="1">
    <w:name w:val="正文11"/>
    <w:next w:val="867"/>
    <w:uiPriority w:val="0"/>
    <w:qFormat/>
    <w:pPr>
      <w:jc w:val="both"/>
      <w:widowControl w:val="off"/>
    </w:pPr>
    <w:rPr>
      <w:rFonts w:ascii="Times New Roman" w:hAnsi="Times New Roman" w:eastAsia="宋体" w:cs="Times New Roman"/>
      <w:sz w:val="21"/>
      <w:szCs w:val="24"/>
      <w:lang w:val="en-US" w:eastAsia="zh-CN" w:bidi="ar-SA"/>
    </w:rPr>
  </w:style>
  <w:style w:type="paragraph" w:styleId="877" w:customStyle="1">
    <w:name w:val="纯文本1"/>
    <w:uiPriority w:val="0"/>
    <w:unhideWhenUsed/>
    <w:qFormat/>
    <w:pPr>
      <w:jc w:val="both"/>
      <w:widowControl w:val="off"/>
    </w:pPr>
    <w:rPr>
      <w:rFonts w:ascii="宋体" w:hAnsi="Courier New" w:eastAsia="宋体" w:cs="Times New Roman"/>
      <w:lang w:val="en-US" w:eastAsia="zh-CN" w:bidi="ar-SA"/>
    </w:rPr>
  </w:style>
  <w:style w:type="paragraph" w:styleId="878" w:customStyle="1">
    <w:name w:val="普通(网站)1"/>
    <w:uiPriority w:val="0"/>
    <w:qFormat/>
    <w:pPr>
      <w:jc w:val="both"/>
      <w:widowControl w:val="off"/>
    </w:pPr>
    <w:rPr>
      <w:rFonts w:ascii="Times New Roman" w:hAnsi="Times New Roman" w:eastAsia="宋体" w:cs="Times New Roman"/>
      <w:sz w:val="24"/>
      <w:szCs w:val="24"/>
      <w:lang w:val="en-US" w:eastAsia="zh-CN" w:bidi="ar-SA"/>
    </w:rPr>
  </w:style>
  <w:style w:type="paragraph" w:styleId="879" w:customStyle="1">
    <w:name w:val="标题 11"/>
    <w:basedOn w:val="846"/>
    <w:next w:val="846"/>
    <w:uiPriority w:val="9"/>
    <w:qFormat/>
    <w:pPr>
      <w:keepLines/>
      <w:keepNext/>
      <w:spacing w:before="340" w:after="330" w:line="578" w:lineRule="auto"/>
      <w:outlineLvl w:val="0"/>
    </w:pPr>
    <w:rPr>
      <w:b/>
      <w:bCs/>
      <w:sz w:val="44"/>
      <w:szCs w:val="44"/>
    </w:rPr>
  </w:style>
  <w:style w:type="paragraph" w:styleId="880" w:customStyle="1">
    <w:name w:val="正文文本缩进111"/>
    <w:basedOn w:val="846"/>
    <w:uiPriority w:val="0"/>
    <w:qFormat/>
    <w:pPr>
      <w:ind w:left="420"/>
      <w:spacing w:after="120"/>
    </w:pPr>
    <w:rPr>
      <w:szCs w:val="24"/>
    </w:rPr>
  </w:style>
  <w:style w:type="paragraph" w:styleId="881" w:customStyle="1">
    <w:name w:val="日期1"/>
    <w:basedOn w:val="846"/>
    <w:next w:val="846"/>
    <w:uiPriority w:val="0"/>
    <w:qFormat/>
    <w:rPr>
      <w:sz w:val="24"/>
      <w:szCs w:val="20"/>
    </w:rPr>
  </w:style>
  <w:style w:type="paragraph" w:styleId="882" w:customStyle="1">
    <w:name w:val="标题 21"/>
    <w:basedOn w:val="846"/>
    <w:next w:val="883"/>
    <w:uiPriority w:val="9"/>
    <w:qFormat/>
    <w:pPr>
      <w:keepLines/>
      <w:keepNext/>
      <w:spacing w:before="260" w:after="260" w:line="416" w:lineRule="auto"/>
      <w:outlineLvl w:val="1"/>
    </w:pPr>
    <w:rPr>
      <w:rFonts w:ascii="Cambria" w:hAnsi="Cambria"/>
      <w:b/>
      <w:bCs/>
      <w:sz w:val="32"/>
      <w:szCs w:val="32"/>
    </w:rPr>
  </w:style>
  <w:style w:type="paragraph" w:styleId="883" w:customStyle="1">
    <w:name w:val="正文缩进11"/>
    <w:basedOn w:val="846"/>
    <w:uiPriority w:val="0"/>
    <w:unhideWhenUsed/>
    <w:qFormat/>
    <w:pPr>
      <w:ind w:firstLine="420"/>
    </w:pPr>
  </w:style>
  <w:style w:type="paragraph" w:styleId="884" w:customStyle="1">
    <w:name w:val="正文缩进1"/>
    <w:basedOn w:val="846"/>
    <w:uiPriority w:val="0"/>
    <w:unhideWhenUsed/>
    <w:qFormat/>
    <w:pPr>
      <w:ind w:firstLine="420"/>
    </w:pPr>
  </w:style>
  <w:style w:type="numbering" w:styleId="8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靖玉琴</cp:lastModifiedBy>
  <cp:revision>26</cp:revision>
  <dcterms:created xsi:type="dcterms:W3CDTF">2014-10-29T12:08:00Z</dcterms:created>
  <dcterms:modified xsi:type="dcterms:W3CDTF">2026-01-06T07:59:20Z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4734F5D401E24C0298A0BDF25B732E3D</vt:lpwstr>
  </property>
  <property fmtid="{D5CDD505-2E9C-101B-9397-08002B2CF9AE}" pid="4" name="KSOTemplateDocerSaveRecord">
    <vt:lpwstr>eyJoZGlkIjoiNTYwMmVlNTU0ODJhOWEzNzBlZjgyYWI4MjY0NmZlMmUiLCJ1c2VySWQiOiI0ODQ4ODEwNTgifQ==</vt:lpwstr>
  </property>
</Properties>
</file>