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JSZC-321000-JSWC-G2025-0091</w:t>
      </w:r>
      <w:r>
        <w:rPr>
          <w:rFonts w:hint="eastAsia" w:ascii="宋体" w:hAnsi="宋体" w:cs="宋体"/>
          <w:b/>
          <w:bCs/>
          <w:color w:val="auto"/>
          <w:sz w:val="36"/>
          <w:highlight w:val="none"/>
        </w:rPr>
        <w:t xml:space="preserve">号</w:t>
      </w:r>
      <w:r/>
    </w:p>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扬州市中医院制剂室设备采购项目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842"/>
        <w:rPr>
          <w:color w:val="auto"/>
          <w:highlight w:val="none"/>
        </w:rPr>
      </w:pPr>
      <w:r>
        <w:rPr>
          <w:color w:val="auto"/>
          <w:highlight w:val="none"/>
        </w:rPr>
      </w:r>
      <w:r/>
    </w:p>
    <w:p>
      <w:pPr>
        <w:ind w:firstLine="1134"/>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扬州市中医院</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24</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27"/>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97"/>
        <w:jc w:val="center"/>
        <w:spacing w:line="360" w:lineRule="auto"/>
        <w:rPr>
          <w:rFonts w:hint="eastAsia" w:ascii="宋体" w:hAnsi="宋体" w:cs="宋体"/>
          <w:color w:val="auto"/>
          <w:sz w:val="36"/>
          <w:highlight w:val="none"/>
        </w:rPr>
      </w:pPr>
      <w:r/>
      <w:bookmarkStart w:id="1" w:name="OLE_LINK1"/>
      <w:r/>
      <w:bookmarkStart w:id="2" w:name="_Toc497133090"/>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扬州市中医院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扬州市中医院制剂室设备采购项目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扬州市中医院制剂室设备采购项目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29</w:t>
      </w:r>
      <w:r>
        <w:rPr>
          <w:rFonts w:hint="eastAsia" w:ascii="宋体" w:hAnsi="宋体" w:cs="宋体"/>
          <w:color w:val="auto"/>
          <w:szCs w:val="21"/>
          <w:highlight w:val="none"/>
          <w:u w:val="single"/>
        </w:rPr>
        <w:t xml:space="preserve">日14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JSZC-321000-JSWC-G2025-0091</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扬州市中医院制剂室设备采购项目</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116.2</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4.本项目设置最高限价：</w:t>
      </w:r>
      <w:r>
        <w:rPr>
          <w:rFonts w:hint="eastAsia" w:ascii="宋体" w:hAnsi="宋体" w:cs="宋体"/>
          <w:color w:val="auto"/>
          <w:highlight w:val="none"/>
          <w:u w:val="single"/>
          <w:lang w:val="en-US" w:eastAsia="zh-CN"/>
        </w:rPr>
        <w:t xml:space="preserve">116.2</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6.供货期：自合同签订之日起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日内供货</w:t>
      </w:r>
      <w:bookmarkStart w:id="5" w:name="_Toc38985264"/>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
          <w:color w:val="auto"/>
          <w:highlight w:val="none"/>
          <w:u w:val="single"/>
        </w:rPr>
      </w:pPr>
      <w:r>
        <w:rPr>
          <w:rFonts w:hint="eastAsia" w:ascii="宋体" w:hAnsi="宋体" w:cs="宋体"/>
          <w:color w:val="auto"/>
          <w:szCs w:val="21"/>
          <w:highlight w:val="none"/>
        </w:rPr>
        <w:t xml:space="preserve">2.落实政府采购政策需满足的资格要求：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spacing w:line="360" w:lineRule="auto"/>
        <w:rPr>
          <w:rFonts w:hint="eastAsia" w:ascii="宋体" w:hAnsi="宋体" w:cs="宋体"/>
          <w:bCs/>
          <w:i w:val="0"/>
          <w:iCs/>
          <w:color w:val="auto"/>
          <w:szCs w:val="21"/>
          <w:highlight w:val="none"/>
          <w:u w:val="non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0"/>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29</w:t>
      </w:r>
      <w:r>
        <w:rPr>
          <w:rFonts w:hint="eastAsia" w:ascii="宋体" w:hAnsi="宋体" w:cs="宋体"/>
          <w:color w:val="auto"/>
          <w:szCs w:val="21"/>
          <w:highlight w:val="none"/>
          <w:u w:val="single"/>
        </w:rPr>
        <w:t xml:space="preserve">日14点30分</w:t>
      </w:r>
      <w:r>
        <w:rPr>
          <w:rFonts w:hint="eastAsia" w:ascii="宋体" w:hAnsi="宋体" w:cs="宋体"/>
          <w:bCs/>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spacing w:line="360" w:lineRule="auto"/>
        <w:tabs>
          <w:tab w:val="left" w:pos="266" w:leader="none"/>
        </w:tabs>
        <w:rPr>
          <w:rFonts w:hint="eastAsia" w:ascii="宋体" w:hAnsi="宋体" w:cs="宋体"/>
          <w:b/>
          <w:bCs/>
          <w:color w:val="auto"/>
          <w:highlight w:val="none"/>
        </w:rPr>
      </w:pPr>
      <w:r/>
      <w:bookmarkStart w:id="9" w:name="_Toc28359087"/>
      <w:r/>
      <w:bookmarkStart w:id="10"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64"/>
        <w:ind w:firstLine="420"/>
        <w:jc w:val="left"/>
        <w:spacing w:line="360" w:lineRule="auto"/>
        <w:rPr>
          <w:rFonts w:hint="eastAsia" w:ascii="宋体" w:hAnsi="宋体" w:eastAsia="宋体" w:cs="宋体"/>
          <w:color w:val="auto"/>
          <w:szCs w:val="21"/>
          <w:highlight w:val="none"/>
          <w:lang w:eastAsia="zh-CN"/>
        </w:rPr>
      </w:pPr>
      <w:r/>
      <w:bookmarkStart w:id="12" w:name="_Toc28359086"/>
      <w:r/>
      <w:bookmarkStart w:id="13" w:name="_Toc28359009"/>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扬州市中医院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联系方式：0514-87930563</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址：扬州市维扬路106-1#扬州商城国际大厦19F1922室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联系方式：18652401357</w:t>
      </w:r>
      <w:r/>
    </w:p>
    <w:p>
      <w:pPr>
        <w:pStyle w:val="797"/>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440" w:lineRule="exact"/>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JSZC-321000-JSWC-G2025-0091</w:t>
      </w:r>
      <w:r>
        <w:rPr>
          <w:rFonts w:hint="eastAsia" w:ascii="宋体" w:hAnsi="宋体"/>
          <w:bCs/>
          <w:color w:val="auto"/>
          <w:szCs w:val="21"/>
          <w:highlight w:val="none"/>
        </w:rPr>
        <w:t xml:space="preserve">号项目。</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4.2本次采购由中标人在领取中标通知书前分别根据国家计委印发的《招标代理服务收费管理暂行办法》(计价格【2002】1980号文)货物类*</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0%标准一次性支付给代理机构代理服务费。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auto"/>
          <w:szCs w:val="21"/>
          <w:highlight w:val="none"/>
        </w:rPr>
      </w:pPr>
      <w:r/>
      <w:bookmarkStart w:id="15" w:name="_Toc20823297"/>
      <w:r/>
      <w:bookmarkStart w:id="16" w:name="_Toc462564084"/>
      <w:r/>
      <w:bookmarkStart w:id="17" w:name="_Toc513029225"/>
      <w:r/>
      <w:bookmarkStart w:id="18" w:name="_Toc16938541"/>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20823298"/>
      <w:r/>
      <w:bookmarkStart w:id="21" w:name="_Toc16938542"/>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auto"/>
          <w:szCs w:val="21"/>
          <w:highlight w:val="none"/>
        </w:rPr>
      </w:pPr>
      <w:r/>
      <w:bookmarkStart w:id="22" w:name="_Toc16938543"/>
      <w:r/>
      <w:bookmarkStart w:id="23" w:name="_Toc513029227"/>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b/>
          <w:color w:val="auto"/>
          <w:szCs w:val="21"/>
          <w:highlight w:val="none"/>
        </w:rPr>
      </w:pPr>
      <w:r/>
      <w:bookmarkStart w:id="25" w:name="_Toc513029228"/>
      <w:r/>
      <w:bookmarkStart w:id="26" w:name="_Toc20823300"/>
      <w:r/>
      <w:bookmarkStart w:id="27" w:name="_Toc16938544"/>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color w:val="auto"/>
          <w:highlight w:val="none"/>
        </w:rPr>
      </w:pPr>
      <w:r>
        <w:rPr>
          <w:rFonts w:hint="eastAsia" w:ascii="宋体" w:hAnsi="宋体"/>
          <w:bCs/>
          <w:color w:val="auto"/>
          <w:szCs w:val="21"/>
          <w:highlight w:val="none"/>
        </w:rPr>
        <w:t xml:space="preserve">26.1.10 异常低价投标（响应）</w:t>
      </w:r>
      <w:r/>
    </w:p>
    <w:p>
      <w:pPr>
        <w:ind w:firstLine="420"/>
        <w:spacing w:line="360" w:lineRule="auto"/>
        <w:rPr>
          <w:color w:val="auto"/>
          <w:highlight w:val="none"/>
        </w:rPr>
      </w:pPr>
      <w:r>
        <w:rPr>
          <w:rFonts w:hint="eastAsia" w:ascii="宋体" w:hAnsi="宋体"/>
          <w:bCs/>
          <w:color w:val="auto"/>
          <w:szCs w:val="21"/>
          <w:highlight w:val="none"/>
        </w:rPr>
        <w:t xml:space="preserve">26.1.10.1 投标（响应）报价低于采购项目预算50%的，即投标（响应）报价&lt;采购项目预算×50%；</w:t>
      </w:r>
      <w:r/>
    </w:p>
    <w:p>
      <w:pPr>
        <w:ind w:firstLine="420"/>
        <w:spacing w:line="360" w:lineRule="auto"/>
        <w:rPr>
          <w:color w:val="auto"/>
          <w:highlight w:val="none"/>
        </w:rPr>
      </w:pPr>
      <w:r>
        <w:rPr>
          <w:rFonts w:hint="eastAsia" w:ascii="宋体" w:hAnsi="宋体"/>
          <w:bCs/>
          <w:color w:val="auto"/>
          <w:szCs w:val="21"/>
          <w:highlight w:val="none"/>
        </w:rPr>
        <w:t xml:space="preserve">26.1.10.2 投标（响应）报价低于采购项目最高限价45%的，即投标（响应）报价&lt;采购项目最高限价×45%；</w:t>
      </w:r>
      <w:r/>
    </w:p>
    <w:p>
      <w:pPr>
        <w:ind w:firstLine="420"/>
        <w:spacing w:line="360" w:lineRule="auto"/>
        <w:rPr>
          <w:color w:val="auto"/>
          <w:highlight w:val="none"/>
        </w:rPr>
      </w:pPr>
      <w:r>
        <w:rPr>
          <w:rFonts w:hint="eastAsia" w:ascii="宋体" w:hAnsi="宋体"/>
          <w:bCs/>
          <w:color w:val="auto"/>
          <w:szCs w:val="21"/>
          <w:highlight w:val="none"/>
        </w:rPr>
        <w:t xml:space="preserve">26.1.10.3 评审委员会认定的供应商报价过低、有可能影响产品质量或者不能诚信履约的其他情形。</w:t>
      </w:r>
      <w:r/>
    </w:p>
    <w:p>
      <w:pPr>
        <w:ind w:firstLine="420"/>
        <w:spacing w:line="360" w:lineRule="auto"/>
        <w:rPr>
          <w:rFonts w:hint="eastAsia" w:ascii="宋体" w:hAnsi="宋体"/>
          <w:color w:val="auto"/>
          <w:highlight w:val="none"/>
        </w:rPr>
      </w:pPr>
      <w:r>
        <w:rPr>
          <w:rFonts w:hint="eastAsia" w:ascii="宋体" w:hAnsi="宋体"/>
          <w:bCs/>
          <w:color w:val="auto"/>
          <w:szCs w:val="21"/>
          <w:highlight w:val="none"/>
        </w:rPr>
        <w:t xml:space="preserve">26.1.10.4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97"/>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19"/>
        <w:ind w:firstLine="420"/>
        <w:spacing w:line="360" w:lineRule="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19"/>
        <w:rPr>
          <w:rFonts w:hint="eastAsia" w:hAnsi="宋体" w:cs="宋体"/>
          <w:color w:val="auto"/>
          <w:highlight w:val="none"/>
        </w:rPr>
      </w:pPr>
      <w:r>
        <w:rPr>
          <w:rFonts w:hint="eastAsia" w:hAnsi="宋体" w:cs="宋体"/>
          <w:color w:val="auto"/>
          <w:highlight w:val="none"/>
        </w:rPr>
      </w:r>
      <w:r/>
    </w:p>
    <w:p>
      <w:pPr>
        <w:pStyle w:val="819"/>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w:t>
      </w:r>
      <w:r>
        <w:rPr>
          <w:rFonts w:hAnsi="宋体"/>
          <w:b/>
          <w:bCs/>
          <w:color w:val="auto"/>
          <w:sz w:val="21"/>
          <w:highlight w:val="none"/>
        </w:rPr>
        <w:t xml:space="preserve">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扬州市中医院制剂室设备采购项目</w:t>
      </w:r>
      <w:r>
        <w:rPr>
          <w:rFonts w:hint="eastAsia" w:hAnsi="宋体" w:cs="宋体"/>
          <w:color w:val="auto"/>
          <w:sz w:val="21"/>
          <w:highlight w:val="none"/>
        </w:rPr>
        <w:t xml:space="preserve">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lang w:eastAsia="zh-CN"/>
        </w:rPr>
        <w:t xml:space="preserve">JSZC-321000-JSWC-G2025-0091</w:t>
      </w:r>
      <w:r>
        <w:rPr>
          <w:rFonts w:hint="eastAsia" w:hAnsi="宋体" w:cs="宋体"/>
          <w:color w:val="auto"/>
          <w:sz w:val="21"/>
          <w:highlight w:val="none"/>
        </w:rPr>
        <w:t xml:space="preserve">号</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19"/>
        <w:ind w:firstLine="420"/>
        <w:spacing w:before="120" w:after="120" w:line="360" w:lineRule="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819"/>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本合同金额为（大写）：__________________元人民币（¥_____元）。</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19"/>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19"/>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19"/>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19"/>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819"/>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819"/>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本项目不收取履约保证金。</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819"/>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1</w:t>
      </w:r>
      <w:r>
        <w:rPr>
          <w:rFonts w:hint="eastAsia" w:hAnsi="宋体" w:cs="宋体"/>
          <w:bCs/>
          <w:color w:val="auto"/>
          <w:sz w:val="21"/>
          <w:highlight w:val="none"/>
          <w:u w:val="single"/>
        </w:rPr>
        <w:t xml:space="preserve">年</w:t>
      </w:r>
      <w:r>
        <w:rPr>
          <w:rFonts w:hint="eastAsia" w:hAnsi="宋体" w:cs="宋体"/>
          <w:bCs/>
          <w:color w:val="auto"/>
          <w:sz w:val="21"/>
          <w:highlight w:val="none"/>
        </w:rPr>
        <w:t xml:space="preserve">。（自交货验收合格之日起计）。</w:t>
      </w:r>
      <w:r/>
    </w:p>
    <w:p>
      <w:pPr>
        <w:pStyle w:val="819"/>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9.1 交货期：自合同签订之日起</w:t>
      </w:r>
      <w:r>
        <w:rPr>
          <w:rFonts w:hint="eastAsia" w:ascii="宋体" w:hAnsi="宋体" w:cs="宋体"/>
          <w:bCs/>
          <w:color w:val="auto"/>
          <w:highlight w:val="none"/>
          <w:lang w:val="en-US" w:eastAsia="zh-CN"/>
        </w:rPr>
        <w:t xml:space="preserve">45</w:t>
      </w:r>
      <w:r>
        <w:rPr>
          <w:rFonts w:hint="eastAsia" w:ascii="宋体" w:hAnsi="宋体" w:cs="宋体"/>
          <w:bCs/>
          <w:color w:val="auto"/>
          <w:highlight w:val="none"/>
        </w:rPr>
        <w:t xml:space="preserve">日内供货。</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9.2 交货方式：甲方指定方式</w:t>
      </w:r>
      <w:r/>
    </w:p>
    <w:p>
      <w:pPr>
        <w:pStyle w:val="819"/>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9.3 交货地点：甲方指定地点</w:t>
      </w:r>
      <w:r/>
    </w:p>
    <w:p>
      <w:pPr>
        <w:pStyle w:val="819"/>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10、货款支付</w:t>
      </w:r>
      <w:r/>
    </w:p>
    <w:p>
      <w:pPr>
        <w:pStyle w:val="819"/>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19"/>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19"/>
        <w:ind w:firstLine="420"/>
        <w:spacing w:before="120" w:after="120" w:line="360" w:lineRule="auto"/>
        <w:rPr>
          <w:rFonts w:hint="eastAsia" w:ascii="宋体" w:hAnsi="宋体" w:eastAsia="宋体" w:cs="宋体"/>
          <w:b w:val="0"/>
          <w:bCs w:val="0"/>
          <w:color w:val="auto"/>
          <w:highlight w:val="none"/>
        </w:rPr>
      </w:pPr>
      <w:r>
        <w:rPr>
          <w:rFonts w:hint="eastAsia" w:hAnsi="宋体" w:cs="宋体"/>
          <w:bCs/>
          <w:color w:val="auto"/>
          <w:sz w:val="21"/>
          <w:highlight w:val="none"/>
        </w:rPr>
        <w:t xml:space="preserve">10.3 付款方式：</w:t>
      </w:r>
      <w:r>
        <w:rPr>
          <w:rFonts w:hint="eastAsia" w:ascii="宋体" w:hAnsi="宋体" w:eastAsia="宋体" w:cs="宋体"/>
          <w:b w:val="0"/>
          <w:bCs w:val="0"/>
          <w:color w:val="auto"/>
          <w:szCs w:val="21"/>
          <w:highlight w:val="none"/>
        </w:rPr>
        <w:t xml:space="preserve">合同签订后</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收到乙方开具的正式发票后</w:t>
      </w:r>
      <w:r>
        <w:rPr>
          <w:rFonts w:hint="eastAsia" w:ascii="宋体" w:hAnsi="宋体" w:eastAsia="宋体" w:cs="宋体"/>
          <w:b w:val="0"/>
          <w:bCs w:val="0"/>
          <w:color w:val="auto"/>
          <w:szCs w:val="21"/>
          <w:highlight w:val="none"/>
        </w:rPr>
        <w:t xml:space="preserve">10个工作日内支付合同金额的30%</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货到验收合格，收到</w:t>
      </w:r>
      <w:r>
        <w:rPr>
          <w:rFonts w:hint="eastAsia" w:hAnsi="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rPr>
        <w:t xml:space="preserve">发票后10个工作日内</w:t>
      </w:r>
      <w:r>
        <w:rPr>
          <w:rFonts w:hint="eastAsia" w:hAnsi="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支付合同总额的60%，验收合格满一年，收到</w:t>
      </w:r>
      <w:r>
        <w:rPr>
          <w:rFonts w:hint="eastAsia" w:hAnsi="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rPr>
        <w:t xml:space="preserve">发票后10个工作日内</w:t>
      </w:r>
      <w:r>
        <w:rPr>
          <w:rFonts w:hint="eastAsia" w:hAnsi="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付清剩余10%。</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819"/>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19"/>
        <w:ind w:firstLine="31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19"/>
        <w:ind w:left="420" w:hanging="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19"/>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19"/>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819"/>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本合同正本一式伍份，具有同等法律效力，甲方、乙方各执贰份、见证方执壹份。</w:t>
      </w:r>
      <w:r/>
    </w:p>
    <w:p>
      <w:pPr>
        <w:pStyle w:val="819"/>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19"/>
        <w:ind w:left="420" w:hanging="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81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19"/>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19"/>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819"/>
        <w:ind w:firstLine="210"/>
        <w:spacing w:before="120" w:after="120" w:line="360" w:lineRule="auto"/>
        <w:rPr>
          <w:rFonts w:hint="eastAsia" w:hAnsi="宋体"/>
          <w:color w:val="auto"/>
          <w:sz w:val="21"/>
          <w:highlight w:val="none"/>
        </w:rPr>
      </w:pPr>
      <w:r>
        <w:rPr>
          <w:rFonts w:hint="eastAsia" w:hAnsi="宋体" w:cs="宋体"/>
          <w:color w:val="auto"/>
          <w:sz w:val="21"/>
          <w:highlight w:val="none"/>
        </w:rPr>
        <w:t xml:space="preserve">日期：     年   月   日</w:t>
      </w:r>
      <w:r/>
    </w:p>
    <w:p>
      <w:pPr>
        <w:pStyle w:val="797"/>
        <w:numPr>
          <w:ilvl w:val="0"/>
          <w:numId w:val="7"/>
        </w:numPr>
        <w:jc w:val="center"/>
        <w:rPr>
          <w:rFonts w:hint="eastAsia" w:ascii="宋体" w:hAnsi="宋体"/>
          <w:color w:val="auto"/>
          <w:sz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6"/>
          <w:highlight w:val="none"/>
        </w:rPr>
      </w:r>
      <w:r/>
    </w:p>
    <w:p>
      <w:pPr>
        <w:pStyle w:val="797"/>
        <w:numPr>
          <w:ilvl w:val="0"/>
          <w:numId w:val="7"/>
        </w:numPr>
        <w:jc w:val="center"/>
        <w:spacing w:line="240" w:lineRule="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0"/>
        <w:jc w:val="left"/>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spacing w:before="156" w:line="360" w:lineRule="auto"/>
        <w:widowControl/>
        <w:rPr>
          <w:rFonts w:hint="eastAsia" w:ascii="宋体" w:hAnsi="宋体" w:cs="宋体"/>
          <w:b/>
          <w:color w:val="auto"/>
          <w:szCs w:val="21"/>
          <w:highlight w:val="none"/>
        </w:rPr>
      </w:pPr>
      <w:r/>
      <w:bookmarkStart w:id="29" w:name="_Toc497133122"/>
      <w:r>
        <w:rPr>
          <w:rFonts w:hint="eastAsia" w:ascii="宋体" w:hAnsi="宋体" w:cs="宋体"/>
          <w:b/>
          <w:color w:val="auto"/>
          <w:szCs w:val="21"/>
          <w:highlight w:val="none"/>
        </w:rPr>
        <w:t xml:space="preserve">一、技术需求</w:t>
      </w:r>
      <w:r/>
    </w:p>
    <w:tbl>
      <w:tblPr>
        <w:tblStyle w:val="8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819"/>
        <w:gridCol w:w="3467"/>
        <w:gridCol w:w="1403"/>
        <w:gridCol w:w="1065"/>
      </w:tblGrid>
      <w:tr>
        <w:trPr>
          <w:jc w:val="center"/>
          <w:trHeight w:val="567"/>
        </w:trPr>
        <w:tc>
          <w:tcPr>
            <w:gridSpan w:val="5"/>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主设备</w:t>
            </w:r>
            <w:r/>
          </w:p>
        </w:tc>
      </w:tr>
      <w:tr>
        <w:trPr>
          <w:jc w:val="center"/>
          <w:trHeight w:val="567"/>
        </w:trPr>
        <w:tc>
          <w:tcPr>
            <w:tcW w:w="45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67"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2034"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主要参数</w:t>
            </w:r>
            <w:r/>
          </w:p>
        </w:tc>
        <w:tc>
          <w:tcPr>
            <w:tcW w:w="823"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主要材料</w:t>
            </w:r>
            <w:r/>
          </w:p>
        </w:tc>
        <w:tc>
          <w:tcPr>
            <w:tcW w:w="623"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567"/>
        </w:trPr>
        <w:tc>
          <w:tcPr>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1067" w:type="pct"/>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rPr>
              <w:t xml:space="preserve">万能粉碎机</w:t>
            </w:r>
            <w:r/>
          </w:p>
        </w:tc>
        <w:tc>
          <w:tcPr>
            <w:tcW w:w="2034" w:type="pct"/>
            <w:vAlign w:val="center"/>
            <w:textDirection w:val="lrTb"/>
            <w:noWrap w:val="false"/>
          </w:tcPr>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1</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产能：100-300kg/h</w:t>
            </w:r>
            <w:r/>
          </w:p>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2</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转子转速3</w:t>
            </w:r>
            <w:r>
              <w:rPr>
                <w:rStyle w:val="1116"/>
                <w:rFonts w:hint="eastAsia" w:ascii="宋体" w:hAnsi="宋体" w:eastAsia="宋体" w:cs="宋体"/>
                <w:color w:val="auto"/>
                <w:sz w:val="21"/>
                <w:szCs w:val="21"/>
                <w:highlight w:val="none"/>
                <w:lang w:val="en-US" w:eastAsia="zh-CN" w:bidi="ar"/>
              </w:rPr>
              <w:t xml:space="preserve">5</w:t>
            </w:r>
            <w:r>
              <w:rPr>
                <w:rStyle w:val="1116"/>
                <w:rFonts w:hint="eastAsia" w:ascii="宋体" w:hAnsi="宋体" w:eastAsia="宋体" w:cs="宋体"/>
                <w:color w:val="auto"/>
                <w:sz w:val="21"/>
                <w:szCs w:val="21"/>
                <w:highlight w:val="none"/>
                <w:lang w:bidi="ar"/>
              </w:rPr>
              <w:t xml:space="preserve">00rpm</w:t>
            </w:r>
            <w:r/>
          </w:p>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3</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电机功率7.5kw</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2</w:t>
            </w:r>
            <w:r/>
          </w:p>
        </w:tc>
      </w:tr>
      <w:tr>
        <w:trPr>
          <w:jc w:val="center"/>
          <w:trHeight w:val="567"/>
        </w:trPr>
        <w:tc>
          <w:tcPr>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1067"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震荡筛分机</w:t>
            </w:r>
            <w:r/>
          </w:p>
        </w:tc>
        <w:tc>
          <w:tcPr>
            <w:tcW w:w="2034" w:type="pct"/>
            <w:vAlign w:val="center"/>
            <w:textDirection w:val="lrTb"/>
            <w:noWrap w:val="false"/>
          </w:tcPr>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1</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产能：100-500kg/h</w:t>
            </w:r>
            <w:r/>
          </w:p>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2</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直径600mm</w:t>
            </w:r>
            <w:r/>
          </w:p>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3</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筛网目数20mm、60mm</w:t>
            </w:r>
            <w:r/>
          </w:p>
          <w:p>
            <w:pPr>
              <w:jc w:val="left"/>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4</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bidi="ar"/>
              </w:rPr>
              <w:t xml:space="preserve">电机功率2.2kw</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2</w:t>
            </w:r>
            <w:r/>
          </w:p>
        </w:tc>
      </w:tr>
      <w:tr>
        <w:trPr>
          <w:jc w:val="center"/>
          <w:trHeight w:val="3837"/>
        </w:trPr>
        <w:tc>
          <w:tcPr>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W w:w="1067"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沸腾干燥制粒机</w:t>
            </w:r>
            <w:r/>
          </w:p>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lang w:val="en-US" w:eastAsia="zh-CN"/>
              </w:rPr>
              <w:t xml:space="preserve">核心产品）</w:t>
            </w:r>
            <w:r>
              <w:rPr>
                <w:rStyle w:val="1116"/>
                <w:rFonts w:hint="eastAsia" w:ascii="宋体" w:hAnsi="宋体" w:eastAsia="宋体" w:cs="宋体"/>
                <w:color w:val="auto"/>
                <w:sz w:val="21"/>
                <w:szCs w:val="21"/>
                <w:highlight w:val="none"/>
              </w:rPr>
              <w:t xml:space="preserve"> </w:t>
            </w:r>
            <w:r/>
          </w:p>
        </w:tc>
        <w:tc>
          <w:tcPr>
            <w:tcW w:w="2034" w:type="pct"/>
            <w:vAlign w:val="center"/>
            <w:textDirection w:val="lrTb"/>
            <w:noWrap w:val="false"/>
          </w:tcPr>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顶喷制粒产能30-60kg/锅</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2</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风机电机能耗符合节能标准，功率15kw</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喷量范围1.6-3500mL/min，蠕动泵转速0.1-220rpm</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4</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喷枪采用三流体喷枪</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5</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进风柜采用蒸汽加热方式，带蒸汽比例调节阀控制蒸汽流量，进风带冷热风栅阀，能把进风温度控制在±1℃</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★6</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采用底部中心进风形式</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★7</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顶部和底部采用封头形式</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★8</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过滤仓室采用脉冲反吹形式</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★9</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过滤室大盘采用自动升降</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bidi="ar"/>
              </w:rPr>
              <w:t xml:space="preserve">1</w:t>
            </w:r>
            <w:r/>
          </w:p>
        </w:tc>
      </w:tr>
      <w:tr>
        <w:trPr>
          <w:jc w:val="center"/>
          <w:trHeight w:val="567"/>
        </w:trPr>
        <w:tc>
          <w:tcPr>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W w:w="1819" w:type="dxa"/>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单立柱混合机</w:t>
            </w:r>
            <w:r/>
          </w:p>
        </w:tc>
        <w:tc>
          <w:tcPr>
            <w:tcW w:w="3467" w:type="dxa"/>
            <w:vAlign w:val="center"/>
            <w:textDirection w:val="lrTb"/>
            <w:noWrap w:val="false"/>
          </w:tcPr>
          <w:p>
            <w:pPr>
              <w:jc w:val="left"/>
              <w:widowControl/>
              <w:rPr>
                <w:rStyle w:val="1116"/>
                <w:rFonts w:hint="default" w:ascii="宋体" w:hAnsi="宋体" w:eastAsia="宋体" w:cs="宋体"/>
                <w:color w:val="auto"/>
                <w:sz w:val="21"/>
                <w:szCs w:val="21"/>
                <w:highlight w:val="none"/>
              </w:rPr>
            </w:pPr>
            <w:r>
              <w:rPr>
                <w:rStyle w:val="1116"/>
                <w:rFonts w:hint="default" w:ascii="宋体" w:hAnsi="宋体" w:eastAsia="宋体" w:cs="宋体"/>
                <w:color w:val="auto"/>
                <w:sz w:val="21"/>
                <w:szCs w:val="21"/>
                <w:highlight w:val="none"/>
              </w:rPr>
              <w:t xml:space="preserve">★1、混合电机功率3kw，提升电机功率1.5kw</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val="en-US" w:eastAsia="zh-CN"/>
              </w:rPr>
              <w:t xml:space="preserve">2</w:t>
            </w:r>
            <w:r>
              <w:rPr>
                <w:rStyle w:val="1116"/>
                <w:rFonts w:hint="default" w:ascii="宋体" w:hAnsi="宋体" w:eastAsia="宋体" w:cs="宋体"/>
                <w:color w:val="auto"/>
                <w:sz w:val="21"/>
                <w:szCs w:val="21"/>
                <w:highlight w:val="none"/>
              </w:rPr>
              <w:t xml:space="preserve">、混合桶</w:t>
            </w:r>
            <w:r>
              <w:rPr>
                <w:rStyle w:val="1116"/>
                <w:rFonts w:hint="eastAsia" w:ascii="宋体" w:hAnsi="宋体" w:eastAsia="宋体" w:cs="宋体"/>
                <w:color w:val="auto"/>
                <w:sz w:val="21"/>
                <w:szCs w:val="21"/>
                <w:highlight w:val="none"/>
                <w:lang w:val="en-US" w:eastAsia="zh-CN"/>
              </w:rPr>
              <w:t xml:space="preserve">最大覆盖300L，最小覆盖100L，可</w:t>
            </w:r>
            <w:r>
              <w:rPr>
                <w:rStyle w:val="1116"/>
                <w:rFonts w:hint="default" w:ascii="宋体" w:hAnsi="宋体" w:eastAsia="宋体" w:cs="宋体"/>
                <w:color w:val="auto"/>
                <w:sz w:val="21"/>
                <w:szCs w:val="21"/>
                <w:highlight w:val="none"/>
              </w:rPr>
              <w:t xml:space="preserve">互换使用</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1</w:t>
            </w:r>
            <w:r/>
          </w:p>
        </w:tc>
      </w:tr>
      <w:tr>
        <w:trPr>
          <w:jc w:val="center"/>
          <w:trHeight w:val="567"/>
        </w:trPr>
        <w:tc>
          <w:tcPr>
            <w:shd w:val="clear" w:color="auto" w:fill="auto"/>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tc>
        <w:tc>
          <w:tcPr>
            <w:tcW w:w="1819" w:type="dxa"/>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缓冲料斗</w:t>
            </w:r>
            <w:r/>
          </w:p>
        </w:tc>
        <w:tc>
          <w:tcPr>
            <w:tcW w:w="3467" w:type="dxa"/>
            <w:vAlign w:val="center"/>
            <w:textDirection w:val="lrTb"/>
            <w:noWrap w:val="false"/>
          </w:tcPr>
          <w:p>
            <w:pPr>
              <w:jc w:val="left"/>
              <w:widowControl/>
              <w:rPr>
                <w:rStyle w:val="1116"/>
                <w:rFonts w:hint="eastAsia" w:ascii="宋体" w:hAnsi="宋体" w:eastAsia="宋体" w:cs="宋体"/>
                <w:color w:val="auto"/>
                <w:sz w:val="21"/>
                <w:szCs w:val="21"/>
                <w:highlight w:val="none"/>
                <w:lang w:val="en-US" w:eastAsia="zh-CN" w:bidi="ar"/>
              </w:rPr>
            </w:pPr>
            <w:r>
              <w:rPr>
                <w:rStyle w:val="1116"/>
                <w:rFonts w:hint="default" w:ascii="宋体" w:hAnsi="宋体" w:eastAsia="宋体" w:cs="宋体"/>
                <w:color w:val="auto"/>
                <w:sz w:val="21"/>
                <w:szCs w:val="21"/>
                <w:highlight w:val="none"/>
                <w:lang w:bidi="ar"/>
              </w:rPr>
              <w:t xml:space="preserve">★1</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壁厚实测厚度达到2mm</w:t>
            </w:r>
            <w:r>
              <w:rPr>
                <w:rStyle w:val="1116"/>
                <w:rFonts w:hint="eastAsia" w:ascii="宋体" w:hAnsi="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val="en-US" w:eastAsia="zh-CN" w:bidi="ar"/>
              </w:rPr>
              <w:t xml:space="preserve">容积300L</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2、外表面粗糙度≤0.4µm</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3、内表面粗糙度≤0.2µm</w:t>
            </w:r>
            <w:r/>
          </w:p>
          <w:p>
            <w:pPr>
              <w:jc w:val="left"/>
              <w:widowControl/>
              <w:rPr>
                <w:rStyle w:val="1116"/>
                <w:rFonts w:hint="eastAsia"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4、出料口采用DN200的蝶阀</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lang w:bidi="ar"/>
              </w:rPr>
            </w:pPr>
            <w:r>
              <w:rPr>
                <w:rStyle w:val="1116"/>
                <w:rFonts w:hint="eastAsia" w:ascii="宋体" w:hAnsi="宋体" w:eastAsia="宋体" w:cs="宋体"/>
                <w:color w:val="auto"/>
                <w:sz w:val="21"/>
                <w:szCs w:val="21"/>
                <w:highlight w:val="none"/>
                <w:lang w:bidi="ar"/>
              </w:rPr>
              <w:t xml:space="preserve">1</w:t>
            </w:r>
            <w:r/>
          </w:p>
        </w:tc>
      </w:tr>
      <w:tr>
        <w:trPr>
          <w:jc w:val="center"/>
          <w:trHeight w:val="567"/>
        </w:trPr>
        <w:tc>
          <w:tcPr>
            <w:shd w:val="clear" w:color="auto" w:fill="auto"/>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tcW w:w="1067"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真空上料机</w:t>
            </w:r>
            <w:r/>
          </w:p>
        </w:tc>
        <w:tc>
          <w:tcPr>
            <w:tcW w:w="2034" w:type="pct"/>
            <w:vAlign w:val="center"/>
            <w:textDirection w:val="lrTb"/>
            <w:noWrap w:val="false"/>
          </w:tcPr>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输送速度不小于800kg/h</w:t>
            </w:r>
            <w:r/>
          </w:p>
          <w:p>
            <w:pPr>
              <w:jc w:val="left"/>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2</w:t>
            </w:r>
            <w:r>
              <w:rPr>
                <w:rStyle w:val="1116"/>
                <w:rFonts w:hint="eastAsia" w:ascii="宋体" w:hAnsi="宋体" w:cs="宋体"/>
                <w:color w:val="auto"/>
                <w:sz w:val="21"/>
                <w:szCs w:val="21"/>
                <w:highlight w:val="none"/>
                <w:lang w:eastAsia="zh-CN"/>
              </w:rPr>
              <w:t xml:space="preserve">、</w:t>
            </w:r>
            <w:r>
              <w:rPr>
                <w:rStyle w:val="1116"/>
                <w:rFonts w:hint="eastAsia" w:ascii="宋体" w:hAnsi="宋体" w:eastAsia="宋体" w:cs="宋体"/>
                <w:color w:val="auto"/>
                <w:sz w:val="21"/>
                <w:szCs w:val="21"/>
                <w:highlight w:val="none"/>
              </w:rPr>
              <w:t xml:space="preserve">电机功率3kw</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w:t>
            </w:r>
            <w:r/>
          </w:p>
        </w:tc>
      </w:tr>
      <w:tr>
        <w:trPr>
          <w:jc w:val="center"/>
          <w:trHeight w:val="567"/>
        </w:trPr>
        <w:tc>
          <w:tcPr>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t>
            </w:r>
            <w:r/>
          </w:p>
        </w:tc>
        <w:tc>
          <w:tcPr>
            <w:tcW w:w="1819" w:type="dxa"/>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default" w:ascii="宋体" w:hAnsi="宋体" w:eastAsia="宋体" w:cs="宋体"/>
                <w:color w:val="auto"/>
                <w:sz w:val="21"/>
                <w:szCs w:val="21"/>
                <w:highlight w:val="none"/>
              </w:rPr>
              <w:t xml:space="preserve">三维混合机</w:t>
            </w:r>
            <w:r/>
          </w:p>
        </w:tc>
        <w:tc>
          <w:tcPr>
            <w:tcW w:w="3467" w:type="dxa"/>
            <w:vAlign w:val="center"/>
            <w:textDirection w:val="lrTb"/>
            <w:noWrap w:val="false"/>
          </w:tcPr>
          <w:p>
            <w:pPr>
              <w:numPr>
                <w:ilvl w:val="0"/>
                <w:numId w:val="8"/>
              </w:numPr>
              <w:jc w:val="left"/>
              <w:widowControl/>
              <w:rPr>
                <w:rStyle w:val="1116"/>
                <w:rFonts w:hint="default" w:ascii="宋体" w:hAnsi="宋体" w:eastAsia="宋体" w:cs="宋体"/>
                <w:color w:val="auto"/>
                <w:sz w:val="21"/>
                <w:szCs w:val="21"/>
                <w:highlight w:val="none"/>
                <w:lang w:val="en-US" w:eastAsia="zh-CN" w:bidi="ar"/>
              </w:rPr>
            </w:pPr>
            <w:r>
              <w:rPr>
                <w:rStyle w:val="1116"/>
                <w:rFonts w:hint="default" w:ascii="宋体" w:hAnsi="宋体" w:eastAsia="宋体" w:cs="宋体"/>
                <w:color w:val="auto"/>
                <w:sz w:val="21"/>
                <w:szCs w:val="21"/>
                <w:highlight w:val="none"/>
                <w:lang w:bidi="ar"/>
              </w:rPr>
              <w:t xml:space="preserve">壁厚实测厚度达到2mm</w:t>
            </w:r>
            <w:r>
              <w:rPr>
                <w:rStyle w:val="1116"/>
                <w:rFonts w:hint="eastAsia" w:ascii="宋体" w:hAnsi="宋体" w:eastAsia="宋体" w:cs="宋体"/>
                <w:color w:val="auto"/>
                <w:sz w:val="21"/>
                <w:szCs w:val="21"/>
                <w:highlight w:val="none"/>
                <w:lang w:eastAsia="zh-CN" w:bidi="ar"/>
              </w:rPr>
              <w:t xml:space="preserve">，</w:t>
            </w:r>
            <w:r>
              <w:rPr>
                <w:rStyle w:val="1116"/>
                <w:rFonts w:hint="eastAsia" w:ascii="宋体" w:hAnsi="宋体" w:eastAsia="宋体" w:cs="宋体"/>
                <w:color w:val="auto"/>
                <w:sz w:val="21"/>
                <w:szCs w:val="21"/>
                <w:highlight w:val="none"/>
                <w:lang w:val="en-US" w:eastAsia="zh-CN" w:bidi="ar"/>
              </w:rPr>
              <w:t xml:space="preserve">容积200L</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2</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外表面粗糙度≤0.4µm</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3</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内表</w:t>
            </w:r>
            <w:bookmarkStart w:id="43" w:name="_GoBack"/>
            <w:r/>
            <w:bookmarkEnd w:id="43"/>
            <w:r>
              <w:rPr>
                <w:rStyle w:val="1116"/>
                <w:rFonts w:hint="default" w:ascii="宋体" w:hAnsi="宋体" w:eastAsia="宋体" w:cs="宋体"/>
                <w:color w:val="auto"/>
                <w:sz w:val="21"/>
                <w:szCs w:val="21"/>
                <w:highlight w:val="none"/>
                <w:lang w:bidi="ar"/>
              </w:rPr>
              <w:t xml:space="preserve">面粗糙度≤0.2µm</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4</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出料口采用DN200的蝶阀</w:t>
            </w:r>
            <w:r/>
          </w:p>
          <w:p>
            <w:pPr>
              <w:jc w:val="left"/>
              <w:widowControl/>
              <w:rPr>
                <w:rStyle w:val="1116"/>
                <w:rFonts w:hint="default"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5</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减速机采用蜗轮蜗杆</w:t>
            </w:r>
            <w:r/>
          </w:p>
          <w:p>
            <w:pPr>
              <w:jc w:val="left"/>
              <w:widowControl/>
              <w:rPr>
                <w:rStyle w:val="1116"/>
                <w:rFonts w:hint="eastAsia" w:ascii="宋体" w:hAnsi="宋体" w:eastAsia="宋体" w:cs="宋体"/>
                <w:color w:val="auto"/>
                <w:sz w:val="21"/>
                <w:szCs w:val="21"/>
                <w:highlight w:val="none"/>
                <w:lang w:bidi="ar"/>
              </w:rPr>
            </w:pPr>
            <w:r>
              <w:rPr>
                <w:rStyle w:val="1116"/>
                <w:rFonts w:hint="default" w:ascii="宋体" w:hAnsi="宋体" w:eastAsia="宋体" w:cs="宋体"/>
                <w:color w:val="auto"/>
                <w:sz w:val="21"/>
                <w:szCs w:val="21"/>
                <w:highlight w:val="none"/>
                <w:lang w:bidi="ar"/>
              </w:rPr>
              <w:t xml:space="preserve">6</w:t>
            </w:r>
            <w:r>
              <w:rPr>
                <w:rStyle w:val="1116"/>
                <w:rFonts w:hint="default" w:ascii="宋体" w:hAnsi="宋体" w:cs="宋体"/>
                <w:color w:val="auto"/>
                <w:sz w:val="21"/>
                <w:szCs w:val="21"/>
                <w:highlight w:val="none"/>
                <w:lang w:bidi="ar"/>
              </w:rPr>
              <w:t xml:space="preserve">、</w:t>
            </w:r>
            <w:r>
              <w:rPr>
                <w:rStyle w:val="1116"/>
                <w:rFonts w:hint="default" w:ascii="宋体" w:hAnsi="宋体" w:eastAsia="宋体" w:cs="宋体"/>
                <w:color w:val="auto"/>
                <w:sz w:val="21"/>
                <w:szCs w:val="21"/>
                <w:highlight w:val="none"/>
                <w:lang w:bidi="ar"/>
              </w:rPr>
              <w:t xml:space="preserve">电机功率2.2kw</w:t>
            </w:r>
            <w:r/>
          </w:p>
        </w:tc>
        <w:tc>
          <w:tcPr>
            <w:tcW w:w="823"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304</w:t>
            </w:r>
            <w:r/>
          </w:p>
        </w:tc>
        <w:tc>
          <w:tcPr>
            <w:tcW w:w="623" w:type="pct"/>
            <w:vAlign w:val="center"/>
            <w:textDirection w:val="lrTb"/>
            <w:noWrap w:val="false"/>
          </w:tcPr>
          <w:p>
            <w:pPr>
              <w:jc w:val="center"/>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bidi="ar"/>
              </w:rPr>
              <w:t xml:space="preserve">1</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296"/>
        <w:gridCol w:w="4834"/>
        <w:gridCol w:w="624"/>
      </w:tblGrid>
      <w:tr>
        <w:trPr>
          <w:jc w:val="center"/>
          <w:trHeight w:val="567"/>
        </w:trPr>
        <w:tc>
          <w:tcPr>
            <w:gridSpan w:val="4"/>
            <w:shd w:val="clear" w:color="auto" w:fill="auto"/>
            <w:tcW w:w="5000"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配件</w:t>
            </w:r>
            <w:r/>
          </w:p>
        </w:tc>
      </w:tr>
      <w:tr>
        <w:trPr>
          <w:jc w:val="center"/>
          <w:trHeight w:val="567"/>
        </w:trPr>
        <w:tc>
          <w:tcPr>
            <w:shd w:val="clear" w:color="auto" w:fill="auto"/>
            <w:tcW w:w="45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1347"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W w:w="2836" w:type="pct"/>
            <w:vAlign w:val="center"/>
            <w:textDirection w:val="lrTb"/>
            <w:noWrap w:val="false"/>
          </w:tcPr>
          <w:p>
            <w:pPr>
              <w:jc w:val="center"/>
              <w:rPr>
                <w:rFonts w:hint="eastAsia" w:ascii="宋体" w:hAnsi="宋体" w:eastAsia="宋体" w:cs="宋体"/>
                <w:b/>
                <w:bCs/>
                <w:color w:val="auto"/>
                <w:sz w:val="21"/>
                <w:szCs w:val="21"/>
                <w:highlight w:val="none"/>
              </w:rPr>
            </w:pPr>
            <w:r/>
            <w:bookmarkStart w:id="30" w:name="OLE_LINK2"/>
            <w:r>
              <w:rPr>
                <w:rFonts w:hint="eastAsia" w:ascii="宋体" w:hAnsi="宋体" w:eastAsia="宋体" w:cs="宋体"/>
                <w:b/>
                <w:bCs/>
                <w:color w:val="auto"/>
                <w:sz w:val="21"/>
                <w:szCs w:val="21"/>
                <w:highlight w:val="none"/>
              </w:rPr>
              <w:t xml:space="preserve">技术参数</w:t>
            </w:r>
            <w:bookmarkEnd w:id="30"/>
            <w:r/>
            <w:r/>
          </w:p>
        </w:tc>
        <w:tc>
          <w:tcPr>
            <w:shd w:val="clear" w:color="auto" w:fill="auto"/>
            <w:tcW w:w="364"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初效过滤器</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690*630*90</w:t>
            </w:r>
            <w:r>
              <w:rPr>
                <w:rFonts w:hint="eastAsia" w:ascii="宋体" w:hAnsi="宋体" w:cs="宋体"/>
                <w:color w:val="auto"/>
                <w:sz w:val="21"/>
                <w:szCs w:val="21"/>
                <w:highlight w:val="none"/>
                <w:lang w:val="en-US" w:eastAsia="zh-CN"/>
              </w:rPr>
              <w:t xml:space="preserve">mm</w:t>
            </w:r>
            <w:r/>
          </w:p>
        </w:tc>
        <w:tc>
          <w:tcPr>
            <w:shd w:val="clear" w:color="auto" w:fill="auto"/>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2</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中效过滤器</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690*630*90</w:t>
            </w:r>
            <w:r>
              <w:rPr>
                <w:rFonts w:hint="eastAsia" w:ascii="宋体" w:hAnsi="宋体" w:cs="宋体"/>
                <w:color w:val="auto"/>
                <w:sz w:val="21"/>
                <w:szCs w:val="21"/>
                <w:highlight w:val="none"/>
                <w:lang w:val="en-US" w:eastAsia="zh-CN"/>
              </w:rPr>
              <w:t xml:space="preserve">mm</w:t>
            </w:r>
            <w:r/>
          </w:p>
        </w:tc>
        <w:tc>
          <w:tcPr>
            <w:shd w:val="clear" w:color="auto" w:fill="auto"/>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高效过滤器</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690*960*290</w:t>
            </w:r>
            <w:r>
              <w:rPr>
                <w:rFonts w:hint="eastAsia" w:ascii="宋体" w:hAnsi="宋体" w:cs="宋体"/>
                <w:color w:val="auto"/>
                <w:sz w:val="21"/>
                <w:szCs w:val="21"/>
                <w:highlight w:val="none"/>
                <w:lang w:val="en-US" w:eastAsia="zh-CN"/>
              </w:rPr>
              <w:t xml:space="preserve">mm</w:t>
            </w:r>
            <w:r/>
          </w:p>
        </w:tc>
        <w:tc>
          <w:tcPr>
            <w:shd w:val="clear" w:color="auto" w:fill="auto"/>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4</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15KW风机</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风量5000m³/h，风压7000Pa</w:t>
            </w:r>
            <w:r/>
          </w:p>
        </w:tc>
        <w:tc>
          <w:tcPr>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5</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螺旋锥齿轮减速机</w:t>
            </w:r>
            <w:r/>
          </w:p>
        </w:tc>
        <w:tc>
          <w:tcPr>
            <w:tcW w:w="2836" w:type="pct"/>
            <w:vAlign w:val="center"/>
            <w:textDirection w:val="lrTb"/>
            <w:noWrap w:val="false"/>
          </w:tcPr>
          <w:p>
            <w:pPr>
              <w:jc w:val="center"/>
              <w:widowControl/>
              <w:rPr>
                <w:rStyle w:val="1116"/>
                <w:rFonts w:hint="default" w:ascii="宋体" w:hAnsi="宋体" w:eastAsia="宋体" w:cs="宋体"/>
                <w:color w:val="auto"/>
                <w:sz w:val="21"/>
                <w:szCs w:val="21"/>
                <w:highlight w:val="none"/>
                <w:lang w:val="en-US" w:eastAsia="zh-CN"/>
              </w:rPr>
            </w:pPr>
            <w:r>
              <w:rPr>
                <w:rStyle w:val="1116"/>
                <w:rFonts w:hint="eastAsia" w:ascii="宋体" w:hAnsi="宋体" w:eastAsia="宋体" w:cs="宋体"/>
                <w:color w:val="auto"/>
                <w:sz w:val="21"/>
                <w:szCs w:val="21"/>
                <w:highlight w:val="none"/>
                <w:lang w:val="en-US" w:eastAsia="zh-CN"/>
              </w:rPr>
              <w:t xml:space="preserve">配套单立柱混合机</w:t>
            </w:r>
            <w:r/>
          </w:p>
        </w:tc>
        <w:tc>
          <w:tcPr>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6</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筛网</w:t>
            </w:r>
            <w:r/>
          </w:p>
        </w:tc>
        <w:tc>
          <w:tcPr>
            <w:tcW w:w="2836" w:type="pct"/>
            <w:vAlign w:val="center"/>
            <w:textDirection w:val="lrTb"/>
            <w:noWrap w:val="false"/>
          </w:tcPr>
          <w:p>
            <w:pPr>
              <w:jc w:val="center"/>
              <w:widowControl/>
              <w:rPr>
                <w:rStyle w:val="1116"/>
                <w:rFonts w:hint="default" w:ascii="宋体" w:hAnsi="宋体" w:eastAsia="宋体" w:cs="宋体"/>
                <w:color w:val="auto"/>
                <w:sz w:val="21"/>
                <w:szCs w:val="21"/>
                <w:highlight w:val="none"/>
                <w:lang w:val="en-US" w:eastAsia="zh-CN"/>
              </w:rPr>
            </w:pPr>
            <w:r>
              <w:rPr>
                <w:rStyle w:val="1116"/>
                <w:rFonts w:hint="eastAsia" w:ascii="宋体" w:hAnsi="宋体" w:eastAsia="宋体" w:cs="宋体"/>
                <w:color w:val="auto"/>
                <w:sz w:val="21"/>
                <w:szCs w:val="21"/>
                <w:highlight w:val="none"/>
                <w:lang w:val="en-US" w:eastAsia="zh-CN"/>
              </w:rPr>
              <w:t xml:space="preserve">配套筛分机</w:t>
            </w:r>
            <w:r/>
          </w:p>
        </w:tc>
        <w:tc>
          <w:tcPr>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1件</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7</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筛网</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val="en-US" w:eastAsia="zh-CN"/>
              </w:rPr>
              <w:t xml:space="preserve">配套筛分机</w:t>
            </w:r>
            <w:r/>
          </w:p>
        </w:tc>
        <w:tc>
          <w:tcPr>
            <w:tcW w:w="364"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1个</w:t>
            </w:r>
            <w:r/>
          </w:p>
        </w:tc>
      </w:tr>
      <w:tr>
        <w:trPr>
          <w:jc w:val="center"/>
          <w:trHeight w:val="567"/>
        </w:trPr>
        <w:tc>
          <w:tcPr>
            <w:shd w:val="clear" w:color="auto" w:fill="auto"/>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普通电机4级</w:t>
            </w:r>
            <w:r/>
          </w:p>
        </w:tc>
        <w:tc>
          <w:tcPr>
            <w:shd w:val="clear" w:color="auto" w:fill="auto"/>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4-2.2KW-B3(</w:t>
            </w:r>
            <w:r>
              <w:rPr>
                <w:rStyle w:val="1116"/>
                <w:rFonts w:hint="eastAsia" w:ascii="宋体" w:hAnsi="宋体" w:eastAsia="宋体" w:cs="宋体"/>
                <w:color w:val="auto"/>
                <w:sz w:val="21"/>
                <w:szCs w:val="21"/>
                <w:highlight w:val="none"/>
                <w:lang w:val="en-US" w:eastAsia="zh-CN"/>
              </w:rPr>
              <w:t xml:space="preserve">配套</w:t>
            </w:r>
            <w:r>
              <w:rPr>
                <w:rStyle w:val="1116"/>
                <w:rFonts w:hint="eastAsia" w:ascii="宋体" w:hAnsi="宋体" w:eastAsia="宋体" w:cs="宋体"/>
                <w:color w:val="auto"/>
                <w:sz w:val="21"/>
                <w:szCs w:val="21"/>
                <w:highlight w:val="none"/>
              </w:rPr>
              <w:t xml:space="preserve">三维混合机)</w:t>
            </w:r>
            <w:r/>
          </w:p>
        </w:tc>
        <w:tc>
          <w:tcPr>
            <w:shd w:val="clear" w:color="auto" w:fill="auto"/>
            <w:tcW w:w="36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1件</w:t>
            </w:r>
            <w:r/>
          </w:p>
        </w:tc>
      </w:tr>
      <w:tr>
        <w:trPr>
          <w:jc w:val="center"/>
          <w:trHeight w:val="567"/>
        </w:trPr>
        <w:tc>
          <w:tcPr>
            <w:shd w:val="clear" w:color="auto" w:fill="auto"/>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w:t>
            </w:r>
            <w:r/>
          </w:p>
        </w:tc>
        <w:tc>
          <w:tcPr>
            <w:shd w:val="clear" w:color="auto" w:fill="auto"/>
            <w:tcW w:w="13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轴承</w:t>
            </w:r>
            <w:r/>
          </w:p>
        </w:tc>
        <w:tc>
          <w:tcPr>
            <w:shd w:val="clear" w:color="auto" w:fill="auto"/>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val="en-US" w:eastAsia="zh-CN"/>
              </w:rPr>
              <w:t xml:space="preserve">配套</w:t>
            </w:r>
            <w:r>
              <w:rPr>
                <w:rStyle w:val="1116"/>
                <w:rFonts w:hint="eastAsia" w:ascii="宋体" w:hAnsi="宋体" w:eastAsia="宋体" w:cs="宋体"/>
                <w:color w:val="auto"/>
                <w:sz w:val="21"/>
                <w:szCs w:val="21"/>
                <w:highlight w:val="none"/>
              </w:rPr>
              <w:t xml:space="preserve">单立柱混合机</w:t>
            </w:r>
            <w:r/>
          </w:p>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lang w:val="en-US" w:eastAsia="zh-CN"/>
              </w:rPr>
              <w:t xml:space="preserve">配套</w:t>
            </w:r>
            <w:r>
              <w:rPr>
                <w:rStyle w:val="1116"/>
                <w:rFonts w:hint="eastAsia" w:ascii="宋体" w:hAnsi="宋体" w:eastAsia="宋体" w:cs="宋体"/>
                <w:color w:val="auto"/>
                <w:sz w:val="21"/>
                <w:szCs w:val="21"/>
                <w:highlight w:val="none"/>
              </w:rPr>
              <w:t xml:space="preserve">三维混合机</w:t>
            </w:r>
            <w:r/>
          </w:p>
        </w:tc>
        <w:tc>
          <w:tcPr>
            <w:shd w:val="clear" w:color="auto" w:fill="auto"/>
            <w:tcW w:w="36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1套</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298"/>
        <w:gridCol w:w="4834"/>
        <w:gridCol w:w="622"/>
      </w:tblGrid>
      <w:tr>
        <w:trPr>
          <w:jc w:val="center"/>
          <w:trHeight w:val="567"/>
        </w:trPr>
        <w:tc>
          <w:tcPr>
            <w:gridSpan w:val="4"/>
            <w:shd w:val="clear" w:color="auto" w:fill="auto"/>
            <w:tcW w:w="5000"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highlight w:val="none"/>
                <w:lang w:bidi="ar"/>
              </w:rPr>
              <w:t xml:space="preserve">易损件</w:t>
            </w:r>
            <w:r/>
          </w:p>
        </w:tc>
      </w:tr>
      <w:tr>
        <w:trPr>
          <w:jc w:val="center"/>
          <w:trHeight w:val="567"/>
        </w:trPr>
        <w:tc>
          <w:tcPr>
            <w:shd w:val="clear" w:color="auto" w:fill="auto"/>
            <w:tcW w:w="45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1348"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W w:w="2836"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W w:w="362"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顶仓充气密封圈</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Φ1197-Φ1119-25-气嘴在上侧</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1条</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2</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大盘充气密封圈</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Φ920-Φ870-39-</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1条</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3</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底仓充气密封圈</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Φ897-Φ819-25-气嘴在上侧</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1条</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4</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过滤布袋</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φ160*740（材料PET-GF14-400目）</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1条</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5</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PVC布帘</w:t>
            </w:r>
            <w:r/>
          </w:p>
        </w:tc>
        <w:tc>
          <w:tcPr>
            <w:tcW w:w="28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1.3*170（P12-20/0）</w:t>
            </w:r>
            <w:r/>
          </w:p>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1.3*300（U13/0-W）</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10m</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6</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卷帘轴</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φ60*310-总长360</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1个</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7</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蝶阀密封圈</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DN200</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1个</w:t>
            </w:r>
            <w:r/>
          </w:p>
        </w:tc>
      </w:tr>
      <w:tr>
        <w:trPr>
          <w:jc w:val="center"/>
          <w:trHeight w:val="567"/>
        </w:trPr>
        <w:tc>
          <w:tcPr>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8</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桶盖密封圈</w:t>
            </w:r>
            <w:r/>
          </w:p>
        </w:tc>
        <w:tc>
          <w:tcPr>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Φ390-Φ341-20(缓冲料斗)</w:t>
            </w:r>
            <w:r/>
          </w:p>
        </w:tc>
        <w:tc>
          <w:tcPr>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1个</w:t>
            </w:r>
            <w:r/>
          </w:p>
        </w:tc>
      </w:tr>
      <w:tr>
        <w:trPr>
          <w:jc w:val="center"/>
          <w:trHeight w:val="567"/>
        </w:trPr>
        <w:tc>
          <w:tcPr>
            <w:shd w:val="clear" w:color="auto" w:fill="auto"/>
            <w:tcW w:w="451"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Style w:val="1116"/>
                <w:rFonts w:hint="eastAsia" w:ascii="宋体" w:hAnsi="宋体" w:eastAsia="宋体" w:cs="宋体"/>
                <w:color w:val="auto"/>
                <w:sz w:val="21"/>
                <w:szCs w:val="21"/>
                <w:highlight w:val="none"/>
              </w:rPr>
              <w:t xml:space="preserve">9</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筛分机密封圈</w:t>
            </w:r>
            <w:r/>
          </w:p>
        </w:tc>
        <w:tc>
          <w:tcPr>
            <w:shd w:val="clear" w:color="auto" w:fill="auto"/>
            <w:tcW w:w="2836" w:type="pct"/>
            <w:vAlign w:val="center"/>
            <w:textDirection w:val="lrTb"/>
            <w:noWrap w:val="false"/>
          </w:tcPr>
          <w:p>
            <w:pPr>
              <w:jc w:val="center"/>
              <w:widowControl/>
              <w:rPr>
                <w:rStyle w:val="1116"/>
                <w:rFonts w:hint="eastAsia" w:ascii="宋体" w:hAnsi="宋体" w:eastAsia="宋体" w:cs="宋体"/>
                <w:color w:val="auto"/>
                <w:sz w:val="21"/>
                <w:szCs w:val="21"/>
                <w:highlight w:val="none"/>
                <w:lang w:val="en-US" w:eastAsia="zh-CN"/>
              </w:rPr>
            </w:pPr>
            <w:r>
              <w:rPr>
                <w:rStyle w:val="1116"/>
                <w:rFonts w:hint="eastAsia" w:ascii="宋体" w:hAnsi="宋体" w:eastAsia="宋体" w:cs="宋体"/>
                <w:color w:val="auto"/>
                <w:sz w:val="21"/>
                <w:szCs w:val="21"/>
                <w:highlight w:val="none"/>
                <w:lang w:val="en-US" w:eastAsia="zh-CN"/>
              </w:rPr>
              <w:t xml:space="preserve">Φ800</w:t>
            </w:r>
            <w:r/>
          </w:p>
        </w:tc>
        <w:tc>
          <w:tcPr>
            <w:shd w:val="clear" w:color="auto" w:fill="auto"/>
            <w:tcW w:w="362" w:type="pct"/>
            <w:vAlign w:val="center"/>
            <w:textDirection w:val="lrTb"/>
            <w:noWrap w:val="false"/>
          </w:tcPr>
          <w:p>
            <w:pPr>
              <w:jc w:val="center"/>
              <w:widowControl/>
              <w:rPr>
                <w:rStyle w:val="111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1台套</w:t>
            </w:r>
            <w:r/>
          </w:p>
        </w:tc>
      </w:tr>
      <w:tr>
        <w:trPr>
          <w:jc w:val="center"/>
          <w:trHeight w:val="567"/>
        </w:trPr>
        <w:tc>
          <w:tcPr>
            <w:shd w:val="clear" w:color="auto" w:fill="auto"/>
            <w:tcW w:w="45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shd w:val="clear" w:color="auto" w:fill="auto"/>
            <w:tcW w:w="1348"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桶盖密封圈</w:t>
            </w:r>
            <w:r/>
          </w:p>
        </w:tc>
        <w:tc>
          <w:tcPr>
            <w:shd w:val="clear" w:color="auto" w:fill="auto"/>
            <w:tcW w:w="283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Φ390-Φ341-20(三维混合机)</w:t>
            </w:r>
            <w:r/>
          </w:p>
        </w:tc>
        <w:tc>
          <w:tcPr>
            <w:shd w:val="clear" w:color="auto" w:fill="auto"/>
            <w:tcW w:w="362"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1个</w:t>
            </w:r>
            <w:r/>
          </w:p>
        </w:tc>
      </w:tr>
    </w:tbl>
    <w:p>
      <w:pPr>
        <w:rPr>
          <w:color w:val="auto"/>
          <w:highlight w:val="none"/>
        </w:rPr>
      </w:pPr>
      <w:r>
        <w:rPr>
          <w:color w:val="auto"/>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二、商务和服务需求：</w:t>
      </w:r>
      <w:r/>
    </w:p>
    <w:tbl>
      <w:tblPr>
        <w:tblStyle w:val="80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27"/>
        <w:gridCol w:w="5620"/>
      </w:tblGrid>
      <w:tr>
        <w:trPr>
          <w:jc w:val="center"/>
          <w:trHeight w:val="520"/>
        </w:trPr>
        <w:tc>
          <w:tcPr>
            <w:tcW w:w="449" w:type="pct"/>
            <w:vAlign w:val="center"/>
            <w:textDirection w:val="lrTb"/>
            <w:noWrap w:val="false"/>
          </w:tcPr>
          <w:p>
            <w:pPr>
              <w:jc w:val="center"/>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序号</w:t>
            </w:r>
            <w:r/>
          </w:p>
        </w:tc>
        <w:tc>
          <w:tcPr>
            <w:tcW w:w="1249" w:type="pct"/>
            <w:vAlign w:val="center"/>
            <w:textDirection w:val="lrTb"/>
            <w:noWrap w:val="false"/>
          </w:tcPr>
          <w:p>
            <w:pPr>
              <w:jc w:val="center"/>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商务和服务项目</w:t>
            </w:r>
            <w:r/>
          </w:p>
        </w:tc>
        <w:tc>
          <w:tcPr>
            <w:tcW w:w="3300" w:type="pct"/>
            <w:vAlign w:val="center"/>
            <w:textDirection w:val="lrTb"/>
            <w:noWrap w:val="false"/>
          </w:tcPr>
          <w:p>
            <w:pPr>
              <w:jc w:val="center"/>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商务和服务要求</w:t>
            </w:r>
            <w:r/>
          </w:p>
        </w:tc>
      </w:tr>
      <w:tr>
        <w:trPr>
          <w:jc w:val="center"/>
          <w:trHeight w:val="501"/>
        </w:trPr>
        <w:tc>
          <w:tcPr>
            <w:tcW w:w="449" w:type="pct"/>
            <w:vAlign w:val="center"/>
            <w:textDirection w:val="lrTb"/>
            <w:noWrap w:val="false"/>
          </w:tcPr>
          <w:p>
            <w:pPr>
              <w:jc w:val="center"/>
              <w:rPr>
                <w:rFonts w:hint="eastAsia" w:ascii="宋体" w:hAnsi="宋体" w:cs="宋体"/>
                <w:b w:val="0"/>
                <w:bCs/>
                <w:i w:val="0"/>
                <w:iCs w:val="0"/>
                <w:color w:val="auto"/>
                <w:szCs w:val="21"/>
                <w:highlight w:val="none"/>
                <w:u w:val="none"/>
                <w:lang w:val="zh-CN"/>
              </w:rPr>
            </w:pPr>
            <w:r/>
            <w:bookmarkStart w:id="31" w:name="_Hlk195704648"/>
            <w:r>
              <w:rPr>
                <w:rFonts w:hint="eastAsia" w:ascii="宋体" w:hAnsi="宋体" w:cs="宋体"/>
                <w:b w:val="0"/>
                <w:bCs/>
                <w:i w:val="0"/>
                <w:iCs w:val="0"/>
                <w:color w:val="auto"/>
                <w:szCs w:val="21"/>
                <w:highlight w:val="none"/>
                <w:u w:val="none"/>
                <w:lang w:val="zh-CN"/>
              </w:rPr>
              <w:t xml:space="preserve">1</w:t>
            </w:r>
            <w:r/>
          </w:p>
        </w:tc>
        <w:tc>
          <w:tcPr>
            <w:tcW w:w="1249" w:type="pct"/>
            <w:vAlign w:val="center"/>
            <w:textDirection w:val="lrTb"/>
            <w:noWrap w:val="false"/>
          </w:tcPr>
          <w:p>
            <w:pPr>
              <w:jc w:val="center"/>
              <w:widowControl/>
              <w:rPr>
                <w:rFonts w:hint="eastAsia" w:ascii="宋体" w:hAnsi="宋体" w:cs="宋体"/>
                <w:b/>
                <w:i/>
                <w:iCs/>
                <w:color w:val="auto"/>
                <w:szCs w:val="21"/>
                <w:highlight w:val="none"/>
                <w:u w:val="single"/>
                <w:lang w:val="zh-CN"/>
              </w:rPr>
            </w:pPr>
            <w:r>
              <w:rPr>
                <w:rFonts w:hint="eastAsia" w:ascii="宋体" w:hAnsi="宋体" w:cs="宋体"/>
                <w:b/>
                <w:i/>
                <w:iCs/>
                <w:color w:val="auto"/>
                <w:szCs w:val="21"/>
                <w:highlight w:val="none"/>
                <w:u w:val="single"/>
              </w:rPr>
              <w:t xml:space="preserve">供货期</w:t>
            </w:r>
            <w:r/>
          </w:p>
        </w:tc>
        <w:tc>
          <w:tcPr>
            <w:tcW w:w="3300" w:type="pct"/>
            <w:vAlign w:val="center"/>
            <w:textDirection w:val="lrTb"/>
            <w:noWrap w:val="false"/>
          </w:tcPr>
          <w:p>
            <w:pPr>
              <w:widowControl/>
              <w:rPr>
                <w:rFonts w:hint="eastAsia" w:ascii="宋体" w:hAnsi="宋体" w:cs="宋体"/>
                <w:b/>
                <w:i/>
                <w:iCs/>
                <w:color w:val="auto"/>
                <w:szCs w:val="21"/>
                <w:highlight w:val="none"/>
                <w:u w:val="single"/>
                <w:lang w:val="zh-CN"/>
              </w:rPr>
            </w:pPr>
            <w:r>
              <w:rPr>
                <w:rFonts w:hint="eastAsia" w:ascii="宋体" w:hAnsi="宋体" w:cs="宋体"/>
                <w:b/>
                <w:i/>
                <w:iCs/>
                <w:color w:val="auto"/>
                <w:szCs w:val="21"/>
                <w:highlight w:val="none"/>
                <w:u w:val="single"/>
              </w:rPr>
              <w:t xml:space="preserve">自合同签订之日起45日内供货</w:t>
            </w:r>
            <w:r/>
          </w:p>
        </w:tc>
      </w:tr>
      <w:tr>
        <w:trPr>
          <w:jc w:val="center"/>
          <w:trHeight w:val="663"/>
        </w:trPr>
        <w:tc>
          <w:tcPr>
            <w:tcW w:w="449" w:type="pct"/>
            <w:vAlign w:val="center"/>
            <w:textDirection w:val="lrTb"/>
            <w:noWrap w:val="false"/>
          </w:tcPr>
          <w:p>
            <w:pPr>
              <w:jc w:val="center"/>
              <w:rPr>
                <w:rFonts w:hint="eastAsia" w:ascii="宋体" w:hAnsi="宋体" w:cs="宋体"/>
                <w:b w:val="0"/>
                <w:bCs/>
                <w:i w:val="0"/>
                <w:iCs w:val="0"/>
                <w:color w:val="auto"/>
                <w:szCs w:val="21"/>
                <w:highlight w:val="none"/>
                <w:u w:val="none"/>
                <w:lang w:val="zh-CN"/>
              </w:rPr>
            </w:pPr>
            <w:r>
              <w:rPr>
                <w:rFonts w:hint="eastAsia" w:ascii="宋体" w:hAnsi="宋体" w:cs="宋体"/>
                <w:b w:val="0"/>
                <w:bCs/>
                <w:i w:val="0"/>
                <w:iCs w:val="0"/>
                <w:color w:val="auto"/>
                <w:szCs w:val="21"/>
                <w:highlight w:val="none"/>
                <w:u w:val="none"/>
                <w:lang w:val="zh-CN"/>
              </w:rPr>
              <w:t xml:space="preserve">2</w:t>
            </w:r>
            <w:r/>
          </w:p>
        </w:tc>
        <w:tc>
          <w:tcPr>
            <w:tcW w:w="1249" w:type="pct"/>
            <w:vAlign w:val="center"/>
            <w:textDirection w:val="lrTb"/>
            <w:noWrap w:val="false"/>
          </w:tcPr>
          <w:p>
            <w:pPr>
              <w:jc w:val="center"/>
              <w:widowControl/>
              <w:rPr>
                <w:rFonts w:hint="eastAsia" w:ascii="宋体" w:hAnsi="宋体" w:cs="宋体"/>
                <w:b/>
                <w:i/>
                <w:iCs/>
                <w:color w:val="auto"/>
                <w:szCs w:val="21"/>
                <w:highlight w:val="none"/>
                <w:u w:val="single"/>
                <w:lang w:val="zh-CN"/>
              </w:rPr>
            </w:pPr>
            <w:r>
              <w:rPr>
                <w:rFonts w:hint="eastAsia" w:ascii="宋体" w:hAnsi="宋体" w:cs="宋体"/>
                <w:b/>
                <w:i/>
                <w:iCs/>
                <w:color w:val="auto"/>
                <w:szCs w:val="21"/>
                <w:highlight w:val="none"/>
                <w:u w:val="single"/>
              </w:rPr>
              <w:t xml:space="preserve">保修期</w:t>
            </w:r>
            <w:r/>
          </w:p>
        </w:tc>
        <w:tc>
          <w:tcPr>
            <w:tcW w:w="3300" w:type="pct"/>
            <w:vAlign w:val="center"/>
            <w:textDirection w:val="lrTb"/>
            <w:noWrap w:val="false"/>
          </w:tcPr>
          <w:p>
            <w:pPr>
              <w:widowControl/>
              <w:rPr>
                <w:rFonts w:ascii="宋体" w:hAnsi="宋体" w:cs="宋体"/>
                <w:b/>
                <w:i/>
                <w:iCs/>
                <w:color w:val="auto"/>
                <w:szCs w:val="21"/>
                <w:highlight w:val="none"/>
                <w:u w:val="single"/>
                <w:lang w:val="zh-CN"/>
              </w:rPr>
            </w:pPr>
            <w:r>
              <w:rPr>
                <w:rFonts w:hint="eastAsia" w:ascii="宋体" w:hAnsi="宋体" w:cs="宋体"/>
                <w:b/>
                <w:i/>
                <w:iCs/>
                <w:color w:val="auto"/>
                <w:szCs w:val="21"/>
                <w:highlight w:val="none"/>
                <w:u w:val="single"/>
                <w:lang w:val="zh-CN"/>
              </w:rPr>
              <w:t xml:space="preserve">1.免费质保</w:t>
            </w:r>
            <w:r>
              <w:rPr>
                <w:rFonts w:hint="eastAsia" w:ascii="宋体" w:hAnsi="宋体" w:cs="宋体"/>
                <w:b/>
                <w:i/>
                <w:iCs/>
                <w:color w:val="auto"/>
                <w:szCs w:val="21"/>
                <w:highlight w:val="none"/>
                <w:u w:val="single"/>
                <w:lang w:val="en-US" w:eastAsia="zh-CN"/>
              </w:rPr>
              <w:t xml:space="preserve">1</w:t>
            </w:r>
            <w:r>
              <w:rPr>
                <w:rFonts w:hint="eastAsia" w:ascii="宋体" w:hAnsi="宋体" w:cs="宋体"/>
                <w:b/>
                <w:i/>
                <w:iCs/>
                <w:color w:val="auto"/>
                <w:szCs w:val="21"/>
                <w:highlight w:val="none"/>
                <w:u w:val="single"/>
                <w:lang w:val="zh-CN"/>
              </w:rPr>
              <w:t xml:space="preserve">年</w:t>
            </w:r>
            <w:r/>
          </w:p>
          <w:p>
            <w:pPr>
              <w:widowControl/>
              <w:rPr>
                <w:rFonts w:hint="eastAsia" w:ascii="宋体" w:hAnsi="宋体" w:cs="宋体"/>
                <w:b/>
                <w:i/>
                <w:iCs/>
                <w:color w:val="auto"/>
                <w:szCs w:val="21"/>
                <w:highlight w:val="none"/>
                <w:u w:val="single"/>
                <w:lang w:val="zh-CN"/>
              </w:rPr>
            </w:pPr>
            <w:r>
              <w:rPr>
                <w:rFonts w:hint="eastAsia" w:ascii="宋体" w:hAnsi="宋体" w:cs="宋体"/>
                <w:b/>
                <w:i/>
                <w:iCs/>
                <w:color w:val="auto"/>
                <w:szCs w:val="21"/>
                <w:highlight w:val="none"/>
                <w:u w:val="single"/>
                <w:lang w:val="zh-CN"/>
              </w:rPr>
              <w:t xml:space="preserve">2.投标人应在投标文件中提供承诺函（格式自拟），承诺中标后在合同签订前提供符合招标文件对应要求的原厂盖章售后服务承诺函 。</w:t>
            </w:r>
            <w:bookmarkEnd w:id="31"/>
            <w:r/>
            <w:r/>
          </w:p>
        </w:tc>
      </w:tr>
      <w:tr>
        <w:trPr>
          <w:jc w:val="center"/>
        </w:trPr>
        <w:tc>
          <w:tcPr>
            <w:tcW w:w="449" w:type="pct"/>
            <w:vAlign w:val="center"/>
            <w:textDirection w:val="lrTb"/>
            <w:noWrap w:val="false"/>
          </w:tcPr>
          <w:p>
            <w:pPr>
              <w:jc w:val="cente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w:t>
            </w:r>
            <w:r/>
          </w:p>
        </w:tc>
        <w:tc>
          <w:tcPr>
            <w:tcW w:w="1249" w:type="pct"/>
            <w:vAlign w:val="center"/>
            <w:textDirection w:val="lrTb"/>
            <w:noWrap w:val="false"/>
          </w:tcPr>
          <w:p>
            <w:pPr>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w:t>
            </w:r>
            <w:r/>
          </w:p>
        </w:tc>
        <w:tc>
          <w:tcPr>
            <w:tcW w:w="3300" w:type="pct"/>
            <w:vAlign w:val="top"/>
            <w:textDirection w:val="lrTb"/>
            <w:noWrap w:val="false"/>
          </w:tcPr>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（1）在保修期内，如有损坏或质量不合格者，投标人应及时给予修复和更换，其修理和更换应免费。正常修理周期和修理期间需提供免费测试。</w:t>
            </w:r>
            <w:r>
              <w:rPr>
                <w:rFonts w:hint="eastAsia" w:ascii="宋体" w:hAnsi="宋体" w:cs="宋体"/>
                <w:bCs/>
                <w:color w:val="auto"/>
                <w:szCs w:val="21"/>
                <w:highlight w:val="none"/>
              </w:rPr>
              <w:t xml:space="preserve">接到报修请求，应在2小时内响应，24小时内维修人员到达现场，必要时应向采购人提供应急备用设备。</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（2）在保修期期满前一个月，供应商必须指派专业人员上门检测仪器，确保仪器的指标符合验收标准，如有问题应作为保修内容给予免费处理。</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（3）在保修期外，供应商为仪器提供终身维修服务，</w:t>
            </w:r>
            <w:r>
              <w:rPr>
                <w:rFonts w:hint="eastAsia" w:ascii="宋体" w:hAnsi="宋体" w:cs="宋体"/>
                <w:bCs/>
                <w:color w:val="auto"/>
                <w:szCs w:val="21"/>
                <w:highlight w:val="none"/>
              </w:rPr>
              <w:t xml:space="preserve">保证零配件的供给。</w:t>
            </w:r>
            <w:r>
              <w:rPr>
                <w:rFonts w:hint="eastAsia" w:ascii="宋体" w:hAnsi="宋体" w:cs="宋体"/>
                <w:bCs/>
                <w:color w:val="auto"/>
                <w:szCs w:val="21"/>
                <w:highlight w:val="none"/>
                <w:lang w:val="zh-CN"/>
              </w:rPr>
              <w:t xml:space="preserve">维修问题出现时，按技术参数服务要求相应条款处理。</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（4）在保修期内，如果原厂方鉴定设备因为人为损坏，厂方须出具具有法定权威性第三方检测证明，否则一律视为保修范围内容处理。</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ascii="宋体" w:hAnsi="宋体" w:cs="宋体"/>
                <w:b/>
                <w:bCs/>
                <w:color w:val="auto"/>
                <w:szCs w:val="21"/>
                <w:highlight w:val="none"/>
                <w:lang w:val="zh-CN"/>
              </w:rPr>
            </w:pPr>
            <w:r>
              <w:rPr>
                <w:rFonts w:hint="eastAsia" w:ascii="宋体" w:hAnsi="宋体" w:cs="宋体"/>
                <w:bCs/>
                <w:color w:val="auto"/>
                <w:szCs w:val="21"/>
                <w:highlight w:val="none"/>
                <w:lang w:val="zh-CN"/>
              </w:rPr>
              <w:t xml:space="preserve">（6）终身提供免费的应用咨询及技术帮助。</w:t>
            </w:r>
            <w:r/>
          </w:p>
        </w:tc>
      </w:tr>
      <w:tr>
        <w:trPr>
          <w:jc w:val="center"/>
        </w:trPr>
        <w:tc>
          <w:tcPr>
            <w:tcW w:w="449" w:type="pct"/>
            <w:vAlign w:val="center"/>
            <w:textDirection w:val="lrTb"/>
            <w:noWrap w:val="false"/>
          </w:tcPr>
          <w:p>
            <w:pPr>
              <w:jc w:val="cente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w:t>
            </w:r>
            <w:r/>
          </w:p>
        </w:tc>
        <w:tc>
          <w:tcPr>
            <w:tcW w:w="1249" w:type="pct"/>
            <w:vAlign w:val="center"/>
            <w:textDirection w:val="lrTb"/>
            <w:noWrap w:val="false"/>
          </w:tcPr>
          <w:p>
            <w:pPr>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培训</w:t>
            </w:r>
            <w:r/>
          </w:p>
        </w:tc>
        <w:tc>
          <w:tcPr>
            <w:tcW w:w="3300" w:type="pct"/>
            <w:vAlign w:val="center"/>
            <w:textDirection w:val="lrTb"/>
            <w:noWrap w:val="false"/>
          </w:tcPr>
          <w:p>
            <w:pPr>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负责对采购人、最终用户的操作、维修人员在项目所在地进行业务培训，培训应达到能熟练操作并能排除常见故障的标准；</w:t>
            </w:r>
            <w:r/>
          </w:p>
        </w:tc>
      </w:tr>
      <w:tr>
        <w:trPr>
          <w:jc w:val="center"/>
        </w:trPr>
        <w:tc>
          <w:tcPr>
            <w:tcW w:w="449" w:type="pct"/>
            <w:vAlign w:val="center"/>
            <w:textDirection w:val="lrTb"/>
            <w:noWrap w:val="false"/>
          </w:tcPr>
          <w:p>
            <w:pPr>
              <w:jc w:val="cente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5</w:t>
            </w:r>
            <w:r/>
          </w:p>
        </w:tc>
        <w:tc>
          <w:tcPr>
            <w:tcW w:w="1249" w:type="pct"/>
            <w:vAlign w:val="center"/>
            <w:textDirection w:val="lrTb"/>
            <w:noWrap w:val="false"/>
          </w:tcPr>
          <w:p>
            <w:pPr>
              <w:jc w:val="center"/>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验收标准</w:t>
            </w:r>
            <w:r/>
          </w:p>
        </w:tc>
        <w:tc>
          <w:tcPr>
            <w:tcW w:w="3300" w:type="pct"/>
            <w:vAlign w:val="top"/>
            <w:textDirection w:val="lrTb"/>
            <w:noWrap w:val="false"/>
          </w:tcPr>
          <w:p>
            <w:pPr>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Height w:val="397"/>
        </w:trPr>
        <w:tc>
          <w:tcPr>
            <w:tcW w:w="449" w:type="pct"/>
            <w:vAlign w:val="center"/>
            <w:textDirection w:val="lrTb"/>
            <w:noWrap w:val="false"/>
          </w:tcPr>
          <w:p>
            <w:pPr>
              <w:jc w:val="center"/>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6</w:t>
            </w:r>
            <w:r/>
          </w:p>
        </w:tc>
        <w:tc>
          <w:tcPr>
            <w:tcW w:w="1249" w:type="pct"/>
            <w:vAlign w:val="center"/>
            <w:textDirection w:val="lrTb"/>
            <w:noWrap w:val="false"/>
          </w:tcPr>
          <w:p>
            <w:pPr>
              <w:jc w:val="center"/>
              <w:widowControl/>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交货地点</w:t>
            </w:r>
            <w:r/>
          </w:p>
        </w:tc>
        <w:tc>
          <w:tcPr>
            <w:tcW w:w="3300" w:type="pct"/>
            <w:vAlign w:val="center"/>
            <w:textDirection w:val="lrTb"/>
            <w:noWrap w:val="false"/>
          </w:tcPr>
          <w:p>
            <w:pPr>
              <w:widowControl/>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扬州市中医院（由医院相关人员指定的安装地点）</w:t>
            </w:r>
            <w:r/>
          </w:p>
        </w:tc>
      </w:tr>
      <w:tr>
        <w:trPr>
          <w:jc w:val="center"/>
        </w:trPr>
        <w:tc>
          <w:tcPr>
            <w:tcW w:w="449" w:type="pct"/>
            <w:vAlign w:val="center"/>
            <w:textDirection w:val="lrTb"/>
            <w:noWrap w:val="false"/>
          </w:tcPr>
          <w:p>
            <w:pPr>
              <w:jc w:val="cente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7</w:t>
            </w:r>
            <w:r/>
          </w:p>
        </w:tc>
        <w:tc>
          <w:tcPr>
            <w:tcW w:w="1249" w:type="pct"/>
            <w:vAlign w:val="center"/>
            <w:textDirection w:val="lrTb"/>
            <w:noWrap w:val="false"/>
          </w:tcPr>
          <w:p>
            <w:pPr>
              <w:jc w:val="center"/>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设备安装调试</w:t>
            </w:r>
            <w:r/>
          </w:p>
        </w:tc>
        <w:tc>
          <w:tcPr>
            <w:tcW w:w="3300" w:type="pct"/>
            <w:vAlign w:val="center"/>
            <w:textDirection w:val="lrTb"/>
            <w:noWrap w:val="false"/>
          </w:tcPr>
          <w:p>
            <w:pPr>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p>
        </w:tc>
      </w:tr>
    </w:tbl>
    <w:p>
      <w:pPr>
        <w:rPr>
          <w:color w:val="auto"/>
          <w:highlight w:val="none"/>
        </w:rPr>
      </w:pPr>
      <w:r>
        <w:rPr>
          <w:color w:val="auto"/>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三、项目其它要求：</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1、投标文件整体编制：投标文件应编制规范，内容齐全，所有采购文件要求内容无缺漏，条理清晰、编制有详细的总目录、章节目录和细目等便于评委查询。</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2、产品质量、功能、技术先进性：本次投标产品应有完善的质量保证措施，参数满足采购文件要求，制造工艺成熟，技术先进，功能齐备。</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rPr>
          <w:color w:val="auto"/>
          <w:highlight w:val="none"/>
        </w:rPr>
      </w:pPr>
      <w:r>
        <w:rPr>
          <w:color w:val="auto"/>
          <w:highlight w:val="none"/>
        </w:rPr>
      </w:r>
      <w:r/>
    </w:p>
    <w:p>
      <w:pPr>
        <w:pStyle w:val="1141"/>
        <w:ind w:left="0" w:firstLine="420"/>
        <w:jc w:val="center"/>
        <w:spacing w:line="360" w:lineRule="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29"/>
      <w:r/>
      <w:bookmarkStart w:id="32" w:name="_Toc497133123"/>
      <w:r>
        <w:rPr>
          <w:rFonts w:hint="eastAsia" w:ascii="宋体" w:hAnsi="宋体"/>
          <w:b/>
          <w:bCs/>
          <w:color w:val="auto"/>
          <w:sz w:val="36"/>
          <w:highlight w:val="none"/>
        </w:rPr>
        <w:t xml:space="preserve">第五章 评标方法及评标标准</w:t>
      </w:r>
      <w:r/>
    </w:p>
    <w:p>
      <w:pPr>
        <w:pStyle w:val="1142"/>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3" w:name="_Toc449016388"/>
      <w:r/>
      <w:bookmarkStart w:id="34" w:name="_Toc449017024"/>
      <w:r>
        <w:rPr>
          <w:rFonts w:hint="eastAsia" w:ascii="宋体" w:hAnsi="宋体"/>
          <w:b/>
          <w:color w:val="auto"/>
          <w:szCs w:val="21"/>
          <w:highlight w:val="none"/>
        </w:rPr>
        <w:t xml:space="preserve">二、政府采购政策功能落实</w:t>
      </w:r>
      <w:bookmarkEnd w:id="33"/>
      <w:r/>
      <w:bookmarkEnd w:id="34"/>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4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42"/>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2"/>
      <w:r/>
      <w:r/>
    </w:p>
    <w:tbl>
      <w:tblPr>
        <w:tblStyle w:val="807"/>
        <w:tblW w:w="4900" w:type="pct"/>
        <w:jc w:val="center"/>
        <w:tblLayout w:type="autofit"/>
        <w:tblCellMar>
          <w:left w:w="108" w:type="dxa"/>
          <w:top w:w="0" w:type="dxa"/>
          <w:right w:w="108" w:type="dxa"/>
          <w:bottom w:w="0" w:type="dxa"/>
        </w:tblCellMar>
        <w:tblLook w:val="04A0" w:firstRow="1" w:lastRow="0" w:firstColumn="1" w:lastColumn="0" w:noHBand="0" w:noVBand="1"/>
      </w:tblPr>
      <w:tblGrid>
        <w:gridCol w:w="681"/>
        <w:gridCol w:w="1400"/>
        <w:gridCol w:w="5370"/>
        <w:gridCol w:w="901"/>
      </w:tblGrid>
      <w:tr>
        <w:trPr>
          <w:jc w:val="center"/>
          <w:trHeight w:val="567"/>
        </w:trPr>
        <w:tc>
          <w:tcPr>
            <w:tcBorders>
              <w:top w:val="single" w:color="000000" w:sz="6" w:space="0"/>
              <w:left w:val="single" w:color="000000" w:sz="6" w:space="0"/>
              <w:bottom w:val="single" w:color="000000" w:sz="6" w:space="0"/>
              <w:right w:val="single" w:color="000000" w:sz="6" w:space="0"/>
            </w:tcBorders>
            <w:tcW w:w="408" w:type="pct"/>
            <w:vAlign w:val="center"/>
            <w:textDirection w:val="lrTb"/>
            <w:noWrap w:val="false"/>
          </w:tcPr>
          <w:p>
            <w:pPr>
              <w:jc w:val="center"/>
              <w:keepLines w:val="0"/>
              <w:keepNext w:val="0"/>
              <w:pageBreakBefore w:val="0"/>
              <w:spacing w:line="40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38" w:type="pct"/>
            <w:vAlign w:val="center"/>
            <w:textDirection w:val="lrTb"/>
            <w:noWrap w:val="false"/>
          </w:tcPr>
          <w:p>
            <w:pPr>
              <w:jc w:val="center"/>
              <w:keepLines w:val="0"/>
              <w:keepNext w:val="0"/>
              <w:pageBreakBefore w:val="0"/>
              <w:spacing w:line="40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评分项目</w:t>
            </w:r>
            <w:r/>
          </w:p>
        </w:tc>
        <w:tc>
          <w:tcPr>
            <w:tcBorders>
              <w:top w:val="single" w:color="000000" w:sz="6" w:space="0"/>
              <w:left w:val="single" w:color="000000" w:sz="6" w:space="0"/>
              <w:bottom w:val="single" w:color="000000" w:sz="6" w:space="0"/>
              <w:right w:val="single" w:color="000000" w:sz="6" w:space="0"/>
            </w:tcBorders>
            <w:tcW w:w="3214" w:type="pct"/>
            <w:vAlign w:val="center"/>
            <w:textDirection w:val="lrTb"/>
            <w:noWrap w:val="false"/>
          </w:tcPr>
          <w:p>
            <w:pPr>
              <w:jc w:val="center"/>
              <w:keepLines w:val="0"/>
              <w:keepNext w:val="0"/>
              <w:pageBreakBefore w:val="0"/>
              <w:spacing w:line="44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评分标准</w:t>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jc w:val="center"/>
              <w:keepLines w:val="0"/>
              <w:keepNext w:val="0"/>
              <w:pageBreakBefore w:val="0"/>
              <w:spacing w:line="440" w:lineRule="exact"/>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分值</w:t>
            </w:r>
            <w:r/>
          </w:p>
        </w:tc>
      </w:tr>
      <w:tr>
        <w:trPr>
          <w:jc w:val="center"/>
          <w:trHeight w:val="3772"/>
        </w:trPr>
        <w:tc>
          <w:tcPr>
            <w:tcBorders>
              <w:top w:val="single" w:color="000000" w:sz="6" w:space="0"/>
              <w:left w:val="single" w:color="000000" w:sz="6" w:space="0"/>
              <w:bottom w:val="single" w:color="000000" w:sz="6" w:space="0"/>
              <w:right w:val="single" w:color="000000" w:sz="6" w:space="0"/>
            </w:tcBorders>
            <w:tcW w:w="408"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838"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w:t>
            </w:r>
            <w:r/>
          </w:p>
          <w:p>
            <w:pPr>
              <w:jc w:val="cente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rPr>
              <w:t xml:space="preserve">0</w:t>
            </w:r>
            <w:r>
              <w:rPr>
                <w:rFonts w:hint="eastAsia" w:ascii="宋体" w:hAnsi="宋体" w:cs="宋体"/>
                <w:b/>
                <w:bCs/>
                <w:color w:val="auto"/>
                <w:szCs w:val="21"/>
                <w:highlight w:val="none"/>
                <w:lang w:val="zh-CN"/>
              </w:rPr>
              <w:t xml:space="preserve">分）</w:t>
            </w:r>
            <w:r/>
          </w:p>
        </w:tc>
        <w:tc>
          <w:tcPr>
            <w:tcBorders>
              <w:top w:val="single" w:color="000000" w:sz="6" w:space="0"/>
              <w:left w:val="single" w:color="000000" w:sz="6" w:space="0"/>
              <w:bottom w:val="single" w:color="000000" w:sz="6" w:space="0"/>
              <w:right w:val="single" w:color="000000" w:sz="6" w:space="0"/>
            </w:tcBorders>
            <w:tcW w:w="3214" w:type="pct"/>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以满足招标文件要求的最低投标报价为评标基准价，其价格分为满分30分。其他投标人的价格分统一按照下列公式计算：</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w:t>
            </w:r>
            <w:r/>
          </w:p>
          <w:p>
            <w:pPr>
              <w:jc w:val="left"/>
              <w:spacing w:line="440" w:lineRule="exact"/>
              <w:rPr>
                <w:color w:val="auto"/>
                <w:highlight w:val="none"/>
              </w:rPr>
            </w:pPr>
            <w:r>
              <w:rPr>
                <w:rFonts w:hint="eastAsia" w:ascii="宋体" w:hAnsi="宋体" w:cs="宋体"/>
                <w:color w:val="auto"/>
                <w:szCs w:val="21"/>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30分</w:t>
            </w:r>
            <w:r/>
          </w:p>
        </w:tc>
      </w:tr>
      <w:tr>
        <w:trPr>
          <w:jc w:val="center"/>
          <w:trHeight w:val="567"/>
        </w:trPr>
        <w:tc>
          <w:tcPr>
            <w:tcBorders>
              <w:top w:val="single" w:color="000000" w:sz="6" w:space="0"/>
              <w:left w:val="single" w:color="000000" w:sz="6" w:space="0"/>
              <w:bottom w:val="single" w:color="000000" w:sz="4" w:space="0"/>
              <w:right w:val="single" w:color="000000" w:sz="6" w:space="0"/>
            </w:tcBorders>
            <w:tcW w:w="408" w:type="pct"/>
            <w:vAlign w:val="center"/>
            <w:textDirection w:val="lrTb"/>
            <w:noWrap w:val="false"/>
          </w:tcPr>
          <w:p>
            <w:pPr>
              <w:jc w:val="center"/>
              <w:spacing w:line="400" w:lineRule="exact"/>
              <w:rPr>
                <w:rFonts w:hint="eastAsia" w:ascii="宋体" w:hAnsi="宋体"/>
                <w:b/>
                <w:bCs/>
                <w:color w:val="auto"/>
                <w:highlight w:val="none"/>
              </w:rPr>
            </w:pPr>
            <w:r>
              <w:rPr>
                <w:rFonts w:hint="eastAsia" w:ascii="宋体" w:hAnsi="宋体"/>
                <w:b/>
                <w:bCs/>
                <w:color w:val="auto"/>
                <w:highlight w:val="none"/>
              </w:rPr>
              <w:t xml:space="preserve">2</w:t>
            </w:r>
            <w:r/>
          </w:p>
        </w:tc>
        <w:tc>
          <w:tcPr>
            <w:tcBorders>
              <w:top w:val="single" w:color="000000" w:sz="6" w:space="0"/>
              <w:left w:val="single" w:color="000000" w:sz="6" w:space="0"/>
              <w:bottom w:val="single" w:color="000000" w:sz="4" w:space="0"/>
              <w:right w:val="single" w:color="000000" w:sz="6" w:space="0"/>
            </w:tcBorders>
            <w:tcW w:w="838" w:type="pct"/>
            <w:vAlign w:val="center"/>
            <w:textDirection w:val="lrTb"/>
            <w:noWrap w:val="false"/>
          </w:tcPr>
          <w:p>
            <w:pPr>
              <w:jc w:val="center"/>
              <w:spacing w:line="400" w:lineRule="exact"/>
              <w:rPr>
                <w:rFonts w:hint="eastAsia" w:ascii="宋体" w:hAnsi="宋体"/>
                <w:b/>
                <w:bCs/>
                <w:color w:val="auto"/>
                <w:highlight w:val="none"/>
                <w:lang w:val="zh-CN"/>
              </w:rPr>
            </w:pPr>
            <w:r>
              <w:rPr>
                <w:rFonts w:hint="eastAsia" w:ascii="宋体" w:hAnsi="宋体"/>
                <w:b/>
                <w:bCs/>
                <w:color w:val="auto"/>
                <w:highlight w:val="none"/>
                <w:lang w:val="zh-CN"/>
              </w:rPr>
              <w:t xml:space="preserve">技术要求</w:t>
            </w:r>
            <w:r/>
          </w:p>
          <w:p>
            <w:pPr>
              <w:jc w:val="center"/>
              <w:spacing w:line="400" w:lineRule="exact"/>
              <w:rPr>
                <w:rFonts w:hint="eastAsia" w:ascii="宋体" w:hAnsi="宋体"/>
                <w:b/>
                <w:bCs/>
                <w:color w:val="auto"/>
                <w:highlight w:val="none"/>
                <w:lang w:val="zh-CN"/>
              </w:rPr>
            </w:pPr>
            <w:r>
              <w:rPr>
                <w:rFonts w:hint="eastAsia" w:ascii="宋体" w:hAnsi="宋体"/>
                <w:b/>
                <w:bCs/>
                <w:color w:val="auto"/>
                <w:highlight w:val="none"/>
                <w:lang w:val="zh-CN"/>
              </w:rPr>
              <w:t xml:space="preserve">（</w:t>
            </w:r>
            <w:r>
              <w:rPr>
                <w:rFonts w:hint="eastAsia" w:ascii="宋体" w:hAnsi="宋体"/>
                <w:b/>
                <w:bCs/>
                <w:color w:val="auto"/>
                <w:highlight w:val="none"/>
                <w:lang w:val="en-US" w:eastAsia="zh-CN"/>
              </w:rPr>
              <w:t xml:space="preserve">30</w:t>
            </w:r>
            <w:r>
              <w:rPr>
                <w:rFonts w:hint="eastAsia" w:ascii="宋体" w:hAnsi="宋体"/>
                <w:b/>
                <w:bCs/>
                <w:color w:val="auto"/>
                <w:highlight w:val="none"/>
                <w:lang w:val="zh-CN"/>
              </w:rPr>
              <w:t xml:space="preserve">分）</w:t>
            </w:r>
            <w:r/>
          </w:p>
        </w:tc>
        <w:tc>
          <w:tcPr>
            <w:tcBorders>
              <w:top w:val="single" w:color="000000" w:sz="6" w:space="0"/>
              <w:left w:val="single" w:color="000000" w:sz="6" w:space="0"/>
              <w:bottom w:val="single" w:color="000000" w:sz="4" w:space="0"/>
              <w:right w:val="single" w:color="000000" w:sz="6" w:space="0"/>
            </w:tcBorders>
            <w:tcW w:w="3214" w:type="pct"/>
            <w:vAlign w:val="center"/>
            <w:textDirection w:val="lrTb"/>
            <w:noWrap w:val="false"/>
          </w:tcPr>
          <w:p>
            <w:pPr>
              <w:jc w:val="left"/>
              <w:spacing w:line="440" w:lineRule="exact"/>
              <w:rPr>
                <w:rFonts w:hint="eastAsia" w:ascii="宋体" w:hAnsi="宋体"/>
                <w:b/>
                <w:bCs/>
                <w:color w:val="auto"/>
                <w:highlight w:val="none"/>
              </w:rPr>
            </w:pPr>
            <w:r>
              <w:rPr>
                <w:rFonts w:hint="eastAsia" w:ascii="宋体" w:hAnsi="宋体"/>
                <w:b/>
                <w:bCs/>
                <w:color w:val="auto"/>
                <w:highlight w:val="none"/>
                <w:lang w:val="en-US" w:eastAsia="zh-CN"/>
              </w:rPr>
              <w:t xml:space="preserve">主设备</w:t>
            </w:r>
            <w:r>
              <w:rPr>
                <w:rFonts w:hint="eastAsia" w:ascii="宋体" w:hAnsi="宋体"/>
                <w:color w:val="auto"/>
                <w:highlight w:val="none"/>
              </w:rPr>
              <w:t xml:space="preserve">产品技术参数完全响应招标文件要求的得</w:t>
            </w:r>
            <w:r>
              <w:rPr>
                <w:rFonts w:hint="eastAsia" w:ascii="宋体" w:hAnsi="宋体"/>
                <w:color w:val="auto"/>
                <w:highlight w:val="none"/>
                <w:lang w:val="en-US" w:eastAsia="zh-CN"/>
              </w:rPr>
              <w:t xml:space="preserve">30</w:t>
            </w:r>
            <w:r>
              <w:rPr>
                <w:rFonts w:hint="eastAsia" w:ascii="宋体" w:hAnsi="宋体"/>
                <w:color w:val="auto"/>
                <w:highlight w:val="none"/>
              </w:rPr>
              <w:t xml:space="preserve">分。加</w:t>
            </w:r>
            <w:r>
              <w:rPr>
                <w:rFonts w:hint="eastAsia" w:ascii="宋体" w:hAnsi="宋体" w:eastAsia="宋体" w:cs="宋体"/>
                <w:color w:val="auto"/>
                <w:sz w:val="21"/>
                <w:szCs w:val="21"/>
                <w:highlight w:val="none"/>
              </w:rPr>
              <w:t xml:space="preserve">★</w:t>
            </w:r>
            <w:r>
              <w:rPr>
                <w:rFonts w:hint="eastAsia" w:ascii="宋体" w:hAnsi="宋体"/>
                <w:color w:val="auto"/>
                <w:highlight w:val="none"/>
              </w:rPr>
              <w:t xml:space="preserve">号参数（即</w:t>
            </w:r>
            <w:r>
              <w:rPr>
                <w:rFonts w:hint="eastAsia" w:ascii="宋体" w:hAnsi="宋体"/>
                <w:color w:val="auto"/>
                <w:highlight w:val="none"/>
                <w:lang w:val="en-US" w:eastAsia="zh-CN"/>
              </w:rPr>
              <w:t xml:space="preserve">关键</w:t>
            </w:r>
            <w:r>
              <w:rPr>
                <w:rFonts w:hint="eastAsia" w:ascii="宋体" w:hAnsi="宋体"/>
                <w:color w:val="auto"/>
                <w:highlight w:val="none"/>
              </w:rPr>
              <w:t xml:space="preserve">参数）不满足的每项扣除</w:t>
            </w:r>
            <w:r>
              <w:rPr>
                <w:rFonts w:hint="eastAsia" w:ascii="宋体" w:hAnsi="宋体"/>
                <w:color w:val="auto"/>
                <w:highlight w:val="none"/>
                <w:lang w:val="en-US" w:eastAsia="zh-CN"/>
              </w:rPr>
              <w:t xml:space="preserve">3</w:t>
            </w:r>
            <w:r>
              <w:rPr>
                <w:rFonts w:hint="eastAsia" w:ascii="宋体" w:hAnsi="宋体"/>
                <w:color w:val="auto"/>
                <w:highlight w:val="none"/>
              </w:rPr>
              <w:t xml:space="preserve">分，其余参数不满足的每项扣除</w:t>
            </w:r>
            <w:r>
              <w:rPr>
                <w:rFonts w:hint="eastAsia" w:ascii="宋体" w:hAnsi="宋体"/>
                <w:color w:val="auto"/>
                <w:highlight w:val="none"/>
                <w:lang w:val="en-US" w:eastAsia="zh-CN"/>
              </w:rPr>
              <w:t xml:space="preserve">1</w:t>
            </w:r>
            <w:r>
              <w:rPr>
                <w:rFonts w:hint="eastAsia" w:ascii="宋体" w:hAnsi="宋体"/>
                <w:color w:val="auto"/>
                <w:highlight w:val="none"/>
              </w:rPr>
              <w:t xml:space="preserve">分，扣完为止。</w:t>
            </w:r>
            <w:r>
              <w:rPr>
                <w:rFonts w:hint="eastAsia" w:ascii="宋体" w:hAnsi="宋体"/>
                <w:b/>
                <w:color w:val="auto"/>
                <w:highlight w:val="none"/>
              </w:rPr>
              <w:t xml:space="preserve">（提供相应证明材料，原件扫描上传）</w:t>
            </w:r>
            <w:r/>
          </w:p>
          <w:p>
            <w:pPr>
              <w:jc w:val="left"/>
              <w:spacing w:line="440" w:lineRule="exact"/>
              <w:rPr>
                <w:rFonts w:hint="eastAsia" w:ascii="宋体" w:hAnsi="宋体"/>
                <w:color w:val="auto"/>
                <w:highlight w:val="none"/>
              </w:rPr>
            </w:pPr>
            <w:r>
              <w:rPr>
                <w:rFonts w:hint="eastAsia" w:ascii="宋体" w:hAnsi="宋体"/>
                <w:b/>
                <w:color w:val="auto"/>
                <w:highlight w:val="none"/>
              </w:rPr>
              <w:t xml:space="preserve">注：投标人须在“技术参数响应及偏离表”中逐条进行应答，列明所投产品详细技术特性说明偏离情况并注明所在页码，否则视为负偏离扣分；在“技术参数响应及偏离表”里列明无偏离，但未能提供相应的证明材料进行佐证的（如白皮书、产品彩页、技术资料书、检测报告等），作为负偏离扣除相应技术得分。</w:t>
            </w:r>
            <w:r/>
          </w:p>
          <w:p>
            <w:pPr>
              <w:jc w:val="left"/>
              <w:spacing w:line="440" w:lineRule="exact"/>
              <w:rPr>
                <w:rFonts w:hint="eastAsia" w:ascii="宋体" w:hAnsi="宋体"/>
                <w:b/>
                <w:color w:val="auto"/>
                <w:highlight w:val="none"/>
              </w:rPr>
            </w:pPr>
            <w:r>
              <w:rPr>
                <w:rFonts w:hint="eastAsia" w:ascii="宋体" w:hAnsi="宋体"/>
                <w:i/>
                <w:color w:val="auto"/>
                <w:highlight w:val="none"/>
                <w:u w:val="single"/>
              </w:rPr>
              <w:t xml:space="preserve">项目参数、技术参数和相关要求响应情况需如实填写，不得虚假响应，否则视为提供虚假材料谋取中标。</w:t>
            </w:r>
            <w:r/>
          </w:p>
        </w:tc>
        <w:tc>
          <w:tcPr>
            <w:tcBorders>
              <w:top w:val="single" w:color="000000" w:sz="6" w:space="0"/>
              <w:left w:val="single" w:color="000000" w:sz="6" w:space="0"/>
              <w:bottom w:val="single" w:color="000000" w:sz="4" w:space="0"/>
              <w:right w:val="single" w:color="000000" w:sz="6" w:space="0"/>
            </w:tcBorders>
            <w:tcW w:w="539" w:type="pct"/>
            <w:vAlign w:val="center"/>
            <w:textDirection w:val="lrTb"/>
            <w:noWrap w:val="false"/>
          </w:tcPr>
          <w:p>
            <w:pPr>
              <w:jc w:val="center"/>
              <w:spacing w:line="440" w:lineRule="exact"/>
              <w:rPr>
                <w:rFonts w:hint="eastAsia" w:ascii="宋体" w:hAnsi="宋体"/>
                <w:b/>
                <w:bCs/>
                <w:i/>
                <w:color w:val="auto"/>
                <w:highlight w:val="none"/>
                <w:u w:val="single"/>
              </w:rPr>
            </w:pPr>
            <w:r>
              <w:rPr>
                <w:rFonts w:hint="eastAsia" w:ascii="宋体" w:hAnsi="宋体"/>
                <w:b/>
                <w:bCs/>
                <w:color w:val="auto"/>
                <w:highlight w:val="none"/>
                <w:lang w:val="en-US" w:eastAsia="zh-CN"/>
              </w:rPr>
              <w:t xml:space="preserve">30</w:t>
            </w:r>
            <w:r>
              <w:rPr>
                <w:rFonts w:hint="eastAsia" w:ascii="宋体" w:hAnsi="宋体"/>
                <w:b/>
                <w:bCs/>
                <w:color w:val="auto"/>
                <w:highlight w:val="none"/>
                <w:lang w:val="zh-CN"/>
              </w:rPr>
              <w:t xml:space="preserve">分</w:t>
            </w:r>
            <w:r/>
          </w:p>
        </w:tc>
      </w:tr>
      <w:tr>
        <w:trPr>
          <w:jc w:val="center"/>
          <w:trHeight w:val="567"/>
        </w:trPr>
        <w:tc>
          <w:tcPr>
            <w:tcBorders>
              <w:top w:val="single" w:color="000000" w:sz="4" w:space="0"/>
              <w:left w:val="single" w:color="000000" w:sz="6" w:space="0"/>
              <w:bottom w:val="single" w:color="000000" w:sz="4" w:space="0"/>
              <w:right w:val="single" w:color="000000" w:sz="6" w:space="0"/>
            </w:tcBorders>
            <w:tcW w:w="408" w:type="pct"/>
            <w:vAlign w:val="center"/>
            <w:textDirection w:val="lrTb"/>
            <w:noWrap w:val="false"/>
          </w:tcPr>
          <w:p>
            <w:pPr>
              <w:jc w:val="center"/>
              <w:spacing w:line="400" w:lineRule="exact"/>
              <w:rPr>
                <w:rFonts w:hint="eastAsia" w:ascii="宋体" w:hAnsi="宋体"/>
                <w:b/>
                <w:bCs/>
                <w:color w:val="auto"/>
                <w:highlight w:val="none"/>
              </w:rPr>
            </w:pPr>
            <w:r>
              <w:rPr>
                <w:rFonts w:hint="eastAsia" w:ascii="宋体" w:hAnsi="宋体"/>
                <w:b/>
                <w:bCs/>
                <w:color w:val="auto"/>
                <w:highlight w:val="none"/>
              </w:rPr>
              <w:t xml:space="preserve">3</w:t>
            </w:r>
            <w:r/>
          </w:p>
        </w:tc>
        <w:tc>
          <w:tcPr>
            <w:tcBorders>
              <w:top w:val="single" w:color="000000" w:sz="4" w:space="0"/>
              <w:left w:val="single" w:color="000000" w:sz="6" w:space="0"/>
              <w:bottom w:val="single" w:color="000000" w:sz="4" w:space="0"/>
              <w:right w:val="single" w:color="000000" w:sz="6" w:space="0"/>
            </w:tcBorders>
            <w:tcW w:w="838" w:type="pct"/>
            <w:vAlign w:val="center"/>
            <w:textDirection w:val="lrTb"/>
            <w:noWrap w:val="false"/>
          </w:tcPr>
          <w:p>
            <w:pPr>
              <w:jc w:val="center"/>
              <w:spacing w:line="400" w:lineRule="exact"/>
              <w:rPr>
                <w:rFonts w:hint="eastAsia" w:ascii="宋体" w:hAnsi="宋体"/>
                <w:b/>
                <w:bCs/>
                <w:color w:val="auto"/>
                <w:highlight w:val="none"/>
                <w:lang w:val="zh-CN"/>
              </w:rPr>
            </w:pPr>
            <w:r>
              <w:rPr>
                <w:rFonts w:hint="eastAsia" w:ascii="宋体" w:hAnsi="宋体"/>
                <w:b/>
                <w:bCs/>
                <w:color w:val="auto"/>
                <w:highlight w:val="none"/>
                <w:lang w:val="zh-CN"/>
              </w:rPr>
              <w:t xml:space="preserve">项目实施方案</w:t>
            </w:r>
            <w:r/>
          </w:p>
          <w:p>
            <w:pPr>
              <w:jc w:val="center"/>
              <w:spacing w:line="400" w:lineRule="exact"/>
              <w:rPr>
                <w:rFonts w:hint="eastAsia" w:ascii="宋体" w:hAnsi="宋体"/>
                <w:b/>
                <w:bCs/>
                <w:color w:val="auto"/>
                <w:highlight w:val="none"/>
                <w:lang w:val="zh-CN"/>
              </w:rPr>
            </w:pPr>
            <w:r>
              <w:rPr>
                <w:rFonts w:hint="eastAsia" w:ascii="宋体" w:hAnsi="宋体"/>
                <w:b/>
                <w:bCs/>
                <w:color w:val="auto"/>
                <w:highlight w:val="none"/>
                <w:lang w:val="zh-CN"/>
              </w:rPr>
              <w:t xml:space="preserve">（</w:t>
            </w:r>
            <w:r>
              <w:rPr>
                <w:rFonts w:hint="eastAsia" w:ascii="宋体" w:hAnsi="宋体"/>
                <w:b/>
                <w:bCs/>
                <w:color w:val="auto"/>
                <w:highlight w:val="none"/>
                <w:lang w:val="en-US" w:eastAsia="zh-CN"/>
              </w:rPr>
              <w:t xml:space="preserve">10</w:t>
            </w:r>
            <w:r>
              <w:rPr>
                <w:rFonts w:hint="eastAsia" w:ascii="宋体" w:hAnsi="宋体"/>
                <w:b/>
                <w:bCs/>
                <w:color w:val="auto"/>
                <w:highlight w:val="none"/>
                <w:lang w:val="zh-CN"/>
              </w:rPr>
              <w:t xml:space="preserve">分）</w:t>
            </w:r>
            <w:r/>
          </w:p>
        </w:tc>
        <w:tc>
          <w:tcPr>
            <w:tcBorders>
              <w:top w:val="single" w:color="000000" w:sz="4" w:space="0"/>
              <w:left w:val="single" w:color="000000" w:sz="6" w:space="0"/>
              <w:bottom w:val="single" w:color="000000" w:sz="4" w:space="0"/>
              <w:right w:val="single" w:color="000000" w:sz="6" w:space="0"/>
            </w:tcBorders>
            <w:tcW w:w="3214" w:type="pct"/>
            <w:vAlign w:val="center"/>
            <w:textDirection w:val="lrTb"/>
            <w:noWrap w:val="false"/>
          </w:tcPr>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t xml:space="preserve">投标人根据项目具体的实施情况制定整体方案，包括产品运输、产品安装、人员配置、时间进度安排、设备使用维护方案等：</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方案结构清晰，详细、规范全面，内容完整，完全满足要求的，得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方案结构较清晰，较详细全面，内容较完整，基本响应要求的，得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方案结构清晰性及规范性，内容完整性略有瑕疵但不影响项目实施的，得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方案结构清晰性、规范性及内容完整性有欠缺的，得1分；</w:t>
            </w:r>
            <w:r/>
          </w:p>
          <w:p>
            <w:pPr>
              <w:jc w:val="left"/>
              <w:spacing w:line="440" w:lineRule="exact"/>
              <w:rPr>
                <w:rFonts w:hint="eastAsia" w:ascii="宋体" w:hAnsi="宋体"/>
                <w:color w:val="auto"/>
                <w:highlight w:val="none"/>
              </w:rPr>
            </w:pPr>
            <w:r>
              <w:rPr>
                <w:rFonts w:hint="eastAsia" w:ascii="宋体" w:hAnsi="宋体" w:cs="宋体"/>
                <w:color w:val="auto"/>
                <w:szCs w:val="21"/>
                <w:highlight w:val="none"/>
              </w:rPr>
              <w:t xml:space="preserve">其余不得分。</w:t>
            </w:r>
            <w:r/>
          </w:p>
        </w:tc>
        <w:tc>
          <w:tcPr>
            <w:tcBorders>
              <w:top w:val="single" w:color="000000" w:sz="4" w:space="0"/>
              <w:left w:val="single" w:color="000000" w:sz="6" w:space="0"/>
              <w:bottom w:val="single" w:color="000000" w:sz="4" w:space="0"/>
              <w:right w:val="single" w:color="000000" w:sz="6" w:space="0"/>
            </w:tcBorders>
            <w:tcW w:w="539" w:type="pct"/>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b/>
                <w:bCs/>
                <w:color w:val="auto"/>
                <w:highlight w:val="none"/>
                <w:lang w:val="en-US" w:eastAsia="zh-CN"/>
              </w:rPr>
              <w:t xml:space="preserve">10</w:t>
            </w:r>
            <w:r>
              <w:rPr>
                <w:rFonts w:hint="eastAsia" w:ascii="宋体" w:hAnsi="宋体"/>
                <w:b/>
                <w:bCs/>
                <w:color w:val="auto"/>
                <w:highlight w:val="none"/>
                <w:lang w:val="zh-CN"/>
              </w:rPr>
              <w:t xml:space="preserve">分</w:t>
            </w:r>
            <w:r/>
          </w:p>
        </w:tc>
      </w:tr>
      <w:tr>
        <w:trPr>
          <w:jc w:val="center"/>
          <w:trHeight w:val="4007"/>
        </w:trPr>
        <w:tc>
          <w:tcPr>
            <w:tcBorders>
              <w:top w:val="single" w:color="000000" w:sz="4" w:space="0"/>
              <w:left w:val="single" w:color="000000" w:sz="6" w:space="0"/>
              <w:bottom w:val="single" w:color="000000" w:sz="4" w:space="0"/>
              <w:right w:val="single" w:color="000000" w:sz="6" w:space="0"/>
            </w:tcBorders>
            <w:tcW w:w="408"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Borders>
              <w:top w:val="single" w:color="000000" w:sz="4" w:space="0"/>
              <w:left w:val="single" w:color="000000" w:sz="6" w:space="0"/>
              <w:bottom w:val="single" w:color="000000" w:sz="4" w:space="0"/>
              <w:right w:val="single" w:color="000000" w:sz="6" w:space="0"/>
            </w:tcBorders>
            <w:tcW w:w="838" w:type="pct"/>
            <w:vAlign w:val="center"/>
            <w:textDirection w:val="lrTb"/>
            <w:noWrap w:val="false"/>
          </w:tcPr>
          <w:p>
            <w:pPr>
              <w:contextualSpacing/>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质量保证措施</w:t>
            </w:r>
            <w:r/>
          </w:p>
          <w:p>
            <w:pPr>
              <w:jc w:val="center"/>
              <w:spacing w:line="400" w:lineRule="exact"/>
              <w:rPr>
                <w:rFonts w:hint="eastAsia" w:ascii="宋体" w:hAnsi="宋体"/>
                <w:b/>
                <w:bCs/>
                <w:color w:val="auto"/>
                <w:highlight w:val="none"/>
                <w:lang w:val="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p>
        </w:tc>
        <w:tc>
          <w:tcPr>
            <w:tcBorders>
              <w:top w:val="single" w:color="000000" w:sz="4" w:space="0"/>
              <w:left w:val="single" w:color="000000" w:sz="6" w:space="0"/>
              <w:bottom w:val="single" w:color="000000" w:sz="4" w:space="0"/>
              <w:right w:val="single" w:color="000000" w:sz="6" w:space="0"/>
            </w:tcBorders>
            <w:tcW w:w="3214" w:type="pct"/>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投标人针对项目需求提供质量保证措施方案：</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方案详细、全面，可操作性强，完全满足要求的，得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方案详细程度及全面性、可操作性较强，基本满足要求的，得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方案详细程度及可操作性，内容完整性略有瑕疵但不影响项目实施的，得</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方案详细程度及可操作性，内容完整性有欠缺的，得1分；</w:t>
            </w:r>
            <w:r/>
          </w:p>
          <w:p>
            <w:pPr>
              <w:spacing w:line="400" w:lineRule="exact"/>
              <w:rPr>
                <w:rFonts w:hint="eastAsia" w:ascii="宋体" w:hAnsi="宋体"/>
                <w:b/>
                <w:bCs/>
                <w:color w:val="auto"/>
                <w:szCs w:val="21"/>
                <w:highlight w:val="none"/>
              </w:rPr>
            </w:pPr>
            <w:r>
              <w:rPr>
                <w:rFonts w:hint="eastAsia" w:ascii="宋体" w:hAnsi="宋体"/>
                <w:bCs/>
                <w:color w:val="auto"/>
                <w:szCs w:val="21"/>
                <w:highlight w:val="none"/>
              </w:rPr>
              <w:t xml:space="preserve">其余不得分。</w:t>
            </w:r>
            <w:r/>
          </w:p>
        </w:tc>
        <w:tc>
          <w:tcPr>
            <w:tcBorders>
              <w:top w:val="single" w:color="000000" w:sz="4" w:space="0"/>
              <w:left w:val="single" w:color="000000" w:sz="6" w:space="0"/>
              <w:bottom w:val="single" w:color="000000" w:sz="4" w:space="0"/>
              <w:right w:val="single" w:color="000000" w:sz="6" w:space="0"/>
            </w:tcBorders>
            <w:tcW w:w="539" w:type="pct"/>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p>
        </w:tc>
      </w:tr>
      <w:tr>
        <w:trPr>
          <w:jc w:val="center"/>
          <w:trHeight w:val="3884"/>
        </w:trPr>
        <w:tc>
          <w:tcPr>
            <w:tcBorders>
              <w:top w:val="single" w:color="000000" w:sz="4" w:space="0"/>
              <w:left w:val="single" w:color="000000" w:sz="6" w:space="0"/>
              <w:bottom w:val="single" w:color="000000" w:sz="4" w:space="0"/>
              <w:right w:val="single" w:color="000000" w:sz="6" w:space="0"/>
            </w:tcBorders>
            <w:tcW w:w="408"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Borders>
              <w:top w:val="single" w:color="000000" w:sz="4" w:space="0"/>
              <w:left w:val="single" w:color="000000" w:sz="6" w:space="0"/>
              <w:bottom w:val="single" w:color="000000" w:sz="4" w:space="0"/>
              <w:right w:val="single" w:color="000000" w:sz="6" w:space="0"/>
            </w:tcBorders>
            <w:tcW w:w="838" w:type="pct"/>
            <w:vAlign w:val="center"/>
            <w:textDirection w:val="lrTb"/>
            <w:noWrap w:val="false"/>
          </w:tcPr>
          <w:p>
            <w:pPr>
              <w:jc w:val="center"/>
              <w:spacing w:line="400" w:lineRule="exact"/>
              <w:widowControl/>
              <w:rPr>
                <w:rFonts w:hint="eastAsia" w:ascii="宋体" w:hAnsi="宋体"/>
                <w:b/>
                <w:bCs/>
                <w:color w:val="auto"/>
                <w:highlight w:val="none"/>
              </w:rPr>
            </w:pPr>
            <w:r>
              <w:rPr>
                <w:rFonts w:hint="eastAsia" w:ascii="宋体" w:hAnsi="宋体"/>
                <w:b/>
                <w:bCs/>
                <w:color w:val="auto"/>
                <w:highlight w:val="none"/>
              </w:rPr>
              <w:t xml:space="preserve">验收方案</w:t>
            </w:r>
            <w:r/>
          </w:p>
          <w:p>
            <w:pPr>
              <w:jc w:val="center"/>
              <w:spacing w:line="400" w:lineRule="exact"/>
              <w:rPr>
                <w:rFonts w:hint="eastAsia" w:ascii="宋体" w:hAnsi="宋体"/>
                <w:b/>
                <w:bCs/>
                <w:color w:val="auto"/>
                <w:highlight w:val="none"/>
                <w:lang w:val="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p>
        </w:tc>
        <w:tc>
          <w:tcPr>
            <w:tcBorders>
              <w:top w:val="single" w:color="000000" w:sz="4" w:space="0"/>
              <w:left w:val="single" w:color="000000" w:sz="6" w:space="0"/>
              <w:bottom w:val="single" w:color="000000" w:sz="4" w:space="0"/>
              <w:right w:val="single" w:color="000000" w:sz="6" w:space="0"/>
            </w:tcBorders>
            <w:tcW w:w="3214" w:type="pct"/>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投标人针对项目需求提供验收方案：</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方案合理，详细、规范全面，内容完整，完全满足要求的，得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方案合理性、详细及规范全面性、内容完整性较强，基本响应要求的，得4分；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方案合理性、详细及规范全面性、内容完整性略有瑕疵但不影响项目实施的，得2分；</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方案合理性、详细及规范全面性、内容完整性有欠缺的，得1分；</w:t>
            </w:r>
            <w:r/>
          </w:p>
          <w:p>
            <w:pPr>
              <w:spacing w:line="400" w:lineRule="exact"/>
              <w:rPr>
                <w:rFonts w:hint="eastAsia" w:ascii="宋体" w:hAnsi="宋体"/>
                <w:color w:val="auto"/>
                <w:highlight w:val="none"/>
              </w:rPr>
            </w:pPr>
            <w:r>
              <w:rPr>
                <w:rFonts w:hint="eastAsia" w:ascii="宋体" w:hAnsi="宋体"/>
                <w:bCs/>
                <w:color w:val="auto"/>
                <w:szCs w:val="21"/>
                <w:highlight w:val="none"/>
              </w:rPr>
              <w:t xml:space="preserve">其余不得分。</w:t>
            </w:r>
            <w:r/>
          </w:p>
        </w:tc>
        <w:tc>
          <w:tcPr>
            <w:tcBorders>
              <w:top w:val="single" w:color="000000" w:sz="4" w:space="0"/>
              <w:left w:val="single" w:color="000000" w:sz="6" w:space="0"/>
              <w:bottom w:val="single" w:color="000000" w:sz="4" w:space="0"/>
              <w:right w:val="single" w:color="000000" w:sz="6" w:space="0"/>
            </w:tcBorders>
            <w:tcW w:w="539" w:type="pct"/>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p>
        </w:tc>
      </w:tr>
      <w:tr>
        <w:trPr>
          <w:jc w:val="center"/>
          <w:trHeight w:val="567"/>
        </w:trPr>
        <w:tc>
          <w:tcPr>
            <w:tcBorders>
              <w:top w:val="single" w:color="000000" w:sz="4" w:space="0"/>
              <w:left w:val="single" w:color="000000" w:sz="6" w:space="0"/>
              <w:bottom w:val="single" w:color="000000" w:sz="4" w:space="0"/>
              <w:right w:val="single" w:color="000000" w:sz="6" w:space="0"/>
            </w:tcBorders>
            <w:tcW w:w="408" w:type="pct"/>
            <w:vAlign w:val="center"/>
            <w:textDirection w:val="lrTb"/>
            <w:noWrap w:val="false"/>
          </w:tcPr>
          <w:p>
            <w:pPr>
              <w:contextualSpacing/>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Borders>
              <w:top w:val="single" w:color="000000" w:sz="4" w:space="0"/>
              <w:left w:val="single" w:color="000000" w:sz="6" w:space="0"/>
              <w:bottom w:val="single" w:color="000000" w:sz="4" w:space="0"/>
              <w:right w:val="single" w:color="000000" w:sz="6" w:space="0"/>
            </w:tcBorders>
            <w:tcW w:w="838" w:type="pct"/>
            <w:vAlign w:val="center"/>
            <w:textDirection w:val="lrTb"/>
            <w:noWrap w:val="false"/>
          </w:tcPr>
          <w:p>
            <w:pPr>
              <w:contextualSpacing/>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售后服务</w:t>
            </w:r>
            <w:r/>
          </w:p>
          <w:p>
            <w:pPr>
              <w:contextualSpacing/>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及培训方案</w:t>
            </w:r>
            <w:r/>
          </w:p>
          <w:p>
            <w:pPr>
              <w:contextualSpacing/>
              <w:jc w:val="center"/>
              <w:spacing w:line="400" w:lineRule="exact"/>
              <w:rPr>
                <w:rFonts w:hint="eastAsia" w:ascii="宋体" w:hAnsi="宋体"/>
                <w:b/>
                <w:bCs/>
                <w:color w:val="auto"/>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c>
          <w:tcPr>
            <w:tcBorders>
              <w:top w:val="single" w:color="000000" w:sz="4" w:space="0"/>
              <w:left w:val="single" w:color="000000" w:sz="6" w:space="0"/>
              <w:bottom w:val="single" w:color="000000" w:sz="4" w:space="0"/>
              <w:right w:val="single" w:color="000000" w:sz="6" w:space="0"/>
            </w:tcBorders>
            <w:tcW w:w="3214" w:type="pct"/>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投标人针对项目需求提供售后服务及培训方案：</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方案完善合理，针对性、可操作性强的，得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方案合理性较好、针对性较强、有一定的可操作性的，得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方案合理性、针对性一般，可操作性不强的，得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方案合理性、针对性、可操作性有欠缺的，得1分；</w:t>
            </w:r>
            <w:r/>
          </w:p>
          <w:p>
            <w:pPr>
              <w:spacing w:line="400" w:lineRule="exact"/>
              <w:rPr>
                <w:rFonts w:hint="eastAsia" w:ascii="宋体" w:hAnsi="宋体"/>
                <w:b/>
                <w:bCs/>
                <w:color w:val="auto"/>
                <w:szCs w:val="21"/>
                <w:highlight w:val="none"/>
              </w:rPr>
            </w:pPr>
            <w:r>
              <w:rPr>
                <w:rFonts w:hint="eastAsia" w:ascii="宋体" w:hAnsi="宋体" w:cs="宋体"/>
                <w:color w:val="auto"/>
                <w:szCs w:val="21"/>
                <w:highlight w:val="none"/>
              </w:rPr>
              <w:t xml:space="preserve">其余不得分。</w:t>
            </w:r>
            <w:r/>
          </w:p>
        </w:tc>
        <w:tc>
          <w:tcPr>
            <w:tcBorders>
              <w:top w:val="single" w:color="000000" w:sz="4" w:space="0"/>
              <w:left w:val="single" w:color="000000" w:sz="6" w:space="0"/>
              <w:bottom w:val="single" w:color="000000" w:sz="4" w:space="0"/>
              <w:right w:val="single" w:color="000000" w:sz="6" w:space="0"/>
            </w:tcBorders>
            <w:tcW w:w="539"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08"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838" w:type="pct"/>
            <w:vAlign w:val="center"/>
            <w:textDirection w:val="lrTb"/>
            <w:noWrap w:val="false"/>
          </w:tcPr>
          <w:p>
            <w:pPr>
              <w:jc w:val="cente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业绩</w:t>
            </w:r>
            <w:r/>
          </w:p>
          <w:p>
            <w:pPr>
              <w:jc w:val="cente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分）</w:t>
            </w:r>
            <w:r/>
          </w:p>
        </w:tc>
        <w:tc>
          <w:tcPr>
            <w:tcBorders>
              <w:top w:val="single" w:color="000000" w:sz="6" w:space="0"/>
              <w:left w:val="single" w:color="000000" w:sz="6" w:space="0"/>
              <w:bottom w:val="single" w:color="000000" w:sz="6" w:space="0"/>
              <w:right w:val="single" w:color="000000" w:sz="6" w:space="0"/>
            </w:tcBorders>
            <w:tcW w:w="3214" w:type="pct"/>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自202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年1月1日以来</w:t>
            </w:r>
            <w:r>
              <w:rPr>
                <w:rFonts w:hint="eastAsia" w:ascii="宋体" w:hAnsi="宋体" w:cs="宋体"/>
                <w:b/>
                <w:color w:val="auto"/>
                <w:szCs w:val="21"/>
                <w:highlight w:val="none"/>
              </w:rPr>
              <w:t xml:space="preserve">（以合同签订时间为准）</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核心产品类似</w:t>
            </w:r>
            <w:r>
              <w:rPr>
                <w:rFonts w:hint="eastAsia" w:ascii="宋体" w:hAnsi="宋体" w:cs="宋体"/>
                <w:color w:val="auto"/>
                <w:szCs w:val="21"/>
                <w:highlight w:val="none"/>
              </w:rPr>
              <w:t xml:space="preserve">业绩，提供一份得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rPr>
                <w:rFonts w:hint="eastAsia" w:ascii="宋体" w:hAnsi="宋体" w:cs="宋体"/>
                <w:b/>
                <w:color w:val="auto"/>
                <w:szCs w:val="21"/>
                <w:highlight w:val="none"/>
              </w:rPr>
              <w:t xml:space="preserve">（提供合同，原件扫描上传。所提供的合同，必须有使用单位名称，主要内容、标的、数量、金额等需清晰可见；投标人对合同真实性负责，如经核实有虚假行为，将按照法律法规追究责任）</w:t>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分</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08" w:type="pct"/>
            <w:vAlign w:val="center"/>
            <w:textDirection w:val="lrTb"/>
            <w:noWrap w:val="false"/>
          </w:tcPr>
          <w:p>
            <w:pPr>
              <w:jc w:val="center"/>
              <w:spacing w:line="42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4052" w:type="pct"/>
            <w:vAlign w:val="center"/>
            <w:textDirection w:val="lrTb"/>
            <w:noWrap w:val="false"/>
          </w:tcPr>
          <w:p>
            <w:pPr>
              <w:jc w:val="center"/>
              <w:spacing w:line="42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    计：100分</w:t>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jc w:val="center"/>
              <w:spacing w:line="42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tc>
      </w:tr>
    </w:tbl>
    <w:p>
      <w:pPr>
        <w:pStyle w:val="797"/>
        <w:jc w:val="center"/>
        <w:rPr>
          <w:rFonts w:hint="eastAsia" w:ascii="宋体" w:hAnsi="宋体"/>
          <w:color w:val="auto"/>
          <w:highlight w:val="none"/>
        </w:rPr>
      </w:pPr>
      <w:r>
        <w:rPr>
          <w:rFonts w:hint="eastAsia" w:ascii="宋体" w:hAnsi="宋体"/>
          <w:color w:val="auto"/>
          <w:highlight w:val="none"/>
        </w:rPr>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97"/>
        <w:jc w:val="center"/>
        <w:rPr>
          <w:rFonts w:hint="eastAsia"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8"/>
        <w:numPr>
          <w:ilvl w:val="0"/>
          <w:numId w:val="0"/>
        </w:numPr>
        <w:jc w:val="center"/>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0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ind w:firstLine="0"/>
              <w:jc w:val="left"/>
              <w:spacing w:line="360" w:lineRule="auto"/>
              <w:rPr>
                <w:color w:val="auto"/>
                <w:highlight w:val="none"/>
              </w:rPr>
            </w:pPr>
            <w:r>
              <w:rPr>
                <w:rFonts w:hint="eastAsia" w:ascii="宋体" w:hAnsi="宋体" w:cs="宋体"/>
                <w:color w:val="auto"/>
                <w:szCs w:val="21"/>
                <w:highlight w:val="none"/>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0"/>
              <w:jc w:val="left"/>
              <w:spacing w:line="360" w:lineRule="auto"/>
              <w:rPr>
                <w:rFonts w:hint="eastAsia" w:ascii="宋体" w:hAnsi="宋体" w:cs="宋体"/>
                <w:bCs/>
                <w:color w:val="auto"/>
                <w:highlight w:val="none"/>
                <w:u w:val="singl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default" w:ascii="宋体" w:hAnsi="宋体" w:eastAsia="宋体" w:cs="宋体"/>
                <w:i w:val="0"/>
                <w:iCs/>
                <w:color w:val="auto"/>
                <w:szCs w:val="21"/>
                <w:highlight w:val="none"/>
                <w:u w:val="none"/>
                <w:lang w:val="en-US" w:eastAsia="zh-CN"/>
              </w:rPr>
            </w:pPr>
            <w:r>
              <w:rPr>
                <w:rFonts w:hint="eastAsia" w:ascii="宋体" w:hAnsi="宋体" w:cs="宋体"/>
                <w:i w:val="0"/>
                <w:iCs/>
                <w:color w:val="auto"/>
                <w:szCs w:val="21"/>
                <w:highlight w:val="none"/>
                <w:u w:val="none"/>
                <w:lang w:val="en-US" w:eastAsia="zh-CN"/>
              </w:rPr>
              <w:t xml:space="preserve">无</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42"/>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JSZC-321000-JSWC-G2025-0091</w:t>
      </w:r>
      <w:r>
        <w:rPr>
          <w:rFonts w:hint="eastAsia" w:ascii="宋体" w:hAnsi="宋体"/>
          <w:color w:val="auto"/>
          <w:sz w:val="21"/>
          <w:szCs w:val="21"/>
          <w:highlight w:val="none"/>
        </w:rPr>
        <w:t xml:space="preserve">号招标文件，正式授权下述签字人____(姓名)代表我方____________（投标人的名称），全权处理本次项目投标的有关事宜。</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4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42"/>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142"/>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49"/>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49"/>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49"/>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49"/>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49"/>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49"/>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4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4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98"/>
        <w:numPr>
          <w:ilvl w:val="0"/>
          <w:numId w:val="0"/>
        </w:numPr>
        <w:jc w:val="center"/>
        <w:spacing w:line="360" w:lineRule="auto"/>
        <w:widowControl/>
        <w:rPr>
          <w:rFonts w:hint="eastAsia"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798"/>
        <w:numPr>
          <w:ilvl w:val="0"/>
          <w:numId w:val="0"/>
        </w:numPr>
        <w:jc w:val="center"/>
        <w:spacing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38"/>
        <w:ind w:firstLine="420"/>
        <w:spacing w:before="300" w:after="452" w:line="360" w:lineRule="auto"/>
        <w:widowControl/>
        <w:rPr>
          <w:rFonts w:hint="eastAsia" w:ascii="宋体" w:hAnsi="宋体"/>
          <w:color w:val="auto"/>
          <w:sz w:val="21"/>
          <w:szCs w:val="21"/>
          <w:highlight w:val="none"/>
        </w:rPr>
      </w:pPr>
      <w:r>
        <w:rPr>
          <w:rStyle w:val="844"/>
          <w:rFonts w:hint="eastAsia" w:ascii="宋体" w:hAnsi="宋体" w:cs="仿宋"/>
          <w:color w:val="auto"/>
          <w:sz w:val="21"/>
          <w:szCs w:val="21"/>
          <w:highlight w:val="none"/>
        </w:rPr>
        <w:t xml:space="preserve">中小微企业划型标准如下：</w:t>
      </w:r>
      <w:r/>
    </w:p>
    <w:tbl>
      <w:tblPr>
        <w:tblStyle w:val="807"/>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38"/>
              <w:jc w:val="center"/>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38"/>
              <w:spacing w:line="360" w:lineRule="auto"/>
              <w:widowControl/>
              <w:rPr>
                <w:rFonts w:hint="eastAsia" w:ascii="宋体" w:hAnsi="宋体"/>
                <w:b/>
                <w:bCs/>
                <w:color w:val="auto"/>
                <w:sz w:val="21"/>
                <w:szCs w:val="21"/>
                <w:highlight w:val="none"/>
              </w:rPr>
            </w:pPr>
            <w:r>
              <w:rPr>
                <w:rStyle w:val="844"/>
                <w:rFonts w:hint="eastAsia" w:ascii="宋体" w:hAnsi="宋体" w:cs="仿宋"/>
                <w:color w:val="auto"/>
                <w:sz w:val="21"/>
                <w:szCs w:val="21"/>
                <w:highlight w:val="none"/>
              </w:rPr>
              <w:t xml:space="preserve">X＜10</w:t>
            </w:r>
            <w:r/>
          </w:p>
        </w:tc>
      </w:tr>
    </w:tbl>
    <w:p>
      <w:pPr>
        <w:pStyle w:val="838"/>
        <w:ind w:firstLine="462"/>
        <w:spacing w:before="300" w:after="452" w:line="360" w:lineRule="auto"/>
        <w:widowControl/>
        <w:rPr>
          <w:rStyle w:val="844"/>
          <w:rFonts w:hint="eastAsia" w:ascii="宋体" w:hAnsi="宋体" w:cs="仿宋"/>
          <w:color w:val="auto"/>
          <w:sz w:val="21"/>
          <w:szCs w:val="21"/>
          <w:highlight w:val="none"/>
        </w:rPr>
      </w:pPr>
      <w:r>
        <w:rPr>
          <w:rStyle w:val="8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799"/>
        <w:numPr>
          <w:ilvl w:val="0"/>
          <w:numId w:val="0"/>
        </w:numPr>
        <w:jc w:val="center"/>
        <w:rPr>
          <w:rFonts w:hint="eastAsia" w:ascii="宋体" w:hAnsi="宋体"/>
          <w:b w:val="0"/>
          <w:color w:val="auto"/>
          <w:sz w:val="32"/>
          <w:highlight w:val="none"/>
        </w:rPr>
      </w:pPr>
      <w:r>
        <w:rPr>
          <w:rStyle w:val="844"/>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14"/>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14"/>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42"/>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42"/>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697"/>
        </w:trPr>
        <w:tc>
          <w:tcPr>
            <w:tcW w:w="2377" w:type="dxa"/>
            <w:vAlign w:val="center"/>
            <w:textDirection w:val="lrTb"/>
            <w:noWrap w:val="false"/>
          </w:tcPr>
          <w:p>
            <w:pPr>
              <w:pStyle w:val="814"/>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814"/>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98"/>
        <w:numPr>
          <w:ilvl w:val="0"/>
          <w:numId w:val="0"/>
        </w:numPr>
        <w:ind w:left="2100"/>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808"/>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pStyle w:val="799"/>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5" w:name="_Toc113352361"/>
      <w:r>
        <w:rPr>
          <w:rFonts w:hint="eastAsia" w:ascii="宋体" w:hAnsi="宋体"/>
          <w:b w:val="0"/>
          <w:color w:val="auto"/>
          <w:sz w:val="32"/>
          <w:highlight w:val="none"/>
        </w:rPr>
        <w:t xml:space="preserve">五、分项报价表</w:t>
      </w:r>
      <w:bookmarkEnd w:id="35"/>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6" w:name="_Hlt26955054"/>
      <w:r/>
      <w:bookmarkEnd w:id="36"/>
      <w:r/>
      <w:bookmarkStart w:id="37" w:name="_Toc113352363"/>
      <w:r>
        <w:rPr>
          <w:rFonts w:hint="eastAsia" w:ascii="宋体" w:hAnsi="宋体"/>
          <w:b/>
          <w:color w:val="auto"/>
          <w:sz w:val="32"/>
          <w:szCs w:val="32"/>
          <w:highlight w:val="none"/>
        </w:rPr>
        <w:t xml:space="preserve">七、商务条款响应及偏离表</w:t>
      </w:r>
      <w:bookmarkEnd w:id="37"/>
      <w:r/>
      <w:r/>
    </w:p>
    <w:tbl>
      <w:tblPr>
        <w:tblStyle w:val="807"/>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08"/>
        <w:ind w:firstLine="480"/>
        <w:rPr>
          <w:rFonts w:hint="eastAsia" w:ascii="宋体" w:hAnsi="宋体"/>
          <w:color w:val="auto"/>
          <w:sz w:val="24"/>
          <w:highlight w:val="none"/>
        </w:rPr>
      </w:pPr>
      <w:r/>
      <w:bookmarkStart w:id="38" w:name="_Hlt26955066"/>
      <w:r/>
      <w:bookmarkEnd w:id="38"/>
      <w:r/>
      <w:bookmarkStart w:id="39" w:name="_Hlt26671374"/>
      <w:r/>
      <w:bookmarkEnd w:id="39"/>
      <w:r/>
      <w:bookmarkStart w:id="40" w:name="_Hlt26609389"/>
      <w:r/>
      <w:bookmarkEnd w:id="40"/>
      <w:r/>
      <w:bookmarkStart w:id="41" w:name="_Toc462564146"/>
      <w:r/>
      <w:r/>
    </w:p>
    <w:p>
      <w:pPr>
        <w:pStyle w:val="808"/>
        <w:ind w:firstLine="480"/>
        <w:rPr>
          <w:rFonts w:hint="eastAsia" w:ascii="宋体" w:hAnsi="宋体"/>
          <w:color w:val="auto"/>
          <w:sz w:val="24"/>
          <w:highlight w:val="none"/>
        </w:rPr>
      </w:pPr>
      <w:r>
        <w:rPr>
          <w:rFonts w:hint="eastAsia" w:ascii="宋体" w:hAnsi="宋体"/>
          <w:color w:val="auto"/>
          <w:sz w:val="24"/>
          <w:highlight w:val="none"/>
        </w:rPr>
      </w:r>
      <w:r/>
    </w:p>
    <w:p>
      <w:pPr>
        <w:pStyle w:val="808"/>
        <w:ind w:firstLine="480"/>
        <w:rPr>
          <w:rFonts w:hint="eastAsia" w:ascii="宋体" w:hAnsi="宋体"/>
          <w:color w:val="auto"/>
          <w:sz w:val="24"/>
          <w:highlight w:val="none"/>
        </w:rPr>
      </w:pPr>
      <w:r>
        <w:rPr>
          <w:rFonts w:hint="eastAsia" w:ascii="宋体" w:hAnsi="宋体"/>
          <w:color w:val="auto"/>
          <w:sz w:val="24"/>
          <w:highlight w:val="none"/>
        </w:rPr>
      </w:r>
      <w:r/>
    </w:p>
    <w:p>
      <w:pPr>
        <w:pStyle w:val="808"/>
        <w:ind w:firstLine="480"/>
        <w:rPr>
          <w:rFonts w:hint="eastAsia" w:ascii="宋体" w:hAnsi="宋体"/>
          <w:color w:val="auto"/>
          <w:sz w:val="24"/>
          <w:highlight w:val="none"/>
        </w:rPr>
      </w:pPr>
      <w:r>
        <w:rPr>
          <w:rFonts w:hint="eastAsia" w:ascii="宋体" w:hAnsi="宋体"/>
          <w:color w:val="auto"/>
          <w:sz w:val="24"/>
          <w:highlight w:val="none"/>
        </w:rPr>
      </w:r>
      <w:r/>
    </w:p>
    <w:p>
      <w:pPr>
        <w:pStyle w:val="808"/>
        <w:ind w:firstLine="480"/>
        <w:rPr>
          <w:rFonts w:hint="eastAsia" w:ascii="宋体" w:hAnsi="宋体"/>
          <w:color w:val="auto"/>
          <w:sz w:val="24"/>
          <w:highlight w:val="none"/>
        </w:rPr>
      </w:pPr>
      <w:r>
        <w:rPr>
          <w:rFonts w:hint="eastAsia" w:ascii="宋体" w:hAnsi="宋体"/>
          <w:color w:val="auto"/>
          <w:sz w:val="24"/>
          <w:highlight w:val="none"/>
        </w:rPr>
        <w:t xml:space="preserve">.</w:t>
      </w:r>
      <w:r/>
    </w:p>
    <w:p>
      <w:pPr>
        <w:pStyle w:val="808"/>
        <w:ind w:firstLine="480"/>
        <w:rPr>
          <w:rFonts w:hint="eastAsia" w:ascii="宋体" w:hAnsi="宋体"/>
          <w:color w:val="auto"/>
          <w:sz w:val="24"/>
          <w:highlight w:val="none"/>
        </w:rPr>
      </w:pPr>
      <w:r>
        <w:rPr>
          <w:rFonts w:hint="eastAsia" w:ascii="宋体" w:hAnsi="宋体"/>
          <w:color w:val="auto"/>
          <w:sz w:val="24"/>
          <w:highlight w:val="none"/>
        </w:rPr>
      </w:r>
      <w:r/>
    </w:p>
    <w:p>
      <w:pPr>
        <w:pStyle w:val="808"/>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08"/>
        <w:ind w:firstLine="480"/>
        <w:rPr>
          <w:rFonts w:hint="eastAsia" w:ascii="宋体" w:hAnsi="宋体"/>
          <w:color w:val="auto"/>
          <w:sz w:val="24"/>
          <w:highlight w:val="none"/>
        </w:rPr>
      </w:pPr>
      <w:r>
        <w:rPr>
          <w:rFonts w:hint="eastAsia" w:ascii="宋体" w:hAnsi="宋体"/>
          <w:b/>
          <w:color w:val="auto"/>
          <w:sz w:val="32"/>
          <w:szCs w:val="32"/>
          <w:highlight w:val="none"/>
        </w:rPr>
        <w:br w:type="page" w:clear="all"/>
      </w:r>
      <w:bookmarkEnd w:id="41"/>
      <w:r/>
      <w:r/>
    </w:p>
    <w:p>
      <w:pPr>
        <w:pStyle w:val="808"/>
        <w:ind w:firstLine="480"/>
        <w:rPr>
          <w:rFonts w:hint="eastAsia" w:ascii="宋体" w:hAnsi="宋体"/>
          <w:color w:val="auto"/>
          <w:sz w:val="24"/>
          <w:highlight w:val="none"/>
        </w:rPr>
      </w:pPr>
      <w:r>
        <w:rPr>
          <w:rFonts w:hint="eastAsia" w:ascii="宋体" w:hAnsi="宋体"/>
          <w:color w:val="auto"/>
          <w:sz w:val="24"/>
          <w:highlight w:val="none"/>
        </w:rPr>
      </w:r>
      <w:r/>
    </w:p>
    <w:p>
      <w:pPr>
        <w:jc w:val="center"/>
        <w:widowControl/>
        <w:rPr>
          <w:rFonts w:hint="eastAsia" w:ascii="宋体" w:hAnsi="宋体"/>
          <w:b/>
          <w:color w:val="auto"/>
          <w:highlight w:val="none"/>
        </w:rPr>
      </w:pPr>
      <w:r/>
      <w:bookmarkStart w:id="42" w:name="_格式2__法定代表人授权书"/>
      <w:r/>
      <w:bookmarkEnd w:id="42"/>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rFonts w:hint="eastAsia" w:ascii="宋体" w:hAnsi="宋体" w:cs="宋体"/>
        <w:lang w:eastAsia="zh-CN"/>
      </w:rPr>
      <w:t xml:space="preserve">JSZC-321000-JSWC-G2025-0091</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rFonts w:hint="eastAsia" w:ascii="宋体" w:hAnsi="宋体" w:cs="宋体"/>
        <w:lang w:eastAsia="zh-CN"/>
      </w:rPr>
      <w:t xml:space="preserve">JSZC-321000-JSWC-G2025-0091</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Bdr>
        <w:bottom w:val="single" w:color="auto" w:sz="4" w:space="1"/>
      </w:pBdr>
    </w:pPr>
    <w:r>
      <w:rPr>
        <w:rFonts w:hint="eastAsia"/>
        <w:lang w:eastAsia="zh-CN"/>
      </w:rPr>
      <w:t xml:space="preserve">JSZC-321000-JSWC-G2025-0091</w:t>
    </w:r>
    <w:r>
      <w:rPr>
        <w:rFonts w:hint="eastAsia"/>
      </w:rPr>
      <w:t xml:space="preserve">号                                      江苏唯诚建设咨询有限公司</w:t>
    </w:r>
    <w:r/>
  </w:p>
  <w:p>
    <w:pPr>
      <w:pStyle w:val="8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43"/>
      <w:isLgl/>
      <w:suff w:val="tab"/>
      <w:lvlText w:val="%1.%2"/>
      <w:lvlJc w:val="left"/>
      <w:pPr>
        <w:ind w:left="0" w:firstLine="0"/>
        <w:tabs>
          <w:tab w:val="left" w:pos="851" w:leader="none"/>
        </w:tabs>
      </w:pPr>
    </w:lvl>
    <w:lvl w:ilvl="2">
      <w:start w:val="1"/>
      <w:numFmt w:val="decimal"/>
      <w:pStyle w:val="112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2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98"/>
      <w:isLgl w:val="false"/>
      <w:suff w:val="space"/>
      <w:lvlText w:val="%1.%2"/>
      <w:lvlJc w:val="left"/>
      <w:pPr>
        <w:ind w:left="851" w:hanging="567"/>
      </w:pPr>
      <w:rPr>
        <w:rFonts w:hint="default" w:ascii="Arial" w:hAnsi="Arial" w:eastAsia="黑体"/>
        <w:b/>
        <w:i w:val="0"/>
        <w:sz w:val="28"/>
        <w:szCs w:val="28"/>
      </w:rPr>
    </w:lvl>
    <w:lvl w:ilvl="2">
      <w:start w:val="1"/>
      <w:numFmt w:val="decimal"/>
      <w:pStyle w:val="799"/>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13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5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7">
    <w:name w:val="Heading 1"/>
    <w:basedOn w:val="796"/>
    <w:next w:val="796"/>
    <w:link w:val="1037"/>
    <w:uiPriority w:val="9"/>
    <w:qFormat/>
    <w:pPr>
      <w:keepLines/>
      <w:keepNext/>
      <w:spacing w:before="340" w:after="330" w:line="578" w:lineRule="auto"/>
      <w:outlineLvl w:val="0"/>
    </w:pPr>
    <w:rPr>
      <w:b/>
      <w:bCs/>
      <w:sz w:val="44"/>
      <w:szCs w:val="44"/>
    </w:rPr>
  </w:style>
  <w:style w:type="paragraph" w:styleId="798">
    <w:name w:val="Heading 2"/>
    <w:basedOn w:val="796"/>
    <w:next w:val="808"/>
    <w:link w:val="1038"/>
    <w:uiPriority w:val="9"/>
    <w:qFormat/>
    <w:pPr>
      <w:numPr>
        <w:ilvl w:val="1"/>
        <w:numId w:val="1"/>
      </w:numPr>
      <w:jc w:val="left"/>
      <w:keepLines/>
      <w:keepNext/>
      <w:spacing w:before="312" w:after="312"/>
      <w:outlineLvl w:val="1"/>
    </w:pPr>
    <w:rPr>
      <w:rFonts w:ascii="Arial" w:hAnsi="Arial"/>
      <w:b/>
      <w:bCs/>
      <w:sz w:val="28"/>
      <w:szCs w:val="36"/>
    </w:rPr>
  </w:style>
  <w:style w:type="paragraph" w:styleId="799">
    <w:name w:val="Heading 3"/>
    <w:basedOn w:val="796"/>
    <w:next w:val="796"/>
    <w:link w:val="1040"/>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00">
    <w:name w:val="Heading 4"/>
    <w:basedOn w:val="796"/>
    <w:next w:val="796"/>
    <w:link w:val="1041"/>
    <w:uiPriority w:val="0"/>
    <w:qFormat/>
    <w:pPr>
      <w:spacing w:before="280" w:after="290" w:line="377" w:lineRule="auto"/>
      <w:outlineLvl w:val="3"/>
    </w:pPr>
    <w:rPr>
      <w:rFonts w:ascii="Arial" w:hAnsi="Arial" w:eastAsia="黑体"/>
      <w:b/>
      <w:bCs/>
      <w:sz w:val="28"/>
      <w:szCs w:val="28"/>
    </w:rPr>
  </w:style>
  <w:style w:type="paragraph" w:styleId="801">
    <w:name w:val="Heading 5"/>
    <w:basedOn w:val="796"/>
    <w:next w:val="796"/>
    <w:link w:val="1042"/>
    <w:uiPriority w:val="0"/>
    <w:qFormat/>
    <w:pPr>
      <w:keepLines/>
      <w:keepNext/>
      <w:spacing w:before="280" w:after="290" w:line="376" w:lineRule="auto"/>
      <w:outlineLvl w:val="4"/>
    </w:pPr>
    <w:rPr>
      <w:rFonts w:ascii="Calibri" w:hAnsi="Calibri"/>
      <w:b/>
      <w:bCs/>
      <w:sz w:val="28"/>
      <w:szCs w:val="28"/>
    </w:rPr>
  </w:style>
  <w:style w:type="paragraph" w:styleId="802">
    <w:name w:val="Heading 6"/>
    <w:basedOn w:val="796"/>
    <w:next w:val="796"/>
    <w:link w:val="1043"/>
    <w:uiPriority w:val="0"/>
    <w:qFormat/>
    <w:pPr>
      <w:ind w:left="1152" w:hanging="1152"/>
      <w:keepLines/>
      <w:keepNext/>
      <w:spacing w:before="240" w:after="64" w:line="320" w:lineRule="auto"/>
      <w:outlineLvl w:val="5"/>
    </w:pPr>
    <w:rPr>
      <w:rFonts w:ascii="Cambria" w:hAnsi="Cambria"/>
      <w:b/>
      <w:bCs/>
      <w:sz w:val="24"/>
      <w:szCs w:val="24"/>
    </w:rPr>
  </w:style>
  <w:style w:type="paragraph" w:styleId="803">
    <w:name w:val="Heading 7"/>
    <w:basedOn w:val="796"/>
    <w:next w:val="796"/>
    <w:link w:val="1044"/>
    <w:uiPriority w:val="0"/>
    <w:qFormat/>
    <w:pPr>
      <w:ind w:left="1296" w:hanging="1296"/>
      <w:keepLines/>
      <w:keepNext/>
      <w:spacing w:before="240" w:after="64" w:line="320" w:lineRule="auto"/>
      <w:outlineLvl w:val="6"/>
    </w:pPr>
    <w:rPr>
      <w:b/>
      <w:bCs/>
      <w:sz w:val="24"/>
      <w:szCs w:val="24"/>
    </w:rPr>
  </w:style>
  <w:style w:type="paragraph" w:styleId="804">
    <w:name w:val="Heading 8"/>
    <w:basedOn w:val="796"/>
    <w:next w:val="796"/>
    <w:link w:val="1045"/>
    <w:uiPriority w:val="0"/>
    <w:qFormat/>
    <w:pPr>
      <w:ind w:left="1440" w:hanging="1440"/>
      <w:keepLines/>
      <w:keepNext/>
      <w:spacing w:before="240" w:after="64" w:line="320" w:lineRule="auto"/>
      <w:outlineLvl w:val="7"/>
    </w:pPr>
    <w:rPr>
      <w:rFonts w:ascii="Cambria" w:hAnsi="Cambria"/>
      <w:sz w:val="24"/>
      <w:szCs w:val="24"/>
    </w:rPr>
  </w:style>
  <w:style w:type="paragraph" w:styleId="805">
    <w:name w:val="Heading 9"/>
    <w:basedOn w:val="796"/>
    <w:next w:val="796"/>
    <w:link w:val="1046"/>
    <w:uiPriority w:val="0"/>
    <w:qFormat/>
    <w:pPr>
      <w:ind w:left="1584" w:hanging="1584"/>
      <w:keepLines/>
      <w:keepNext/>
      <w:spacing w:before="240" w:after="64" w:line="320" w:lineRule="auto"/>
      <w:outlineLvl w:val="8"/>
    </w:pPr>
    <w:rPr>
      <w:rFonts w:ascii="Cambria" w:hAnsi="Cambria"/>
      <w:sz w:val="20"/>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Normal Indent"/>
    <w:basedOn w:val="796"/>
    <w:link w:val="1039"/>
    <w:uiPriority w:val="0"/>
    <w:unhideWhenUsed/>
    <w:qFormat/>
    <w:pPr>
      <w:ind w:firstLine="420"/>
    </w:pPr>
  </w:style>
  <w:style w:type="paragraph" w:styleId="809">
    <w:name w:val="toc 7"/>
    <w:basedOn w:val="796"/>
    <w:next w:val="796"/>
    <w:uiPriority w:val="39"/>
    <w:unhideWhenUsed/>
    <w:qFormat/>
    <w:pPr>
      <w:ind w:left="1701"/>
      <w:spacing w:after="57"/>
    </w:pPr>
  </w:style>
  <w:style w:type="paragraph" w:styleId="810">
    <w:name w:val="Caption"/>
    <w:basedOn w:val="796"/>
    <w:next w:val="796"/>
    <w:uiPriority w:val="0"/>
    <w:qFormat/>
    <w:rPr>
      <w:rFonts w:ascii="Arial" w:hAnsi="Arial" w:eastAsia="黑体"/>
      <w:sz w:val="20"/>
    </w:rPr>
  </w:style>
  <w:style w:type="paragraph" w:styleId="811">
    <w:name w:val="Document Map"/>
    <w:basedOn w:val="796"/>
    <w:link w:val="1047"/>
    <w:uiPriority w:val="0"/>
    <w:qFormat/>
    <w:rPr>
      <w:rFonts w:ascii="宋体"/>
      <w:sz w:val="18"/>
      <w:szCs w:val="18"/>
    </w:rPr>
  </w:style>
  <w:style w:type="paragraph" w:styleId="812">
    <w:name w:val="annotation text"/>
    <w:basedOn w:val="796"/>
    <w:link w:val="1048"/>
    <w:uiPriority w:val="99"/>
    <w:unhideWhenUsed/>
    <w:qFormat/>
    <w:pPr>
      <w:jc w:val="left"/>
    </w:pPr>
    <w:rPr>
      <w:sz w:val="20"/>
      <w:szCs w:val="24"/>
    </w:rPr>
  </w:style>
  <w:style w:type="paragraph" w:styleId="813">
    <w:name w:val="Body Text 3"/>
    <w:basedOn w:val="796"/>
    <w:link w:val="1049"/>
    <w:uiPriority w:val="0"/>
    <w:qFormat/>
    <w:rPr>
      <w:rFonts w:ascii="宋体"/>
      <w:sz w:val="24"/>
      <w:szCs w:val="20"/>
    </w:rPr>
  </w:style>
  <w:style w:type="paragraph" w:styleId="814">
    <w:name w:val="Body Text"/>
    <w:basedOn w:val="796"/>
    <w:link w:val="1050"/>
    <w:uiPriority w:val="0"/>
    <w:qFormat/>
    <w:rPr>
      <w:rFonts w:ascii="楷体_GB2312" w:hAnsi="Arial" w:eastAsia="楷体_GB2312"/>
      <w:sz w:val="28"/>
      <w:szCs w:val="28"/>
    </w:rPr>
  </w:style>
  <w:style w:type="paragraph" w:styleId="815">
    <w:name w:val="Body Text Indent"/>
    <w:basedOn w:val="796"/>
    <w:next w:val="796"/>
    <w:link w:val="1051"/>
    <w:uiPriority w:val="99"/>
    <w:qFormat/>
    <w:pPr>
      <w:ind w:left="420"/>
      <w:spacing w:after="120"/>
    </w:pPr>
    <w:rPr>
      <w:sz w:val="20"/>
      <w:szCs w:val="24"/>
    </w:rPr>
  </w:style>
  <w:style w:type="paragraph" w:styleId="816">
    <w:name w:val="List Bullet 2"/>
    <w:basedOn w:val="796"/>
    <w:uiPriority w:val="99"/>
    <w:unhideWhenUsed/>
    <w:qFormat/>
    <w:pPr>
      <w:ind w:left="780" w:hanging="360"/>
      <w:tabs>
        <w:tab w:val="left" w:pos="780" w:leader="none"/>
      </w:tabs>
    </w:pPr>
  </w:style>
  <w:style w:type="paragraph" w:styleId="817">
    <w:name w:val="toc 5"/>
    <w:basedOn w:val="796"/>
    <w:next w:val="796"/>
    <w:uiPriority w:val="39"/>
    <w:unhideWhenUsed/>
    <w:qFormat/>
    <w:pPr>
      <w:ind w:left="1134"/>
      <w:spacing w:after="57"/>
    </w:pPr>
  </w:style>
  <w:style w:type="paragraph" w:styleId="818">
    <w:name w:val="toc 3"/>
    <w:basedOn w:val="796"/>
    <w:next w:val="796"/>
    <w:uiPriority w:val="39"/>
    <w:unhideWhenUsed/>
    <w:qFormat/>
    <w:pPr>
      <w:ind w:left="840"/>
    </w:pPr>
    <w:rPr>
      <w:rFonts w:ascii="Calibri" w:hAnsi="Calibri"/>
    </w:rPr>
  </w:style>
  <w:style w:type="paragraph" w:styleId="819">
    <w:name w:val="Plain Text"/>
    <w:basedOn w:val="796"/>
    <w:link w:val="1052"/>
    <w:uiPriority w:val="0"/>
    <w:qFormat/>
    <w:rPr>
      <w:rFonts w:ascii="宋体" w:hAnsi="Courier New"/>
      <w:sz w:val="20"/>
      <w:szCs w:val="21"/>
    </w:rPr>
  </w:style>
  <w:style w:type="paragraph" w:styleId="820">
    <w:name w:val="toc 8"/>
    <w:basedOn w:val="796"/>
    <w:next w:val="796"/>
    <w:uiPriority w:val="39"/>
    <w:unhideWhenUsed/>
    <w:qFormat/>
    <w:pPr>
      <w:ind w:left="1984"/>
      <w:spacing w:after="57"/>
    </w:pPr>
  </w:style>
  <w:style w:type="paragraph" w:styleId="821">
    <w:name w:val="Body Text Indent 2"/>
    <w:basedOn w:val="796"/>
    <w:link w:val="1053"/>
    <w:uiPriority w:val="0"/>
    <w:qFormat/>
    <w:pPr>
      <w:ind w:firstLine="562"/>
      <w:spacing w:line="480" w:lineRule="exact"/>
    </w:pPr>
    <w:rPr>
      <w:rFonts w:ascii="楷体_GB2312" w:eastAsia="楷体_GB2312"/>
      <w:b/>
      <w:bCs/>
      <w:sz w:val="28"/>
      <w:szCs w:val="24"/>
    </w:rPr>
  </w:style>
  <w:style w:type="paragraph" w:styleId="822">
    <w:name w:val="endnote text"/>
    <w:basedOn w:val="796"/>
    <w:link w:val="1028"/>
    <w:uiPriority w:val="99"/>
    <w:semiHidden/>
    <w:unhideWhenUsed/>
    <w:qFormat/>
    <w:rPr>
      <w:sz w:val="20"/>
    </w:rPr>
  </w:style>
  <w:style w:type="paragraph" w:styleId="823">
    <w:name w:val="Balloon Text"/>
    <w:basedOn w:val="796"/>
    <w:link w:val="1054"/>
    <w:uiPriority w:val="99"/>
    <w:unhideWhenUsed/>
    <w:qFormat/>
    <w:rPr>
      <w:sz w:val="18"/>
      <w:szCs w:val="18"/>
    </w:rPr>
  </w:style>
  <w:style w:type="paragraph" w:styleId="824">
    <w:name w:val="Footer"/>
    <w:basedOn w:val="796"/>
    <w:link w:val="1055"/>
    <w:uiPriority w:val="99"/>
    <w:unhideWhenUsed/>
    <w:qFormat/>
    <w:pPr>
      <w:jc w:val="left"/>
      <w:tabs>
        <w:tab w:val="center" w:pos="4153" w:leader="none"/>
        <w:tab w:val="right" w:pos="8306" w:leader="none"/>
      </w:tabs>
    </w:pPr>
    <w:rPr>
      <w:sz w:val="18"/>
      <w:szCs w:val="18"/>
    </w:rPr>
  </w:style>
  <w:style w:type="paragraph" w:styleId="825">
    <w:name w:val="envelope return"/>
    <w:basedOn w:val="796"/>
    <w:uiPriority w:val="0"/>
    <w:qFormat/>
    <w:rPr>
      <w:rFonts w:ascii="Arial" w:hAnsi="Arial"/>
    </w:rPr>
  </w:style>
  <w:style w:type="paragraph" w:styleId="826">
    <w:name w:val="Header"/>
    <w:basedOn w:val="796"/>
    <w:link w:val="10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7">
    <w:name w:val="toc 1"/>
    <w:basedOn w:val="796"/>
    <w:next w:val="796"/>
    <w:uiPriority w:val="39"/>
    <w:unhideWhenUsed/>
    <w:qFormat/>
    <w:rPr>
      <w:rFonts w:ascii="Calibri" w:hAnsi="Calibri"/>
    </w:rPr>
  </w:style>
  <w:style w:type="paragraph" w:styleId="828">
    <w:name w:val="toc 4"/>
    <w:basedOn w:val="796"/>
    <w:next w:val="796"/>
    <w:uiPriority w:val="39"/>
    <w:unhideWhenUsed/>
    <w:qFormat/>
    <w:pPr>
      <w:ind w:left="850"/>
      <w:spacing w:after="57"/>
    </w:pPr>
  </w:style>
  <w:style w:type="paragraph" w:styleId="829">
    <w:name w:val="Subtitle"/>
    <w:basedOn w:val="796"/>
    <w:next w:val="796"/>
    <w:link w:val="894"/>
    <w:uiPriority w:val="11"/>
    <w:qFormat/>
    <w:pPr>
      <w:spacing w:before="200" w:after="200"/>
    </w:pPr>
    <w:rPr>
      <w:sz w:val="24"/>
      <w:szCs w:val="24"/>
    </w:rPr>
  </w:style>
  <w:style w:type="paragraph" w:styleId="830">
    <w:name w:val="List"/>
    <w:basedOn w:val="796"/>
    <w:uiPriority w:val="99"/>
    <w:qFormat/>
    <w:pPr>
      <w:ind w:left="200" w:hanging="200"/>
    </w:pPr>
    <w:rPr>
      <w:szCs w:val="24"/>
    </w:rPr>
  </w:style>
  <w:style w:type="paragraph" w:styleId="831">
    <w:name w:val="footnote text"/>
    <w:basedOn w:val="796"/>
    <w:link w:val="1027"/>
    <w:uiPriority w:val="99"/>
    <w:semiHidden/>
    <w:unhideWhenUsed/>
    <w:qFormat/>
    <w:pPr>
      <w:spacing w:after="40"/>
    </w:pPr>
    <w:rPr>
      <w:sz w:val="18"/>
    </w:rPr>
  </w:style>
  <w:style w:type="paragraph" w:styleId="832">
    <w:name w:val="toc 6"/>
    <w:basedOn w:val="796"/>
    <w:next w:val="796"/>
    <w:uiPriority w:val="39"/>
    <w:unhideWhenUsed/>
    <w:qFormat/>
    <w:pPr>
      <w:ind w:left="1417"/>
      <w:spacing w:after="57"/>
    </w:pPr>
  </w:style>
  <w:style w:type="paragraph" w:styleId="833">
    <w:name w:val="Body Text Indent 3"/>
    <w:basedOn w:val="796"/>
    <w:uiPriority w:val="0"/>
    <w:qFormat/>
    <w:pPr>
      <w:ind w:left="3599" w:hanging="3599"/>
    </w:pPr>
    <w:rPr>
      <w:sz w:val="21"/>
      <w:szCs w:val="24"/>
    </w:rPr>
  </w:style>
  <w:style w:type="paragraph" w:styleId="834">
    <w:name w:val="table of figures"/>
    <w:basedOn w:val="796"/>
    <w:next w:val="796"/>
    <w:uiPriority w:val="0"/>
    <w:semiHidden/>
    <w:qFormat/>
    <w:pPr>
      <w:ind w:left="840" w:hanging="420"/>
      <w:spacing w:before="156" w:after="156"/>
    </w:pPr>
    <w:rPr>
      <w:sz w:val="24"/>
      <w:szCs w:val="24"/>
    </w:rPr>
  </w:style>
  <w:style w:type="paragraph" w:styleId="835">
    <w:name w:val="toc 2"/>
    <w:basedOn w:val="796"/>
    <w:next w:val="796"/>
    <w:uiPriority w:val="39"/>
    <w:unhideWhenUsed/>
    <w:qFormat/>
    <w:pPr>
      <w:ind w:left="420"/>
    </w:pPr>
    <w:rPr>
      <w:rFonts w:ascii="Calibri" w:hAnsi="Calibri"/>
    </w:rPr>
  </w:style>
  <w:style w:type="paragraph" w:styleId="836">
    <w:name w:val="toc 9"/>
    <w:basedOn w:val="796"/>
    <w:next w:val="796"/>
    <w:uiPriority w:val="0"/>
    <w:semiHidden/>
    <w:qFormat/>
    <w:pPr>
      <w:ind w:left="3360"/>
    </w:pPr>
  </w:style>
  <w:style w:type="paragraph" w:styleId="837">
    <w:name w:val="Body Text 2"/>
    <w:basedOn w:val="796"/>
    <w:uiPriority w:val="0"/>
    <w:qFormat/>
    <w:pPr>
      <w:spacing w:after="120" w:line="480" w:lineRule="auto"/>
    </w:pPr>
  </w:style>
  <w:style w:type="paragraph" w:styleId="838">
    <w:name w:val="Normal (Web)"/>
    <w:basedOn w:val="796"/>
    <w:uiPriority w:val="99"/>
    <w:unhideWhenUsed/>
    <w:qFormat/>
    <w:rPr>
      <w:sz w:val="24"/>
    </w:rPr>
  </w:style>
  <w:style w:type="paragraph" w:styleId="839">
    <w:name w:val="Title"/>
    <w:basedOn w:val="796"/>
    <w:next w:val="796"/>
    <w:link w:val="893"/>
    <w:uiPriority w:val="10"/>
    <w:qFormat/>
    <w:pPr>
      <w:contextualSpacing/>
      <w:spacing w:before="300" w:after="200"/>
    </w:pPr>
    <w:rPr>
      <w:sz w:val="48"/>
      <w:szCs w:val="48"/>
    </w:rPr>
  </w:style>
  <w:style w:type="paragraph" w:styleId="840">
    <w:name w:val="annotation subject"/>
    <w:basedOn w:val="812"/>
    <w:next w:val="812"/>
    <w:link w:val="1057"/>
    <w:uiPriority w:val="99"/>
    <w:unhideWhenUsed/>
    <w:qFormat/>
    <w:rPr>
      <w:b/>
      <w:bCs/>
      <w:szCs w:val="20"/>
    </w:rPr>
  </w:style>
  <w:style w:type="paragraph" w:styleId="841">
    <w:name w:val="Body Text First Indent"/>
    <w:basedOn w:val="814"/>
    <w:uiPriority w:val="0"/>
    <w:qFormat/>
    <w:pPr>
      <w:ind w:left="300" w:firstLine="420"/>
      <w:spacing w:after="120"/>
    </w:pPr>
    <w:rPr>
      <w:rFonts w:ascii="宋体" w:hAnsi="Verdana"/>
      <w:lang w:val="en-GB"/>
    </w:rPr>
  </w:style>
  <w:style w:type="paragraph" w:styleId="842">
    <w:name w:val="Body Text First Indent 2"/>
    <w:basedOn w:val="815"/>
    <w:link w:val="1058"/>
    <w:uiPriority w:val="99"/>
    <w:qFormat/>
    <w:pPr>
      <w:ind w:firstLine="420"/>
    </w:pPr>
  </w:style>
  <w:style w:type="table" w:styleId="843">
    <w:name w:val="Table Grid"/>
    <w:basedOn w:val="807"/>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22"/>
    <w:qFormat/>
    <w:rPr>
      <w:rFonts w:ascii="Tahoma" w:hAnsi="Tahoma" w:eastAsia="宋体"/>
      <w:b/>
      <w:bCs/>
      <w:spacing w:val="10"/>
      <w:sz w:val="24"/>
      <w:lang w:val="en-US" w:eastAsia="zh-CN" w:bidi="ar-SA"/>
    </w:rPr>
  </w:style>
  <w:style w:type="character" w:styleId="845">
    <w:name w:val="endnote reference"/>
    <w:basedOn w:val="806"/>
    <w:uiPriority w:val="99"/>
    <w:semiHidden/>
    <w:unhideWhenUsed/>
    <w:qFormat/>
    <w:rPr>
      <w:vertAlign w:val="superscript"/>
    </w:rPr>
  </w:style>
  <w:style w:type="character" w:styleId="846">
    <w:name w:val="page number"/>
    <w:uiPriority w:val="0"/>
    <w:qFormat/>
  </w:style>
  <w:style w:type="character" w:styleId="847">
    <w:name w:val="FollowedHyperlink"/>
    <w:uiPriority w:val="99"/>
    <w:unhideWhenUsed/>
    <w:qFormat/>
    <w:rPr>
      <w:color w:val="333333"/>
      <w:u w:val="none"/>
    </w:rPr>
  </w:style>
  <w:style w:type="character" w:styleId="848">
    <w:name w:val="Emphasis"/>
    <w:uiPriority w:val="0"/>
    <w:qFormat/>
    <w:rPr>
      <w:rFonts w:ascii="Times New Roman" w:hAnsi="Times New Roman"/>
      <w:i/>
      <w:iCs/>
      <w:sz w:val="21"/>
      <w:szCs w:val="20"/>
    </w:rPr>
  </w:style>
  <w:style w:type="character" w:styleId="849">
    <w:name w:val="HTML Definition"/>
    <w:uiPriority w:val="99"/>
    <w:unhideWhenUsed/>
    <w:qFormat/>
    <w:rPr>
      <w:i/>
    </w:rPr>
  </w:style>
  <w:style w:type="character" w:styleId="850">
    <w:name w:val="Hyperlink"/>
    <w:uiPriority w:val="99"/>
    <w:unhideWhenUsed/>
    <w:qFormat/>
    <w:rPr>
      <w:color w:val="333333"/>
      <w:u w:val="none"/>
    </w:rPr>
  </w:style>
  <w:style w:type="character" w:styleId="851">
    <w:name w:val="HTML Code"/>
    <w:uiPriority w:val="99"/>
    <w:unhideWhenUsed/>
    <w:qFormat/>
    <w:rPr>
      <w:rFonts w:ascii="Consolas" w:hAnsi="Consolas" w:eastAsia="Consolas" w:cs="Consolas"/>
      <w:color w:val="c7254e"/>
      <w:sz w:val="21"/>
      <w:szCs w:val="21"/>
      <w:shd w:val="clear" w:color="auto" w:fill="f9f2f4"/>
    </w:rPr>
  </w:style>
  <w:style w:type="character" w:styleId="852">
    <w:name w:val="annotation reference"/>
    <w:uiPriority w:val="99"/>
    <w:unhideWhenUsed/>
    <w:qFormat/>
    <w:rPr>
      <w:sz w:val="21"/>
      <w:szCs w:val="21"/>
    </w:rPr>
  </w:style>
  <w:style w:type="character" w:styleId="853">
    <w:name w:val="footnote reference"/>
    <w:basedOn w:val="806"/>
    <w:uiPriority w:val="99"/>
    <w:unhideWhenUsed/>
    <w:qFormat/>
    <w:rPr>
      <w:vertAlign w:val="superscript"/>
    </w:rPr>
  </w:style>
  <w:style w:type="character" w:styleId="854">
    <w:name w:val="HTML Keyboard"/>
    <w:uiPriority w:val="99"/>
    <w:unhideWhenUsed/>
    <w:qFormat/>
    <w:rPr>
      <w:rFonts w:hint="default" w:ascii="Consolas" w:hAnsi="Consolas" w:eastAsia="Consolas" w:cs="Consolas"/>
      <w:color w:val="ffffff"/>
      <w:sz w:val="21"/>
      <w:szCs w:val="21"/>
      <w:shd w:val="clear" w:color="auto" w:fill="333333"/>
    </w:rPr>
  </w:style>
  <w:style w:type="character" w:styleId="855">
    <w:name w:val="HTML Sample"/>
    <w:uiPriority w:val="99"/>
    <w:unhideWhenUsed/>
    <w:qFormat/>
    <w:rPr>
      <w:rFonts w:hint="default" w:ascii="Consolas" w:hAnsi="Consolas" w:eastAsia="Consolas" w:cs="Consolas"/>
      <w:sz w:val="21"/>
      <w:szCs w:val="21"/>
    </w:rPr>
  </w:style>
  <w:style w:type="character" w:styleId="856" w:customStyle="1">
    <w:name w:val="Title Char"/>
    <w:basedOn w:val="806"/>
    <w:uiPriority w:val="10"/>
    <w:qFormat/>
    <w:rPr>
      <w:sz w:val="48"/>
      <w:szCs w:val="48"/>
    </w:rPr>
  </w:style>
  <w:style w:type="character" w:styleId="857" w:customStyle="1">
    <w:name w:val="Subtitle Char"/>
    <w:basedOn w:val="806"/>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table" w:styleId="860"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ListBullet21"/>
    <w:basedOn w:val="796"/>
    <w:uiPriority w:val="0"/>
    <w:qFormat/>
    <w:pPr>
      <w:numPr>
        <w:ilvl w:val="0"/>
        <w:numId w:val="2"/>
      </w:numPr>
    </w:pPr>
  </w:style>
  <w:style w:type="character" w:styleId="883" w:customStyle="1">
    <w:name w:val="Heading 1 Char"/>
    <w:basedOn w:val="806"/>
    <w:uiPriority w:val="9"/>
    <w:qFormat/>
    <w:rPr>
      <w:rFonts w:ascii="Arial" w:hAnsi="Arial" w:eastAsia="Arial" w:cs="Arial"/>
      <w:sz w:val="40"/>
      <w:szCs w:val="40"/>
    </w:rPr>
  </w:style>
  <w:style w:type="character" w:styleId="884" w:customStyle="1">
    <w:name w:val="Heading 2 Char"/>
    <w:basedOn w:val="806"/>
    <w:uiPriority w:val="9"/>
    <w:qFormat/>
    <w:rPr>
      <w:rFonts w:ascii="Arial" w:hAnsi="Arial" w:eastAsia="Arial" w:cs="Arial"/>
      <w:sz w:val="34"/>
    </w:rPr>
  </w:style>
  <w:style w:type="character" w:styleId="885" w:customStyle="1">
    <w:name w:val="Heading 3 Char"/>
    <w:basedOn w:val="806"/>
    <w:uiPriority w:val="9"/>
    <w:qFormat/>
    <w:rPr>
      <w:rFonts w:ascii="Arial" w:hAnsi="Arial" w:eastAsia="Arial" w:cs="Arial"/>
      <w:sz w:val="30"/>
      <w:szCs w:val="30"/>
    </w:rPr>
  </w:style>
  <w:style w:type="character" w:styleId="886" w:customStyle="1">
    <w:name w:val="Heading 4 Char"/>
    <w:basedOn w:val="806"/>
    <w:uiPriority w:val="9"/>
    <w:qFormat/>
    <w:rPr>
      <w:rFonts w:ascii="Arial" w:hAnsi="Arial" w:eastAsia="Arial" w:cs="Arial"/>
      <w:b/>
      <w:bCs/>
      <w:sz w:val="26"/>
      <w:szCs w:val="26"/>
    </w:rPr>
  </w:style>
  <w:style w:type="character" w:styleId="887" w:customStyle="1">
    <w:name w:val="Heading 5 Char"/>
    <w:basedOn w:val="806"/>
    <w:uiPriority w:val="9"/>
    <w:qFormat/>
    <w:rPr>
      <w:rFonts w:ascii="Arial" w:hAnsi="Arial" w:eastAsia="Arial" w:cs="Arial"/>
      <w:b/>
      <w:bCs/>
      <w:sz w:val="24"/>
      <w:szCs w:val="24"/>
    </w:rPr>
  </w:style>
  <w:style w:type="character" w:styleId="888" w:customStyle="1">
    <w:name w:val="Heading 6 Char"/>
    <w:basedOn w:val="806"/>
    <w:uiPriority w:val="9"/>
    <w:qFormat/>
    <w:rPr>
      <w:rFonts w:ascii="Arial" w:hAnsi="Arial" w:eastAsia="Arial" w:cs="Arial"/>
      <w:b/>
      <w:bCs/>
      <w:sz w:val="22"/>
      <w:szCs w:val="22"/>
    </w:rPr>
  </w:style>
  <w:style w:type="character" w:styleId="889" w:customStyle="1">
    <w:name w:val="Heading 8 Char"/>
    <w:basedOn w:val="806"/>
    <w:uiPriority w:val="9"/>
    <w:qFormat/>
    <w:rPr>
      <w:rFonts w:ascii="Arial" w:hAnsi="Arial" w:eastAsia="Arial" w:cs="Arial"/>
      <w:i/>
      <w:iCs/>
      <w:sz w:val="22"/>
      <w:szCs w:val="22"/>
    </w:rPr>
  </w:style>
  <w:style w:type="character" w:styleId="890" w:customStyle="1">
    <w:name w:val="Heading 9 Char"/>
    <w:basedOn w:val="806"/>
    <w:uiPriority w:val="9"/>
    <w:qFormat/>
    <w:rPr>
      <w:rFonts w:ascii="Arial" w:hAnsi="Arial" w:eastAsia="Arial" w:cs="Arial"/>
      <w:i/>
      <w:iCs/>
      <w:sz w:val="21"/>
      <w:szCs w:val="21"/>
    </w:rPr>
  </w:style>
  <w:style w:type="paragraph" w:styleId="891">
    <w:name w:val="List Paragraph"/>
    <w:basedOn w:val="796"/>
    <w:uiPriority w:val="34"/>
    <w:qFormat/>
    <w:pPr>
      <w:contextualSpacing/>
      <w:ind w:left="720"/>
    </w:pPr>
  </w:style>
  <w:style w:type="paragraph" w:styleId="892">
    <w:name w:val="No Spacing"/>
    <w:uiPriority w:val="1"/>
    <w:qFormat/>
    <w:rPr>
      <w:rFonts w:hint="default" w:ascii="Times New Roman" w:hAnsi="Times New Roman" w:eastAsia="宋体" w:cs="Times New Roman"/>
      <w:lang w:val="en-US" w:eastAsia="zh-CN" w:bidi="ar-SA"/>
    </w:rPr>
  </w:style>
  <w:style w:type="character" w:styleId="893" w:customStyle="1">
    <w:name w:val="标题 字符"/>
    <w:basedOn w:val="806"/>
    <w:link w:val="839"/>
    <w:uiPriority w:val="10"/>
    <w:qFormat/>
    <w:rPr>
      <w:sz w:val="48"/>
      <w:szCs w:val="48"/>
    </w:rPr>
  </w:style>
  <w:style w:type="character" w:styleId="894" w:customStyle="1">
    <w:name w:val="副标题 字符"/>
    <w:basedOn w:val="806"/>
    <w:link w:val="829"/>
    <w:uiPriority w:val="11"/>
    <w:qFormat/>
    <w:rPr>
      <w:sz w:val="24"/>
      <w:szCs w:val="24"/>
    </w:rPr>
  </w:style>
  <w:style w:type="paragraph" w:styleId="895">
    <w:name w:val="Quote"/>
    <w:basedOn w:val="796"/>
    <w:next w:val="796"/>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796"/>
    <w:next w:val="796"/>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806"/>
    <w:uiPriority w:val="99"/>
    <w:qFormat/>
  </w:style>
  <w:style w:type="character" w:styleId="900" w:customStyle="1">
    <w:name w:val="Footer Char"/>
    <w:basedOn w:val="806"/>
    <w:uiPriority w:val="99"/>
    <w:qFormat/>
  </w:style>
  <w:style w:type="character" w:styleId="901" w:customStyle="1">
    <w:name w:val="Caption Char"/>
    <w:uiPriority w:val="99"/>
    <w:qFormat/>
  </w:style>
  <w:style w:type="table" w:styleId="902"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basedOn w:val="8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basedOn w:val="8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basedOn w:val="8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basedOn w:val="8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basedOn w:val="8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8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basedOn w:val="8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basedOn w:val="8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basedOn w:val="8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basedOn w:val="8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basedOn w:val="8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basedOn w:val="8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basedOn w:val="8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basedOn w:val="8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basedOn w:val="8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basedOn w:val="8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basedOn w:val="8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8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basedOn w:val="8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8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basedOn w:val="8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basedOn w:val="8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basedOn w:val="8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basedOn w:val="8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basedOn w:val="8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清单表 7 彩色1"/>
    <w:basedOn w:val="8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basedOn w:val="8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basedOn w:val="8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basedOn w:val="8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basedOn w:val="8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basedOn w:val="8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字符"/>
    <w:link w:val="831"/>
    <w:uiPriority w:val="99"/>
    <w:qFormat/>
    <w:rPr>
      <w:sz w:val="18"/>
    </w:rPr>
  </w:style>
  <w:style w:type="character" w:styleId="1028" w:customStyle="1">
    <w:name w:val="尾注文本 字符"/>
    <w:link w:val="822"/>
    <w:uiPriority w:val="99"/>
    <w:qFormat/>
    <w:rPr>
      <w:sz w:val="20"/>
    </w:rPr>
  </w:style>
  <w:style w:type="paragraph" w:styleId="1029" w:customStyle="1">
    <w:name w:val="TOC 标题1"/>
    <w:uiPriority w:val="39"/>
    <w:unhideWhenUsed/>
    <w:qFormat/>
    <w:rPr>
      <w:rFonts w:hint="default" w:ascii="Times New Roman" w:hAnsi="Times New Roman" w:eastAsia="宋体" w:cs="Times New Roman"/>
      <w:lang w:val="en-US" w:eastAsia="zh-CN" w:bidi="ar-SA"/>
    </w:rPr>
  </w:style>
  <w:style w:type="paragraph" w:styleId="1030" w:customStyle="1">
    <w:name w:val="正文（缩进）"/>
    <w:basedOn w:val="796"/>
    <w:next w:val="1031"/>
    <w:uiPriority w:val="0"/>
    <w:qFormat/>
    <w:pPr>
      <w:ind w:firstLine="480"/>
    </w:pPr>
  </w:style>
  <w:style w:type="paragraph" w:styleId="1031" w:customStyle="1">
    <w:name w:val="Char Char Char Char Char Char Char Char Char"/>
    <w:basedOn w:val="796"/>
    <w:next w:val="1032"/>
    <w:uiPriority w:val="99"/>
    <w:qFormat/>
    <w:pPr>
      <w:ind w:left="360" w:firstLine="5784"/>
    </w:pPr>
  </w:style>
  <w:style w:type="paragraph" w:styleId="1032" w:customStyle="1">
    <w:name w:val="正文文本 21"/>
    <w:basedOn w:val="796"/>
    <w:next w:val="1033"/>
    <w:uiPriority w:val="99"/>
    <w:qFormat/>
    <w:pPr>
      <w:ind w:left="720" w:firstLine="5680"/>
      <w:widowControl/>
    </w:pPr>
  </w:style>
  <w:style w:type="paragraph" w:styleId="1033" w:customStyle="1">
    <w:name w:val="默认段落字体 Para Char Char Char Char Char Char Char"/>
    <w:basedOn w:val="796"/>
    <w:next w:val="1034"/>
    <w:uiPriority w:val="99"/>
    <w:qFormat/>
    <w:pPr>
      <w:ind w:firstLine="200"/>
    </w:pPr>
    <w:rPr>
      <w:rFonts w:cs="Arial"/>
    </w:rPr>
  </w:style>
  <w:style w:type="paragraph" w:styleId="1034" w:customStyle="1">
    <w:name w:val="样式 首行缩进:  2 字符"/>
    <w:basedOn w:val="796"/>
    <w:next w:val="1035"/>
    <w:uiPriority w:val="99"/>
    <w:qFormat/>
    <w:pPr>
      <w:ind w:left="480" w:firstLine="5856"/>
      <w:spacing w:line="360" w:lineRule="auto"/>
    </w:pPr>
  </w:style>
  <w:style w:type="paragraph" w:styleId="1035" w:customStyle="1">
    <w:name w:val="样式 段后: 0.25 行"/>
    <w:basedOn w:val="796"/>
    <w:next w:val="1036"/>
    <w:uiPriority w:val="99"/>
    <w:qFormat/>
    <w:pPr>
      <w:ind w:left="420" w:firstLine="5796"/>
      <w:spacing w:line="300" w:lineRule="auto"/>
      <w:widowControl/>
    </w:pPr>
  </w:style>
  <w:style w:type="paragraph" w:styleId="1036" w:customStyle="1">
    <w:name w:val="正文 New New New New New New New New New New New New New New"/>
    <w:next w:val="836"/>
    <w:uiPriority w:val="99"/>
    <w:qFormat/>
    <w:pPr>
      <w:ind w:firstLine="2048"/>
      <w:jc w:val="both"/>
      <w:widowControl w:val="off"/>
    </w:pPr>
    <w:rPr>
      <w:rFonts w:hint="default" w:ascii="Calibri" w:hAnsi="Calibri" w:eastAsia="宋体" w:cs="Times New Roman"/>
      <w:lang w:val="en-US" w:eastAsia="zh-CN" w:bidi="ar-SA"/>
    </w:rPr>
  </w:style>
  <w:style w:type="character" w:styleId="1037" w:customStyle="1">
    <w:name w:val="标题 1 字符"/>
    <w:link w:val="797"/>
    <w:uiPriority w:val="9"/>
    <w:qFormat/>
    <w:rPr>
      <w:b/>
      <w:bCs/>
      <w:sz w:val="44"/>
      <w:szCs w:val="44"/>
    </w:rPr>
  </w:style>
  <w:style w:type="character" w:styleId="1038" w:customStyle="1">
    <w:name w:val="标题 2 字符"/>
    <w:link w:val="798"/>
    <w:uiPriority w:val="9"/>
    <w:qFormat/>
    <w:rPr>
      <w:rFonts w:ascii="Arial" w:hAnsi="Arial" w:eastAsia="宋体" w:cs="Times New Roman"/>
      <w:b/>
      <w:bCs/>
      <w:sz w:val="28"/>
      <w:szCs w:val="36"/>
    </w:rPr>
  </w:style>
  <w:style w:type="character" w:styleId="1039" w:customStyle="1">
    <w:name w:val="正文缩进 字符"/>
    <w:link w:val="808"/>
    <w:uiPriority w:val="0"/>
    <w:qFormat/>
  </w:style>
  <w:style w:type="character" w:styleId="1040" w:customStyle="1">
    <w:name w:val="标题 3 字符"/>
    <w:link w:val="799"/>
    <w:uiPriority w:val="0"/>
    <w:qFormat/>
    <w:rPr>
      <w:rFonts w:ascii="Arial" w:hAnsi="Arial" w:eastAsia="黑体" w:cs="Times New Roman"/>
      <w:b/>
      <w:bCs/>
      <w:sz w:val="30"/>
      <w:szCs w:val="32"/>
    </w:rPr>
  </w:style>
  <w:style w:type="character" w:styleId="1041" w:customStyle="1">
    <w:name w:val="标题 4 字符"/>
    <w:link w:val="800"/>
    <w:uiPriority w:val="0"/>
    <w:qFormat/>
    <w:rPr>
      <w:rFonts w:ascii="Arial" w:hAnsi="Arial" w:eastAsia="黑体" w:cs="Arial"/>
      <w:b/>
      <w:bCs/>
      <w:sz w:val="28"/>
      <w:szCs w:val="28"/>
    </w:rPr>
  </w:style>
  <w:style w:type="character" w:styleId="1042" w:customStyle="1">
    <w:name w:val="标题 5 字符1"/>
    <w:link w:val="801"/>
    <w:uiPriority w:val="0"/>
    <w:qFormat/>
    <w:rPr>
      <w:rFonts w:ascii="Calibri" w:hAnsi="Calibri" w:eastAsia="宋体" w:cs="Times New Roman"/>
      <w:b/>
      <w:bCs/>
      <w:sz w:val="28"/>
      <w:szCs w:val="28"/>
    </w:rPr>
  </w:style>
  <w:style w:type="character" w:styleId="1043" w:customStyle="1">
    <w:name w:val="标题 6 字符"/>
    <w:link w:val="802"/>
    <w:uiPriority w:val="0"/>
    <w:qFormat/>
    <w:rPr>
      <w:rFonts w:ascii="Cambria" w:hAnsi="Cambria" w:eastAsia="宋体" w:cs="Times New Roman"/>
      <w:b/>
      <w:bCs/>
      <w:sz w:val="24"/>
      <w:szCs w:val="24"/>
    </w:rPr>
  </w:style>
  <w:style w:type="character" w:styleId="1044" w:customStyle="1">
    <w:name w:val="标题 7 字符"/>
    <w:link w:val="803"/>
    <w:uiPriority w:val="0"/>
    <w:qFormat/>
    <w:rPr>
      <w:rFonts w:ascii="Times New Roman" w:hAnsi="Times New Roman" w:eastAsia="宋体" w:cs="Times New Roman"/>
      <w:b/>
      <w:bCs/>
      <w:sz w:val="24"/>
      <w:szCs w:val="24"/>
    </w:rPr>
  </w:style>
  <w:style w:type="character" w:styleId="1045" w:customStyle="1">
    <w:name w:val="标题 8 字符"/>
    <w:link w:val="804"/>
    <w:uiPriority w:val="0"/>
    <w:qFormat/>
    <w:rPr>
      <w:rFonts w:ascii="Cambria" w:hAnsi="Cambria" w:eastAsia="宋体" w:cs="Times New Roman"/>
      <w:sz w:val="24"/>
      <w:szCs w:val="24"/>
    </w:rPr>
  </w:style>
  <w:style w:type="character" w:styleId="1046" w:customStyle="1">
    <w:name w:val="标题 9 字符"/>
    <w:link w:val="805"/>
    <w:uiPriority w:val="0"/>
    <w:qFormat/>
    <w:rPr>
      <w:rFonts w:ascii="Cambria" w:hAnsi="Cambria" w:eastAsia="宋体" w:cs="Times New Roman"/>
      <w:sz w:val="20"/>
      <w:szCs w:val="21"/>
    </w:rPr>
  </w:style>
  <w:style w:type="character" w:styleId="1047" w:customStyle="1">
    <w:name w:val="文档结构图 字符"/>
    <w:link w:val="811"/>
    <w:uiPriority w:val="0"/>
    <w:qFormat/>
    <w:rPr>
      <w:rFonts w:ascii="宋体" w:hAnsi="Times New Roman"/>
      <w:sz w:val="18"/>
      <w:szCs w:val="18"/>
    </w:rPr>
  </w:style>
  <w:style w:type="character" w:styleId="1048" w:customStyle="1">
    <w:name w:val="批注文字 字符"/>
    <w:link w:val="812"/>
    <w:uiPriority w:val="99"/>
    <w:qFormat/>
    <w:rPr>
      <w:rFonts w:ascii="Times New Roman" w:hAnsi="Times New Roman" w:eastAsia="宋体" w:cs="Times New Roman"/>
      <w:szCs w:val="24"/>
    </w:rPr>
  </w:style>
  <w:style w:type="character" w:styleId="1049" w:customStyle="1">
    <w:name w:val="正文文本 3 字符"/>
    <w:link w:val="813"/>
    <w:uiPriority w:val="0"/>
    <w:qFormat/>
    <w:rPr>
      <w:rFonts w:ascii="宋体" w:hAnsi="Times New Roman"/>
      <w:sz w:val="24"/>
    </w:rPr>
  </w:style>
  <w:style w:type="character" w:styleId="1050" w:customStyle="1">
    <w:name w:val="正文文本 字符"/>
    <w:link w:val="814"/>
    <w:uiPriority w:val="0"/>
    <w:qFormat/>
    <w:rPr>
      <w:rFonts w:ascii="楷体_GB2312" w:hAnsi="Arial" w:eastAsia="楷体_GB2312" w:cs="Times New Roman"/>
      <w:sz w:val="28"/>
      <w:szCs w:val="28"/>
    </w:rPr>
  </w:style>
  <w:style w:type="character" w:styleId="1051" w:customStyle="1">
    <w:name w:val="正文文本缩进 字符"/>
    <w:link w:val="815"/>
    <w:uiPriority w:val="99"/>
    <w:qFormat/>
    <w:rPr>
      <w:rFonts w:ascii="Times New Roman" w:hAnsi="Times New Roman"/>
      <w:szCs w:val="24"/>
    </w:rPr>
  </w:style>
  <w:style w:type="character" w:styleId="1052" w:customStyle="1">
    <w:name w:val="纯文本 字符"/>
    <w:link w:val="819"/>
    <w:uiPriority w:val="0"/>
    <w:qFormat/>
    <w:rPr>
      <w:rFonts w:ascii="宋体" w:hAnsi="Courier New" w:eastAsia="宋体" w:cs="Times New Roman"/>
      <w:szCs w:val="21"/>
    </w:rPr>
  </w:style>
  <w:style w:type="character" w:styleId="1053" w:customStyle="1">
    <w:name w:val="正文文本缩进 2 字符"/>
    <w:link w:val="821"/>
    <w:uiPriority w:val="0"/>
    <w:qFormat/>
    <w:rPr>
      <w:rFonts w:ascii="楷体_GB2312" w:hAnsi="Times New Roman" w:eastAsia="楷体_GB2312"/>
      <w:b/>
      <w:bCs/>
      <w:sz w:val="28"/>
      <w:szCs w:val="24"/>
    </w:rPr>
  </w:style>
  <w:style w:type="character" w:styleId="1054" w:customStyle="1">
    <w:name w:val="批注框文本 字符"/>
    <w:link w:val="823"/>
    <w:uiPriority w:val="99"/>
    <w:qFormat/>
    <w:rPr>
      <w:sz w:val="18"/>
      <w:szCs w:val="18"/>
    </w:rPr>
  </w:style>
  <w:style w:type="character" w:styleId="1055" w:customStyle="1">
    <w:name w:val="页脚 字符"/>
    <w:link w:val="824"/>
    <w:uiPriority w:val="99"/>
    <w:qFormat/>
    <w:rPr>
      <w:rFonts w:ascii="Times New Roman" w:hAnsi="Times New Roman" w:eastAsia="宋体" w:cs="Times New Roman"/>
      <w:sz w:val="18"/>
      <w:szCs w:val="18"/>
    </w:rPr>
  </w:style>
  <w:style w:type="character" w:styleId="1056" w:customStyle="1">
    <w:name w:val="页眉 字符"/>
    <w:link w:val="826"/>
    <w:uiPriority w:val="99"/>
    <w:qFormat/>
    <w:rPr>
      <w:rFonts w:ascii="Times New Roman" w:hAnsi="Times New Roman" w:eastAsia="宋体" w:cs="Times New Roman"/>
      <w:sz w:val="18"/>
      <w:szCs w:val="18"/>
    </w:rPr>
  </w:style>
  <w:style w:type="character" w:styleId="1057" w:customStyle="1">
    <w:name w:val="批注主题 字符"/>
    <w:link w:val="840"/>
    <w:uiPriority w:val="99"/>
    <w:qFormat/>
    <w:rPr>
      <w:b/>
      <w:bCs/>
    </w:rPr>
  </w:style>
  <w:style w:type="character" w:styleId="1058" w:customStyle="1">
    <w:name w:val="正文文本首行缩进 2 字符"/>
    <w:link w:val="842"/>
    <w:uiPriority w:val="99"/>
    <w:qFormat/>
    <w:rPr>
      <w:szCs w:val="24"/>
    </w:rPr>
  </w:style>
  <w:style w:type="paragraph" w:styleId="1059" w:customStyle="1">
    <w:name w:val="ListBullet2"/>
    <w:basedOn w:val="796"/>
    <w:uiPriority w:val="0"/>
    <w:qFormat/>
    <w:pPr>
      <w:numPr>
        <w:ilvl w:val="0"/>
        <w:numId w:val="3"/>
      </w:numPr>
    </w:pPr>
  </w:style>
  <w:style w:type="paragraph" w:styleId="1060" w:customStyle="1">
    <w:name w:val="正文1"/>
    <w:basedOn w:val="796"/>
    <w:next w:val="1061"/>
    <w:link w:val="1066"/>
    <w:uiPriority w:val="99"/>
    <w:qFormat/>
    <w:pPr>
      <w:ind w:firstLine="480"/>
      <w:spacing w:line="440" w:lineRule="exact"/>
    </w:pPr>
    <w:rPr>
      <w:rFonts w:ascii="微软雅黑" w:hAnsi="微软雅黑" w:eastAsia="微软雅黑"/>
      <w:sz w:val="24"/>
      <w:szCs w:val="20"/>
    </w:rPr>
  </w:style>
  <w:style w:type="paragraph" w:styleId="1061" w:customStyle="1">
    <w:name w:val="正文文本1"/>
    <w:basedOn w:val="1060"/>
    <w:next w:val="1062"/>
    <w:uiPriority w:val="0"/>
    <w:qFormat/>
    <w:pPr>
      <w:spacing w:after="120"/>
    </w:pPr>
    <w:rPr>
      <w:lang w:eastAsia="en-US"/>
    </w:rPr>
  </w:style>
  <w:style w:type="paragraph" w:styleId="1062" w:customStyle="1">
    <w:name w:val="一级条标题"/>
    <w:basedOn w:val="1063"/>
    <w:next w:val="10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3" w:customStyle="1">
    <w:name w:val="章标题"/>
    <w:next w:val="10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4" w:customStyle="1">
    <w:name w:val="正文11"/>
    <w:next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5" w:customStyle="1">
    <w:name w:val="段"/>
    <w:next w:val="1064"/>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66" w:customStyle="1">
    <w:name w:val="正文1 Char Char"/>
    <w:link w:val="1060"/>
    <w:uiPriority w:val="99"/>
    <w:qFormat/>
    <w:rPr>
      <w:rFonts w:ascii="微软雅黑" w:hAnsi="微软雅黑" w:eastAsia="微软雅黑"/>
      <w:sz w:val="24"/>
    </w:rPr>
  </w:style>
  <w:style w:type="character" w:styleId="1067" w:customStyle="1">
    <w:name w:val="ca-161"/>
    <w:uiPriority w:val="0"/>
    <w:qFormat/>
    <w:rPr>
      <w:rFonts w:hint="eastAsia" w:ascii="宋体" w:hAnsi="宋体" w:eastAsia="宋体"/>
      <w:spacing w:val="0"/>
      <w:sz w:val="21"/>
      <w:szCs w:val="21"/>
    </w:rPr>
  </w:style>
  <w:style w:type="character" w:styleId="1068" w:customStyle="1">
    <w:name w:val="列出段落 Char"/>
    <w:link w:val="1069"/>
    <w:uiPriority w:val="0"/>
    <w:qFormat/>
    <w:rPr>
      <w:rFonts w:ascii="Calibri" w:hAnsi="Calibri" w:eastAsia="宋体" w:cs="Times New Roman"/>
    </w:rPr>
  </w:style>
  <w:style w:type="paragraph" w:styleId="1069" w:customStyle="1">
    <w:name w:val="列出段落1"/>
    <w:basedOn w:val="796"/>
    <w:link w:val="1068"/>
    <w:uiPriority w:val="0"/>
    <w:qFormat/>
    <w:pPr>
      <w:ind w:firstLine="200"/>
    </w:pPr>
    <w:rPr>
      <w:rFonts w:ascii="Calibri" w:hAnsi="Calibri"/>
      <w:sz w:val="20"/>
      <w:szCs w:val="20"/>
    </w:rPr>
  </w:style>
  <w:style w:type="character" w:styleId="1070" w:customStyle="1">
    <w:name w:val="表格文字 Char"/>
    <w:link w:val="1071"/>
    <w:uiPriority w:val="0"/>
    <w:qFormat/>
    <w:rPr>
      <w:szCs w:val="21"/>
    </w:rPr>
  </w:style>
  <w:style w:type="paragraph" w:styleId="1071" w:customStyle="1">
    <w:name w:val="表格文字"/>
    <w:basedOn w:val="796"/>
    <w:link w:val="1070"/>
    <w:uiPriority w:val="0"/>
    <w:qFormat/>
    <w:pPr>
      <w:jc w:val="left"/>
    </w:pPr>
    <w:rPr>
      <w:sz w:val="20"/>
      <w:szCs w:val="21"/>
    </w:rPr>
  </w:style>
  <w:style w:type="character" w:styleId="1072" w:customStyle="1">
    <w:name w:val="标题 5 字符"/>
    <w:uiPriority w:val="0"/>
    <w:semiHidden/>
    <w:qFormat/>
    <w:rPr>
      <w:rFonts w:ascii="Calibri" w:hAnsi="Calibri"/>
      <w:b/>
      <w:bCs/>
      <w:sz w:val="28"/>
      <w:szCs w:val="28"/>
    </w:rPr>
  </w:style>
  <w:style w:type="character" w:styleId="1073" w:customStyle="1">
    <w:name w:val="文档结构图 Char1"/>
    <w:uiPriority w:val="99"/>
    <w:semiHidden/>
    <w:qFormat/>
    <w:rPr>
      <w:rFonts w:ascii="宋体"/>
      <w:sz w:val="18"/>
      <w:szCs w:val="18"/>
    </w:rPr>
  </w:style>
  <w:style w:type="character" w:styleId="1074" w:customStyle="1">
    <w:name w:val="font201"/>
    <w:uiPriority w:val="0"/>
    <w:qFormat/>
    <w:rPr>
      <w:rFonts w:hint="default" w:ascii="Times New Roman" w:hAnsi="Times New Roman" w:cs="Times New Roman"/>
      <w:color w:val="000000"/>
      <w:sz w:val="20"/>
      <w:szCs w:val="20"/>
      <w:u w:val="none"/>
    </w:rPr>
  </w:style>
  <w:style w:type="character" w:styleId="1075" w:customStyle="1">
    <w:name w:val="_Style 86"/>
    <w:uiPriority w:val="19"/>
    <w:qFormat/>
    <w:rPr>
      <w:rFonts w:ascii="Times New Roman" w:hAnsi="Times New Roman"/>
      <w:i/>
      <w:iCs/>
      <w:color w:val="808080"/>
      <w:sz w:val="21"/>
      <w:szCs w:val="20"/>
    </w:rPr>
  </w:style>
  <w:style w:type="character" w:styleId="1076" w:customStyle="1">
    <w:name w:val="H2 Char"/>
    <w:uiPriority w:val="0"/>
    <w:qFormat/>
    <w:rPr>
      <w:rFonts w:ascii="Arial" w:hAnsi="Arial" w:eastAsia="黑体" w:cs="Times New Roman"/>
      <w:b/>
      <w:bCs/>
      <w:sz w:val="32"/>
      <w:szCs w:val="32"/>
    </w:rPr>
  </w:style>
  <w:style w:type="character" w:styleId="1077" w:customStyle="1">
    <w:name w:val="font41"/>
    <w:uiPriority w:val="0"/>
    <w:qFormat/>
    <w:rPr>
      <w:rFonts w:hint="eastAsia" w:ascii="宋体" w:hAnsi="宋体" w:eastAsia="宋体"/>
      <w:color w:val="000000"/>
      <w:sz w:val="32"/>
      <w:szCs w:val="32"/>
      <w:u w:val="none"/>
    </w:rPr>
  </w:style>
  <w:style w:type="character" w:styleId="1078" w:customStyle="1">
    <w:name w:val="font191"/>
    <w:uiPriority w:val="0"/>
    <w:qFormat/>
    <w:rPr>
      <w:rFonts w:ascii="Wingdings 2" w:hAnsi="Wingdings 2" w:eastAsia="Wingdings 2" w:cs="Wingdings 2"/>
      <w:color w:val="000000"/>
      <w:sz w:val="20"/>
      <w:szCs w:val="20"/>
      <w:u w:val="none"/>
    </w:rPr>
  </w:style>
  <w:style w:type="character" w:styleId="1079" w:customStyle="1">
    <w:name w:val="font231"/>
    <w:uiPriority w:val="0"/>
    <w:qFormat/>
    <w:rPr>
      <w:rFonts w:hint="eastAsia" w:ascii="宋体" w:hAnsi="宋体" w:eastAsia="宋体" w:cs="宋体"/>
      <w:color w:val="000000"/>
      <w:sz w:val="20"/>
      <w:szCs w:val="20"/>
      <w:u w:val="none"/>
    </w:rPr>
  </w:style>
  <w:style w:type="character" w:styleId="1080" w:customStyle="1">
    <w:name w:val="font241"/>
    <w:uiPriority w:val="0"/>
    <w:qFormat/>
    <w:rPr>
      <w:rFonts w:hint="eastAsia" w:ascii="宋体" w:hAnsi="宋体" w:eastAsia="宋体" w:cs="宋体"/>
      <w:color w:val="000000"/>
      <w:sz w:val="20"/>
      <w:szCs w:val="20"/>
      <w:u w:val="none"/>
    </w:rPr>
  </w:style>
  <w:style w:type="character" w:styleId="1081" w:customStyle="1">
    <w:name w:val="Char Char9"/>
    <w:uiPriority w:val="0"/>
    <w:qFormat/>
    <w:rPr>
      <w:rFonts w:ascii="等线 Light" w:hAnsi="等线 Light" w:eastAsia="等线 Light" w:cs="Times New Roman"/>
      <w:b/>
      <w:bCs/>
      <w:sz w:val="28"/>
      <w:szCs w:val="28"/>
    </w:rPr>
  </w:style>
  <w:style w:type="character" w:styleId="1082" w:customStyle="1">
    <w:name w:val="Char Char10"/>
    <w:uiPriority w:val="0"/>
    <w:qFormat/>
    <w:rPr>
      <w:rFonts w:ascii="Arial" w:hAnsi="Arial" w:eastAsia="黑体" w:cs="Times New Roman"/>
      <w:b/>
      <w:bCs/>
      <w:sz w:val="30"/>
      <w:szCs w:val="32"/>
    </w:rPr>
  </w:style>
  <w:style w:type="character" w:styleId="1083" w:customStyle="1">
    <w:name w:val="表格样式居左 Char"/>
    <w:link w:val="1084"/>
    <w:uiPriority w:val="0"/>
    <w:qFormat/>
    <w:rPr>
      <w:rFonts w:eastAsia="仿宋_GB2312"/>
      <w:bCs/>
      <w:color w:val="000000"/>
      <w:sz w:val="21"/>
      <w:szCs w:val="44"/>
      <w:lang w:val="en-US" w:eastAsia="zh-CN" w:bidi="ar-SA"/>
    </w:rPr>
  </w:style>
  <w:style w:type="paragraph" w:styleId="1084" w:customStyle="1">
    <w:name w:val="表格样式居左"/>
    <w:link w:val="1083"/>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85" w:customStyle="1">
    <w:name w:val="font101"/>
    <w:uiPriority w:val="0"/>
    <w:qFormat/>
    <w:rPr>
      <w:rFonts w:hint="eastAsia" w:ascii="宋体" w:hAnsi="宋体" w:eastAsia="宋体" w:cs="宋体"/>
      <w:b/>
      <w:color w:val="000000"/>
      <w:sz w:val="18"/>
      <w:szCs w:val="18"/>
      <w:u w:val="none"/>
    </w:rPr>
  </w:style>
  <w:style w:type="character" w:styleId="1086" w:customStyle="1">
    <w:name w:val="段落 Char1"/>
    <w:link w:val="1087"/>
    <w:uiPriority w:val="0"/>
    <w:qFormat/>
    <w:rPr>
      <w:rFonts w:eastAsia="仿宋_GB2312"/>
      <w:sz w:val="32"/>
      <w:szCs w:val="32"/>
      <w:lang w:val="en-US" w:eastAsia="zh-CN" w:bidi="ar-SA"/>
    </w:rPr>
  </w:style>
  <w:style w:type="paragraph" w:styleId="1087" w:customStyle="1">
    <w:name w:val="段落"/>
    <w:link w:val="1086"/>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88" w:customStyle="1">
    <w:name w:val="font131"/>
    <w:uiPriority w:val="0"/>
    <w:qFormat/>
    <w:rPr>
      <w:rFonts w:ascii="Wingdings 2" w:hAnsi="Wingdings 2" w:eastAsia="Wingdings 2" w:cs="Wingdings 2"/>
      <w:color w:val="000000"/>
      <w:sz w:val="20"/>
      <w:szCs w:val="20"/>
      <w:u w:val="none"/>
    </w:rPr>
  </w:style>
  <w:style w:type="character" w:styleId="1089" w:customStyle="1">
    <w:name w:val="一级缩进 Char"/>
    <w:link w:val="1090"/>
    <w:uiPriority w:val="0"/>
    <w:qFormat/>
    <w:rPr>
      <w:rFonts w:eastAsia="仿宋_GB2312"/>
      <w:sz w:val="32"/>
      <w:szCs w:val="32"/>
      <w:lang w:val="en-US" w:eastAsia="zh-CN" w:bidi="ar-SA"/>
    </w:rPr>
  </w:style>
  <w:style w:type="paragraph" w:styleId="1090" w:customStyle="1">
    <w:name w:val="一级缩进"/>
    <w:link w:val="1089"/>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91" w:customStyle="1">
    <w:name w:val="正文文本 3 Char1"/>
    <w:uiPriority w:val="99"/>
    <w:semiHidden/>
    <w:qFormat/>
    <w:rPr>
      <w:sz w:val="16"/>
      <w:szCs w:val="16"/>
    </w:rPr>
  </w:style>
  <w:style w:type="character" w:styleId="1092" w:customStyle="1">
    <w:name w:val="apple-style-span"/>
    <w:uiPriority w:val="0"/>
    <w:qFormat/>
  </w:style>
  <w:style w:type="character" w:styleId="1093" w:customStyle="1">
    <w:name w:val="批注框文本 Char1"/>
    <w:uiPriority w:val="99"/>
    <w:semiHidden/>
    <w:qFormat/>
    <w:rPr>
      <w:rFonts w:ascii="Times New Roman" w:hAnsi="Times New Roman"/>
      <w:sz w:val="18"/>
      <w:szCs w:val="18"/>
    </w:rPr>
  </w:style>
  <w:style w:type="character" w:styleId="1094" w:customStyle="1">
    <w:name w:val="font221"/>
    <w:uiPriority w:val="0"/>
    <w:qFormat/>
    <w:rPr>
      <w:rFonts w:hint="eastAsia" w:ascii="宋体" w:hAnsi="宋体" w:eastAsia="宋体" w:cs="宋体"/>
      <w:b/>
      <w:color w:val="000000"/>
      <w:sz w:val="20"/>
      <w:szCs w:val="20"/>
      <w:u w:val="none"/>
    </w:rPr>
  </w:style>
  <w:style w:type="character" w:styleId="1095" w:customStyle="1">
    <w:name w:val="font61"/>
    <w:uiPriority w:val="0"/>
    <w:qFormat/>
    <w:rPr>
      <w:rFonts w:hint="eastAsia" w:ascii="宋体" w:hAnsi="宋体" w:eastAsia="宋体" w:cs="宋体"/>
      <w:color w:val="000000"/>
      <w:sz w:val="20"/>
      <w:szCs w:val="20"/>
      <w:u w:val="none"/>
    </w:rPr>
  </w:style>
  <w:style w:type="character" w:styleId="1096" w:customStyle="1">
    <w:name w:val="top_title1"/>
    <w:uiPriority w:val="0"/>
    <w:qFormat/>
    <w:rPr>
      <w:b/>
      <w:bCs/>
      <w:color w:val="333333"/>
      <w:sz w:val="24"/>
      <w:szCs w:val="24"/>
    </w:rPr>
  </w:style>
  <w:style w:type="character" w:styleId="1097" w:customStyle="1">
    <w:name w:val="font81"/>
    <w:uiPriority w:val="0"/>
    <w:qFormat/>
    <w:rPr>
      <w:rFonts w:ascii="Symbol" w:hAnsi="Symbol" w:cs="Symbol"/>
      <w:color w:val="000000"/>
      <w:sz w:val="20"/>
      <w:szCs w:val="20"/>
      <w:u w:val="none"/>
    </w:rPr>
  </w:style>
  <w:style w:type="character" w:styleId="1098" w:customStyle="1">
    <w:name w:val="font141"/>
    <w:uiPriority w:val="0"/>
    <w:qFormat/>
    <w:rPr>
      <w:rFonts w:hint="eastAsia" w:ascii="宋体" w:hAnsi="宋体" w:eastAsia="宋体" w:cs="宋体"/>
      <w:color w:val="ff0000"/>
      <w:sz w:val="20"/>
      <w:szCs w:val="20"/>
      <w:u w:val="none"/>
      <w:vertAlign w:val="superscript"/>
    </w:rPr>
  </w:style>
  <w:style w:type="character" w:styleId="1099" w:customStyle="1">
    <w:name w:val="正文文本缩进 Char1"/>
    <w:uiPriority w:val="99"/>
    <w:semiHidden/>
    <w:qFormat/>
  </w:style>
  <w:style w:type="character" w:styleId="1100" w:customStyle="1">
    <w:name w:val="正文缩进 Char1"/>
    <w:uiPriority w:val="0"/>
    <w:qFormat/>
    <w:rPr>
      <w:rFonts w:ascii="Times New Roman" w:hAnsi="Times New Roman" w:eastAsia="宋体" w:cs="Times New Roman"/>
      <w:szCs w:val="20"/>
    </w:rPr>
  </w:style>
  <w:style w:type="character" w:styleId="1101" w:customStyle="1">
    <w:name w:val="font11"/>
    <w:uiPriority w:val="0"/>
    <w:qFormat/>
    <w:rPr>
      <w:rFonts w:hint="eastAsia" w:ascii="宋体" w:hAnsi="宋体" w:eastAsia="宋体" w:cs="宋体"/>
      <w:color w:val="000000"/>
      <w:sz w:val="20"/>
      <w:szCs w:val="20"/>
      <w:u w:val="none"/>
    </w:rPr>
  </w:style>
  <w:style w:type="character" w:styleId="1102" w:customStyle="1">
    <w:name w:val="表格样式居中 Char"/>
    <w:link w:val="1103"/>
    <w:uiPriority w:val="0"/>
    <w:qFormat/>
    <w:rPr>
      <w:rFonts w:ascii="宋体" w:hAnsi="宋体"/>
      <w:bCs/>
      <w:sz w:val="21"/>
      <w:szCs w:val="21"/>
      <w:lang w:val="zh-CN" w:eastAsia="zh-CN" w:bidi="ar-SA"/>
    </w:rPr>
  </w:style>
  <w:style w:type="paragraph" w:styleId="1103" w:customStyle="1">
    <w:name w:val="表格样式居中"/>
    <w:link w:val="1102"/>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04" w:customStyle="1">
    <w:name w:val="正文文本缩进 2 Char1"/>
    <w:uiPriority w:val="99"/>
    <w:semiHidden/>
    <w:qFormat/>
  </w:style>
  <w:style w:type="character" w:styleId="1105" w:customStyle="1">
    <w:name w:val="font161"/>
    <w:uiPriority w:val="0"/>
    <w:qFormat/>
    <w:rPr>
      <w:rFonts w:hint="eastAsia" w:ascii="宋体" w:hAnsi="宋体" w:eastAsia="宋体" w:cs="宋体"/>
      <w:b/>
      <w:color w:val="ff0000"/>
      <w:sz w:val="20"/>
      <w:szCs w:val="20"/>
      <w:u w:val="none"/>
    </w:rPr>
  </w:style>
  <w:style w:type="character" w:styleId="1106" w:customStyle="1">
    <w:name w:val="批注主题 Char1"/>
    <w:uiPriority w:val="99"/>
    <w:semiHidden/>
    <w:qFormat/>
    <w:rPr>
      <w:rFonts w:ascii="Times New Roman" w:hAnsi="Times New Roman" w:eastAsia="宋体" w:cs="Times New Roman"/>
      <w:b/>
      <w:bCs/>
      <w:szCs w:val="24"/>
    </w:rPr>
  </w:style>
  <w:style w:type="character" w:styleId="1107" w:customStyle="1">
    <w:name w:val="font51"/>
    <w:uiPriority w:val="0"/>
    <w:qFormat/>
    <w:rPr>
      <w:rFonts w:hint="eastAsia" w:ascii="宋体" w:hAnsi="宋体" w:eastAsia="宋体" w:cs="宋体"/>
      <w:b/>
      <w:color w:val="000000"/>
      <w:sz w:val="20"/>
      <w:szCs w:val="20"/>
      <w:u w:val="none"/>
    </w:rPr>
  </w:style>
  <w:style w:type="character" w:styleId="1108" w:customStyle="1">
    <w:name w:val="font01"/>
    <w:basedOn w:val="806"/>
    <w:uiPriority w:val="0"/>
    <w:qFormat/>
    <w:rPr>
      <w:rFonts w:hint="eastAsia" w:ascii="宋体" w:hAnsi="宋体" w:eastAsia="宋体"/>
      <w:color w:val="000000"/>
      <w:sz w:val="24"/>
      <w:szCs w:val="24"/>
      <w:u w:val="none"/>
    </w:rPr>
  </w:style>
  <w:style w:type="character" w:styleId="1109" w:customStyle="1">
    <w:name w:val="批注文字 Char"/>
    <w:uiPriority w:val="99"/>
    <w:qFormat/>
    <w:rPr>
      <w:sz w:val="21"/>
      <w:szCs w:val="22"/>
    </w:rPr>
  </w:style>
  <w:style w:type="character" w:styleId="1110" w:customStyle="1">
    <w:name w:val="unnamed11"/>
    <w:uiPriority w:val="99"/>
    <w:qFormat/>
    <w:rPr>
      <w:rFonts w:hint="eastAsia" w:ascii="宋体" w:hAnsi="宋体" w:eastAsia="宋体"/>
      <w:sz w:val="21"/>
      <w:szCs w:val="21"/>
    </w:rPr>
  </w:style>
  <w:style w:type="character" w:styleId="1111" w:customStyle="1">
    <w:name w:val="font71"/>
    <w:uiPriority w:val="0"/>
    <w:qFormat/>
    <w:rPr>
      <w:rFonts w:hint="eastAsia" w:ascii="宋体" w:hAnsi="宋体" w:eastAsia="宋体" w:cs="宋体"/>
      <w:color w:val="000000"/>
      <w:sz w:val="20"/>
      <w:szCs w:val="20"/>
      <w:u w:val="none"/>
    </w:rPr>
  </w:style>
  <w:style w:type="character" w:styleId="1112" w:customStyle="1">
    <w:name w:val="Char Char8"/>
    <w:uiPriority w:val="0"/>
    <w:qFormat/>
    <w:rPr>
      <w:rFonts w:ascii="Calibri" w:hAnsi="Calibri" w:eastAsia="宋体" w:cs="Times New Roman"/>
      <w:b/>
      <w:bCs/>
      <w:sz w:val="28"/>
      <w:szCs w:val="28"/>
    </w:rPr>
  </w:style>
  <w:style w:type="character" w:styleId="1113" w:customStyle="1">
    <w:name w:val="Char Char11"/>
    <w:uiPriority w:val="0"/>
    <w:qFormat/>
    <w:rPr>
      <w:rFonts w:ascii="Arial" w:hAnsi="Arial" w:eastAsia="宋体" w:cs="Times New Roman"/>
      <w:b/>
      <w:bCs/>
      <w:sz w:val="28"/>
      <w:szCs w:val="36"/>
    </w:rPr>
  </w:style>
  <w:style w:type="character" w:styleId="1114" w:customStyle="1">
    <w:name w:val="Char Char12"/>
    <w:uiPriority w:val="0"/>
    <w:qFormat/>
    <w:rPr>
      <w:b/>
      <w:bCs/>
      <w:sz w:val="44"/>
      <w:szCs w:val="44"/>
    </w:rPr>
  </w:style>
  <w:style w:type="character" w:styleId="1115" w:customStyle="1">
    <w:name w:val="font111"/>
    <w:uiPriority w:val="0"/>
    <w:qFormat/>
    <w:rPr>
      <w:rFonts w:hint="eastAsia" w:ascii="宋体" w:hAnsi="宋体" w:eastAsia="宋体" w:cs="宋体"/>
      <w:color w:val="ff0000"/>
      <w:sz w:val="18"/>
      <w:szCs w:val="18"/>
      <w:u w:val="none"/>
    </w:rPr>
  </w:style>
  <w:style w:type="character" w:styleId="1116" w:customStyle="1">
    <w:name w:val="font21"/>
    <w:basedOn w:val="806"/>
    <w:uiPriority w:val="0"/>
    <w:qFormat/>
    <w:rPr>
      <w:rFonts w:hint="eastAsia" w:ascii="仿宋_GB2312" w:hAnsi="Times New Roman" w:eastAsia="仿宋_GB2312" w:cs="仿宋_GB2312"/>
      <w:color w:val="000000"/>
      <w:sz w:val="22"/>
      <w:szCs w:val="22"/>
      <w:u w:val="none"/>
    </w:rPr>
  </w:style>
  <w:style w:type="character" w:styleId="1117" w:customStyle="1">
    <w:name w:val="无间隔 Char"/>
    <w:link w:val="1118"/>
    <w:uiPriority w:val="0"/>
    <w:qFormat/>
    <w:rPr>
      <w:sz w:val="21"/>
      <w:szCs w:val="22"/>
      <w:lang w:val="en-US" w:eastAsia="zh-CN" w:bidi="ar-SA"/>
    </w:rPr>
  </w:style>
  <w:style w:type="paragraph" w:styleId="1118" w:customStyle="1">
    <w:name w:val="msonospacing"/>
    <w:link w:val="111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9" w:customStyle="1">
    <w:name w:val="font211"/>
    <w:uiPriority w:val="0"/>
    <w:qFormat/>
    <w:rPr>
      <w:rFonts w:hint="eastAsia" w:ascii="宋体" w:hAnsi="宋体" w:eastAsia="宋体" w:cs="宋体"/>
      <w:color w:val="ff0000"/>
      <w:sz w:val="20"/>
      <w:szCs w:val="20"/>
      <w:u w:val="none"/>
      <w:vertAlign w:val="superscript"/>
    </w:rPr>
  </w:style>
  <w:style w:type="character" w:styleId="1120" w:customStyle="1">
    <w:name w:val="NormalCharacter"/>
    <w:uiPriority w:val="0"/>
    <w:qFormat/>
    <w:rPr>
      <w:sz w:val="21"/>
      <w:szCs w:val="22"/>
      <w:lang w:val="en-US" w:eastAsia="zh-CN" w:bidi="ar-SA"/>
    </w:rPr>
  </w:style>
  <w:style w:type="character" w:styleId="1121" w:customStyle="1">
    <w:name w:val="font171"/>
    <w:uiPriority w:val="0"/>
    <w:qFormat/>
    <w:rPr>
      <w:rFonts w:hint="eastAsia" w:ascii="宋体" w:hAnsi="宋体" w:eastAsia="宋体" w:cs="宋体"/>
      <w:color w:val="000000"/>
      <w:sz w:val="20"/>
      <w:szCs w:val="20"/>
      <w:u w:val="none"/>
    </w:rPr>
  </w:style>
  <w:style w:type="character" w:styleId="1122" w:customStyle="1">
    <w:name w:val="项目排列 Char"/>
    <w:link w:val="1123"/>
    <w:uiPriority w:val="0"/>
    <w:qFormat/>
    <w:rPr>
      <w:sz w:val="24"/>
      <w:szCs w:val="24"/>
    </w:rPr>
  </w:style>
  <w:style w:type="paragraph" w:styleId="1123" w:customStyle="1">
    <w:name w:val="项目排列"/>
    <w:basedOn w:val="796"/>
    <w:link w:val="1122"/>
    <w:uiPriority w:val="0"/>
    <w:qFormat/>
    <w:pPr>
      <w:numPr>
        <w:ilvl w:val="0"/>
        <w:numId w:val="4"/>
      </w:numPr>
      <w:spacing w:before="156" w:after="156" w:line="300" w:lineRule="auto"/>
      <w:tabs>
        <w:tab w:val="left" w:pos="900" w:leader="none"/>
      </w:tabs>
    </w:pPr>
    <w:rPr>
      <w:sz w:val="24"/>
      <w:szCs w:val="24"/>
    </w:rPr>
  </w:style>
  <w:style w:type="character" w:styleId="1124" w:customStyle="1">
    <w:name w:val="hover4"/>
    <w:uiPriority w:val="0"/>
    <w:qFormat/>
    <w:rPr>
      <w:color w:val="999999"/>
    </w:rPr>
  </w:style>
  <w:style w:type="character" w:styleId="1125" w:customStyle="1">
    <w:name w:val="font91"/>
    <w:uiPriority w:val="0"/>
    <w:qFormat/>
    <w:rPr>
      <w:rFonts w:hint="eastAsia" w:ascii="宋体" w:hAnsi="宋体" w:eastAsia="宋体" w:cs="宋体"/>
      <w:color w:val="000000"/>
      <w:sz w:val="16"/>
      <w:szCs w:val="16"/>
      <w:u w:val="none"/>
    </w:rPr>
  </w:style>
  <w:style w:type="paragraph" w:styleId="1126" w:customStyle="1">
    <w:name w:val="Char"/>
    <w:basedOn w:val="796"/>
    <w:uiPriority w:val="0"/>
    <w:qFormat/>
    <w:pPr>
      <w:ind w:left="1350" w:hanging="1350"/>
      <w:tabs>
        <w:tab w:val="left" w:pos="1350" w:leader="none"/>
      </w:tabs>
    </w:pPr>
    <w:rPr>
      <w:sz w:val="24"/>
      <w:szCs w:val="24"/>
    </w:rPr>
  </w:style>
  <w:style w:type="paragraph" w:styleId="1127" w:customStyle="1">
    <w:name w:val="正文 1.1.1"/>
    <w:basedOn w:val="796"/>
    <w:next w:val="796"/>
    <w:uiPriority w:val="0"/>
    <w:qFormat/>
    <w:pPr>
      <w:numPr>
        <w:ilvl w:val="2"/>
        <w:numId w:val="5"/>
      </w:numPr>
      <w:outlineLvl w:val="2"/>
    </w:pPr>
    <w:rPr>
      <w:rFonts w:hAnsi="宋体"/>
      <w:color w:val="ff0000"/>
    </w:rPr>
  </w:style>
  <w:style w:type="paragraph" w:styleId="1128" w:customStyle="1">
    <w:name w:val="Default Paragraph Font Para Char"/>
    <w:basedOn w:val="796"/>
    <w:uiPriority w:val="0"/>
    <w:qFormat/>
    <w:pPr>
      <w:jc w:val="left"/>
      <w:spacing w:before="156" w:after="160" w:line="240" w:lineRule="exact"/>
      <w:widowControl/>
    </w:pPr>
    <w:rPr>
      <w:rFonts w:ascii="Verdana" w:hAnsi="Verdana"/>
      <w:sz w:val="20"/>
      <w:szCs w:val="20"/>
      <w:lang w:eastAsia="en-US"/>
    </w:rPr>
  </w:style>
  <w:style w:type="paragraph" w:styleId="1129" w:customStyle="1">
    <w:name w:val="unnamed1"/>
    <w:basedOn w:val="796"/>
    <w:uiPriority w:val="0"/>
    <w:qFormat/>
    <w:pPr>
      <w:jc w:val="left"/>
      <w:spacing w:before="100" w:beforeAutospacing="1" w:after="100" w:afterAutospacing="1" w:line="288" w:lineRule="auto"/>
      <w:widowControl/>
    </w:pPr>
    <w:rPr>
      <w:rFonts w:hint="eastAsia" w:ascii="宋体" w:hAnsi="宋体"/>
      <w:szCs w:val="21"/>
    </w:rPr>
  </w:style>
  <w:style w:type="paragraph" w:styleId="1130" w:customStyle="1">
    <w:name w:val="正文缩进1"/>
    <w:basedOn w:val="796"/>
    <w:uiPriority w:val="0"/>
    <w:qFormat/>
    <w:pPr>
      <w:ind w:firstLine="420"/>
      <w:jc w:val="left"/>
      <w:spacing w:line="360" w:lineRule="auto"/>
      <w:widowControl/>
    </w:pPr>
    <w:rPr>
      <w:rFonts w:ascii="宋体"/>
      <w:sz w:val="20"/>
      <w:szCs w:val="20"/>
    </w:rPr>
  </w:style>
  <w:style w:type="paragraph" w:styleId="1131" w:customStyle="1">
    <w:name w:val="Char1"/>
    <w:basedOn w:val="796"/>
    <w:uiPriority w:val="0"/>
    <w:qFormat/>
    <w:rPr>
      <w:rFonts w:ascii="仿宋_GB2312" w:eastAsia="仿宋_GB2312"/>
      <w:b/>
      <w:sz w:val="32"/>
      <w:szCs w:val="32"/>
    </w:rPr>
  </w:style>
  <w:style w:type="paragraph" w:styleId="1132" w:customStyle="1">
    <w:name w:val="文档正文"/>
    <w:basedOn w:val="796"/>
    <w:uiPriority w:val="0"/>
    <w:qFormat/>
    <w:pPr>
      <w:ind w:firstLine="567"/>
      <w:spacing w:line="480" w:lineRule="atLeast"/>
    </w:pPr>
    <w:rPr>
      <w:rFonts w:ascii="仿宋_GB2312" w:eastAsia="仿宋_GB2312"/>
      <w:sz w:val="28"/>
      <w:szCs w:val="24"/>
    </w:rPr>
  </w:style>
  <w:style w:type="paragraph" w:styleId="1133" w:customStyle="1">
    <w:name w:val="二级目录"/>
    <w:next w:val="796"/>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34" w:customStyle="1">
    <w:name w:val="List Paragraph1"/>
    <w:basedOn w:val="796"/>
    <w:uiPriority w:val="0"/>
    <w:qFormat/>
    <w:pPr>
      <w:ind w:firstLine="420"/>
    </w:pPr>
    <w:rPr>
      <w:szCs w:val="20"/>
    </w:rPr>
  </w:style>
  <w:style w:type="paragraph" w:styleId="1135" w:customStyle="1">
    <w:name w:val="_Style 2"/>
    <w:basedOn w:val="796"/>
    <w:uiPriority w:val="34"/>
    <w:qFormat/>
    <w:pPr>
      <w:ind w:firstLine="420"/>
    </w:pPr>
    <w:rPr>
      <w:szCs w:val="24"/>
    </w:rPr>
  </w:style>
  <w:style w:type="paragraph" w:styleId="113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37" w:customStyle="1">
    <w:name w:val="文档标题"/>
    <w:basedOn w:val="796"/>
    <w:uiPriority w:val="0"/>
    <w:qFormat/>
    <w:pPr>
      <w:jc w:val="center"/>
      <w:spacing w:before="312" w:after="312" w:line="300" w:lineRule="auto"/>
    </w:pPr>
    <w:rPr>
      <w:rFonts w:ascii="Arial" w:hAnsi="Arial" w:eastAsia="黑体" w:cs="Arial"/>
      <w:b/>
      <w:sz w:val="48"/>
      <w:szCs w:val="32"/>
    </w:rPr>
  </w:style>
  <w:style w:type="paragraph" w:styleId="1138" w:customStyle="1">
    <w:name w:val="Char1 Char Char Char Char Char Char"/>
    <w:basedOn w:val="796"/>
    <w:uiPriority w:val="0"/>
    <w:qFormat/>
    <w:rPr>
      <w:szCs w:val="24"/>
    </w:rPr>
  </w:style>
  <w:style w:type="paragraph" w:styleId="1139" w:customStyle="1">
    <w:name w:val="Char Char Char Char Char Char Char"/>
    <w:basedOn w:val="811"/>
    <w:uiPriority w:val="0"/>
    <w:qFormat/>
    <w:pPr>
      <w:shd w:val="clear" w:color="auto" w:fill="000080"/>
    </w:pPr>
    <w:rPr>
      <w:rFonts w:ascii="Times New Roman"/>
      <w:sz w:val="21"/>
      <w:szCs w:val="20"/>
    </w:rPr>
  </w:style>
  <w:style w:type="paragraph" w:styleId="1140"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列表段落1"/>
    <w:basedOn w:val="796"/>
    <w:uiPriority w:val="34"/>
    <w:qFormat/>
    <w:pPr>
      <w:ind w:left="720"/>
    </w:pPr>
    <w:rPr>
      <w:szCs w:val="21"/>
    </w:rPr>
  </w:style>
  <w:style w:type="paragraph" w:styleId="1142" w:customStyle="1">
    <w:name w:val="普通正文"/>
    <w:basedOn w:val="1060"/>
    <w:uiPriority w:val="0"/>
    <w:qFormat/>
    <w:pPr>
      <w:jc w:val="left"/>
      <w:spacing w:before="120" w:after="120" w:line="360" w:lineRule="auto"/>
    </w:pPr>
    <w:rPr>
      <w:rFonts w:ascii="Arial" w:hAnsi="Arial" w:eastAsia="宋体"/>
      <w:szCs w:val="24"/>
    </w:rPr>
  </w:style>
  <w:style w:type="paragraph" w:styleId="1143" w:customStyle="1">
    <w:name w:val="正文 1.1"/>
    <w:basedOn w:val="796"/>
    <w:next w:val="1127"/>
    <w:uiPriority w:val="0"/>
    <w:qFormat/>
    <w:pPr>
      <w:numPr>
        <w:ilvl w:val="1"/>
        <w:numId w:val="5"/>
      </w:numPr>
      <w:ind w:firstLine="550"/>
      <w:outlineLvl w:val="1"/>
    </w:pPr>
    <w:rPr>
      <w:rFonts w:ascii="仿宋" w:hAnsi="仿宋"/>
      <w:b/>
    </w:rPr>
  </w:style>
  <w:style w:type="paragraph" w:styleId="1144" w:customStyle="1">
    <w:name w:val="Table Paragraph"/>
    <w:basedOn w:val="796"/>
    <w:uiPriority w:val="1"/>
    <w:qFormat/>
    <w:rPr>
      <w:rFonts w:ascii="Calibri" w:hAnsi="Calibri"/>
      <w:lang w:eastAsia="en-US"/>
    </w:rPr>
  </w:style>
  <w:style w:type="paragraph" w:styleId="114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6"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CD 正文"/>
    <w:basedOn w:val="796"/>
    <w:uiPriority w:val="0"/>
    <w:qFormat/>
    <w:pPr>
      <w:jc w:val="left"/>
    </w:pPr>
    <w:rPr>
      <w:rFonts w:ascii="Arial" w:hAnsi="Arial" w:eastAsia="微软雅黑" w:cs="Arial"/>
      <w:szCs w:val="21"/>
    </w:rPr>
  </w:style>
  <w:style w:type="paragraph" w:styleId="1148"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49" w:customStyle="1">
    <w:name w:val="Char2"/>
    <w:basedOn w:val="796"/>
    <w:uiPriority w:val="0"/>
    <w:qFormat/>
    <w:pPr>
      <w:ind w:firstLine="200"/>
      <w:tabs>
        <w:tab w:val="left" w:pos="360" w:leader="none"/>
      </w:tabs>
    </w:pPr>
    <w:rPr>
      <w:sz w:val="28"/>
      <w:szCs w:val="30"/>
    </w:rPr>
  </w:style>
  <w:style w:type="paragraph" w:styleId="1150"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51" w:customStyle="1">
    <w:name w:val="p0"/>
    <w:basedOn w:val="796"/>
    <w:uiPriority w:val="0"/>
    <w:qFormat/>
    <w:pPr>
      <w:widowControl/>
    </w:pPr>
    <w:rPr>
      <w:szCs w:val="21"/>
    </w:rPr>
  </w:style>
  <w:style w:type="paragraph" w:styleId="1152" w:customStyle="1">
    <w:name w:val="msonormal"/>
    <w:basedOn w:val="796"/>
    <w:uiPriority w:val="0"/>
    <w:qFormat/>
    <w:pPr>
      <w:jc w:val="left"/>
      <w:spacing w:before="100" w:beforeAutospacing="1" w:after="100" w:afterAutospacing="1"/>
      <w:widowControl/>
    </w:pPr>
    <w:rPr>
      <w:rFonts w:ascii="宋体" w:hAnsi="宋体" w:cs="宋体"/>
      <w:sz w:val="24"/>
      <w:szCs w:val="24"/>
    </w:rPr>
  </w:style>
  <w:style w:type="paragraph" w:styleId="1153" w:customStyle="1">
    <w:name w:val="font5"/>
    <w:basedOn w:val="796"/>
    <w:uiPriority w:val="0"/>
    <w:qFormat/>
    <w:pPr>
      <w:jc w:val="left"/>
      <w:spacing w:before="100" w:beforeAutospacing="1" w:after="100" w:afterAutospacing="1"/>
      <w:widowControl/>
    </w:pPr>
    <w:rPr>
      <w:rFonts w:ascii="宋体" w:hAnsi="宋体" w:cs="宋体"/>
      <w:sz w:val="18"/>
      <w:szCs w:val="18"/>
    </w:rPr>
  </w:style>
  <w:style w:type="paragraph" w:styleId="1154" w:customStyle="1">
    <w:name w:val="font6"/>
    <w:basedOn w:val="796"/>
    <w:uiPriority w:val="0"/>
    <w:qFormat/>
    <w:pPr>
      <w:jc w:val="left"/>
      <w:spacing w:before="100" w:beforeAutospacing="1" w:after="100" w:afterAutospacing="1"/>
      <w:widowControl/>
    </w:pPr>
    <w:rPr>
      <w:rFonts w:ascii="Calibri" w:hAnsi="Calibri" w:cs="Calibri"/>
      <w:sz w:val="18"/>
      <w:szCs w:val="18"/>
    </w:rPr>
  </w:style>
  <w:style w:type="paragraph" w:styleId="1155" w:customStyle="1">
    <w:name w:val="xl84"/>
    <w:basedOn w:val="796"/>
    <w:uiPriority w:val="0"/>
    <w:qFormat/>
    <w:pPr>
      <w:jc w:val="left"/>
      <w:spacing w:before="100" w:beforeAutospacing="1" w:after="100" w:afterAutospacing="1"/>
      <w:widowControl/>
    </w:pPr>
    <w:rPr>
      <w:rFonts w:ascii="宋体" w:hAnsi="宋体" w:cs="宋体"/>
      <w:color w:val="000000"/>
      <w:sz w:val="24"/>
      <w:szCs w:val="24"/>
    </w:rPr>
  </w:style>
  <w:style w:type="paragraph" w:styleId="1156" w:customStyle="1">
    <w:name w:val="xl85"/>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86"/>
    <w:basedOn w:val="796"/>
    <w:uiPriority w:val="0"/>
    <w:qFormat/>
    <w:pPr>
      <w:jc w:val="left"/>
      <w:spacing w:before="100" w:beforeAutospacing="1" w:after="100" w:afterAutospacing="1"/>
      <w:widowControl/>
    </w:pPr>
    <w:rPr>
      <w:rFonts w:ascii="宋体" w:hAnsi="宋体" w:cs="宋体"/>
      <w:sz w:val="24"/>
      <w:szCs w:val="24"/>
    </w:rPr>
  </w:style>
  <w:style w:type="paragraph" w:styleId="1158" w:customStyle="1">
    <w:name w:val="xl8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9" w:customStyle="1">
    <w:name w:val="xl8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0" w:customStyle="1">
    <w:name w:val="xl89"/>
    <w:basedOn w:val="796"/>
    <w:uiPriority w:val="0"/>
    <w:qFormat/>
    <w:pPr>
      <w:jc w:val="left"/>
      <w:spacing w:before="100" w:beforeAutospacing="1" w:after="100" w:afterAutospacing="1"/>
      <w:widowControl/>
    </w:pPr>
    <w:rPr>
      <w:rFonts w:ascii="宋体" w:hAnsi="宋体" w:cs="宋体"/>
      <w:sz w:val="24"/>
      <w:szCs w:val="24"/>
    </w:rPr>
  </w:style>
  <w:style w:type="paragraph" w:styleId="1161" w:customStyle="1">
    <w:name w:val="xl9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2" w:customStyle="1">
    <w:name w:val="xl9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3" w:customStyle="1">
    <w:name w:val="xl9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9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9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9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67" w:customStyle="1">
    <w:name w:val="xl9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8" w:customStyle="1">
    <w:name w:val="xl9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9" w:customStyle="1">
    <w:name w:val="xl9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0" w:customStyle="1">
    <w:name w:val="xl9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00"/>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2" w:customStyle="1">
    <w:name w:val="xl10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0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4" w:customStyle="1">
    <w:name w:val="xl10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75" w:customStyle="1">
    <w:name w:val="xl10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0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10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0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0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10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1" w:customStyle="1">
    <w:name w:val="xl11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1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11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1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15"/>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6" w:customStyle="1">
    <w:name w:val="xl116"/>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7" w:customStyle="1">
    <w:name w:val="xl117"/>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1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9" w:customStyle="1">
    <w:name w:val="xl119"/>
    <w:basedOn w:val="796"/>
    <w:uiPriority w:val="0"/>
    <w:qFormat/>
    <w:pPr>
      <w:jc w:val="center"/>
      <w:spacing w:before="100" w:beforeAutospacing="1" w:after="100" w:afterAutospacing="1"/>
      <w:widowControl/>
    </w:pPr>
    <w:rPr>
      <w:rFonts w:ascii="宋体" w:hAnsi="宋体" w:cs="宋体"/>
      <w:sz w:val="24"/>
      <w:szCs w:val="24"/>
    </w:rPr>
  </w:style>
  <w:style w:type="paragraph" w:styleId="1190" w:customStyle="1">
    <w:name w:val="xl120"/>
    <w:basedOn w:val="796"/>
    <w:uiPriority w:val="0"/>
    <w:qFormat/>
    <w:pPr>
      <w:jc w:val="center"/>
      <w:spacing w:before="100" w:beforeAutospacing="1" w:after="100" w:afterAutospacing="1"/>
      <w:widowControl/>
    </w:pPr>
    <w:rPr>
      <w:rFonts w:ascii="宋体" w:hAnsi="宋体" w:cs="宋体"/>
      <w:sz w:val="24"/>
      <w:szCs w:val="24"/>
    </w:rPr>
  </w:style>
  <w:style w:type="paragraph" w:styleId="1191" w:customStyle="1">
    <w:name w:val="xl12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2" w:customStyle="1">
    <w:name w:val="xl12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3" w:customStyle="1">
    <w:name w:val="xl12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4" w:customStyle="1">
    <w:name w:val="xl12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5" w:customStyle="1">
    <w:name w:val="xl12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6" w:customStyle="1">
    <w:name w:val="xl12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7" w:customStyle="1">
    <w:name w:val="xl11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8" w:customStyle="1">
    <w:name w:val="xl127"/>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9" w:customStyle="1">
    <w:name w:val="xl128"/>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00" w:customStyle="1">
    <w:name w:val="xl129"/>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01" w:customStyle="1">
    <w:name w:val="xl130"/>
    <w:basedOn w:val="796"/>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02" w:customStyle="1">
    <w:name w:val="xl13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03" w:customStyle="1">
    <w:name w:val="xl132"/>
    <w:basedOn w:val="7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04" w:customStyle="1">
    <w:name w:val="xl133"/>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05" w:customStyle="1">
    <w:name w:val="xl13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6" w:customStyle="1">
    <w:name w:val="xl13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7" w:customStyle="1">
    <w:name w:val="xl13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8" w:customStyle="1">
    <w:name w:val="xl137"/>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9" w:customStyle="1">
    <w:name w:val="_Style 227"/>
    <w:uiPriority w:val="99"/>
    <w:semiHidden/>
    <w:qFormat/>
    <w:rPr>
      <w:rFonts w:hint="default" w:ascii="等线" w:hAnsi="等线" w:eastAsia="等线" w:cs="Times New Roman"/>
      <w:sz w:val="21"/>
      <w:szCs w:val="22"/>
      <w:lang w:val="en-US" w:eastAsia="zh-CN" w:bidi="ar-SA"/>
    </w:rPr>
  </w:style>
  <w:style w:type="paragraph" w:styleId="1210" w:customStyle="1">
    <w:name w:val="正文_0"/>
    <w:next w:val="796"/>
    <w:uiPriority w:val="3"/>
    <w:qFormat/>
    <w:pPr>
      <w:jc w:val="both"/>
      <w:widowControl w:val="off"/>
    </w:pPr>
    <w:rPr>
      <w:rFonts w:hint="default" w:ascii="Calibri" w:hAnsi="Calibri" w:eastAsia="宋体" w:cs="Times New Roman"/>
      <w:sz w:val="21"/>
      <w:lang w:val="en-US" w:eastAsia="zh-CN" w:bidi="ar-SA"/>
    </w:rPr>
  </w:style>
  <w:style w:type="paragraph" w:styleId="1211" w:customStyle="1">
    <w:name w:val="Char Char Char Char Char Char Char1 Char"/>
    <w:basedOn w:val="796"/>
    <w:uiPriority w:val="0"/>
    <w:qFormat/>
    <w:rPr>
      <w:rFonts w:ascii="Tahoma" w:hAnsi="Tahoma"/>
      <w:sz w:val="24"/>
      <w:szCs w:val="24"/>
    </w:rPr>
  </w:style>
  <w:style w:type="paragraph" w:styleId="1212" w:customStyle="1">
    <w:name w:val="TOC 11"/>
    <w:basedOn w:val="796"/>
    <w:next w:val="796"/>
    <w:uiPriority w:val="0"/>
    <w:qFormat/>
  </w:style>
  <w:style w:type="paragraph" w:styleId="1213" w:customStyle="1">
    <w:name w:val="标题 71"/>
    <w:basedOn w:val="796"/>
    <w:next w:val="796"/>
    <w:link w:val="1214"/>
    <w:uiPriority w:val="9"/>
    <w:unhideWhenUsed/>
    <w:qFormat/>
    <w:pPr>
      <w:keepLines/>
      <w:keepNext/>
      <w:spacing w:before="320" w:after="200"/>
      <w:outlineLvl w:val="6"/>
    </w:pPr>
    <w:rPr>
      <w:rFonts w:ascii="Arial" w:hAnsi="Arial" w:eastAsia="Arial"/>
      <w:b/>
      <w:bCs/>
      <w:i/>
      <w:iCs/>
      <w:sz w:val="22"/>
    </w:rPr>
  </w:style>
  <w:style w:type="character" w:styleId="1214" w:customStyle="1">
    <w:name w:val="Heading 7 Char"/>
    <w:link w:val="1213"/>
    <w:uiPriority w:val="9"/>
    <w:qFormat/>
    <w:rPr>
      <w:rFonts w:ascii="Arial" w:hAnsi="Arial" w:eastAsia="Arial" w:cs="Arial"/>
      <w:b/>
      <w:bCs/>
      <w:i/>
      <w:iCs/>
      <w:sz w:val="22"/>
      <w:szCs w:val="22"/>
    </w:rPr>
  </w:style>
  <w:style w:type="paragraph" w:styleId="1215" w:customStyle="1">
    <w:name w:val="正文文本缩进1"/>
    <w:basedOn w:val="796"/>
    <w:next w:val="796"/>
    <w:uiPriority w:val="99"/>
    <w:unhideWhenUsed/>
    <w:qFormat/>
    <w:pPr>
      <w:ind w:firstLine="540"/>
      <w:spacing w:line="400" w:lineRule="exact"/>
    </w:pPr>
    <w:rPr>
      <w:sz w:val="24"/>
    </w:rPr>
  </w:style>
  <w:style w:type="character" w:styleId="1216" w:customStyle="1">
    <w:name w:val="font31"/>
    <w:basedOn w:val="806"/>
    <w:uiPriority w:val="0"/>
    <w:qFormat/>
    <w:rPr>
      <w:rFonts w:hint="eastAsia" w:ascii="宋体" w:hAnsi="宋体" w:eastAsia="宋体" w:cs="宋体"/>
      <w:color w:val="000000"/>
      <w:sz w:val="24"/>
      <w:szCs w:val="24"/>
      <w:u w:val="none"/>
      <w:vertAlign w:val="superscript"/>
    </w:rPr>
  </w:style>
  <w:style w:type="paragraph" w:styleId="1217" w:customStyle="1">
    <w:name w:val="正文文本11"/>
    <w:basedOn w:val="796"/>
    <w:next w:val="796"/>
    <w:uiPriority w:val="0"/>
    <w:qFormat/>
    <w:rPr>
      <w:rFonts w:ascii="楷体_GB2312" w:hAnsi="Arial" w:eastAsia="楷体_GB2312"/>
      <w:sz w:val="28"/>
      <w:szCs w:val="28"/>
    </w:rPr>
  </w:style>
  <w:style w:type="paragraph" w:styleId="1218" w:customStyle="1">
    <w:name w:val="Table Text"/>
    <w:basedOn w:val="796"/>
    <w:uiPriority w:val="0"/>
    <w:semiHidden/>
    <w:qFormat/>
    <w:rPr>
      <w:rFonts w:ascii="宋体" w:hAnsi="宋体" w:eastAsia="宋体" w:cs="宋体"/>
      <w:sz w:val="18"/>
      <w:szCs w:val="18"/>
      <w:lang w:val="en-US" w:eastAsia="en-US" w:bidi="ar-SA"/>
    </w:rPr>
  </w:style>
  <w:style w:type="table" w:styleId="1219" w:customStyle="1">
    <w:name w:val="Table Normal"/>
    <w:uiPriority w:val="0"/>
    <w:semiHidden/>
    <w:unhideWhenUsed/>
    <w:qFormat/>
    <w:tblPr>
      <w:tblCellMar>
        <w:left w:w="0" w:type="dxa"/>
        <w:top w:w="0" w:type="dxa"/>
        <w:right w:w="0" w:type="dxa"/>
        <w:bottom w:w="0" w:type="dxa"/>
      </w:tblCellMar>
    </w:tblPr>
  </w:style>
  <w:style w:type="paragraph" w:styleId="1220" w:customStyle="1">
    <w:name w:val="首行缩进"/>
    <w:basedOn w:val="796"/>
    <w:uiPriority w:val="0"/>
    <w:qFormat/>
    <w:pPr>
      <w:ind w:firstLine="420"/>
      <w:spacing w:line="360" w:lineRule="auto"/>
    </w:pPr>
  </w:style>
  <w:style w:type="character" w:styleId="1221" w:customStyle="1">
    <w:name w:val="A13"/>
    <w:uiPriority w:val="99"/>
    <w:qFormat/>
    <w:rPr>
      <w:rFonts w:cs="......."/>
      <w:color w:val="000000"/>
      <w:sz w:val="11"/>
      <w:szCs w:val="11"/>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17</cp:revision>
  <dcterms:created xsi:type="dcterms:W3CDTF">2024-10-14T08:05:00Z</dcterms:created>
  <dcterms:modified xsi:type="dcterms:W3CDTF">2026-01-13T02:53:11Z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9DEE8D45CC514E10946D008F42D13B79_13</vt:lpwstr>
  </property>
  <property fmtid="{D5CDD505-2E9C-101B-9397-08002B2CF9AE}" pid="4" name="KSOTemplateDocerSaveRecord">
    <vt:lpwstr>eyJoZGlkIjoiZTVkNzQ3OWEyMTdhMmNjZTE0YWI3MmE4NDZlMmFlODAiLCJ1c2VySWQiOiI0MTk2MzY1OTUifQ==</vt:lpwstr>
  </property>
</Properties>
</file>