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66CC3">
      <w:pPr>
        <w:pStyle w:val="30"/>
        <w:spacing w:beforeAutospacing="0" w:afterAutospacing="0" w:line="0" w:lineRule="atLeast"/>
        <w:jc w:val="both"/>
        <w:rPr>
          <w:rFonts w:ascii="Times New Roman" w:hAnsi="Times New Roman" w:cs="Times New Roman"/>
          <w:b/>
          <w:bCs/>
          <w:sz w:val="44"/>
          <w:szCs w:val="44"/>
        </w:rPr>
      </w:pPr>
      <w:bookmarkStart w:id="0" w:name="_Toc1519"/>
      <w:bookmarkStart w:id="1" w:name="_Toc31956"/>
      <w:bookmarkStart w:id="2" w:name="EBa8c69c4726824205bbf6fbe49f912e2d"/>
      <w:bookmarkStart w:id="3" w:name="EB154f34bfcea5417199f8cf429c255bfe"/>
      <w:bookmarkStart w:id="4" w:name="_Toc141869962"/>
      <w:bookmarkStart w:id="5" w:name="EBc9d8a0a6c333409599b28034cbc893d2"/>
      <w:bookmarkStart w:id="6" w:name="OLE_LINK3"/>
      <w:bookmarkStart w:id="7" w:name="EB7c676092b0b54336b4f7c76350bf2f81"/>
    </w:p>
    <w:p w14:paraId="14BA7A72">
      <w:pPr>
        <w:pStyle w:val="30"/>
        <w:spacing w:beforeAutospacing="0" w:afterAutospacing="0" w:line="0" w:lineRule="atLeast"/>
        <w:jc w:val="center"/>
        <w:rPr>
          <w:rFonts w:ascii="Times New Roman" w:hAnsi="Times New Roman" w:cs="Times New Roman"/>
          <w:b/>
          <w:bCs/>
          <w:sz w:val="44"/>
          <w:szCs w:val="44"/>
        </w:rPr>
      </w:pPr>
      <w:bookmarkStart w:id="9" w:name="_GoBack"/>
      <w:bookmarkEnd w:id="9"/>
      <w:r>
        <w:rPr>
          <w:rFonts w:ascii="Times New Roman" w:hAnsi="Times New Roman" w:cs="Times New Roman"/>
          <w:b/>
          <w:bCs/>
          <w:sz w:val="44"/>
          <w:szCs w:val="44"/>
        </w:rPr>
        <w:t xml:space="preserve"> 采购需求</w:t>
      </w:r>
      <w:bookmarkEnd w:id="0"/>
      <w:bookmarkEnd w:id="1"/>
    </w:p>
    <w:p w14:paraId="4C3624EB">
      <w:pPr>
        <w:spacing w:line="360" w:lineRule="auto"/>
        <w:ind w:firstLine="480"/>
        <w:rPr>
          <w:rFonts w:ascii="宋体" w:hAnsi="宋体" w:eastAsia="宋体" w:cs="Times New Roman"/>
          <w:sz w:val="24"/>
        </w:rPr>
      </w:pPr>
    </w:p>
    <w:p w14:paraId="6D8660FF">
      <w:pPr>
        <w:spacing w:line="360" w:lineRule="auto"/>
        <w:jc w:val="left"/>
        <w:rPr>
          <w:rFonts w:ascii="宋体" w:hAnsi="宋体" w:eastAsia="宋体" w:cs="宋体"/>
          <w:color w:val="000000"/>
          <w:sz w:val="24"/>
        </w:rPr>
      </w:pPr>
      <w:r>
        <w:rPr>
          <w:rFonts w:hint="eastAsia" w:ascii="宋体" w:hAnsi="宋体" w:eastAsia="宋体" w:cs="宋体"/>
          <w:color w:val="000000"/>
          <w:sz w:val="24"/>
        </w:rPr>
        <w:t>项目属性：服务类项目。</w:t>
      </w:r>
    </w:p>
    <w:p w14:paraId="42BE4B47">
      <w:pPr>
        <w:spacing w:line="360" w:lineRule="auto"/>
        <w:jc w:val="left"/>
        <w:rPr>
          <w:rFonts w:ascii="宋体" w:hAnsi="宋体" w:eastAsia="宋体" w:cs="宋体"/>
          <w:color w:val="000000"/>
          <w:sz w:val="24"/>
        </w:rPr>
      </w:pPr>
      <w:r>
        <w:rPr>
          <w:rFonts w:hint="eastAsia" w:ascii="宋体" w:hAnsi="宋体" w:eastAsia="宋体" w:cs="宋体"/>
          <w:color w:val="000000"/>
          <w:sz w:val="24"/>
        </w:rPr>
        <w:t>本项目采购标的对应的中小企业划分标准所属行业：</w:t>
      </w:r>
      <w:r>
        <w:rPr>
          <w:rFonts w:hint="eastAsia" w:ascii="宋体" w:hAnsi="宋体" w:eastAsia="宋体" w:cs="宋体"/>
          <w:color w:val="000000"/>
          <w:sz w:val="24"/>
          <w:u w:val="single"/>
        </w:rPr>
        <w:t>其他未列明行业</w:t>
      </w:r>
    </w:p>
    <w:p w14:paraId="5EFC2D40">
      <w:pPr>
        <w:spacing w:line="360" w:lineRule="auto"/>
        <w:jc w:val="left"/>
        <w:rPr>
          <w:rFonts w:ascii="宋体" w:hAnsi="宋体" w:eastAsia="宋体" w:cs="宋体"/>
          <w:color w:val="000000"/>
          <w:sz w:val="24"/>
        </w:rPr>
      </w:pPr>
      <w:r>
        <w:rPr>
          <w:rFonts w:hint="eastAsia" w:ascii="宋体" w:hAnsi="宋体" w:eastAsia="宋体" w:cs="宋体"/>
          <w:color w:val="000000"/>
          <w:sz w:val="24"/>
        </w:rPr>
        <w:t>本项目</w:t>
      </w:r>
      <w:r>
        <w:rPr>
          <w:rFonts w:hint="eastAsia" w:ascii="宋体" w:hAnsi="宋体" w:eastAsia="宋体" w:cs="宋体"/>
          <w:color w:val="000000"/>
          <w:sz w:val="24"/>
          <w:u w:val="single"/>
        </w:rPr>
        <w:t>不接受</w:t>
      </w:r>
      <w:r>
        <w:rPr>
          <w:rFonts w:hint="eastAsia" w:ascii="宋体" w:hAnsi="宋体" w:eastAsia="宋体" w:cs="宋体"/>
          <w:color w:val="000000"/>
          <w:sz w:val="24"/>
        </w:rPr>
        <w:t>进口产品。</w:t>
      </w:r>
    </w:p>
    <w:p w14:paraId="2116FA0B">
      <w:pPr>
        <w:spacing w:line="360" w:lineRule="exact"/>
        <w:ind w:firstLine="281" w:firstLineChars="100"/>
        <w:rPr>
          <w:rFonts w:ascii="宋体" w:hAnsi="宋体" w:eastAsia="宋体" w:cs="Times New Roman"/>
          <w:b/>
          <w:sz w:val="28"/>
          <w:szCs w:val="28"/>
        </w:rPr>
      </w:pPr>
      <w:r>
        <w:rPr>
          <w:rFonts w:hint="eastAsia" w:ascii="宋体" w:hAnsi="宋体" w:eastAsia="宋体" w:cs="Times New Roman"/>
          <w:b/>
          <w:sz w:val="28"/>
          <w:szCs w:val="28"/>
        </w:rPr>
        <w:t>一、项目概况</w:t>
      </w:r>
    </w:p>
    <w:p w14:paraId="67B294EC">
      <w:pPr>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1、项目简介</w:t>
      </w:r>
      <w:r>
        <w:rPr>
          <w:rFonts w:hint="eastAsia" w:ascii="宋体" w:hAnsi="宋体" w:eastAsia="宋体" w:cs="宋体"/>
          <w:color w:val="000000"/>
          <w:sz w:val="24"/>
        </w:rPr>
        <w:tab/>
      </w:r>
    </w:p>
    <w:p w14:paraId="12ABD0FF">
      <w:pPr>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沭阳县公安局交通事故扣留车辆拖移保管项目，主要包括</w:t>
      </w:r>
      <w:r>
        <w:rPr>
          <w:rFonts w:ascii="Times New Roman" w:hAnsi="Times New Roman" w:cs="Times New Roman"/>
          <w:color w:val="000000"/>
          <w:sz w:val="24"/>
        </w:rPr>
        <w:t>将公安交管部门依法扣留的涉案车辆拖移至指定地点停放保管以及事故现场拆除、起吊、拖拽、清扫等作业服务</w:t>
      </w:r>
      <w:r>
        <w:rPr>
          <w:rFonts w:hint="eastAsia" w:ascii="宋体" w:hAnsi="宋体" w:eastAsia="宋体" w:cs="宋体"/>
          <w:color w:val="000000"/>
          <w:sz w:val="24"/>
        </w:rPr>
        <w:t>。</w:t>
      </w:r>
    </w:p>
    <w:p w14:paraId="4FE9E419">
      <w:pPr>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2、本项目将涉案车辆分为五类，即：特大型车辆（含牵引车和挂车）、大型车辆（含黄牌照、新能源半黄牌照）、小型车辆（含蓝牌照、新能源全绿牌照）、四轮以下机动车辆（含二、三轮燃油车辆、非标电动四轮车）、非机动车（包含各类非机动车和电动二、三轮车），车辆类型计费标准按照对应车辆类型中标价计算收费，最高单价为：特大型车辆450元/辆、大型车辆250元/辆、小型车辆215元/辆、四轮以下机动车辆95元/辆、非机动车辆48元/辆计算，以上计费标准含现场拆除、起吊、拖拽、清扫等有关清障工作费用。</w:t>
      </w:r>
    </w:p>
    <w:p w14:paraId="7106532D">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3、服务期：1年（自合同签订之日起计算）。</w:t>
      </w:r>
    </w:p>
    <w:p w14:paraId="599D8B5A">
      <w:pPr>
        <w:spacing w:line="360" w:lineRule="auto"/>
        <w:ind w:firstLine="562"/>
        <w:rPr>
          <w:rFonts w:ascii="宋体" w:hAnsi="宋体" w:eastAsia="宋体" w:cs="Times New Roman"/>
          <w:b/>
          <w:sz w:val="28"/>
          <w:szCs w:val="28"/>
        </w:rPr>
      </w:pPr>
      <w:r>
        <w:rPr>
          <w:rFonts w:hint="eastAsia" w:ascii="宋体" w:hAnsi="宋体" w:eastAsia="宋体" w:cs="Times New Roman"/>
          <w:b/>
          <w:sz w:val="28"/>
          <w:szCs w:val="28"/>
        </w:rPr>
        <w:t>二、付款方式</w:t>
      </w:r>
    </w:p>
    <w:p w14:paraId="2544322B">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预付款：合同总价金额的10%，合同签订后按规定支付；</w:t>
      </w:r>
    </w:p>
    <w:p w14:paraId="2CE1E905">
      <w:pPr>
        <w:spacing w:line="360" w:lineRule="auto"/>
        <w:ind w:firstLine="480" w:firstLineChars="200"/>
        <w:jc w:val="left"/>
        <w:rPr>
          <w:rFonts w:hint="default" w:ascii="宋体" w:hAnsi="宋体" w:eastAsia="宋体" w:cs="宋体"/>
          <w:color w:val="000000"/>
          <w:sz w:val="24"/>
          <w:lang w:val="en-US" w:eastAsia="zh-CN"/>
        </w:rPr>
      </w:pPr>
      <w:r>
        <w:rPr>
          <w:rFonts w:hint="eastAsia" w:ascii="宋体" w:hAnsi="宋体" w:eastAsia="宋体" w:cs="宋体"/>
          <w:color w:val="000000"/>
          <w:sz w:val="24"/>
        </w:rPr>
        <w:t>进度款：经验收考核合格</w:t>
      </w:r>
      <w:r>
        <w:rPr>
          <w:rFonts w:hint="eastAsia" w:ascii="宋体" w:hAnsi="宋体" w:eastAsia="宋体" w:cs="宋体"/>
          <w:color w:val="000000"/>
          <w:sz w:val="24"/>
          <w:lang w:eastAsia="zh-CN"/>
        </w:rPr>
        <w:t>后，每</w:t>
      </w:r>
      <w:r>
        <w:rPr>
          <w:rFonts w:hint="eastAsia" w:ascii="宋体" w:hAnsi="宋体" w:eastAsia="宋体" w:cs="宋体"/>
          <w:color w:val="000000"/>
          <w:sz w:val="24"/>
          <w:lang w:val="en-US" w:eastAsia="zh-CN"/>
        </w:rPr>
        <w:t>6个月支付一次（按实结算），每次不超过合同总价的50%。</w:t>
      </w:r>
    </w:p>
    <w:p w14:paraId="754BCB7B">
      <w:pPr>
        <w:spacing w:line="360" w:lineRule="auto"/>
        <w:ind w:firstLine="482" w:firstLineChars="200"/>
        <w:jc w:val="left"/>
        <w:rPr>
          <w:rFonts w:ascii="宋体" w:hAnsi="宋体" w:eastAsia="宋体" w:cs="宋体"/>
          <w:b/>
          <w:bCs/>
          <w:color w:val="000000"/>
          <w:sz w:val="24"/>
        </w:rPr>
      </w:pPr>
      <w:r>
        <w:rPr>
          <w:rFonts w:hint="eastAsia" w:ascii="宋体" w:hAnsi="宋体" w:eastAsia="宋体" w:cs="宋体"/>
          <w:b/>
          <w:bCs/>
          <w:color w:val="000000"/>
          <w:sz w:val="24"/>
        </w:rPr>
        <w:t>（注：在签订合同时，供应商明确表示无需预付款或者主动要求降低预付款比例的额度，采购人可不适用前述预付款规定。）</w:t>
      </w:r>
    </w:p>
    <w:p w14:paraId="4D2C75AE">
      <w:pPr>
        <w:spacing w:line="360" w:lineRule="auto"/>
        <w:ind w:firstLine="562"/>
        <w:rPr>
          <w:rFonts w:ascii="宋体" w:hAnsi="宋体" w:eastAsia="宋体" w:cs="Times New Roman"/>
          <w:b/>
          <w:sz w:val="28"/>
          <w:szCs w:val="28"/>
        </w:rPr>
      </w:pPr>
      <w:r>
        <w:rPr>
          <w:rFonts w:hint="eastAsia" w:ascii="宋体" w:hAnsi="宋体" w:eastAsia="宋体" w:cs="Times New Roman"/>
          <w:b/>
          <w:sz w:val="28"/>
          <w:szCs w:val="28"/>
        </w:rPr>
        <w:t>三、服务内容及要求</w:t>
      </w:r>
    </w:p>
    <w:p w14:paraId="3E666444">
      <w:pPr>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1、服务范围为沭阳全境，包含各乡、镇、街道等，主要包括</w:t>
      </w:r>
      <w:r>
        <w:rPr>
          <w:rFonts w:ascii="Times New Roman" w:hAnsi="Times New Roman" w:cs="Times New Roman"/>
          <w:color w:val="000000"/>
          <w:sz w:val="24"/>
        </w:rPr>
        <w:t>将公安交管部门依法扣留的涉案车辆拖移至指定地点停放保管以及事故现场拆除、起吊、拖拽、清扫等作业服务</w:t>
      </w:r>
      <w:r>
        <w:rPr>
          <w:rFonts w:hint="eastAsia" w:ascii="宋体" w:hAnsi="宋体" w:eastAsia="宋体" w:cs="宋体"/>
          <w:color w:val="000000"/>
          <w:sz w:val="24"/>
        </w:rPr>
        <w:t>。</w:t>
      </w:r>
    </w:p>
    <w:p w14:paraId="2D898E72">
      <w:pPr>
        <w:spacing w:line="360" w:lineRule="auto"/>
        <w:ind w:firstLine="480" w:firstLineChars="200"/>
        <w:jc w:val="left"/>
        <w:rPr>
          <w:rFonts w:hint="eastAsia" w:ascii="宋体" w:hAnsi="宋体" w:eastAsia="宋体" w:cs="宋体"/>
          <w:color w:val="FF0000"/>
          <w:sz w:val="24"/>
          <w:lang w:eastAsia="zh-CN"/>
        </w:rPr>
      </w:pPr>
      <w:r>
        <w:rPr>
          <w:rFonts w:hint="eastAsia" w:ascii="宋体" w:hAnsi="宋体" w:eastAsia="宋体" w:cs="宋体"/>
          <w:color w:val="000000"/>
          <w:sz w:val="24"/>
        </w:rPr>
        <w:t>2、</w:t>
      </w:r>
      <w:r>
        <w:rPr>
          <w:rFonts w:hint="eastAsia" w:ascii="黑体" w:hAnsi="黑体" w:eastAsia="黑体" w:cs="黑体"/>
          <w:color w:val="000000"/>
          <w:sz w:val="24"/>
        </w:rPr>
        <w:t>★</w:t>
      </w:r>
      <w:r>
        <w:rPr>
          <w:rFonts w:hint="eastAsia" w:ascii="宋体" w:hAnsi="宋体" w:eastAsia="宋体" w:cs="宋体"/>
          <w:color w:val="000000"/>
          <w:sz w:val="24"/>
          <w:lang w:eastAsia="zh-CN"/>
        </w:rPr>
        <w:t>中标人</w:t>
      </w:r>
      <w:r>
        <w:rPr>
          <w:rFonts w:hint="eastAsia" w:ascii="宋体" w:hAnsi="宋体" w:eastAsia="宋体" w:cs="宋体"/>
          <w:color w:val="000000"/>
          <w:sz w:val="24"/>
        </w:rPr>
        <w:t>在沭阳主城区、沂河南城郊结合部、沂河北城郊结合部均要有一处本项目专用停车场，每处要求不低于15亩并足够容纳涉案车辆停放保管（自建或租赁均可，自建应提供自建证明，</w:t>
      </w:r>
      <w:r>
        <w:rPr>
          <w:rFonts w:hint="eastAsia" w:ascii="宋体" w:hAnsi="宋体" w:eastAsia="宋体" w:cs="宋体"/>
          <w:color w:val="000000"/>
          <w:sz w:val="24"/>
          <w:lang w:val="en-US" w:eastAsia="zh-CN"/>
        </w:rPr>
        <w:t>若为</w:t>
      </w:r>
      <w:r>
        <w:rPr>
          <w:rFonts w:hint="eastAsia" w:ascii="宋体" w:hAnsi="宋体" w:eastAsia="宋体" w:cs="宋体"/>
          <w:color w:val="000000"/>
          <w:sz w:val="24"/>
        </w:rPr>
        <w:t>租赁的应提供</w:t>
      </w:r>
      <w:r>
        <w:rPr>
          <w:rFonts w:hint="eastAsia" w:ascii="宋体" w:hAnsi="宋体" w:eastAsia="宋体" w:cs="宋体"/>
          <w:color w:val="000000"/>
          <w:sz w:val="24"/>
          <w:lang w:eastAsia="zh-CN"/>
        </w:rPr>
        <w:t>承诺函</w:t>
      </w:r>
      <w:r>
        <w:rPr>
          <w:rFonts w:hint="eastAsia" w:ascii="宋体" w:hAnsi="宋体" w:eastAsia="宋体" w:cs="宋体"/>
          <w:color w:val="000000"/>
          <w:sz w:val="24"/>
          <w:lang w:val="en-US" w:eastAsia="zh-CN"/>
        </w:rPr>
        <w:t>(格式自拟，承诺内容需包含：中标后签订合同之日起15日之内租赁符合本次招标要求的场地，并提供租赁合同。</w:t>
      </w:r>
      <w:r>
        <w:rPr>
          <w:rFonts w:hint="eastAsia" w:ascii="宋体" w:hAnsi="宋体" w:eastAsia="宋体" w:cs="宋体"/>
          <w:color w:val="000000"/>
          <w:sz w:val="24"/>
        </w:rPr>
        <w:t>）。通往停车场的道路必须保证各种车辆往返顺利通行，路基路面标准不得低于二级公路的相关标准，停车场场地须硬化，保证停放重型车辆；若停车场地不够使用，</w:t>
      </w:r>
      <w:r>
        <w:rPr>
          <w:rFonts w:hint="eastAsia" w:ascii="宋体" w:hAnsi="宋体" w:eastAsia="宋体" w:cs="宋体"/>
          <w:color w:val="000000"/>
          <w:sz w:val="24"/>
          <w:lang w:eastAsia="zh-CN"/>
        </w:rPr>
        <w:t>中标人</w:t>
      </w:r>
      <w:r>
        <w:rPr>
          <w:rFonts w:hint="eastAsia" w:ascii="宋体" w:hAnsi="宋体" w:eastAsia="宋体" w:cs="宋体"/>
          <w:color w:val="000000"/>
          <w:sz w:val="24"/>
        </w:rPr>
        <w:t xml:space="preserve">有义务扩大场地面积，满足所有拖移车辆有序停放。 </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若中标后未履约承诺函内容，则视为未按招标文件与投标文件要求订立合同。</w:t>
      </w:r>
      <w:r>
        <w:rPr>
          <w:rFonts w:hint="eastAsia" w:ascii="宋体" w:hAnsi="宋体" w:eastAsia="宋体" w:cs="宋体"/>
          <w:color w:val="000000"/>
          <w:sz w:val="24"/>
          <w:lang w:eastAsia="zh-CN"/>
        </w:rPr>
        <w:t>）</w:t>
      </w:r>
    </w:p>
    <w:p w14:paraId="57AC4229">
      <w:pPr>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3、</w:t>
      </w:r>
      <w:r>
        <w:rPr>
          <w:rFonts w:hint="eastAsia" w:ascii="黑体" w:hAnsi="黑体" w:eastAsia="黑体" w:cs="黑体"/>
          <w:color w:val="000000"/>
          <w:sz w:val="24"/>
        </w:rPr>
        <w:t>★</w:t>
      </w:r>
      <w:r>
        <w:rPr>
          <w:rFonts w:hint="eastAsia" w:ascii="宋体" w:hAnsi="宋体" w:eastAsia="宋体" w:cs="宋体"/>
          <w:color w:val="000000"/>
          <w:sz w:val="24"/>
          <w:lang w:eastAsia="zh-CN"/>
        </w:rPr>
        <w:t>中标人</w:t>
      </w:r>
      <w:r>
        <w:rPr>
          <w:rFonts w:hint="eastAsia" w:ascii="宋体" w:hAnsi="宋体" w:eastAsia="宋体" w:cs="宋体"/>
          <w:color w:val="000000"/>
          <w:sz w:val="24"/>
        </w:rPr>
        <w:t>停车场车辆专职保管人员不少于3人，专职清障人员不少于9人，固定的公司管理人员不少于2人。具有完善的公司管理制度和停车场管理系统，值班用房，以及监控、消防设施等与停车管理相关的附属设施。</w:t>
      </w:r>
    </w:p>
    <w:p w14:paraId="143D9BF0">
      <w:pPr>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4、清障车、救援车随车安全装备等能够满足日常交通事故现场清障服务需要（车辆须为</w:t>
      </w:r>
      <w:r>
        <w:rPr>
          <w:rFonts w:hint="eastAsia" w:ascii="宋体" w:hAnsi="宋体" w:eastAsia="宋体" w:cs="宋体"/>
          <w:color w:val="000000"/>
          <w:sz w:val="24"/>
          <w:lang w:eastAsia="zh-CN"/>
        </w:rPr>
        <w:t>中标人</w:t>
      </w:r>
      <w:r>
        <w:rPr>
          <w:rFonts w:hint="eastAsia" w:ascii="宋体" w:hAnsi="宋体" w:eastAsia="宋体" w:cs="宋体"/>
          <w:color w:val="000000"/>
          <w:sz w:val="24"/>
        </w:rPr>
        <w:t>所有或租赁）。</w:t>
      </w:r>
    </w:p>
    <w:p w14:paraId="009A895C">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黑体" w:hAnsi="黑体" w:eastAsia="黑体" w:cs="黑体"/>
          <w:color w:val="000000"/>
          <w:sz w:val="24"/>
        </w:rPr>
        <w:t>★</w:t>
      </w:r>
      <w:r>
        <w:rPr>
          <w:rFonts w:hint="eastAsia" w:ascii="宋体" w:hAnsi="宋体" w:eastAsia="宋体" w:cs="宋体"/>
          <w:color w:val="000000"/>
          <w:sz w:val="24"/>
        </w:rPr>
        <w:t>配置清障车不少于9辆，其中16吨以上清障车不少于2辆；以上车辆至少有6辆登记在</w:t>
      </w:r>
      <w:r>
        <w:rPr>
          <w:rFonts w:hint="eastAsia" w:ascii="宋体" w:hAnsi="宋体" w:eastAsia="宋体" w:cs="宋体"/>
          <w:color w:val="000000"/>
          <w:sz w:val="24"/>
          <w:lang w:eastAsia="zh-CN"/>
        </w:rPr>
        <w:t>中标人</w:t>
      </w:r>
      <w:r>
        <w:rPr>
          <w:rFonts w:hint="eastAsia" w:ascii="宋体" w:hAnsi="宋体" w:eastAsia="宋体" w:cs="宋体"/>
          <w:color w:val="000000"/>
          <w:sz w:val="24"/>
        </w:rPr>
        <w:t>名下，其余车辆可租赁。所有车辆证件、保险齐全有效，并保持车容整洁，车况良好。</w:t>
      </w:r>
    </w:p>
    <w:p w14:paraId="2145B882">
      <w:pPr>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（2）随车安全装备：4块交通安全标志牌、15个反光锥形筒、6个闪光警示灯、1个便携式探照灯、1根闪光警示棒、若干灭火器、反光背心、手电筒、铁锹、扫把、牵引绳等简易救援工具。</w:t>
      </w:r>
    </w:p>
    <w:p w14:paraId="06B80345">
      <w:pPr>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（3）根据</w:t>
      </w:r>
      <w:r>
        <w:rPr>
          <w:rFonts w:hint="eastAsia" w:ascii="宋体" w:hAnsi="宋体" w:eastAsia="宋体" w:cs="宋体"/>
          <w:color w:val="000000"/>
          <w:sz w:val="24"/>
          <w:lang w:eastAsia="zh-CN"/>
        </w:rPr>
        <w:t>采购人</w:t>
      </w:r>
      <w:r>
        <w:rPr>
          <w:rFonts w:hint="eastAsia" w:ascii="宋体" w:hAnsi="宋体" w:eastAsia="宋体" w:cs="宋体"/>
          <w:color w:val="000000"/>
          <w:sz w:val="24"/>
        </w:rPr>
        <w:t>工作需要，及时进行车辆拖曳、道路清障等工作，确保白天(08:00-19:59)5分钟内出动，夜间(20:00-次日07:59)10分钟内出动。接</w:t>
      </w:r>
      <w:r>
        <w:rPr>
          <w:rFonts w:hint="eastAsia" w:ascii="宋体" w:hAnsi="宋体" w:eastAsia="宋体" w:cs="宋体"/>
          <w:color w:val="000000"/>
          <w:sz w:val="24"/>
          <w:lang w:eastAsia="zh-CN"/>
        </w:rPr>
        <w:t>采购人</w:t>
      </w:r>
      <w:r>
        <w:rPr>
          <w:rFonts w:hint="eastAsia" w:ascii="宋体" w:hAnsi="宋体" w:eastAsia="宋体" w:cs="宋体"/>
          <w:color w:val="000000"/>
          <w:sz w:val="24"/>
        </w:rPr>
        <w:t>通知后，主城区（沭城、梦溪、南湖等街道范围）应在20分钟内到达，城郊地区（扎下、龙庙、韩山、七雄、章集、十字、耿圩等乡镇、街道范围）应在30分钟内到达，偏远地区（上述以外的乡镇、街道）应在40分钟内到达；遇不可抗力等特殊情况的，</w:t>
      </w:r>
      <w:r>
        <w:rPr>
          <w:rFonts w:hint="eastAsia" w:ascii="宋体" w:hAnsi="宋体" w:eastAsia="宋体" w:cs="宋体"/>
          <w:color w:val="000000"/>
          <w:sz w:val="24"/>
          <w:lang w:eastAsia="zh-CN"/>
        </w:rPr>
        <w:t>中标人</w:t>
      </w:r>
      <w:r>
        <w:rPr>
          <w:rFonts w:hint="eastAsia" w:ascii="宋体" w:hAnsi="宋体" w:eastAsia="宋体" w:cs="宋体"/>
          <w:color w:val="000000"/>
          <w:sz w:val="24"/>
        </w:rPr>
        <w:t>应及时通报</w:t>
      </w:r>
      <w:r>
        <w:rPr>
          <w:rFonts w:hint="eastAsia" w:ascii="宋体" w:hAnsi="宋体" w:eastAsia="宋体" w:cs="宋体"/>
          <w:color w:val="000000"/>
          <w:sz w:val="24"/>
          <w:lang w:eastAsia="zh-CN"/>
        </w:rPr>
        <w:t>采购人</w:t>
      </w:r>
      <w:r>
        <w:rPr>
          <w:rFonts w:hint="eastAsia" w:ascii="宋体" w:hAnsi="宋体" w:eastAsia="宋体" w:cs="宋体"/>
          <w:color w:val="000000"/>
          <w:sz w:val="24"/>
        </w:rPr>
        <w:t>，并立即安排其他力量进行应急。到达事发现场后，要按照规定办理交接手续，及时将车辆拖至停车场保管。车辆拖移、道路清障</w:t>
      </w:r>
      <w:r>
        <w:rPr>
          <w:rFonts w:hint="eastAsia" w:ascii="宋体" w:hAnsi="宋体" w:eastAsia="宋体" w:cs="宋体"/>
          <w:color w:val="000000"/>
          <w:sz w:val="24"/>
          <w:lang w:eastAsia="zh-CN"/>
        </w:rPr>
        <w:t>等作业</w:t>
      </w:r>
      <w:r>
        <w:rPr>
          <w:rFonts w:hint="eastAsia" w:ascii="宋体" w:hAnsi="宋体" w:eastAsia="宋体" w:cs="宋体"/>
          <w:color w:val="000000"/>
          <w:sz w:val="24"/>
        </w:rPr>
        <w:t>中造成损失的，由</w:t>
      </w:r>
      <w:r>
        <w:rPr>
          <w:rFonts w:hint="eastAsia" w:ascii="宋体" w:hAnsi="宋体" w:eastAsia="宋体" w:cs="宋体"/>
          <w:color w:val="000000"/>
          <w:sz w:val="24"/>
          <w:lang w:eastAsia="zh-CN"/>
        </w:rPr>
        <w:t>中标人</w:t>
      </w:r>
      <w:r>
        <w:rPr>
          <w:rFonts w:hint="eastAsia" w:ascii="宋体" w:hAnsi="宋体" w:eastAsia="宋体" w:cs="宋体"/>
          <w:color w:val="000000"/>
          <w:sz w:val="24"/>
        </w:rPr>
        <w:t>承担责任，与</w:t>
      </w:r>
      <w:r>
        <w:rPr>
          <w:rFonts w:hint="eastAsia" w:ascii="宋体" w:hAnsi="宋体" w:eastAsia="宋体" w:cs="宋体"/>
          <w:color w:val="000000"/>
          <w:sz w:val="24"/>
          <w:lang w:eastAsia="zh-CN"/>
        </w:rPr>
        <w:t>采购人</w:t>
      </w:r>
      <w:r>
        <w:rPr>
          <w:rFonts w:hint="eastAsia" w:ascii="宋体" w:hAnsi="宋体" w:eastAsia="宋体" w:cs="宋体"/>
          <w:color w:val="000000"/>
          <w:sz w:val="24"/>
        </w:rPr>
        <w:t>无关。</w:t>
      </w:r>
    </w:p>
    <w:p w14:paraId="4708BC42">
      <w:pPr>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（4）</w:t>
      </w:r>
      <w:r>
        <w:rPr>
          <w:rFonts w:hint="eastAsia" w:ascii="宋体" w:hAnsi="宋体" w:eastAsia="宋体" w:cs="宋体"/>
          <w:color w:val="000000"/>
          <w:sz w:val="24"/>
          <w:lang w:eastAsia="zh-CN"/>
        </w:rPr>
        <w:t>中标人</w:t>
      </w:r>
      <w:r>
        <w:rPr>
          <w:rFonts w:hint="eastAsia" w:ascii="宋体" w:hAnsi="宋体" w:eastAsia="宋体" w:cs="宋体"/>
          <w:color w:val="000000"/>
          <w:sz w:val="24"/>
        </w:rPr>
        <w:t>保证拖移、清障车辆配备充足、完好的交通清障辅助设备（包括枕木、警示筒、警示带等反光标志、拖车辅助轮、千斤顶、具有夜间拍摄和摄录功能的相机等）及通讯工具，大中型专项作业车（含）以上车型还需增配消防器材、破拆工具等设备。</w:t>
      </w:r>
    </w:p>
    <w:p w14:paraId="108417CB">
      <w:pPr>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（5）遇雨雾冰雪等恶劣天气时，</w:t>
      </w:r>
      <w:r>
        <w:rPr>
          <w:rFonts w:hint="eastAsia" w:ascii="宋体" w:hAnsi="宋体" w:eastAsia="宋体" w:cs="宋体"/>
          <w:color w:val="000000" w:themeColor="text1"/>
          <w:sz w:val="24"/>
          <w:lang w:eastAsia="zh-CN"/>
          <w14:textFill>
            <w14:solidFill>
              <w14:schemeClr w14:val="tx1"/>
            </w14:solidFill>
          </w14:textFill>
        </w:rPr>
        <w:t>中标人</w:t>
      </w:r>
      <w:r>
        <w:rPr>
          <w:rFonts w:hint="eastAsia" w:ascii="宋体" w:hAnsi="宋体" w:eastAsia="宋体" w:cs="宋体"/>
          <w:color w:val="000000" w:themeColor="text1"/>
          <w:sz w:val="24"/>
          <w14:textFill>
            <w14:solidFill>
              <w14:schemeClr w14:val="tx1"/>
            </w14:solidFill>
          </w14:textFill>
        </w:rPr>
        <w:t>应进一步增加清障车辆和人员的数量,随时待命，确保能够在规定时间内到场开展车辆拖移和清障</w:t>
      </w:r>
      <w:r>
        <w:rPr>
          <w:rFonts w:hint="eastAsia" w:ascii="宋体" w:hAnsi="宋体" w:eastAsia="宋体" w:cs="宋体"/>
          <w:color w:val="000000" w:themeColor="text1"/>
          <w:sz w:val="24"/>
          <w:lang w:eastAsia="zh-CN"/>
          <w14:textFill>
            <w14:solidFill>
              <w14:schemeClr w14:val="tx1"/>
            </w14:solidFill>
          </w14:textFill>
        </w:rPr>
        <w:t>等</w:t>
      </w:r>
      <w:r>
        <w:rPr>
          <w:rFonts w:hint="eastAsia" w:ascii="宋体" w:hAnsi="宋体" w:eastAsia="宋体" w:cs="宋体"/>
          <w:color w:val="000000" w:themeColor="text1"/>
          <w:sz w:val="24"/>
          <w14:textFill>
            <w14:solidFill>
              <w14:schemeClr w14:val="tx1"/>
            </w14:solidFill>
          </w14:textFill>
        </w:rPr>
        <w:t>工作。</w:t>
      </w:r>
    </w:p>
    <w:p w14:paraId="01A5800C">
      <w:pPr>
        <w:spacing w:line="360" w:lineRule="auto"/>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（6）如</w:t>
      </w:r>
      <w:r>
        <w:rPr>
          <w:rFonts w:hint="eastAsia" w:ascii="宋体" w:hAnsi="宋体" w:eastAsia="宋体" w:cs="宋体"/>
          <w:color w:val="000000" w:themeColor="text1"/>
          <w:sz w:val="24"/>
          <w:lang w:eastAsia="zh-CN"/>
          <w14:textFill>
            <w14:solidFill>
              <w14:schemeClr w14:val="tx1"/>
            </w14:solidFill>
          </w14:textFill>
        </w:rPr>
        <w:t>中标人</w:t>
      </w:r>
      <w:r>
        <w:rPr>
          <w:rFonts w:hint="eastAsia" w:ascii="宋体" w:hAnsi="宋体" w:eastAsia="宋体" w:cs="宋体"/>
          <w:color w:val="000000" w:themeColor="text1"/>
          <w:sz w:val="24"/>
          <w14:textFill>
            <w14:solidFill>
              <w14:schemeClr w14:val="tx1"/>
            </w14:solidFill>
          </w14:textFill>
        </w:rPr>
        <w:t>未在规定时间到达现场，</w:t>
      </w:r>
      <w:r>
        <w:rPr>
          <w:rFonts w:hint="eastAsia" w:ascii="宋体" w:hAnsi="宋体" w:eastAsia="宋体" w:cs="宋体"/>
          <w:color w:val="000000" w:themeColor="text1"/>
          <w:sz w:val="24"/>
          <w:lang w:eastAsia="zh-CN"/>
          <w14:textFill>
            <w14:solidFill>
              <w14:schemeClr w14:val="tx1"/>
            </w14:solidFill>
          </w14:textFill>
        </w:rPr>
        <w:t>采购人</w:t>
      </w:r>
      <w:r>
        <w:rPr>
          <w:rFonts w:hint="eastAsia" w:ascii="宋体" w:hAnsi="宋体" w:eastAsia="宋体" w:cs="宋体"/>
          <w:color w:val="000000" w:themeColor="text1"/>
          <w:sz w:val="24"/>
          <w14:textFill>
            <w14:solidFill>
              <w14:schemeClr w14:val="tx1"/>
            </w14:solidFill>
          </w14:textFill>
        </w:rPr>
        <w:t>有权调用社会清障车辆、装备进行应急，费用由</w:t>
      </w:r>
      <w:r>
        <w:rPr>
          <w:rFonts w:hint="eastAsia" w:ascii="宋体" w:hAnsi="宋体" w:eastAsia="宋体" w:cs="宋体"/>
          <w:color w:val="000000" w:themeColor="text1"/>
          <w:sz w:val="24"/>
          <w:lang w:eastAsia="zh-CN"/>
          <w14:textFill>
            <w14:solidFill>
              <w14:schemeClr w14:val="tx1"/>
            </w14:solidFill>
          </w14:textFill>
        </w:rPr>
        <w:t>中标人</w:t>
      </w:r>
      <w:r>
        <w:rPr>
          <w:rFonts w:hint="eastAsia" w:ascii="宋体" w:hAnsi="宋体" w:eastAsia="宋体" w:cs="宋体"/>
          <w:color w:val="000000" w:themeColor="text1"/>
          <w:sz w:val="24"/>
          <w14:textFill>
            <w14:solidFill>
              <w14:schemeClr w14:val="tx1"/>
            </w14:solidFill>
          </w14:textFill>
        </w:rPr>
        <w:t>承担，作业过程中</w:t>
      </w:r>
      <w:r>
        <w:rPr>
          <w:rFonts w:hint="eastAsia" w:ascii="宋体" w:hAnsi="宋体" w:eastAsia="宋体" w:cs="宋体"/>
          <w:color w:val="000000" w:themeColor="text1"/>
          <w:sz w:val="24"/>
          <w:lang w:eastAsia="zh-CN"/>
          <w14:textFill>
            <w14:solidFill>
              <w14:schemeClr w14:val="tx1"/>
            </w14:solidFill>
          </w14:textFill>
        </w:rPr>
        <w:t>造成</w:t>
      </w:r>
      <w:r>
        <w:rPr>
          <w:rFonts w:hint="eastAsia" w:ascii="宋体" w:hAnsi="宋体" w:eastAsia="宋体" w:cs="宋体"/>
          <w:color w:val="000000" w:themeColor="text1"/>
          <w:sz w:val="24"/>
          <w14:textFill>
            <w14:solidFill>
              <w14:schemeClr w14:val="tx1"/>
            </w14:solidFill>
          </w14:textFill>
        </w:rPr>
        <w:t>损失由</w:t>
      </w:r>
      <w:r>
        <w:rPr>
          <w:rFonts w:hint="eastAsia" w:ascii="宋体" w:hAnsi="宋体" w:eastAsia="宋体" w:cs="宋体"/>
          <w:color w:val="000000" w:themeColor="text1"/>
          <w:sz w:val="24"/>
          <w:lang w:eastAsia="zh-CN"/>
          <w14:textFill>
            <w14:solidFill>
              <w14:schemeClr w14:val="tx1"/>
            </w14:solidFill>
          </w14:textFill>
        </w:rPr>
        <w:t>中标人</w:t>
      </w:r>
      <w:r>
        <w:rPr>
          <w:rFonts w:hint="eastAsia" w:ascii="宋体" w:hAnsi="宋体" w:eastAsia="宋体" w:cs="宋体"/>
          <w:color w:val="000000" w:themeColor="text1"/>
          <w:sz w:val="24"/>
          <w14:textFill>
            <w14:solidFill>
              <w14:schemeClr w14:val="tx1"/>
            </w14:solidFill>
          </w14:textFill>
        </w:rPr>
        <w:t>先行赔偿后再按法律规定处理。</w:t>
      </w:r>
    </w:p>
    <w:p w14:paraId="4A85C0CD">
      <w:pPr>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（7）</w:t>
      </w:r>
      <w:r>
        <w:rPr>
          <w:rFonts w:hint="eastAsia" w:ascii="宋体" w:hAnsi="宋体" w:eastAsia="宋体" w:cs="宋体"/>
          <w:color w:val="000000"/>
          <w:sz w:val="24"/>
          <w:lang w:eastAsia="zh-CN"/>
        </w:rPr>
        <w:t>中标人</w:t>
      </w:r>
      <w:r>
        <w:rPr>
          <w:rFonts w:hint="eastAsia" w:ascii="宋体" w:hAnsi="宋体" w:eastAsia="宋体" w:cs="宋体"/>
          <w:color w:val="000000"/>
          <w:sz w:val="24"/>
        </w:rPr>
        <w:t xml:space="preserve">拖移车辆车身要喷涂统一标识和反光标志，车门两侧喷印清障施救服务单位全称。 </w:t>
      </w:r>
    </w:p>
    <w:p w14:paraId="0DA6EFB1">
      <w:pPr>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（8）</w:t>
      </w:r>
      <w:r>
        <w:rPr>
          <w:rFonts w:hint="eastAsia" w:ascii="宋体" w:hAnsi="宋体" w:eastAsia="宋体" w:cs="宋体"/>
          <w:color w:val="000000"/>
          <w:sz w:val="24"/>
          <w:lang w:eastAsia="zh-CN"/>
        </w:rPr>
        <w:t>中标人</w:t>
      </w:r>
      <w:r>
        <w:rPr>
          <w:rFonts w:hint="eastAsia" w:ascii="宋体" w:hAnsi="宋体" w:eastAsia="宋体" w:cs="宋体"/>
          <w:color w:val="000000"/>
          <w:sz w:val="24"/>
        </w:rPr>
        <w:t>提供的车辆应当购买相关保险，除交强险外，还应购买保险理赔金额不少于100万的第三者责任险。</w:t>
      </w:r>
    </w:p>
    <w:p w14:paraId="2BCA3FC7">
      <w:pPr>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（9）</w:t>
      </w:r>
      <w:r>
        <w:rPr>
          <w:rFonts w:hint="eastAsia" w:ascii="宋体" w:hAnsi="宋体" w:eastAsia="宋体" w:cs="宋体"/>
          <w:color w:val="000000"/>
          <w:sz w:val="24"/>
          <w:lang w:eastAsia="zh-CN"/>
        </w:rPr>
        <w:t>中标人</w:t>
      </w:r>
      <w:r>
        <w:rPr>
          <w:rFonts w:hint="eastAsia" w:ascii="宋体" w:hAnsi="宋体" w:eastAsia="宋体" w:cs="宋体"/>
          <w:color w:val="000000"/>
          <w:sz w:val="24"/>
        </w:rPr>
        <w:t>提供的车辆在中标后签订合同前必须安装行车记录仪（前后均安装），满足日间、夜晚的记录要求，能清晰摄录从将违停车辆拖移至指定停车场整个过程，摄录数据至少保存 3个月。</w:t>
      </w:r>
    </w:p>
    <w:p w14:paraId="10C1422F">
      <w:pPr>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（10）</w:t>
      </w:r>
      <w:r>
        <w:rPr>
          <w:rFonts w:hint="eastAsia" w:ascii="宋体" w:hAnsi="宋体" w:eastAsia="宋体" w:cs="宋体"/>
          <w:color w:val="000000"/>
          <w:sz w:val="24"/>
          <w:lang w:eastAsia="zh-CN"/>
        </w:rPr>
        <w:t>中标人</w:t>
      </w:r>
      <w:r>
        <w:rPr>
          <w:rFonts w:hint="eastAsia" w:ascii="宋体" w:hAnsi="宋体" w:eastAsia="宋体" w:cs="宋体"/>
          <w:color w:val="000000"/>
          <w:sz w:val="24"/>
        </w:rPr>
        <w:t>应服从现场处置警察指挥，征得同意方可开展拖移等作业。拖移等作业前应通过拍照、摄像等方式对车辆外观、车内财物等情况进行固定，不得随意翻动、取走车内财物。</w:t>
      </w:r>
    </w:p>
    <w:p w14:paraId="04263B87">
      <w:pPr>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（11）</w:t>
      </w:r>
      <w:r>
        <w:rPr>
          <w:rFonts w:hint="eastAsia" w:ascii="宋体" w:hAnsi="宋体" w:eastAsia="宋体" w:cs="宋体"/>
          <w:color w:val="000000"/>
          <w:sz w:val="24"/>
          <w:lang w:eastAsia="zh-CN"/>
        </w:rPr>
        <w:t>中标人</w:t>
      </w:r>
      <w:r>
        <w:rPr>
          <w:rFonts w:hint="eastAsia" w:ascii="宋体" w:hAnsi="宋体" w:eastAsia="宋体" w:cs="宋体"/>
          <w:color w:val="000000"/>
          <w:sz w:val="24"/>
        </w:rPr>
        <w:t>在拖移涉案车辆前应填写交接单交现场处置民警。</w:t>
      </w:r>
    </w:p>
    <w:p w14:paraId="2F0C0B8C">
      <w:pPr>
        <w:spacing w:line="360" w:lineRule="auto"/>
        <w:ind w:firstLine="480" w:firstLineChars="200"/>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12</w:t>
      </w:r>
      <w:r>
        <w:rPr>
          <w:rFonts w:hint="eastAsia" w:ascii="宋体" w:hAnsi="宋体" w:eastAsia="宋体" w:cs="宋体"/>
          <w:color w:val="000000" w:themeColor="text1"/>
          <w:sz w:val="24"/>
          <w:lang w:eastAsia="zh-CN"/>
          <w14:textFill>
            <w14:solidFill>
              <w14:schemeClr w14:val="tx1"/>
            </w14:solidFill>
          </w14:textFill>
        </w:rPr>
        <w:t>）中标人应</w:t>
      </w: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拖移涉案车辆；情况特殊的，应报采购人同意后由乙方持相应准驾车型驾驶证的工作人员驾驶被扣留车辆，严禁让当事人和无关人员驾驶车辆，严禁出现涉案车辆不进停车场情况。</w:t>
      </w:r>
    </w:p>
    <w:p w14:paraId="7C96F4DB">
      <w:pPr>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3</w:t>
      </w:r>
      <w:r>
        <w:rPr>
          <w:rFonts w:hint="eastAsia" w:ascii="宋体" w:hAnsi="宋体" w:eastAsia="宋体" w:cs="宋体"/>
          <w:color w:val="000000"/>
          <w:sz w:val="24"/>
        </w:rPr>
        <w:t>）</w:t>
      </w:r>
      <w:r>
        <w:rPr>
          <w:rFonts w:hint="eastAsia" w:ascii="宋体" w:hAnsi="宋体" w:eastAsia="宋体" w:cs="宋体"/>
          <w:color w:val="000000"/>
          <w:sz w:val="24"/>
          <w:lang w:eastAsia="zh-CN"/>
        </w:rPr>
        <w:t>中标人</w:t>
      </w:r>
      <w:r>
        <w:rPr>
          <w:rFonts w:hint="eastAsia" w:ascii="宋体" w:hAnsi="宋体" w:eastAsia="宋体" w:cs="宋体"/>
          <w:color w:val="000000"/>
          <w:sz w:val="24"/>
        </w:rPr>
        <w:t>拖移、清障人员要熟悉各类型车辆性能，掌握操作规范，注意人员财产安全。</w:t>
      </w:r>
      <w:r>
        <w:rPr>
          <w:rFonts w:hint="eastAsia" w:ascii="宋体" w:hAnsi="宋体" w:eastAsia="宋体" w:cs="宋体"/>
          <w:color w:val="000000"/>
          <w:sz w:val="24"/>
          <w:lang w:eastAsia="zh-CN"/>
        </w:rPr>
        <w:t>中标人</w:t>
      </w:r>
      <w:r>
        <w:rPr>
          <w:rFonts w:hint="eastAsia" w:ascii="宋体" w:hAnsi="宋体" w:eastAsia="宋体" w:cs="宋体"/>
          <w:color w:val="000000"/>
          <w:sz w:val="24"/>
        </w:rPr>
        <w:t>不得占用道路装卸车辆影响通行秩序、妨碍交通安全；如必须占用道路开展拖移、清障等作业的，应当按照道路交通安全有关法律法规规定设置现场防护，防止次生事故。</w:t>
      </w:r>
    </w:p>
    <w:p w14:paraId="788C9D4B">
      <w:pPr>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4</w:t>
      </w:r>
      <w:r>
        <w:rPr>
          <w:rFonts w:hint="eastAsia" w:ascii="宋体" w:hAnsi="宋体" w:eastAsia="宋体" w:cs="宋体"/>
          <w:color w:val="000000"/>
          <w:sz w:val="24"/>
        </w:rPr>
        <w:t>）</w:t>
      </w:r>
      <w:r>
        <w:rPr>
          <w:rFonts w:hint="eastAsia" w:ascii="宋体" w:hAnsi="宋体" w:eastAsia="宋体" w:cs="宋体"/>
          <w:color w:val="000000"/>
          <w:sz w:val="24"/>
          <w:lang w:eastAsia="zh-CN"/>
        </w:rPr>
        <w:t>采购人</w:t>
      </w:r>
      <w:r>
        <w:rPr>
          <w:rFonts w:hint="eastAsia" w:ascii="宋体" w:hAnsi="宋体" w:eastAsia="宋体" w:cs="宋体"/>
          <w:color w:val="000000"/>
          <w:sz w:val="24"/>
        </w:rPr>
        <w:t>因工作需要对涉案车辆进行过磅称重，以及将涉案车辆拖移至检测机构或其他地点的，</w:t>
      </w:r>
      <w:r>
        <w:rPr>
          <w:rFonts w:hint="eastAsia" w:ascii="宋体" w:hAnsi="宋体" w:eastAsia="宋体" w:cs="宋体"/>
          <w:color w:val="000000"/>
          <w:sz w:val="24"/>
          <w:lang w:eastAsia="zh-CN"/>
        </w:rPr>
        <w:t>中标人</w:t>
      </w:r>
      <w:r>
        <w:rPr>
          <w:rFonts w:hint="eastAsia" w:ascii="宋体" w:hAnsi="宋体" w:eastAsia="宋体" w:cs="宋体"/>
          <w:color w:val="000000"/>
          <w:sz w:val="24"/>
        </w:rPr>
        <w:t>应免费负责拖移。</w:t>
      </w:r>
    </w:p>
    <w:p w14:paraId="44B5E90C">
      <w:pPr>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5</w:t>
      </w:r>
      <w:r>
        <w:rPr>
          <w:rFonts w:hint="eastAsia" w:ascii="宋体" w:hAnsi="宋体" w:eastAsia="宋体" w:cs="宋体"/>
          <w:color w:val="000000"/>
          <w:sz w:val="24"/>
        </w:rPr>
        <w:t>）</w:t>
      </w:r>
      <w:r>
        <w:rPr>
          <w:rFonts w:hint="eastAsia" w:ascii="宋体" w:hAnsi="宋体" w:eastAsia="宋体" w:cs="宋体"/>
          <w:color w:val="000000"/>
          <w:sz w:val="24"/>
          <w:lang w:eastAsia="zh-CN"/>
        </w:rPr>
        <w:t>中标人</w:t>
      </w:r>
      <w:r>
        <w:rPr>
          <w:rFonts w:hint="eastAsia" w:ascii="宋体" w:hAnsi="宋体" w:eastAsia="宋体" w:cs="宋体"/>
          <w:color w:val="000000"/>
          <w:sz w:val="24"/>
        </w:rPr>
        <w:t>在作业过程中对自身、第三方造成财产损失、人员伤亡的，由投标单位根据法律规定自行承担相应责任，与</w:t>
      </w:r>
      <w:r>
        <w:rPr>
          <w:rFonts w:hint="eastAsia" w:ascii="宋体" w:hAnsi="宋体" w:eastAsia="宋体" w:cs="宋体"/>
          <w:color w:val="000000"/>
          <w:sz w:val="24"/>
          <w:lang w:eastAsia="zh-CN"/>
        </w:rPr>
        <w:t>采购人</w:t>
      </w:r>
      <w:r>
        <w:rPr>
          <w:rFonts w:hint="eastAsia" w:ascii="宋体" w:hAnsi="宋体" w:eastAsia="宋体" w:cs="宋体"/>
          <w:color w:val="000000"/>
          <w:sz w:val="24"/>
        </w:rPr>
        <w:t>无关。</w:t>
      </w:r>
    </w:p>
    <w:p w14:paraId="4ADE3C74">
      <w:pPr>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5、停车场地基础设施要求：</w:t>
      </w:r>
    </w:p>
    <w:p w14:paraId="638BFF58">
      <w:pPr>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（1）停车场地面应当经过混凝土、沥青或者砂石硬化处理，保持坚实、平整，并有防潮、防积水、防震、防盗、防水淹、防火、防破坏设施，能够保证车辆、货物不受损坏，造成的损失由</w:t>
      </w:r>
      <w:r>
        <w:rPr>
          <w:rFonts w:hint="eastAsia" w:ascii="宋体" w:hAnsi="宋体" w:eastAsia="宋体" w:cs="宋体"/>
          <w:color w:val="000000"/>
          <w:sz w:val="24"/>
          <w:lang w:eastAsia="zh-CN"/>
        </w:rPr>
        <w:t>中标人</w:t>
      </w:r>
      <w:r>
        <w:rPr>
          <w:rFonts w:hint="eastAsia" w:ascii="宋体" w:hAnsi="宋体" w:eastAsia="宋体" w:cs="宋体"/>
          <w:color w:val="000000"/>
          <w:sz w:val="24"/>
        </w:rPr>
        <w:t>负责；</w:t>
      </w:r>
    </w:p>
    <w:p w14:paraId="206B5907">
      <w:pPr>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2）停车场要有全覆盖的照明、消防技防设备。根据停车场实际需要配备24小时无死角监控设备设施，对停车场内的车辆和环境进行实时监控和录像等(存储3个月以上)，并可供监管机关远程查询，保证车内财物安全，车辆配件或车内财物发生被盗损情况的，由</w:t>
      </w:r>
      <w:r>
        <w:rPr>
          <w:rFonts w:hint="eastAsia" w:ascii="宋体" w:hAnsi="宋体" w:eastAsia="宋体" w:cs="宋体"/>
          <w:color w:val="000000"/>
          <w:sz w:val="24"/>
          <w:lang w:eastAsia="zh-CN"/>
        </w:rPr>
        <w:t>中标人</w:t>
      </w:r>
      <w:r>
        <w:rPr>
          <w:rFonts w:hint="eastAsia" w:ascii="宋体" w:hAnsi="宋体" w:eastAsia="宋体" w:cs="宋体"/>
          <w:color w:val="000000"/>
          <w:sz w:val="24"/>
        </w:rPr>
        <w:t>赔偿；</w:t>
      </w:r>
    </w:p>
    <w:p w14:paraId="36D37D8A">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w:t>
      </w:r>
      <w:r>
        <w:rPr>
          <w:rFonts w:hint="eastAsia" w:ascii="宋体" w:hAnsi="宋体" w:cs="宋体"/>
          <w:b w:val="0"/>
          <w:bCs w:val="0"/>
          <w:color w:val="000000"/>
          <w:sz w:val="24"/>
          <w:szCs w:val="24"/>
          <w:highlight w:val="none"/>
          <w:lang w:val="en-US" w:eastAsia="zh-CN"/>
        </w:rPr>
        <w:t>停车场规章制度健全，车辆停放有序、管理规范，严格车辆出入登记，配备值班、安保人员。因管理不当或其他原因造成车辆、附属财产丢失、损坏、燃烧以及人员伤害等一切损失，均由中标人自行承担。</w:t>
      </w:r>
    </w:p>
    <w:p w14:paraId="0DF44329">
      <w:pPr>
        <w:spacing w:line="360" w:lineRule="auto"/>
        <w:ind w:firstLine="480" w:firstLineChars="200"/>
        <w:jc w:val="left"/>
        <w:rPr>
          <w:rFonts w:hint="eastAsia" w:ascii="宋体" w:hAnsi="宋体" w:eastAsia="宋体" w:cs="宋体"/>
          <w:color w:val="000000"/>
          <w:sz w:val="24"/>
        </w:rPr>
      </w:pPr>
      <w:r>
        <w:rPr>
          <w:rFonts w:hint="eastAsia" w:ascii="宋体" w:hAnsi="宋体" w:cs="宋体"/>
          <w:b w:val="0"/>
          <w:bCs w:val="0"/>
          <w:color w:val="000000"/>
          <w:sz w:val="24"/>
          <w:szCs w:val="24"/>
          <w:highlight w:val="none"/>
          <w:lang w:val="en-US" w:eastAsia="zh-CN"/>
        </w:rPr>
        <w:t>6、</w:t>
      </w:r>
      <w:r>
        <w:rPr>
          <w:rFonts w:hint="eastAsia" w:ascii="宋体" w:hAnsi="宋体" w:eastAsia="宋体" w:cs="宋体"/>
          <w:color w:val="000000"/>
          <w:sz w:val="24"/>
          <w:lang w:val="en-US" w:eastAsia="zh-CN"/>
        </w:rPr>
        <w:t>停车场应有合理区域划分，按区域停放要求车辆：A区为大型车辆停放区，B区为小型车辆停放区，C区为</w:t>
      </w:r>
      <w:r>
        <w:rPr>
          <w:rFonts w:hint="eastAsia" w:ascii="宋体" w:hAnsi="宋体" w:eastAsia="宋体" w:cs="宋体"/>
          <w:color w:val="000000"/>
          <w:sz w:val="24"/>
        </w:rPr>
        <w:t>四轮以下机动车辆（含二、三轮燃油车辆、非标电动四轮车）、非机动车（包含各类非机动车和电动二、三轮车）</w:t>
      </w:r>
      <w:r>
        <w:rPr>
          <w:rFonts w:hint="eastAsia" w:ascii="宋体" w:hAnsi="宋体" w:eastAsia="宋体" w:cs="宋体"/>
          <w:color w:val="000000"/>
          <w:sz w:val="24"/>
          <w:lang w:val="en-US" w:eastAsia="zh-CN"/>
        </w:rPr>
        <w:t>，D区为专用停车库房，集中停放按《宿迁市公安局交警支队涉案车辆管理规定》中的涉及需要进一步进行检验的车辆。停车场应具备特殊车辆停放处。</w:t>
      </w:r>
    </w:p>
    <w:p w14:paraId="4A0BB6BE">
      <w:pPr>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lang w:val="en-US" w:eastAsia="zh-CN"/>
        </w:rPr>
        <w:t>7</w:t>
      </w:r>
      <w:r>
        <w:rPr>
          <w:rFonts w:hint="eastAsia" w:ascii="宋体" w:hAnsi="宋体" w:eastAsia="宋体" w:cs="宋体"/>
          <w:color w:val="000000"/>
          <w:sz w:val="24"/>
        </w:rPr>
        <w:t>、</w:t>
      </w:r>
      <w:r>
        <w:rPr>
          <w:rFonts w:hint="eastAsia" w:ascii="宋体" w:hAnsi="宋体" w:eastAsia="宋体" w:cs="宋体"/>
          <w:color w:val="000000"/>
          <w:sz w:val="24"/>
          <w:lang w:eastAsia="zh-CN"/>
        </w:rPr>
        <w:t>中标人</w:t>
      </w:r>
      <w:r>
        <w:rPr>
          <w:rFonts w:hint="eastAsia" w:ascii="宋体" w:hAnsi="宋体" w:eastAsia="宋体" w:cs="宋体"/>
          <w:color w:val="000000"/>
          <w:sz w:val="24"/>
        </w:rPr>
        <w:t>应规范内部管理，包括对参与救援员工安全教育管理，提供必要的安全防护措施，与清障施救服务人员签订劳动合同、办理人身意外伤害保险。</w:t>
      </w:r>
      <w:r>
        <w:rPr>
          <w:rFonts w:hint="eastAsia" w:ascii="宋体" w:hAnsi="宋体" w:eastAsia="宋体" w:cs="宋体"/>
          <w:color w:val="000000"/>
          <w:sz w:val="24"/>
          <w:lang w:eastAsia="zh-CN"/>
        </w:rPr>
        <w:t>中标人</w:t>
      </w:r>
      <w:r>
        <w:rPr>
          <w:rFonts w:hint="eastAsia" w:ascii="宋体" w:hAnsi="宋体" w:eastAsia="宋体" w:cs="宋体"/>
          <w:color w:val="000000"/>
          <w:sz w:val="24"/>
        </w:rPr>
        <w:t>员工在从事车辆拖曳、停放管理、道路清障工作中发生的一切人身伤亡事故、财产损失及其它损失，均由</w:t>
      </w:r>
      <w:r>
        <w:rPr>
          <w:rFonts w:hint="eastAsia" w:ascii="宋体" w:hAnsi="宋体" w:eastAsia="宋体" w:cs="宋体"/>
          <w:color w:val="000000"/>
          <w:sz w:val="24"/>
          <w:lang w:eastAsia="zh-CN"/>
        </w:rPr>
        <w:t>中标人</w:t>
      </w:r>
      <w:r>
        <w:rPr>
          <w:rFonts w:hint="eastAsia" w:ascii="宋体" w:hAnsi="宋体" w:eastAsia="宋体" w:cs="宋体"/>
          <w:color w:val="000000"/>
          <w:sz w:val="24"/>
        </w:rPr>
        <w:t>负责承担，与</w:t>
      </w:r>
      <w:r>
        <w:rPr>
          <w:rFonts w:hint="eastAsia" w:ascii="宋体" w:hAnsi="宋体" w:eastAsia="宋体" w:cs="宋体"/>
          <w:color w:val="000000"/>
          <w:sz w:val="24"/>
          <w:lang w:eastAsia="zh-CN"/>
        </w:rPr>
        <w:t>采购人</w:t>
      </w:r>
      <w:r>
        <w:rPr>
          <w:rFonts w:hint="eastAsia" w:ascii="宋体" w:hAnsi="宋体" w:eastAsia="宋体" w:cs="宋体"/>
          <w:color w:val="000000"/>
          <w:sz w:val="24"/>
        </w:rPr>
        <w:t>无关。</w:t>
      </w:r>
    </w:p>
    <w:p w14:paraId="59BE66F7">
      <w:pPr>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lang w:val="en-US" w:eastAsia="zh-CN"/>
        </w:rPr>
        <w:t>8</w:t>
      </w:r>
      <w:r>
        <w:rPr>
          <w:rFonts w:hint="eastAsia" w:ascii="宋体" w:hAnsi="宋体" w:eastAsia="宋体" w:cs="宋体"/>
          <w:color w:val="000000"/>
          <w:sz w:val="24"/>
        </w:rPr>
        <w:t>、</w:t>
      </w:r>
      <w:r>
        <w:rPr>
          <w:rFonts w:hint="eastAsia" w:ascii="宋体" w:hAnsi="宋体" w:eastAsia="宋体" w:cs="宋体"/>
          <w:color w:val="000000"/>
          <w:sz w:val="24"/>
          <w:lang w:eastAsia="zh-CN"/>
        </w:rPr>
        <w:t>中标人</w:t>
      </w:r>
      <w:r>
        <w:rPr>
          <w:rFonts w:hint="eastAsia" w:ascii="宋体" w:hAnsi="宋体" w:eastAsia="宋体" w:cs="宋体"/>
          <w:color w:val="000000"/>
          <w:sz w:val="24"/>
        </w:rPr>
        <w:t>开展援救服务或应当事人要求对车辆进行救援，应当按照收费标准进行(未接到交通事故报警的除外)。</w:t>
      </w:r>
      <w:r>
        <w:rPr>
          <w:rFonts w:hint="eastAsia" w:ascii="宋体" w:hAnsi="宋体" w:eastAsia="宋体" w:cs="宋体"/>
          <w:color w:val="000000"/>
          <w:sz w:val="24"/>
          <w:lang w:eastAsia="zh-CN"/>
        </w:rPr>
        <w:t>中标人</w:t>
      </w:r>
      <w:r>
        <w:rPr>
          <w:rFonts w:hint="eastAsia" w:ascii="宋体" w:hAnsi="宋体" w:eastAsia="宋体" w:cs="宋体"/>
          <w:color w:val="000000"/>
          <w:sz w:val="24"/>
        </w:rPr>
        <w:t>应当将收费标准和各项规章制度公开上墙，按规定收取各种费用（收费标准须与</w:t>
      </w:r>
      <w:r>
        <w:rPr>
          <w:rFonts w:hint="eastAsia" w:ascii="宋体" w:hAnsi="宋体" w:eastAsia="宋体" w:cs="宋体"/>
          <w:color w:val="000000"/>
          <w:sz w:val="24"/>
          <w:lang w:eastAsia="zh-CN"/>
        </w:rPr>
        <w:t>采购人</w:t>
      </w:r>
      <w:r>
        <w:rPr>
          <w:rFonts w:hint="eastAsia" w:ascii="宋体" w:hAnsi="宋体" w:eastAsia="宋体" w:cs="宋体"/>
          <w:color w:val="000000"/>
          <w:sz w:val="24"/>
        </w:rPr>
        <w:t xml:space="preserve">协商一致）。 </w:t>
      </w:r>
    </w:p>
    <w:p w14:paraId="6A7F64EC">
      <w:pPr>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lang w:val="en-US" w:eastAsia="zh-CN"/>
        </w:rPr>
        <w:t>9</w:t>
      </w:r>
      <w:r>
        <w:rPr>
          <w:rFonts w:hint="eastAsia" w:ascii="宋体" w:hAnsi="宋体" w:eastAsia="宋体" w:cs="宋体"/>
          <w:color w:val="000000"/>
          <w:sz w:val="24"/>
        </w:rPr>
        <w:t>、</w:t>
      </w:r>
      <w:r>
        <w:rPr>
          <w:rFonts w:hint="eastAsia" w:ascii="宋体" w:hAnsi="宋体" w:eastAsia="宋体" w:cs="宋体"/>
          <w:color w:val="000000"/>
          <w:sz w:val="24"/>
          <w:lang w:eastAsia="zh-CN"/>
        </w:rPr>
        <w:t>中标人</w:t>
      </w:r>
      <w:r>
        <w:rPr>
          <w:rFonts w:hint="eastAsia" w:ascii="宋体" w:hAnsi="宋体" w:eastAsia="宋体" w:cs="宋体"/>
          <w:color w:val="000000"/>
          <w:sz w:val="24"/>
        </w:rPr>
        <w:t>应向被救援人开展告知，明确收费标准，不得借停车管理、车辆拖曳、道路清障之便，谋取不正当利益。严格遵守国家法律法规，认真执行有关停车管理的各项法律法规和规范性文件，合法经营，诚实守信，自觉维护广大车主的合法利益，树立良好形象。</w:t>
      </w:r>
    </w:p>
    <w:p w14:paraId="7AB40247">
      <w:pPr>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lang w:val="en-US" w:eastAsia="zh-CN"/>
        </w:rPr>
        <w:t>10</w:t>
      </w:r>
      <w:r>
        <w:rPr>
          <w:rFonts w:hint="eastAsia" w:ascii="宋体" w:hAnsi="宋体" w:eastAsia="宋体" w:cs="宋体"/>
          <w:color w:val="000000"/>
          <w:sz w:val="24"/>
        </w:rPr>
        <w:t>、停车场外围需设置醒目的指路引导牌，出入口安装照明，在规定时间内办理车辆存取手续，方便群众。停车场领取车辆窗口工作时间最低范围应在早上8：00—夜间22：00（含节假日）；情况特殊的，接</w:t>
      </w:r>
      <w:r>
        <w:rPr>
          <w:rFonts w:hint="eastAsia" w:ascii="宋体" w:hAnsi="宋体" w:eastAsia="宋体" w:cs="宋体"/>
          <w:color w:val="000000"/>
          <w:sz w:val="24"/>
          <w:lang w:eastAsia="zh-CN"/>
        </w:rPr>
        <w:t>采购人</w:t>
      </w:r>
      <w:r>
        <w:rPr>
          <w:rFonts w:hint="eastAsia" w:ascii="宋体" w:hAnsi="宋体" w:eastAsia="宋体" w:cs="宋体"/>
          <w:color w:val="000000"/>
          <w:sz w:val="24"/>
        </w:rPr>
        <w:t>通知后应立即到场处置。</w:t>
      </w:r>
    </w:p>
    <w:p w14:paraId="16BD5E27">
      <w:pPr>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1</w:t>
      </w:r>
      <w:r>
        <w:rPr>
          <w:rFonts w:hint="eastAsia" w:ascii="宋体" w:hAnsi="宋体" w:eastAsia="宋体" w:cs="宋体"/>
          <w:color w:val="000000"/>
          <w:sz w:val="24"/>
        </w:rPr>
        <w:t>、停车场四周应有围墙、大门等安全防范设施：围墙高度不低于2m，透视型围墙的应加装防攀爬护栏，大门配备警卫室。</w:t>
      </w:r>
    </w:p>
    <w:p w14:paraId="08C44320">
      <w:pPr>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2</w:t>
      </w:r>
      <w:r>
        <w:rPr>
          <w:rFonts w:hint="eastAsia" w:ascii="宋体" w:hAnsi="宋体" w:eastAsia="宋体" w:cs="宋体"/>
          <w:color w:val="000000"/>
          <w:sz w:val="24"/>
        </w:rPr>
        <w:t>、停车场应具备车棚、遮阳布等防护设施或物品。</w:t>
      </w:r>
    </w:p>
    <w:p w14:paraId="70B242EB">
      <w:pPr>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3</w:t>
      </w:r>
      <w:r>
        <w:rPr>
          <w:rFonts w:hint="eastAsia" w:ascii="宋体" w:hAnsi="宋体" w:eastAsia="宋体" w:cs="宋体"/>
          <w:color w:val="000000"/>
          <w:sz w:val="24"/>
        </w:rPr>
        <w:t>、停车场应具备专用业务办公用房，具备连接互联网的电脑等办公设备，根据停车场需求，夜间值班应配备值班室，人员宿舍等。</w:t>
      </w:r>
    </w:p>
    <w:p w14:paraId="54F448E6">
      <w:pPr>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4</w:t>
      </w:r>
      <w:r>
        <w:rPr>
          <w:rFonts w:hint="eastAsia" w:ascii="宋体" w:hAnsi="宋体" w:eastAsia="宋体" w:cs="宋体"/>
          <w:color w:val="000000"/>
          <w:sz w:val="24"/>
        </w:rPr>
        <w:t>、</w:t>
      </w:r>
      <w:r>
        <w:rPr>
          <w:rFonts w:hint="eastAsia" w:ascii="宋体" w:hAnsi="宋体" w:eastAsia="宋体" w:cs="宋体"/>
          <w:color w:val="000000"/>
          <w:sz w:val="24"/>
          <w:lang w:eastAsia="zh-CN"/>
        </w:rPr>
        <w:t>中标人</w:t>
      </w:r>
      <w:r>
        <w:rPr>
          <w:rFonts w:hint="eastAsia" w:ascii="宋体" w:hAnsi="宋体" w:eastAsia="宋体" w:cs="宋体"/>
          <w:color w:val="000000"/>
          <w:sz w:val="24"/>
        </w:rPr>
        <w:t>应在办公地点醒目位置悬挂负责人、工作人员相关资料信息，公示服务标准、投诉电话、咨询电话，保证24小时有人接听。</w:t>
      </w:r>
    </w:p>
    <w:p w14:paraId="70B7DB6C">
      <w:pPr>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5</w:t>
      </w:r>
      <w:r>
        <w:rPr>
          <w:rFonts w:hint="eastAsia" w:ascii="宋体" w:hAnsi="宋体" w:eastAsia="宋体" w:cs="宋体"/>
          <w:color w:val="000000"/>
          <w:sz w:val="24"/>
        </w:rPr>
        <w:t>、</w:t>
      </w:r>
      <w:r>
        <w:rPr>
          <w:rFonts w:hint="eastAsia" w:ascii="宋体" w:hAnsi="宋体" w:eastAsia="宋体" w:cs="宋体"/>
          <w:color w:val="000000"/>
          <w:sz w:val="24"/>
          <w:lang w:eastAsia="zh-CN"/>
        </w:rPr>
        <w:t>中标人</w:t>
      </w:r>
      <w:r>
        <w:rPr>
          <w:rFonts w:hint="eastAsia" w:ascii="宋体" w:hAnsi="宋体" w:eastAsia="宋体" w:cs="宋体"/>
          <w:color w:val="000000"/>
          <w:sz w:val="24"/>
        </w:rPr>
        <w:t>应建立登记管理制度和涉案财物管理系统，逐项登记录入涉案车辆及随车物品等进出停车场情况。接收时，应做好涉案车辆检查、核对工作，详细记录车辆外观、燃油、所载货物和车内物品等情况，并拍照、录像存档。</w:t>
      </w:r>
      <w:r>
        <w:rPr>
          <w:rFonts w:hint="eastAsia" w:ascii="宋体" w:hAnsi="宋体" w:eastAsia="宋体" w:cs="宋体"/>
          <w:color w:val="000000"/>
          <w:sz w:val="24"/>
          <w:lang w:eastAsia="zh-CN"/>
        </w:rPr>
        <w:t>中标人</w:t>
      </w:r>
      <w:r>
        <w:rPr>
          <w:rFonts w:hint="eastAsia" w:ascii="宋体" w:hAnsi="宋体" w:eastAsia="宋体" w:cs="宋体"/>
          <w:color w:val="000000"/>
          <w:sz w:val="24"/>
        </w:rPr>
        <w:t xml:space="preserve">必须在接到招标人或其所属门出具的领取车辆、货物、物品通知书后，方可安排放行；放行时，工作人员应将被放行车辆移至放行区后交由领取人，并办理移交手续，不得让取车人自行到停车场内部领取车辆及随车物品。 </w:t>
      </w:r>
    </w:p>
    <w:p w14:paraId="156799A1">
      <w:pPr>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6</w:t>
      </w:r>
      <w:r>
        <w:rPr>
          <w:rFonts w:hint="eastAsia" w:ascii="宋体" w:hAnsi="宋体" w:eastAsia="宋体" w:cs="宋体"/>
          <w:color w:val="000000"/>
          <w:sz w:val="24"/>
        </w:rPr>
        <w:t>、</w:t>
      </w:r>
      <w:r>
        <w:rPr>
          <w:rFonts w:hint="eastAsia" w:ascii="宋体" w:hAnsi="宋体" w:eastAsia="宋体" w:cs="宋体"/>
          <w:color w:val="000000"/>
          <w:sz w:val="24"/>
          <w:lang w:eastAsia="zh-CN"/>
        </w:rPr>
        <w:t>中标人</w:t>
      </w:r>
      <w:r>
        <w:rPr>
          <w:rFonts w:hint="eastAsia" w:ascii="宋体" w:hAnsi="宋体" w:eastAsia="宋体" w:cs="宋体"/>
          <w:color w:val="000000"/>
          <w:sz w:val="24"/>
        </w:rPr>
        <w:t>在合同期内因土地征迁、规划调整或其它原因需要变更车辆停放地点时，应当提前3个月向招标单位报告，征求</w:t>
      </w:r>
      <w:r>
        <w:rPr>
          <w:rFonts w:hint="eastAsia" w:ascii="宋体" w:hAnsi="宋体" w:eastAsia="宋体" w:cs="宋体"/>
          <w:color w:val="000000"/>
          <w:sz w:val="24"/>
          <w:lang w:eastAsia="zh-CN"/>
        </w:rPr>
        <w:t>采购人</w:t>
      </w:r>
      <w:r>
        <w:rPr>
          <w:rFonts w:hint="eastAsia" w:ascii="宋体" w:hAnsi="宋体" w:eastAsia="宋体" w:cs="宋体"/>
          <w:color w:val="000000"/>
          <w:sz w:val="24"/>
        </w:rPr>
        <w:t>同意后，及时、妥善做好停车场地迁移工作，迁移过程中所需要的一切费用由</w:t>
      </w:r>
      <w:r>
        <w:rPr>
          <w:rFonts w:hint="eastAsia" w:ascii="宋体" w:hAnsi="宋体" w:eastAsia="宋体" w:cs="宋体"/>
          <w:color w:val="000000"/>
          <w:sz w:val="24"/>
          <w:lang w:eastAsia="zh-CN"/>
        </w:rPr>
        <w:t>中标人</w:t>
      </w:r>
      <w:r>
        <w:rPr>
          <w:rFonts w:hint="eastAsia" w:ascii="宋体" w:hAnsi="宋体" w:eastAsia="宋体" w:cs="宋体"/>
          <w:color w:val="000000"/>
          <w:sz w:val="24"/>
        </w:rPr>
        <w:t>自行承担。</w:t>
      </w:r>
    </w:p>
    <w:p w14:paraId="6FF647CC">
      <w:pPr>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7</w:t>
      </w:r>
      <w:r>
        <w:rPr>
          <w:rFonts w:hint="eastAsia" w:ascii="宋体" w:hAnsi="宋体" w:eastAsia="宋体" w:cs="宋体"/>
          <w:color w:val="000000"/>
          <w:sz w:val="24"/>
        </w:rPr>
        <w:t>、</w:t>
      </w:r>
      <w:r>
        <w:rPr>
          <w:rFonts w:hint="eastAsia" w:ascii="宋体" w:hAnsi="宋体" w:eastAsia="宋体" w:cs="宋体"/>
          <w:color w:val="000000"/>
          <w:sz w:val="24"/>
          <w:lang w:eastAsia="zh-CN"/>
        </w:rPr>
        <w:t>中标人</w:t>
      </w:r>
      <w:r>
        <w:rPr>
          <w:rFonts w:hint="eastAsia" w:ascii="宋体" w:hAnsi="宋体" w:eastAsia="宋体" w:cs="宋体"/>
          <w:color w:val="000000"/>
          <w:sz w:val="24"/>
        </w:rPr>
        <w:t>必须对本项目服务的工作严格保密，在参与中获取的任何警务信息不得向第三方透露相关内容，更不得在网上擅自发布。否则，</w:t>
      </w:r>
      <w:r>
        <w:rPr>
          <w:rFonts w:hint="eastAsia" w:ascii="宋体" w:hAnsi="宋体" w:eastAsia="宋体" w:cs="宋体"/>
          <w:color w:val="000000"/>
          <w:sz w:val="24"/>
          <w:lang w:eastAsia="zh-CN"/>
        </w:rPr>
        <w:t>中标人</w:t>
      </w:r>
      <w:r>
        <w:rPr>
          <w:rFonts w:hint="eastAsia" w:ascii="宋体" w:hAnsi="宋体" w:eastAsia="宋体" w:cs="宋体"/>
          <w:color w:val="000000"/>
          <w:sz w:val="24"/>
        </w:rPr>
        <w:t>需承担相应的法律责任。</w:t>
      </w:r>
    </w:p>
    <w:p w14:paraId="7531EC32">
      <w:pPr>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8</w:t>
      </w:r>
      <w:r>
        <w:rPr>
          <w:rFonts w:hint="eastAsia" w:ascii="宋体" w:hAnsi="宋体" w:eastAsia="宋体" w:cs="宋体"/>
          <w:color w:val="000000"/>
          <w:sz w:val="24"/>
        </w:rPr>
        <w:t>、</w:t>
      </w:r>
      <w:r>
        <w:rPr>
          <w:rFonts w:hint="eastAsia" w:ascii="宋体" w:hAnsi="宋体" w:eastAsia="宋体" w:cs="宋体"/>
          <w:color w:val="000000"/>
          <w:sz w:val="24"/>
          <w:lang w:eastAsia="zh-CN"/>
        </w:rPr>
        <w:t>中标人</w:t>
      </w:r>
      <w:r>
        <w:rPr>
          <w:rFonts w:hint="eastAsia" w:ascii="宋体" w:hAnsi="宋体" w:eastAsia="宋体" w:cs="宋体"/>
          <w:color w:val="000000"/>
          <w:sz w:val="24"/>
        </w:rPr>
        <w:t>应按照</w:t>
      </w:r>
      <w:r>
        <w:rPr>
          <w:rFonts w:hint="eastAsia" w:ascii="宋体" w:hAnsi="宋体" w:eastAsia="宋体" w:cs="宋体"/>
          <w:color w:val="000000"/>
          <w:sz w:val="24"/>
          <w:lang w:eastAsia="zh-CN"/>
        </w:rPr>
        <w:t>采购人</w:t>
      </w:r>
      <w:r>
        <w:rPr>
          <w:rFonts w:hint="eastAsia" w:ascii="宋体" w:hAnsi="宋体" w:eastAsia="宋体" w:cs="宋体"/>
          <w:color w:val="000000"/>
          <w:sz w:val="24"/>
        </w:rPr>
        <w:t>需要，配合现有涉案车辆、停车场车辆转移等工作。</w:t>
      </w:r>
    </w:p>
    <w:p w14:paraId="161CAD00">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9</w:t>
      </w:r>
      <w:r>
        <w:rPr>
          <w:rFonts w:hint="eastAsia" w:ascii="宋体" w:hAnsi="宋体" w:eastAsia="宋体" w:cs="宋体"/>
          <w:color w:val="000000"/>
          <w:sz w:val="24"/>
        </w:rPr>
        <w:t>、在合同期内，</w:t>
      </w:r>
      <w:r>
        <w:rPr>
          <w:rFonts w:hint="eastAsia" w:ascii="宋体" w:hAnsi="宋体" w:eastAsia="宋体" w:cs="宋体"/>
          <w:color w:val="000000"/>
          <w:sz w:val="24"/>
          <w:lang w:eastAsia="zh-CN"/>
        </w:rPr>
        <w:t>采购人</w:t>
      </w:r>
      <w:r>
        <w:rPr>
          <w:rFonts w:hint="eastAsia" w:ascii="宋体" w:hAnsi="宋体" w:eastAsia="宋体" w:cs="宋体"/>
          <w:color w:val="000000"/>
          <w:sz w:val="24"/>
        </w:rPr>
        <w:t>依法扣留的涉案车辆，拖移的违停车辆，以及集中存放的电动</w:t>
      </w:r>
      <w:r>
        <w:rPr>
          <w:rFonts w:hint="eastAsia" w:ascii="宋体" w:hAnsi="宋体" w:eastAsia="宋体" w:cs="宋体"/>
          <w:color w:val="000000"/>
          <w:sz w:val="24"/>
          <w:lang w:eastAsia="zh-CN"/>
        </w:rPr>
        <w:t>二、</w:t>
      </w:r>
      <w:r>
        <w:rPr>
          <w:rFonts w:hint="eastAsia" w:ascii="宋体" w:hAnsi="宋体" w:eastAsia="宋体" w:cs="宋体"/>
          <w:color w:val="000000"/>
          <w:sz w:val="24"/>
        </w:rPr>
        <w:t>三、四轮车，</w:t>
      </w:r>
      <w:r>
        <w:rPr>
          <w:rFonts w:hint="eastAsia" w:ascii="宋体" w:hAnsi="宋体" w:eastAsia="宋体" w:cs="宋体"/>
          <w:color w:val="000000"/>
          <w:sz w:val="24"/>
          <w:lang w:eastAsia="zh-CN"/>
        </w:rPr>
        <w:t>中标人</w:t>
      </w:r>
      <w:r>
        <w:rPr>
          <w:rFonts w:hint="eastAsia" w:ascii="宋体" w:hAnsi="宋体" w:eastAsia="宋体" w:cs="宋体"/>
          <w:color w:val="000000"/>
          <w:sz w:val="24"/>
        </w:rPr>
        <w:t>不得收取拖移、停放保管费用。</w:t>
      </w:r>
      <w:r>
        <w:rPr>
          <w:rFonts w:hint="eastAsia" w:ascii="宋体" w:hAnsi="宋体" w:eastAsia="宋体" w:cs="宋体"/>
          <w:color w:val="000000"/>
          <w:sz w:val="24"/>
          <w:lang w:eastAsia="zh-CN"/>
        </w:rPr>
        <w:t>采购人</w:t>
      </w:r>
      <w:r>
        <w:rPr>
          <w:rFonts w:hint="eastAsia" w:ascii="宋体" w:hAnsi="宋体" w:eastAsia="宋体" w:cs="宋体"/>
          <w:color w:val="000000"/>
          <w:sz w:val="24"/>
        </w:rPr>
        <w:t>书面通知领取车辆，当事人未及时领取的，自通知领取车辆次日起，</w:t>
      </w:r>
      <w:r>
        <w:rPr>
          <w:rFonts w:hint="eastAsia" w:ascii="宋体" w:hAnsi="宋体" w:eastAsia="宋体" w:cs="宋体"/>
          <w:color w:val="000000"/>
          <w:sz w:val="24"/>
          <w:lang w:eastAsia="zh-CN"/>
        </w:rPr>
        <w:t>中标人</w:t>
      </w:r>
      <w:r>
        <w:rPr>
          <w:rFonts w:hint="eastAsia" w:ascii="宋体" w:hAnsi="宋体" w:eastAsia="宋体" w:cs="宋体"/>
          <w:color w:val="000000"/>
          <w:sz w:val="24"/>
        </w:rPr>
        <w:t>可以依据县物价部门核准的标准收取停放费用，但收取前应报</w:t>
      </w:r>
      <w:r>
        <w:rPr>
          <w:rFonts w:hint="eastAsia" w:ascii="宋体" w:hAnsi="宋体" w:eastAsia="宋体" w:cs="宋体"/>
          <w:color w:val="000000"/>
          <w:sz w:val="24"/>
          <w:lang w:eastAsia="zh-CN"/>
        </w:rPr>
        <w:t>采购人公安</w:t>
      </w:r>
      <w:r>
        <w:rPr>
          <w:rFonts w:hint="eastAsia" w:ascii="宋体" w:hAnsi="宋体" w:eastAsia="宋体" w:cs="宋体"/>
          <w:color w:val="000000"/>
          <w:sz w:val="24"/>
        </w:rPr>
        <w:t>交管部门同意。</w:t>
      </w:r>
    </w:p>
    <w:p w14:paraId="0726E877">
      <w:pPr>
        <w:spacing w:line="360" w:lineRule="auto"/>
        <w:ind w:firstLine="480" w:firstLineChars="200"/>
        <w:jc w:val="left"/>
        <w:rPr>
          <w:rFonts w:hint="default" w:ascii="宋体" w:hAnsi="宋体" w:eastAsia="宋体" w:cs="宋体"/>
          <w:color w:val="0070C0"/>
          <w:sz w:val="24"/>
          <w:lang w:val="en-US" w:eastAsia="zh-CN"/>
        </w:rPr>
      </w:pPr>
      <w:r>
        <w:rPr>
          <w:rFonts w:hint="eastAsia" w:ascii="宋体" w:hAnsi="宋体" w:eastAsia="宋体" w:cs="宋体"/>
          <w:color w:val="000000"/>
          <w:sz w:val="24"/>
          <w:lang w:val="en-US" w:eastAsia="zh-CN"/>
        </w:rPr>
        <w:t>20、中标人需</w:t>
      </w:r>
      <w:r>
        <w:rPr>
          <w:rFonts w:hint="eastAsia" w:ascii="宋体" w:hAnsi="宋体" w:eastAsia="宋体"/>
          <w:color w:val="000000"/>
          <w:sz w:val="24"/>
        </w:rPr>
        <w:t>建立涉案财物管理系统，实现覆盖涉案车辆全流程的监管体系，通过“一车一码”的专属车辆标签二维码，车辆从查扣、拖运、入场、处置到发还的全程可追溯管理。系统采用互联网与公安网双网部署模式，工作人员使用外网APP扫描车辆标签即可绑定案件，并在关键环节拍照、录像，实时归档车辆状态。数据经安全边界同步至公安内网，自动关联案件信息，实现内外网业务协同。民警可在公安内网完成案件处理后，开具发还单。当事人凭单至停车场，由工作人员扫描单据确认身份，完成车辆发还。同时满足内网APP上架与使用条件的前提下，系统支持通过内网APP现场登记案件信息，或通过公安网客户端进行手动登记。</w:t>
      </w:r>
      <w:r>
        <w:rPr>
          <w:rFonts w:hint="eastAsia" w:ascii="宋体" w:hAnsi="宋体" w:eastAsia="宋体"/>
          <w:color w:val="000000"/>
          <w:sz w:val="24"/>
          <w:lang w:eastAsia="zh-CN"/>
        </w:rPr>
        <w:t>（</w:t>
      </w:r>
      <w:r>
        <w:rPr>
          <w:rFonts w:hint="eastAsia" w:ascii="宋体" w:hAnsi="宋体" w:eastAsia="宋体"/>
          <w:color w:val="000000"/>
          <w:sz w:val="24"/>
          <w:lang w:val="en-US" w:eastAsia="zh-CN"/>
        </w:rPr>
        <w:t>若中标后未按规定建立，则视为未按招标文件与投标文件要求订立合同。</w:t>
      </w:r>
      <w:r>
        <w:rPr>
          <w:rFonts w:hint="eastAsia" w:ascii="宋体" w:hAnsi="宋体" w:eastAsia="宋体"/>
          <w:color w:val="000000"/>
          <w:sz w:val="24"/>
          <w:lang w:eastAsia="zh-CN"/>
        </w:rPr>
        <w:t>）</w:t>
      </w:r>
    </w:p>
    <w:p w14:paraId="582130EE">
      <w:pPr>
        <w:spacing w:line="360" w:lineRule="auto"/>
        <w:jc w:val="left"/>
        <w:rPr>
          <w:rFonts w:ascii="宋体" w:hAnsi="宋体" w:eastAsia="宋体" w:cs="宋体"/>
          <w:b/>
          <w:bCs/>
          <w:color w:val="000000"/>
          <w:sz w:val="24"/>
        </w:rPr>
      </w:pPr>
      <w:r>
        <w:rPr>
          <w:rFonts w:hint="eastAsia" w:ascii="宋体" w:hAnsi="宋体" w:eastAsia="宋体" w:cs="宋体"/>
          <w:b/>
          <w:bCs/>
          <w:color w:val="000000"/>
          <w:sz w:val="24"/>
        </w:rPr>
        <w:t>四、考核细则</w:t>
      </w:r>
    </w:p>
    <w:p w14:paraId="5711B5A9">
      <w:pPr>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每月由</w:t>
      </w:r>
      <w:r>
        <w:rPr>
          <w:rFonts w:hint="eastAsia" w:ascii="宋体" w:hAnsi="宋体" w:eastAsia="宋体" w:cs="宋体"/>
          <w:color w:val="000000"/>
          <w:sz w:val="24"/>
          <w:lang w:eastAsia="zh-CN"/>
        </w:rPr>
        <w:t>采购人</w:t>
      </w:r>
      <w:r>
        <w:rPr>
          <w:rFonts w:hint="eastAsia" w:ascii="宋体" w:hAnsi="宋体" w:eastAsia="宋体" w:cs="宋体"/>
          <w:color w:val="000000"/>
          <w:sz w:val="24"/>
        </w:rPr>
        <w:t>对</w:t>
      </w:r>
      <w:r>
        <w:rPr>
          <w:rFonts w:hint="eastAsia" w:ascii="宋体" w:hAnsi="宋体" w:eastAsia="宋体" w:cs="宋体"/>
          <w:color w:val="000000"/>
          <w:sz w:val="24"/>
          <w:lang w:eastAsia="zh-CN"/>
        </w:rPr>
        <w:t>中标人</w:t>
      </w:r>
      <w:r>
        <w:rPr>
          <w:rFonts w:hint="eastAsia" w:ascii="宋体" w:hAnsi="宋体" w:eastAsia="宋体" w:cs="宋体"/>
          <w:color w:val="000000"/>
          <w:sz w:val="24"/>
        </w:rPr>
        <w:t>服务工作进行全面考核检查，按照考核标准对未达标的按标准分扣分，</w:t>
      </w:r>
      <w:r>
        <w:rPr>
          <w:rFonts w:hint="eastAsia" w:ascii="宋体" w:hAnsi="宋体" w:eastAsia="宋体" w:cs="宋体"/>
          <w:color w:val="000000"/>
          <w:sz w:val="24"/>
          <w:lang w:eastAsia="zh-CN"/>
        </w:rPr>
        <w:t>采购人</w:t>
      </w:r>
      <w:r>
        <w:rPr>
          <w:rFonts w:hint="eastAsia" w:ascii="宋体" w:hAnsi="宋体" w:eastAsia="宋体" w:cs="宋体"/>
          <w:color w:val="000000"/>
          <w:sz w:val="24"/>
        </w:rPr>
        <w:t>也将不定期抽查服务工作，并按标准扣分。按月度考核表被扣分的，每1分值抵扣50元，当月累计扣</w:t>
      </w:r>
      <w:r>
        <w:rPr>
          <w:rFonts w:hint="eastAsia" w:ascii="宋体" w:hAnsi="宋体" w:eastAsia="宋体" w:cs="宋体"/>
          <w:color w:val="000000"/>
          <w:sz w:val="24"/>
          <w:lang w:val="en-US" w:eastAsia="zh-CN"/>
        </w:rPr>
        <w:t>10</w:t>
      </w:r>
      <w:r>
        <w:rPr>
          <w:rFonts w:hint="eastAsia" w:ascii="宋体" w:hAnsi="宋体" w:eastAsia="宋体" w:cs="宋体"/>
          <w:color w:val="000000"/>
          <w:sz w:val="24"/>
        </w:rPr>
        <w:t>分及以上，扣除当月合同金额5%且</w:t>
      </w:r>
      <w:r>
        <w:rPr>
          <w:rFonts w:hint="eastAsia" w:ascii="宋体" w:hAnsi="宋体" w:eastAsia="宋体" w:cs="宋体"/>
          <w:color w:val="000000"/>
          <w:sz w:val="24"/>
          <w:lang w:eastAsia="zh-CN"/>
        </w:rPr>
        <w:t>采购人</w:t>
      </w:r>
      <w:r>
        <w:rPr>
          <w:rFonts w:hint="eastAsia" w:ascii="宋体" w:hAnsi="宋体" w:eastAsia="宋体" w:cs="宋体"/>
          <w:color w:val="000000"/>
          <w:sz w:val="24"/>
        </w:rPr>
        <w:t>有权利解除合同。每季度累计</w:t>
      </w:r>
      <w:r>
        <w:rPr>
          <w:rFonts w:hint="eastAsia" w:ascii="宋体" w:hAnsi="宋体" w:eastAsia="宋体" w:cs="宋体"/>
          <w:color w:val="000000"/>
          <w:sz w:val="24"/>
          <w:lang w:val="en-US" w:eastAsia="zh-CN"/>
        </w:rPr>
        <w:t>20</w:t>
      </w:r>
      <w:r>
        <w:rPr>
          <w:rFonts w:hint="eastAsia" w:ascii="宋体" w:hAnsi="宋体" w:eastAsia="宋体" w:cs="宋体"/>
          <w:color w:val="000000"/>
          <w:sz w:val="24"/>
        </w:rPr>
        <w:t>分及以上或每年度累计</w:t>
      </w:r>
      <w:r>
        <w:rPr>
          <w:rFonts w:hint="eastAsia" w:ascii="宋体" w:hAnsi="宋体" w:eastAsia="宋体" w:cs="宋体"/>
          <w:color w:val="000000"/>
          <w:sz w:val="24"/>
          <w:lang w:val="en-US" w:eastAsia="zh-CN"/>
        </w:rPr>
        <w:t>60</w:t>
      </w:r>
      <w:r>
        <w:rPr>
          <w:rFonts w:hint="eastAsia" w:ascii="宋体" w:hAnsi="宋体" w:eastAsia="宋体" w:cs="宋体"/>
          <w:color w:val="000000"/>
          <w:sz w:val="24"/>
        </w:rPr>
        <w:t>分及以上，</w:t>
      </w:r>
      <w:r>
        <w:rPr>
          <w:rFonts w:hint="eastAsia" w:ascii="宋体" w:hAnsi="宋体" w:eastAsia="宋体" w:cs="宋体"/>
          <w:color w:val="000000"/>
          <w:sz w:val="24"/>
          <w:lang w:eastAsia="zh-CN"/>
        </w:rPr>
        <w:t>采购人</w:t>
      </w:r>
      <w:r>
        <w:rPr>
          <w:rFonts w:hint="eastAsia" w:ascii="宋体" w:hAnsi="宋体" w:eastAsia="宋体" w:cs="宋体"/>
          <w:color w:val="000000"/>
          <w:sz w:val="24"/>
        </w:rPr>
        <w:t>有权解除服务合同。</w:t>
      </w:r>
    </w:p>
    <w:p w14:paraId="181E44B8">
      <w:pPr>
        <w:spacing w:line="560" w:lineRule="exact"/>
        <w:jc w:val="center"/>
        <w:rPr>
          <w:rFonts w:ascii="宋体" w:hAnsi="宋体" w:eastAsia="宋体" w:cs="宋体"/>
          <w:b/>
          <w:bCs/>
          <w:color w:val="000000"/>
          <w:sz w:val="24"/>
        </w:rPr>
      </w:pPr>
      <w:r>
        <w:rPr>
          <w:rFonts w:hint="eastAsia" w:ascii="宋体" w:hAnsi="宋体" w:eastAsia="宋体" w:cs="宋体"/>
          <w:b/>
          <w:bCs/>
          <w:color w:val="000000"/>
          <w:sz w:val="24"/>
        </w:rPr>
        <w:t>月工作考核标准</w:t>
      </w:r>
    </w:p>
    <w:tbl>
      <w:tblPr>
        <w:tblStyle w:val="33"/>
        <w:tblW w:w="85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7"/>
        <w:gridCol w:w="4330"/>
        <w:gridCol w:w="2987"/>
        <w:gridCol w:w="644"/>
      </w:tblGrid>
      <w:tr w14:paraId="2E411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77" w:type="dxa"/>
            <w:vAlign w:val="center"/>
          </w:tcPr>
          <w:p w14:paraId="654EDEB2">
            <w:pPr>
              <w:spacing w:line="336" w:lineRule="auto"/>
              <w:jc w:val="left"/>
              <w:rPr>
                <w:rFonts w:hint="eastAsia" w:ascii="宋体" w:hAnsi="宋体" w:eastAsia="宋体" w:cs="宋体"/>
                <w:color w:val="000000"/>
                <w:sz w:val="15"/>
                <w:szCs w:val="15"/>
              </w:rPr>
            </w:pPr>
            <w:r>
              <w:rPr>
                <w:rFonts w:hint="eastAsia" w:ascii="宋体" w:hAnsi="宋体" w:eastAsia="宋体" w:cs="宋体"/>
                <w:color w:val="000000"/>
                <w:sz w:val="15"/>
                <w:szCs w:val="15"/>
              </w:rPr>
              <w:t>序号</w:t>
            </w:r>
          </w:p>
        </w:tc>
        <w:tc>
          <w:tcPr>
            <w:tcW w:w="4330" w:type="dxa"/>
            <w:vAlign w:val="center"/>
          </w:tcPr>
          <w:p w14:paraId="16B0F187">
            <w:pPr>
              <w:spacing w:line="336" w:lineRule="auto"/>
              <w:ind w:firstLine="1800" w:firstLineChars="1200"/>
              <w:jc w:val="left"/>
              <w:rPr>
                <w:rFonts w:hint="eastAsia" w:ascii="宋体" w:hAnsi="宋体" w:eastAsia="宋体" w:cs="宋体"/>
                <w:color w:val="000000"/>
                <w:sz w:val="15"/>
                <w:szCs w:val="15"/>
              </w:rPr>
            </w:pPr>
            <w:r>
              <w:rPr>
                <w:rFonts w:hint="eastAsia" w:ascii="宋体" w:hAnsi="宋体" w:eastAsia="宋体" w:cs="宋体"/>
                <w:color w:val="000000"/>
                <w:sz w:val="15"/>
                <w:szCs w:val="15"/>
              </w:rPr>
              <w:t>考核内容</w:t>
            </w:r>
          </w:p>
        </w:tc>
        <w:tc>
          <w:tcPr>
            <w:tcW w:w="2987" w:type="dxa"/>
            <w:vAlign w:val="center"/>
          </w:tcPr>
          <w:p w14:paraId="2906B222">
            <w:pPr>
              <w:spacing w:line="336" w:lineRule="auto"/>
              <w:ind w:firstLine="900" w:firstLineChars="600"/>
              <w:jc w:val="left"/>
              <w:rPr>
                <w:rFonts w:hint="eastAsia" w:ascii="宋体" w:hAnsi="宋体" w:eastAsia="宋体" w:cs="宋体"/>
                <w:color w:val="000000"/>
                <w:sz w:val="15"/>
                <w:szCs w:val="15"/>
              </w:rPr>
            </w:pPr>
            <w:r>
              <w:rPr>
                <w:rFonts w:hint="eastAsia" w:ascii="宋体" w:hAnsi="宋体" w:eastAsia="宋体" w:cs="宋体"/>
                <w:color w:val="000000"/>
                <w:sz w:val="15"/>
                <w:szCs w:val="15"/>
              </w:rPr>
              <w:t>评分办法</w:t>
            </w:r>
          </w:p>
        </w:tc>
        <w:tc>
          <w:tcPr>
            <w:tcW w:w="644" w:type="dxa"/>
            <w:vAlign w:val="center"/>
          </w:tcPr>
          <w:p w14:paraId="20D4F8DC">
            <w:pPr>
              <w:spacing w:line="336" w:lineRule="auto"/>
              <w:jc w:val="left"/>
              <w:rPr>
                <w:rFonts w:hint="eastAsia" w:ascii="宋体" w:hAnsi="宋体" w:eastAsia="宋体" w:cs="宋体"/>
                <w:color w:val="000000"/>
                <w:sz w:val="15"/>
                <w:szCs w:val="15"/>
              </w:rPr>
            </w:pPr>
            <w:r>
              <w:rPr>
                <w:rFonts w:hint="eastAsia" w:ascii="宋体" w:hAnsi="宋体" w:eastAsia="宋体" w:cs="宋体"/>
                <w:color w:val="000000"/>
                <w:sz w:val="15"/>
                <w:szCs w:val="15"/>
              </w:rPr>
              <w:t>备注</w:t>
            </w:r>
          </w:p>
        </w:tc>
      </w:tr>
      <w:tr w14:paraId="61B9A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77" w:type="dxa"/>
            <w:vAlign w:val="center"/>
          </w:tcPr>
          <w:p w14:paraId="62E45635">
            <w:pPr>
              <w:spacing w:line="336" w:lineRule="auto"/>
              <w:ind w:firstLine="150" w:firstLineChars="100"/>
              <w:jc w:val="both"/>
              <w:rPr>
                <w:rFonts w:hint="eastAsia" w:ascii="宋体" w:hAnsi="宋体" w:eastAsia="宋体" w:cs="宋体"/>
                <w:color w:val="000000"/>
                <w:sz w:val="15"/>
                <w:szCs w:val="15"/>
              </w:rPr>
            </w:pPr>
            <w:r>
              <w:rPr>
                <w:rFonts w:hint="eastAsia" w:ascii="宋体" w:hAnsi="宋体" w:eastAsia="宋体" w:cs="宋体"/>
                <w:color w:val="000000"/>
                <w:sz w:val="15"/>
                <w:szCs w:val="15"/>
              </w:rPr>
              <w:t>1</w:t>
            </w:r>
          </w:p>
        </w:tc>
        <w:tc>
          <w:tcPr>
            <w:tcW w:w="4330" w:type="dxa"/>
            <w:vAlign w:val="center"/>
          </w:tcPr>
          <w:p w14:paraId="393F5C93">
            <w:pPr>
              <w:spacing w:line="336" w:lineRule="auto"/>
              <w:jc w:val="left"/>
              <w:rPr>
                <w:rFonts w:hint="eastAsia" w:ascii="宋体" w:hAnsi="宋体" w:eastAsia="宋体" w:cs="宋体"/>
                <w:color w:val="000000"/>
                <w:sz w:val="15"/>
                <w:szCs w:val="15"/>
              </w:rPr>
            </w:pPr>
            <w:r>
              <w:rPr>
                <w:rFonts w:hint="eastAsia" w:ascii="宋体" w:hAnsi="宋体" w:eastAsia="宋体" w:cs="宋体"/>
                <w:color w:val="000000"/>
                <w:sz w:val="15"/>
                <w:szCs w:val="15"/>
              </w:rPr>
              <w:t>未达到清障服务形象标准和要求的（10分）</w:t>
            </w:r>
          </w:p>
        </w:tc>
        <w:tc>
          <w:tcPr>
            <w:tcW w:w="2987" w:type="dxa"/>
            <w:vAlign w:val="center"/>
          </w:tcPr>
          <w:p w14:paraId="7BA59984">
            <w:pPr>
              <w:spacing w:line="336" w:lineRule="auto"/>
              <w:jc w:val="left"/>
              <w:rPr>
                <w:rFonts w:hint="eastAsia" w:ascii="宋体" w:hAnsi="宋体" w:eastAsia="宋体" w:cs="宋体"/>
                <w:color w:val="000000"/>
                <w:sz w:val="15"/>
                <w:szCs w:val="15"/>
              </w:rPr>
            </w:pPr>
            <w:r>
              <w:rPr>
                <w:rFonts w:hint="eastAsia" w:ascii="宋体" w:hAnsi="宋体" w:eastAsia="宋体" w:cs="宋体"/>
                <w:color w:val="000000"/>
                <w:sz w:val="15"/>
                <w:szCs w:val="15"/>
              </w:rPr>
              <w:t>发现每处（项）不合格扣1分，扣完为止</w:t>
            </w:r>
          </w:p>
        </w:tc>
        <w:tc>
          <w:tcPr>
            <w:tcW w:w="644" w:type="dxa"/>
            <w:vAlign w:val="center"/>
          </w:tcPr>
          <w:p w14:paraId="2E8D9C4D">
            <w:pPr>
              <w:spacing w:line="336" w:lineRule="auto"/>
              <w:ind w:firstLine="300" w:firstLineChars="200"/>
              <w:jc w:val="left"/>
              <w:rPr>
                <w:rFonts w:hint="eastAsia" w:ascii="宋体" w:hAnsi="宋体" w:eastAsia="宋体" w:cs="宋体"/>
                <w:color w:val="000000"/>
                <w:sz w:val="15"/>
                <w:szCs w:val="15"/>
              </w:rPr>
            </w:pPr>
          </w:p>
        </w:tc>
      </w:tr>
      <w:tr w14:paraId="57BE7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77" w:type="dxa"/>
            <w:vAlign w:val="center"/>
          </w:tcPr>
          <w:p w14:paraId="5426B0D7">
            <w:pPr>
              <w:spacing w:line="336" w:lineRule="auto"/>
              <w:ind w:firstLine="150" w:firstLineChars="100"/>
              <w:jc w:val="both"/>
              <w:rPr>
                <w:rFonts w:hint="eastAsia" w:ascii="宋体" w:hAnsi="宋体" w:eastAsia="宋体" w:cs="宋体"/>
                <w:color w:val="000000"/>
                <w:sz w:val="15"/>
                <w:szCs w:val="15"/>
              </w:rPr>
            </w:pPr>
            <w:r>
              <w:rPr>
                <w:rFonts w:hint="eastAsia" w:ascii="宋体" w:hAnsi="宋体" w:eastAsia="宋体" w:cs="宋体"/>
                <w:color w:val="000000"/>
                <w:sz w:val="15"/>
                <w:szCs w:val="15"/>
              </w:rPr>
              <w:t>2</w:t>
            </w:r>
          </w:p>
        </w:tc>
        <w:tc>
          <w:tcPr>
            <w:tcW w:w="4330" w:type="dxa"/>
            <w:vAlign w:val="center"/>
          </w:tcPr>
          <w:p w14:paraId="240FD16C">
            <w:pPr>
              <w:spacing w:line="336" w:lineRule="auto"/>
              <w:jc w:val="left"/>
              <w:rPr>
                <w:rFonts w:hint="eastAsia" w:ascii="宋体" w:hAnsi="宋体" w:eastAsia="宋体" w:cs="宋体"/>
                <w:color w:val="000000"/>
                <w:sz w:val="15"/>
                <w:szCs w:val="15"/>
              </w:rPr>
            </w:pPr>
            <w:r>
              <w:rPr>
                <w:rFonts w:hint="eastAsia" w:ascii="宋体" w:hAnsi="宋体" w:eastAsia="宋体" w:cs="宋体"/>
                <w:color w:val="000000"/>
                <w:sz w:val="15"/>
                <w:szCs w:val="15"/>
              </w:rPr>
              <w:t>未达到清障拖移服务信息公布标准和要求的（10分）</w:t>
            </w:r>
          </w:p>
        </w:tc>
        <w:tc>
          <w:tcPr>
            <w:tcW w:w="2987" w:type="dxa"/>
            <w:vAlign w:val="center"/>
          </w:tcPr>
          <w:p w14:paraId="53F5C15E">
            <w:pPr>
              <w:spacing w:line="336" w:lineRule="auto"/>
              <w:jc w:val="left"/>
              <w:rPr>
                <w:rFonts w:hint="eastAsia" w:ascii="宋体" w:hAnsi="宋体" w:eastAsia="宋体" w:cs="宋体"/>
                <w:color w:val="000000"/>
                <w:sz w:val="15"/>
                <w:szCs w:val="15"/>
              </w:rPr>
            </w:pPr>
            <w:r>
              <w:rPr>
                <w:rFonts w:hint="eastAsia" w:ascii="宋体" w:hAnsi="宋体" w:eastAsia="宋体" w:cs="宋体"/>
                <w:color w:val="000000"/>
                <w:sz w:val="15"/>
                <w:szCs w:val="15"/>
              </w:rPr>
              <w:t>发现每处（项）不合格扣1分，扣完为止</w:t>
            </w:r>
          </w:p>
        </w:tc>
        <w:tc>
          <w:tcPr>
            <w:tcW w:w="644" w:type="dxa"/>
            <w:vAlign w:val="center"/>
          </w:tcPr>
          <w:p w14:paraId="5036230E">
            <w:pPr>
              <w:spacing w:line="336" w:lineRule="auto"/>
              <w:ind w:firstLine="300" w:firstLineChars="200"/>
              <w:jc w:val="left"/>
              <w:rPr>
                <w:rFonts w:hint="eastAsia" w:ascii="宋体" w:hAnsi="宋体" w:eastAsia="宋体" w:cs="宋体"/>
                <w:color w:val="000000"/>
                <w:sz w:val="15"/>
                <w:szCs w:val="15"/>
              </w:rPr>
            </w:pPr>
          </w:p>
        </w:tc>
      </w:tr>
      <w:tr w14:paraId="612E3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77" w:type="dxa"/>
            <w:vAlign w:val="center"/>
          </w:tcPr>
          <w:p w14:paraId="37AD4FD4">
            <w:pPr>
              <w:spacing w:line="336" w:lineRule="auto"/>
              <w:ind w:firstLine="150" w:firstLineChars="100"/>
              <w:jc w:val="both"/>
              <w:rPr>
                <w:rFonts w:hint="eastAsia" w:ascii="宋体" w:hAnsi="宋体" w:eastAsia="宋体" w:cs="宋体"/>
                <w:color w:val="000000"/>
                <w:sz w:val="15"/>
                <w:szCs w:val="15"/>
              </w:rPr>
            </w:pPr>
            <w:r>
              <w:rPr>
                <w:rFonts w:hint="eastAsia" w:ascii="宋体" w:hAnsi="宋体" w:eastAsia="宋体" w:cs="宋体"/>
                <w:color w:val="000000"/>
                <w:sz w:val="15"/>
                <w:szCs w:val="15"/>
              </w:rPr>
              <w:t>3</w:t>
            </w:r>
          </w:p>
        </w:tc>
        <w:tc>
          <w:tcPr>
            <w:tcW w:w="4330" w:type="dxa"/>
            <w:vAlign w:val="center"/>
          </w:tcPr>
          <w:p w14:paraId="2A69082C">
            <w:pPr>
              <w:spacing w:line="336" w:lineRule="auto"/>
              <w:jc w:val="left"/>
              <w:rPr>
                <w:rFonts w:hint="eastAsia" w:ascii="宋体" w:hAnsi="宋体" w:eastAsia="宋体" w:cs="宋体"/>
                <w:color w:val="000000"/>
                <w:sz w:val="15"/>
                <w:szCs w:val="15"/>
              </w:rPr>
            </w:pPr>
            <w:r>
              <w:rPr>
                <w:rFonts w:hint="eastAsia" w:ascii="宋体" w:hAnsi="宋体" w:eastAsia="宋体" w:cs="宋体"/>
                <w:color w:val="000000"/>
                <w:sz w:val="15"/>
                <w:szCs w:val="15"/>
                <w:lang w:eastAsia="zh-CN"/>
              </w:rPr>
              <w:t>接到拖车、清障指令后未在规定时间到达的（</w:t>
            </w:r>
            <w:r>
              <w:rPr>
                <w:rFonts w:hint="eastAsia" w:ascii="宋体" w:hAnsi="宋体" w:eastAsia="宋体" w:cs="宋体"/>
                <w:color w:val="000000"/>
                <w:sz w:val="15"/>
                <w:szCs w:val="15"/>
                <w:lang w:val="en-US" w:eastAsia="zh-CN"/>
              </w:rPr>
              <w:t>10分）</w:t>
            </w:r>
          </w:p>
        </w:tc>
        <w:tc>
          <w:tcPr>
            <w:tcW w:w="2987" w:type="dxa"/>
            <w:vAlign w:val="center"/>
          </w:tcPr>
          <w:p w14:paraId="046F45F8">
            <w:pPr>
              <w:spacing w:line="336" w:lineRule="auto"/>
              <w:jc w:val="left"/>
              <w:rPr>
                <w:rFonts w:hint="eastAsia" w:ascii="宋体" w:hAnsi="宋体" w:eastAsia="宋体" w:cs="宋体"/>
                <w:color w:val="000000"/>
                <w:sz w:val="15"/>
                <w:szCs w:val="15"/>
              </w:rPr>
            </w:pPr>
            <w:r>
              <w:rPr>
                <w:rFonts w:hint="eastAsia" w:ascii="宋体" w:hAnsi="宋体" w:eastAsia="宋体" w:cs="宋体"/>
                <w:color w:val="000000"/>
                <w:sz w:val="15"/>
                <w:szCs w:val="15"/>
              </w:rPr>
              <w:t>发现每处（项）不合格扣</w:t>
            </w:r>
            <w:r>
              <w:rPr>
                <w:rFonts w:hint="eastAsia" w:ascii="宋体" w:hAnsi="宋体" w:eastAsia="宋体" w:cs="宋体"/>
                <w:color w:val="000000"/>
                <w:sz w:val="15"/>
                <w:szCs w:val="15"/>
                <w:lang w:val="en-US" w:eastAsia="zh-CN"/>
              </w:rPr>
              <w:t>2</w:t>
            </w:r>
            <w:r>
              <w:rPr>
                <w:rFonts w:hint="eastAsia" w:ascii="宋体" w:hAnsi="宋体" w:eastAsia="宋体" w:cs="宋体"/>
                <w:color w:val="000000"/>
                <w:sz w:val="15"/>
                <w:szCs w:val="15"/>
              </w:rPr>
              <w:t>分，扣完为止</w:t>
            </w:r>
          </w:p>
        </w:tc>
        <w:tc>
          <w:tcPr>
            <w:tcW w:w="644" w:type="dxa"/>
            <w:vAlign w:val="center"/>
          </w:tcPr>
          <w:p w14:paraId="604C8990">
            <w:pPr>
              <w:spacing w:line="336" w:lineRule="auto"/>
              <w:ind w:firstLine="300" w:firstLineChars="200"/>
              <w:jc w:val="left"/>
              <w:rPr>
                <w:rFonts w:hint="eastAsia" w:ascii="宋体" w:hAnsi="宋体" w:eastAsia="宋体" w:cs="宋体"/>
                <w:color w:val="000000"/>
                <w:sz w:val="15"/>
                <w:szCs w:val="15"/>
              </w:rPr>
            </w:pPr>
          </w:p>
        </w:tc>
      </w:tr>
      <w:tr w14:paraId="702DD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77" w:type="dxa"/>
            <w:vAlign w:val="center"/>
          </w:tcPr>
          <w:p w14:paraId="155498D2">
            <w:pPr>
              <w:spacing w:line="336" w:lineRule="auto"/>
              <w:ind w:firstLine="150" w:firstLineChars="100"/>
              <w:jc w:val="both"/>
              <w:rPr>
                <w:rFonts w:hint="eastAsia" w:ascii="宋体" w:hAnsi="宋体" w:eastAsia="宋体" w:cs="宋体"/>
                <w:color w:val="000000"/>
                <w:sz w:val="15"/>
                <w:szCs w:val="15"/>
              </w:rPr>
            </w:pPr>
            <w:r>
              <w:rPr>
                <w:rFonts w:hint="eastAsia" w:ascii="宋体" w:hAnsi="宋体" w:eastAsia="宋体" w:cs="宋体"/>
                <w:color w:val="000000"/>
                <w:sz w:val="15"/>
                <w:szCs w:val="15"/>
              </w:rPr>
              <w:t>4</w:t>
            </w:r>
          </w:p>
        </w:tc>
        <w:tc>
          <w:tcPr>
            <w:tcW w:w="4330" w:type="dxa"/>
            <w:vAlign w:val="center"/>
          </w:tcPr>
          <w:p w14:paraId="772EEB62">
            <w:pPr>
              <w:spacing w:line="336" w:lineRule="auto"/>
              <w:jc w:val="left"/>
              <w:rPr>
                <w:rFonts w:hint="eastAsia" w:ascii="宋体" w:hAnsi="宋体" w:eastAsia="宋体" w:cs="宋体"/>
                <w:color w:val="000000"/>
                <w:sz w:val="15"/>
                <w:szCs w:val="15"/>
              </w:rPr>
            </w:pPr>
            <w:r>
              <w:rPr>
                <w:rFonts w:hint="eastAsia" w:ascii="宋体" w:hAnsi="宋体" w:eastAsia="宋体" w:cs="宋体"/>
                <w:color w:val="000000"/>
                <w:sz w:val="15"/>
                <w:szCs w:val="15"/>
              </w:rPr>
              <w:t>拖移车辆未出具交接凭证的（10分）</w:t>
            </w:r>
          </w:p>
        </w:tc>
        <w:tc>
          <w:tcPr>
            <w:tcW w:w="2987" w:type="dxa"/>
            <w:vAlign w:val="center"/>
          </w:tcPr>
          <w:p w14:paraId="5B1A9F68">
            <w:pPr>
              <w:spacing w:line="336" w:lineRule="auto"/>
              <w:jc w:val="left"/>
              <w:rPr>
                <w:rFonts w:hint="eastAsia" w:ascii="宋体" w:hAnsi="宋体" w:eastAsia="宋体" w:cs="宋体"/>
                <w:color w:val="000000"/>
                <w:sz w:val="15"/>
                <w:szCs w:val="15"/>
              </w:rPr>
            </w:pPr>
            <w:r>
              <w:rPr>
                <w:rFonts w:hint="eastAsia" w:ascii="宋体" w:hAnsi="宋体" w:eastAsia="宋体" w:cs="宋体"/>
                <w:color w:val="000000"/>
                <w:sz w:val="15"/>
                <w:szCs w:val="15"/>
              </w:rPr>
              <w:t>发现每处（项）不合格扣1分，扣完为止</w:t>
            </w:r>
          </w:p>
        </w:tc>
        <w:tc>
          <w:tcPr>
            <w:tcW w:w="644" w:type="dxa"/>
            <w:vAlign w:val="center"/>
          </w:tcPr>
          <w:p w14:paraId="6985A1A3">
            <w:pPr>
              <w:spacing w:line="336" w:lineRule="auto"/>
              <w:ind w:firstLine="300" w:firstLineChars="200"/>
              <w:jc w:val="left"/>
              <w:rPr>
                <w:rFonts w:hint="eastAsia" w:ascii="宋体" w:hAnsi="宋体" w:eastAsia="宋体" w:cs="宋体"/>
                <w:color w:val="000000"/>
                <w:sz w:val="15"/>
                <w:szCs w:val="15"/>
              </w:rPr>
            </w:pPr>
          </w:p>
        </w:tc>
      </w:tr>
      <w:tr w14:paraId="62A17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77" w:type="dxa"/>
            <w:vAlign w:val="center"/>
          </w:tcPr>
          <w:p w14:paraId="2C9050D8">
            <w:pPr>
              <w:spacing w:line="336" w:lineRule="auto"/>
              <w:ind w:firstLine="150" w:firstLineChars="100"/>
              <w:jc w:val="both"/>
              <w:rPr>
                <w:rFonts w:hint="eastAsia" w:ascii="宋体" w:hAnsi="宋体" w:eastAsia="宋体" w:cs="宋体"/>
                <w:color w:val="000000"/>
                <w:sz w:val="15"/>
                <w:szCs w:val="15"/>
              </w:rPr>
            </w:pPr>
            <w:r>
              <w:rPr>
                <w:rFonts w:hint="eastAsia" w:ascii="宋体" w:hAnsi="宋体" w:eastAsia="宋体" w:cs="宋体"/>
                <w:color w:val="000000"/>
                <w:sz w:val="15"/>
                <w:szCs w:val="15"/>
              </w:rPr>
              <w:t>5</w:t>
            </w:r>
          </w:p>
        </w:tc>
        <w:tc>
          <w:tcPr>
            <w:tcW w:w="4330" w:type="dxa"/>
            <w:vAlign w:val="center"/>
          </w:tcPr>
          <w:p w14:paraId="40C22ED8">
            <w:pPr>
              <w:spacing w:line="336" w:lineRule="auto"/>
              <w:jc w:val="left"/>
              <w:rPr>
                <w:rFonts w:hint="eastAsia" w:ascii="宋体" w:hAnsi="宋体" w:eastAsia="宋体" w:cs="宋体"/>
                <w:color w:val="000000"/>
                <w:sz w:val="15"/>
                <w:szCs w:val="15"/>
              </w:rPr>
            </w:pPr>
            <w:r>
              <w:rPr>
                <w:rFonts w:hint="eastAsia" w:ascii="宋体" w:hAnsi="宋体" w:eastAsia="宋体" w:cs="宋体"/>
                <w:color w:val="000000"/>
                <w:sz w:val="15"/>
                <w:szCs w:val="15"/>
              </w:rPr>
              <w:t>未做好现场安全防护的（10分）</w:t>
            </w:r>
          </w:p>
        </w:tc>
        <w:tc>
          <w:tcPr>
            <w:tcW w:w="2987" w:type="dxa"/>
            <w:vAlign w:val="center"/>
          </w:tcPr>
          <w:p w14:paraId="1912126E">
            <w:pPr>
              <w:spacing w:line="336" w:lineRule="auto"/>
              <w:jc w:val="left"/>
              <w:rPr>
                <w:rFonts w:hint="eastAsia" w:ascii="宋体" w:hAnsi="宋体" w:eastAsia="宋体" w:cs="宋体"/>
                <w:color w:val="000000"/>
                <w:sz w:val="15"/>
                <w:szCs w:val="15"/>
              </w:rPr>
            </w:pPr>
            <w:r>
              <w:rPr>
                <w:rFonts w:hint="eastAsia" w:ascii="宋体" w:hAnsi="宋体" w:eastAsia="宋体" w:cs="宋体"/>
                <w:color w:val="000000"/>
                <w:sz w:val="15"/>
                <w:szCs w:val="15"/>
              </w:rPr>
              <w:t>发现每处（项）不合格扣</w:t>
            </w:r>
            <w:r>
              <w:rPr>
                <w:rFonts w:hint="eastAsia" w:ascii="宋体" w:hAnsi="宋体" w:eastAsia="宋体" w:cs="宋体"/>
                <w:color w:val="000000"/>
                <w:sz w:val="15"/>
                <w:szCs w:val="15"/>
                <w:lang w:val="en-US" w:eastAsia="zh-CN"/>
              </w:rPr>
              <w:t>2</w:t>
            </w:r>
            <w:r>
              <w:rPr>
                <w:rFonts w:hint="eastAsia" w:ascii="宋体" w:hAnsi="宋体" w:eastAsia="宋体" w:cs="宋体"/>
                <w:color w:val="000000"/>
                <w:sz w:val="15"/>
                <w:szCs w:val="15"/>
              </w:rPr>
              <w:t>分，扣完为止</w:t>
            </w:r>
          </w:p>
        </w:tc>
        <w:tc>
          <w:tcPr>
            <w:tcW w:w="644" w:type="dxa"/>
            <w:vAlign w:val="center"/>
          </w:tcPr>
          <w:p w14:paraId="4C800741">
            <w:pPr>
              <w:spacing w:line="336" w:lineRule="auto"/>
              <w:ind w:firstLine="300" w:firstLineChars="200"/>
              <w:jc w:val="left"/>
              <w:rPr>
                <w:rFonts w:hint="eastAsia" w:ascii="宋体" w:hAnsi="宋体" w:eastAsia="宋体" w:cs="宋体"/>
                <w:color w:val="000000"/>
                <w:sz w:val="15"/>
                <w:szCs w:val="15"/>
              </w:rPr>
            </w:pPr>
          </w:p>
        </w:tc>
      </w:tr>
      <w:tr w14:paraId="6DD0A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77" w:type="dxa"/>
            <w:vAlign w:val="center"/>
          </w:tcPr>
          <w:p w14:paraId="01BF2444">
            <w:pPr>
              <w:spacing w:line="336" w:lineRule="auto"/>
              <w:ind w:firstLine="150" w:firstLineChars="100"/>
              <w:jc w:val="both"/>
              <w:rPr>
                <w:rFonts w:hint="eastAsia" w:ascii="宋体" w:hAnsi="宋体" w:eastAsia="宋体" w:cs="宋体"/>
                <w:color w:val="000000"/>
                <w:sz w:val="15"/>
                <w:szCs w:val="15"/>
              </w:rPr>
            </w:pPr>
            <w:r>
              <w:rPr>
                <w:rFonts w:hint="eastAsia" w:ascii="宋体" w:hAnsi="宋体" w:eastAsia="宋体" w:cs="宋体"/>
                <w:color w:val="000000"/>
                <w:sz w:val="15"/>
                <w:szCs w:val="15"/>
              </w:rPr>
              <w:t>6</w:t>
            </w:r>
          </w:p>
        </w:tc>
        <w:tc>
          <w:tcPr>
            <w:tcW w:w="4330" w:type="dxa"/>
            <w:vAlign w:val="center"/>
          </w:tcPr>
          <w:p w14:paraId="7A2952F8">
            <w:pPr>
              <w:spacing w:line="336" w:lineRule="auto"/>
              <w:jc w:val="left"/>
              <w:rPr>
                <w:rFonts w:hint="eastAsia" w:ascii="宋体" w:hAnsi="宋体" w:eastAsia="宋体" w:cs="宋体"/>
                <w:color w:val="000000"/>
                <w:sz w:val="15"/>
                <w:szCs w:val="15"/>
              </w:rPr>
            </w:pPr>
            <w:r>
              <w:rPr>
                <w:rFonts w:hint="eastAsia" w:ascii="宋体" w:hAnsi="宋体" w:eastAsia="宋体" w:cs="宋体"/>
                <w:color w:val="000000"/>
                <w:sz w:val="15"/>
                <w:szCs w:val="15"/>
              </w:rPr>
              <w:t>违规拖移导致国家或者个人财产受到损失的（10分）</w:t>
            </w:r>
          </w:p>
        </w:tc>
        <w:tc>
          <w:tcPr>
            <w:tcW w:w="2987" w:type="dxa"/>
            <w:vAlign w:val="center"/>
          </w:tcPr>
          <w:p w14:paraId="4024E757">
            <w:pPr>
              <w:spacing w:line="336" w:lineRule="auto"/>
              <w:jc w:val="left"/>
              <w:rPr>
                <w:rFonts w:hint="eastAsia" w:ascii="宋体" w:hAnsi="宋体" w:eastAsia="宋体" w:cs="宋体"/>
                <w:color w:val="000000"/>
                <w:sz w:val="15"/>
                <w:szCs w:val="15"/>
              </w:rPr>
            </w:pPr>
            <w:r>
              <w:rPr>
                <w:rFonts w:hint="eastAsia" w:ascii="宋体" w:hAnsi="宋体" w:eastAsia="宋体" w:cs="宋体"/>
                <w:color w:val="000000"/>
                <w:sz w:val="15"/>
                <w:szCs w:val="15"/>
              </w:rPr>
              <w:t>发现每处（项）不合格扣</w:t>
            </w:r>
            <w:r>
              <w:rPr>
                <w:rFonts w:hint="eastAsia" w:ascii="宋体" w:hAnsi="宋体" w:eastAsia="宋体" w:cs="宋体"/>
                <w:color w:val="000000"/>
                <w:sz w:val="15"/>
                <w:szCs w:val="15"/>
                <w:lang w:val="en-US" w:eastAsia="zh-CN"/>
              </w:rPr>
              <w:t>2</w:t>
            </w:r>
            <w:r>
              <w:rPr>
                <w:rFonts w:hint="eastAsia" w:ascii="宋体" w:hAnsi="宋体" w:eastAsia="宋体" w:cs="宋体"/>
                <w:color w:val="000000"/>
                <w:sz w:val="15"/>
                <w:szCs w:val="15"/>
              </w:rPr>
              <w:t>分，扣完为止</w:t>
            </w:r>
          </w:p>
        </w:tc>
        <w:tc>
          <w:tcPr>
            <w:tcW w:w="644" w:type="dxa"/>
            <w:vAlign w:val="center"/>
          </w:tcPr>
          <w:p w14:paraId="2A93EC6B">
            <w:pPr>
              <w:spacing w:line="336" w:lineRule="auto"/>
              <w:ind w:firstLine="300" w:firstLineChars="200"/>
              <w:jc w:val="left"/>
              <w:rPr>
                <w:rFonts w:hint="eastAsia" w:ascii="宋体" w:hAnsi="宋体" w:eastAsia="宋体" w:cs="宋体"/>
                <w:color w:val="000000"/>
                <w:sz w:val="15"/>
                <w:szCs w:val="15"/>
              </w:rPr>
            </w:pPr>
          </w:p>
        </w:tc>
      </w:tr>
      <w:tr w14:paraId="3F9B3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77" w:type="dxa"/>
            <w:vAlign w:val="center"/>
          </w:tcPr>
          <w:p w14:paraId="4E534D39">
            <w:pPr>
              <w:spacing w:line="336" w:lineRule="auto"/>
              <w:ind w:firstLine="150" w:firstLineChars="100"/>
              <w:jc w:val="both"/>
              <w:rPr>
                <w:rFonts w:hint="eastAsia" w:ascii="宋体" w:hAnsi="宋体" w:eastAsia="宋体" w:cs="宋体"/>
                <w:color w:val="000000"/>
                <w:sz w:val="15"/>
                <w:szCs w:val="15"/>
              </w:rPr>
            </w:pPr>
            <w:r>
              <w:rPr>
                <w:rFonts w:hint="eastAsia" w:ascii="宋体" w:hAnsi="宋体" w:eastAsia="宋体" w:cs="宋体"/>
                <w:color w:val="000000"/>
                <w:sz w:val="15"/>
                <w:szCs w:val="15"/>
              </w:rPr>
              <w:t>7</w:t>
            </w:r>
          </w:p>
        </w:tc>
        <w:tc>
          <w:tcPr>
            <w:tcW w:w="4330" w:type="dxa"/>
            <w:vAlign w:val="center"/>
          </w:tcPr>
          <w:p w14:paraId="48222E18">
            <w:pPr>
              <w:spacing w:line="336" w:lineRule="auto"/>
              <w:jc w:val="left"/>
              <w:rPr>
                <w:rFonts w:hint="eastAsia" w:ascii="宋体" w:hAnsi="宋体" w:eastAsia="宋体" w:cs="宋体"/>
                <w:color w:val="000000"/>
                <w:sz w:val="15"/>
                <w:szCs w:val="15"/>
                <w:lang w:eastAsia="zh-CN"/>
              </w:rPr>
            </w:pPr>
            <w:r>
              <w:rPr>
                <w:rFonts w:hint="eastAsia" w:ascii="宋体" w:hAnsi="宋体" w:eastAsia="宋体" w:cs="宋体"/>
                <w:color w:val="000000"/>
                <w:sz w:val="15"/>
                <w:szCs w:val="15"/>
                <w:lang w:eastAsia="zh-CN"/>
              </w:rPr>
              <w:t>未按规定拖移涉案车辆或涉案车辆未进入停车场的</w:t>
            </w:r>
            <w:r>
              <w:rPr>
                <w:rFonts w:hint="eastAsia" w:ascii="宋体" w:hAnsi="宋体" w:eastAsia="宋体" w:cs="宋体"/>
                <w:color w:val="000000"/>
                <w:sz w:val="15"/>
                <w:szCs w:val="15"/>
              </w:rPr>
              <w:t>（10分）</w:t>
            </w:r>
          </w:p>
        </w:tc>
        <w:tc>
          <w:tcPr>
            <w:tcW w:w="2987" w:type="dxa"/>
            <w:vAlign w:val="center"/>
          </w:tcPr>
          <w:p w14:paraId="29824749">
            <w:pPr>
              <w:spacing w:line="336" w:lineRule="auto"/>
              <w:jc w:val="left"/>
              <w:rPr>
                <w:rFonts w:hint="eastAsia" w:ascii="宋体" w:hAnsi="宋体" w:eastAsia="宋体" w:cs="宋体"/>
                <w:color w:val="000000"/>
                <w:sz w:val="15"/>
                <w:szCs w:val="15"/>
              </w:rPr>
            </w:pPr>
            <w:r>
              <w:rPr>
                <w:rFonts w:hint="eastAsia" w:ascii="宋体" w:hAnsi="宋体" w:eastAsia="宋体" w:cs="宋体"/>
                <w:color w:val="000000"/>
                <w:sz w:val="15"/>
                <w:szCs w:val="15"/>
              </w:rPr>
              <w:t>发现每处（项）不合格扣</w:t>
            </w:r>
            <w:r>
              <w:rPr>
                <w:rFonts w:hint="eastAsia" w:ascii="宋体" w:hAnsi="宋体" w:eastAsia="宋体" w:cs="宋体"/>
                <w:color w:val="000000"/>
                <w:sz w:val="15"/>
                <w:szCs w:val="15"/>
                <w:lang w:val="en-US" w:eastAsia="zh-CN"/>
              </w:rPr>
              <w:t>3</w:t>
            </w:r>
            <w:r>
              <w:rPr>
                <w:rFonts w:hint="eastAsia" w:ascii="宋体" w:hAnsi="宋体" w:eastAsia="宋体" w:cs="宋体"/>
                <w:color w:val="000000"/>
                <w:sz w:val="15"/>
                <w:szCs w:val="15"/>
              </w:rPr>
              <w:t>分，扣完为止</w:t>
            </w:r>
          </w:p>
        </w:tc>
        <w:tc>
          <w:tcPr>
            <w:tcW w:w="644" w:type="dxa"/>
            <w:vAlign w:val="center"/>
          </w:tcPr>
          <w:p w14:paraId="55848C6B">
            <w:pPr>
              <w:spacing w:line="336" w:lineRule="auto"/>
              <w:ind w:firstLine="300" w:firstLineChars="200"/>
              <w:jc w:val="left"/>
              <w:rPr>
                <w:rFonts w:hint="eastAsia" w:ascii="宋体" w:hAnsi="宋体" w:eastAsia="宋体" w:cs="宋体"/>
                <w:color w:val="000000"/>
                <w:sz w:val="15"/>
                <w:szCs w:val="15"/>
              </w:rPr>
            </w:pPr>
          </w:p>
        </w:tc>
      </w:tr>
      <w:tr w14:paraId="7A500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77" w:type="dxa"/>
            <w:vAlign w:val="center"/>
          </w:tcPr>
          <w:p w14:paraId="68C37168">
            <w:pPr>
              <w:spacing w:line="336" w:lineRule="auto"/>
              <w:ind w:firstLine="150" w:firstLineChars="100"/>
              <w:jc w:val="both"/>
              <w:rPr>
                <w:rFonts w:hint="eastAsia" w:ascii="宋体" w:hAnsi="宋体" w:eastAsia="宋体" w:cs="宋体"/>
                <w:color w:val="000000"/>
                <w:sz w:val="15"/>
                <w:szCs w:val="15"/>
              </w:rPr>
            </w:pPr>
            <w:r>
              <w:rPr>
                <w:rFonts w:hint="eastAsia" w:ascii="宋体" w:hAnsi="宋体" w:eastAsia="宋体" w:cs="宋体"/>
                <w:color w:val="000000"/>
                <w:sz w:val="15"/>
                <w:szCs w:val="15"/>
              </w:rPr>
              <w:t>8</w:t>
            </w:r>
          </w:p>
        </w:tc>
        <w:tc>
          <w:tcPr>
            <w:tcW w:w="4330" w:type="dxa"/>
            <w:vAlign w:val="center"/>
          </w:tcPr>
          <w:p w14:paraId="0985C9D6">
            <w:pPr>
              <w:spacing w:line="336" w:lineRule="auto"/>
              <w:jc w:val="left"/>
              <w:rPr>
                <w:rFonts w:hint="eastAsia" w:ascii="宋体" w:hAnsi="宋体" w:eastAsia="宋体" w:cs="宋体"/>
                <w:color w:val="000000"/>
                <w:sz w:val="15"/>
                <w:szCs w:val="15"/>
              </w:rPr>
            </w:pPr>
            <w:r>
              <w:rPr>
                <w:rFonts w:hint="eastAsia" w:ascii="宋体" w:hAnsi="宋体" w:eastAsia="宋体" w:cs="宋体"/>
                <w:color w:val="000000"/>
                <w:sz w:val="15"/>
                <w:szCs w:val="15"/>
                <w:lang w:eastAsia="zh-CN"/>
              </w:rPr>
              <w:t>涉案车辆录入涉案财物系统或未按规定停放的（</w:t>
            </w:r>
            <w:r>
              <w:rPr>
                <w:rFonts w:hint="eastAsia" w:ascii="宋体" w:hAnsi="宋体" w:eastAsia="宋体" w:cs="宋体"/>
                <w:color w:val="000000"/>
                <w:sz w:val="15"/>
                <w:szCs w:val="15"/>
                <w:lang w:val="en-US" w:eastAsia="zh-CN"/>
              </w:rPr>
              <w:t>10分</w:t>
            </w:r>
            <w:r>
              <w:rPr>
                <w:rFonts w:hint="eastAsia" w:ascii="宋体" w:hAnsi="宋体" w:eastAsia="宋体" w:cs="宋体"/>
                <w:color w:val="000000"/>
                <w:sz w:val="15"/>
                <w:szCs w:val="15"/>
                <w:lang w:eastAsia="zh-CN"/>
              </w:rPr>
              <w:t>）</w:t>
            </w:r>
          </w:p>
        </w:tc>
        <w:tc>
          <w:tcPr>
            <w:tcW w:w="2987" w:type="dxa"/>
            <w:vAlign w:val="center"/>
          </w:tcPr>
          <w:p w14:paraId="369D5AAF">
            <w:pPr>
              <w:spacing w:line="336" w:lineRule="auto"/>
              <w:jc w:val="left"/>
              <w:rPr>
                <w:rFonts w:hint="eastAsia" w:ascii="宋体" w:hAnsi="宋体" w:eastAsia="宋体" w:cs="宋体"/>
                <w:color w:val="000000"/>
                <w:sz w:val="15"/>
                <w:szCs w:val="15"/>
              </w:rPr>
            </w:pPr>
            <w:r>
              <w:rPr>
                <w:rFonts w:hint="eastAsia" w:ascii="宋体" w:hAnsi="宋体" w:eastAsia="宋体" w:cs="宋体"/>
                <w:color w:val="000000"/>
                <w:sz w:val="15"/>
                <w:szCs w:val="15"/>
              </w:rPr>
              <w:t>发现每处（项）不合格扣</w:t>
            </w:r>
            <w:r>
              <w:rPr>
                <w:rFonts w:hint="eastAsia" w:ascii="宋体" w:hAnsi="宋体" w:eastAsia="宋体" w:cs="宋体"/>
                <w:color w:val="000000"/>
                <w:sz w:val="15"/>
                <w:szCs w:val="15"/>
                <w:lang w:val="en-US" w:eastAsia="zh-CN"/>
              </w:rPr>
              <w:t>3</w:t>
            </w:r>
            <w:r>
              <w:rPr>
                <w:rFonts w:hint="eastAsia" w:ascii="宋体" w:hAnsi="宋体" w:eastAsia="宋体" w:cs="宋体"/>
                <w:color w:val="000000"/>
                <w:sz w:val="15"/>
                <w:szCs w:val="15"/>
              </w:rPr>
              <w:t>分，扣完为止</w:t>
            </w:r>
          </w:p>
        </w:tc>
        <w:tc>
          <w:tcPr>
            <w:tcW w:w="644" w:type="dxa"/>
            <w:vAlign w:val="center"/>
          </w:tcPr>
          <w:p w14:paraId="357157ED">
            <w:pPr>
              <w:spacing w:line="336" w:lineRule="auto"/>
              <w:ind w:firstLine="300" w:firstLineChars="200"/>
              <w:jc w:val="left"/>
              <w:rPr>
                <w:rFonts w:hint="eastAsia" w:ascii="宋体" w:hAnsi="宋体" w:eastAsia="宋体" w:cs="宋体"/>
                <w:color w:val="000000"/>
                <w:sz w:val="15"/>
                <w:szCs w:val="15"/>
              </w:rPr>
            </w:pPr>
          </w:p>
        </w:tc>
      </w:tr>
      <w:tr w14:paraId="3E9A5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77" w:type="dxa"/>
            <w:vAlign w:val="center"/>
          </w:tcPr>
          <w:p w14:paraId="3B5169DA">
            <w:pPr>
              <w:spacing w:line="336" w:lineRule="auto"/>
              <w:ind w:firstLine="150" w:firstLineChars="100"/>
              <w:jc w:val="both"/>
              <w:rPr>
                <w:rFonts w:hint="eastAsia" w:ascii="宋体" w:hAnsi="宋体" w:eastAsia="宋体" w:cs="宋体"/>
                <w:color w:val="000000"/>
                <w:sz w:val="15"/>
                <w:szCs w:val="15"/>
              </w:rPr>
            </w:pPr>
            <w:r>
              <w:rPr>
                <w:rFonts w:hint="eastAsia" w:ascii="宋体" w:hAnsi="宋体" w:eastAsia="宋体" w:cs="宋体"/>
                <w:color w:val="000000"/>
                <w:sz w:val="15"/>
                <w:szCs w:val="15"/>
              </w:rPr>
              <w:t>9</w:t>
            </w:r>
          </w:p>
        </w:tc>
        <w:tc>
          <w:tcPr>
            <w:tcW w:w="4330" w:type="dxa"/>
            <w:vAlign w:val="center"/>
          </w:tcPr>
          <w:p w14:paraId="223E9F08">
            <w:pPr>
              <w:spacing w:line="336" w:lineRule="auto"/>
              <w:jc w:val="left"/>
              <w:rPr>
                <w:rFonts w:hint="eastAsia" w:ascii="宋体" w:hAnsi="宋体" w:eastAsia="宋体" w:cs="宋体"/>
                <w:color w:val="000000"/>
                <w:sz w:val="15"/>
                <w:szCs w:val="15"/>
              </w:rPr>
            </w:pPr>
            <w:r>
              <w:rPr>
                <w:rFonts w:hint="eastAsia" w:ascii="宋体" w:hAnsi="宋体" w:eastAsia="宋体" w:cs="宋体"/>
                <w:color w:val="000000"/>
                <w:sz w:val="15"/>
                <w:szCs w:val="15"/>
              </w:rPr>
              <w:t>未向服务对象出示收费标准</w:t>
            </w:r>
            <w:r>
              <w:rPr>
                <w:rFonts w:hint="eastAsia" w:ascii="宋体" w:hAnsi="宋体" w:eastAsia="宋体" w:cs="宋体"/>
                <w:color w:val="000000"/>
                <w:sz w:val="15"/>
                <w:szCs w:val="15"/>
                <w:lang w:eastAsia="zh-CN"/>
              </w:rPr>
              <w:t>，</w:t>
            </w:r>
            <w:r>
              <w:rPr>
                <w:rFonts w:hint="eastAsia" w:ascii="宋体" w:hAnsi="宋体" w:eastAsia="宋体" w:cs="宋体"/>
                <w:color w:val="000000"/>
                <w:sz w:val="15"/>
                <w:szCs w:val="15"/>
              </w:rPr>
              <w:t>不按标准收费、超范围收费及违规收费</w:t>
            </w:r>
            <w:r>
              <w:rPr>
                <w:rFonts w:hint="eastAsia" w:ascii="宋体" w:hAnsi="宋体" w:eastAsia="宋体" w:cs="宋体"/>
                <w:color w:val="000000"/>
                <w:sz w:val="15"/>
                <w:szCs w:val="15"/>
                <w:lang w:eastAsia="zh-CN"/>
              </w:rPr>
              <w:t>，</w:t>
            </w:r>
            <w:r>
              <w:rPr>
                <w:rFonts w:hint="eastAsia" w:ascii="宋体" w:hAnsi="宋体" w:eastAsia="宋体" w:cs="宋体"/>
                <w:color w:val="000000"/>
                <w:sz w:val="15"/>
                <w:szCs w:val="15"/>
              </w:rPr>
              <w:t>收取费用未开具发票的（10分）</w:t>
            </w:r>
          </w:p>
        </w:tc>
        <w:tc>
          <w:tcPr>
            <w:tcW w:w="2987" w:type="dxa"/>
            <w:vAlign w:val="center"/>
          </w:tcPr>
          <w:p w14:paraId="586D9A01">
            <w:pPr>
              <w:spacing w:line="336" w:lineRule="auto"/>
              <w:jc w:val="left"/>
              <w:rPr>
                <w:rFonts w:hint="eastAsia" w:ascii="宋体" w:hAnsi="宋体" w:eastAsia="宋体" w:cs="宋体"/>
                <w:color w:val="000000"/>
                <w:sz w:val="15"/>
                <w:szCs w:val="15"/>
              </w:rPr>
            </w:pPr>
            <w:r>
              <w:rPr>
                <w:rFonts w:hint="eastAsia" w:ascii="宋体" w:hAnsi="宋体" w:eastAsia="宋体" w:cs="宋体"/>
                <w:color w:val="000000"/>
                <w:sz w:val="15"/>
                <w:szCs w:val="15"/>
              </w:rPr>
              <w:t>发现每处（项）不合格扣</w:t>
            </w:r>
            <w:r>
              <w:rPr>
                <w:rFonts w:hint="eastAsia" w:ascii="宋体" w:hAnsi="宋体" w:eastAsia="宋体" w:cs="宋体"/>
                <w:color w:val="000000"/>
                <w:sz w:val="15"/>
                <w:szCs w:val="15"/>
                <w:lang w:val="en-US" w:eastAsia="zh-CN"/>
              </w:rPr>
              <w:t>5</w:t>
            </w:r>
            <w:r>
              <w:rPr>
                <w:rFonts w:hint="eastAsia" w:ascii="宋体" w:hAnsi="宋体" w:eastAsia="宋体" w:cs="宋体"/>
                <w:color w:val="000000"/>
                <w:sz w:val="15"/>
                <w:szCs w:val="15"/>
              </w:rPr>
              <w:t>分，扣完为止</w:t>
            </w:r>
          </w:p>
        </w:tc>
        <w:tc>
          <w:tcPr>
            <w:tcW w:w="644" w:type="dxa"/>
            <w:vAlign w:val="center"/>
          </w:tcPr>
          <w:p w14:paraId="2D262E21">
            <w:pPr>
              <w:spacing w:line="336" w:lineRule="auto"/>
              <w:ind w:firstLine="300" w:firstLineChars="200"/>
              <w:jc w:val="left"/>
              <w:rPr>
                <w:rFonts w:hint="eastAsia" w:ascii="宋体" w:hAnsi="宋体" w:eastAsia="宋体" w:cs="宋体"/>
                <w:color w:val="000000"/>
                <w:sz w:val="15"/>
                <w:szCs w:val="15"/>
              </w:rPr>
            </w:pPr>
          </w:p>
        </w:tc>
      </w:tr>
      <w:tr w14:paraId="1FAF4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77" w:type="dxa"/>
            <w:vAlign w:val="center"/>
          </w:tcPr>
          <w:p w14:paraId="7414796A">
            <w:pPr>
              <w:spacing w:line="336" w:lineRule="auto"/>
              <w:jc w:val="center"/>
              <w:rPr>
                <w:rFonts w:hint="eastAsia" w:ascii="宋体" w:hAnsi="宋体" w:eastAsia="宋体" w:cs="宋体"/>
                <w:color w:val="000000"/>
                <w:sz w:val="15"/>
                <w:szCs w:val="15"/>
              </w:rPr>
            </w:pPr>
            <w:r>
              <w:rPr>
                <w:rFonts w:hint="eastAsia" w:ascii="宋体" w:hAnsi="宋体" w:eastAsia="宋体" w:cs="宋体"/>
                <w:color w:val="000000"/>
                <w:sz w:val="15"/>
                <w:szCs w:val="15"/>
              </w:rPr>
              <w:t>10</w:t>
            </w:r>
          </w:p>
        </w:tc>
        <w:tc>
          <w:tcPr>
            <w:tcW w:w="4330" w:type="dxa"/>
            <w:vAlign w:val="center"/>
          </w:tcPr>
          <w:p w14:paraId="6C0DBC4D">
            <w:pPr>
              <w:spacing w:line="336" w:lineRule="auto"/>
              <w:jc w:val="left"/>
              <w:rPr>
                <w:rFonts w:hint="eastAsia" w:ascii="宋体" w:hAnsi="宋体" w:eastAsia="宋体" w:cs="宋体"/>
                <w:color w:val="000000"/>
                <w:sz w:val="15"/>
                <w:szCs w:val="15"/>
              </w:rPr>
            </w:pPr>
            <w:r>
              <w:rPr>
                <w:rFonts w:hint="eastAsia" w:ascii="宋体" w:hAnsi="宋体" w:eastAsia="宋体" w:cs="宋体"/>
                <w:color w:val="000000"/>
                <w:sz w:val="15"/>
                <w:szCs w:val="15"/>
              </w:rPr>
              <w:t>提供的停车场</w:t>
            </w:r>
            <w:r>
              <w:rPr>
                <w:rFonts w:hint="eastAsia" w:ascii="宋体" w:hAnsi="宋体" w:eastAsia="宋体" w:cs="宋体"/>
                <w:color w:val="000000"/>
                <w:sz w:val="15"/>
                <w:szCs w:val="15"/>
                <w:lang w:eastAsia="zh-CN"/>
              </w:rPr>
              <w:t>、清障车</w:t>
            </w:r>
            <w:r>
              <w:rPr>
                <w:rFonts w:hint="eastAsia" w:ascii="宋体" w:hAnsi="宋体" w:eastAsia="宋体" w:cs="宋体"/>
                <w:color w:val="000000"/>
                <w:sz w:val="15"/>
                <w:szCs w:val="15"/>
              </w:rPr>
              <w:t>地挪作他用的（10分）</w:t>
            </w:r>
          </w:p>
        </w:tc>
        <w:tc>
          <w:tcPr>
            <w:tcW w:w="2987" w:type="dxa"/>
            <w:vAlign w:val="center"/>
          </w:tcPr>
          <w:p w14:paraId="539F3320">
            <w:pPr>
              <w:spacing w:line="336" w:lineRule="auto"/>
              <w:jc w:val="left"/>
              <w:rPr>
                <w:rFonts w:hint="eastAsia" w:ascii="宋体" w:hAnsi="宋体" w:eastAsia="宋体" w:cs="宋体"/>
                <w:color w:val="000000"/>
                <w:sz w:val="15"/>
                <w:szCs w:val="15"/>
              </w:rPr>
            </w:pPr>
            <w:r>
              <w:rPr>
                <w:rFonts w:hint="eastAsia" w:ascii="宋体" w:hAnsi="宋体" w:eastAsia="宋体" w:cs="宋体"/>
                <w:color w:val="000000"/>
                <w:sz w:val="15"/>
                <w:szCs w:val="15"/>
              </w:rPr>
              <w:t>发现每处（项）不合格扣</w:t>
            </w:r>
            <w:r>
              <w:rPr>
                <w:rFonts w:hint="eastAsia" w:ascii="宋体" w:hAnsi="宋体" w:eastAsia="宋体" w:cs="宋体"/>
                <w:color w:val="000000"/>
                <w:sz w:val="15"/>
                <w:szCs w:val="15"/>
                <w:lang w:val="en-US" w:eastAsia="zh-CN"/>
              </w:rPr>
              <w:t>5</w:t>
            </w:r>
            <w:r>
              <w:rPr>
                <w:rFonts w:hint="eastAsia" w:ascii="宋体" w:hAnsi="宋体" w:eastAsia="宋体" w:cs="宋体"/>
                <w:color w:val="000000"/>
                <w:sz w:val="15"/>
                <w:szCs w:val="15"/>
              </w:rPr>
              <w:t>分，扣完为止</w:t>
            </w:r>
          </w:p>
        </w:tc>
        <w:tc>
          <w:tcPr>
            <w:tcW w:w="644" w:type="dxa"/>
            <w:vAlign w:val="center"/>
          </w:tcPr>
          <w:p w14:paraId="5BF43CC1">
            <w:pPr>
              <w:spacing w:line="336" w:lineRule="auto"/>
              <w:ind w:firstLine="300" w:firstLineChars="200"/>
              <w:jc w:val="left"/>
              <w:rPr>
                <w:rFonts w:hint="eastAsia" w:ascii="宋体" w:hAnsi="宋体" w:eastAsia="宋体" w:cs="宋体"/>
                <w:color w:val="000000"/>
                <w:sz w:val="15"/>
                <w:szCs w:val="15"/>
              </w:rPr>
            </w:pPr>
          </w:p>
        </w:tc>
      </w:tr>
    </w:tbl>
    <w:p w14:paraId="67537200">
      <w:pPr>
        <w:spacing w:line="336"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存在下列情形的，</w:t>
      </w:r>
      <w:r>
        <w:rPr>
          <w:rFonts w:hint="eastAsia" w:ascii="宋体" w:hAnsi="宋体" w:eastAsia="宋体" w:cs="宋体"/>
          <w:color w:val="000000"/>
          <w:sz w:val="24"/>
          <w:lang w:eastAsia="zh-CN"/>
        </w:rPr>
        <w:t>除了进行扣分外，还应</w:t>
      </w:r>
      <w:r>
        <w:rPr>
          <w:rFonts w:hint="eastAsia" w:ascii="宋体" w:hAnsi="宋体" w:eastAsia="宋体" w:cs="宋体"/>
          <w:color w:val="000000"/>
          <w:sz w:val="24"/>
        </w:rPr>
        <w:t>按照对应标准执行：</w:t>
      </w:r>
    </w:p>
    <w:p w14:paraId="0BC097F0">
      <w:pPr>
        <w:spacing w:line="336"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eastAsia="zh-CN"/>
        </w:rPr>
        <w:t>中标人</w:t>
      </w:r>
      <w:r>
        <w:rPr>
          <w:rFonts w:hint="eastAsia" w:ascii="宋体" w:hAnsi="宋体" w:eastAsia="宋体" w:cs="宋体"/>
          <w:color w:val="000000"/>
          <w:sz w:val="24"/>
        </w:rPr>
        <w:t>在接到</w:t>
      </w:r>
      <w:r>
        <w:rPr>
          <w:rFonts w:hint="eastAsia" w:ascii="宋体" w:hAnsi="宋体" w:eastAsia="宋体" w:cs="宋体"/>
          <w:color w:val="000000"/>
          <w:sz w:val="24"/>
          <w:lang w:eastAsia="zh-CN"/>
        </w:rPr>
        <w:t>采购人</w:t>
      </w:r>
      <w:r>
        <w:rPr>
          <w:rFonts w:hint="eastAsia" w:ascii="宋体" w:hAnsi="宋体" w:eastAsia="宋体" w:cs="宋体"/>
          <w:color w:val="000000"/>
          <w:sz w:val="24"/>
        </w:rPr>
        <w:t>拖车、清障指令后，应当</w:t>
      </w:r>
      <w:r>
        <w:rPr>
          <w:rFonts w:hint="eastAsia" w:ascii="宋体" w:hAnsi="宋体" w:eastAsia="宋体" w:cs="宋体"/>
          <w:color w:val="000000"/>
          <w:sz w:val="24"/>
          <w:lang w:eastAsia="zh-CN"/>
        </w:rPr>
        <w:t>在</w:t>
      </w:r>
      <w:r>
        <w:rPr>
          <w:rFonts w:hint="eastAsia" w:ascii="宋体" w:hAnsi="宋体" w:eastAsia="宋体" w:cs="宋体"/>
          <w:color w:val="000000"/>
          <w:sz w:val="24"/>
        </w:rPr>
        <w:t>规定时间内到达现场开展相关作业，超过时间的在当期应支付费用中扣罚，具体为：国省道发生拥堵造成负面影响500元/次，死亡事故300元/次，伤人事故200元/次，其他事故100元/次。</w:t>
      </w:r>
    </w:p>
    <w:p w14:paraId="1203447A">
      <w:pPr>
        <w:spacing w:line="336"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eastAsia="zh-CN"/>
        </w:rPr>
        <w:t>中标人</w:t>
      </w:r>
      <w:r>
        <w:rPr>
          <w:rFonts w:hint="eastAsia" w:ascii="宋体" w:hAnsi="宋体" w:eastAsia="宋体" w:cs="宋体"/>
          <w:color w:val="000000"/>
          <w:sz w:val="24"/>
        </w:rPr>
        <w:t>存在违规收费行为</w:t>
      </w:r>
      <w:r>
        <w:rPr>
          <w:rFonts w:hint="eastAsia" w:ascii="宋体" w:hAnsi="宋体" w:eastAsia="宋体" w:cs="宋体"/>
          <w:color w:val="000000"/>
          <w:sz w:val="24"/>
          <w:lang w:eastAsia="zh-CN"/>
        </w:rPr>
        <w:t>的</w:t>
      </w:r>
      <w:r>
        <w:rPr>
          <w:rFonts w:hint="eastAsia" w:ascii="宋体" w:hAnsi="宋体" w:eastAsia="宋体" w:cs="宋体"/>
          <w:color w:val="000000"/>
          <w:sz w:val="24"/>
        </w:rPr>
        <w:t>，发现一次在当期应支付费用中扣罚2000元，合同期内发现第二次该情况的在当期应支付费用中扣罚4000元，依次加倍处罚，不设上限。</w:t>
      </w:r>
    </w:p>
    <w:p w14:paraId="7EB09AEF">
      <w:pPr>
        <w:spacing w:line="336"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（3）</w:t>
      </w:r>
      <w:r>
        <w:rPr>
          <w:rFonts w:hint="eastAsia" w:ascii="宋体" w:hAnsi="宋体" w:eastAsia="宋体" w:cs="宋体"/>
          <w:color w:val="000000"/>
          <w:sz w:val="24"/>
          <w:lang w:eastAsia="zh-CN"/>
        </w:rPr>
        <w:t>中标人</w:t>
      </w:r>
      <w:r>
        <w:rPr>
          <w:rFonts w:hint="eastAsia" w:ascii="宋体" w:hAnsi="宋体" w:eastAsia="宋体" w:cs="宋体"/>
          <w:color w:val="000000"/>
          <w:sz w:val="24"/>
        </w:rPr>
        <w:t>驾驶拖车人员或移动</w:t>
      </w:r>
      <w:r>
        <w:rPr>
          <w:rFonts w:hint="eastAsia" w:ascii="宋体" w:hAnsi="宋体" w:eastAsia="宋体" w:cs="宋体"/>
          <w:color w:val="000000"/>
          <w:sz w:val="24"/>
          <w:lang w:eastAsia="zh-CN"/>
        </w:rPr>
        <w:t>扣留</w:t>
      </w:r>
      <w:r>
        <w:rPr>
          <w:rFonts w:hint="eastAsia" w:ascii="宋体" w:hAnsi="宋体" w:eastAsia="宋体" w:cs="宋体"/>
          <w:color w:val="000000"/>
          <w:sz w:val="24"/>
        </w:rPr>
        <w:t>车辆人员要依法取得与准驾车型相符的机动车驾驶证，且严禁工作期间酒后驾车和疲劳驾驶。发现一次在当期应支付费用中扣罚1000元，合同期内发现第二次该情况的在当期应支付费用中扣罚2000元，依次加倍处罚，不设上限。</w:t>
      </w:r>
    </w:p>
    <w:p w14:paraId="4AD8DE24">
      <w:pPr>
        <w:spacing w:line="336"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（4）</w:t>
      </w:r>
      <w:r>
        <w:rPr>
          <w:rFonts w:hint="eastAsia" w:ascii="宋体" w:hAnsi="宋体" w:eastAsia="宋体" w:cs="宋体"/>
          <w:color w:val="000000"/>
          <w:sz w:val="24"/>
          <w:lang w:eastAsia="zh-CN"/>
        </w:rPr>
        <w:t>中标人</w:t>
      </w:r>
      <w:r>
        <w:rPr>
          <w:rFonts w:hint="eastAsia" w:ascii="宋体" w:hAnsi="宋体" w:eastAsia="宋体" w:cs="宋体"/>
          <w:color w:val="000000"/>
          <w:sz w:val="24"/>
        </w:rPr>
        <w:t>要按照投标要求投入人员、车辆开展工作，日常检查发现人员、车辆不达标的，发现一次在当期支付费用中扣罚1000元，合同期内发现第二次该情况的在当期应支付费用中扣罚2000元，以此类推，不设上限。</w:t>
      </w:r>
    </w:p>
    <w:p w14:paraId="224D3E8F">
      <w:pPr>
        <w:spacing w:line="336"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（5）</w:t>
      </w:r>
      <w:r>
        <w:rPr>
          <w:rFonts w:hint="eastAsia" w:ascii="宋体" w:hAnsi="宋体" w:eastAsia="宋体" w:cs="宋体"/>
          <w:color w:val="000000" w:themeColor="text1"/>
          <w:sz w:val="24"/>
          <w:lang w:eastAsia="zh-CN"/>
          <w14:textFill>
            <w14:solidFill>
              <w14:schemeClr w14:val="tx1"/>
            </w14:solidFill>
          </w14:textFill>
        </w:rPr>
        <w:t>中标人</w:t>
      </w:r>
      <w:r>
        <w:rPr>
          <w:rFonts w:hint="eastAsia" w:ascii="宋体" w:hAnsi="宋体" w:eastAsia="宋体" w:cs="宋体"/>
          <w:color w:val="000000"/>
          <w:sz w:val="24"/>
        </w:rPr>
        <w:t>将清障车、停车场挪作他用的，发现一次在当期支付费用中扣罚1000元，合同期内发现第二次该情况的在当期应支付费用中扣罚2000元。</w:t>
      </w:r>
    </w:p>
    <w:p w14:paraId="77C6D200">
      <w:pPr>
        <w:spacing w:line="336"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sz w:val="24"/>
        </w:rPr>
        <w:t>（6）</w:t>
      </w:r>
      <w:r>
        <w:rPr>
          <w:rFonts w:hint="eastAsia" w:ascii="宋体" w:hAnsi="宋体" w:eastAsia="宋体" w:cs="宋体"/>
          <w:color w:val="000000" w:themeColor="text1"/>
          <w:sz w:val="24"/>
          <w:lang w:eastAsia="zh-CN"/>
          <w14:textFill>
            <w14:solidFill>
              <w14:schemeClr w14:val="tx1"/>
            </w14:solidFill>
          </w14:textFill>
        </w:rPr>
        <w:t>中标人未按规定拖移涉案车辆或涉案车辆未进入停车场的</w:t>
      </w:r>
      <w:r>
        <w:rPr>
          <w:rFonts w:hint="eastAsia" w:ascii="宋体" w:hAnsi="宋体" w:eastAsia="宋体" w:cs="宋体"/>
          <w:color w:val="000000"/>
          <w:sz w:val="24"/>
        </w:rPr>
        <w:t>，发现一次在当期支付费用中扣罚1000元，合同期内发现第二次该情况的在当期应支付费用中扣罚2000元，以此类推，不设上限</w:t>
      </w:r>
    </w:p>
    <w:p w14:paraId="31B2FD08">
      <w:pPr>
        <w:spacing w:line="336"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7</w:t>
      </w:r>
      <w:r>
        <w:rPr>
          <w:rFonts w:hint="eastAsia" w:ascii="宋体" w:hAnsi="宋体" w:eastAsia="宋体" w:cs="宋体"/>
          <w:color w:val="000000"/>
          <w:sz w:val="24"/>
          <w:lang w:eastAsia="zh-CN"/>
        </w:rPr>
        <w:t>）</w:t>
      </w:r>
      <w:r>
        <w:rPr>
          <w:rFonts w:hint="eastAsia" w:ascii="宋体" w:hAnsi="宋体" w:eastAsia="宋体" w:cs="宋体"/>
          <w:color w:val="000000"/>
          <w:sz w:val="24"/>
        </w:rPr>
        <w:t>除上述情况外，</w:t>
      </w:r>
      <w:r>
        <w:rPr>
          <w:rFonts w:hint="eastAsia" w:ascii="宋体" w:hAnsi="宋体" w:eastAsia="宋体" w:cs="宋体"/>
          <w:color w:val="000000"/>
          <w:sz w:val="24"/>
          <w:lang w:eastAsia="zh-CN"/>
        </w:rPr>
        <w:t>中标人</w:t>
      </w:r>
      <w:r>
        <w:rPr>
          <w:rFonts w:hint="eastAsia" w:ascii="宋体" w:hAnsi="宋体" w:eastAsia="宋体" w:cs="宋体"/>
          <w:color w:val="000000"/>
          <w:sz w:val="24"/>
        </w:rPr>
        <w:t>违反招标文件中的其他规定的，发现一次在当期应支付费用中扣罚500元，不设上限。</w:t>
      </w:r>
    </w:p>
    <w:p w14:paraId="3061E795">
      <w:pPr>
        <w:spacing w:line="336"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8</w:t>
      </w:r>
      <w:r>
        <w:rPr>
          <w:rFonts w:hint="eastAsia" w:ascii="宋体" w:hAnsi="宋体" w:eastAsia="宋体" w:cs="宋体"/>
          <w:color w:val="000000"/>
          <w:sz w:val="24"/>
        </w:rPr>
        <w:t>）</w:t>
      </w:r>
      <w:r>
        <w:rPr>
          <w:rFonts w:hint="eastAsia" w:ascii="宋体" w:hAnsi="宋体" w:eastAsia="宋体" w:cs="宋体"/>
          <w:color w:val="000000"/>
          <w:sz w:val="24"/>
          <w:lang w:eastAsia="zh-CN"/>
        </w:rPr>
        <w:t>采购人</w:t>
      </w:r>
      <w:r>
        <w:rPr>
          <w:rFonts w:hint="eastAsia" w:ascii="宋体" w:hAnsi="宋体" w:eastAsia="宋体" w:cs="宋体"/>
          <w:color w:val="000000"/>
          <w:sz w:val="24"/>
        </w:rPr>
        <w:t>对</w:t>
      </w:r>
      <w:r>
        <w:rPr>
          <w:rFonts w:hint="eastAsia" w:ascii="宋体" w:hAnsi="宋体" w:eastAsia="宋体" w:cs="宋体"/>
          <w:color w:val="000000"/>
          <w:sz w:val="24"/>
          <w:lang w:eastAsia="zh-CN"/>
        </w:rPr>
        <w:t>中标人</w:t>
      </w:r>
      <w:r>
        <w:rPr>
          <w:rFonts w:hint="eastAsia" w:ascii="宋体" w:hAnsi="宋体" w:eastAsia="宋体" w:cs="宋体"/>
          <w:color w:val="000000"/>
          <w:sz w:val="24"/>
        </w:rPr>
        <w:t>开展日常服务质态考核，对于考核发现的各种违规行为，</w:t>
      </w:r>
      <w:r>
        <w:rPr>
          <w:rFonts w:hint="eastAsia" w:ascii="宋体" w:hAnsi="宋体" w:eastAsia="宋体" w:cs="宋体"/>
          <w:color w:val="000000"/>
          <w:sz w:val="24"/>
          <w:lang w:eastAsia="zh-CN"/>
        </w:rPr>
        <w:t>采购人</w:t>
      </w:r>
      <w:r>
        <w:rPr>
          <w:rFonts w:hint="eastAsia" w:ascii="宋体" w:hAnsi="宋体" w:eastAsia="宋体" w:cs="宋体"/>
          <w:color w:val="000000"/>
          <w:sz w:val="24"/>
        </w:rPr>
        <w:t>有权要求</w:t>
      </w:r>
      <w:r>
        <w:rPr>
          <w:rFonts w:hint="eastAsia" w:ascii="宋体" w:hAnsi="宋体" w:eastAsia="宋体" w:cs="宋体"/>
          <w:color w:val="000000"/>
          <w:sz w:val="24"/>
          <w:lang w:eastAsia="zh-CN"/>
        </w:rPr>
        <w:t>中标人</w:t>
      </w:r>
      <w:r>
        <w:rPr>
          <w:rFonts w:hint="eastAsia" w:ascii="宋体" w:hAnsi="宋体" w:eastAsia="宋体" w:cs="宋体"/>
          <w:color w:val="000000"/>
          <w:sz w:val="24"/>
        </w:rPr>
        <w:t>立即整改，对于拒绝整改或多次发生违规行为的，</w:t>
      </w:r>
      <w:r>
        <w:rPr>
          <w:rFonts w:hint="eastAsia" w:ascii="宋体" w:hAnsi="宋体" w:eastAsia="宋体" w:cs="宋体"/>
          <w:color w:val="000000"/>
          <w:sz w:val="24"/>
          <w:lang w:eastAsia="zh-CN"/>
        </w:rPr>
        <w:t>采购人</w:t>
      </w:r>
      <w:r>
        <w:rPr>
          <w:rFonts w:hint="eastAsia" w:ascii="宋体" w:hAnsi="宋体" w:eastAsia="宋体" w:cs="宋体"/>
          <w:color w:val="000000"/>
          <w:sz w:val="24"/>
        </w:rPr>
        <w:t>有权责令</w:t>
      </w:r>
      <w:r>
        <w:rPr>
          <w:rFonts w:hint="eastAsia" w:ascii="宋体" w:hAnsi="宋体" w:eastAsia="宋体" w:cs="宋体"/>
          <w:color w:val="000000"/>
          <w:sz w:val="24"/>
          <w:lang w:eastAsia="zh-CN"/>
        </w:rPr>
        <w:t>中标人</w:t>
      </w:r>
      <w:r>
        <w:rPr>
          <w:rFonts w:hint="eastAsia" w:ascii="宋体" w:hAnsi="宋体" w:eastAsia="宋体" w:cs="宋体"/>
          <w:color w:val="000000"/>
          <w:sz w:val="24"/>
        </w:rPr>
        <w:t>停业整顿或终止合同。</w:t>
      </w:r>
      <w:bookmarkStart w:id="8" w:name="_Toc5462"/>
    </w:p>
    <w:p w14:paraId="18B9F41A">
      <w:pPr>
        <w:spacing w:line="500" w:lineRule="exact"/>
        <w:outlineLvl w:val="0"/>
        <w:rPr>
          <w:rFonts w:hint="eastAsia" w:ascii="Times New Roman" w:hAnsi="Times New Roman" w:eastAsia="宋体" w:cs="Times New Roman"/>
          <w:b/>
          <w:sz w:val="44"/>
          <w:szCs w:val="44"/>
        </w:rPr>
      </w:pPr>
      <w:r>
        <w:rPr>
          <w:rFonts w:hint="eastAsia" w:ascii="Times New Roman" w:hAnsi="Times New Roman" w:eastAsia="宋体" w:cs="Times New Roman"/>
          <w:b/>
          <w:sz w:val="44"/>
          <w:szCs w:val="44"/>
        </w:rPr>
        <w:t xml:space="preserve">   </w:t>
      </w:r>
    </w:p>
    <w:p w14:paraId="6212F2A4">
      <w:pPr>
        <w:spacing w:line="500" w:lineRule="exact"/>
        <w:outlineLvl w:val="0"/>
        <w:rPr>
          <w:rFonts w:hint="eastAsia" w:ascii="Times New Roman" w:hAnsi="Times New Roman" w:eastAsia="宋体" w:cs="Times New Roman"/>
          <w:b/>
          <w:sz w:val="44"/>
          <w:szCs w:val="44"/>
        </w:rPr>
      </w:pPr>
    </w:p>
    <w:p w14:paraId="0BBE0959">
      <w:pPr>
        <w:spacing w:line="500" w:lineRule="exact"/>
        <w:outlineLvl w:val="0"/>
        <w:rPr>
          <w:rFonts w:hint="eastAsia" w:ascii="Times New Roman" w:hAnsi="Times New Roman" w:eastAsia="宋体" w:cs="Times New Roman"/>
          <w:b/>
          <w:sz w:val="44"/>
          <w:szCs w:val="44"/>
        </w:rPr>
      </w:pPr>
    </w:p>
    <w:p w14:paraId="3266EE17">
      <w:pPr>
        <w:spacing w:line="500" w:lineRule="exact"/>
        <w:outlineLvl w:val="0"/>
        <w:rPr>
          <w:rFonts w:hint="eastAsia" w:ascii="Times New Roman" w:hAnsi="Times New Roman" w:eastAsia="宋体" w:cs="Times New Roman"/>
          <w:b/>
          <w:sz w:val="44"/>
          <w:szCs w:val="44"/>
        </w:rPr>
      </w:pPr>
    </w:p>
    <w:p w14:paraId="7AB4CF70">
      <w:pPr>
        <w:spacing w:line="500" w:lineRule="exact"/>
        <w:outlineLvl w:val="0"/>
        <w:rPr>
          <w:rFonts w:hint="eastAsia" w:ascii="Times New Roman" w:hAnsi="Times New Roman" w:eastAsia="宋体" w:cs="Times New Roman"/>
          <w:b/>
          <w:sz w:val="44"/>
          <w:szCs w:val="44"/>
        </w:rPr>
      </w:pPr>
    </w:p>
    <w:p w14:paraId="5C887BC6">
      <w:pPr>
        <w:spacing w:line="500" w:lineRule="exact"/>
        <w:outlineLvl w:val="0"/>
        <w:rPr>
          <w:rFonts w:hint="eastAsia" w:ascii="Times New Roman" w:hAnsi="Times New Roman" w:eastAsia="宋体" w:cs="Times New Roman"/>
          <w:b/>
          <w:sz w:val="44"/>
          <w:szCs w:val="44"/>
        </w:rPr>
      </w:pPr>
    </w:p>
    <w:p w14:paraId="1C33E24F">
      <w:pPr>
        <w:spacing w:line="500" w:lineRule="exact"/>
        <w:outlineLvl w:val="0"/>
        <w:rPr>
          <w:rFonts w:hint="eastAsia" w:ascii="Times New Roman" w:hAnsi="Times New Roman" w:eastAsia="宋体" w:cs="Times New Roman"/>
          <w:b/>
          <w:sz w:val="44"/>
          <w:szCs w:val="44"/>
        </w:rPr>
      </w:pPr>
    </w:p>
    <w:p w14:paraId="1FD4DC53">
      <w:pPr>
        <w:spacing w:line="500" w:lineRule="exact"/>
        <w:outlineLvl w:val="0"/>
        <w:rPr>
          <w:rFonts w:hint="eastAsia" w:ascii="Times New Roman" w:hAnsi="Times New Roman" w:eastAsia="宋体" w:cs="Times New Roman"/>
          <w:b/>
          <w:sz w:val="44"/>
          <w:szCs w:val="44"/>
        </w:rPr>
      </w:pPr>
    </w:p>
    <w:p w14:paraId="5342C481">
      <w:pPr>
        <w:spacing w:line="500" w:lineRule="exact"/>
        <w:jc w:val="center"/>
        <w:outlineLvl w:val="0"/>
        <w:rPr>
          <w:rFonts w:hint="eastAsia" w:ascii="Times New Roman" w:hAnsi="Times New Roman" w:eastAsia="宋体" w:cs="Times New Roman"/>
          <w:b/>
          <w:sz w:val="44"/>
          <w:szCs w:val="44"/>
        </w:rPr>
      </w:pPr>
    </w:p>
    <w:bookmarkEnd w:id="2"/>
    <w:bookmarkEnd w:id="3"/>
    <w:bookmarkEnd w:id="4"/>
    <w:bookmarkEnd w:id="5"/>
    <w:bookmarkEnd w:id="6"/>
    <w:bookmarkEnd w:id="7"/>
    <w:bookmarkEnd w:id="8"/>
    <w:p w14:paraId="37B5C91A"/>
    <w:sectPr>
      <w:footerReference r:id="rId3" w:type="default"/>
      <w:pgSz w:w="11906" w:h="16838"/>
      <w:pgMar w:top="1440" w:right="1800" w:bottom="1440" w:left="1800"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D5337">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14:paraId="536FA91F">
                          <w:pPr>
                            <w:pStyle w:val="2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28</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kX7ZrswBAACYAwAADgAAAAAAAAABACAAAAAfAQAAZHJzL2Uy&#10;b0RvYy54bWxQSwUGAAAAAAYABgBZAQAAXQUAAAAA&#10;">
              <v:fill on="f" focussize="0,0"/>
              <v:stroke on="f"/>
              <v:imagedata o:title=""/>
              <o:lock v:ext="edit" aspectratio="f"/>
              <v:textbox inset="0mm,0mm,0mm,0mm" style="mso-fit-shape-to-text:t;">
                <w:txbxContent>
                  <w:p w14:paraId="536FA91F">
                    <w:pPr>
                      <w:pStyle w:val="2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28</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characterSpacingControl w:val="doNotCompres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zOTNjODgyYzhjOWJjNDdjYTgxODljNDEzMzE1OWIifQ=="/>
  </w:docVars>
  <w:rsids>
    <w:rsidRoot w:val="005E7C32"/>
    <w:rsid w:val="002E7770"/>
    <w:rsid w:val="00313598"/>
    <w:rsid w:val="003E3268"/>
    <w:rsid w:val="005E7C32"/>
    <w:rsid w:val="006178C1"/>
    <w:rsid w:val="00681807"/>
    <w:rsid w:val="007E14A1"/>
    <w:rsid w:val="007E775E"/>
    <w:rsid w:val="008E1C28"/>
    <w:rsid w:val="009663AA"/>
    <w:rsid w:val="009B3D93"/>
    <w:rsid w:val="009F5AB9"/>
    <w:rsid w:val="00A263CF"/>
    <w:rsid w:val="00DE191F"/>
    <w:rsid w:val="00E435C9"/>
    <w:rsid w:val="00E534D6"/>
    <w:rsid w:val="00E90328"/>
    <w:rsid w:val="014C446B"/>
    <w:rsid w:val="01E92232"/>
    <w:rsid w:val="026B176D"/>
    <w:rsid w:val="02BC3B4D"/>
    <w:rsid w:val="03656195"/>
    <w:rsid w:val="036E011A"/>
    <w:rsid w:val="06AD79E0"/>
    <w:rsid w:val="06B75848"/>
    <w:rsid w:val="073E3E92"/>
    <w:rsid w:val="07907F16"/>
    <w:rsid w:val="07FA1C00"/>
    <w:rsid w:val="08483F5F"/>
    <w:rsid w:val="089E766C"/>
    <w:rsid w:val="09A120FF"/>
    <w:rsid w:val="09ED1254"/>
    <w:rsid w:val="0A070FA7"/>
    <w:rsid w:val="0A111E48"/>
    <w:rsid w:val="0A82381A"/>
    <w:rsid w:val="0AB356FC"/>
    <w:rsid w:val="0ACF5431"/>
    <w:rsid w:val="0D525D80"/>
    <w:rsid w:val="0DE72889"/>
    <w:rsid w:val="0E1F5FC1"/>
    <w:rsid w:val="0F697747"/>
    <w:rsid w:val="10640ADE"/>
    <w:rsid w:val="10C56471"/>
    <w:rsid w:val="110D1449"/>
    <w:rsid w:val="11A42D12"/>
    <w:rsid w:val="12386244"/>
    <w:rsid w:val="13D818CB"/>
    <w:rsid w:val="153824AB"/>
    <w:rsid w:val="16DE1B04"/>
    <w:rsid w:val="171B54BE"/>
    <w:rsid w:val="17E7209B"/>
    <w:rsid w:val="18565CD0"/>
    <w:rsid w:val="18F703E9"/>
    <w:rsid w:val="199641F6"/>
    <w:rsid w:val="1A18035A"/>
    <w:rsid w:val="1A3F2565"/>
    <w:rsid w:val="1D520B9A"/>
    <w:rsid w:val="1DB95162"/>
    <w:rsid w:val="1F0904A3"/>
    <w:rsid w:val="214B12E2"/>
    <w:rsid w:val="220E18A8"/>
    <w:rsid w:val="222850DB"/>
    <w:rsid w:val="22EF02FA"/>
    <w:rsid w:val="26A92E31"/>
    <w:rsid w:val="27996AA8"/>
    <w:rsid w:val="28583300"/>
    <w:rsid w:val="29842FD7"/>
    <w:rsid w:val="29BE5661"/>
    <w:rsid w:val="2A105B5F"/>
    <w:rsid w:val="2B9D78E9"/>
    <w:rsid w:val="2C2A1930"/>
    <w:rsid w:val="2C3A6829"/>
    <w:rsid w:val="2CF1055C"/>
    <w:rsid w:val="2D1D1D3C"/>
    <w:rsid w:val="302D5471"/>
    <w:rsid w:val="30566D3E"/>
    <w:rsid w:val="31490B48"/>
    <w:rsid w:val="32030F71"/>
    <w:rsid w:val="33846ED1"/>
    <w:rsid w:val="359F290B"/>
    <w:rsid w:val="36E5197F"/>
    <w:rsid w:val="37EF1D73"/>
    <w:rsid w:val="38466053"/>
    <w:rsid w:val="3AA62CEF"/>
    <w:rsid w:val="3B1B093F"/>
    <w:rsid w:val="3CDA6B53"/>
    <w:rsid w:val="3DFF7FAC"/>
    <w:rsid w:val="3E6B7931"/>
    <w:rsid w:val="3EBE5DA6"/>
    <w:rsid w:val="3F173B9F"/>
    <w:rsid w:val="40502E99"/>
    <w:rsid w:val="40757A0B"/>
    <w:rsid w:val="407A02DD"/>
    <w:rsid w:val="408F78BC"/>
    <w:rsid w:val="40C11FED"/>
    <w:rsid w:val="410A3319"/>
    <w:rsid w:val="42811B43"/>
    <w:rsid w:val="43657E07"/>
    <w:rsid w:val="440119A2"/>
    <w:rsid w:val="44825135"/>
    <w:rsid w:val="44C25397"/>
    <w:rsid w:val="45C04B96"/>
    <w:rsid w:val="460104EC"/>
    <w:rsid w:val="481D267E"/>
    <w:rsid w:val="48297E0A"/>
    <w:rsid w:val="48492DB6"/>
    <w:rsid w:val="4874026D"/>
    <w:rsid w:val="491E70AA"/>
    <w:rsid w:val="497E5CF1"/>
    <w:rsid w:val="49B27819"/>
    <w:rsid w:val="4A217F8B"/>
    <w:rsid w:val="4A7C444E"/>
    <w:rsid w:val="4C176795"/>
    <w:rsid w:val="4C64610A"/>
    <w:rsid w:val="4C653F69"/>
    <w:rsid w:val="4C8F7C0E"/>
    <w:rsid w:val="4E8D51EE"/>
    <w:rsid w:val="50BC7C91"/>
    <w:rsid w:val="51543FBA"/>
    <w:rsid w:val="52AC62FA"/>
    <w:rsid w:val="53955FE5"/>
    <w:rsid w:val="542208F7"/>
    <w:rsid w:val="546C3C75"/>
    <w:rsid w:val="54E26330"/>
    <w:rsid w:val="55365B0F"/>
    <w:rsid w:val="55BE0B80"/>
    <w:rsid w:val="5616657D"/>
    <w:rsid w:val="561F3061"/>
    <w:rsid w:val="56A86AF5"/>
    <w:rsid w:val="56CB34D1"/>
    <w:rsid w:val="57265F76"/>
    <w:rsid w:val="572C266D"/>
    <w:rsid w:val="589720B6"/>
    <w:rsid w:val="58D4693E"/>
    <w:rsid w:val="59BC3A58"/>
    <w:rsid w:val="59CD4BFB"/>
    <w:rsid w:val="5A661E4F"/>
    <w:rsid w:val="5B4029FE"/>
    <w:rsid w:val="5B567E2E"/>
    <w:rsid w:val="5C5939C2"/>
    <w:rsid w:val="5D0C4F3E"/>
    <w:rsid w:val="5DE257E4"/>
    <w:rsid w:val="5DE867E4"/>
    <w:rsid w:val="5F365026"/>
    <w:rsid w:val="5FA10876"/>
    <w:rsid w:val="5FA96427"/>
    <w:rsid w:val="61F861A4"/>
    <w:rsid w:val="629F6DAD"/>
    <w:rsid w:val="63923EFC"/>
    <w:rsid w:val="63A94639"/>
    <w:rsid w:val="64702AC1"/>
    <w:rsid w:val="653551FC"/>
    <w:rsid w:val="65B17307"/>
    <w:rsid w:val="663B5EFC"/>
    <w:rsid w:val="66544F36"/>
    <w:rsid w:val="66F22519"/>
    <w:rsid w:val="67412F54"/>
    <w:rsid w:val="68181178"/>
    <w:rsid w:val="683F3FFF"/>
    <w:rsid w:val="6AB96B83"/>
    <w:rsid w:val="6AC735D3"/>
    <w:rsid w:val="6B807501"/>
    <w:rsid w:val="6BF321A4"/>
    <w:rsid w:val="6D0346AC"/>
    <w:rsid w:val="6D5B10C2"/>
    <w:rsid w:val="6D8C0C44"/>
    <w:rsid w:val="6EDB2479"/>
    <w:rsid w:val="6F241C1D"/>
    <w:rsid w:val="6F76258D"/>
    <w:rsid w:val="70427DAE"/>
    <w:rsid w:val="70FE1EDD"/>
    <w:rsid w:val="716450A3"/>
    <w:rsid w:val="717F393D"/>
    <w:rsid w:val="730D48BE"/>
    <w:rsid w:val="73223014"/>
    <w:rsid w:val="732C65AC"/>
    <w:rsid w:val="774D29BE"/>
    <w:rsid w:val="777556C5"/>
    <w:rsid w:val="7776227C"/>
    <w:rsid w:val="79593161"/>
    <w:rsid w:val="79B17C4C"/>
    <w:rsid w:val="7A817ADF"/>
    <w:rsid w:val="7AFE33B2"/>
    <w:rsid w:val="7B055F14"/>
    <w:rsid w:val="7B160FC2"/>
    <w:rsid w:val="7B5435EC"/>
    <w:rsid w:val="7DF94EF2"/>
    <w:rsid w:val="7E11449F"/>
    <w:rsid w:val="7FA92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semiHidden="0"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7"/>
    <w:qFormat/>
    <w:uiPriority w:val="0"/>
    <w:pPr>
      <w:widowControl w:val="0"/>
      <w:jc w:val="both"/>
    </w:pPr>
    <w:rPr>
      <w:rFonts w:ascii="Calibri" w:hAnsi="Calibri" w:eastAsia="Arial" w:cs="Arial"/>
      <w:sz w:val="21"/>
      <w:szCs w:val="24"/>
      <w:lang w:val="en-US" w:eastAsia="zh-CN" w:bidi="ar-SA"/>
    </w:rPr>
  </w:style>
  <w:style w:type="paragraph" w:styleId="2">
    <w:name w:val="heading 1"/>
    <w:next w:val="1"/>
    <w:qFormat/>
    <w:uiPriority w:val="0"/>
    <w:pPr>
      <w:widowControl w:val="0"/>
      <w:spacing w:beforeAutospacing="1" w:afterAutospacing="1"/>
      <w:outlineLvl w:val="0"/>
    </w:pPr>
    <w:rPr>
      <w:rFonts w:hint="eastAsia" w:ascii="宋体" w:hAnsi="宋体" w:eastAsia="宋体" w:cs="宋体"/>
      <w:b/>
      <w:bCs/>
      <w:sz w:val="48"/>
      <w:szCs w:val="48"/>
      <w:lang w:val="en-US" w:eastAsia="zh-CN" w:bidi="ar-SA"/>
    </w:rPr>
  </w:style>
  <w:style w:type="paragraph" w:styleId="3">
    <w:name w:val="heading 2"/>
    <w:next w:val="1"/>
    <w:unhideWhenUsed/>
    <w:qFormat/>
    <w:uiPriority w:val="0"/>
    <w:pPr>
      <w:widowControl w:val="0"/>
      <w:spacing w:beforeAutospacing="1" w:afterAutospacing="1"/>
      <w:outlineLvl w:val="1"/>
    </w:pPr>
    <w:rPr>
      <w:rFonts w:hint="eastAsia" w:ascii="宋体" w:hAnsi="宋体" w:eastAsia="宋体" w:cs="宋体"/>
      <w:b/>
      <w:bCs/>
      <w:sz w:val="36"/>
      <w:szCs w:val="36"/>
      <w:lang w:val="en-US" w:eastAsia="zh-CN" w:bidi="ar-SA"/>
    </w:rPr>
  </w:style>
  <w:style w:type="paragraph" w:styleId="4">
    <w:name w:val="heading 3"/>
    <w:basedOn w:val="1"/>
    <w:next w:val="1"/>
    <w:link w:val="51"/>
    <w:unhideWhenUsed/>
    <w:qFormat/>
    <w:uiPriority w:val="9"/>
    <w:pPr>
      <w:keepNext/>
      <w:keepLines/>
      <w:spacing w:before="320" w:after="200"/>
      <w:outlineLvl w:val="2"/>
    </w:pPr>
    <w:rPr>
      <w:rFonts w:ascii="Arial" w:hAnsi="Arial"/>
      <w:sz w:val="30"/>
      <w:szCs w:val="30"/>
    </w:rPr>
  </w:style>
  <w:style w:type="paragraph" w:styleId="5">
    <w:name w:val="heading 4"/>
    <w:basedOn w:val="1"/>
    <w:next w:val="1"/>
    <w:link w:val="52"/>
    <w:unhideWhenUsed/>
    <w:qFormat/>
    <w:uiPriority w:val="9"/>
    <w:pPr>
      <w:keepNext/>
      <w:keepLines/>
      <w:spacing w:before="320" w:after="200"/>
      <w:outlineLvl w:val="3"/>
    </w:pPr>
    <w:rPr>
      <w:rFonts w:ascii="Arial" w:hAnsi="Arial"/>
      <w:b/>
      <w:bCs/>
      <w:sz w:val="26"/>
      <w:szCs w:val="26"/>
    </w:rPr>
  </w:style>
  <w:style w:type="paragraph" w:styleId="6">
    <w:name w:val="heading 5"/>
    <w:basedOn w:val="1"/>
    <w:next w:val="1"/>
    <w:link w:val="53"/>
    <w:unhideWhenUsed/>
    <w:qFormat/>
    <w:uiPriority w:val="9"/>
    <w:pPr>
      <w:keepNext/>
      <w:keepLines/>
      <w:spacing w:before="320" w:after="200"/>
      <w:outlineLvl w:val="4"/>
    </w:pPr>
    <w:rPr>
      <w:rFonts w:ascii="Arial" w:hAnsi="Arial"/>
      <w:b/>
      <w:bCs/>
      <w:sz w:val="24"/>
    </w:rPr>
  </w:style>
  <w:style w:type="paragraph" w:styleId="7">
    <w:name w:val="heading 6"/>
    <w:basedOn w:val="1"/>
    <w:next w:val="1"/>
    <w:link w:val="54"/>
    <w:unhideWhenUsed/>
    <w:qFormat/>
    <w:uiPriority w:val="9"/>
    <w:pPr>
      <w:keepNext/>
      <w:keepLines/>
      <w:spacing w:before="320" w:after="200"/>
      <w:outlineLvl w:val="5"/>
    </w:pPr>
    <w:rPr>
      <w:rFonts w:ascii="Arial" w:hAnsi="Arial"/>
      <w:b/>
      <w:bCs/>
      <w:sz w:val="22"/>
      <w:szCs w:val="22"/>
    </w:rPr>
  </w:style>
  <w:style w:type="paragraph" w:styleId="8">
    <w:name w:val="heading 7"/>
    <w:basedOn w:val="1"/>
    <w:next w:val="1"/>
    <w:link w:val="55"/>
    <w:unhideWhenUsed/>
    <w:qFormat/>
    <w:uiPriority w:val="9"/>
    <w:pPr>
      <w:keepNext/>
      <w:keepLines/>
      <w:spacing w:before="320" w:after="200"/>
      <w:outlineLvl w:val="6"/>
    </w:pPr>
    <w:rPr>
      <w:rFonts w:ascii="Arial" w:hAnsi="Arial"/>
      <w:b/>
      <w:bCs/>
      <w:i/>
      <w:iCs/>
      <w:sz w:val="22"/>
      <w:szCs w:val="22"/>
    </w:rPr>
  </w:style>
  <w:style w:type="paragraph" w:styleId="9">
    <w:name w:val="heading 8"/>
    <w:basedOn w:val="1"/>
    <w:next w:val="1"/>
    <w:link w:val="56"/>
    <w:unhideWhenUsed/>
    <w:qFormat/>
    <w:uiPriority w:val="9"/>
    <w:pPr>
      <w:keepNext/>
      <w:keepLines/>
      <w:spacing w:before="320" w:after="200"/>
      <w:outlineLvl w:val="7"/>
    </w:pPr>
    <w:rPr>
      <w:rFonts w:ascii="Arial" w:hAnsi="Arial"/>
      <w:i/>
      <w:iCs/>
      <w:sz w:val="22"/>
      <w:szCs w:val="22"/>
    </w:rPr>
  </w:style>
  <w:style w:type="paragraph" w:styleId="10">
    <w:name w:val="heading 9"/>
    <w:basedOn w:val="1"/>
    <w:next w:val="1"/>
    <w:link w:val="57"/>
    <w:unhideWhenUsed/>
    <w:qFormat/>
    <w:uiPriority w:val="9"/>
    <w:pPr>
      <w:keepNext/>
      <w:keepLines/>
      <w:spacing w:before="320" w:after="200"/>
      <w:outlineLvl w:val="8"/>
    </w:pPr>
    <w:rPr>
      <w:rFonts w:ascii="Arial" w:hAnsi="Arial"/>
      <w:i/>
      <w:iCs/>
      <w:szCs w:val="21"/>
    </w:rPr>
  </w:style>
  <w:style w:type="character" w:default="1" w:styleId="34">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unhideWhenUsed/>
    <w:qFormat/>
    <w:uiPriority w:val="35"/>
    <w:pPr>
      <w:spacing w:line="276" w:lineRule="auto"/>
    </w:pPr>
    <w:rPr>
      <w:b/>
      <w:bCs/>
      <w:color w:val="4874CB"/>
      <w:sz w:val="18"/>
      <w:szCs w:val="18"/>
    </w:rPr>
  </w:style>
  <w:style w:type="paragraph" w:styleId="13">
    <w:name w:val="Body Text"/>
    <w:basedOn w:val="1"/>
    <w:next w:val="1"/>
    <w:qFormat/>
    <w:uiPriority w:val="0"/>
    <w:pPr>
      <w:spacing w:line="400" w:lineRule="exact"/>
    </w:pPr>
    <w:rPr>
      <w:rFonts w:ascii="楷体_GB2312"/>
      <w:sz w:val="28"/>
    </w:rPr>
  </w:style>
  <w:style w:type="paragraph" w:styleId="14">
    <w:name w:val="Body Text Indent"/>
    <w:basedOn w:val="1"/>
    <w:next w:val="15"/>
    <w:unhideWhenUsed/>
    <w:qFormat/>
    <w:uiPriority w:val="99"/>
    <w:pPr>
      <w:spacing w:after="120"/>
      <w:ind w:left="420"/>
    </w:pPr>
  </w:style>
  <w:style w:type="paragraph" w:styleId="15">
    <w:name w:val="envelope return"/>
    <w:basedOn w:val="1"/>
    <w:qFormat/>
    <w:uiPriority w:val="0"/>
    <w:rPr>
      <w:rFonts w:ascii="Arial" w:hAnsi="Arial"/>
    </w:rPr>
  </w:style>
  <w:style w:type="paragraph" w:styleId="16">
    <w:name w:val="toc 5"/>
    <w:basedOn w:val="1"/>
    <w:next w:val="1"/>
    <w:unhideWhenUsed/>
    <w:qFormat/>
    <w:uiPriority w:val="39"/>
    <w:pPr>
      <w:spacing w:after="57"/>
      <w:ind w:left="1134"/>
    </w:pPr>
  </w:style>
  <w:style w:type="paragraph" w:styleId="17">
    <w:name w:val="toc 3"/>
    <w:basedOn w:val="1"/>
    <w:next w:val="1"/>
    <w:unhideWhenUsed/>
    <w:qFormat/>
    <w:uiPriority w:val="39"/>
    <w:pPr>
      <w:spacing w:after="57"/>
      <w:ind w:left="567"/>
    </w:pPr>
  </w:style>
  <w:style w:type="paragraph" w:styleId="18">
    <w:name w:val="toc 8"/>
    <w:basedOn w:val="1"/>
    <w:next w:val="1"/>
    <w:unhideWhenUsed/>
    <w:qFormat/>
    <w:uiPriority w:val="39"/>
    <w:pPr>
      <w:spacing w:after="57"/>
      <w:ind w:left="1984"/>
    </w:pPr>
  </w:style>
  <w:style w:type="paragraph" w:styleId="19">
    <w:name w:val="endnote text"/>
    <w:basedOn w:val="1"/>
    <w:link w:val="66"/>
    <w:unhideWhenUsed/>
    <w:qFormat/>
    <w:uiPriority w:val="99"/>
    <w:rPr>
      <w:sz w:val="20"/>
    </w:rPr>
  </w:style>
  <w:style w:type="paragraph" w:styleId="20">
    <w:name w:val="footer"/>
    <w:basedOn w:val="1"/>
    <w:qFormat/>
    <w:uiPriority w:val="0"/>
    <w:pPr>
      <w:tabs>
        <w:tab w:val="center" w:pos="4153"/>
        <w:tab w:val="right" w:pos="8306"/>
      </w:tabs>
      <w:jc w:val="left"/>
    </w:pPr>
    <w:rPr>
      <w:sz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pPr>
    <w:rPr>
      <w:sz w:val="18"/>
    </w:rPr>
  </w:style>
  <w:style w:type="paragraph" w:styleId="22">
    <w:name w:val="toc 1"/>
    <w:basedOn w:val="1"/>
    <w:next w:val="1"/>
    <w:unhideWhenUsed/>
    <w:qFormat/>
    <w:uiPriority w:val="39"/>
    <w:pPr>
      <w:spacing w:after="57"/>
    </w:pPr>
  </w:style>
  <w:style w:type="paragraph" w:styleId="23">
    <w:name w:val="toc 4"/>
    <w:basedOn w:val="1"/>
    <w:next w:val="1"/>
    <w:unhideWhenUsed/>
    <w:qFormat/>
    <w:uiPriority w:val="39"/>
    <w:pPr>
      <w:spacing w:after="57"/>
      <w:ind w:left="850"/>
    </w:pPr>
  </w:style>
  <w:style w:type="paragraph" w:styleId="24">
    <w:name w:val="Subtitle"/>
    <w:basedOn w:val="1"/>
    <w:next w:val="1"/>
    <w:link w:val="59"/>
    <w:qFormat/>
    <w:uiPriority w:val="11"/>
    <w:pPr>
      <w:spacing w:before="200" w:after="200"/>
    </w:pPr>
    <w:rPr>
      <w:sz w:val="24"/>
    </w:rPr>
  </w:style>
  <w:style w:type="paragraph" w:styleId="25">
    <w:name w:val="footnote text"/>
    <w:basedOn w:val="1"/>
    <w:link w:val="65"/>
    <w:unhideWhenUsed/>
    <w:qFormat/>
    <w:uiPriority w:val="99"/>
    <w:pPr>
      <w:spacing w:after="40"/>
    </w:pPr>
    <w:rPr>
      <w:sz w:val="18"/>
    </w:rPr>
  </w:style>
  <w:style w:type="paragraph" w:styleId="26">
    <w:name w:val="toc 6"/>
    <w:basedOn w:val="1"/>
    <w:next w:val="1"/>
    <w:unhideWhenUsed/>
    <w:qFormat/>
    <w:uiPriority w:val="39"/>
    <w:pPr>
      <w:spacing w:after="57"/>
      <w:ind w:left="1417"/>
    </w:pPr>
  </w:style>
  <w:style w:type="paragraph" w:styleId="27">
    <w:name w:val="table of figures"/>
    <w:basedOn w:val="1"/>
    <w:next w:val="1"/>
    <w:unhideWhenUsed/>
    <w:qFormat/>
    <w:uiPriority w:val="99"/>
  </w:style>
  <w:style w:type="paragraph" w:styleId="28">
    <w:name w:val="toc 2"/>
    <w:basedOn w:val="1"/>
    <w:next w:val="1"/>
    <w:unhideWhenUsed/>
    <w:qFormat/>
    <w:uiPriority w:val="39"/>
    <w:pPr>
      <w:spacing w:after="57"/>
      <w:ind w:left="283"/>
    </w:pPr>
  </w:style>
  <w:style w:type="paragraph" w:styleId="29">
    <w:name w:val="toc 9"/>
    <w:basedOn w:val="1"/>
    <w:next w:val="1"/>
    <w:unhideWhenUsed/>
    <w:qFormat/>
    <w:uiPriority w:val="39"/>
    <w:pPr>
      <w:spacing w:after="57"/>
      <w:ind w:left="2268"/>
    </w:pPr>
  </w:style>
  <w:style w:type="paragraph" w:styleId="30">
    <w:name w:val="Normal (Web)"/>
    <w:qFormat/>
    <w:uiPriority w:val="0"/>
    <w:pPr>
      <w:widowControl w:val="0"/>
      <w:spacing w:beforeAutospacing="1" w:afterAutospacing="1"/>
    </w:pPr>
    <w:rPr>
      <w:rFonts w:ascii="Calibri" w:hAnsi="Calibri" w:eastAsia="Arial" w:cs="Arial"/>
      <w:sz w:val="24"/>
      <w:szCs w:val="24"/>
      <w:lang w:val="en-US" w:eastAsia="zh-CN" w:bidi="ar-SA"/>
    </w:rPr>
  </w:style>
  <w:style w:type="paragraph" w:styleId="31">
    <w:name w:val="Title"/>
    <w:basedOn w:val="1"/>
    <w:next w:val="1"/>
    <w:link w:val="58"/>
    <w:qFormat/>
    <w:uiPriority w:val="10"/>
    <w:pPr>
      <w:spacing w:before="300" w:after="200"/>
      <w:contextualSpacing/>
    </w:pPr>
    <w:rPr>
      <w:sz w:val="48"/>
      <w:szCs w:val="48"/>
    </w:rPr>
  </w:style>
  <w:style w:type="paragraph" w:styleId="32">
    <w:name w:val="Body Text First Indent 2"/>
    <w:basedOn w:val="14"/>
    <w:next w:val="1"/>
    <w:unhideWhenUsed/>
    <w:qFormat/>
    <w:uiPriority w:val="99"/>
    <w:pPr>
      <w:ind w:firstLine="420"/>
    </w:pPr>
  </w:style>
  <w:style w:type="character" w:styleId="35">
    <w:name w:val="endnote reference"/>
    <w:basedOn w:val="34"/>
    <w:unhideWhenUsed/>
    <w:qFormat/>
    <w:uiPriority w:val="99"/>
    <w:rPr>
      <w:vertAlign w:val="superscript"/>
    </w:rPr>
  </w:style>
  <w:style w:type="character" w:styleId="36">
    <w:name w:val="Hyperlink"/>
    <w:unhideWhenUsed/>
    <w:qFormat/>
    <w:uiPriority w:val="99"/>
    <w:rPr>
      <w:color w:val="0026E5"/>
      <w:u w:val="single"/>
    </w:rPr>
  </w:style>
  <w:style w:type="character" w:styleId="37">
    <w:name w:val="footnote reference"/>
    <w:basedOn w:val="34"/>
    <w:unhideWhenUsed/>
    <w:qFormat/>
    <w:uiPriority w:val="99"/>
    <w:rPr>
      <w:vertAlign w:val="superscript"/>
    </w:rPr>
  </w:style>
  <w:style w:type="paragraph" w:customStyle="1" w:styleId="38">
    <w:name w:val="正文首行缩进11"/>
    <w:qFormat/>
    <w:uiPriority w:val="0"/>
    <w:pPr>
      <w:widowControl w:val="0"/>
      <w:spacing w:line="360" w:lineRule="auto"/>
      <w:ind w:firstLine="200"/>
      <w:jc w:val="both"/>
    </w:pPr>
    <w:rPr>
      <w:rFonts w:ascii="仿宋_GB2312" w:hAnsi="Times New Roman" w:eastAsia="仿宋_GB2312" w:cs="Times New Roman"/>
      <w:sz w:val="30"/>
      <w:szCs w:val="30"/>
      <w:lang w:val="en-US" w:eastAsia="zh-CN" w:bidi="ar-SA"/>
    </w:rPr>
  </w:style>
  <w:style w:type="paragraph" w:customStyle="1" w:styleId="39">
    <w:name w:val="列出段落1"/>
    <w:basedOn w:val="1"/>
    <w:qFormat/>
    <w:uiPriority w:val="34"/>
    <w:pPr>
      <w:ind w:left="720"/>
      <w:contextualSpacing/>
    </w:pPr>
  </w:style>
  <w:style w:type="paragraph" w:customStyle="1" w:styleId="40">
    <w:name w:val="无间隔1"/>
    <w:qFormat/>
    <w:uiPriority w:val="1"/>
    <w:rPr>
      <w:rFonts w:ascii="Times New Roman" w:hAnsi="Times New Roman" w:eastAsia="宋体" w:cs="Times New Roman"/>
      <w:lang w:val="en-US" w:eastAsia="zh-CN" w:bidi="ar-SA"/>
    </w:rPr>
  </w:style>
  <w:style w:type="paragraph" w:customStyle="1" w:styleId="41">
    <w:name w:val="引用1"/>
    <w:basedOn w:val="1"/>
    <w:next w:val="1"/>
    <w:link w:val="60"/>
    <w:qFormat/>
    <w:uiPriority w:val="29"/>
    <w:pPr>
      <w:ind w:left="720" w:right="720"/>
    </w:pPr>
    <w:rPr>
      <w:i/>
    </w:rPr>
  </w:style>
  <w:style w:type="paragraph" w:customStyle="1" w:styleId="42">
    <w:name w:val="明显引用1"/>
    <w:basedOn w:val="1"/>
    <w:next w:val="1"/>
    <w:link w:val="6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paragraph" w:customStyle="1" w:styleId="43">
    <w:name w:val="TOC 标题1"/>
    <w:unhideWhenUsed/>
    <w:qFormat/>
    <w:uiPriority w:val="39"/>
    <w:rPr>
      <w:rFonts w:ascii="Times New Roman" w:hAnsi="Times New Roman" w:eastAsia="宋体" w:cs="Times New Roman"/>
      <w:lang w:val="en-US" w:eastAsia="zh-CN" w:bidi="ar-SA"/>
    </w:rPr>
  </w:style>
  <w:style w:type="paragraph" w:customStyle="1" w:styleId="44">
    <w:name w:val="首行缩进"/>
    <w:qFormat/>
    <w:uiPriority w:val="99"/>
    <w:pPr>
      <w:widowControl w:val="0"/>
      <w:spacing w:line="360" w:lineRule="auto"/>
      <w:ind w:firstLine="480"/>
    </w:pPr>
    <w:rPr>
      <w:rFonts w:ascii="宋体" w:hAnsi="宋体" w:eastAsia="Calibri" w:cs="Times New Roman"/>
      <w:sz w:val="24"/>
      <w:szCs w:val="24"/>
      <w:lang w:val="en-US" w:eastAsia="en-US" w:bidi="ar-SA"/>
    </w:rPr>
  </w:style>
  <w:style w:type="paragraph" w:customStyle="1" w:styleId="45">
    <w:name w:val="列出段落11"/>
    <w:qFormat/>
    <w:uiPriority w:val="99"/>
    <w:pPr>
      <w:widowControl w:val="0"/>
      <w:spacing w:line="440" w:lineRule="exact"/>
      <w:ind w:firstLine="420"/>
    </w:pPr>
    <w:rPr>
      <w:rFonts w:ascii="Calibri" w:hAnsi="Calibri" w:eastAsia="Calibri" w:cs="Times New Roman"/>
      <w:sz w:val="22"/>
      <w:szCs w:val="22"/>
      <w:lang w:val="en-US" w:eastAsia="en-US" w:bidi="ar-SA"/>
    </w:rPr>
  </w:style>
  <w:style w:type="paragraph" w:customStyle="1" w:styleId="46">
    <w:name w:val="Normal_19"/>
    <w:basedOn w:val="47"/>
    <w:qFormat/>
    <w:uiPriority w:val="0"/>
    <w:rPr>
      <w:rFonts w:eastAsia="宋体"/>
    </w:rPr>
  </w:style>
  <w:style w:type="paragraph" w:customStyle="1" w:styleId="47">
    <w:name w:val="正文_2_0"/>
    <w:basedOn w:val="48"/>
    <w:next w:val="48"/>
    <w:qFormat/>
    <w:uiPriority w:val="0"/>
    <w:rPr>
      <w:rFonts w:eastAsia="Times New Roman"/>
    </w:rPr>
  </w:style>
  <w:style w:type="paragraph" w:customStyle="1" w:styleId="48">
    <w:name w:val="Normal_0_2"/>
    <w:qFormat/>
    <w:uiPriority w:val="0"/>
    <w:pPr>
      <w:widowControl w:val="0"/>
      <w:jc w:val="both"/>
    </w:pPr>
    <w:rPr>
      <w:rFonts w:ascii="Calibri" w:hAnsi="Calibri" w:eastAsia="宋体" w:cs="Calibri"/>
      <w:sz w:val="21"/>
      <w:szCs w:val="21"/>
      <w:lang w:val="en-US" w:eastAsia="zh-CN" w:bidi="ar-SA"/>
    </w:rPr>
  </w:style>
  <w:style w:type="character" w:customStyle="1" w:styleId="49">
    <w:name w:val="Heading 1 Char"/>
    <w:basedOn w:val="34"/>
    <w:qFormat/>
    <w:uiPriority w:val="9"/>
    <w:rPr>
      <w:rFonts w:ascii="Arial" w:hAnsi="Arial" w:eastAsia="Arial" w:cs="Arial"/>
      <w:sz w:val="40"/>
      <w:szCs w:val="40"/>
    </w:rPr>
  </w:style>
  <w:style w:type="character" w:customStyle="1" w:styleId="50">
    <w:name w:val="Heading 2 Char"/>
    <w:basedOn w:val="34"/>
    <w:qFormat/>
    <w:uiPriority w:val="9"/>
    <w:rPr>
      <w:rFonts w:ascii="Arial" w:hAnsi="Arial" w:eastAsia="Arial" w:cs="Arial"/>
      <w:sz w:val="34"/>
    </w:rPr>
  </w:style>
  <w:style w:type="character" w:customStyle="1" w:styleId="51">
    <w:name w:val="标题 3 Char"/>
    <w:basedOn w:val="34"/>
    <w:link w:val="4"/>
    <w:qFormat/>
    <w:uiPriority w:val="9"/>
    <w:rPr>
      <w:rFonts w:ascii="Arial" w:hAnsi="Arial" w:eastAsia="Arial" w:cs="Arial"/>
      <w:sz w:val="30"/>
      <w:szCs w:val="30"/>
    </w:rPr>
  </w:style>
  <w:style w:type="character" w:customStyle="1" w:styleId="52">
    <w:name w:val="标题 4 Char"/>
    <w:basedOn w:val="34"/>
    <w:link w:val="5"/>
    <w:qFormat/>
    <w:uiPriority w:val="9"/>
    <w:rPr>
      <w:rFonts w:ascii="Arial" w:hAnsi="Arial" w:eastAsia="Arial" w:cs="Arial"/>
      <w:b/>
      <w:bCs/>
      <w:sz w:val="26"/>
      <w:szCs w:val="26"/>
    </w:rPr>
  </w:style>
  <w:style w:type="character" w:customStyle="1" w:styleId="53">
    <w:name w:val="标题 5 Char"/>
    <w:basedOn w:val="34"/>
    <w:link w:val="6"/>
    <w:qFormat/>
    <w:uiPriority w:val="9"/>
    <w:rPr>
      <w:rFonts w:ascii="Arial" w:hAnsi="Arial" w:eastAsia="Arial" w:cs="Arial"/>
      <w:b/>
      <w:bCs/>
      <w:sz w:val="24"/>
      <w:szCs w:val="24"/>
    </w:rPr>
  </w:style>
  <w:style w:type="character" w:customStyle="1" w:styleId="54">
    <w:name w:val="标题 6 Char"/>
    <w:basedOn w:val="34"/>
    <w:link w:val="7"/>
    <w:qFormat/>
    <w:uiPriority w:val="9"/>
    <w:rPr>
      <w:rFonts w:ascii="Arial" w:hAnsi="Arial" w:eastAsia="Arial" w:cs="Arial"/>
      <w:b/>
      <w:bCs/>
      <w:sz w:val="22"/>
      <w:szCs w:val="22"/>
    </w:rPr>
  </w:style>
  <w:style w:type="character" w:customStyle="1" w:styleId="55">
    <w:name w:val="标题 7 Char"/>
    <w:basedOn w:val="34"/>
    <w:link w:val="8"/>
    <w:qFormat/>
    <w:uiPriority w:val="9"/>
    <w:rPr>
      <w:rFonts w:ascii="Arial" w:hAnsi="Arial" w:eastAsia="Arial" w:cs="Arial"/>
      <w:b/>
      <w:bCs/>
      <w:i/>
      <w:iCs/>
      <w:sz w:val="22"/>
      <w:szCs w:val="22"/>
    </w:rPr>
  </w:style>
  <w:style w:type="character" w:customStyle="1" w:styleId="56">
    <w:name w:val="标题 8 Char"/>
    <w:basedOn w:val="34"/>
    <w:link w:val="9"/>
    <w:qFormat/>
    <w:uiPriority w:val="9"/>
    <w:rPr>
      <w:rFonts w:ascii="Arial" w:hAnsi="Arial" w:eastAsia="Arial" w:cs="Arial"/>
      <w:i/>
      <w:iCs/>
      <w:sz w:val="22"/>
      <w:szCs w:val="22"/>
    </w:rPr>
  </w:style>
  <w:style w:type="character" w:customStyle="1" w:styleId="57">
    <w:name w:val="标题 9 Char"/>
    <w:basedOn w:val="34"/>
    <w:link w:val="10"/>
    <w:qFormat/>
    <w:uiPriority w:val="9"/>
    <w:rPr>
      <w:rFonts w:ascii="Arial" w:hAnsi="Arial" w:eastAsia="Arial" w:cs="Arial"/>
      <w:i/>
      <w:iCs/>
      <w:sz w:val="21"/>
      <w:szCs w:val="21"/>
    </w:rPr>
  </w:style>
  <w:style w:type="character" w:customStyle="1" w:styleId="58">
    <w:name w:val="标题 Char"/>
    <w:basedOn w:val="34"/>
    <w:link w:val="31"/>
    <w:qFormat/>
    <w:uiPriority w:val="10"/>
    <w:rPr>
      <w:sz w:val="48"/>
      <w:szCs w:val="48"/>
    </w:rPr>
  </w:style>
  <w:style w:type="character" w:customStyle="1" w:styleId="59">
    <w:name w:val="副标题 Char"/>
    <w:basedOn w:val="34"/>
    <w:link w:val="24"/>
    <w:qFormat/>
    <w:uiPriority w:val="11"/>
    <w:rPr>
      <w:sz w:val="24"/>
      <w:szCs w:val="24"/>
    </w:rPr>
  </w:style>
  <w:style w:type="character" w:customStyle="1" w:styleId="60">
    <w:name w:val="Quote Char"/>
    <w:link w:val="41"/>
    <w:qFormat/>
    <w:uiPriority w:val="29"/>
    <w:rPr>
      <w:i/>
    </w:rPr>
  </w:style>
  <w:style w:type="character" w:customStyle="1" w:styleId="61">
    <w:name w:val="Intense Quote Char"/>
    <w:link w:val="42"/>
    <w:qFormat/>
    <w:uiPriority w:val="30"/>
    <w:rPr>
      <w:i/>
    </w:rPr>
  </w:style>
  <w:style w:type="character" w:customStyle="1" w:styleId="62">
    <w:name w:val="Header Char"/>
    <w:basedOn w:val="34"/>
    <w:qFormat/>
    <w:uiPriority w:val="99"/>
  </w:style>
  <w:style w:type="character" w:customStyle="1" w:styleId="63">
    <w:name w:val="Footer Char"/>
    <w:basedOn w:val="34"/>
    <w:qFormat/>
    <w:uiPriority w:val="99"/>
  </w:style>
  <w:style w:type="character" w:customStyle="1" w:styleId="64">
    <w:name w:val="Caption Char"/>
    <w:qFormat/>
    <w:uiPriority w:val="99"/>
  </w:style>
  <w:style w:type="character" w:customStyle="1" w:styleId="65">
    <w:name w:val="脚注文本 Char"/>
    <w:link w:val="25"/>
    <w:qFormat/>
    <w:uiPriority w:val="99"/>
    <w:rPr>
      <w:sz w:val="18"/>
    </w:rPr>
  </w:style>
  <w:style w:type="character" w:customStyle="1" w:styleId="66">
    <w:name w:val="尾注文本 Char"/>
    <w:link w:val="19"/>
    <w:qFormat/>
    <w:uiPriority w:val="99"/>
    <w:rPr>
      <w:sz w:val="20"/>
    </w:rPr>
  </w:style>
  <w:style w:type="character" w:customStyle="1" w:styleId="67">
    <w:name w:val="默认段落字体1"/>
    <w:link w:val="1"/>
    <w:unhideWhenUsed/>
    <w:qFormat/>
    <w:uiPriority w:val="1"/>
    <w:rPr>
      <w:rFonts w:ascii="Calibri" w:hAnsi="Calibri" w:eastAsia="Arial" w:cs="Arial"/>
      <w:sz w:val="21"/>
      <w:szCs w:val="24"/>
      <w:lang w:val="en-US" w:eastAsia="zh-CN" w:bidi="ar-SA"/>
    </w:rPr>
  </w:style>
  <w:style w:type="character" w:customStyle="1" w:styleId="68">
    <w:name w:val="默认段落字体11"/>
    <w:unhideWhenUsed/>
    <w:qFormat/>
    <w:uiPriority w:val="1"/>
  </w:style>
  <w:style w:type="paragraph" w:customStyle="1" w:styleId="69">
    <w:name w:val="正文_19"/>
    <w:qFormat/>
    <w:uiPriority w:val="0"/>
    <w:pPr>
      <w:widowControl w:val="0"/>
      <w:jc w:val="both"/>
    </w:pPr>
    <w:rPr>
      <w:rFonts w:hint="default"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25391</Words>
  <Characters>26572</Characters>
  <Lines>200</Lines>
  <Paragraphs>56</Paragraphs>
  <TotalTime>15</TotalTime>
  <ScaleCrop>false</ScaleCrop>
  <LinksUpToDate>false</LinksUpToDate>
  <CharactersWithSpaces>27859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2025-08-06T09:17:00Z</dcterms:created>
  <dc:creator>╰某年某月某天某人</dc:creator>
  <cp:lastModifiedBy>浮生如夢</cp:lastModifiedBy>
  <cp:lastPrinted>2026-01-21T00:55:00Z</cp:lastPrinted>
  <dcterms:modified xsi:type="dcterms:W3CDTF">2026-03-02T06:37:10Z</dcterms:modified>
  <dc:title> </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30CA13493BED45A5B9ECFCEDBEC5CC9F_13</vt:lpwstr>
  </property>
  <property fmtid="{D5CDD505-2E9C-101B-9397-08002B2CF9AE}" pid="4" name="KSOTemplateDocerSaveRecord">
    <vt:lpwstr>eyJoZGlkIjoiMTg0MDA1ZTU1NGNmYmQ1YWZiODQ3MGFkYjQ4MjhmNzciLCJ1c2VySWQiOiI0OTUxMzEzODYifQ==</vt:lpwstr>
  </property>
</Properties>
</file>