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采购需求</w:t>
      </w:r>
    </w:p>
    <w:p>
      <w:pPr>
        <w:spacing w:line="360" w:lineRule="auto"/>
        <w:ind w:firstLine="482"/>
        <w:rPr>
          <w:b/>
          <w:color w:val="000000" w:themeColor="text1"/>
          <w:sz w:val="24"/>
          <w:szCs w:val="24"/>
          <w14:textFill>
            <w14:solidFill>
              <w14:schemeClr w14:val="tx1"/>
            </w14:solidFill>
          </w14:textFill>
        </w:rPr>
      </w:pPr>
      <w:bookmarkStart w:id="0" w:name="OLE_LINK3"/>
      <w:r>
        <w:rPr>
          <w:rFonts w:hint="eastAsia"/>
          <w:b/>
          <w:color w:val="000000" w:themeColor="text1"/>
          <w:sz w:val="24"/>
          <w:szCs w:val="24"/>
          <w14:textFill>
            <w14:solidFill>
              <w14:schemeClr w14:val="tx1"/>
            </w14:solidFill>
          </w14:textFill>
        </w:rPr>
        <w:t>一、项目概况</w:t>
      </w:r>
    </w:p>
    <w:p>
      <w:pPr>
        <w:pStyle w:val="42"/>
        <w:spacing w:line="360" w:lineRule="auto"/>
        <w:ind w:firstLine="482"/>
        <w:jc w:val="left"/>
        <w:rPr>
          <w:rFonts w:hint="default" w:ascii="Times New Roman" w:hAnsi="Times New Roman" w:eastAsia="宋体"/>
          <w:bCs/>
          <w:iCs/>
          <w:color w:val="000000" w:themeColor="text1"/>
          <w:sz w:val="24"/>
          <w:szCs w:val="24"/>
          <w:lang w:val="en-US" w:eastAsia="zh-CN"/>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（一）项目名称：</w:t>
      </w:r>
      <w:r>
        <w:rPr>
          <w:rFonts w:hint="eastAsia" w:ascii="Times New Roman" w:hAnsi="Times New Roman"/>
          <w:bCs/>
          <w:iCs/>
          <w:color w:val="000000" w:themeColor="text1"/>
          <w:sz w:val="24"/>
          <w:szCs w:val="24"/>
          <w:lang w:eastAsia="zh-CN"/>
          <w14:textFill>
            <w14:solidFill>
              <w14:schemeClr w14:val="tx1"/>
            </w14:solidFill>
          </w14:textFill>
        </w:rPr>
        <w:t>泗洪县2025年稻麦轮作高产优质片区建设项目小麦物资</w:t>
      </w:r>
      <w:r>
        <w:rPr>
          <w:rFonts w:hint="eastAsia" w:ascii="Times New Roman" w:hAnsi="Times New Roman"/>
          <w:bCs/>
          <w:iCs/>
          <w:color w:val="000000" w:themeColor="text1"/>
          <w:sz w:val="24"/>
          <w:szCs w:val="24"/>
          <w:lang w:val="en-US" w:eastAsia="zh-CN"/>
          <w14:textFill>
            <w14:solidFill>
              <w14:schemeClr w14:val="tx1"/>
            </w14:solidFill>
          </w14:textFill>
        </w:rPr>
        <w:t>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2" w:firstLineChars="200"/>
        <w:jc w:val="both"/>
        <w:textAlignment w:val="auto"/>
        <w:outlineLvl w:val="9"/>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（二）预算金额：</w:t>
      </w:r>
      <w:r>
        <w:rPr>
          <w:rFonts w:hint="eastAsia" w:ascii="宋体" w:hAnsi="宋体" w:eastAsia="宋体" w:cs="宋体"/>
          <w:sz w:val="24"/>
          <w:szCs w:val="24"/>
          <w:lang w:val="en-US" w:eastAsia="zh-CN"/>
        </w:rPr>
        <w:t>210万元(采购包1:50万元;采购包2:70万元;采购包3:20万元;采购包4:40万元;采购包5:30万元)</w:t>
      </w:r>
      <w:r>
        <w:rPr>
          <w:rFonts w:hint="eastAsia" w:ascii="Times New Roman" w:hAnsi="Times New Roman"/>
          <w:bCs/>
          <w:iCs/>
          <w:color w:val="000000" w:themeColor="text1"/>
          <w:sz w:val="24"/>
          <w:szCs w:val="24"/>
          <w14:textFill>
            <w14:solidFill>
              <w14:schemeClr w14:val="tx1"/>
            </w14:solidFill>
          </w14:textFill>
        </w:rPr>
        <w:t>。</w:t>
      </w:r>
    </w:p>
    <w:p>
      <w:pPr>
        <w:pStyle w:val="42"/>
        <w:spacing w:line="360" w:lineRule="auto"/>
        <w:ind w:firstLine="482"/>
        <w:rPr>
          <w:rFonts w:ascii="Times New Roman" w:hAnsi="Times New Roman"/>
          <w:bCs/>
          <w:i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（三）采购内容：</w:t>
      </w:r>
      <w:r>
        <w:rPr>
          <w:rFonts w:hint="eastAsia" w:ascii="Times New Roman" w:hAnsi="Times New Roman"/>
          <w:bCs/>
          <w:iCs/>
          <w:color w:val="000000" w:themeColor="text1"/>
          <w:sz w:val="24"/>
          <w:szCs w:val="24"/>
          <w:lang w:eastAsia="zh-CN"/>
          <w14:textFill>
            <w14:solidFill>
              <w14:schemeClr w14:val="tx1"/>
            </w14:solidFill>
          </w14:textFill>
        </w:rPr>
        <w:t>泗洪县2025年稻麦轮作高产优质片区建设项目小麦物资</w:t>
      </w:r>
      <w:r>
        <w:rPr>
          <w:rFonts w:hint="eastAsia" w:ascii="Times New Roman" w:hAnsi="Times New Roman"/>
          <w:bCs/>
          <w:iCs/>
          <w:color w:val="000000" w:themeColor="text1"/>
          <w:sz w:val="24"/>
          <w:szCs w:val="24"/>
          <w:lang w:val="en-US" w:eastAsia="zh-CN"/>
          <w14:textFill>
            <w14:solidFill>
              <w14:schemeClr w14:val="tx1"/>
            </w14:solidFill>
          </w14:textFill>
        </w:rPr>
        <w:t>采购</w:t>
      </w:r>
      <w:r>
        <w:rPr>
          <w:rFonts w:hint="eastAsia" w:ascii="Times New Roman" w:hAnsi="Times New Roman"/>
          <w:bCs/>
          <w:iCs/>
          <w:color w:val="000000" w:themeColor="text1"/>
          <w:sz w:val="24"/>
          <w:szCs w:val="24"/>
          <w14:textFill>
            <w14:solidFill>
              <w14:schemeClr w14:val="tx1"/>
            </w14:solidFill>
          </w14:textFill>
        </w:rPr>
        <w:t>，其中：</w:t>
      </w:r>
    </w:p>
    <w:p>
      <w:pPr>
        <w:spacing w:line="559" w:lineRule="atLeast"/>
        <w:ind w:firstLine="480"/>
        <w:rPr>
          <w:rFonts w:hint="eastAsia" w:ascii="Times New Roman" w:hAnsi="Times New Roman" w:eastAsia="宋体" w:cs="Times New Roman"/>
          <w:bCs/>
          <w:iCs/>
          <w:color w:val="000000" w:themeColor="text1"/>
          <w:sz w:val="24"/>
          <w:szCs w:val="24"/>
          <w14:textFill>
            <w14:solidFill>
              <w14:schemeClr w14:val="tx1"/>
            </w14:solidFill>
          </w14:textFill>
        </w:rPr>
      </w:pPr>
      <w:r>
        <w:rPr>
          <w:rFonts w:hint="eastAsia"/>
          <w:bCs/>
          <w:iCs/>
          <w:color w:val="000000" w:themeColor="text1"/>
          <w:sz w:val="24"/>
          <w:szCs w:val="24"/>
          <w14:textFill>
            <w14:solidFill>
              <w14:schemeClr w14:val="tx1"/>
            </w14:solidFill>
          </w14:textFill>
        </w:rPr>
        <w:t>采购包</w:t>
      </w:r>
      <w:r>
        <w:rPr>
          <w:bCs/>
          <w:iCs/>
          <w:color w:val="000000" w:themeColor="text1"/>
          <w:sz w:val="24"/>
          <w:szCs w:val="24"/>
          <w14:textFill>
            <w14:solidFill>
              <w14:schemeClr w14:val="tx1"/>
            </w14:solidFill>
          </w14:textFill>
        </w:rPr>
        <w:t>1</w:t>
      </w:r>
      <w:r>
        <w:rPr>
          <w:rFonts w:hint="eastAsia"/>
          <w:bCs/>
          <w:iCs/>
          <w:color w:val="000000" w:themeColor="text1"/>
          <w:sz w:val="24"/>
          <w:szCs w:val="24"/>
          <w14:textFill>
            <w14:solidFill>
              <w14:schemeClr w14:val="tx1"/>
            </w14:solidFill>
          </w14:textFill>
        </w:rPr>
        <w:t>：</w:t>
      </w:r>
      <w:r>
        <w:rPr>
          <w:rFonts w:hint="eastAsia" w:ascii="Times New Roman" w:hAnsi="Times New Roman" w:eastAsia="宋体" w:cs="Times New Roman"/>
          <w:bCs/>
          <w:iCs/>
          <w:color w:val="000000" w:themeColor="text1"/>
          <w:sz w:val="24"/>
          <w:szCs w:val="24"/>
          <w14:textFill>
            <w14:solidFill>
              <w14:schemeClr w14:val="tx1"/>
            </w14:solidFill>
          </w14:textFill>
        </w:rPr>
        <w:t>采购</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40%丙硫菌唑·戊唑醇</w:t>
      </w:r>
      <w:r>
        <w:rPr>
          <w:rFonts w:hint="eastAsia" w:cs="Times New Roman"/>
          <w:bCs/>
          <w:i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悬浮剂</w:t>
      </w:r>
      <w:r>
        <w:rPr>
          <w:rFonts w:hint="eastAsia" w:ascii="Times New Roman" w:hAnsi="Times New Roman" w:eastAsia="宋体" w:cs="Times New Roman"/>
          <w:bCs/>
          <w:iCs/>
          <w:color w:val="000000" w:themeColor="text1"/>
          <w:sz w:val="24"/>
          <w:szCs w:val="24"/>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500</w:t>
      </w:r>
      <w:r>
        <w:rPr>
          <w:rFonts w:hint="eastAsia" w:ascii="Times New Roman" w:hAnsi="Times New Roman" w:eastAsia="宋体" w:cs="Times New Roman"/>
          <w:bCs/>
          <w:iCs/>
          <w:color w:val="000000" w:themeColor="text1"/>
          <w:sz w:val="24"/>
          <w:szCs w:val="24"/>
          <w14:textFill>
            <w14:solidFill>
              <w14:schemeClr w14:val="tx1"/>
            </w14:solidFill>
          </w14:textFill>
        </w:rPr>
        <w:t>g/瓶。</w:t>
      </w:r>
    </w:p>
    <w:p>
      <w:pPr>
        <w:spacing w:line="559" w:lineRule="atLeast"/>
        <w:ind w:firstLine="480"/>
        <w:rPr>
          <w:rFonts w:hint="eastAsia" w:ascii="Times New Roman" w:hAnsi="Times New Roman" w:eastAsia="宋体" w:cs="Times New Roman"/>
          <w:bCs/>
          <w:iCs/>
          <w:color w:val="000000" w:themeColor="text1"/>
          <w:sz w:val="24"/>
          <w:szCs w:val="24"/>
          <w14:textFill>
            <w14:solidFill>
              <w14:schemeClr w14:val="tx1"/>
            </w14:solidFill>
          </w14:textFill>
        </w:rPr>
      </w:pPr>
      <w:r>
        <w:rPr>
          <w:rFonts w:hint="eastAsia" w:ascii="Times New Roman" w:hAnsi="Times New Roman" w:eastAsia="宋体" w:cs="Times New Roman"/>
          <w:bCs/>
          <w:iCs/>
          <w:color w:val="000000" w:themeColor="text1"/>
          <w:sz w:val="24"/>
          <w:szCs w:val="24"/>
          <w14:textFill>
            <w14:solidFill>
              <w14:schemeClr w14:val="tx1"/>
            </w14:solidFill>
          </w14:textFill>
        </w:rPr>
        <w:t>采购包2：采购</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40%唑醚·氟环唑</w:t>
      </w:r>
      <w:r>
        <w:rPr>
          <w:rFonts w:hint="eastAsia" w:cs="Times New Roman"/>
          <w:bCs/>
          <w:i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悬浮剂</w:t>
      </w:r>
      <w:r>
        <w:rPr>
          <w:rFonts w:hint="eastAsia" w:cs="Times New Roman"/>
          <w:bCs/>
          <w:i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1000</w:t>
      </w:r>
      <w:r>
        <w:rPr>
          <w:rFonts w:hint="eastAsia" w:ascii="Times New Roman" w:hAnsi="Times New Roman" w:eastAsia="宋体" w:cs="Times New Roman"/>
          <w:bCs/>
          <w:iCs/>
          <w:color w:val="000000" w:themeColor="text1"/>
          <w:sz w:val="24"/>
          <w:szCs w:val="24"/>
          <w14:textFill>
            <w14:solidFill>
              <w14:schemeClr w14:val="tx1"/>
            </w14:solidFill>
          </w14:textFill>
        </w:rPr>
        <w:t>g/瓶。</w:t>
      </w:r>
    </w:p>
    <w:p>
      <w:pPr>
        <w:spacing w:line="559" w:lineRule="atLeast"/>
        <w:ind w:firstLine="480"/>
        <w:rPr>
          <w:rFonts w:hint="eastAsia" w:ascii="Times New Roman" w:hAnsi="Times New Roman" w:eastAsia="宋体" w:cs="Times New Roman"/>
          <w:bCs/>
          <w:iCs/>
          <w:color w:val="000000" w:themeColor="text1"/>
          <w:sz w:val="24"/>
          <w:szCs w:val="24"/>
          <w14:textFill>
            <w14:solidFill>
              <w14:schemeClr w14:val="tx1"/>
            </w14:solidFill>
          </w14:textFill>
        </w:rPr>
      </w:pPr>
      <w:r>
        <w:rPr>
          <w:rFonts w:hint="eastAsia" w:ascii="Times New Roman" w:hAnsi="Times New Roman" w:eastAsia="宋体" w:cs="Times New Roman"/>
          <w:bCs/>
          <w:iCs/>
          <w:color w:val="000000" w:themeColor="text1"/>
          <w:sz w:val="24"/>
          <w:szCs w:val="24"/>
          <w14:textFill>
            <w14:solidFill>
              <w14:schemeClr w14:val="tx1"/>
            </w14:solidFill>
          </w14:textFill>
        </w:rPr>
        <w:t>采购包3：采购</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150g/L联苯·吡虫啉</w:t>
      </w:r>
      <w:r>
        <w:rPr>
          <w:rFonts w:hint="eastAsia" w:cs="Times New Roman"/>
          <w:bCs/>
          <w:i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悬浮剂</w:t>
      </w:r>
      <w:r>
        <w:rPr>
          <w:rFonts w:hint="eastAsia" w:ascii="Times New Roman" w:hAnsi="Times New Roman" w:eastAsia="宋体" w:cs="Times New Roman"/>
          <w:bCs/>
          <w:iCs/>
          <w:color w:val="000000" w:themeColor="text1"/>
          <w:sz w:val="24"/>
          <w:szCs w:val="24"/>
          <w14:textFill>
            <w14:solidFill>
              <w14:schemeClr w14:val="tx1"/>
            </w14:solidFill>
          </w14:textFill>
        </w:rPr>
        <w:t>，2</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Cs/>
          <w:iCs/>
          <w:color w:val="000000" w:themeColor="text1"/>
          <w:sz w:val="24"/>
          <w:szCs w:val="24"/>
          <w14:textFill>
            <w14:solidFill>
              <w14:schemeClr w14:val="tx1"/>
            </w14:solidFill>
          </w14:textFill>
        </w:rPr>
        <w:t>0g/瓶。</w:t>
      </w:r>
    </w:p>
    <w:p>
      <w:pPr>
        <w:spacing w:line="559" w:lineRule="atLeast"/>
        <w:ind w:firstLine="480"/>
        <w:rPr>
          <w:rFonts w:hint="default" w:ascii="Times New Roman" w:hAnsi="Times New Roman" w:eastAsia="宋体" w:cs="Times New Roman"/>
          <w:bCs/>
          <w:i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iCs/>
          <w:color w:val="000000" w:themeColor="text1"/>
          <w:sz w:val="24"/>
          <w:szCs w:val="24"/>
          <w14:textFill>
            <w14:solidFill>
              <w14:schemeClr w14:val="tx1"/>
            </w14:solidFill>
          </w14:textFill>
        </w:rPr>
        <w:t>采购包</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Cs/>
          <w:i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采购0.01% 14-羟基芸苔素甾醇</w:t>
      </w:r>
      <w:r>
        <w:rPr>
          <w:rFonts w:hint="eastAsia" w:cs="Times New Roman"/>
          <w:bCs/>
          <w:i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水剂，100ml/瓶。</w:t>
      </w:r>
    </w:p>
    <w:p>
      <w:pPr>
        <w:spacing w:line="559" w:lineRule="atLeast"/>
        <w:ind w:firstLine="480"/>
        <w:rPr>
          <w:rFonts w:hint="default" w:ascii="Times New Roman" w:hAnsi="Times New Roman" w:eastAsia="宋体" w:cs="Times New Roman"/>
          <w:bCs/>
          <w:iCs/>
          <w:color w:val="000000" w:themeColor="text1"/>
          <w:sz w:val="24"/>
          <w:szCs w:val="24"/>
          <w:highlight w:val="red"/>
          <w:lang w:val="en-US" w:eastAsia="zh-CN"/>
          <w14:textFill>
            <w14:solidFill>
              <w14:schemeClr w14:val="tx1"/>
            </w14:solidFill>
          </w14:textFill>
        </w:rPr>
      </w:pPr>
      <w:r>
        <w:rPr>
          <w:rFonts w:hint="eastAsia" w:ascii="Times New Roman" w:hAnsi="Times New Roman" w:eastAsia="宋体" w:cs="Times New Roman"/>
          <w:bCs/>
          <w:iCs/>
          <w:color w:val="000000" w:themeColor="text1"/>
          <w:sz w:val="24"/>
          <w:szCs w:val="24"/>
          <w14:textFill>
            <w14:solidFill>
              <w14:schemeClr w14:val="tx1"/>
            </w14:solidFill>
          </w14:textFill>
        </w:rPr>
        <w:t>采购包</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5：采</w:t>
      </w:r>
      <w:r>
        <w:rPr>
          <w:rFonts w:hint="eastAsia" w:ascii="Times New Roman" w:hAnsi="Times New Roman" w:eastAsia="宋体" w:cs="Times New Roman"/>
          <w:bCs/>
          <w:iCs/>
          <w:color w:val="000000" w:themeColor="text1"/>
          <w:sz w:val="24"/>
          <w:szCs w:val="24"/>
          <w:highlight w:val="none"/>
          <w:lang w:val="en-US" w:eastAsia="zh-CN"/>
          <w14:textFill>
            <w14:solidFill>
              <w14:schemeClr w14:val="tx1"/>
            </w14:solidFill>
          </w14:textFill>
        </w:rPr>
        <w:t>购含腐殖酸水溶肥</w:t>
      </w:r>
      <w:r>
        <w:rPr>
          <w:rFonts w:hint="eastAsia" w:cs="Times New Roman"/>
          <w:bCs/>
          <w:iCs/>
          <w:color w:val="000000" w:themeColor="text1"/>
          <w:sz w:val="24"/>
          <w:szCs w:val="24"/>
          <w:highlight w:val="none"/>
          <w:lang w:val="en-US" w:eastAsia="zh-CN"/>
          <w14:textFill>
            <w14:solidFill>
              <w14:schemeClr w14:val="tx1"/>
            </w14:solidFill>
          </w14:textFill>
        </w:rPr>
        <w:t>料</w:t>
      </w:r>
      <w:r>
        <w:rPr>
          <w:rFonts w:hint="eastAsia" w:ascii="Times New Roman" w:hAnsi="Times New Roman" w:eastAsia="宋体" w:cs="Times New Roman"/>
          <w:bCs/>
          <w:iCs/>
          <w:color w:val="000000" w:themeColor="text1"/>
          <w:sz w:val="24"/>
          <w:szCs w:val="24"/>
          <w:highlight w:val="none"/>
          <w:lang w:val="en-US" w:eastAsia="zh-CN"/>
          <w14:textFill>
            <w14:solidFill>
              <w14:schemeClr w14:val="tx1"/>
            </w14:solidFill>
          </w14:textFill>
        </w:rPr>
        <w:t>，</w:t>
      </w:r>
      <w:r>
        <w:rPr>
          <w:rFonts w:hint="eastAsia" w:cs="Times New Roman"/>
          <w:bCs/>
          <w:iCs/>
          <w:color w:val="000000" w:themeColor="text1"/>
          <w:sz w:val="24"/>
          <w:szCs w:val="24"/>
          <w:highlight w:val="none"/>
          <w:lang w:val="en-US" w:eastAsia="zh-CN"/>
          <w14:textFill>
            <w14:solidFill>
              <w14:schemeClr w14:val="tx1"/>
            </w14:solidFill>
          </w14:textFill>
        </w:rPr>
        <w:t>水剂，</w:t>
      </w:r>
      <w:r>
        <w:rPr>
          <w:rFonts w:hint="eastAsia" w:ascii="Times New Roman" w:hAnsi="Times New Roman" w:eastAsia="宋体" w:cs="Times New Roman"/>
          <w:bCs/>
          <w:iCs/>
          <w:color w:val="000000" w:themeColor="text1"/>
          <w:sz w:val="24"/>
          <w:szCs w:val="24"/>
          <w:lang w:val="en-US" w:eastAsia="zh-CN"/>
          <w14:textFill>
            <w14:solidFill>
              <w14:schemeClr w14:val="tx1"/>
            </w14:solidFill>
          </w14:textFill>
        </w:rPr>
        <w:t>1000</w:t>
      </w:r>
      <w:r>
        <w:rPr>
          <w:rFonts w:hint="eastAsia" w:ascii="Times New Roman" w:hAnsi="Times New Roman" w:eastAsia="宋体" w:cs="Times New Roman"/>
          <w:bCs/>
          <w:iCs/>
          <w:color w:val="000000" w:themeColor="text1"/>
          <w:sz w:val="24"/>
          <w:szCs w:val="24"/>
          <w14:textFill>
            <w14:solidFill>
              <w14:schemeClr w14:val="tx1"/>
            </w14:solidFill>
          </w14:textFill>
        </w:rPr>
        <w:t>g/瓶。</w:t>
      </w:r>
    </w:p>
    <w:p>
      <w:pPr>
        <w:spacing w:line="559" w:lineRule="atLeast"/>
        <w:ind w:firstLine="480"/>
        <w:rPr>
          <w:rFonts w:hint="eastAsia" w:ascii="Times New Roman" w:hAnsi="Times New Roman" w:eastAsia="宋体" w:cs="Times New Roman"/>
          <w:bCs/>
          <w:iCs/>
          <w:color w:val="000000" w:themeColor="text1"/>
          <w:sz w:val="24"/>
          <w:szCs w:val="24"/>
          <w14:textFill>
            <w14:solidFill>
              <w14:schemeClr w14:val="tx1"/>
            </w14:solidFill>
          </w14:textFill>
        </w:rPr>
      </w:pPr>
      <w:r>
        <w:rPr>
          <w:rFonts w:hint="eastAsia" w:ascii="Times New Roman" w:eastAsia="宋体"/>
          <w:b/>
          <w:bCs/>
          <w:color w:val="000000" w:themeColor="text1"/>
          <w:sz w:val="24"/>
          <w:szCs w:val="24"/>
          <w14:textFill>
            <w14:solidFill>
              <w14:schemeClr w14:val="tx1"/>
            </w14:solidFill>
          </w14:textFill>
        </w:rPr>
        <w:t>（四）款项支付</w:t>
      </w:r>
    </w:p>
    <w:p>
      <w:pPr>
        <w:pStyle w:val="39"/>
        <w:ind w:firstLine="468"/>
        <w:rPr>
          <w:rFonts w:hint="eastAsia" w:ascii="Times New Roman" w:eastAsia="宋体"/>
          <w:iCs/>
          <w:color w:val="000000" w:themeColor="text1"/>
          <w:sz w:val="24"/>
          <w:szCs w:val="24"/>
          <w14:textFill>
            <w14:solidFill>
              <w14:schemeClr w14:val="tx1"/>
            </w14:solidFill>
          </w14:textFill>
        </w:rPr>
      </w:pPr>
      <w:r>
        <w:rPr>
          <w:rFonts w:hint="eastAsia" w:ascii="Times New Roman" w:eastAsia="宋体"/>
          <w:color w:val="000000" w:themeColor="text1"/>
          <w:sz w:val="24"/>
          <w:szCs w:val="24"/>
          <w:lang w:val="zh-CN"/>
          <w14:textFill>
            <w14:solidFill>
              <w14:schemeClr w14:val="tx1"/>
            </w14:solidFill>
          </w14:textFill>
        </w:rPr>
        <w:t>款项的支付方式及进度安排</w:t>
      </w:r>
      <w:r>
        <w:rPr>
          <w:rFonts w:hint="eastAsia" w:ascii="Times New Roman" w:eastAsia="宋体"/>
          <w:iCs/>
          <w:color w:val="000000" w:themeColor="text1"/>
          <w:sz w:val="24"/>
          <w:szCs w:val="24"/>
          <w14:textFill>
            <w14:solidFill>
              <w14:schemeClr w14:val="tx1"/>
            </w14:solidFill>
          </w14:textFill>
        </w:rPr>
        <w:t>：</w:t>
      </w:r>
    </w:p>
    <w:p>
      <w:pPr>
        <w:pStyle w:val="39"/>
        <w:ind w:firstLine="468"/>
        <w:rPr>
          <w:rFonts w:hint="eastAsia" w:ascii="Times New Roman" w:eastAsia="宋体"/>
          <w:bCs/>
          <w:color w:val="000000" w:themeColor="text1"/>
          <w:sz w:val="24"/>
          <w:lang w:val="zh-CN"/>
          <w14:textFill>
            <w14:solidFill>
              <w14:schemeClr w14:val="tx1"/>
            </w14:solidFill>
          </w14:textFill>
        </w:rPr>
      </w:pPr>
      <w:r>
        <w:rPr>
          <w:rFonts w:hint="eastAsia" w:ascii="Times New Roman" w:eastAsia="宋体"/>
          <w:bCs/>
          <w:color w:val="000000" w:themeColor="text1"/>
          <w:sz w:val="24"/>
          <w:lang w:val="zh-CN"/>
          <w14:textFill>
            <w14:solidFill>
              <w14:schemeClr w14:val="tx1"/>
            </w14:solidFill>
          </w14:textFill>
        </w:rPr>
        <w:t>资金支付的方式：</w:t>
      </w:r>
    </w:p>
    <w:p>
      <w:pPr>
        <w:spacing w:line="360" w:lineRule="auto"/>
        <w:ind w:firstLine="480"/>
        <w:rPr>
          <w:bCs/>
          <w:color w:val="000000" w:themeColor="text1"/>
          <w:sz w:val="24"/>
          <w:lang w:val="zh-CN"/>
          <w14:textFill>
            <w14:solidFill>
              <w14:schemeClr w14:val="tx1"/>
            </w14:solidFill>
          </w14:textFill>
        </w:rPr>
      </w:pPr>
      <w:r>
        <w:rPr>
          <w:rFonts w:hint="eastAsia"/>
          <w:bCs/>
          <w:color w:val="000000" w:themeColor="text1"/>
          <w:sz w:val="24"/>
          <w14:textFill>
            <w14:solidFill>
              <w14:schemeClr w14:val="tx1"/>
            </w14:solidFill>
          </w14:textFill>
        </w:rPr>
        <w:t>预付款：</w:t>
      </w:r>
      <w:r>
        <w:rPr>
          <w:rFonts w:hint="eastAsia"/>
          <w:bCs/>
          <w:color w:val="000000" w:themeColor="text1"/>
          <w:sz w:val="24"/>
          <w:lang w:val="zh-CN"/>
          <w14:textFill>
            <w14:solidFill>
              <w14:schemeClr w14:val="tx1"/>
            </w14:solidFill>
          </w14:textFill>
        </w:rPr>
        <w:t>签订合同后，</w:t>
      </w:r>
      <w:r>
        <w:rPr>
          <w:rFonts w:hint="eastAsia"/>
          <w:bCs/>
          <w:color w:val="000000" w:themeColor="text1"/>
          <w:sz w:val="24"/>
          <w14:textFill>
            <w14:solidFill>
              <w14:schemeClr w14:val="tx1"/>
            </w14:solidFill>
          </w14:textFill>
        </w:rPr>
        <w:t>自收到供应商发票</w:t>
      </w: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个工作日内采购人</w:t>
      </w:r>
      <w:r>
        <w:rPr>
          <w:rFonts w:hint="eastAsia"/>
          <w:bCs/>
          <w:color w:val="000000" w:themeColor="text1"/>
          <w:sz w:val="24"/>
          <w:lang w:val="zh-CN"/>
          <w14:textFill>
            <w14:solidFill>
              <w14:schemeClr w14:val="tx1"/>
            </w14:solidFill>
          </w14:textFill>
        </w:rPr>
        <w:t>支付合同总价款的</w:t>
      </w:r>
      <w:r>
        <w:rPr>
          <w:bCs/>
          <w:color w:val="000000" w:themeColor="text1"/>
          <w:sz w:val="24"/>
          <w:lang w:val="zh-CN"/>
          <w14:textFill>
            <w14:solidFill>
              <w14:schemeClr w14:val="tx1"/>
            </w14:solidFill>
          </w14:textFill>
        </w:rPr>
        <w:t>30%</w:t>
      </w:r>
      <w:r>
        <w:rPr>
          <w:rFonts w:hint="eastAsia"/>
          <w:bCs/>
          <w:color w:val="000000" w:themeColor="text1"/>
          <w:sz w:val="24"/>
          <w:lang w:val="zh-CN"/>
          <w14:textFill>
            <w14:solidFill>
              <w14:schemeClr w14:val="tx1"/>
            </w14:solidFill>
          </w14:textFill>
        </w:rPr>
        <w:t>；</w:t>
      </w:r>
    </w:p>
    <w:p>
      <w:pPr>
        <w:spacing w:line="360" w:lineRule="auto"/>
        <w:ind w:firstLine="480"/>
        <w:rPr>
          <w:color w:val="000000" w:themeColor="text1"/>
          <w:sz w:val="24"/>
          <w:szCs w:val="24"/>
          <w14:textFill>
            <w14:solidFill>
              <w14:schemeClr w14:val="tx1"/>
            </w14:solidFill>
          </w14:textFill>
        </w:rPr>
      </w:pPr>
      <w:r>
        <w:rPr>
          <w:rFonts w:hint="eastAsia"/>
          <w:bCs/>
          <w:color w:val="000000" w:themeColor="text1"/>
          <w:sz w:val="24"/>
          <w14:textFill>
            <w14:solidFill>
              <w14:schemeClr w14:val="tx1"/>
            </w14:solidFill>
          </w14:textFill>
        </w:rPr>
        <w:t>进度款：</w:t>
      </w:r>
      <w:r>
        <w:rPr>
          <w:rFonts w:hint="eastAsia"/>
          <w:color w:val="000000" w:themeColor="text1"/>
          <w:sz w:val="24"/>
          <w14:textFill>
            <w14:solidFill>
              <w14:schemeClr w14:val="tx1"/>
            </w14:solidFill>
          </w14:textFill>
        </w:rPr>
        <w:t>货物到现场并</w:t>
      </w:r>
      <w:r>
        <w:rPr>
          <w:rFonts w:hint="eastAsia"/>
          <w:bCs/>
          <w:color w:val="000000" w:themeColor="text1"/>
          <w:sz w:val="24"/>
          <w:lang w:val="zh-CN"/>
          <w14:textFill>
            <w14:solidFill>
              <w14:schemeClr w14:val="tx1"/>
            </w14:solidFill>
          </w14:textFill>
        </w:rPr>
        <w:t>经采购人</w:t>
      </w:r>
      <w:r>
        <w:rPr>
          <w:rFonts w:hint="eastAsia"/>
          <w:bCs/>
          <w:color w:val="000000" w:themeColor="text1"/>
          <w:sz w:val="24"/>
          <w14:textFill>
            <w14:solidFill>
              <w14:schemeClr w14:val="tx1"/>
            </w14:solidFill>
          </w14:textFill>
        </w:rPr>
        <w:t>验收</w:t>
      </w:r>
      <w:r>
        <w:rPr>
          <w:rFonts w:hint="eastAsia"/>
          <w:bCs/>
          <w:color w:val="000000" w:themeColor="text1"/>
          <w:sz w:val="24"/>
          <w:lang w:val="zh-CN"/>
          <w14:textFill>
            <w14:solidFill>
              <w14:schemeClr w14:val="tx1"/>
            </w14:solidFill>
          </w14:textFill>
        </w:rPr>
        <w:t>合格后，</w:t>
      </w:r>
      <w:r>
        <w:rPr>
          <w:rFonts w:hint="eastAsia"/>
          <w:bCs/>
          <w:color w:val="000000" w:themeColor="text1"/>
          <w:sz w:val="24"/>
          <w14:textFill>
            <w14:solidFill>
              <w14:schemeClr w14:val="tx1"/>
            </w14:solidFill>
          </w14:textFill>
        </w:rPr>
        <w:t>自收到供应商发票</w:t>
      </w:r>
      <w:r>
        <w:rPr>
          <w:bCs/>
          <w:color w:val="000000" w:themeColor="text1"/>
          <w:sz w:val="24"/>
          <w14:textFill>
            <w14:solidFill>
              <w14:schemeClr w14:val="tx1"/>
            </w14:solidFill>
          </w14:textFill>
        </w:rPr>
        <w:t>10</w:t>
      </w:r>
      <w:r>
        <w:rPr>
          <w:rFonts w:hint="eastAsia"/>
          <w:bCs/>
          <w:color w:val="000000" w:themeColor="text1"/>
          <w:sz w:val="24"/>
          <w14:textFill>
            <w14:solidFill>
              <w14:schemeClr w14:val="tx1"/>
            </w14:solidFill>
          </w14:textFill>
        </w:rPr>
        <w:t>个工作日内</w:t>
      </w:r>
      <w:r>
        <w:rPr>
          <w:rFonts w:hint="eastAsia"/>
          <w:bCs/>
          <w:color w:val="000000" w:themeColor="text1"/>
          <w:sz w:val="24"/>
          <w:lang w:val="zh-CN"/>
          <w14:textFill>
            <w14:solidFill>
              <w14:schemeClr w14:val="tx1"/>
            </w14:solidFill>
          </w14:textFill>
        </w:rPr>
        <w:t>采购人将货款支付到合同总价款的</w:t>
      </w:r>
      <w:r>
        <w:rPr>
          <w:bCs/>
          <w:color w:val="000000" w:themeColor="text1"/>
          <w:sz w:val="24"/>
          <w14:textFill>
            <w14:solidFill>
              <w14:schemeClr w14:val="tx1"/>
            </w14:solidFill>
          </w14:textFill>
        </w:rPr>
        <w:t>100</w:t>
      </w:r>
      <w:r>
        <w:rPr>
          <w:bCs/>
          <w:color w:val="000000" w:themeColor="text1"/>
          <w:sz w:val="24"/>
          <w:lang w:val="zh-CN"/>
          <w14:textFill>
            <w14:solidFill>
              <w14:schemeClr w14:val="tx1"/>
            </w14:solidFill>
          </w14:textFill>
        </w:rPr>
        <w:t>%</w:t>
      </w:r>
      <w:r>
        <w:rPr>
          <w:rFonts w:hint="eastAsia"/>
          <w:bCs/>
          <w:color w:val="000000" w:themeColor="text1"/>
          <w:sz w:val="24"/>
          <w:lang w:val="zh-CN"/>
          <w14:textFill>
            <w14:solidFill>
              <w14:schemeClr w14:val="tx1"/>
            </w14:solidFill>
          </w14:textFill>
        </w:rPr>
        <w:t>。</w:t>
      </w:r>
    </w:p>
    <w:p>
      <w:pPr>
        <w:spacing w:line="360" w:lineRule="auto"/>
        <w:ind w:firstLine="480"/>
        <w:rPr>
          <w:color w:val="000000" w:themeColor="text1"/>
          <w:sz w:val="24"/>
          <w:szCs w:val="24"/>
          <w14:textFill>
            <w14:solidFill>
              <w14:schemeClr w14:val="tx1"/>
            </w14:solidFill>
          </w14:textFill>
        </w:rPr>
      </w:pPr>
      <w:r>
        <w:rPr>
          <w:bCs/>
          <w:color w:val="000000" w:themeColor="text1"/>
          <w:sz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备注：</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）可以采用数字人民币支付；</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）资金支付的时间：收到供应商发票</w:t>
      </w:r>
      <w:r>
        <w:rPr>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个工作日内；</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）资金支付的条件：满足相应阶段的要求且收到供应商发票；</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）当采购数量与实际使用数量不一致时，供应商应根据实际使用量供货，合同的最终结算金额按实际使用量乘以成交单价进行计算；</w:t>
      </w:r>
    </w:p>
    <w:p>
      <w:pPr>
        <w:spacing w:line="360" w:lineRule="auto"/>
        <w:ind w:firstLine="48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）在签订合同时，供应商明确表示无需预付款或者主动要求降低预付款比例的，采购人可不适用前述规定。</w:t>
      </w:r>
    </w:p>
    <w:p>
      <w:pPr>
        <w:spacing w:line="360" w:lineRule="auto"/>
        <w:ind w:firstLine="482"/>
        <w:rPr>
          <w:b/>
          <w:bCs/>
          <w:i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（五）供货时间、售后服务期</w:t>
      </w:r>
      <w:r>
        <w:rPr>
          <w:rFonts w:hint="eastAsia"/>
          <w:b/>
          <w:bCs/>
          <w:iCs/>
          <w:color w:val="000000" w:themeColor="text1"/>
          <w:sz w:val="24"/>
          <w:szCs w:val="24"/>
          <w14:textFill>
            <w14:solidFill>
              <w14:schemeClr w14:val="tx1"/>
            </w14:solidFill>
          </w14:textFill>
        </w:rPr>
        <w:t>、实施地点</w:t>
      </w:r>
    </w:p>
    <w:p>
      <w:pPr>
        <w:pStyle w:val="43"/>
        <w:spacing w:line="360" w:lineRule="auto"/>
        <w:ind w:right="105" w:firstLine="48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bCs/>
          <w:color w:val="000000" w:themeColor="text1"/>
          <w:sz w:val="24"/>
          <w14:textFill>
            <w14:solidFill>
              <w14:schemeClr w14:val="tx1"/>
            </w14:solidFill>
          </w14:textFill>
        </w:rPr>
        <w:t>供货时间：采购合同签订后</w:t>
      </w:r>
      <w:r>
        <w:rPr>
          <w:rFonts w:ascii="Times New Roman" w:hAnsi="Times New Roman"/>
          <w:bCs/>
          <w:color w:val="000000" w:themeColor="text1"/>
          <w:sz w:val="24"/>
          <w:u w:val="single"/>
          <w14:textFill>
            <w14:solidFill>
              <w14:schemeClr w14:val="tx1"/>
            </w14:solidFill>
          </w14:textFill>
        </w:rPr>
        <w:t xml:space="preserve"> </w:t>
      </w:r>
      <w:r>
        <w:rPr>
          <w:rFonts w:hint="eastAsia" w:ascii="Times New Roman" w:hAnsi="Times New Roman"/>
          <w:bCs/>
          <w:color w:val="000000" w:themeColor="text1"/>
          <w:sz w:val="24"/>
          <w:u w:val="single"/>
          <w14:textFill>
            <w14:solidFill>
              <w14:schemeClr w14:val="tx1"/>
            </w14:solidFill>
          </w14:textFill>
        </w:rPr>
        <w:t>7</w:t>
      </w:r>
      <w:r>
        <w:rPr>
          <w:rFonts w:ascii="Times New Roman" w:hAnsi="Times New Roman"/>
          <w:bCs/>
          <w:color w:val="000000" w:themeColor="text1"/>
          <w:sz w:val="24"/>
          <w:u w:val="single"/>
          <w14:textFill>
            <w14:solidFill>
              <w14:schemeClr w14:val="tx1"/>
            </w14:solidFill>
          </w14:textFill>
        </w:rPr>
        <w:t xml:space="preserve"> </w:t>
      </w:r>
      <w:r>
        <w:rPr>
          <w:rFonts w:hint="eastAsia" w:ascii="Times New Roman" w:hAnsi="Times New Roman"/>
          <w:bCs/>
          <w:color w:val="000000" w:themeColor="text1"/>
          <w:sz w:val="24"/>
          <w14:textFill>
            <w14:solidFill>
              <w14:schemeClr w14:val="tx1"/>
            </w14:solidFill>
          </w14:textFill>
        </w:rPr>
        <w:t>日内供货完毕并交付使用</w:t>
      </w:r>
      <w:r>
        <w:rPr>
          <w:rFonts w:hint="eastAsia" w:ascii="Times New Roman" w:hAnsi="Times New Roman"/>
          <w:color w:val="000000" w:themeColor="text1"/>
          <w:sz w:val="24"/>
          <w:szCs w:val="24"/>
          <w14:textFill>
            <w14:solidFill>
              <w14:schemeClr w14:val="tx1"/>
            </w14:solidFill>
          </w14:textFill>
        </w:rPr>
        <w:t>。</w:t>
      </w:r>
    </w:p>
    <w:p>
      <w:pPr>
        <w:pStyle w:val="43"/>
        <w:spacing w:line="360" w:lineRule="auto"/>
        <w:ind w:right="105" w:firstLine="48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、售后服务期：</w:t>
      </w:r>
      <w:r>
        <w:rPr>
          <w:rFonts w:ascii="Times New Roman" w:hAnsi="Times New Roman"/>
          <w:color w:val="000000" w:themeColor="text1"/>
          <w:sz w:val="24"/>
          <w:szCs w:val="24"/>
          <w:u w:val="single"/>
          <w14:textFill>
            <w14:solidFill>
              <w14:schemeClr w14:val="tx1"/>
            </w14:solidFill>
          </w14:textFill>
        </w:rPr>
        <w:t xml:space="preserve"> </w:t>
      </w:r>
      <w:r>
        <w:rPr>
          <w:rFonts w:hint="eastAsia" w:ascii="Times New Roman" w:hAnsi="Times New Roman"/>
          <w:color w:val="000000" w:themeColor="text1"/>
          <w:sz w:val="24"/>
          <w:szCs w:val="24"/>
          <w:u w:val="single"/>
          <w:lang w:val="en-US" w:eastAsia="zh-CN"/>
          <w14:textFill>
            <w14:solidFill>
              <w14:schemeClr w14:val="tx1"/>
            </w14:solidFill>
          </w14:textFill>
        </w:rPr>
        <w:t>两</w:t>
      </w:r>
      <w:r>
        <w:rPr>
          <w:rFonts w:ascii="Times New Roman" w:hAnsi="Times New Roman"/>
          <w:color w:val="000000" w:themeColor="text1"/>
          <w:sz w:val="24"/>
          <w:szCs w:val="24"/>
          <w:u w:val="single"/>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年（自货物最终交付验收合格之日计算）。</w:t>
      </w:r>
    </w:p>
    <w:p>
      <w:pPr>
        <w:pStyle w:val="43"/>
        <w:spacing w:line="360" w:lineRule="auto"/>
        <w:ind w:right="105" w:firstLine="48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、实施地点：采购人指定地点。</w:t>
      </w:r>
    </w:p>
    <w:p>
      <w:pPr>
        <w:spacing w:line="360" w:lineRule="auto"/>
        <w:ind w:firstLine="482"/>
        <w:rPr>
          <w:b/>
          <w:bCs/>
          <w:iCs/>
          <w:color w:val="000000" w:themeColor="text1"/>
          <w:sz w:val="24"/>
          <w:szCs w:val="24"/>
          <w14:textFill>
            <w14:solidFill>
              <w14:schemeClr w14:val="tx1"/>
            </w14:solidFill>
          </w14:textFill>
        </w:rPr>
      </w:pPr>
      <w:r>
        <w:rPr>
          <w:rFonts w:hint="eastAsia"/>
          <w:b/>
          <w:bCs/>
          <w:iCs/>
          <w:color w:val="000000" w:themeColor="text1"/>
          <w:sz w:val="24"/>
          <w:szCs w:val="24"/>
          <w14:textFill>
            <w14:solidFill>
              <w14:schemeClr w14:val="tx1"/>
            </w14:solidFill>
          </w14:textFill>
        </w:rPr>
        <w:t>二、采购清单及技术参数要求</w:t>
      </w:r>
    </w:p>
    <w:p>
      <w:pPr>
        <w:spacing w:line="360" w:lineRule="auto"/>
        <w:ind w:firstLine="482"/>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（一）技术参数的说明：采购清单及技术参数要求中如下：</w:t>
      </w:r>
      <w:r>
        <w:rPr>
          <w:b/>
          <w:bCs/>
          <w:color w:val="000000" w:themeColor="text1"/>
          <w:sz w:val="24"/>
          <w:szCs w:val="24"/>
          <w14:textFill>
            <w14:solidFill>
              <w14:schemeClr w14:val="tx1"/>
            </w14:solidFill>
          </w14:textFill>
        </w:rPr>
        <w:t xml:space="preserve"> </w:t>
      </w:r>
    </w:p>
    <w:p>
      <w:pPr>
        <w:pStyle w:val="41"/>
        <w:widowControl w:val="0"/>
        <w:spacing w:line="360" w:lineRule="auto"/>
        <w:ind w:firstLine="482"/>
        <w:jc w:val="left"/>
        <w:rPr>
          <w:rFonts w:hint="eastAsia" w:ascii="Times New Roman" w:eastAsia="宋体"/>
          <w:b/>
          <w:bCs/>
          <w:color w:val="000000" w:themeColor="text1"/>
          <w:sz w:val="24"/>
          <w:szCs w:val="24"/>
          <w14:textFill>
            <w14:solidFill>
              <w14:schemeClr w14:val="tx1"/>
            </w14:solidFill>
          </w14:textFill>
        </w:rPr>
      </w:pPr>
      <w:r>
        <w:rPr>
          <w:rFonts w:ascii="Times New Roman"/>
          <w:b/>
          <w:bCs/>
          <w:color w:val="000000" w:themeColor="text1"/>
          <w:sz w:val="24"/>
          <w:szCs w:val="24"/>
          <w14:textFill>
            <w14:solidFill>
              <w14:schemeClr w14:val="tx1"/>
            </w14:solidFill>
          </w14:textFill>
        </w:rPr>
        <w:t>1、</w:t>
      </w:r>
      <w:r>
        <w:rPr>
          <w:rFonts w:hint="eastAsia" w:ascii="Times New Roman" w:eastAsia="宋体"/>
          <w:b/>
          <w:bCs/>
          <w:color w:val="000000" w:themeColor="text1"/>
          <w:sz w:val="24"/>
          <w:szCs w:val="24"/>
          <w14:textFill>
            <w14:solidFill>
              <w14:schemeClr w14:val="tx1"/>
            </w14:solidFill>
          </w14:textFill>
        </w:rPr>
        <w:t>采购清单及技术参数要求中所有技术参数</w:t>
      </w:r>
      <w:r>
        <w:rPr>
          <w:rFonts w:hint="eastAsia" w:ascii="Times New Roman" w:eastAsia="宋体"/>
          <w:b/>
          <w:bCs/>
          <w:color w:val="000000" w:themeColor="text1"/>
          <w:sz w:val="24"/>
          <w:szCs w:val="24"/>
          <w:lang w:val="en-US" w:eastAsia="zh-CN"/>
          <w14:textFill>
            <w14:solidFill>
              <w14:schemeClr w14:val="tx1"/>
            </w14:solidFill>
          </w14:textFill>
        </w:rPr>
        <w:t>和剂型规格</w:t>
      </w:r>
      <w:r>
        <w:rPr>
          <w:rFonts w:hint="eastAsia" w:ascii="Times New Roman" w:eastAsia="宋体"/>
          <w:b/>
          <w:bCs/>
          <w:color w:val="000000" w:themeColor="text1"/>
          <w:sz w:val="24"/>
          <w:szCs w:val="24"/>
          <w14:textFill>
            <w14:solidFill>
              <w14:schemeClr w14:val="tx1"/>
            </w14:solidFill>
          </w14:textFill>
        </w:rPr>
        <w:t>均为实质性要求，均不接受负偏离，存在负偏离的，按无效响应处理。</w:t>
      </w:r>
    </w:p>
    <w:p>
      <w:pPr>
        <w:pStyle w:val="41"/>
        <w:widowControl w:val="0"/>
        <w:spacing w:line="360" w:lineRule="auto"/>
        <w:ind w:firstLine="482"/>
        <w:jc w:val="left"/>
        <w:rPr>
          <w:rFonts w:hint="eastAsia" w:ascii="Times New Roman" w:eastAsia="宋体"/>
          <w:b/>
          <w:bCs/>
          <w:color w:val="000000" w:themeColor="text1"/>
          <w:sz w:val="24"/>
          <w:szCs w:val="24"/>
          <w14:textFill>
            <w14:solidFill>
              <w14:schemeClr w14:val="tx1"/>
            </w14:solidFill>
          </w14:textFill>
        </w:rPr>
      </w:pPr>
      <w:r>
        <w:rPr>
          <w:rFonts w:ascii="Times New Roman" w:eastAsia="宋体"/>
          <w:b/>
          <w:bCs/>
          <w:color w:val="000000" w:themeColor="text1"/>
          <w:sz w:val="24"/>
          <w:szCs w:val="24"/>
          <w14:textFill>
            <w14:solidFill>
              <w14:schemeClr w14:val="tx1"/>
            </w14:solidFill>
          </w14:textFill>
        </w:rPr>
        <w:t>2</w:t>
      </w:r>
      <w:r>
        <w:rPr>
          <w:rFonts w:hint="eastAsia" w:ascii="Times New Roman" w:eastAsia="宋体"/>
          <w:b/>
          <w:bCs/>
          <w:color w:val="000000" w:themeColor="text1"/>
          <w:sz w:val="24"/>
          <w:szCs w:val="24"/>
          <w14:textFill>
            <w14:solidFill>
              <w14:schemeClr w14:val="tx1"/>
            </w14:solidFill>
          </w14:textFill>
        </w:rPr>
        <w:t>、供应商须详尽真实的在《实质性要求响应及偏离表》内逐条响应所投产品的所有技术参数，且均须在《实质性要求响应及偏离表》内详尽真实的列明“超出、符合或偏离”情况，否则将视为无响应或无效响应，均按无效响应处理。</w:t>
      </w:r>
    </w:p>
    <w:p>
      <w:pPr>
        <w:pStyle w:val="41"/>
        <w:widowControl w:val="0"/>
        <w:spacing w:line="360" w:lineRule="auto"/>
        <w:ind w:firstLine="482"/>
        <w:jc w:val="left"/>
        <w:rPr>
          <w:rFonts w:hint="eastAsia" w:ascii="Times New Roman" w:eastAsia="宋体"/>
          <w:b/>
          <w:bCs/>
          <w:color w:val="000000" w:themeColor="text1"/>
          <w:sz w:val="24"/>
          <w:szCs w:val="24"/>
          <w14:textFill>
            <w14:solidFill>
              <w14:schemeClr w14:val="tx1"/>
            </w14:solidFill>
          </w14:textFill>
        </w:rPr>
      </w:pPr>
      <w:r>
        <w:rPr>
          <w:rFonts w:hint="eastAsia" w:ascii="Times New Roman" w:eastAsia="宋体"/>
          <w:b/>
          <w:bCs/>
          <w:color w:val="000000" w:themeColor="text1"/>
          <w:sz w:val="24"/>
          <w:szCs w:val="24"/>
          <w14:textFill>
            <w14:solidFill>
              <w14:schemeClr w14:val="tx1"/>
            </w14:solidFill>
          </w14:textFill>
        </w:rPr>
        <w:t>注：《实质性要求响应及偏离表》格式详见响应文件格式附件</w:t>
      </w:r>
      <w:r>
        <w:rPr>
          <w:rFonts w:ascii="Times New Roman" w:eastAsia="宋体"/>
          <w:b/>
          <w:bCs/>
          <w:color w:val="000000" w:themeColor="text1"/>
          <w:sz w:val="24"/>
          <w:szCs w:val="24"/>
          <w14:textFill>
            <w14:solidFill>
              <w14:schemeClr w14:val="tx1"/>
            </w14:solidFill>
          </w14:textFill>
        </w:rPr>
        <w:t>9</w:t>
      </w:r>
      <w:r>
        <w:rPr>
          <w:rFonts w:hint="eastAsia" w:ascii="Times New Roman" w:eastAsia="宋体"/>
          <w:b/>
          <w:bCs/>
          <w:color w:val="000000" w:themeColor="text1"/>
          <w:sz w:val="24"/>
          <w:szCs w:val="24"/>
          <w14:textFill>
            <w14:solidFill>
              <w14:schemeClr w14:val="tx1"/>
            </w14:solidFill>
          </w14:textFill>
        </w:rPr>
        <w:t>。</w:t>
      </w:r>
    </w:p>
    <w:p>
      <w:pPr>
        <w:spacing w:line="360" w:lineRule="auto"/>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w:t>
      </w:r>
      <w:r>
        <w:rPr>
          <w:rFonts w:hint="eastAsia"/>
          <w:b/>
          <w:bCs/>
          <w:color w:val="000000" w:themeColor="text1"/>
          <w:sz w:val="24"/>
          <w:szCs w:val="24"/>
          <w14:textFill>
            <w14:solidFill>
              <w14:schemeClr w14:val="tx1"/>
            </w14:solidFill>
          </w14:textFill>
        </w:rPr>
        <w:t>、供应商须提供所投产品品牌、型号、规格、产地等，须按照询价通知书中响应文件格式要求填写完整。在响应文件中必须标明产品的品牌、型号、规格，否则作无效响应处理。</w:t>
      </w:r>
    </w:p>
    <w:p>
      <w:pPr>
        <w:pStyle w:val="37"/>
        <w:ind w:firstLine="470"/>
        <w:rPr>
          <w:rFonts w:hint="default" w:ascii="Times New Roman" w:hAnsi="Times New Roman" w:eastAsia="宋体"/>
          <w:bCs/>
          <w:color w:val="000000" w:themeColor="text1"/>
          <w:sz w:val="24"/>
          <w:szCs w:val="24"/>
          <w:lang w:val="en-US" w:eastAsia="zh-CN"/>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（二）采购清单及技术参数</w:t>
      </w:r>
      <w:r>
        <w:rPr>
          <w:rFonts w:hint="eastAsia" w:ascii="Times New Roman" w:hAnsi="Times New Roman"/>
          <w:bCs/>
          <w:color w:val="000000" w:themeColor="text1"/>
          <w:sz w:val="24"/>
          <w:szCs w:val="24"/>
          <w:lang w:val="en-US" w:eastAsia="zh-CN"/>
          <w14:textFill>
            <w14:solidFill>
              <w14:schemeClr w14:val="tx1"/>
            </w14:solidFill>
          </w14:textFill>
        </w:rPr>
        <w:t>和剂型规格</w:t>
      </w:r>
    </w:p>
    <w:tbl>
      <w:tblPr>
        <w:tblStyle w:val="15"/>
        <w:tblpPr w:leftFromText="180" w:rightFromText="180" w:vertAnchor="text" w:horzAnchor="page" w:tblpX="988" w:tblpY="502"/>
        <w:tblW w:w="10076" w:type="dxa"/>
        <w:tblInd w:w="0" w:type="dxa"/>
        <w:tblLayout w:type="fixed"/>
        <w:tblCellMar>
          <w:top w:w="0" w:type="dxa"/>
          <w:left w:w="0" w:type="dxa"/>
          <w:bottom w:w="0" w:type="dxa"/>
          <w:right w:w="0" w:type="dxa"/>
        </w:tblCellMar>
      </w:tblPr>
      <w:tblGrid>
        <w:gridCol w:w="955"/>
        <w:gridCol w:w="1450"/>
        <w:gridCol w:w="2648"/>
        <w:gridCol w:w="1646"/>
        <w:gridCol w:w="1545"/>
        <w:gridCol w:w="1378"/>
        <w:gridCol w:w="454"/>
      </w:tblGrid>
      <w:tr>
        <w:tblPrEx>
          <w:tblCellMar>
            <w:top w:w="0" w:type="dxa"/>
            <w:left w:w="0" w:type="dxa"/>
            <w:bottom w:w="0" w:type="dxa"/>
            <w:right w:w="0" w:type="dxa"/>
          </w:tblCellMar>
        </w:tblPrEx>
        <w:trPr>
          <w:trHeight w:val="674" w:hRule="atLeast"/>
        </w:trPr>
        <w:tc>
          <w:tcPr>
            <w:tcW w:w="9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序号</w:t>
            </w: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产品名称</w:t>
            </w:r>
          </w:p>
        </w:tc>
        <w:tc>
          <w:tcPr>
            <w:tcW w:w="26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技术参数</w:t>
            </w:r>
          </w:p>
        </w:tc>
        <w:tc>
          <w:tcPr>
            <w:tcW w:w="16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eastAsia="宋体" w:cs="宋体"/>
                <w:b/>
                <w:bCs/>
                <w:w w:val="95"/>
                <w:sz w:val="24"/>
                <w:szCs w:val="24"/>
                <w:vertAlign w:val="baseline"/>
                <w:lang w:val="en-US" w:eastAsia="zh-CN"/>
              </w:rPr>
              <w:t>剂型规格</w:t>
            </w:r>
          </w:p>
        </w:tc>
        <w:tc>
          <w:tcPr>
            <w:tcW w:w="15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最高单价限价</w:t>
            </w:r>
          </w:p>
        </w:tc>
        <w:tc>
          <w:tcPr>
            <w:tcW w:w="13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总价</w:t>
            </w:r>
          </w:p>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（万元）</w:t>
            </w:r>
          </w:p>
        </w:tc>
        <w:tc>
          <w:tcPr>
            <w:tcW w:w="45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备注</w:t>
            </w:r>
          </w:p>
        </w:tc>
      </w:tr>
      <w:tr>
        <w:tblPrEx>
          <w:tblCellMar>
            <w:top w:w="0" w:type="dxa"/>
            <w:left w:w="0" w:type="dxa"/>
            <w:bottom w:w="0" w:type="dxa"/>
            <w:right w:w="0" w:type="dxa"/>
          </w:tblCellMar>
        </w:tblPrEx>
        <w:trPr>
          <w:trHeight w:val="674"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w:t>
            </w:r>
            <w:r>
              <w:rPr>
                <w:bCs/>
                <w:color w:val="000000" w:themeColor="text1"/>
                <w:sz w:val="24"/>
                <w:szCs w:val="24"/>
                <w:lang w:bidi="ar"/>
                <w14:textFill>
                  <w14:solidFill>
                    <w14:schemeClr w14:val="tx1"/>
                  </w14:solidFill>
                </w14:textFill>
              </w:rPr>
              <w:t>1</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40%丙硫菌唑·戊唑醇悬浮剂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both"/>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丙硫菌唑20%，戊唑醇20%，适用作物包含小麦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500g/瓶，悬浮剂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5</w:t>
            </w:r>
            <w:r>
              <w:rPr>
                <w:bCs/>
                <w:color w:val="000000" w:themeColor="text1"/>
                <w:sz w:val="24"/>
                <w:szCs w:val="24"/>
                <w:lang w:bidi="ar"/>
                <w14:textFill>
                  <w14:solidFill>
                    <w14:schemeClr w14:val="tx1"/>
                  </w14:solidFill>
                </w14:textFill>
              </w:rPr>
              <w:t>.</w:t>
            </w:r>
            <w:r>
              <w:rPr>
                <w:rFonts w:hint="eastAsia"/>
                <w:bCs/>
                <w:color w:val="000000" w:themeColor="text1"/>
                <w:sz w:val="24"/>
                <w:szCs w:val="24"/>
                <w:lang w:val="en-US" w:eastAsia="zh-CN" w:bidi="ar"/>
                <w14:textFill>
                  <w14:solidFill>
                    <w14:schemeClr w14:val="tx1"/>
                  </w14:solidFill>
                </w14:textFill>
              </w:rPr>
              <w:t>4</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50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采购包2</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40%唑醚·氟环唑悬浮剂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both"/>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氟环唑</w:t>
            </w:r>
            <w:r>
              <w:rPr>
                <w:rFonts w:hint="eastAsia" w:ascii="宋体" w:hAnsi="宋体" w:eastAsia="宋体" w:cs="宋体"/>
                <w:i w:val="0"/>
                <w:iCs w:val="0"/>
                <w:caps w:val="0"/>
                <w:color w:val="333333"/>
                <w:spacing w:val="0"/>
                <w:sz w:val="24"/>
                <w:szCs w:val="24"/>
                <w:shd w:val="clear" w:fill="FFFFFF"/>
                <w:lang w:val="en-US" w:eastAsia="zh-CN"/>
              </w:rPr>
              <w:t>20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吡唑</w:t>
            </w:r>
            <w:r>
              <w:rPr>
                <w:rFonts w:hint="eastAsia" w:ascii="宋体" w:hAnsi="宋体" w:eastAsia="宋体" w:cs="宋体"/>
                <w:i w:val="0"/>
                <w:iCs w:val="0"/>
                <w:caps w:val="0"/>
                <w:color w:val="333333"/>
                <w:spacing w:val="0"/>
                <w:sz w:val="24"/>
                <w:szCs w:val="24"/>
                <w:shd w:val="clear" w:fill="FFFFFF"/>
              </w:rPr>
              <w:t>醚菌酯</w:t>
            </w:r>
            <w:r>
              <w:rPr>
                <w:rFonts w:hint="eastAsia" w:ascii="宋体" w:hAnsi="宋体" w:eastAsia="宋体" w:cs="宋体"/>
                <w:i w:val="0"/>
                <w:iCs w:val="0"/>
                <w:caps w:val="0"/>
                <w:color w:val="333333"/>
                <w:spacing w:val="0"/>
                <w:sz w:val="24"/>
                <w:szCs w:val="24"/>
                <w:shd w:val="clear" w:fill="FFFFFF"/>
                <w:lang w:val="en-US" w:eastAsia="zh-CN"/>
              </w:rPr>
              <w:t>20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1000g/瓶，悬浮剂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16</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70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采购包3</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150g/L联苯·吡虫啉悬浮剂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联苯菊酯 40克/升，吡虫啉110克/升，适用作物包含小麦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220g/瓶，悬浮剂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7</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20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采购包4</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0.01% 14-羟基芸苔素甾醇水剂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14-羟基芸苔素甾醇质量浓度0.1克/升，适用作物包含小麦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100ml/瓶，水剂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11</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val="en-US" w:eastAsia="zh-CN" w:bidi="ar"/>
                <w14:textFill>
                  <w14:solidFill>
                    <w14:schemeClr w14:val="tx1"/>
                  </w14:solidFill>
                </w14:textFill>
              </w:rPr>
              <w:t>千升</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40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36" w:hRule="atLeast"/>
        </w:trPr>
        <w:tc>
          <w:tcPr>
            <w:tcW w:w="95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采购包5</w:t>
            </w:r>
          </w:p>
        </w:tc>
        <w:tc>
          <w:tcPr>
            <w:tcW w:w="145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default" w:ascii="宋体" w:hAnsi="宋体" w:eastAsia="宋体" w:cs="宋体"/>
                <w:bCs/>
                <w:color w:val="000000" w:themeColor="text1"/>
                <w:sz w:val="24"/>
                <w:szCs w:val="24"/>
                <w:lang w:val="en-US"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含腐殖酸水溶</w:t>
            </w:r>
            <w:r>
              <w:rPr>
                <w:rFonts w:hint="eastAsia" w:ascii="宋体" w:hAnsi="宋体" w:eastAsia="宋体" w:cs="宋体"/>
                <w:i w:val="0"/>
                <w:iCs w:val="0"/>
                <w:caps w:val="0"/>
                <w:color w:val="333333"/>
                <w:spacing w:val="0"/>
                <w:sz w:val="24"/>
                <w:szCs w:val="24"/>
                <w:highlight w:val="none"/>
                <w:shd w:val="clear" w:fill="FFFFFF"/>
                <w:lang w:val="en-US" w:eastAsia="zh-CN"/>
              </w:rPr>
              <w:t>肥</w:t>
            </w:r>
            <w:r>
              <w:rPr>
                <w:rFonts w:hint="eastAsia" w:ascii="宋体" w:hAnsi="宋体" w:cs="宋体"/>
                <w:i w:val="0"/>
                <w:iCs w:val="0"/>
                <w:caps w:val="0"/>
                <w:color w:val="333333"/>
                <w:spacing w:val="0"/>
                <w:sz w:val="24"/>
                <w:szCs w:val="24"/>
                <w:highlight w:val="none"/>
                <w:shd w:val="clear" w:fill="FFFFFF"/>
                <w:lang w:val="en-US" w:eastAsia="zh-CN"/>
              </w:rPr>
              <w:t>料</w:t>
            </w:r>
          </w:p>
        </w:tc>
        <w:tc>
          <w:tcPr>
            <w:tcW w:w="264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bCs/>
                <w:color w:val="000000" w:themeColor="text1"/>
                <w:sz w:val="24"/>
                <w:szCs w:val="24"/>
                <w:lang w:bidi="ar"/>
                <w14:textFill>
                  <w14:solidFill>
                    <w14:schemeClr w14:val="tx1"/>
                  </w14:solidFill>
                </w14:textFill>
              </w:rPr>
            </w:pPr>
            <w:bookmarkStart w:id="1" w:name="_GoBack"/>
            <w:bookmarkEnd w:id="1"/>
            <w:r>
              <w:rPr>
                <w:rFonts w:hint="eastAsia" w:ascii="宋体" w:hAnsi="宋体" w:eastAsia="宋体" w:cs="宋体"/>
                <w:i w:val="0"/>
                <w:iCs w:val="0"/>
                <w:caps w:val="0"/>
                <w:color w:val="333333"/>
                <w:spacing w:val="0"/>
                <w:sz w:val="24"/>
                <w:szCs w:val="24"/>
                <w:shd w:val="clear" w:fill="FFFFFF"/>
                <w:lang w:val="en-US" w:eastAsia="zh-CN"/>
              </w:rPr>
              <w:t>腐殖酸≥40g/L，N+P2O5+K2O≥200g/L，适用作物包含小麦</w:t>
            </w:r>
          </w:p>
        </w:tc>
        <w:tc>
          <w:tcPr>
            <w:tcW w:w="1646"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cs="Times New Roman"/>
                <w:bCs/>
                <w:iCs/>
                <w:color w:val="000000" w:themeColor="text1"/>
                <w:sz w:val="24"/>
                <w:szCs w:val="24"/>
                <w:highlight w:val="none"/>
                <w:shd w:val="clear" w:color="auto" w:fill="auto"/>
                <w:lang w:val="en-US" w:eastAsia="zh-CN"/>
                <w14:textFill>
                  <w14:solidFill>
                    <w14:schemeClr w14:val="tx1"/>
                  </w14:solidFill>
                </w14:textFill>
              </w:rPr>
              <w:t>1000g</w:t>
            </w:r>
            <w:r>
              <w:rPr>
                <w:rFonts w:hint="eastAsia" w:ascii="Times New Roman" w:hAnsi="Times New Roman" w:eastAsia="宋体" w:cs="Times New Roman"/>
                <w:bCs/>
                <w:iCs/>
                <w:color w:val="000000" w:themeColor="text1"/>
                <w:sz w:val="24"/>
                <w:szCs w:val="24"/>
                <w:highlight w:val="none"/>
                <w:shd w:val="clear" w:color="auto" w:fill="auto"/>
                <w:lang w:val="en-US" w:eastAsia="zh-CN"/>
                <w14:textFill>
                  <w14:solidFill>
                    <w14:schemeClr w14:val="tx1"/>
                  </w14:solidFill>
                </w14:textFill>
              </w:rPr>
              <w:t>/瓶</w:t>
            </w:r>
            <w:r>
              <w:rPr>
                <w:rFonts w:hint="eastAsia" w:ascii="宋体" w:hAnsi="宋体" w:eastAsia="宋体" w:cs="宋体"/>
                <w:i w:val="0"/>
                <w:iCs w:val="0"/>
                <w:caps w:val="0"/>
                <w:color w:val="333333"/>
                <w:spacing w:val="0"/>
                <w:sz w:val="24"/>
                <w:szCs w:val="24"/>
                <w:shd w:val="clear" w:fill="FFFFFF"/>
                <w:lang w:val="en-US" w:eastAsia="zh-CN"/>
              </w:rPr>
              <w:t>，水剂</w:t>
            </w:r>
          </w:p>
        </w:tc>
        <w:tc>
          <w:tcPr>
            <w:tcW w:w="154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1.4</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30</w:t>
            </w:r>
          </w:p>
        </w:tc>
        <w:tc>
          <w:tcPr>
            <w:tcW w:w="454"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bl>
    <w:p>
      <w:pPr>
        <w:spacing w:line="360" w:lineRule="auto"/>
        <w:rPr>
          <w:b/>
          <w:bCs/>
          <w:color w:val="000000" w:themeColor="text1"/>
          <w:sz w:val="24"/>
          <w14:textFill>
            <w14:solidFill>
              <w14:schemeClr w14:val="tx1"/>
            </w14:solidFill>
          </w14:textFill>
        </w:rPr>
      </w:pP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三、项目要求</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（一）供货要求</w:t>
      </w:r>
    </w:p>
    <w:p>
      <w:pPr>
        <w:spacing w:line="360" w:lineRule="auto"/>
        <w:ind w:firstLine="48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成交人应提供合格货物，保证货物为全新、未使用的原装正品，货物上均有合格证，包括品牌的有关标志。</w:t>
      </w:r>
      <w:r>
        <w:rPr>
          <w:rFonts w:hint="eastAsia"/>
          <w:color w:val="000000" w:themeColor="text1"/>
          <w:sz w:val="24"/>
          <w:szCs w:val="24"/>
          <w:lang w:val="en-US" w:eastAsia="zh-CN"/>
          <w14:textFill>
            <w14:solidFill>
              <w14:schemeClr w14:val="tx1"/>
            </w14:solidFill>
          </w14:textFill>
        </w:rPr>
        <w:t>产品来源需合法合规。</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（二）质量要求</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）合格，符合国家、行业质量要求。</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产品必须全新、未使用过的原装合格正品，完全符合询价通知书规定的质量，规格和性能的要求达到国家或行业规定的标准，实行生产许可证制度的，应提供生产许可证，属于国家强制认证的产品必须通过认证。</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（三）货物的包装、发运及运输</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供应商应在货物发运前对其进行满足运输距离、防潮、防震、防锈和防破损装卸等要求包装，以保证货物安全运达采购人指定地点。供应商对货物的包装应符合《商品包装政府采购需求标准（试行）》、《快递包装政府采购需求标准（试行）》的规定。</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）使用说明书、质量检验证明书、随配附件和工具以及清单一并附于货物内。</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）供应商在货物发运手续办理完毕后</w:t>
      </w:r>
      <w:r>
        <w:rPr>
          <w:color w:val="000000" w:themeColor="text1"/>
          <w:sz w:val="24"/>
          <w:szCs w:val="24"/>
          <w14:textFill>
            <w14:solidFill>
              <w14:schemeClr w14:val="tx1"/>
            </w14:solidFill>
          </w14:textFill>
        </w:rPr>
        <w:t>24</w:t>
      </w:r>
      <w:r>
        <w:rPr>
          <w:rFonts w:hint="eastAsia"/>
          <w:color w:val="000000" w:themeColor="text1"/>
          <w:sz w:val="24"/>
          <w:szCs w:val="24"/>
          <w14:textFill>
            <w14:solidFill>
              <w14:schemeClr w14:val="tx1"/>
            </w14:solidFill>
          </w14:textFill>
        </w:rPr>
        <w:t>小时内或货到采购人</w:t>
      </w:r>
      <w:r>
        <w:rPr>
          <w:color w:val="000000" w:themeColor="text1"/>
          <w:sz w:val="24"/>
          <w:szCs w:val="24"/>
          <w14:textFill>
            <w14:solidFill>
              <w14:schemeClr w14:val="tx1"/>
            </w14:solidFill>
          </w14:textFill>
        </w:rPr>
        <w:t>48</w:t>
      </w:r>
      <w:r>
        <w:rPr>
          <w:rFonts w:hint="eastAsia"/>
          <w:color w:val="000000" w:themeColor="text1"/>
          <w:sz w:val="24"/>
          <w:szCs w:val="24"/>
          <w14:textFill>
            <w14:solidFill>
              <w14:schemeClr w14:val="tx1"/>
            </w14:solidFill>
          </w14:textFill>
        </w:rPr>
        <w:t>小时前通知采购人，以准备接货。</w:t>
      </w:r>
    </w:p>
    <w:p>
      <w:pPr>
        <w:spacing w:line="360" w:lineRule="auto"/>
        <w:ind w:left="543" w:hanging="6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）货物在交付采购人前发生的风险均由供应商负责。</w:t>
      </w:r>
    </w:p>
    <w:p>
      <w:pPr>
        <w:spacing w:line="360" w:lineRule="auto"/>
        <w:ind w:firstLine="48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）货物在规定的交付期限内由供应商送达采购人指定的地点视为交付，供应商同时需通知采购人货物已送达。</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（四）验收要求及验收标准</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）验收要求</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）验收时间：签订合同后</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7</w:t>
      </w:r>
      <w:r>
        <w:rPr>
          <w:rFonts w:hint="eastAsia"/>
          <w:color w:val="000000" w:themeColor="text1"/>
          <w:sz w:val="24"/>
          <w14:textFill>
            <w14:solidFill>
              <w14:schemeClr w14:val="tx1"/>
            </w14:solidFill>
          </w14:textFill>
        </w:rPr>
        <w:t>日内将货物送至采购人指定地点并交付使用，成交供应商向采购人提交项目验收技术资料以及验收申请单，采购人依法组织履约验收工作。</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）验收内容：包括产品品牌、型号、规格、数量是否符合合同规定，外观质量、产品包装是否完好等。</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采购人成立验收小组，按照采购合同的约定对成交人的履约情况进行验收。验收时，采购人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验收合格的项目，采购人根据采购合同的约定及时向成交人支付合同款项、退还履约保证金。验收不合格的项目，采购人依法及时处理。采购合同的履行、违约责任和解决争议的方式等适用《民法典》。成交人在履约过程中有政府采购法律法规规定的违法违规情形的，采购人将及时报告本级财政部门。</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）若因成交人原因造成无法验收通过的，采购人将拒绝付款，并追究成交人的违约责任。</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）验收标准：</w:t>
      </w:r>
    </w:p>
    <w:p>
      <w:pPr>
        <w:spacing w:line="360" w:lineRule="auto"/>
        <w:ind w:firstLine="480"/>
        <w:rPr>
          <w:rFonts w:eastAsia="华文楷体"/>
          <w:color w:val="000000" w:themeColor="text1"/>
          <w14:textFill>
            <w14:solidFill>
              <w14:schemeClr w14:val="tx1"/>
            </w14:solidFill>
          </w14:textFill>
        </w:rPr>
      </w:pPr>
      <w:r>
        <w:rPr>
          <w:rFonts w:hint="eastAsia"/>
          <w:color w:val="000000" w:themeColor="text1"/>
          <w:sz w:val="24"/>
          <w14:textFill>
            <w14:solidFill>
              <w14:schemeClr w14:val="tx1"/>
            </w14:solidFill>
          </w14:textFill>
        </w:rPr>
        <w:t>按照询价通知书、响应文件及相关标准实施。有国家标准的应符合国家标准，无国家标准的应符合行业标准、地方标准或者其他标准、规范，并满足询价通知书要求，同时服从采购人安排要求。</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（五）售后服务</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）供应商应按公开招标文件规定的货物性能、技术要求、质量标准向采购人提供未经使用的全新产品。</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）供应商提供的货物在售后服务期内因货物本身的质量问题，供应商应负责免费更换。对达不到技术要求者，根据实际情况，经双方协商，可按以下办法处理：</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2.1</w:t>
      </w:r>
      <w:r>
        <w:rPr>
          <w:rFonts w:hint="eastAsia"/>
          <w:color w:val="000000" w:themeColor="text1"/>
          <w:sz w:val="24"/>
          <w:szCs w:val="24"/>
          <w14:textFill>
            <w14:solidFill>
              <w14:schemeClr w14:val="tx1"/>
            </w14:solidFill>
          </w14:textFill>
        </w:rPr>
        <w:t>）更换：由供应商承担所发生的全部费用。</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2.2</w:t>
      </w:r>
      <w:r>
        <w:rPr>
          <w:rFonts w:hint="eastAsia"/>
          <w:color w:val="000000" w:themeColor="text1"/>
          <w:sz w:val="24"/>
          <w:szCs w:val="24"/>
          <w14:textFill>
            <w14:solidFill>
              <w14:schemeClr w14:val="tx1"/>
            </w14:solidFill>
          </w14:textFill>
        </w:rPr>
        <w:t>）贬值处理：由采购人、成交人双方合议定价。</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2.3</w:t>
      </w:r>
      <w:r>
        <w:rPr>
          <w:rFonts w:hint="eastAsia"/>
          <w:color w:val="000000" w:themeColor="text1"/>
          <w:sz w:val="24"/>
          <w:szCs w:val="24"/>
          <w14:textFill>
            <w14:solidFill>
              <w14:schemeClr w14:val="tx1"/>
            </w14:solidFill>
          </w14:textFill>
        </w:rPr>
        <w:t>）退货处理：成交人应退还采购人支付的合同款，同时应承担该货物的直接费用（运输、保险、检验、货款利息及银行手续费等）。</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）如在使用过程中发生质量问题，成交人在接到采购人通知后在</w:t>
      </w:r>
      <w:r>
        <w:rPr>
          <w:color w:val="000000" w:themeColor="text1"/>
          <w:sz w:val="24"/>
          <w:szCs w:val="24"/>
          <w14:textFill>
            <w14:solidFill>
              <w14:schemeClr w14:val="tx1"/>
            </w14:solidFill>
          </w14:textFill>
        </w:rPr>
        <w:t>24</w:t>
      </w:r>
      <w:r>
        <w:rPr>
          <w:rFonts w:hint="eastAsia"/>
          <w:color w:val="000000" w:themeColor="text1"/>
          <w:sz w:val="24"/>
          <w:szCs w:val="24"/>
          <w14:textFill>
            <w14:solidFill>
              <w14:schemeClr w14:val="tx1"/>
            </w14:solidFill>
          </w14:textFill>
        </w:rPr>
        <w:t>小时内到达采购人现场。</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）在售后服务期内，成交人应对货物出现的质量及安全问题负责处理解决并承担一切费用。</w:t>
      </w:r>
    </w:p>
    <w:p>
      <w:pPr>
        <w:spacing w:line="360" w:lineRule="auto"/>
        <w:ind w:firstLine="48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）上述的货物售后服务期为</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两</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年（自货物最终交付验收合格之日计算）。</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（六）节能、环保产品政策</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对照财库〔</w:t>
      </w:r>
      <w:r>
        <w:rPr>
          <w:color w:val="000000" w:themeColor="text1"/>
          <w:sz w:val="24"/>
          <w14:textFill>
            <w14:solidFill>
              <w14:schemeClr w14:val="tx1"/>
            </w14:solidFill>
          </w14:textFill>
        </w:rPr>
        <w:t>2019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号、财库〔</w:t>
      </w:r>
      <w:r>
        <w:rPr>
          <w:color w:val="000000" w:themeColor="text1"/>
          <w:sz w:val="24"/>
          <w14:textFill>
            <w14:solidFill>
              <w14:schemeClr w14:val="tx1"/>
            </w14:solidFill>
          </w14:textFill>
        </w:rPr>
        <w:t>2019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19</w:t>
      </w:r>
      <w:r>
        <w:rPr>
          <w:rFonts w:hint="eastAsia"/>
          <w:color w:val="000000" w:themeColor="text1"/>
          <w:sz w:val="24"/>
          <w14:textFill>
            <w14:solidFill>
              <w14:schemeClr w14:val="tx1"/>
            </w14:solidFill>
          </w14:textFill>
        </w:rPr>
        <w:t>号文件规定，供应商所投产品属于强制采购产品的，应提供国家市场监督管理局确定的列</w:t>
      </w:r>
      <w:r>
        <w:rPr>
          <w:rFonts w:hint="eastAsia" w:ascii="宋体" w:hAnsi="宋体" w:cs="宋体"/>
          <w:color w:val="000000" w:themeColor="text1"/>
          <w:sz w:val="24"/>
          <w14:textFill>
            <w14:solidFill>
              <w14:schemeClr w14:val="tx1"/>
            </w14:solidFill>
          </w14:textFill>
        </w:rPr>
        <w:t>入“参与实施政府采购节能产品认证机构名录”</w:t>
      </w:r>
      <w:r>
        <w:rPr>
          <w:rFonts w:hint="eastAsia"/>
          <w:color w:val="000000" w:themeColor="text1"/>
          <w:sz w:val="24"/>
          <w14:textFill>
            <w14:solidFill>
              <w14:schemeClr w14:val="tx1"/>
            </w14:solidFill>
          </w14:textFill>
        </w:rPr>
        <w:t>内的认证机构出具的、有效期内的该产品的节能产品认证证书电子件，不满足以上要求的按无效标处理。</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（七）</w:t>
      </w:r>
      <w:r>
        <w:rPr>
          <w:rFonts w:hint="eastAsia"/>
          <w:b/>
          <w:bCs/>
          <w:color w:val="000000" w:themeColor="text1"/>
          <w:sz w:val="24"/>
          <w:szCs w:val="24"/>
          <w14:textFill>
            <w14:solidFill>
              <w14:schemeClr w14:val="tx1"/>
            </w14:solidFill>
          </w14:textFill>
        </w:rPr>
        <w:t>商品包装、快递包装政府采购需求标准</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为助力打好污染防治攻坚战，推广使用绿色包装，本项目中涉及的商品包装和快递包装执行《关于印发〈商品包装政府采购需求标准（试行）〉、〈快递包装政府采购需求标准（试行）〉的通知》（财办库〔</w:t>
      </w:r>
      <w:r>
        <w:rPr>
          <w:color w:val="000000" w:themeColor="text1"/>
          <w:sz w:val="24"/>
          <w14:textFill>
            <w14:solidFill>
              <w14:schemeClr w14:val="tx1"/>
            </w14:solidFill>
          </w14:textFill>
        </w:rPr>
        <w:t>2020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123</w:t>
      </w:r>
      <w:r>
        <w:rPr>
          <w:rFonts w:hint="eastAsia"/>
          <w:color w:val="000000" w:themeColor="text1"/>
          <w:sz w:val="24"/>
          <w14:textFill>
            <w14:solidFill>
              <w14:schemeClr w14:val="tx1"/>
            </w14:solidFill>
          </w14:textFill>
        </w:rPr>
        <w:t>号）、《江苏省财政厅关于加强政府绿色采购有关事项的通知》（苏财购〔</w:t>
      </w:r>
      <w:r>
        <w:rPr>
          <w:color w:val="000000" w:themeColor="text1"/>
          <w:sz w:val="24"/>
          <w14:textFill>
            <w14:solidFill>
              <w14:schemeClr w14:val="tx1"/>
            </w14:solidFill>
          </w14:textFill>
        </w:rPr>
        <w:t>2023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65</w:t>
      </w:r>
      <w:r>
        <w:rPr>
          <w:rFonts w:hint="eastAsia"/>
          <w:color w:val="000000" w:themeColor="text1"/>
          <w:sz w:val="24"/>
          <w14:textFill>
            <w14:solidFill>
              <w14:schemeClr w14:val="tx1"/>
            </w14:solidFill>
          </w14:textFill>
        </w:rPr>
        <w:t>号）的要求，供应商应当提供符合需求标准的产品及相关快递服务的包装。</w:t>
      </w:r>
    </w:p>
    <w:p>
      <w:pPr>
        <w:spacing w:line="360" w:lineRule="auto"/>
        <w:ind w:firstLine="482"/>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（八）采购本国货物、工程和服务</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政府采购应当采购本国货物、工程和服务，但有《中华人民共和国政府采购法》第十条规定情形的除外。</w:t>
      </w:r>
    </w:p>
    <w:p>
      <w:pPr>
        <w:pStyle w:val="37"/>
        <w:ind w:firstLine="47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（九）商品包装、快递包装特殊要求</w:t>
      </w:r>
    </w:p>
    <w:p>
      <w:pPr>
        <w:pStyle w:val="37"/>
        <w:ind w:firstLine="708"/>
        <w:rPr>
          <w:rFonts w:ascii="Times New Roman" w:hAnsi="Times New Roman"/>
          <w:b w:val="0"/>
          <w:bCs/>
          <w:color w:val="000000" w:themeColor="text1"/>
          <w:sz w:val="24"/>
          <w14:textFill>
            <w14:solidFill>
              <w14:schemeClr w14:val="tx1"/>
            </w14:solidFill>
          </w14:textFill>
        </w:rPr>
      </w:pPr>
      <w:r>
        <w:rPr>
          <w:rFonts w:ascii="Times New Roman" w:hAnsi="Times New Roman"/>
          <w:b w:val="0"/>
          <w:bCs/>
          <w:color w:val="000000" w:themeColor="text1"/>
          <w:sz w:val="24"/>
          <w14:textFill>
            <w14:solidFill>
              <w14:schemeClr w14:val="tx1"/>
            </w14:solidFill>
          </w14:textFill>
        </w:rPr>
        <w:t>1.</w:t>
      </w:r>
      <w:r>
        <w:rPr>
          <w:rFonts w:hint="eastAsia" w:ascii="Times New Roman" w:hAnsi="Times New Roman"/>
          <w:b w:val="0"/>
          <w:bCs/>
          <w:color w:val="000000" w:themeColor="text1"/>
          <w:sz w:val="24"/>
          <w14:textFill>
            <w14:solidFill>
              <w14:schemeClr w14:val="tx1"/>
            </w14:solidFill>
          </w14:textFill>
        </w:rPr>
        <w:t>商品包装环保要求</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1</w:t>
      </w:r>
      <w:r>
        <w:rPr>
          <w:rFonts w:hint="eastAsia" w:ascii="Times New Roman" w:hAnsi="Times New Roman"/>
          <w:b w:val="0"/>
          <w:bCs/>
          <w:color w:val="000000" w:themeColor="text1"/>
          <w:sz w:val="24"/>
          <w14:textFill>
            <w14:solidFill>
              <w14:schemeClr w14:val="tx1"/>
            </w14:solidFill>
          </w14:textFill>
        </w:rPr>
        <w:t>）商品包装层数不得超过</w:t>
      </w:r>
      <w:r>
        <w:rPr>
          <w:rFonts w:ascii="Times New Roman" w:hAnsi="Times New Roman"/>
          <w:b w:val="0"/>
          <w:bCs/>
          <w:color w:val="000000" w:themeColor="text1"/>
          <w:sz w:val="24"/>
          <w14:textFill>
            <w14:solidFill>
              <w14:schemeClr w14:val="tx1"/>
            </w14:solidFill>
          </w14:textFill>
        </w:rPr>
        <w:t xml:space="preserve"> 3 </w:t>
      </w:r>
      <w:r>
        <w:rPr>
          <w:rFonts w:hint="eastAsia" w:ascii="Times New Roman" w:hAnsi="Times New Roman"/>
          <w:b w:val="0"/>
          <w:bCs/>
          <w:color w:val="000000" w:themeColor="text1"/>
          <w:sz w:val="24"/>
          <w14:textFill>
            <w14:solidFill>
              <w14:schemeClr w14:val="tx1"/>
            </w14:solidFill>
          </w14:textFill>
        </w:rPr>
        <w:t>层，空隙率不大于</w:t>
      </w:r>
      <w:r>
        <w:rPr>
          <w:rFonts w:ascii="Times New Roman" w:hAnsi="Times New Roman"/>
          <w:b w:val="0"/>
          <w:bCs/>
          <w:color w:val="000000" w:themeColor="text1"/>
          <w:sz w:val="24"/>
          <w14:textFill>
            <w14:solidFill>
              <w14:schemeClr w14:val="tx1"/>
            </w14:solidFill>
          </w14:textFill>
        </w:rPr>
        <w:t xml:space="preserve"> 40%</w:t>
      </w: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2</w:t>
      </w:r>
      <w:r>
        <w:rPr>
          <w:rFonts w:hint="eastAsia" w:ascii="Times New Roman" w:hAnsi="Times New Roman"/>
          <w:b w:val="0"/>
          <w:bCs/>
          <w:color w:val="000000" w:themeColor="text1"/>
          <w:sz w:val="24"/>
          <w14:textFill>
            <w14:solidFill>
              <w14:schemeClr w14:val="tx1"/>
            </w14:solidFill>
          </w14:textFill>
        </w:rPr>
        <w:t>）商品包装尽可能使用单一材质的包装材料，如因功能需求必需使用不同材质，不同材质间应便于分离；</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3</w:t>
      </w:r>
      <w:r>
        <w:rPr>
          <w:rFonts w:hint="eastAsia" w:ascii="Times New Roman" w:hAnsi="Times New Roman"/>
          <w:b w:val="0"/>
          <w:bCs/>
          <w:color w:val="000000" w:themeColor="text1"/>
          <w:sz w:val="24"/>
          <w14:textFill>
            <w14:solidFill>
              <w14:schemeClr w14:val="tx1"/>
            </w14:solidFill>
          </w14:textFill>
        </w:rPr>
        <w:t>）商品包装中铅、汞、镉、六价铬的总含量应不大于</w:t>
      </w:r>
      <w:r>
        <w:rPr>
          <w:rFonts w:ascii="Times New Roman" w:hAnsi="Times New Roman"/>
          <w:b w:val="0"/>
          <w:bCs/>
          <w:color w:val="000000" w:themeColor="text1"/>
          <w:sz w:val="24"/>
          <w14:textFill>
            <w14:solidFill>
              <w14:schemeClr w14:val="tx1"/>
            </w14:solidFill>
          </w14:textFill>
        </w:rPr>
        <w:t xml:space="preserve"> 100mg/kg</w:t>
      </w: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4</w:t>
      </w:r>
      <w:r>
        <w:rPr>
          <w:rFonts w:hint="eastAsia" w:ascii="Times New Roman" w:hAnsi="Times New Roman"/>
          <w:b w:val="0"/>
          <w:bCs/>
          <w:color w:val="000000" w:themeColor="text1"/>
          <w:sz w:val="24"/>
          <w14:textFill>
            <w14:solidFill>
              <w14:schemeClr w14:val="tx1"/>
            </w14:solidFill>
          </w14:textFill>
        </w:rPr>
        <w:t>）商品包装印刷使用的油墨中挥发性有机化合物</w:t>
      </w:r>
      <w:r>
        <w:rPr>
          <w:rFonts w:ascii="Times New Roman" w:hAnsi="Times New Roman"/>
          <w:b w:val="0"/>
          <w:bCs/>
          <w:color w:val="000000" w:themeColor="text1"/>
          <w:sz w:val="24"/>
          <w14:textFill>
            <w14:solidFill>
              <w14:schemeClr w14:val="tx1"/>
            </w14:solidFill>
          </w14:textFill>
        </w:rPr>
        <w:t>(VOCs)</w:t>
      </w:r>
      <w:r>
        <w:rPr>
          <w:rFonts w:hint="eastAsia" w:ascii="Times New Roman" w:hAnsi="Times New Roman"/>
          <w:b w:val="0"/>
          <w:bCs/>
          <w:color w:val="000000" w:themeColor="text1"/>
          <w:sz w:val="24"/>
          <w14:textFill>
            <w14:solidFill>
              <w14:schemeClr w14:val="tx1"/>
            </w14:solidFill>
          </w14:textFill>
        </w:rPr>
        <w:t>含量应不大于</w:t>
      </w:r>
      <w:r>
        <w:rPr>
          <w:rFonts w:ascii="Times New Roman" w:hAnsi="Times New Roman"/>
          <w:b w:val="0"/>
          <w:bCs/>
          <w:color w:val="000000" w:themeColor="text1"/>
          <w:sz w:val="24"/>
          <w14:textFill>
            <w14:solidFill>
              <w14:schemeClr w14:val="tx1"/>
            </w14:solidFill>
          </w14:textFill>
        </w:rPr>
        <w:t xml:space="preserve"> 5%</w:t>
      </w:r>
      <w:r>
        <w:rPr>
          <w:rFonts w:hint="eastAsia" w:ascii="Times New Roman" w:hAnsi="Times New Roman"/>
          <w:b w:val="0"/>
          <w:bCs/>
          <w:color w:val="000000" w:themeColor="text1"/>
          <w:sz w:val="24"/>
          <w14:textFill>
            <w14:solidFill>
              <w14:schemeClr w14:val="tx1"/>
            </w14:solidFill>
          </w14:textFill>
        </w:rPr>
        <w:t>（以重量计）；</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5</w:t>
      </w:r>
      <w:r>
        <w:rPr>
          <w:rFonts w:hint="eastAsia" w:ascii="Times New Roman" w:hAnsi="Times New Roman"/>
          <w:b w:val="0"/>
          <w:bCs/>
          <w:color w:val="000000" w:themeColor="text1"/>
          <w:sz w:val="24"/>
          <w14:textFill>
            <w14:solidFill>
              <w14:schemeClr w14:val="tx1"/>
            </w14:solidFill>
          </w14:textFill>
        </w:rPr>
        <w:t>）塑料材质商品包装上呈现的印刷颜色不得超过</w:t>
      </w:r>
      <w:r>
        <w:rPr>
          <w:rFonts w:ascii="Times New Roman" w:hAnsi="Times New Roman"/>
          <w:b w:val="0"/>
          <w:bCs/>
          <w:color w:val="000000" w:themeColor="text1"/>
          <w:sz w:val="24"/>
          <w14:textFill>
            <w14:solidFill>
              <w14:schemeClr w14:val="tx1"/>
            </w14:solidFill>
          </w14:textFill>
        </w:rPr>
        <w:t xml:space="preserve"> 6 </w:t>
      </w:r>
      <w:r>
        <w:rPr>
          <w:rFonts w:hint="eastAsia" w:ascii="Times New Roman" w:hAnsi="Times New Roman"/>
          <w:b w:val="0"/>
          <w:bCs/>
          <w:color w:val="000000" w:themeColor="text1"/>
          <w:sz w:val="24"/>
          <w14:textFill>
            <w14:solidFill>
              <w14:schemeClr w14:val="tx1"/>
            </w14:solidFill>
          </w14:textFill>
        </w:rPr>
        <w:t>色；</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6</w:t>
      </w:r>
      <w:r>
        <w:rPr>
          <w:rFonts w:hint="eastAsia" w:ascii="Times New Roman" w:hAnsi="Times New Roman"/>
          <w:b w:val="0"/>
          <w:bCs/>
          <w:color w:val="000000" w:themeColor="text1"/>
          <w:sz w:val="24"/>
          <w14:textFill>
            <w14:solidFill>
              <w14:schemeClr w14:val="tx1"/>
            </w14:solidFill>
          </w14:textFill>
        </w:rPr>
        <w:t>）纸质商品包装应使用</w:t>
      </w:r>
      <w:r>
        <w:rPr>
          <w:rFonts w:ascii="Times New Roman" w:hAnsi="Times New Roman"/>
          <w:b w:val="0"/>
          <w:bCs/>
          <w:color w:val="000000" w:themeColor="text1"/>
          <w:sz w:val="24"/>
          <w14:textFill>
            <w14:solidFill>
              <w14:schemeClr w14:val="tx1"/>
            </w14:solidFill>
          </w14:textFill>
        </w:rPr>
        <w:t xml:space="preserve"> 75%</w:t>
      </w:r>
      <w:r>
        <w:rPr>
          <w:rFonts w:hint="eastAsia" w:ascii="Times New Roman" w:hAnsi="Times New Roman"/>
          <w:b w:val="0"/>
          <w:bCs/>
          <w:color w:val="000000" w:themeColor="text1"/>
          <w:sz w:val="24"/>
          <w14:textFill>
            <w14:solidFill>
              <w14:schemeClr w14:val="tx1"/>
            </w14:solidFill>
          </w14:textFill>
        </w:rPr>
        <w:t>以上的可再生纤维原料生产；</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7</w:t>
      </w:r>
      <w:r>
        <w:rPr>
          <w:rFonts w:hint="eastAsia" w:ascii="Times New Roman" w:hAnsi="Times New Roman"/>
          <w:b w:val="0"/>
          <w:bCs/>
          <w:color w:val="000000" w:themeColor="text1"/>
          <w:sz w:val="24"/>
          <w14:textFill>
            <w14:solidFill>
              <w14:schemeClr w14:val="tx1"/>
            </w14:solidFill>
          </w14:textFill>
        </w:rPr>
        <w:t>）木质商品包装的原料应来源于可持续性森林。</w:t>
      </w:r>
      <w:r>
        <w:rPr>
          <w:rFonts w:ascii="Times New Roman" w:hAnsi="Times New Roman"/>
          <w:b w:val="0"/>
          <w:bCs/>
          <w:color w:val="000000" w:themeColor="text1"/>
          <w:sz w:val="24"/>
          <w14:textFill>
            <w14:solidFill>
              <w14:schemeClr w14:val="tx1"/>
            </w14:solidFill>
          </w14:textFill>
        </w:rPr>
        <w:t xml:space="preserve"> </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注：检测方法</w:t>
      </w:r>
      <w:r>
        <w:rPr>
          <w:rFonts w:ascii="Times New Roman" w:hAnsi="Times New Roman"/>
          <w:b w:val="0"/>
          <w:bCs/>
          <w:color w:val="000000" w:themeColor="text1"/>
          <w:sz w:val="24"/>
          <w14:textFill>
            <w14:solidFill>
              <w14:schemeClr w14:val="tx1"/>
            </w14:solidFill>
          </w14:textFill>
        </w:rPr>
        <w:t>1.</w:t>
      </w:r>
      <w:r>
        <w:rPr>
          <w:rFonts w:hint="eastAsia" w:ascii="Times New Roman" w:hAnsi="Times New Roman"/>
          <w:b w:val="0"/>
          <w:bCs/>
          <w:color w:val="000000" w:themeColor="text1"/>
          <w:sz w:val="24"/>
          <w14:textFill>
            <w14:solidFill>
              <w14:schemeClr w14:val="tx1"/>
            </w14:solidFill>
          </w14:textFill>
        </w:rPr>
        <w:t>商品包装中重金属（铅、汞、镉、六价铬）总量的检测按照</w:t>
      </w:r>
      <w:r>
        <w:rPr>
          <w:rFonts w:ascii="Times New Roman" w:hAnsi="Times New Roman"/>
          <w:b w:val="0"/>
          <w:bCs/>
          <w:color w:val="000000" w:themeColor="text1"/>
          <w:sz w:val="24"/>
          <w14:textFill>
            <w14:solidFill>
              <w14:schemeClr w14:val="tx1"/>
            </w14:solidFill>
          </w14:textFill>
        </w:rPr>
        <w:t xml:space="preserve"> GB/T10004-2008</w:t>
      </w:r>
      <w:r>
        <w:rPr>
          <w:rFonts w:hint="eastAsia" w:ascii="Times New Roman" w:hAnsi="Times New Roman"/>
          <w:b w:val="0"/>
          <w:bCs/>
          <w:color w:val="000000" w:themeColor="text1"/>
          <w:sz w:val="24"/>
          <w14:textFill>
            <w14:solidFill>
              <w14:schemeClr w14:val="tx1"/>
            </w14:solidFill>
          </w14:textFill>
        </w:rPr>
        <w:t>《包装用塑料复合膜、袋干法复合、挤出复合》规定的方法进行。</w:t>
      </w:r>
      <w:r>
        <w:rPr>
          <w:rFonts w:ascii="Times New Roman" w:hAnsi="Times New Roman"/>
          <w:b w:val="0"/>
          <w:bCs/>
          <w:color w:val="000000" w:themeColor="text1"/>
          <w:sz w:val="24"/>
          <w14:textFill>
            <w14:solidFill>
              <w14:schemeClr w14:val="tx1"/>
            </w14:solidFill>
          </w14:textFill>
        </w:rPr>
        <w:t>2.</w:t>
      </w:r>
      <w:r>
        <w:rPr>
          <w:rFonts w:hint="eastAsia" w:ascii="Times New Roman" w:hAnsi="Times New Roman"/>
          <w:b w:val="0"/>
          <w:bCs/>
          <w:color w:val="000000" w:themeColor="text1"/>
          <w:sz w:val="24"/>
          <w14:textFill>
            <w14:solidFill>
              <w14:schemeClr w14:val="tx1"/>
            </w14:solidFill>
          </w14:textFill>
        </w:rPr>
        <w:t>商品包装印刷使用的油墨中挥发性有机化合物</w:t>
      </w:r>
      <w:r>
        <w:rPr>
          <w:rFonts w:ascii="Times New Roman" w:hAnsi="Times New Roman"/>
          <w:b w:val="0"/>
          <w:bCs/>
          <w:color w:val="000000" w:themeColor="text1"/>
          <w:sz w:val="24"/>
          <w14:textFill>
            <w14:solidFill>
              <w14:schemeClr w14:val="tx1"/>
            </w14:solidFill>
          </w14:textFill>
        </w:rPr>
        <w:t>(VOCs)</w:t>
      </w:r>
      <w:r>
        <w:rPr>
          <w:rFonts w:hint="eastAsia" w:ascii="Times New Roman" w:hAnsi="Times New Roman"/>
          <w:b w:val="0"/>
          <w:bCs/>
          <w:color w:val="000000" w:themeColor="text1"/>
          <w:sz w:val="24"/>
          <w14:textFill>
            <w14:solidFill>
              <w14:schemeClr w14:val="tx1"/>
            </w14:solidFill>
          </w14:textFill>
        </w:rPr>
        <w:t>的检测按照</w:t>
      </w:r>
      <w:r>
        <w:rPr>
          <w:rFonts w:ascii="Times New Roman" w:hAnsi="Times New Roman"/>
          <w:b w:val="0"/>
          <w:bCs/>
          <w:color w:val="000000" w:themeColor="text1"/>
          <w:sz w:val="24"/>
          <w14:textFill>
            <w14:solidFill>
              <w14:schemeClr w14:val="tx1"/>
            </w14:solidFill>
          </w14:textFill>
        </w:rPr>
        <w:t>GB/T 23986-2009</w:t>
      </w:r>
      <w:r>
        <w:rPr>
          <w:rFonts w:hint="eastAsia" w:ascii="Times New Roman" w:hAnsi="Times New Roman"/>
          <w:b w:val="0"/>
          <w:bCs/>
          <w:color w:val="000000" w:themeColor="text1"/>
          <w:sz w:val="24"/>
          <w14:textFill>
            <w14:solidFill>
              <w14:schemeClr w14:val="tx1"/>
            </w14:solidFill>
          </w14:textFill>
        </w:rPr>
        <w:t>《色漆和清漆挥发性有机化合物</w:t>
      </w:r>
      <w:r>
        <w:rPr>
          <w:rFonts w:ascii="Times New Roman" w:hAnsi="Times New Roman"/>
          <w:b w:val="0"/>
          <w:bCs/>
          <w:color w:val="000000" w:themeColor="text1"/>
          <w:sz w:val="24"/>
          <w14:textFill>
            <w14:solidFill>
              <w14:schemeClr w14:val="tx1"/>
            </w14:solidFill>
          </w14:textFill>
        </w:rPr>
        <w:t>(VOC)</w:t>
      </w:r>
      <w:r>
        <w:rPr>
          <w:rFonts w:hint="eastAsia" w:ascii="Times New Roman" w:hAnsi="Times New Roman"/>
          <w:b w:val="0"/>
          <w:bCs/>
          <w:color w:val="000000" w:themeColor="text1"/>
          <w:sz w:val="24"/>
          <w14:textFill>
            <w14:solidFill>
              <w14:schemeClr w14:val="tx1"/>
            </w14:solidFill>
          </w14:textFill>
        </w:rPr>
        <w:t>含量的测定</w:t>
      </w:r>
      <w:r>
        <w:rPr>
          <w:rFonts w:ascii="Times New Roman" w:hAnsi="Times New Roman"/>
          <w:b w:val="0"/>
          <w:bCs/>
          <w:color w:val="000000" w:themeColor="text1"/>
          <w:sz w:val="24"/>
          <w14:textFill>
            <w14:solidFill>
              <w14:schemeClr w14:val="tx1"/>
            </w14:solidFill>
          </w14:textFill>
        </w:rPr>
        <w:t xml:space="preserve"> </w:t>
      </w:r>
      <w:r>
        <w:rPr>
          <w:rFonts w:hint="eastAsia" w:ascii="Times New Roman" w:hAnsi="Times New Roman"/>
          <w:b w:val="0"/>
          <w:bCs/>
          <w:color w:val="000000" w:themeColor="text1"/>
          <w:sz w:val="24"/>
          <w14:textFill>
            <w14:solidFill>
              <w14:schemeClr w14:val="tx1"/>
            </w14:solidFill>
          </w14:textFill>
        </w:rPr>
        <w:t>气相色谱法》规定的方法。</w:t>
      </w:r>
    </w:p>
    <w:p>
      <w:pPr>
        <w:pStyle w:val="37"/>
        <w:ind w:firstLine="468"/>
        <w:rPr>
          <w:rFonts w:ascii="Times New Roman" w:hAnsi="Times New Roman"/>
          <w:b w:val="0"/>
          <w:bCs/>
          <w:color w:val="000000" w:themeColor="text1"/>
          <w:sz w:val="24"/>
          <w14:textFill>
            <w14:solidFill>
              <w14:schemeClr w14:val="tx1"/>
            </w14:solidFill>
          </w14:textFill>
        </w:rPr>
      </w:pPr>
      <w:r>
        <w:rPr>
          <w:rFonts w:ascii="Times New Roman" w:hAnsi="Times New Roman"/>
          <w:b w:val="0"/>
          <w:bCs/>
          <w:color w:val="000000" w:themeColor="text1"/>
          <w:sz w:val="24"/>
          <w14:textFill>
            <w14:solidFill>
              <w14:schemeClr w14:val="tx1"/>
            </w14:solidFill>
          </w14:textFill>
        </w:rPr>
        <w:t>2.</w:t>
      </w:r>
      <w:r>
        <w:rPr>
          <w:rFonts w:hint="eastAsia" w:ascii="Times New Roman" w:hAnsi="Times New Roman"/>
          <w:b w:val="0"/>
          <w:bCs/>
          <w:color w:val="000000" w:themeColor="text1"/>
          <w:sz w:val="24"/>
          <w14:textFill>
            <w14:solidFill>
              <w14:schemeClr w14:val="tx1"/>
            </w14:solidFill>
          </w14:textFill>
        </w:rPr>
        <w:t>快递包装环保要求</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1</w:t>
      </w:r>
      <w:r>
        <w:rPr>
          <w:rFonts w:hint="eastAsia" w:ascii="Times New Roman" w:hAnsi="Times New Roman"/>
          <w:b w:val="0"/>
          <w:bCs/>
          <w:color w:val="000000" w:themeColor="text1"/>
          <w:sz w:val="24"/>
          <w14:textFill>
            <w14:solidFill>
              <w14:schemeClr w14:val="tx1"/>
            </w14:solidFill>
          </w14:textFill>
        </w:rPr>
        <w:t>）快递包装中重金属（铅、汞、镉、六价铬）总量应不大于</w:t>
      </w:r>
      <w:r>
        <w:rPr>
          <w:rFonts w:ascii="Times New Roman" w:hAnsi="Times New Roman"/>
          <w:b w:val="0"/>
          <w:bCs/>
          <w:color w:val="000000" w:themeColor="text1"/>
          <w:sz w:val="24"/>
          <w14:textFill>
            <w14:solidFill>
              <w14:schemeClr w14:val="tx1"/>
            </w14:solidFill>
          </w14:textFill>
        </w:rPr>
        <w:t>100mg/kg</w:t>
      </w:r>
      <w:r>
        <w:rPr>
          <w:rFonts w:hint="eastAsia" w:ascii="Times New Roman" w:hAnsi="Times New Roman"/>
          <w:b w:val="0"/>
          <w:bCs/>
          <w:color w:val="000000" w:themeColor="text1"/>
          <w:sz w:val="24"/>
          <w14:textFill>
            <w14:solidFill>
              <w14:schemeClr w14:val="tx1"/>
            </w14:solidFill>
          </w14:textFill>
        </w:rPr>
        <w:t>；</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2</w:t>
      </w:r>
      <w:r>
        <w:rPr>
          <w:rFonts w:hint="eastAsia" w:ascii="Times New Roman" w:hAnsi="Times New Roman"/>
          <w:b w:val="0"/>
          <w:bCs/>
          <w:color w:val="000000" w:themeColor="text1"/>
          <w:sz w:val="24"/>
          <w14:textFill>
            <w14:solidFill>
              <w14:schemeClr w14:val="tx1"/>
            </w14:solidFill>
          </w14:textFill>
        </w:rPr>
        <w:t>）快递包装印刷使用的油墨中不应添加邻苯二甲酸酯，其挥发性有机化合物</w:t>
      </w:r>
      <w:r>
        <w:rPr>
          <w:rFonts w:ascii="Times New Roman" w:hAnsi="Times New Roman"/>
          <w:b w:val="0"/>
          <w:bCs/>
          <w:color w:val="000000" w:themeColor="text1"/>
          <w:sz w:val="24"/>
          <w14:textFill>
            <w14:solidFill>
              <w14:schemeClr w14:val="tx1"/>
            </w14:solidFill>
          </w14:textFill>
        </w:rPr>
        <w:t>(VOCs)</w:t>
      </w:r>
      <w:r>
        <w:rPr>
          <w:rFonts w:hint="eastAsia" w:ascii="Times New Roman" w:hAnsi="Times New Roman"/>
          <w:b w:val="0"/>
          <w:bCs/>
          <w:color w:val="000000" w:themeColor="text1"/>
          <w:sz w:val="24"/>
          <w14:textFill>
            <w14:solidFill>
              <w14:schemeClr w14:val="tx1"/>
            </w14:solidFill>
          </w14:textFill>
        </w:rPr>
        <w:t>含量应不大于</w:t>
      </w:r>
      <w:r>
        <w:rPr>
          <w:rFonts w:ascii="Times New Roman" w:hAnsi="Times New Roman"/>
          <w:b w:val="0"/>
          <w:bCs/>
          <w:color w:val="000000" w:themeColor="text1"/>
          <w:sz w:val="24"/>
          <w14:textFill>
            <w14:solidFill>
              <w14:schemeClr w14:val="tx1"/>
            </w14:solidFill>
          </w14:textFill>
        </w:rPr>
        <w:t>5%</w:t>
      </w:r>
      <w:r>
        <w:rPr>
          <w:rFonts w:hint="eastAsia" w:ascii="Times New Roman" w:hAnsi="Times New Roman"/>
          <w:b w:val="0"/>
          <w:bCs/>
          <w:color w:val="000000" w:themeColor="text1"/>
          <w:sz w:val="24"/>
          <w14:textFill>
            <w14:solidFill>
              <w14:schemeClr w14:val="tx1"/>
            </w14:solidFill>
          </w14:textFill>
        </w:rPr>
        <w:t>（以重量计）；</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3</w:t>
      </w:r>
      <w:r>
        <w:rPr>
          <w:rFonts w:hint="eastAsia" w:ascii="Times New Roman" w:hAnsi="Times New Roman"/>
          <w:b w:val="0"/>
          <w:bCs/>
          <w:color w:val="000000" w:themeColor="text1"/>
          <w:sz w:val="24"/>
          <w14:textFill>
            <w14:solidFill>
              <w14:schemeClr w14:val="tx1"/>
            </w14:solidFill>
          </w14:textFill>
        </w:rPr>
        <w:t>）快递包装中使用纸基材的包装材料，纸基材中的有机氯的含量应不大于</w:t>
      </w:r>
      <w:r>
        <w:rPr>
          <w:rFonts w:ascii="Times New Roman" w:hAnsi="Times New Roman"/>
          <w:b w:val="0"/>
          <w:bCs/>
          <w:color w:val="000000" w:themeColor="text1"/>
          <w:sz w:val="24"/>
          <w14:textFill>
            <w14:solidFill>
              <w14:schemeClr w14:val="tx1"/>
            </w14:solidFill>
          </w14:textFill>
        </w:rPr>
        <w:t>150 mg/kg</w:t>
      </w:r>
      <w:r>
        <w:rPr>
          <w:rFonts w:hint="eastAsia" w:ascii="Times New Roman" w:hAnsi="Times New Roman"/>
          <w:b w:val="0"/>
          <w:bCs/>
          <w:color w:val="000000" w:themeColor="text1"/>
          <w:sz w:val="24"/>
          <w14:textFill>
            <w14:solidFill>
              <w14:schemeClr w14:val="tx1"/>
            </w14:solidFill>
          </w14:textFill>
        </w:rPr>
        <w:t>；</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4</w:t>
      </w:r>
      <w:r>
        <w:rPr>
          <w:rFonts w:hint="eastAsia" w:ascii="Times New Roman" w:hAnsi="Times New Roman"/>
          <w:b w:val="0"/>
          <w:bCs/>
          <w:color w:val="000000" w:themeColor="text1"/>
          <w:sz w:val="24"/>
          <w14:textFill>
            <w14:solidFill>
              <w14:schemeClr w14:val="tx1"/>
            </w14:solidFill>
          </w14:textFill>
        </w:rPr>
        <w:t>）快递包装中使用塑料基材的包装材料不得使用邻苯二甲酸二异壬酯、邻苯二甲酸二正辛酯、邻苯二甲酸二</w:t>
      </w:r>
      <w:r>
        <w:rPr>
          <w:rFonts w:ascii="Times New Roman" w:hAnsi="Times New Roman"/>
          <w:b w:val="0"/>
          <w:bCs/>
          <w:color w:val="000000" w:themeColor="text1"/>
          <w:sz w:val="24"/>
          <w14:textFill>
            <w14:solidFill>
              <w14:schemeClr w14:val="tx1"/>
            </w14:solidFill>
          </w14:textFill>
        </w:rPr>
        <w:t>(2-</w:t>
      </w:r>
      <w:r>
        <w:rPr>
          <w:rFonts w:hint="eastAsia" w:ascii="Times New Roman" w:hAnsi="Times New Roman"/>
          <w:b w:val="0"/>
          <w:bCs/>
          <w:color w:val="000000" w:themeColor="text1"/>
          <w:sz w:val="24"/>
          <w14:textFill>
            <w14:solidFill>
              <w14:schemeClr w14:val="tx1"/>
            </w14:solidFill>
          </w14:textFill>
        </w:rPr>
        <w:t>乙基</w:t>
      </w:r>
      <w:r>
        <w:rPr>
          <w:rFonts w:ascii="Times New Roman" w:hAnsi="Times New Roman"/>
          <w:b w:val="0"/>
          <w:bCs/>
          <w:color w:val="000000" w:themeColor="text1"/>
          <w:sz w:val="24"/>
          <w14:textFill>
            <w14:solidFill>
              <w14:schemeClr w14:val="tx1"/>
            </w14:solidFill>
          </w14:textFill>
        </w:rPr>
        <w:t>)</w:t>
      </w:r>
      <w:r>
        <w:rPr>
          <w:rFonts w:hint="eastAsia" w:ascii="Times New Roman" w:hAnsi="Times New Roman"/>
          <w:b w:val="0"/>
          <w:bCs/>
          <w:color w:val="000000" w:themeColor="text1"/>
          <w:sz w:val="24"/>
          <w14:textFill>
            <w14:solidFill>
              <w14:schemeClr w14:val="tx1"/>
            </w14:solidFill>
          </w14:textFill>
        </w:rPr>
        <w:t>己酯、邻苯二甲酸二异癸酯、邻苯二甲酸丁基苄基酯、邻苯二甲酸二丁酯等作为增塑剂；</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5</w:t>
      </w:r>
      <w:r>
        <w:rPr>
          <w:rFonts w:hint="eastAsia" w:ascii="Times New Roman" w:hAnsi="Times New Roman"/>
          <w:b w:val="0"/>
          <w:bCs/>
          <w:color w:val="000000" w:themeColor="text1"/>
          <w:sz w:val="24"/>
          <w14:textFill>
            <w14:solidFill>
              <w14:schemeClr w14:val="tx1"/>
            </w14:solidFill>
          </w14:textFill>
        </w:rPr>
        <w:t>）快递中使用的塑料包装袋不得使用聚氯乙烯作为原料，且原料应为单一材质制成，生物分解率大于</w:t>
      </w:r>
      <w:r>
        <w:rPr>
          <w:rFonts w:ascii="Times New Roman" w:hAnsi="Times New Roman"/>
          <w:b w:val="0"/>
          <w:bCs/>
          <w:color w:val="000000" w:themeColor="text1"/>
          <w:sz w:val="24"/>
          <w14:textFill>
            <w14:solidFill>
              <w14:schemeClr w14:val="tx1"/>
            </w14:solidFill>
          </w14:textFill>
        </w:rPr>
        <w:t>60%</w:t>
      </w:r>
      <w:r>
        <w:rPr>
          <w:rFonts w:hint="eastAsia" w:ascii="Times New Roman" w:hAnsi="Times New Roman"/>
          <w:b w:val="0"/>
          <w:bCs/>
          <w:color w:val="000000" w:themeColor="text1"/>
          <w:sz w:val="24"/>
          <w14:textFill>
            <w14:solidFill>
              <w14:schemeClr w14:val="tx1"/>
            </w14:solidFill>
          </w14:textFill>
        </w:rPr>
        <w:t>；</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6</w:t>
      </w:r>
      <w:r>
        <w:rPr>
          <w:rFonts w:hint="eastAsia" w:ascii="Times New Roman" w:hAnsi="Times New Roman"/>
          <w:b w:val="0"/>
          <w:bCs/>
          <w:color w:val="000000" w:themeColor="text1"/>
          <w:sz w:val="24"/>
          <w14:textFill>
            <w14:solidFill>
              <w14:schemeClr w14:val="tx1"/>
            </w14:solidFill>
          </w14:textFill>
        </w:rPr>
        <w:t>）快递中使用的充气类填充物不得使用聚氯乙烯作为原料，且原料为单一材质制成，生物分解率大于</w:t>
      </w:r>
      <w:r>
        <w:rPr>
          <w:rFonts w:ascii="Times New Roman" w:hAnsi="Times New Roman"/>
          <w:b w:val="0"/>
          <w:bCs/>
          <w:color w:val="000000" w:themeColor="text1"/>
          <w:sz w:val="24"/>
          <w14:textFill>
            <w14:solidFill>
              <w14:schemeClr w14:val="tx1"/>
            </w14:solidFill>
          </w14:textFill>
        </w:rPr>
        <w:t>60%</w:t>
      </w:r>
      <w:r>
        <w:rPr>
          <w:rFonts w:hint="eastAsia" w:ascii="Times New Roman" w:hAnsi="Times New Roman"/>
          <w:b w:val="0"/>
          <w:bCs/>
          <w:color w:val="000000" w:themeColor="text1"/>
          <w:sz w:val="24"/>
          <w14:textFill>
            <w14:solidFill>
              <w14:schemeClr w14:val="tx1"/>
            </w14:solidFill>
          </w14:textFill>
        </w:rPr>
        <w:t>；</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7</w:t>
      </w:r>
      <w:r>
        <w:rPr>
          <w:rFonts w:hint="eastAsia" w:ascii="Times New Roman" w:hAnsi="Times New Roman"/>
          <w:b w:val="0"/>
          <w:bCs/>
          <w:color w:val="000000" w:themeColor="text1"/>
          <w:sz w:val="24"/>
          <w14:textFill>
            <w14:solidFill>
              <w14:schemeClr w14:val="tx1"/>
            </w14:solidFill>
          </w14:textFill>
        </w:rPr>
        <w:t>）快递中使用的集装袋应为单一材质制成，其重复使用次数应不小于</w:t>
      </w:r>
      <w:r>
        <w:rPr>
          <w:rFonts w:ascii="Times New Roman" w:hAnsi="Times New Roman"/>
          <w:b w:val="0"/>
          <w:bCs/>
          <w:color w:val="000000" w:themeColor="text1"/>
          <w:sz w:val="24"/>
          <w14:textFill>
            <w14:solidFill>
              <w14:schemeClr w14:val="tx1"/>
            </w14:solidFill>
          </w14:textFill>
        </w:rPr>
        <w:t xml:space="preserve">80 </w:t>
      </w:r>
      <w:r>
        <w:rPr>
          <w:rFonts w:hint="eastAsia" w:ascii="Times New Roman" w:hAnsi="Times New Roman"/>
          <w:b w:val="0"/>
          <w:bCs/>
          <w:color w:val="000000" w:themeColor="text1"/>
          <w:sz w:val="24"/>
          <w14:textFill>
            <w14:solidFill>
              <w14:schemeClr w14:val="tx1"/>
            </w14:solidFill>
          </w14:textFill>
        </w:rPr>
        <w:t>次；</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8</w:t>
      </w:r>
      <w:r>
        <w:rPr>
          <w:rFonts w:hint="eastAsia" w:ascii="Times New Roman" w:hAnsi="Times New Roman"/>
          <w:b w:val="0"/>
          <w:bCs/>
          <w:color w:val="000000" w:themeColor="text1"/>
          <w:sz w:val="24"/>
          <w14:textFill>
            <w14:solidFill>
              <w14:schemeClr w14:val="tx1"/>
            </w14:solidFill>
          </w14:textFill>
        </w:rPr>
        <w:t>）快递中应使用幅宽不大于</w:t>
      </w:r>
      <w:r>
        <w:rPr>
          <w:rFonts w:ascii="Times New Roman" w:hAnsi="Times New Roman"/>
          <w:b w:val="0"/>
          <w:bCs/>
          <w:color w:val="000000" w:themeColor="text1"/>
          <w:sz w:val="24"/>
          <w14:textFill>
            <w14:solidFill>
              <w14:schemeClr w14:val="tx1"/>
            </w14:solidFill>
          </w14:textFill>
        </w:rPr>
        <w:t xml:space="preserve">45mm </w:t>
      </w:r>
      <w:r>
        <w:rPr>
          <w:rFonts w:hint="eastAsia" w:ascii="Times New Roman" w:hAnsi="Times New Roman"/>
          <w:b w:val="0"/>
          <w:bCs/>
          <w:color w:val="000000" w:themeColor="text1"/>
          <w:sz w:val="24"/>
          <w14:textFill>
            <w14:solidFill>
              <w14:schemeClr w14:val="tx1"/>
            </w14:solidFill>
          </w14:textFill>
        </w:rPr>
        <w:t>的生物降解胶带；</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9</w:t>
      </w:r>
      <w:r>
        <w:rPr>
          <w:rFonts w:hint="eastAsia" w:ascii="Times New Roman" w:hAnsi="Times New Roman"/>
          <w:b w:val="0"/>
          <w:bCs/>
          <w:color w:val="000000" w:themeColor="text1"/>
          <w:sz w:val="24"/>
          <w14:textFill>
            <w14:solidFill>
              <w14:schemeClr w14:val="tx1"/>
            </w14:solidFill>
          </w14:textFill>
        </w:rPr>
        <w:t>）快递包装中不得使用溶剂型胶粘剂；</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10</w:t>
      </w:r>
      <w:r>
        <w:rPr>
          <w:rFonts w:hint="eastAsia" w:ascii="Times New Roman" w:hAnsi="Times New Roman"/>
          <w:b w:val="0"/>
          <w:bCs/>
          <w:color w:val="000000" w:themeColor="text1"/>
          <w:sz w:val="24"/>
          <w14:textFill>
            <w14:solidFill>
              <w14:schemeClr w14:val="tx1"/>
            </w14:solidFill>
          </w14:textFill>
        </w:rPr>
        <w:t>）快递应使用电子面单；</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11</w:t>
      </w:r>
      <w:r>
        <w:rPr>
          <w:rFonts w:hint="eastAsia" w:ascii="Times New Roman" w:hAnsi="Times New Roman"/>
          <w:b w:val="0"/>
          <w:bCs/>
          <w:color w:val="000000" w:themeColor="text1"/>
          <w:sz w:val="24"/>
          <w14:textFill>
            <w14:solidFill>
              <w14:schemeClr w14:val="tx1"/>
            </w14:solidFill>
          </w14:textFill>
        </w:rPr>
        <w:t>）直接使用商品包装作为快递包装的商品，其商品包装满足《商品包装政府采购需求标准（试行）》即可；</w:t>
      </w:r>
    </w:p>
    <w:p>
      <w:pPr>
        <w:pStyle w:val="37"/>
        <w:ind w:firstLine="468"/>
        <w:rPr>
          <w:rFonts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12</w:t>
      </w:r>
      <w:r>
        <w:rPr>
          <w:rFonts w:hint="eastAsia" w:ascii="Times New Roman" w:hAnsi="Times New Roman"/>
          <w:b w:val="0"/>
          <w:bCs/>
          <w:color w:val="000000" w:themeColor="text1"/>
          <w:sz w:val="24"/>
          <w14:textFill>
            <w14:solidFill>
              <w14:schemeClr w14:val="tx1"/>
            </w14:solidFill>
          </w14:textFill>
        </w:rPr>
        <w:t>）快递包装产品质量和封装方式应符合相关国家或行业标准技术指标要求。</w:t>
      </w:r>
    </w:p>
    <w:p>
      <w:pPr>
        <w:pStyle w:val="37"/>
        <w:ind w:firstLine="470" w:firstLineChars="195"/>
        <w:rPr>
          <w:rFonts w:hint="eastAsia" w:ascii="宋体" w:hAnsi="宋体" w:eastAsia="宋体" w:cs="宋体"/>
          <w:b w:val="0"/>
          <w:bCs/>
          <w:color w:val="auto"/>
          <w:sz w:val="24"/>
          <w:highlight w:val="none"/>
          <w:lang w:eastAsia="zh-CN"/>
        </w:rPr>
      </w:pPr>
      <w:r>
        <w:rPr>
          <w:rFonts w:hint="eastAsia" w:ascii="宋体" w:hAnsi="宋体" w:eastAsia="宋体" w:cs="宋体"/>
          <w:b/>
          <w:bCs w:val="0"/>
          <w:color w:val="auto"/>
          <w:sz w:val="24"/>
          <w:highlight w:val="none"/>
          <w:lang w:eastAsia="zh-CN"/>
        </w:rPr>
        <w:t>（十）政府采购中实施本国产品标准及相关政策</w:t>
      </w:r>
    </w:p>
    <w:p>
      <w:pPr>
        <w:pStyle w:val="37"/>
        <w:ind w:firstLine="468"/>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1.本项目对采购本国产品给予政策支持，具体内容见</w:t>
      </w:r>
      <w:r>
        <w:rPr>
          <w:rFonts w:hint="eastAsia" w:cs="宋体"/>
          <w:b w:val="0"/>
          <w:bCs/>
          <w:color w:val="auto"/>
          <w:sz w:val="24"/>
          <w:highlight w:val="none"/>
          <w:lang w:val="en-US" w:eastAsia="zh-CN"/>
        </w:rPr>
        <w:t>询价通知书</w:t>
      </w:r>
      <w:r>
        <w:rPr>
          <w:rFonts w:hint="eastAsia" w:ascii="宋体" w:hAnsi="宋体" w:eastAsia="宋体" w:cs="宋体"/>
          <w:b w:val="0"/>
          <w:bCs/>
          <w:color w:val="auto"/>
          <w:sz w:val="24"/>
          <w:highlight w:val="none"/>
          <w:lang w:eastAsia="zh-CN"/>
        </w:rPr>
        <w:t>“第五章 评标方法与评标标准”。</w:t>
      </w:r>
    </w:p>
    <w:p>
      <w:pPr>
        <w:pStyle w:val="37"/>
        <w:ind w:firstLine="468"/>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7"/>
        <w:ind w:firstLine="468"/>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rPr>
          <w:rFonts w:hint="default" w:eastAsia="宋体"/>
          <w:color w:val="000000" w:themeColor="text1"/>
          <w:lang w:val="en-US" w:eastAsia="zh-CN"/>
          <w14:textFill>
            <w14:solidFill>
              <w14:schemeClr w14:val="tx1"/>
            </w14:solidFill>
          </w14:textFill>
        </w:rPr>
      </w:pPr>
    </w:p>
    <w:p>
      <w:pPr>
        <w:spacing w:line="360" w:lineRule="auto"/>
        <w:rPr>
          <w:b/>
          <w:sz w:val="24"/>
          <w:szCs w:val="24"/>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54"/>
    <w:rsid w:val="00165217"/>
    <w:rsid w:val="00191423"/>
    <w:rsid w:val="001B0E2B"/>
    <w:rsid w:val="00257F27"/>
    <w:rsid w:val="00351422"/>
    <w:rsid w:val="00361348"/>
    <w:rsid w:val="003A3254"/>
    <w:rsid w:val="005805F2"/>
    <w:rsid w:val="005F118E"/>
    <w:rsid w:val="007719F7"/>
    <w:rsid w:val="0094412E"/>
    <w:rsid w:val="009D6959"/>
    <w:rsid w:val="00B53DFF"/>
    <w:rsid w:val="00B96D52"/>
    <w:rsid w:val="00D54F87"/>
    <w:rsid w:val="00DF3CB0"/>
    <w:rsid w:val="00E05D6E"/>
    <w:rsid w:val="00ED2F29"/>
    <w:rsid w:val="0642024B"/>
    <w:rsid w:val="08FC098A"/>
    <w:rsid w:val="0CC64402"/>
    <w:rsid w:val="21897FA8"/>
    <w:rsid w:val="21DC3862"/>
    <w:rsid w:val="2AB0600B"/>
    <w:rsid w:val="2BE727EF"/>
    <w:rsid w:val="30B231DF"/>
    <w:rsid w:val="38EB348C"/>
    <w:rsid w:val="3D385788"/>
    <w:rsid w:val="408829FA"/>
    <w:rsid w:val="499A12FC"/>
    <w:rsid w:val="4A580482"/>
    <w:rsid w:val="515F3C13"/>
    <w:rsid w:val="539C5E38"/>
    <w:rsid w:val="585E6F17"/>
    <w:rsid w:val="5C912A53"/>
    <w:rsid w:val="5D7874FB"/>
    <w:rsid w:val="60B36662"/>
    <w:rsid w:val="6AF705F9"/>
    <w:rsid w:val="6CCD7863"/>
    <w:rsid w:val="6E6052A1"/>
    <w:rsid w:val="6FA0300D"/>
    <w:rsid w:val="72F00A40"/>
    <w:rsid w:val="75DD6935"/>
    <w:rsid w:val="78436C2C"/>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kern w:val="2"/>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kern w:val="2"/>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kern w:val="2"/>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kern w:val="2"/>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kern w:val="2"/>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kern w:val="2"/>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kern w:val="2"/>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kern w:val="2"/>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kern w:val="2"/>
      <w:szCs w:val="22"/>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Cs w:val="22"/>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标题二、"/>
    <w:basedOn w:val="1"/>
    <w:qFormat/>
    <w:uiPriority w:val="99"/>
    <w:pPr>
      <w:spacing w:line="360" w:lineRule="auto"/>
      <w:ind w:firstLine="200"/>
      <w:outlineLvl w:val="2"/>
    </w:pPr>
    <w:rPr>
      <w:rFonts w:ascii="宋体" w:hAnsi="宋体"/>
      <w:b/>
    </w:rPr>
  </w:style>
  <w:style w:type="character" w:customStyle="1" w:styleId="38">
    <w:name w:val="正文首行缩进 Char"/>
    <w:link w:val="39"/>
    <w:qFormat/>
    <w:locked/>
    <w:uiPriority w:val="0"/>
    <w:rPr>
      <w:rFonts w:ascii="仿宋_GB2312" w:eastAsia="仿宋_GB2312"/>
      <w:sz w:val="30"/>
      <w:szCs w:val="30"/>
    </w:rPr>
  </w:style>
  <w:style w:type="paragraph" w:customStyle="1" w:styleId="39">
    <w:name w:val="正文首行缩进1"/>
    <w:basedOn w:val="1"/>
    <w:link w:val="38"/>
    <w:qFormat/>
    <w:uiPriority w:val="0"/>
    <w:pPr>
      <w:spacing w:line="360" w:lineRule="auto"/>
      <w:ind w:firstLine="200"/>
    </w:pPr>
    <w:rPr>
      <w:rFonts w:ascii="仿宋_GB2312" w:eastAsia="仿宋_GB2312" w:hAnsiTheme="minorHAnsi" w:cstheme="minorBidi"/>
      <w:kern w:val="2"/>
      <w:sz w:val="30"/>
      <w:szCs w:val="30"/>
    </w:rPr>
  </w:style>
  <w:style w:type="character" w:customStyle="1" w:styleId="40">
    <w:name w:val="正文文本 2 Char"/>
    <w:link w:val="41"/>
    <w:qFormat/>
    <w:locked/>
    <w:uiPriority w:val="0"/>
    <w:rPr>
      <w:rFonts w:ascii="楷体_GB2312" w:hAnsi="楷体_GB2312" w:eastAsia="楷体_GB2312"/>
      <w:sz w:val="28"/>
      <w:szCs w:val="28"/>
    </w:rPr>
  </w:style>
  <w:style w:type="paragraph" w:customStyle="1" w:styleId="41">
    <w:name w:val="正文文本 21"/>
    <w:basedOn w:val="1"/>
    <w:link w:val="40"/>
    <w:qFormat/>
    <w:uiPriority w:val="0"/>
    <w:pPr>
      <w:widowControl/>
      <w:jc w:val="center"/>
    </w:pPr>
    <w:rPr>
      <w:rFonts w:ascii="楷体_GB2312" w:hAnsi="楷体_GB2312" w:eastAsia="楷体_GB2312" w:cstheme="minorBidi"/>
      <w:kern w:val="2"/>
      <w:sz w:val="28"/>
      <w:szCs w:val="28"/>
    </w:rPr>
  </w:style>
  <w:style w:type="paragraph" w:customStyle="1" w:styleId="42">
    <w:name w:val="正文_1_1_2"/>
    <w:basedOn w:val="1"/>
    <w:qFormat/>
    <w:uiPriority w:val="0"/>
    <w:rPr>
      <w:rFonts w:ascii="Calibri" w:hAnsi="Calibri"/>
      <w:szCs w:val="22"/>
    </w:rPr>
  </w:style>
  <w:style w:type="paragraph" w:customStyle="1" w:styleId="43">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44">
    <w:name w:val="b63ee27f-4cf3-414c-9275-d88e3f90795e"/>
    <w:basedOn w:val="4"/>
    <w:next w:val="45"/>
    <w:qFormat/>
    <w:uiPriority w:val="0"/>
    <w:pPr>
      <w:adjustRightInd w:val="0"/>
      <w:spacing w:line="288" w:lineRule="auto"/>
      <w:jc w:val="left"/>
    </w:pPr>
    <w:rPr>
      <w:rFonts w:hint="eastAsia" w:ascii="微软雅黑" w:hAnsi="微软雅黑" w:eastAsia="微软雅黑" w:cs="微软雅黑"/>
      <w:b/>
      <w:color w:val="000000"/>
      <w:sz w:val="26"/>
    </w:rPr>
  </w:style>
  <w:style w:type="paragraph" w:customStyle="1" w:styleId="45">
    <w:name w:val="acbfdd8b-e11b-4d36-88ff-6049b138f862"/>
    <w:basedOn w:val="1"/>
    <w:qFormat/>
    <w:uiPriority w:val="0"/>
    <w:pPr>
      <w:adjustRightInd w:val="0"/>
      <w:spacing w:line="288" w:lineRule="auto"/>
      <w:jc w:val="left"/>
    </w:pPr>
    <w:rPr>
      <w:rFonts w:hint="eastAsia" w:ascii="微软雅黑" w:hAnsi="微软雅黑" w:eastAsia="微软雅黑" w:cs="微软雅黑"/>
      <w:color w:val="00000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2518</Words>
  <Characters>2725</Characters>
  <Lines>102</Lines>
  <Paragraphs>113</Paragraphs>
  <TotalTime>9</TotalTime>
  <ScaleCrop>false</ScaleCrop>
  <LinksUpToDate>false</LinksUpToDate>
  <CharactersWithSpaces>2736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2025-11-05T06:19:00Z</dcterms:created>
  <dc:creator>Administrator</dc:creator>
  <cp:lastModifiedBy>Administrator</cp:lastModifiedBy>
  <cp:lastPrinted>2026-03-04T08:06:00Z</cp:lastPrinted>
  <dcterms:modified xsi:type="dcterms:W3CDTF">2026-03-19T01:48:07Z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eyJoZGlkIjoiNzEzMGRlNDk1NDQxZGZmN2FjZDllMTNkZTAxNDgzZmMiLCJ1c2VySWQiOiIxMjMyNDg0ODU2In0=</vt:lpwstr>
  </property>
  <property fmtid="{D5CDD505-2E9C-101B-9397-08002B2CF9AE}" pid="3" name="KSOProductBuildVer">
    <vt:lpwstr>2052-11.8.2.9067</vt:lpwstr>
  </property>
  <property fmtid="{D5CDD505-2E9C-101B-9397-08002B2CF9AE}" pid="4" name="ICV">
    <vt:lpwstr>DDF1C7FAED4249A686054FD7B6F707BC_13</vt:lpwstr>
  </property>
</Properties>
</file>