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jc w:val="left"/>
        <w:spacing w:before="120" w:after="120" w:line="480" w:lineRule="exact"/>
        <w:rPr>
          <w:rFonts w:hint="eastAsia" w:ascii="宋体" w:hAnsi="宋体" w:eastAsia="宋体" w:cs="宋体"/>
          <w:b/>
          <w:bCs/>
          <w:sz w:val="84"/>
          <w:szCs w:val="24"/>
        </w:rPr>
      </w:pPr>
      <w:r>
        <w:rPr>
          <w:rFonts w:hint="eastAsia" w:ascii="宋体" w:hAnsi="宋体" w:eastAsia="宋体" w:cs="宋体"/>
          <w:b/>
          <w:bCs/>
          <w:sz w:val="84"/>
          <w:szCs w:val="24"/>
        </w:rPr>
      </w:r>
      <w:r/>
    </w:p>
    <w:p>
      <w:pPr>
        <w:pStyle w:val="921"/>
        <w:jc w:val="center"/>
        <w:spacing w:before="120" w:after="120" w:line="480" w:lineRule="exact"/>
        <w:rPr>
          <w:rFonts w:hint="eastAsia" w:ascii="宋体" w:hAnsi="宋体" w:eastAsia="宋体" w:cs="宋体"/>
          <w:b/>
          <w:bCs/>
          <w:sz w:val="84"/>
          <w:szCs w:val="24"/>
        </w:rPr>
      </w:pPr>
      <w:r>
        <w:rPr>
          <w:rFonts w:hint="eastAsia" w:ascii="宋体" w:hAnsi="宋体" w:eastAsia="宋体" w:cs="宋体"/>
          <w:b/>
          <w:bCs/>
          <w:sz w:val="84"/>
          <w:szCs w:val="24"/>
        </w:rPr>
      </w:r>
      <w:r/>
    </w:p>
    <w:p>
      <w:pPr>
        <w:pStyle w:val="921"/>
        <w:jc w:val="center"/>
        <w:spacing w:before="120" w:after="120" w:line="480" w:lineRule="exact"/>
        <w:rPr>
          <w:rFonts w:hint="eastAsia" w:ascii="宋体" w:hAnsi="宋体" w:eastAsia="宋体" w:cs="宋体"/>
          <w:b/>
          <w:bCs/>
          <w:sz w:val="84"/>
          <w:szCs w:val="24"/>
        </w:rPr>
      </w:pPr>
      <w:r>
        <w:rPr>
          <w:rFonts w:hint="eastAsia" w:ascii="宋体" w:hAnsi="宋体" w:eastAsia="宋体" w:cs="宋体"/>
          <w:b/>
          <w:bCs/>
          <w:sz w:val="84"/>
          <w:szCs w:val="24"/>
        </w:rPr>
      </w:r>
      <w:r/>
    </w:p>
    <w:p>
      <w:pPr>
        <w:pStyle w:val="921"/>
        <w:jc w:val="center"/>
        <w:rPr>
          <w:rFonts w:hint="eastAsia" w:ascii="宋体" w:hAnsi="宋体" w:eastAsia="宋体" w:cs="宋体"/>
          <w:sz w:val="84"/>
          <w:szCs w:val="84"/>
        </w:rPr>
      </w:pPr>
      <w:r>
        <w:rPr>
          <w:rFonts w:hint="eastAsia" w:ascii="宋体" w:hAnsi="宋体" w:eastAsia="宋体" w:cs="宋体"/>
          <w:sz w:val="84"/>
          <w:szCs w:val="84"/>
        </w:rPr>
        <w:t xml:space="preserve">竞争性磋商文件</w:t>
      </w:r>
      <w:r>
        <w:rPr>
          <w:rFonts w:hint="eastAsia" w:ascii="宋体" w:hAnsi="宋体" w:eastAsia="宋体" w:cs="宋体"/>
          <w:sz w:val="84"/>
          <w:szCs w:val="84"/>
        </w:rPr>
      </w:r>
      <w:r/>
    </w:p>
    <w:p>
      <w:pPr>
        <w:pStyle w:val="1000"/>
        <w:ind w:firstLine="0"/>
        <w:rPr>
          <w:rFonts w:hint="eastAsia" w:ascii="宋体" w:hAnsi="宋体" w:eastAsia="宋体" w:cs="宋体"/>
        </w:rPr>
      </w:pPr>
      <w:r>
        <w:rPr>
          <w:rFonts w:hint="eastAsia" w:ascii="宋体" w:hAnsi="宋体" w:eastAsia="宋体" w:cs="宋体"/>
        </w:rPr>
      </w:r>
      <w:r/>
    </w:p>
    <w:p>
      <w:pPr>
        <w:pStyle w:val="921"/>
        <w:ind w:firstLine="0"/>
        <w:jc w:val="left"/>
        <w:spacing w:before="120" w:after="120" w:line="480" w:lineRule="exact"/>
        <w:rPr>
          <w:rFonts w:hint="eastAsia" w:ascii="宋体" w:hAnsi="宋体" w:eastAsia="宋体" w:cs="宋体"/>
          <w:b/>
          <w:bCs/>
          <w:sz w:val="32"/>
          <w:szCs w:val="24"/>
          <w:highlight w:val="none"/>
          <w:lang w:eastAsia="zh-CN"/>
        </w:rPr>
      </w:pPr>
      <w:r>
        <w:rPr>
          <w:rFonts w:hint="eastAsia" w:ascii="宋体" w:hAnsi="宋体" w:eastAsia="宋体" w:cs="宋体"/>
          <w:b/>
          <w:bCs/>
          <w:sz w:val="32"/>
          <w:szCs w:val="24"/>
        </w:rPr>
        <w:t xml:space="preserve">    项目名</w:t>
      </w:r>
      <w:r>
        <w:rPr>
          <w:rFonts w:hint="eastAsia" w:ascii="宋体" w:hAnsi="宋体" w:eastAsia="宋体" w:cs="宋体"/>
          <w:b/>
          <w:bCs/>
          <w:sz w:val="32"/>
          <w:szCs w:val="24"/>
          <w:highlight w:val="none"/>
        </w:rPr>
        <w:t xml:space="preserve">称：</w:t>
      </w:r>
      <w:r>
        <w:rPr>
          <w:rFonts w:hint="eastAsia" w:ascii="宋体" w:hAnsi="宋体" w:eastAsia="宋体" w:cs="宋体"/>
          <w:b/>
          <w:bCs/>
          <w:sz w:val="32"/>
          <w:szCs w:val="24"/>
          <w:highlight w:val="none"/>
          <w:lang w:eastAsia="zh-CN"/>
        </w:rPr>
        <w:t xml:space="preserve">苏宿园区职工医保长期护理保险承办机构采购</w:t>
      </w:r>
      <w:r>
        <w:rPr>
          <w:rFonts w:hint="eastAsia" w:ascii="宋体" w:hAnsi="宋体" w:eastAsia="宋体" w:cs="宋体"/>
          <w:b/>
          <w:bCs/>
          <w:sz w:val="32"/>
          <w:szCs w:val="24"/>
          <w:highlight w:val="none"/>
          <w:lang w:eastAsia="zh-CN"/>
        </w:rPr>
      </w:r>
      <w:r/>
    </w:p>
    <w:p>
      <w:pPr>
        <w:pStyle w:val="921"/>
        <w:ind w:firstLine="0"/>
        <w:jc w:val="left"/>
        <w:spacing w:before="120" w:after="120" w:line="480" w:lineRule="exact"/>
        <w:rPr>
          <w:rFonts w:hint="eastAsia" w:ascii="宋体" w:hAnsi="宋体" w:eastAsia="宋体" w:cs="宋体"/>
          <w:b/>
          <w:bCs/>
          <w:sz w:val="32"/>
          <w:szCs w:val="24"/>
        </w:rPr>
      </w:pPr>
      <w:r>
        <w:rPr>
          <w:rFonts w:hint="eastAsia" w:ascii="宋体" w:hAnsi="宋体" w:eastAsia="宋体" w:cs="宋体"/>
          <w:b/>
          <w:bCs/>
          <w:sz w:val="32"/>
          <w:szCs w:val="24"/>
          <w:highlight w:val="none"/>
        </w:rPr>
        <w:t xml:space="preserve">    项目编号：</w:t>
      </w:r>
      <w:r>
        <w:rPr>
          <w:rFonts w:hint="eastAsia" w:ascii="宋体" w:hAnsi="宋体" w:eastAsia="宋体" w:cs="宋体"/>
          <w:b/>
          <w:bCs/>
          <w:sz w:val="32"/>
          <w:szCs w:val="24"/>
          <w:highlight w:val="none"/>
          <w:lang w:eastAsia="zh-CN"/>
        </w:rPr>
        <w:t xml:space="preserve">JSZC-321395-ZCZX-C2026-0030</w:t>
      </w:r>
      <w:r>
        <w:rPr>
          <w:rFonts w:hint="eastAsia" w:ascii="宋体" w:hAnsi="宋体" w:eastAsia="宋体" w:cs="宋体"/>
          <w:b/>
          <w:bCs/>
          <w:sz w:val="32"/>
          <w:szCs w:val="24"/>
          <w:highlight w:val="none"/>
          <w:lang w:val="en-US" w:eastAsia="zh-CN"/>
        </w:rPr>
        <w:t xml:space="preserve"> </w:t>
      </w:r>
      <w:r>
        <w:rPr>
          <w:rFonts w:hint="eastAsia" w:ascii="宋体" w:hAnsi="宋体" w:eastAsia="宋体" w:cs="宋体"/>
          <w:b/>
          <w:bCs/>
          <w:sz w:val="32"/>
          <w:szCs w:val="24"/>
          <w:highlight w:val="none"/>
        </w:rPr>
        <w:t xml:space="preserve">      </w:t>
      </w:r>
      <w:r>
        <w:rPr>
          <w:rFonts w:hint="eastAsia" w:ascii="宋体" w:hAnsi="宋体" w:eastAsia="宋体" w:cs="宋体"/>
          <w:b/>
          <w:bCs/>
          <w:sz w:val="32"/>
          <w:szCs w:val="24"/>
        </w:rPr>
        <w:t xml:space="preserve">             </w:t>
      </w:r>
      <w:r>
        <w:rPr>
          <w:rFonts w:hint="eastAsia" w:ascii="宋体" w:hAnsi="宋体" w:eastAsia="宋体" w:cs="宋体"/>
          <w:b/>
          <w:bCs/>
          <w:sz w:val="32"/>
          <w:szCs w:val="24"/>
        </w:rPr>
      </w:r>
      <w:r/>
    </w:p>
    <w:p>
      <w:pPr>
        <w:pStyle w:val="921"/>
        <w:ind w:firstLine="1928"/>
        <w:jc w:val="left"/>
        <w:spacing w:before="120" w:after="120" w:line="480" w:lineRule="exact"/>
        <w:rPr>
          <w:rFonts w:hint="eastAsia" w:ascii="宋体" w:hAnsi="宋体" w:eastAsia="宋体" w:cs="宋体"/>
          <w:b/>
          <w:sz w:val="30"/>
          <w:szCs w:val="30"/>
        </w:rPr>
      </w:pPr>
      <w:r>
        <w:rPr>
          <w:rFonts w:hint="eastAsia" w:ascii="宋体" w:hAnsi="宋体" w:eastAsia="宋体" w:cs="宋体"/>
          <w:b/>
          <w:bCs/>
          <w:sz w:val="32"/>
          <w:szCs w:val="24"/>
        </w:rPr>
        <w:t xml:space="preserve">（</w:t>
      </w:r>
      <w:r>
        <w:rPr>
          <w:rFonts w:hint="eastAsia" w:ascii="宋体" w:hAnsi="宋体" w:eastAsia="宋体" w:cs="宋体"/>
          <w:b/>
          <w:bCs/>
          <w:sz w:val="32"/>
          <w:szCs w:val="24"/>
          <w:u w:val="single"/>
        </w:rPr>
        <w:t xml:space="preserve">服务</w:t>
      </w:r>
      <w:r>
        <w:rPr>
          <w:rFonts w:hint="eastAsia" w:ascii="宋体" w:hAnsi="宋体" w:eastAsia="宋体" w:cs="宋体"/>
          <w:b/>
          <w:bCs/>
          <w:sz w:val="32"/>
          <w:szCs w:val="24"/>
        </w:rPr>
        <w:t xml:space="preserve">类项目，</w:t>
      </w:r>
      <w:r>
        <w:rPr>
          <w:rFonts w:hint="eastAsia" w:ascii="宋体" w:hAnsi="宋体" w:eastAsia="宋体" w:cs="宋体"/>
          <w:b/>
          <w:bCs/>
          <w:sz w:val="32"/>
          <w:szCs w:val="24"/>
          <w:u w:val="single"/>
        </w:rPr>
        <w:t xml:space="preserve"> 非 </w:t>
      </w:r>
      <w:r>
        <w:rPr>
          <w:rFonts w:hint="eastAsia" w:ascii="宋体" w:hAnsi="宋体" w:eastAsia="宋体" w:cs="宋体"/>
          <w:b/>
          <w:bCs/>
          <w:sz w:val="32"/>
          <w:szCs w:val="24"/>
        </w:rPr>
        <w:t xml:space="preserve">专门面向中小企业）</w:t>
      </w:r>
      <w:r>
        <w:rPr>
          <w:rFonts w:hint="eastAsia" w:ascii="宋体" w:hAnsi="宋体" w:eastAsia="宋体" w:cs="宋体"/>
          <w:szCs w:val="21"/>
        </w:rPr>
        <w:t xml:space="preserve">           </w:t>
      </w:r>
      <w:r>
        <w:rPr>
          <w:rFonts w:hint="eastAsia" w:ascii="宋体" w:hAnsi="宋体" w:eastAsia="宋体" w:cs="宋体"/>
          <w:b/>
          <w:sz w:val="30"/>
          <w:szCs w:val="30"/>
        </w:rPr>
        <w:t xml:space="preserve">     </w:t>
      </w:r>
      <w:r>
        <w:rPr>
          <w:rFonts w:hint="eastAsia" w:ascii="宋体" w:hAnsi="宋体" w:eastAsia="宋体" w:cs="宋体"/>
          <w:b/>
          <w:sz w:val="30"/>
          <w:szCs w:val="30"/>
        </w:rPr>
      </w:r>
      <w:r/>
    </w:p>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024"/>
        <w:ind w:firstLine="1372"/>
        <w:jc w:val="both"/>
        <w:spacing w:line="480" w:lineRule="exact"/>
        <w:rPr>
          <w:rFonts w:hint="eastAsia" w:ascii="宋体" w:hAnsi="宋体" w:eastAsia="宋体" w:cs="宋体"/>
          <w:b/>
          <w:bCs/>
          <w:sz w:val="32"/>
          <w:u w:val="single"/>
          <w:lang w:eastAsia="zh-CN"/>
        </w:rPr>
      </w:pPr>
      <w:r>
        <w:rPr>
          <w:rFonts w:hint="eastAsia" w:ascii="宋体" w:hAnsi="宋体" w:eastAsia="宋体" w:cs="宋体"/>
          <w:b/>
          <w:bCs/>
          <w:sz w:val="32"/>
        </w:rPr>
        <w:t xml:space="preserve">采购人：</w:t>
      </w:r>
      <w:r>
        <w:rPr>
          <w:rFonts w:hint="eastAsia" w:ascii="宋体" w:hAnsi="宋体" w:eastAsia="宋体" w:cs="宋体"/>
          <w:b/>
          <w:bCs/>
          <w:sz w:val="32"/>
          <w:u w:val="single"/>
          <w:lang w:eastAsia="zh-CN"/>
        </w:rPr>
        <w:t xml:space="preserve">苏州宿迁工业园区社会保险基金管理中心</w:t>
      </w:r>
      <w:r>
        <w:rPr>
          <w:rFonts w:hint="eastAsia" w:ascii="宋体" w:hAnsi="宋体" w:eastAsia="宋体" w:cs="宋体"/>
          <w:b/>
          <w:bCs/>
          <w:sz w:val="32"/>
          <w:u w:val="single"/>
          <w:lang w:eastAsia="zh-CN"/>
        </w:rPr>
      </w:r>
      <w:r/>
    </w:p>
    <w:p>
      <w:pPr>
        <w:pStyle w:val="1024"/>
        <w:ind w:firstLine="1372"/>
        <w:jc w:val="both"/>
        <w:spacing w:line="480" w:lineRule="exact"/>
        <w:rPr>
          <w:rFonts w:hint="eastAsia" w:ascii="宋体" w:hAnsi="宋体" w:eastAsia="宋体" w:cs="宋体"/>
          <w:b/>
          <w:bCs/>
          <w:sz w:val="32"/>
          <w:u w:val="single"/>
        </w:rPr>
      </w:pPr>
      <w:r>
        <w:rPr>
          <w:rFonts w:hint="eastAsia" w:ascii="宋体" w:hAnsi="宋体" w:eastAsia="宋体" w:cs="宋体"/>
          <w:b/>
          <w:bCs/>
          <w:sz w:val="32"/>
        </w:rPr>
        <w:t xml:space="preserve">采购代理机构：</w:t>
      </w:r>
      <w:r>
        <w:rPr>
          <w:rFonts w:hint="eastAsia" w:ascii="宋体" w:hAnsi="宋体" w:eastAsia="宋体" w:cs="宋体"/>
          <w:b/>
          <w:bCs/>
          <w:sz w:val="32"/>
          <w:u w:val="single"/>
        </w:rPr>
        <w:t xml:space="preserve">中诚智信工程咨询集团股份有限公司 </w:t>
      </w:r>
      <w:r>
        <w:rPr>
          <w:rFonts w:hint="eastAsia" w:ascii="宋体" w:hAnsi="宋体" w:eastAsia="宋体" w:cs="宋体"/>
          <w:b/>
          <w:bCs/>
          <w:sz w:val="32"/>
          <w:u w:val="single"/>
        </w:rPr>
      </w:r>
      <w:r/>
    </w:p>
    <w:p>
      <w:pPr>
        <w:pStyle w:val="1024"/>
        <w:ind w:firstLine="2570"/>
        <w:jc w:val="both"/>
        <w:spacing w:line="480" w:lineRule="exact"/>
        <w:rPr>
          <w:rFonts w:hint="eastAsia" w:ascii="宋体" w:hAnsi="宋体" w:eastAsia="宋体" w:cs="宋体"/>
          <w:b/>
          <w:bCs/>
          <w:sz w:val="32"/>
        </w:rPr>
      </w:pPr>
      <w:r>
        <w:rPr>
          <w:rFonts w:hint="eastAsia" w:ascii="宋体" w:hAnsi="宋体" w:eastAsia="宋体" w:cs="宋体"/>
          <w:b/>
          <w:bCs/>
          <w:sz w:val="32"/>
          <w:u w:val="single"/>
        </w:rPr>
        <w:t xml:space="preserve">202</w:t>
      </w:r>
      <w:r>
        <w:rPr>
          <w:rFonts w:hint="eastAsia" w:ascii="宋体" w:hAnsi="宋体" w:eastAsia="宋体" w:cs="宋体"/>
          <w:b/>
          <w:bCs/>
          <w:sz w:val="32"/>
          <w:u w:val="single"/>
          <w:lang w:val="en-US" w:eastAsia="zh-CN"/>
        </w:rPr>
        <w:t xml:space="preserve">6</w:t>
      </w:r>
      <w:r>
        <w:rPr>
          <w:rFonts w:hint="eastAsia" w:ascii="宋体" w:hAnsi="宋体" w:eastAsia="宋体" w:cs="宋体"/>
          <w:b/>
          <w:bCs/>
          <w:sz w:val="32"/>
          <w:u w:val="single"/>
        </w:rPr>
        <w:t xml:space="preserve"> </w:t>
      </w:r>
      <w:r>
        <w:rPr>
          <w:rFonts w:hint="eastAsia" w:ascii="宋体" w:hAnsi="宋体" w:eastAsia="宋体" w:cs="宋体"/>
          <w:b/>
          <w:bCs/>
          <w:sz w:val="32"/>
        </w:rPr>
        <w:t xml:space="preserve">年</w:t>
      </w:r>
      <w:r>
        <w:rPr>
          <w:rFonts w:hint="eastAsia" w:ascii="宋体" w:hAnsi="宋体" w:cs="宋体"/>
          <w:b/>
          <w:bCs/>
          <w:sz w:val="32"/>
          <w:u w:val="single"/>
          <w:lang w:val="en-US" w:eastAsia="zh-CN"/>
        </w:rPr>
        <w:t xml:space="preserve">4</w:t>
      </w:r>
      <w:r>
        <w:rPr>
          <w:rFonts w:hint="eastAsia" w:ascii="宋体" w:hAnsi="宋体" w:eastAsia="宋体" w:cs="宋体"/>
          <w:b/>
          <w:bCs/>
          <w:sz w:val="32"/>
        </w:rPr>
        <w:t xml:space="preserve">月</w:t>
      </w:r>
      <w:r>
        <w:rPr>
          <w:rFonts w:hint="eastAsia" w:ascii="宋体" w:hAnsi="宋体" w:cs="宋体"/>
          <w:b/>
          <w:bCs/>
          <w:sz w:val="32"/>
          <w:u w:val="single"/>
          <w:lang w:val="en-US" w:eastAsia="zh-CN"/>
        </w:rPr>
        <w:t xml:space="preserve">3</w:t>
      </w:r>
      <w:r>
        <w:rPr>
          <w:rFonts w:hint="eastAsia" w:ascii="宋体" w:hAnsi="宋体" w:eastAsia="宋体" w:cs="宋体"/>
          <w:b/>
          <w:bCs/>
          <w:sz w:val="32"/>
        </w:rPr>
        <w:t xml:space="preserve">日</w:t>
      </w:r>
      <w:r>
        <w:rPr>
          <w:rFonts w:hint="eastAsia" w:ascii="宋体" w:hAnsi="宋体" w:eastAsia="宋体" w:cs="宋体"/>
          <w:b/>
          <w:bCs/>
          <w:sz w:val="32"/>
        </w:rPr>
      </w:r>
      <w:r/>
    </w:p>
    <w:p>
      <w:pPr>
        <w:pStyle w:val="921"/>
        <w:jc w:val="left"/>
        <w:spacing w:before="120" w:after="120"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u w:val="single"/>
        </w:rPr>
      </w:r>
      <w:r/>
    </w:p>
    <w:p>
      <w:pPr>
        <w:pStyle w:val="921"/>
        <w:jc w:val="center"/>
        <w:spacing w:before="120" w:after="120"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jc w:val="center"/>
        <w:spacing w:line="480" w:lineRule="exact"/>
        <w:rPr>
          <w:rFonts w:hint="eastAsia" w:ascii="宋体" w:hAnsi="宋体" w:eastAsia="宋体" w:cs="宋体"/>
          <w:b/>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ascii="宋体" w:hAnsi="宋体" w:eastAsia="宋体" w:cs="宋体"/>
          <w:b/>
          <w:sz w:val="44"/>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jc w:val="center"/>
        <w:spacing w:line="480" w:lineRule="exact"/>
        <w:rPr>
          <w:rFonts w:hint="eastAsia" w:ascii="宋体" w:hAnsi="宋体" w:eastAsia="宋体" w:cs="宋体"/>
          <w:b/>
          <w:sz w:val="44"/>
          <w:szCs w:val="21"/>
        </w:rPr>
      </w:pPr>
      <w:r>
        <w:rPr>
          <w:rFonts w:hint="eastAsia" w:ascii="宋体" w:hAnsi="宋体" w:eastAsia="宋体" w:cs="宋体"/>
          <w:b/>
          <w:sz w:val="44"/>
          <w:szCs w:val="21"/>
        </w:rPr>
        <w:t xml:space="preserve">总  目  录</w:t>
      </w:r>
      <w:r>
        <w:rPr>
          <w:rFonts w:hint="eastAsia" w:ascii="宋体" w:hAnsi="宋体" w:eastAsia="宋体" w:cs="宋体"/>
          <w:b/>
          <w:sz w:val="44"/>
          <w:szCs w:val="21"/>
        </w:rPr>
      </w:r>
      <w:r/>
    </w:p>
    <w:p>
      <w:pPr>
        <w:pStyle w:val="921"/>
        <w:spacing w:line="48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975"/>
        <w:tabs>
          <w:tab w:val="right" w:pos="8953" w:leader="dot"/>
        </w:tabs>
        <w:rPr>
          <w:rFonts w:hint="eastAsia" w:ascii="宋体" w:hAnsi="宋体" w:eastAsia="宋体" w:cs="宋体"/>
          <w:sz w:val="28"/>
          <w:szCs w:val="28"/>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TOC \o "1-1" \h \u </w:instrText>
      </w:r>
      <w:r>
        <w:rPr>
          <w:rFonts w:hint="eastAsia" w:ascii="宋体" w:hAnsi="宋体" w:eastAsia="宋体" w:cs="宋体"/>
          <w:sz w:val="36"/>
          <w:szCs w:val="36"/>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_Toc29188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  磋商邀请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_Toc29188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１</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75"/>
        <w:tabs>
          <w:tab w:val="right" w:pos="89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_Toc22750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第二章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_Toc22750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４</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75"/>
        <w:tabs>
          <w:tab w:val="right" w:pos="89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_Toc32149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第三章  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_Toc32149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２１</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75"/>
        <w:tabs>
          <w:tab w:val="right" w:pos="89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_Toc5712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_Toc5712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３５</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75"/>
        <w:tabs>
          <w:tab w:val="right" w:pos="89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_Toc16235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第五章  评审方法与评审标准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_Toc16235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４４</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975"/>
        <w:tabs>
          <w:tab w:val="right" w:pos="8953" w:leader="dot"/>
        </w:tabs>
        <w:rPr>
          <w:rFonts w:hint="eastAsia" w:ascii="宋体" w:hAnsi="宋体" w:eastAsia="宋体" w:cs="宋体"/>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_Toc4708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第六章  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_Toc4708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５０</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rPr>
      </w:r>
      <w:r/>
    </w:p>
    <w:p>
      <w:pPr>
        <w:pStyle w:val="921"/>
        <w:spacing w:line="480" w:lineRule="exact"/>
        <w:rPr>
          <w:rFonts w:hint="eastAsia" w:ascii="宋体" w:hAnsi="宋体" w:eastAsia="宋体" w:cs="宋体"/>
          <w:szCs w:val="21"/>
        </w:rPr>
      </w:pPr>
      <w:r>
        <w:rPr>
          <w:rFonts w:hint="eastAsia" w:ascii="宋体" w:hAnsi="宋体" w:eastAsia="宋体" w:cs="宋体"/>
          <w:szCs w:val="36"/>
        </w:rPr>
        <w:fldChar w:fldCharType="end"/>
      </w: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jc w:val="center"/>
        <w:keepNext/>
        <w:spacing w:line="480" w:lineRule="exact"/>
        <w:rPr>
          <w:rFonts w:hint="eastAsia" w:ascii="宋体" w:hAnsi="宋体" w:eastAsia="宋体" w:cs="宋体"/>
          <w:sz w:val="44"/>
          <w:szCs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rPr>
          <w:rFonts w:hint="eastAsia" w:ascii="宋体" w:hAnsi="宋体" w:eastAsia="宋体" w:cs="宋体"/>
          <w:sz w:val="44"/>
          <w:szCs w:val="44"/>
        </w:rPr>
      </w:r>
      <w:r/>
    </w:p>
    <w:p>
      <w:pPr>
        <w:pStyle w:val="921"/>
        <w:jc w:val="center"/>
        <w:keepNext/>
        <w:spacing w:line="480" w:lineRule="exact"/>
        <w:rPr>
          <w:rFonts w:hint="eastAsia" w:ascii="宋体" w:hAnsi="宋体" w:eastAsia="宋体" w:cs="宋体"/>
          <w:bCs/>
          <w:sz w:val="44"/>
          <w:szCs w:val="44"/>
        </w:rPr>
        <w:outlineLvl w:val="0"/>
      </w:pPr>
      <w:r/>
      <w:bookmarkStart w:id="6" w:name="_Toc29188"/>
      <w:r>
        <w:rPr>
          <w:rFonts w:hint="eastAsia" w:ascii="宋体" w:hAnsi="宋体" w:eastAsia="宋体" w:cs="宋体"/>
          <w:sz w:val="44"/>
          <w:szCs w:val="44"/>
        </w:rPr>
        <w:t xml:space="preserve">第一章  </w:t>
      </w:r>
      <w:bookmarkEnd w:id="0"/>
      <w:r>
        <w:rPr>
          <w:rFonts w:hint="eastAsia" w:ascii="宋体" w:hAnsi="宋体" w:eastAsia="宋体" w:cs="宋体"/>
          <w:sz w:val="44"/>
          <w:szCs w:val="44"/>
        </w:rPr>
        <w:t xml:space="preserve">磋商邀请</w:t>
      </w:r>
      <w:bookmarkEnd w:id="6"/>
      <w:r>
        <w:rPr>
          <w:rFonts w:hint="eastAsia" w:ascii="宋体" w:hAnsi="宋体" w:eastAsia="宋体" w:cs="宋体"/>
          <w:bCs/>
          <w:sz w:val="44"/>
          <w:szCs w:val="4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u w:val="single"/>
          <w:lang w:eastAsia="zh-CN"/>
        </w:rPr>
        <w:t xml:space="preserve">苏州宿迁工业园区社会保险基金管理中心</w:t>
      </w:r>
      <w:r>
        <w:rPr>
          <w:rFonts w:hint="eastAsia" w:ascii="宋体" w:hAnsi="宋体" w:eastAsia="宋体" w:cs="宋体"/>
          <w:sz w:val="24"/>
          <w:szCs w:val="24"/>
        </w:rPr>
        <w:t xml:space="preserve">的委托，</w:t>
      </w:r>
      <w:r>
        <w:rPr>
          <w:rFonts w:hint="eastAsia" w:ascii="宋体" w:hAnsi="宋体" w:eastAsia="宋体" w:cs="宋体"/>
          <w:sz w:val="24"/>
          <w:szCs w:val="24"/>
          <w:u w:val="single"/>
        </w:rPr>
        <w:t xml:space="preserve">中诚智信工程咨询集团股份有限公司</w:t>
      </w:r>
      <w:r>
        <w:rPr>
          <w:rFonts w:hint="eastAsia" w:ascii="宋体" w:hAnsi="宋体" w:eastAsia="宋体" w:cs="宋体"/>
          <w:sz w:val="24"/>
          <w:szCs w:val="24"/>
        </w:rPr>
        <w:t xml:space="preserve">就</w:t>
      </w:r>
      <w:r>
        <w:rPr>
          <w:rFonts w:hint="eastAsia" w:ascii="宋体" w:hAnsi="宋体" w:eastAsia="宋体" w:cs="宋体"/>
          <w:sz w:val="24"/>
          <w:szCs w:val="24"/>
          <w:u w:val="single"/>
          <w:lang w:eastAsia="zh-CN"/>
        </w:rPr>
        <w:t xml:space="preserve">苏宿园区职工医保长期护理保险承办机构采购</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JSZC-321395-ZCZX-C2026-0030</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项目进行竞争性磋商采购，欢迎符合条件的供应商参加磋商。</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lang w:eastAsia="zh-CN"/>
        </w:rPr>
        <w:t xml:space="preserve">苏宿园区职工医保长期护理保险承办机构采购</w:t>
      </w:r>
      <w:r>
        <w:rPr>
          <w:rFonts w:hint="eastAsia" w:ascii="宋体" w:hAnsi="宋体" w:eastAsia="宋体" w:cs="宋体"/>
          <w:sz w:val="24"/>
          <w:szCs w:val="24"/>
        </w:rPr>
        <w:t xml:space="preserve">竞争性磋商项目的潜在供应商可在</w:t>
      </w:r>
      <w:r>
        <w:rPr>
          <w:rFonts w:hint="eastAsia" w:ascii="宋体" w:hAnsi="宋体" w:eastAsia="宋体" w:cs="宋体"/>
          <w:sz w:val="24"/>
          <w:szCs w:val="24"/>
          <w:u w:val="single"/>
        </w:rPr>
        <w:t xml:space="preserve">“宿迁市政府采购网”自行免费下载</w:t>
      </w:r>
      <w:r>
        <w:rPr>
          <w:rFonts w:hint="eastAsia" w:ascii="宋体" w:hAnsi="宋体" w:eastAsia="宋体" w:cs="宋体"/>
          <w:sz w:val="24"/>
          <w:szCs w:val="24"/>
        </w:rPr>
        <w:t xml:space="preserve">磋商文件，并于</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4</w:t>
      </w:r>
      <w:r>
        <w:rPr>
          <w:rFonts w:hint="eastAsia" w:ascii="宋体" w:hAnsi="宋体" w:eastAsia="宋体" w:cs="宋体"/>
          <w:bCs/>
          <w:sz w:val="24"/>
          <w:szCs w:val="24"/>
          <w:u w:val="single"/>
        </w:rPr>
        <w:t xml:space="preserve">月</w:t>
      </w:r>
      <w:r>
        <w:rPr>
          <w:rFonts w:hint="eastAsia" w:ascii="宋体" w:hAnsi="宋体" w:eastAsia="宋体" w:cs="宋体"/>
          <w:bCs/>
          <w:sz w:val="24"/>
          <w:szCs w:val="24"/>
          <w:u w:val="single"/>
          <w:lang w:val="en-US" w:eastAsia="zh-CN"/>
        </w:rPr>
        <w:t xml:space="preserve">2</w:t>
      </w:r>
      <w:r>
        <w:rPr>
          <w:rFonts w:hint="eastAsia" w:ascii="宋体" w:hAnsi="宋体" w:eastAsia="宋体" w:cs="宋体"/>
          <w:bCs/>
          <w:sz w:val="24"/>
          <w:szCs w:val="24"/>
          <w:u w:val="single"/>
          <w:lang w:val="en-US" w:eastAsia="zh-CN"/>
        </w:rPr>
        <w:t xml:space="preserve">0</w:t>
      </w:r>
      <w:r>
        <w:rPr>
          <w:rFonts w:hint="eastAsia" w:ascii="宋体" w:hAnsi="宋体" w:eastAsia="宋体" w:cs="宋体"/>
          <w:bCs/>
          <w:sz w:val="24"/>
          <w:szCs w:val="24"/>
          <w:u w:val="single"/>
        </w:rPr>
        <w:t xml:space="preserve">日</w:t>
      </w:r>
      <w:r>
        <w:rPr>
          <w:rFonts w:hint="eastAsia" w:ascii="宋体" w:hAnsi="宋体" w:eastAsia="宋体" w:cs="宋体"/>
          <w:bCs/>
          <w:sz w:val="24"/>
          <w:szCs w:val="24"/>
          <w:u w:val="single"/>
          <w:lang w:val="en-US" w:eastAsia="zh-CN"/>
        </w:rPr>
        <w:t xml:space="preserve">1</w:t>
      </w:r>
      <w:r>
        <w:rPr>
          <w:rFonts w:hint="eastAsia" w:ascii="宋体" w:hAnsi="宋体" w:eastAsia="宋体" w:cs="宋体"/>
          <w:bCs/>
          <w:sz w:val="24"/>
          <w:szCs w:val="24"/>
          <w:u w:val="single"/>
          <w:lang w:val="en-US" w:eastAsia="zh-CN"/>
        </w:rPr>
        <w:t xml:space="preserve">4</w:t>
      </w:r>
      <w:r>
        <w:rPr>
          <w:rFonts w:hint="eastAsia" w:ascii="宋体" w:hAnsi="宋体" w:eastAsia="宋体" w:cs="宋体"/>
          <w:bCs/>
          <w:sz w:val="24"/>
          <w:szCs w:val="24"/>
          <w:u w:val="single"/>
        </w:rPr>
        <w:t xml:space="preserve">点</w:t>
      </w:r>
      <w:r>
        <w:rPr>
          <w:rFonts w:hint="eastAsia" w:ascii="宋体" w:hAnsi="宋体" w:eastAsia="宋体" w:cs="宋体"/>
          <w:bCs/>
          <w:sz w:val="24"/>
          <w:szCs w:val="24"/>
          <w:u w:val="single"/>
          <w:lang w:val="en-US" w:eastAsia="zh-CN"/>
        </w:rPr>
        <w:t xml:space="preserve">3</w:t>
      </w:r>
      <w:r>
        <w:rPr>
          <w:rFonts w:hint="eastAsia" w:ascii="宋体" w:hAnsi="宋体" w:eastAsia="宋体" w:cs="宋体"/>
          <w:bCs/>
          <w:sz w:val="24"/>
          <w:szCs w:val="24"/>
          <w:u w:val="single"/>
          <w:lang w:val="en-US" w:eastAsia="zh-CN"/>
        </w:rPr>
        <w:t xml:space="preserve">0</w:t>
      </w:r>
      <w:r>
        <w:rPr>
          <w:rFonts w:hint="eastAsia" w:ascii="宋体" w:hAnsi="宋体" w:eastAsia="宋体" w:cs="宋体"/>
          <w:bCs/>
          <w:sz w:val="24"/>
          <w:szCs w:val="24"/>
          <w:u w:val="single"/>
        </w:rPr>
        <w:t xml:space="preserve">分（</w:t>
      </w:r>
      <w:r>
        <w:rPr>
          <w:rFonts w:hint="eastAsia" w:ascii="宋体" w:hAnsi="宋体" w:eastAsia="宋体" w:cs="宋体"/>
          <w:bCs/>
          <w:sz w:val="24"/>
          <w:szCs w:val="24"/>
        </w:rPr>
        <w:t xml:space="preserve">北京时间）前递交响应文件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1"/>
        <w:ind w:firstLine="498"/>
        <w:keepLines/>
        <w:keepNext/>
        <w:pageBreakBefore w:val="0"/>
        <w:spacing w:before="145" w:after="145" w:line="460" w:lineRule="exact"/>
        <w:rPr>
          <w:rFonts w:hint="eastAsia" w:ascii="宋体" w:hAnsi="宋体" w:eastAsia="宋体" w:cs="宋体"/>
          <w:b/>
          <w:bCs/>
          <w:sz w:val="32"/>
          <w:szCs w:val="32"/>
        </w:rPr>
        <w:outlineLvl w:val="2"/>
      </w:pPr>
      <w:r/>
      <w:bookmarkStart w:id="7" w:name="_Toc28359079"/>
      <w:r/>
      <w:bookmarkStart w:id="8" w:name="_Toc28359002"/>
      <w:r/>
      <w:bookmarkStart w:id="9" w:name="_Toc35393621"/>
      <w:r/>
      <w:bookmarkStart w:id="10" w:name="_Toc35393790"/>
      <w:r/>
      <w:bookmarkStart w:id="11" w:name="_Toc38985263"/>
      <w:r/>
      <w:bookmarkStart w:id="12" w:name="_Hlk24379207"/>
      <w:r>
        <w:rPr>
          <w:rFonts w:hint="eastAsia" w:ascii="宋体" w:hAnsi="宋体" w:eastAsia="宋体" w:cs="宋体"/>
          <w:b/>
          <w:bCs/>
          <w:sz w:val="32"/>
          <w:szCs w:val="32"/>
        </w:rPr>
        <w:t xml:space="preserve">一、项目基本情况</w:t>
      </w:r>
      <w:bookmarkEnd w:id="7"/>
      <w:r/>
      <w:bookmarkEnd w:id="8"/>
      <w:r/>
      <w:bookmarkEnd w:id="9"/>
      <w:r/>
      <w:bookmarkEnd w:id="10"/>
      <w:r/>
      <w:bookmarkEnd w:id="11"/>
      <w:r>
        <w:rPr>
          <w:rFonts w:hint="eastAsia" w:ascii="宋体" w:hAnsi="宋体" w:eastAsia="宋体" w:cs="宋体"/>
          <w:b/>
          <w:bCs/>
          <w:sz w:val="32"/>
          <w:szCs w:val="32"/>
        </w:rPr>
      </w:r>
      <w:r/>
    </w:p>
    <w:p>
      <w:pPr>
        <w:pStyle w:val="921"/>
        <w:ind w:firstLine="48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1.项目编号：</w:t>
      </w:r>
      <w:r>
        <w:rPr>
          <w:rFonts w:hint="eastAsia" w:ascii="宋体" w:hAnsi="宋体" w:eastAsia="宋体" w:cs="宋体"/>
          <w:color w:val="000000"/>
          <w:sz w:val="24"/>
          <w:szCs w:val="24"/>
          <w:lang w:eastAsia="zh-CN"/>
        </w:rPr>
        <w:t xml:space="preserve">JSZC-321395-ZCZX-C2026-0030</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21"/>
        <w:ind w:firstLine="480"/>
        <w:pageBreakBefore w:val="0"/>
        <w:spacing w:line="460" w:lineRule="exact"/>
        <w:rPr>
          <w:rFonts w:hint="eastAsia" w:ascii="宋体" w:hAnsi="宋体" w:eastAsia="宋体" w:cs="宋体"/>
          <w:color w:val="000000"/>
          <w:sz w:val="24"/>
          <w:szCs w:val="24"/>
          <w:lang w:eastAsia="zh-CN"/>
        </w:rPr>
      </w:pPr>
      <w:r/>
      <w:bookmarkEnd w:id="12"/>
      <w:r/>
      <w:bookmarkStart w:id="13" w:name="_Toc35393791"/>
      <w:r/>
      <w:bookmarkStart w:id="14" w:name="_Toc38985264"/>
      <w:r/>
      <w:bookmarkStart w:id="15" w:name="_Toc28359080"/>
      <w:r/>
      <w:bookmarkStart w:id="16" w:name="_Toc28359003"/>
      <w:r/>
      <w:bookmarkStart w:id="17" w:name="_Toc35393622"/>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苏宿园区职工医保长期护理保险承办机构采购</w:t>
      </w:r>
      <w:r>
        <w:rPr>
          <w:rFonts w:hint="eastAsia" w:ascii="宋体" w:hAnsi="宋体" w:eastAsia="宋体" w:cs="宋体"/>
          <w:color w:val="000000"/>
          <w:sz w:val="24"/>
          <w:szCs w:val="24"/>
          <w:lang w:eastAsia="zh-CN"/>
        </w:rPr>
      </w:r>
      <w:r/>
    </w:p>
    <w:p>
      <w:pPr>
        <w:pStyle w:val="921"/>
        <w:ind w:firstLine="480"/>
        <w:pageBreakBefore w:val="0"/>
        <w:spacing w:line="46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3.预算金额：</w:t>
      </w:r>
      <w:r>
        <w:rPr>
          <w:rFonts w:hint="eastAsia" w:ascii="宋体" w:hAnsi="宋体" w:eastAsia="宋体" w:cs="宋体"/>
          <w:b w:val="0"/>
          <w:bCs w:val="0"/>
          <w:color w:val="000000"/>
          <w:sz w:val="24"/>
          <w:szCs w:val="24"/>
          <w:highlight w:val="none"/>
          <w:lang w:val="en-US" w:eastAsia="zh-CN"/>
        </w:rPr>
        <w:t xml:space="preserve">152万元/两年，</w:t>
      </w:r>
      <w:r>
        <w:rPr>
          <w:rFonts w:hint="eastAsia" w:ascii="宋体" w:hAnsi="宋体" w:eastAsia="宋体" w:cs="宋体"/>
          <w:b w:val="0"/>
          <w:bCs w:val="0"/>
          <w:color w:val="000000"/>
          <w:sz w:val="24"/>
          <w:szCs w:val="24"/>
          <w:highlight w:val="none"/>
          <w:lang w:val="en-US" w:eastAsia="zh-CN"/>
        </w:rPr>
        <w:t xml:space="preserve">76万元/年</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921"/>
        <w:ind w:firstLine="480"/>
        <w:pageBreakBefore w:val="0"/>
        <w:spacing w:line="46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t xml:space="preserve">本项目</w:t>
      </w:r>
      <w:r>
        <w:rPr>
          <w:rFonts w:hint="eastAsia" w:ascii="宋体" w:hAnsi="宋体" w:eastAsia="宋体" w:cs="宋体"/>
          <w:b w:val="0"/>
          <w:bCs w:val="0"/>
          <w:color w:val="000000"/>
          <w:sz w:val="24"/>
          <w:szCs w:val="24"/>
          <w:highlight w:val="none"/>
          <w:u w:val="single"/>
        </w:rPr>
        <w:t xml:space="preserve"> 设定 </w:t>
      </w:r>
      <w:r>
        <w:rPr>
          <w:rFonts w:hint="eastAsia" w:ascii="宋体" w:hAnsi="宋体" w:eastAsia="宋体" w:cs="宋体"/>
          <w:b w:val="0"/>
          <w:bCs w:val="0"/>
          <w:color w:val="000000"/>
          <w:sz w:val="24"/>
          <w:szCs w:val="24"/>
          <w:highlight w:val="none"/>
        </w:rPr>
        <w:t xml:space="preserve">最高限价，</w:t>
      </w:r>
      <w:r>
        <w:rPr>
          <w:rFonts w:hint="eastAsia" w:ascii="宋体" w:hAnsi="宋体" w:eastAsia="宋体" w:cs="宋体"/>
          <w:b w:val="0"/>
          <w:bCs w:val="0"/>
          <w:color w:val="000000"/>
          <w:sz w:val="24"/>
          <w:szCs w:val="24"/>
          <w:highlight w:val="none"/>
          <w:lang w:val="en-US" w:eastAsia="zh-CN"/>
        </w:rPr>
        <w:t xml:space="preserve">最高限价为76万元/年。</w:t>
      </w:r>
      <w:r>
        <w:rPr>
          <w:rFonts w:hint="eastAsia" w:ascii="宋体" w:hAnsi="宋体" w:eastAsia="宋体" w:cs="宋体"/>
          <w:b w:val="0"/>
          <w:bCs w:val="0"/>
          <w:color w:val="000000"/>
          <w:sz w:val="24"/>
          <w:szCs w:val="24"/>
          <w:highlight w:val="none"/>
          <w:lang w:val="en-US" w:eastAsia="zh-CN"/>
        </w:rPr>
      </w:r>
      <w:r/>
    </w:p>
    <w:p>
      <w:pPr>
        <w:pStyle w:val="921"/>
        <w:ind w:firstLine="480"/>
        <w:pageBreakBefore w:val="0"/>
        <w:spacing w:line="46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承办服务费最高单价限价为按照每年每个参保人员3.2元计提（参保人数以市医保提供数据为准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921"/>
        <w:ind w:firstLine="480"/>
        <w:pageBreakBefore w:val="0"/>
        <w:spacing w:line="46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（2）亏损率（绝对值）期望值最高为2%。</w:t>
      </w:r>
      <w:r>
        <w:rPr>
          <w:rFonts w:hint="eastAsia" w:ascii="宋体" w:hAnsi="宋体" w:eastAsia="宋体" w:cs="宋体"/>
          <w:b w:val="0"/>
          <w:bCs w:val="0"/>
          <w:color w:val="000000"/>
          <w:sz w:val="24"/>
          <w:szCs w:val="24"/>
          <w:highlight w:val="none"/>
          <w:lang w:val="en-US" w:eastAsia="zh-CN"/>
        </w:rPr>
      </w:r>
      <w:r/>
    </w:p>
    <w:p>
      <w:pPr>
        <w:pStyle w:val="921"/>
        <w:ind w:firstLine="48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rPr>
        <w:t xml:space="preserve">本项目以单价形式进行报价</w:t>
      </w:r>
      <w:r>
        <w:rPr>
          <w:rFonts w:hint="eastAsia" w:ascii="宋体" w:hAnsi="宋体" w:eastAsia="宋体" w:cs="宋体"/>
          <w:color w:val="000000"/>
          <w:sz w:val="24"/>
          <w:szCs w:val="24"/>
          <w:highlight w:val="none"/>
          <w:lang w:val="en-US" w:eastAsia="zh-CN"/>
        </w:rPr>
        <w:t xml:space="preserve">，“磋商报价表”中的“投标报价”请按照“承办服务费”的报价填写。</w:t>
      </w:r>
      <w:r>
        <w:rPr>
          <w:rFonts w:hint="eastAsia" w:ascii="宋体" w:hAnsi="宋体" w:eastAsia="宋体" w:cs="宋体"/>
          <w:color w:val="000000"/>
          <w:sz w:val="24"/>
          <w:szCs w:val="24"/>
          <w:highlight w:val="none"/>
          <w:lang w:val="en-US" w:eastAsia="zh-CN"/>
        </w:rPr>
      </w:r>
      <w:r/>
    </w:p>
    <w:p>
      <w:pPr>
        <w:pStyle w:val="921"/>
        <w:ind w:firstLine="48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5.采购需求（简介）：</w:t>
      </w:r>
      <w:r>
        <w:rPr>
          <w:rFonts w:hint="eastAsia" w:ascii="宋体" w:hAnsi="宋体" w:eastAsia="宋体" w:cs="宋体"/>
          <w:color w:val="000000"/>
          <w:sz w:val="24"/>
          <w:szCs w:val="24"/>
          <w:lang w:eastAsia="zh-CN"/>
        </w:rPr>
        <w:t xml:space="preserve">苏宿园区职工医保长期护理保险承办机构采购</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（详细内容见本磋商文件第四章）</w:t>
      </w:r>
      <w:r>
        <w:rPr>
          <w:rFonts w:hint="eastAsia" w:ascii="宋体" w:hAnsi="宋体" w:eastAsia="宋体" w:cs="宋体"/>
          <w:color w:val="000000"/>
          <w:sz w:val="24"/>
          <w:szCs w:val="24"/>
        </w:rPr>
      </w:r>
      <w:r/>
    </w:p>
    <w:p>
      <w:pPr>
        <w:pStyle w:val="1029"/>
        <w:ind w:left="0" w:firstLine="480"/>
        <w:pageBreakBefore w:val="0"/>
        <w:spacing w:line="46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6.合同履行期限：2年，自合同签订并生效之日起算。 </w:t>
      </w:r>
      <w:r>
        <w:rPr>
          <w:rFonts w:hint="eastAsia" w:ascii="宋体" w:hAnsi="宋体" w:eastAsia="宋体" w:cs="宋体"/>
          <w:color w:val="000000"/>
          <w:lang w:eastAsia="zh-CN"/>
        </w:rPr>
      </w:r>
      <w:r/>
    </w:p>
    <w:p>
      <w:pPr>
        <w:pStyle w:val="921"/>
        <w:ind w:firstLine="480"/>
        <w:pageBreakBefore w:val="0"/>
        <w:spacing w:line="460" w:lineRule="exact"/>
        <w:tabs>
          <w:tab w:val="left" w:pos="5301"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7.本项目</w:t>
      </w:r>
      <w:r>
        <w:rPr>
          <w:rFonts w:hint="eastAsia" w:ascii="宋体" w:hAnsi="宋体" w:eastAsia="宋体" w:cs="宋体"/>
          <w:color w:val="000000"/>
          <w:sz w:val="24"/>
          <w:szCs w:val="24"/>
          <w:u w:val="single"/>
        </w:rPr>
        <w:t xml:space="preserve"> 不接受 </w:t>
      </w:r>
      <w:r>
        <w:rPr>
          <w:rFonts w:hint="eastAsia" w:ascii="宋体" w:hAnsi="宋体" w:eastAsia="宋体" w:cs="宋体"/>
          <w:color w:val="000000"/>
          <w:sz w:val="24"/>
          <w:szCs w:val="24"/>
        </w:rPr>
        <w:t xml:space="preserve">联合体参与磋商。</w:t>
      </w:r>
      <w:r>
        <w:rPr>
          <w:rFonts w:hint="eastAsia" w:ascii="宋体" w:hAnsi="宋体" w:eastAsia="宋体" w:cs="宋体"/>
          <w:color w:val="000000"/>
          <w:sz w:val="24"/>
          <w:szCs w:val="24"/>
        </w:rPr>
        <w:tab/>
      </w:r>
      <w:r>
        <w:rPr>
          <w:rFonts w:hint="eastAsia" w:ascii="宋体" w:hAnsi="宋体" w:eastAsia="宋体" w:cs="宋体"/>
          <w:color w:val="000000"/>
          <w:sz w:val="24"/>
          <w:szCs w:val="24"/>
          <w:u w:val="single"/>
        </w:rPr>
      </w:r>
      <w:r/>
    </w:p>
    <w:p>
      <w:pPr>
        <w:pStyle w:val="921"/>
        <w:ind w:firstLine="498"/>
        <w:keepLines/>
        <w:keepNext/>
        <w:pageBreakBefore w:val="0"/>
        <w:spacing w:before="145" w:after="145" w:line="46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二、申请人的资格要求：</w:t>
      </w:r>
      <w:bookmarkEnd w:id="13"/>
      <w:r/>
      <w:bookmarkEnd w:id="14"/>
      <w:r/>
      <w:bookmarkEnd w:id="15"/>
      <w:r/>
      <w:bookmarkEnd w:id="16"/>
      <w:r/>
      <w:bookmarkEnd w:id="17"/>
      <w:r>
        <w:rPr>
          <w:rFonts w:hint="eastAsia" w:ascii="宋体" w:hAnsi="宋体" w:eastAsia="宋体" w:cs="宋体"/>
          <w:b/>
          <w:bCs/>
          <w:sz w:val="32"/>
          <w:szCs w:val="32"/>
        </w:rPr>
      </w:r>
      <w:r/>
    </w:p>
    <w:p>
      <w:pPr>
        <w:pStyle w:val="921"/>
        <w:ind w:firstLine="480"/>
        <w:pageBreakBefore w:val="0"/>
        <w:spacing w:line="460" w:lineRule="exact"/>
        <w:rPr>
          <w:rFonts w:hint="eastAsia" w:ascii="宋体" w:hAnsi="宋体" w:eastAsia="宋体" w:cs="宋体"/>
          <w:sz w:val="24"/>
          <w:szCs w:val="24"/>
        </w:rPr>
      </w:pPr>
      <w:r/>
      <w:bookmarkStart w:id="18" w:name="_Toc28359004"/>
      <w:r/>
      <w:bookmarkStart w:id="19" w:name="_Toc38985265"/>
      <w:r/>
      <w:bookmarkStart w:id="20" w:name="_Toc35393792"/>
      <w:r/>
      <w:bookmarkStart w:id="21" w:name="_Toc28359081"/>
      <w:r/>
      <w:bookmarkStart w:id="22" w:name="_Toc35393623"/>
      <w:r>
        <w:rPr>
          <w:rFonts w:hint="eastAsia" w:ascii="宋体" w:hAnsi="宋体" w:eastAsia="宋体" w:cs="宋体"/>
          <w:sz w:val="24"/>
          <w:szCs w:val="24"/>
        </w:rPr>
        <w:t xml:space="preserve">（一）通用资格要求</w:t>
      </w:r>
      <w:r>
        <w:rPr>
          <w:rFonts w:hint="eastAsia" w:ascii="宋体" w:hAnsi="宋体" w:eastAsia="宋体" w:cs="宋体"/>
          <w:sz w:val="24"/>
          <w:szCs w:val="24"/>
        </w:rPr>
      </w:r>
      <w:r/>
    </w:p>
    <w:p>
      <w:pPr>
        <w:pStyle w:val="921"/>
        <w:ind w:firstLine="48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1.具备《中华人民共和国政府采购法》第二十二条第一款规定的6项条件（按要求提供声明及信用承诺）；</w:t>
      </w:r>
      <w:r>
        <w:rPr>
          <w:rFonts w:hint="eastAsia" w:ascii="宋体" w:hAnsi="宋体" w:eastAsia="宋体" w:cs="宋体"/>
          <w:sz w:val="24"/>
          <w:szCs w:val="24"/>
        </w:rPr>
      </w:r>
      <w:r/>
    </w:p>
    <w:p>
      <w:pPr>
        <w:pStyle w:val="921"/>
        <w:ind w:firstLine="480"/>
        <w:pageBreakBefore w:val="0"/>
        <w:spacing w:line="460" w:lineRule="exact"/>
        <w:rPr>
          <w:rFonts w:hint="eastAsia" w:ascii="宋体" w:hAnsi="宋体" w:eastAsia="宋体" w:cs="宋体"/>
          <w:sz w:val="36"/>
          <w:szCs w:val="36"/>
        </w:rPr>
      </w:pPr>
      <w:r>
        <w:rPr>
          <w:rFonts w:hint="eastAsia" w:ascii="宋体" w:hAnsi="宋体" w:eastAsia="宋体" w:cs="宋体"/>
          <w:sz w:val="24"/>
          <w:szCs w:val="24"/>
        </w:rPr>
        <w:t xml:space="preserve">2.信用信息。在“信用中国”网站（www.creditchina.gov.cn）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rPr>
          <w:rFonts w:hint="eastAsia" w:ascii="宋体" w:hAnsi="宋体" w:eastAsia="宋体" w:cs="宋体"/>
          <w:sz w:val="36"/>
          <w:szCs w:val="36"/>
        </w:rPr>
      </w:r>
      <w:r/>
    </w:p>
    <w:p>
      <w:pPr>
        <w:pStyle w:val="921"/>
        <w:ind w:firstLine="48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3.落实政府采购政策需满足的资格要求：无。</w:t>
      </w:r>
      <w:r>
        <w:rPr>
          <w:rFonts w:hint="eastAsia" w:ascii="宋体" w:hAnsi="宋体" w:eastAsia="宋体" w:cs="宋体"/>
          <w:sz w:val="24"/>
          <w:szCs w:val="24"/>
        </w:rPr>
      </w:r>
      <w:r/>
    </w:p>
    <w:p>
      <w:pPr>
        <w:pStyle w:val="921"/>
        <w:ind w:firstLine="48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（二）本项目的特定资格要求：</w:t>
      </w:r>
      <w:r>
        <w:rPr>
          <w:rFonts w:hint="eastAsia" w:ascii="宋体" w:hAnsi="宋体" w:eastAsia="宋体" w:cs="宋体"/>
          <w:sz w:val="24"/>
          <w:szCs w:val="24"/>
        </w:rPr>
      </w:r>
      <w:r/>
    </w:p>
    <w:p>
      <w:pPr>
        <w:pStyle w:val="921"/>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投标人须是经中国银行保险监督管理委员会或国家金融监管局批准的中国境内保险公司，取得《保险许可证》的法人机构或其分支机构。</w:t>
      </w:r>
      <w:r>
        <w:rPr>
          <w:rFonts w:hint="eastAsia" w:ascii="宋体" w:hAnsi="宋体" w:eastAsia="宋体" w:cs="宋体"/>
          <w:color w:val="000000"/>
          <w:sz w:val="24"/>
          <w:szCs w:val="24"/>
          <w:highlight w:val="none"/>
        </w:rPr>
      </w:r>
      <w:r/>
    </w:p>
    <w:p>
      <w:pPr>
        <w:pStyle w:val="921"/>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如果不具备独立法人资格的分公司，则须提供其具有独立法人资格的上级总（母）公司对其出具的有效授权。同一保险集团公司的不同分（子）公司，不得同时参加本项目投标，否则相关投标人均按无效标处理。</w:t>
      </w:r>
      <w:r>
        <w:rPr>
          <w:rFonts w:hint="eastAsia" w:ascii="宋体" w:hAnsi="宋体" w:eastAsia="宋体" w:cs="宋体"/>
          <w:color w:val="000000"/>
          <w:sz w:val="24"/>
          <w:szCs w:val="24"/>
          <w:highlight w:val="none"/>
        </w:rPr>
      </w:r>
      <w:r/>
    </w:p>
    <w:p>
      <w:pPr>
        <w:pStyle w:val="921"/>
        <w:ind w:firstLine="498"/>
        <w:keepLines/>
        <w:keepNext/>
        <w:pageBreakBefore w:val="0"/>
        <w:spacing w:before="145" w:after="145" w:line="46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三、获取</w:t>
      </w:r>
      <w:bookmarkEnd w:id="18"/>
      <w:r/>
      <w:bookmarkEnd w:id="19"/>
      <w:r/>
      <w:bookmarkEnd w:id="20"/>
      <w:r/>
      <w:bookmarkEnd w:id="21"/>
      <w:r/>
      <w:bookmarkEnd w:id="22"/>
      <w:r>
        <w:rPr>
          <w:rFonts w:hint="eastAsia" w:ascii="宋体" w:hAnsi="宋体" w:eastAsia="宋体" w:cs="宋体"/>
          <w:b/>
          <w:bCs/>
          <w:sz w:val="32"/>
          <w:szCs w:val="32"/>
        </w:rPr>
        <w:t xml:space="preserve">磋商文件</w:t>
      </w:r>
      <w:r>
        <w:rPr>
          <w:rFonts w:hint="eastAsia" w:ascii="宋体" w:hAnsi="宋体" w:eastAsia="宋体" w:cs="宋体"/>
          <w:b/>
          <w:bCs/>
          <w:sz w:val="32"/>
          <w:szCs w:val="32"/>
        </w:rPr>
      </w:r>
      <w:r/>
    </w:p>
    <w:p>
      <w:pPr>
        <w:pStyle w:val="921"/>
        <w:ind w:firstLine="482"/>
        <w:pageBreakBefore w:val="0"/>
        <w:spacing w:line="460" w:lineRule="exact"/>
        <w:rPr>
          <w:rFonts w:hint="eastAsia" w:ascii="宋体" w:hAnsi="宋体" w:eastAsia="宋体" w:cs="宋体"/>
          <w:sz w:val="24"/>
          <w:szCs w:val="24"/>
        </w:rPr>
      </w:pPr>
      <w:r/>
      <w:bookmarkStart w:id="23" w:name="_Toc28359005"/>
      <w:r/>
      <w:bookmarkStart w:id="24" w:name="_Toc28359082"/>
      <w:r/>
      <w:bookmarkStart w:id="25" w:name="_Toc35393793"/>
      <w:r/>
      <w:bookmarkStart w:id="26" w:name="_Toc35393624"/>
      <w:r/>
      <w:bookmarkStart w:id="27" w:name="_Toc38985266"/>
      <w:r>
        <w:rPr>
          <w:rFonts w:hint="eastAsia" w:ascii="宋体" w:hAnsi="宋体" w:eastAsia="宋体" w:cs="宋体"/>
          <w:sz w:val="24"/>
          <w:szCs w:val="24"/>
        </w:rPr>
        <w:t xml:space="preserve">1.时间：自磋商文件公告发布之日起5个工作日。</w:t>
      </w:r>
      <w:r>
        <w:rPr>
          <w:rFonts w:hint="eastAsia" w:ascii="宋体" w:hAnsi="宋体" w:eastAsia="宋体" w:cs="宋体"/>
          <w:sz w:val="24"/>
          <w:szCs w:val="24"/>
        </w:rPr>
      </w:r>
      <w:r/>
    </w:p>
    <w:p>
      <w:pPr>
        <w:pStyle w:val="921"/>
        <w:ind w:firstLine="48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宋体" w:hAnsi="宋体" w:eastAsia="宋体" w:cs="宋体"/>
          <w:sz w:val="24"/>
          <w:szCs w:val="24"/>
        </w:rPr>
      </w:r>
      <w:r/>
    </w:p>
    <w:p>
      <w:pPr>
        <w:pStyle w:val="921"/>
        <w:ind w:firstLine="540"/>
        <w:pageBreakBefore w:val="0"/>
        <w:spacing w:line="460" w:lineRule="exact"/>
        <w:rPr>
          <w:rFonts w:hint="eastAsia" w:ascii="宋体" w:hAnsi="宋体" w:eastAsia="宋体" w:cs="宋体"/>
          <w:sz w:val="24"/>
          <w:szCs w:val="24"/>
          <w:u w:val="single"/>
        </w:rPr>
      </w:pPr>
      <w:r/>
      <w:bookmarkStart w:id="28" w:name="EB0c44ff4da61f4af989d119fe214be450"/>
      <w:r>
        <w:rPr>
          <w:rFonts w:hint="eastAsia" w:ascii="宋体" w:hAnsi="宋体" w:eastAsia="宋体" w:cs="宋体"/>
          <w:sz w:val="24"/>
          <w:szCs w:val="28"/>
          <w:highlight w:val="white"/>
        </w:rPr>
        <w:t xml:space="preserve">3.本项目共分一个包。供应商未按要求获取竞争性磋商文件导致无法磋商的，后果自负（其响应文件不予接受）。</w:t>
      </w:r>
      <w:bookmarkEnd w:id="28"/>
      <w:r>
        <w:rPr>
          <w:rFonts w:hint="eastAsia" w:ascii="宋体" w:hAnsi="宋体" w:eastAsia="宋体" w:cs="宋体"/>
          <w:sz w:val="24"/>
          <w:szCs w:val="24"/>
          <w:u w:val="single"/>
        </w:rPr>
      </w:r>
      <w:r/>
    </w:p>
    <w:p>
      <w:pPr>
        <w:pStyle w:val="921"/>
        <w:ind w:firstLine="498"/>
        <w:keepLines/>
        <w:keepNext/>
        <w:pageBreakBefore w:val="0"/>
        <w:spacing w:before="145" w:after="145" w:line="46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四、提交</w:t>
      </w:r>
      <w:bookmarkEnd w:id="23"/>
      <w:r/>
      <w:bookmarkEnd w:id="24"/>
      <w:r>
        <w:rPr>
          <w:rFonts w:hint="eastAsia" w:ascii="宋体" w:hAnsi="宋体" w:eastAsia="宋体" w:cs="宋体"/>
          <w:b/>
          <w:bCs/>
          <w:sz w:val="32"/>
          <w:szCs w:val="32"/>
        </w:rPr>
        <w:t xml:space="preserve">响应文件截止时间</w:t>
      </w:r>
      <w:bookmarkEnd w:id="25"/>
      <w:r/>
      <w:bookmarkEnd w:id="26"/>
      <w:r/>
      <w:bookmarkEnd w:id="27"/>
      <w:r>
        <w:rPr>
          <w:rFonts w:hint="eastAsia" w:ascii="宋体" w:hAnsi="宋体" w:eastAsia="宋体" w:cs="宋体"/>
          <w:b/>
          <w:bCs/>
          <w:sz w:val="32"/>
          <w:szCs w:val="32"/>
        </w:rPr>
      </w:r>
      <w:r/>
    </w:p>
    <w:p>
      <w:pPr>
        <w:pStyle w:val="921"/>
        <w:ind w:firstLine="480"/>
        <w:pageBreakBefore w:val="0"/>
        <w:spacing w:line="460" w:lineRule="exact"/>
        <w:rPr>
          <w:rFonts w:hint="eastAsia" w:ascii="宋体" w:hAnsi="宋体" w:eastAsia="宋体" w:cs="宋体"/>
          <w:sz w:val="24"/>
          <w:szCs w:val="24"/>
          <w:u w:val="none"/>
        </w:rPr>
      </w:pPr>
      <w:r>
        <w:rPr>
          <w:rFonts w:hint="eastAsia" w:ascii="宋体" w:hAnsi="宋体" w:eastAsia="宋体" w:cs="宋体"/>
          <w:bCs/>
          <w:sz w:val="24"/>
          <w:szCs w:val="24"/>
        </w:rPr>
        <w:t xml:space="preserve">1.提交响应文件截止时间、磋商时间：</w:t>
      </w:r>
      <w:r>
        <w:rPr>
          <w:rFonts w:hint="eastAsia" w:ascii="宋体" w:hAnsi="宋体" w:eastAsia="宋体" w:cs="宋体"/>
          <w:bCs/>
          <w:sz w:val="24"/>
          <w:szCs w:val="24"/>
          <w:u w:val="none"/>
        </w:rPr>
        <w:t xml:space="preserve">202</w:t>
      </w:r>
      <w:r>
        <w:rPr>
          <w:rFonts w:hint="eastAsia" w:ascii="宋体" w:hAnsi="宋体" w:eastAsia="宋体" w:cs="宋体"/>
          <w:bCs/>
          <w:sz w:val="24"/>
          <w:szCs w:val="24"/>
          <w:u w:val="none"/>
          <w:lang w:val="en-US" w:eastAsia="zh-CN"/>
        </w:rPr>
        <w:t xml:space="preserve">6</w:t>
      </w:r>
      <w:r>
        <w:rPr>
          <w:rFonts w:hint="eastAsia" w:ascii="宋体" w:hAnsi="宋体" w:eastAsia="宋体" w:cs="宋体"/>
          <w:bCs/>
          <w:sz w:val="24"/>
          <w:szCs w:val="24"/>
          <w:u w:val="none"/>
        </w:rPr>
        <w:t xml:space="preserve">年</w:t>
      </w:r>
      <w:r>
        <w:rPr>
          <w:rFonts w:hint="eastAsia" w:ascii="宋体" w:hAnsi="宋体" w:eastAsia="宋体" w:cs="宋体"/>
          <w:bCs/>
          <w:sz w:val="24"/>
          <w:szCs w:val="24"/>
          <w:u w:val="none"/>
          <w:lang w:val="en-US" w:eastAsia="zh-CN"/>
        </w:rPr>
        <w:t xml:space="preserve">4</w:t>
      </w:r>
      <w:r>
        <w:rPr>
          <w:rFonts w:hint="eastAsia" w:ascii="宋体" w:hAnsi="宋体" w:eastAsia="宋体" w:cs="宋体"/>
          <w:bCs/>
          <w:sz w:val="24"/>
          <w:szCs w:val="24"/>
          <w:u w:val="none"/>
        </w:rPr>
        <w:t xml:space="preserve">月</w:t>
      </w:r>
      <w:r>
        <w:rPr>
          <w:rFonts w:hint="eastAsia" w:ascii="宋体" w:hAnsi="宋体" w:eastAsia="宋体" w:cs="宋体"/>
          <w:bCs/>
          <w:sz w:val="24"/>
          <w:szCs w:val="24"/>
          <w:u w:val="none"/>
          <w:lang w:val="en-US" w:eastAsia="zh-CN"/>
        </w:rPr>
        <w:t xml:space="preserve">2</w:t>
      </w:r>
      <w:r>
        <w:rPr>
          <w:rFonts w:hint="eastAsia" w:ascii="宋体" w:hAnsi="宋体" w:eastAsia="宋体" w:cs="宋体"/>
          <w:bCs/>
          <w:sz w:val="24"/>
          <w:szCs w:val="24"/>
          <w:u w:val="none"/>
          <w:lang w:val="en-US" w:eastAsia="zh-CN"/>
        </w:rPr>
        <w:t xml:space="preserve">0</w:t>
      </w:r>
      <w:r>
        <w:rPr>
          <w:rFonts w:hint="eastAsia" w:ascii="宋体" w:hAnsi="宋体" w:eastAsia="宋体" w:cs="宋体"/>
          <w:bCs/>
          <w:sz w:val="24"/>
          <w:szCs w:val="24"/>
          <w:u w:val="none"/>
        </w:rPr>
        <w:t xml:space="preserve">日</w:t>
      </w:r>
      <w:r>
        <w:rPr>
          <w:rFonts w:hint="eastAsia" w:ascii="宋体" w:hAnsi="宋体" w:eastAsia="宋体" w:cs="宋体"/>
          <w:bCs/>
          <w:sz w:val="24"/>
          <w:szCs w:val="24"/>
          <w:u w:val="none"/>
          <w:lang w:val="en-US" w:eastAsia="zh-CN"/>
        </w:rPr>
        <w:t xml:space="preserve">1</w:t>
      </w:r>
      <w:r>
        <w:rPr>
          <w:rFonts w:hint="eastAsia" w:ascii="宋体" w:hAnsi="宋体" w:eastAsia="宋体" w:cs="宋体"/>
          <w:bCs/>
          <w:sz w:val="24"/>
          <w:szCs w:val="24"/>
          <w:u w:val="none"/>
          <w:lang w:val="en-US" w:eastAsia="zh-CN"/>
        </w:rPr>
        <w:t xml:space="preserve">4</w:t>
      </w:r>
      <w:r>
        <w:rPr>
          <w:rFonts w:hint="eastAsia" w:ascii="宋体" w:hAnsi="宋体" w:eastAsia="宋体" w:cs="宋体"/>
          <w:bCs/>
          <w:sz w:val="24"/>
          <w:szCs w:val="24"/>
          <w:u w:val="none"/>
        </w:rPr>
        <w:t xml:space="preserve">点</w:t>
      </w:r>
      <w:r>
        <w:rPr>
          <w:rFonts w:hint="eastAsia" w:ascii="宋体" w:hAnsi="宋体" w:eastAsia="宋体" w:cs="宋体"/>
          <w:bCs/>
          <w:sz w:val="24"/>
          <w:szCs w:val="24"/>
          <w:u w:val="none"/>
          <w:lang w:val="en-US" w:eastAsia="zh-CN"/>
        </w:rPr>
        <w:t xml:space="preserve">3</w:t>
      </w:r>
      <w:r>
        <w:rPr>
          <w:rFonts w:hint="eastAsia" w:ascii="宋体" w:hAnsi="宋体" w:eastAsia="宋体" w:cs="宋体"/>
          <w:bCs/>
          <w:sz w:val="24"/>
          <w:szCs w:val="24"/>
          <w:u w:val="none"/>
        </w:rPr>
        <w:t xml:space="preserve">0分（北京时间）。</w:t>
      </w:r>
      <w:r>
        <w:rPr>
          <w:rFonts w:hint="eastAsia" w:ascii="宋体" w:hAnsi="宋体" w:eastAsia="宋体" w:cs="宋体"/>
          <w:sz w:val="24"/>
          <w:szCs w:val="24"/>
          <w:u w:val="none"/>
        </w:rPr>
      </w:r>
      <w:r/>
    </w:p>
    <w:p>
      <w:pPr>
        <w:pStyle w:val="921"/>
        <w:ind w:firstLine="480"/>
        <w:pageBreakBefore w:val="0"/>
        <w:spacing w:line="460" w:lineRule="exact"/>
        <w:rPr>
          <w:rFonts w:hint="eastAsia" w:ascii="宋体" w:hAnsi="宋体" w:eastAsia="宋体" w:cs="宋体"/>
          <w:sz w:val="24"/>
          <w:szCs w:val="28"/>
          <w:highlight w:val="white"/>
          <w:u w:val="none"/>
        </w:rPr>
      </w:pPr>
      <w:r>
        <w:rPr>
          <w:rFonts w:hint="eastAsia" w:ascii="宋体" w:hAnsi="宋体" w:eastAsia="宋体" w:cs="宋体"/>
          <w:sz w:val="24"/>
          <w:szCs w:val="28"/>
          <w:highlight w:val="white"/>
          <w:u w:val="none"/>
        </w:rPr>
        <w:t xml:space="preserve">2.地点：“苏采云”政府采购交易系统网上开标大厅。</w:t>
      </w:r>
      <w:r>
        <w:rPr>
          <w:rFonts w:hint="eastAsia" w:ascii="宋体" w:hAnsi="宋体" w:eastAsia="宋体" w:cs="宋体"/>
          <w:sz w:val="24"/>
          <w:szCs w:val="28"/>
          <w:highlight w:val="white"/>
          <w:u w:val="none"/>
        </w:rPr>
      </w:r>
      <w:r/>
    </w:p>
    <w:p>
      <w:pPr>
        <w:pStyle w:val="921"/>
        <w:ind w:firstLine="498"/>
        <w:keepLines/>
        <w:keepNext/>
        <w:pageBreakBefore w:val="0"/>
        <w:spacing w:before="145" w:after="145" w:line="460" w:lineRule="exact"/>
        <w:rPr>
          <w:rFonts w:hint="eastAsia" w:ascii="宋体" w:hAnsi="宋体" w:eastAsia="宋体" w:cs="宋体"/>
          <w:b/>
          <w:bCs/>
          <w:sz w:val="32"/>
          <w:szCs w:val="32"/>
        </w:rPr>
        <w:outlineLvl w:val="2"/>
      </w:pPr>
      <w:r/>
      <w:bookmarkStart w:id="29" w:name="_Toc28359084"/>
      <w:r/>
      <w:bookmarkStart w:id="30" w:name="_Toc35393794"/>
      <w:r/>
      <w:bookmarkStart w:id="31" w:name="_Toc35393625"/>
      <w:r/>
      <w:bookmarkStart w:id="32" w:name="_Toc28359007"/>
      <w:r/>
      <w:bookmarkStart w:id="33" w:name="_Toc38985267"/>
      <w:r>
        <w:rPr>
          <w:rFonts w:hint="eastAsia" w:ascii="宋体" w:hAnsi="宋体" w:eastAsia="宋体" w:cs="宋体"/>
          <w:b/>
          <w:bCs/>
          <w:sz w:val="32"/>
          <w:szCs w:val="32"/>
        </w:rPr>
        <w:t xml:space="preserve">五、公告期限</w:t>
      </w:r>
      <w:bookmarkEnd w:id="29"/>
      <w:r/>
      <w:bookmarkEnd w:id="30"/>
      <w:r/>
      <w:bookmarkEnd w:id="31"/>
      <w:r/>
      <w:bookmarkEnd w:id="32"/>
      <w:r/>
      <w:bookmarkEnd w:id="33"/>
      <w:r>
        <w:rPr>
          <w:rFonts w:hint="eastAsia" w:ascii="宋体" w:hAnsi="宋体" w:eastAsia="宋体" w:cs="宋体"/>
          <w:b/>
          <w:bCs/>
          <w:sz w:val="32"/>
          <w:szCs w:val="32"/>
        </w:rPr>
      </w:r>
      <w:r/>
    </w:p>
    <w:p>
      <w:pPr>
        <w:pStyle w:val="921"/>
        <w:ind w:firstLine="540"/>
        <w:pageBreakBefore w:val="0"/>
        <w:spacing w:line="460" w:lineRule="exact"/>
        <w:rPr>
          <w:rFonts w:hint="eastAsia" w:ascii="宋体" w:hAnsi="宋体" w:eastAsia="宋体" w:cs="宋体"/>
          <w:sz w:val="24"/>
          <w:szCs w:val="28"/>
          <w:highlight w:val="white"/>
        </w:rPr>
      </w:pPr>
      <w:r/>
      <w:bookmarkStart w:id="34" w:name="_Toc38985268"/>
      <w:r/>
      <w:bookmarkStart w:id="35" w:name="_Toc35393626"/>
      <w:r/>
      <w:bookmarkStart w:id="36" w:name="_Toc35393795"/>
      <w:r>
        <w:rPr>
          <w:rFonts w:hint="eastAsia" w:ascii="宋体" w:hAnsi="宋体" w:eastAsia="宋体" w:cs="宋体"/>
          <w:sz w:val="24"/>
          <w:szCs w:val="28"/>
          <w:highlight w:val="white"/>
        </w:rPr>
        <w:t xml:space="preserve">磋商公告及磋商文件公告期限为自本公告发布之日起五个工作日。采购公告发布媒体：宿迁市政府采购网、江苏省财政部门指定的媒体。</w:t>
      </w:r>
      <w:r>
        <w:rPr>
          <w:rFonts w:hint="eastAsia" w:ascii="宋体" w:hAnsi="宋体" w:eastAsia="宋体" w:cs="宋体"/>
          <w:sz w:val="24"/>
          <w:szCs w:val="28"/>
          <w:highlight w:val="white"/>
        </w:rPr>
      </w:r>
      <w:r/>
    </w:p>
    <w:p>
      <w:pPr>
        <w:pStyle w:val="921"/>
        <w:ind w:firstLine="498"/>
        <w:keepLines/>
        <w:keepNext/>
        <w:pageBreakBefore w:val="0"/>
        <w:spacing w:before="145" w:after="145" w:line="46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六、其他补充事宜</w:t>
      </w:r>
      <w:bookmarkEnd w:id="34"/>
      <w:r/>
      <w:bookmarkEnd w:id="35"/>
      <w:r/>
      <w:bookmarkEnd w:id="36"/>
      <w:r>
        <w:rPr>
          <w:rFonts w:hint="eastAsia" w:ascii="宋体" w:hAnsi="宋体" w:eastAsia="宋体" w:cs="宋体"/>
          <w:b/>
          <w:bCs/>
          <w:sz w:val="32"/>
          <w:szCs w:val="32"/>
        </w:rPr>
      </w:r>
      <w:r/>
    </w:p>
    <w:p>
      <w:pPr>
        <w:pStyle w:val="921"/>
        <w:ind w:firstLine="480"/>
        <w:pageBreakBefore w:val="0"/>
        <w:spacing w:line="460" w:lineRule="exact"/>
        <w:rPr>
          <w:rFonts w:hint="eastAsia" w:ascii="宋体" w:hAnsi="宋体" w:eastAsia="宋体" w:cs="宋体"/>
          <w:sz w:val="24"/>
          <w:highlight w:val="white"/>
        </w:rPr>
      </w:pPr>
      <w:r/>
      <w:bookmarkStart w:id="37" w:name="EB64e1f522fd8c43fcb4d3ba471386b3e7"/>
      <w:r>
        <w:rPr>
          <w:rFonts w:hint="eastAsia" w:ascii="宋体" w:hAnsi="宋体" w:eastAsia="宋体" w:cs="宋体"/>
          <w:sz w:val="24"/>
          <w:highlight w:val="white"/>
        </w:rPr>
        <w:t xml:space="preserve">1.</w:t>
      </w:r>
      <w:bookmarkStart w:id="38" w:name="OLE_LINK1"/>
      <w:r>
        <w:rPr>
          <w:rFonts w:hint="eastAsia" w:ascii="宋体" w:hAnsi="宋体" w:eastAsia="宋体" w:cs="宋体"/>
          <w:sz w:val="24"/>
          <w:highlight w:val="white"/>
        </w:rPr>
        <w:t xml:space="preserve">财政部门监督电话：</w:t>
      </w:r>
      <w:r>
        <w:rPr>
          <w:rFonts w:hint="eastAsia" w:ascii="宋体" w:hAnsi="宋体" w:eastAsia="宋体" w:cs="宋体"/>
          <w:sz w:val="24"/>
        </w:rPr>
        <w:t xml:space="preserve">0527-82868315。</w:t>
      </w:r>
      <w:bookmarkEnd w:id="38"/>
      <w:r>
        <w:rPr>
          <w:rFonts w:hint="eastAsia" w:ascii="宋体" w:hAnsi="宋体" w:eastAsia="宋体" w:cs="宋体"/>
          <w:sz w:val="24"/>
          <w:highlight w:val="white"/>
        </w:rPr>
      </w:r>
      <w:r/>
    </w:p>
    <w:p>
      <w:pPr>
        <w:pStyle w:val="921"/>
        <w:ind w:firstLine="480"/>
        <w:pageBreakBefore w:val="0"/>
        <w:spacing w:line="460" w:lineRule="exact"/>
        <w:rPr>
          <w:rFonts w:hint="eastAsia" w:ascii="宋体" w:hAnsi="宋体" w:eastAsia="宋体" w:cs="宋体"/>
          <w:sz w:val="24"/>
          <w:highlight w:val="white"/>
        </w:rPr>
      </w:pPr>
      <w:r>
        <w:rPr>
          <w:rFonts w:hint="eastAsia" w:ascii="宋体" w:hAnsi="宋体" w:eastAsia="宋体" w:cs="宋体"/>
          <w:sz w:val="24"/>
          <w:highlight w:val="white"/>
        </w:rPr>
        <w:t xml:space="preserve">2.“CA”数字证书办理：“苏采云”系统目前仅支持“苏采云”系统下的政务CA。省内各地区办理的“苏采云”系统下的政务CA全省通用。宿迁地区CA数字证书办理联系方式：18762803891。</w:t>
      </w:r>
      <w:r>
        <w:rPr>
          <w:rFonts w:hint="eastAsia" w:ascii="宋体" w:hAnsi="宋体" w:eastAsia="宋体" w:cs="宋体"/>
          <w:sz w:val="24"/>
          <w:highlight w:val="white"/>
        </w:rPr>
      </w:r>
      <w:r/>
    </w:p>
    <w:p>
      <w:pPr>
        <w:pStyle w:val="1062"/>
        <w:ind w:firstLine="480"/>
        <w:pageBreakBefore w:val="0"/>
        <w:spacing w:line="460" w:lineRule="exact"/>
        <w:rPr>
          <w:rFonts w:hint="eastAsia" w:ascii="宋体" w:hAnsi="宋体" w:eastAsia="宋体" w:cs="宋体"/>
          <w:sz w:val="24"/>
          <w:szCs w:val="21"/>
          <w:highlight w:val="white"/>
          <w:lang w:val="en-US"/>
        </w:rPr>
      </w:pPr>
      <w:r>
        <w:rPr>
          <w:rFonts w:hint="eastAsia" w:ascii="宋体" w:hAnsi="宋体" w:eastAsia="宋体" w:cs="宋体"/>
          <w:sz w:val="24"/>
          <w:szCs w:val="21"/>
          <w:highlight w:val="white"/>
          <w:lang w:val="en-US"/>
        </w:rPr>
        <w:t xml:space="preserve">3.宿迁地区“苏采云”技术支持客服电话：</w:t>
      </w:r>
      <w:r>
        <w:rPr>
          <w:rFonts w:hint="eastAsia" w:ascii="宋体" w:hAnsi="宋体" w:eastAsia="宋体" w:cs="宋体"/>
          <w:sz w:val="24"/>
          <w:szCs w:val="21"/>
          <w:highlight w:val="white"/>
          <w:lang w:val="en-US"/>
        </w:rPr>
        <w:t xml:space="preserve">0527-84363067</w:t>
      </w:r>
      <w:r>
        <w:rPr>
          <w:rFonts w:hint="eastAsia" w:ascii="宋体" w:hAnsi="宋体" w:eastAsia="宋体" w:cs="宋体"/>
          <w:sz w:val="24"/>
          <w:szCs w:val="21"/>
          <w:highlight w:val="white"/>
          <w:lang w:val="en-US"/>
        </w:rPr>
        <w:t xml:space="preserve">、0519-86722806。</w:t>
      </w:r>
      <w:r>
        <w:rPr>
          <w:rFonts w:hint="eastAsia" w:ascii="宋体" w:hAnsi="宋体" w:eastAsia="宋体" w:cs="宋体"/>
          <w:sz w:val="24"/>
          <w:szCs w:val="21"/>
          <w:highlight w:val="white"/>
          <w:lang w:val="en-US"/>
        </w:rPr>
      </w:r>
      <w:r/>
    </w:p>
    <w:p>
      <w:pPr>
        <w:pStyle w:val="1062"/>
        <w:ind w:firstLine="480"/>
        <w:pageBreakBefore w:val="0"/>
        <w:spacing w:line="460" w:lineRule="exact"/>
        <w:rPr>
          <w:rFonts w:hint="eastAsia" w:ascii="宋体" w:hAnsi="宋体" w:eastAsia="宋体" w:cs="宋体"/>
          <w:sz w:val="24"/>
          <w:szCs w:val="21"/>
          <w:highlight w:val="white"/>
          <w:lang w:val="en-US"/>
        </w:rPr>
      </w:pPr>
      <w:r>
        <w:rPr>
          <w:rFonts w:hint="eastAsia" w:ascii="宋体" w:hAnsi="宋体" w:eastAsia="宋体" w:cs="宋体"/>
          <w:sz w:val="24"/>
          <w:szCs w:val="21"/>
          <w:highlight w:val="white"/>
          <w:lang w:val="en-US"/>
        </w:rPr>
        <w:t xml:space="preserve">4.如果供应商通过苏采云系统参与政府采购项目，相关操作手册详见链接：</w:t>
      </w:r>
      <w:r>
        <w:rPr>
          <w:rFonts w:hint="eastAsia" w:ascii="宋体" w:hAnsi="宋体" w:eastAsia="宋体" w:cs="宋体"/>
          <w:spacing w:val="-6"/>
          <w:sz w:val="24"/>
          <w:szCs w:val="21"/>
          <w:highlight w:val="white"/>
          <w:lang w:val="en-US"/>
        </w:rPr>
        <w:t xml:space="preserve">http://www.ccgp-jiangsu.gov.cn/jiangsu/zlxz/ee/ee3a4bc5a3454aa2b0d9312230633ce9.html。</w:t>
      </w:r>
      <w:r>
        <w:rPr>
          <w:rFonts w:hint="eastAsia" w:ascii="宋体" w:hAnsi="宋体" w:eastAsia="宋体" w:cs="宋体"/>
          <w:sz w:val="24"/>
          <w:szCs w:val="21"/>
          <w:highlight w:val="white"/>
          <w:lang w:val="en-US"/>
        </w:rPr>
      </w:r>
      <w:r/>
    </w:p>
    <w:p>
      <w:pPr>
        <w:pStyle w:val="921"/>
        <w:ind w:firstLine="480"/>
        <w:pageBreakBefore w:val="0"/>
        <w:spacing w:line="460" w:lineRule="exact"/>
        <w:rPr>
          <w:rFonts w:hint="eastAsia" w:ascii="宋体" w:hAnsi="宋体" w:eastAsia="宋体" w:cs="宋体"/>
          <w:sz w:val="24"/>
          <w:szCs w:val="24"/>
        </w:rPr>
      </w:pPr>
      <w:r/>
      <w:bookmarkEnd w:id="37"/>
      <w:r>
        <w:rPr>
          <w:rFonts w:hint="eastAsia" w:ascii="宋体" w:hAnsi="宋体" w:eastAsia="宋体" w:cs="宋体"/>
          <w:sz w:val="24"/>
          <w:highlight w:val="white"/>
        </w:rPr>
        <w:t xml:space="preserve">5.现场勘察及答疑：本项目不组织集中勘察及答疑，供应商如对采购需求有疑问，请咨询采购单位联系人。</w:t>
      </w:r>
      <w:r>
        <w:rPr>
          <w:rFonts w:hint="eastAsia" w:ascii="宋体" w:hAnsi="宋体" w:eastAsia="宋体" w:cs="宋体"/>
          <w:sz w:val="24"/>
          <w:szCs w:val="24"/>
        </w:rPr>
      </w:r>
      <w:r/>
    </w:p>
    <w:p>
      <w:pPr>
        <w:pStyle w:val="921"/>
        <w:ind w:firstLine="498"/>
        <w:keepLines/>
        <w:keepNext/>
        <w:pageBreakBefore w:val="0"/>
        <w:spacing w:before="145" w:after="145" w:line="460" w:lineRule="exact"/>
        <w:rPr>
          <w:rFonts w:hint="eastAsia" w:ascii="宋体" w:hAnsi="宋体" w:eastAsia="宋体" w:cs="宋体"/>
          <w:b/>
          <w:bCs/>
          <w:sz w:val="32"/>
          <w:szCs w:val="32"/>
        </w:rPr>
        <w:outlineLvl w:val="2"/>
      </w:pPr>
      <w:r/>
      <w:bookmarkStart w:id="39" w:name="_Toc38985269"/>
      <w:r/>
      <w:bookmarkStart w:id="40" w:name="_Toc35393627"/>
      <w:r/>
      <w:bookmarkStart w:id="41" w:name="_Toc28359008"/>
      <w:r/>
      <w:bookmarkStart w:id="42" w:name="_Toc28359085"/>
      <w:r/>
      <w:bookmarkStart w:id="43" w:name="_Toc35393796"/>
      <w:r>
        <w:rPr>
          <w:rFonts w:hint="eastAsia" w:ascii="宋体" w:hAnsi="宋体" w:eastAsia="宋体" w:cs="宋体"/>
          <w:b/>
          <w:bCs/>
          <w:sz w:val="32"/>
          <w:szCs w:val="32"/>
        </w:rPr>
        <w:t xml:space="preserve">七、本次磋商联系方式</w:t>
      </w:r>
      <w:bookmarkEnd w:id="39"/>
      <w:r/>
      <w:bookmarkEnd w:id="40"/>
      <w:r/>
      <w:bookmarkEnd w:id="41"/>
      <w:r/>
      <w:bookmarkEnd w:id="42"/>
      <w:r/>
      <w:bookmarkEnd w:id="43"/>
      <w:r>
        <w:rPr>
          <w:rFonts w:hint="eastAsia" w:ascii="宋体" w:hAnsi="宋体" w:eastAsia="宋体" w:cs="宋体"/>
          <w:b/>
          <w:bCs/>
          <w:sz w:val="32"/>
          <w:szCs w:val="32"/>
        </w:rPr>
      </w:r>
      <w:r/>
    </w:p>
    <w:p>
      <w:pPr>
        <w:pStyle w:val="921"/>
        <w:ind w:firstLine="560"/>
        <w:jc w:val="left"/>
        <w:pageBreakBefore w:val="0"/>
        <w:spacing w:line="460" w:lineRule="exact"/>
        <w:widowControl/>
        <w:rPr>
          <w:rFonts w:hint="eastAsia" w:ascii="宋体" w:hAnsi="宋体" w:eastAsia="宋体" w:cs="宋体"/>
          <w:sz w:val="28"/>
          <w:szCs w:val="28"/>
          <w:u w:val="none"/>
        </w:rPr>
      </w:pPr>
      <w:r>
        <w:rPr>
          <w:rFonts w:hint="eastAsia" w:ascii="宋体" w:hAnsi="宋体" w:eastAsia="宋体" w:cs="宋体"/>
          <w:sz w:val="28"/>
          <w:szCs w:val="28"/>
          <w:u w:val="none"/>
        </w:rPr>
        <w:t xml:space="preserve">1.采购人信息</w:t>
      </w:r>
      <w:r>
        <w:rPr>
          <w:rFonts w:hint="eastAsia" w:ascii="宋体" w:hAnsi="宋体" w:eastAsia="宋体" w:cs="宋体"/>
          <w:sz w:val="28"/>
          <w:szCs w:val="28"/>
          <w:u w:val="none"/>
        </w:rPr>
      </w:r>
      <w:r/>
    </w:p>
    <w:p>
      <w:pPr>
        <w:pStyle w:val="921"/>
        <w:ind w:firstLine="720"/>
        <w:jc w:val="left"/>
        <w:pageBreakBefore w:val="0"/>
        <w:spacing w:line="460" w:lineRule="exact"/>
        <w:rPr>
          <w:rFonts w:hint="eastAsia" w:ascii="宋体" w:hAnsi="宋体" w:eastAsia="宋体" w:cs="宋体"/>
          <w:sz w:val="24"/>
          <w:szCs w:val="24"/>
          <w:u w:val="none"/>
          <w:lang w:eastAsia="zh-CN"/>
        </w:rPr>
      </w:pPr>
      <w:r>
        <w:rPr>
          <w:rFonts w:hint="eastAsia" w:ascii="宋体" w:hAnsi="宋体" w:eastAsia="宋体" w:cs="宋体"/>
          <w:sz w:val="24"/>
          <w:szCs w:val="24"/>
          <w:u w:val="none"/>
        </w:rPr>
        <w:t xml:space="preserve">名 称：</w:t>
      </w:r>
      <w:r>
        <w:rPr>
          <w:rFonts w:hint="eastAsia" w:ascii="宋体" w:hAnsi="宋体" w:eastAsia="宋体" w:cs="宋体"/>
          <w:sz w:val="24"/>
          <w:szCs w:val="24"/>
          <w:u w:val="none"/>
          <w:lang w:eastAsia="zh-CN"/>
        </w:rPr>
        <w:t xml:space="preserve">苏州宿迁工业园区社会保险基金管理中心</w:t>
      </w:r>
      <w:r>
        <w:rPr>
          <w:rFonts w:hint="eastAsia" w:ascii="宋体" w:hAnsi="宋体" w:eastAsia="宋体" w:cs="宋体"/>
          <w:sz w:val="24"/>
          <w:szCs w:val="24"/>
          <w:u w:val="none"/>
          <w:lang w:eastAsia="zh-CN"/>
        </w:rPr>
      </w:r>
      <w:r/>
    </w:p>
    <w:p>
      <w:pPr>
        <w:pStyle w:val="921"/>
        <w:ind w:firstLine="720"/>
        <w:pageBreakBefore w:val="0"/>
        <w:spacing w:line="460" w:lineRule="exact"/>
        <w:rPr>
          <w:rFonts w:hint="eastAsia" w:ascii="宋体" w:hAnsi="宋体" w:eastAsia="宋体" w:cs="宋体"/>
          <w:sz w:val="24"/>
          <w:highlight w:val="white"/>
          <w:u w:val="none"/>
          <w:lang w:eastAsia="zh-CN"/>
        </w:rPr>
      </w:pPr>
      <w:r/>
      <w:bookmarkStart w:id="44" w:name="_Toc28359086"/>
      <w:r/>
      <w:bookmarkStart w:id="45" w:name="_Toc28359009"/>
      <w:r>
        <w:rPr>
          <w:rFonts w:hint="eastAsia" w:ascii="宋体" w:hAnsi="宋体" w:eastAsia="宋体" w:cs="宋体"/>
          <w:sz w:val="24"/>
          <w:highlight w:val="white"/>
          <w:u w:val="none"/>
        </w:rPr>
        <w:t xml:space="preserve">地址：</w:t>
      </w:r>
      <w:r>
        <w:rPr>
          <w:rFonts w:hint="eastAsia" w:ascii="宋体" w:hAnsi="宋体" w:eastAsia="宋体" w:cs="宋体"/>
          <w:sz w:val="24"/>
          <w:highlight w:val="white"/>
          <w:u w:val="none"/>
          <w:lang w:eastAsia="zh-CN"/>
        </w:rPr>
        <w:t xml:space="preserve">宿迁市苏宿工业园区五指山路6号（园区政务服务中心一楼）</w:t>
      </w:r>
      <w:r>
        <w:rPr>
          <w:rFonts w:hint="eastAsia" w:ascii="宋体" w:hAnsi="宋体" w:eastAsia="宋体" w:cs="宋体"/>
          <w:sz w:val="24"/>
          <w:highlight w:val="white"/>
          <w:u w:val="none"/>
          <w:lang w:eastAsia="zh-CN"/>
        </w:rPr>
      </w:r>
      <w:r/>
    </w:p>
    <w:p>
      <w:pPr>
        <w:pStyle w:val="921"/>
        <w:ind w:firstLine="720"/>
        <w:pageBreakBefore w:val="0"/>
        <w:spacing w:line="460" w:lineRule="exact"/>
        <w:rPr>
          <w:rFonts w:hint="eastAsia" w:ascii="宋体" w:hAnsi="宋体" w:eastAsia="宋体" w:cs="宋体"/>
          <w:color w:val="000000"/>
          <w:sz w:val="24"/>
          <w:highlight w:val="white"/>
          <w:u w:val="none"/>
        </w:rPr>
      </w:pPr>
      <w:r>
        <w:rPr>
          <w:rFonts w:hint="eastAsia" w:ascii="宋体" w:hAnsi="宋体" w:eastAsia="宋体" w:cs="宋体"/>
          <w:sz w:val="24"/>
          <w:highlight w:val="white"/>
          <w:u w:val="none"/>
        </w:rPr>
        <w:t xml:space="preserve">联</w:t>
      </w:r>
      <w:r>
        <w:rPr>
          <w:rFonts w:hint="eastAsia" w:ascii="宋体" w:hAnsi="宋体" w:eastAsia="宋体" w:cs="宋体"/>
          <w:color w:val="000000"/>
          <w:sz w:val="24"/>
          <w:highlight w:val="white"/>
          <w:u w:val="none"/>
        </w:rPr>
        <w:t xml:space="preserve">系人：许艳艳</w:t>
      </w:r>
      <w:r>
        <w:rPr>
          <w:rFonts w:hint="eastAsia" w:ascii="宋体" w:hAnsi="宋体" w:eastAsia="宋体" w:cs="宋体"/>
          <w:color w:val="000000"/>
          <w:sz w:val="24"/>
          <w:highlight w:val="white"/>
          <w:u w:val="none"/>
        </w:rPr>
      </w:r>
      <w:r/>
    </w:p>
    <w:p>
      <w:pPr>
        <w:pStyle w:val="921"/>
        <w:ind w:firstLine="720"/>
        <w:pageBreakBefore w:val="0"/>
        <w:spacing w:line="460" w:lineRule="exact"/>
        <w:rPr>
          <w:rFonts w:hint="eastAsia" w:ascii="宋体" w:hAnsi="宋体" w:eastAsia="宋体" w:cs="宋体"/>
          <w:color w:val="000000"/>
          <w:sz w:val="24"/>
          <w:szCs w:val="24"/>
          <w:highlight w:val="white"/>
          <w:u w:val="none"/>
        </w:rPr>
      </w:pPr>
      <w:r>
        <w:rPr>
          <w:rFonts w:hint="eastAsia" w:ascii="宋体" w:hAnsi="宋体" w:eastAsia="宋体" w:cs="宋体"/>
          <w:color w:val="000000"/>
          <w:sz w:val="24"/>
          <w:highlight w:val="white"/>
          <w:u w:val="none"/>
        </w:rPr>
        <w:t xml:space="preserve">联系方式：0527-82868982   </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highlight w:val="white"/>
          <w:u w:val="none"/>
        </w:rPr>
        <w:t xml:space="preserve"> </w:t>
      </w:r>
      <w:r>
        <w:rPr>
          <w:rFonts w:hint="eastAsia" w:ascii="宋体" w:hAnsi="宋体" w:eastAsia="宋体" w:cs="宋体"/>
          <w:color w:val="000000"/>
          <w:sz w:val="24"/>
          <w:szCs w:val="24"/>
          <w:highlight w:val="white"/>
          <w:u w:val="none"/>
        </w:rPr>
      </w:r>
      <w:r/>
    </w:p>
    <w:p>
      <w:pPr>
        <w:pStyle w:val="921"/>
        <w:ind w:firstLine="560"/>
        <w:jc w:val="left"/>
        <w:pageBreakBefore w:val="0"/>
        <w:spacing w:line="460" w:lineRule="exact"/>
        <w:widowControl/>
        <w:rPr>
          <w:rFonts w:hint="eastAsia" w:ascii="宋体" w:hAnsi="宋体" w:eastAsia="宋体" w:cs="宋体"/>
          <w:sz w:val="28"/>
          <w:szCs w:val="28"/>
          <w:u w:val="none"/>
        </w:rPr>
      </w:pPr>
      <w:r>
        <w:rPr>
          <w:rFonts w:hint="eastAsia" w:ascii="宋体" w:hAnsi="宋体" w:eastAsia="宋体" w:cs="宋体"/>
          <w:sz w:val="28"/>
          <w:szCs w:val="28"/>
          <w:u w:val="none"/>
        </w:rPr>
        <w:t xml:space="preserve">2.采购代理机构信息</w:t>
      </w:r>
      <w:bookmarkEnd w:id="44"/>
      <w:r/>
      <w:bookmarkEnd w:id="45"/>
      <w:r>
        <w:rPr>
          <w:rFonts w:hint="eastAsia" w:ascii="宋体" w:hAnsi="宋体" w:eastAsia="宋体" w:cs="宋体"/>
          <w:sz w:val="28"/>
          <w:szCs w:val="28"/>
          <w:u w:val="none"/>
        </w:rPr>
      </w:r>
      <w:r/>
    </w:p>
    <w:p>
      <w:pPr>
        <w:pStyle w:val="921"/>
        <w:ind w:left="1079" w:hanging="300"/>
        <w:jc w:val="left"/>
        <w:pageBreakBefore w:val="0"/>
        <w:spacing w:line="460" w:lineRule="exact"/>
        <w:rPr>
          <w:rFonts w:hint="eastAsia" w:ascii="宋体" w:hAnsi="宋体" w:eastAsia="宋体" w:cs="宋体"/>
          <w:sz w:val="24"/>
          <w:szCs w:val="24"/>
          <w:u w:val="none"/>
        </w:rPr>
      </w:pPr>
      <w:r/>
      <w:bookmarkStart w:id="46" w:name="_Toc28359010"/>
      <w:r/>
      <w:bookmarkStart w:id="47" w:name="_Toc28359087"/>
      <w:r>
        <w:rPr>
          <w:rFonts w:hint="eastAsia" w:ascii="宋体" w:hAnsi="宋体" w:eastAsia="宋体" w:cs="宋体"/>
          <w:sz w:val="24"/>
          <w:szCs w:val="24"/>
          <w:u w:val="none"/>
        </w:rPr>
        <w:t xml:space="preserve">名 称：中诚智信工程咨询集团股份有限公司</w:t>
      </w:r>
      <w:r>
        <w:rPr>
          <w:rFonts w:hint="eastAsia" w:ascii="宋体" w:hAnsi="宋体" w:eastAsia="宋体" w:cs="宋体"/>
          <w:sz w:val="24"/>
          <w:szCs w:val="24"/>
          <w:u w:val="none"/>
        </w:rPr>
      </w:r>
      <w:r/>
    </w:p>
    <w:p>
      <w:pPr>
        <w:pStyle w:val="921"/>
        <w:ind w:left="1079" w:hanging="300"/>
        <w:jc w:val="left"/>
        <w:pageBreakBefore w:val="0"/>
        <w:spacing w:line="46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地址：苏宿工业园区生产力中心7-105室（苏州银行取款机隔壁）</w:t>
      </w:r>
      <w:r>
        <w:rPr>
          <w:rFonts w:hint="eastAsia" w:ascii="宋体" w:hAnsi="宋体" w:eastAsia="宋体" w:cs="宋体"/>
          <w:sz w:val="24"/>
          <w:szCs w:val="24"/>
          <w:u w:val="none"/>
        </w:rPr>
      </w:r>
      <w:r/>
    </w:p>
    <w:p>
      <w:pPr>
        <w:pStyle w:val="921"/>
        <w:ind w:left="1079" w:hanging="300"/>
        <w:jc w:val="left"/>
        <w:pageBreakBefore w:val="0"/>
        <w:spacing w:line="46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联系人：张钰 </w:t>
      </w:r>
      <w:r>
        <w:rPr>
          <w:rFonts w:hint="eastAsia" w:ascii="宋体" w:hAnsi="宋体" w:eastAsia="宋体" w:cs="宋体"/>
          <w:sz w:val="24"/>
          <w:szCs w:val="24"/>
          <w:u w:val="none"/>
        </w:rPr>
      </w:r>
      <w:r/>
    </w:p>
    <w:p>
      <w:pPr>
        <w:pStyle w:val="921"/>
        <w:ind w:left="1079" w:hanging="300"/>
        <w:jc w:val="left"/>
        <w:pageBreakBefore w:val="0"/>
        <w:spacing w:line="46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联系方式：19352690669</w:t>
      </w:r>
      <w:r>
        <w:rPr>
          <w:rFonts w:hint="eastAsia" w:ascii="宋体" w:hAnsi="宋体" w:eastAsia="宋体" w:cs="宋体"/>
          <w:sz w:val="24"/>
          <w:szCs w:val="24"/>
          <w:u w:val="none"/>
        </w:rPr>
      </w:r>
      <w:r/>
    </w:p>
    <w:p>
      <w:pPr>
        <w:pStyle w:val="921"/>
        <w:ind w:firstLine="498"/>
        <w:keepLines/>
        <w:keepNext/>
        <w:pageBreakBefore w:val="0"/>
        <w:spacing w:before="145" w:after="145" w:line="460" w:lineRule="exact"/>
        <w:rPr>
          <w:rFonts w:hint="eastAsia" w:ascii="宋体" w:hAnsi="宋体" w:eastAsia="宋体" w:cs="宋体"/>
          <w:b/>
          <w:bCs/>
          <w:sz w:val="32"/>
          <w:szCs w:val="32"/>
        </w:rPr>
        <w:outlineLvl w:val="2"/>
      </w:pPr>
      <w:r/>
      <w:bookmarkEnd w:id="46"/>
      <w:r/>
      <w:bookmarkEnd w:id="47"/>
      <w:r>
        <w:rPr>
          <w:rFonts w:hint="eastAsia" w:ascii="宋体" w:hAnsi="宋体" w:eastAsia="宋体" w:cs="宋体"/>
          <w:b/>
          <w:bCs/>
          <w:sz w:val="32"/>
          <w:szCs w:val="32"/>
        </w:rPr>
        <w:t xml:space="preserve">八、其他</w:t>
      </w:r>
      <w:r>
        <w:rPr>
          <w:rFonts w:hint="eastAsia" w:ascii="宋体" w:hAnsi="宋体" w:eastAsia="宋体" w:cs="宋体"/>
          <w:b/>
          <w:bCs/>
          <w:sz w:val="32"/>
          <w:szCs w:val="32"/>
        </w:rPr>
      </w:r>
      <w:r/>
    </w:p>
    <w:p>
      <w:pPr>
        <w:pStyle w:val="921"/>
        <w:ind w:firstLine="480"/>
        <w:pageBreakBefore w:val="0"/>
        <w:spacing w:line="4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1.有关本次采购的事项若存在变动或修改，敬请及时关注“宿迁市政府采购网”等平台更正公告。</w:t>
      </w:r>
      <w:r>
        <w:rPr>
          <w:rFonts w:hint="eastAsia" w:ascii="宋体" w:hAnsi="宋体" w:eastAsia="宋体" w:cs="宋体"/>
          <w:bCs/>
          <w:sz w:val="24"/>
          <w:szCs w:val="24"/>
        </w:rPr>
      </w:r>
      <w:r/>
    </w:p>
    <w:p>
      <w:pPr>
        <w:pStyle w:val="921"/>
        <w:ind w:firstLine="480"/>
        <w:pageBreakBefore w:val="0"/>
        <w:spacing w:line="4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2.本次磋商不收取磋商保证金。</w:t>
      </w:r>
      <w:r>
        <w:rPr>
          <w:rFonts w:hint="eastAsia" w:ascii="宋体" w:hAnsi="宋体" w:eastAsia="宋体" w:cs="宋体"/>
          <w:bCs/>
          <w:sz w:val="24"/>
          <w:szCs w:val="24"/>
        </w:rPr>
      </w:r>
      <w:r/>
    </w:p>
    <w:p>
      <w:pPr>
        <w:pStyle w:val="921"/>
        <w:ind w:right="84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jc w:val="center"/>
        <w:keepLines/>
        <w:keepNext/>
        <w:spacing w:before="260" w:after="260" w:line="480" w:lineRule="exact"/>
        <w:rPr>
          <w:rFonts w:hint="eastAsia" w:ascii="宋体" w:hAnsi="宋体" w:eastAsia="宋体" w:cs="宋体"/>
          <w:b/>
          <w:bCs/>
          <w:sz w:val="44"/>
          <w:szCs w:val="44"/>
        </w:rPr>
        <w:outlineLvl w:val="0"/>
      </w:pPr>
      <w:r/>
      <w:bookmarkStart w:id="48" w:name="_Toc120614211"/>
      <w:r>
        <w:rPr>
          <w:rFonts w:hint="eastAsia" w:ascii="宋体" w:hAnsi="宋体" w:eastAsia="宋体" w:cs="宋体"/>
          <w:b/>
          <w:bCs/>
          <w:sz w:val="44"/>
          <w:szCs w:val="44"/>
        </w:rPr>
        <w:br w:type="page" w:clear="all"/>
      </w:r>
      <w:bookmarkStart w:id="49" w:name="_Toc22750"/>
      <w:r>
        <w:rPr>
          <w:rFonts w:hint="eastAsia" w:ascii="宋体" w:hAnsi="宋体" w:eastAsia="宋体" w:cs="宋体"/>
          <w:b/>
          <w:bCs/>
          <w:sz w:val="44"/>
          <w:szCs w:val="44"/>
        </w:rPr>
        <w:t xml:space="preserve">第二章  </w:t>
      </w:r>
      <w:bookmarkEnd w:id="1"/>
      <w:r/>
      <w:bookmarkEnd w:id="2"/>
      <w:r/>
      <w:bookmarkEnd w:id="3"/>
      <w:r/>
      <w:bookmarkEnd w:id="4"/>
      <w:r/>
      <w:bookmarkEnd w:id="5"/>
      <w:r/>
      <w:bookmarkEnd w:id="48"/>
      <w:r>
        <w:rPr>
          <w:rFonts w:hint="eastAsia" w:ascii="宋体" w:hAnsi="宋体" w:eastAsia="宋体" w:cs="宋体"/>
          <w:b/>
          <w:bCs/>
          <w:sz w:val="44"/>
          <w:szCs w:val="44"/>
        </w:rPr>
        <w:t xml:space="preserve">供应商须知</w:t>
      </w:r>
      <w:bookmarkEnd w:id="49"/>
      <w:r>
        <w:rPr>
          <w:rFonts w:hint="eastAsia" w:ascii="宋体" w:hAnsi="宋体" w:eastAsia="宋体" w:cs="宋体"/>
          <w:b/>
          <w:bCs/>
          <w:sz w:val="44"/>
          <w:szCs w:val="44"/>
        </w:rPr>
      </w:r>
      <w:r/>
    </w:p>
    <w:p>
      <w:pPr>
        <w:pStyle w:val="921"/>
        <w:ind w:firstLine="498"/>
        <w:keepLines/>
        <w:keepNext/>
        <w:spacing w:line="480" w:lineRule="exact"/>
        <w:rPr>
          <w:rFonts w:hint="eastAsia" w:ascii="宋体" w:hAnsi="宋体" w:eastAsia="宋体" w:cs="宋体"/>
          <w:b/>
          <w:bCs/>
          <w:sz w:val="32"/>
          <w:szCs w:val="32"/>
        </w:rPr>
        <w:outlineLvl w:val="2"/>
      </w:pPr>
      <w:r/>
      <w:bookmarkStart w:id="50" w:name="_Toc16938519"/>
      <w:r/>
      <w:bookmarkStart w:id="51" w:name="_Toc20823275"/>
      <w:r/>
      <w:bookmarkStart w:id="52" w:name="_Toc120614214"/>
      <w:r/>
      <w:bookmarkStart w:id="53" w:name="_Toc513029203"/>
      <w:r>
        <w:rPr>
          <w:rFonts w:hint="eastAsia" w:ascii="宋体" w:hAnsi="宋体" w:eastAsia="宋体" w:cs="宋体"/>
          <w:b/>
          <w:bCs/>
          <w:sz w:val="32"/>
          <w:szCs w:val="32"/>
        </w:rPr>
        <w:t xml:space="preserve">一、总则</w:t>
      </w:r>
      <w:bookmarkEnd w:id="50"/>
      <w:r/>
      <w:bookmarkEnd w:id="51"/>
      <w:r/>
      <w:bookmarkEnd w:id="52"/>
      <w:r/>
      <w:bookmarkEnd w:id="53"/>
      <w:r>
        <w:rPr>
          <w:rFonts w:hint="eastAsia" w:ascii="宋体" w:hAnsi="宋体" w:eastAsia="宋体" w:cs="宋体"/>
          <w:b/>
          <w:bCs/>
          <w:sz w:val="32"/>
          <w:szCs w:val="32"/>
        </w:rPr>
      </w:r>
      <w:r/>
    </w:p>
    <w:p>
      <w:pPr>
        <w:pStyle w:val="921"/>
        <w:ind w:firstLine="420"/>
        <w:keepLines/>
        <w:keepNext/>
        <w:spacing w:line="480" w:lineRule="exact"/>
        <w:rPr>
          <w:rFonts w:hint="eastAsia" w:ascii="宋体" w:hAnsi="宋体" w:eastAsia="宋体" w:cs="宋体"/>
          <w:sz w:val="28"/>
          <w:szCs w:val="28"/>
        </w:rPr>
        <w:outlineLvl w:val="3"/>
      </w:pPr>
      <w:r/>
      <w:bookmarkStart w:id="54" w:name="_Hlt16619475"/>
      <w:r/>
      <w:bookmarkEnd w:id="54"/>
      <w:r/>
      <w:bookmarkStart w:id="55" w:name="_Toc458694821"/>
      <w:r/>
      <w:bookmarkStart w:id="56" w:name="_Toc513029204"/>
      <w:r/>
      <w:bookmarkStart w:id="57" w:name="_Toc20823276"/>
      <w:r/>
      <w:bookmarkStart w:id="58" w:name="_Toc16938520"/>
      <w:r>
        <w:rPr>
          <w:rFonts w:hint="eastAsia" w:ascii="宋体" w:hAnsi="宋体" w:eastAsia="宋体" w:cs="宋体"/>
          <w:sz w:val="28"/>
          <w:szCs w:val="28"/>
        </w:rPr>
        <w:t xml:space="preserve">1</w:t>
      </w:r>
      <w:bookmarkEnd w:id="55"/>
      <w:r>
        <w:rPr>
          <w:rFonts w:hint="eastAsia" w:ascii="宋体" w:hAnsi="宋体" w:eastAsia="宋体" w:cs="宋体"/>
          <w:sz w:val="28"/>
          <w:szCs w:val="28"/>
        </w:rPr>
        <w:t xml:space="preserve">、采购方式</w:t>
      </w:r>
      <w:bookmarkEnd w:id="56"/>
      <w:r/>
      <w:bookmarkEnd w:id="57"/>
      <w:r/>
      <w:bookmarkEnd w:id="58"/>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1.1 本次政府采购活动采取竞争性磋商(以下简称磋商)方式，本磋商文件仅适用于磋商公告中所述项目。</w:t>
      </w:r>
      <w:r>
        <w:rPr>
          <w:rFonts w:hint="eastAsia" w:ascii="宋体" w:hAnsi="宋体" w:eastAsia="宋体" w:cs="宋体"/>
          <w:sz w:val="24"/>
          <w:szCs w:val="21"/>
        </w:rPr>
      </w:r>
      <w:r/>
    </w:p>
    <w:p>
      <w:pPr>
        <w:pStyle w:val="921"/>
        <w:ind w:firstLine="420"/>
        <w:keepLines/>
        <w:keepNext/>
        <w:spacing w:line="480" w:lineRule="exact"/>
        <w:rPr>
          <w:rFonts w:hint="eastAsia" w:ascii="宋体" w:hAnsi="宋体" w:eastAsia="宋体" w:cs="宋体"/>
          <w:sz w:val="28"/>
          <w:szCs w:val="28"/>
        </w:rPr>
        <w:outlineLvl w:val="3"/>
      </w:pPr>
      <w:r/>
      <w:bookmarkStart w:id="59" w:name="_Toc16938521"/>
      <w:r/>
      <w:bookmarkStart w:id="60" w:name="_Toc20823277"/>
      <w:r/>
      <w:bookmarkStart w:id="61" w:name="_Toc513029205"/>
      <w:r>
        <w:rPr>
          <w:rFonts w:hint="eastAsia" w:ascii="宋体" w:hAnsi="宋体" w:eastAsia="宋体" w:cs="宋体"/>
          <w:sz w:val="28"/>
          <w:szCs w:val="28"/>
        </w:rPr>
        <w:t xml:space="preserve">2、合格的</w:t>
      </w:r>
      <w:bookmarkEnd w:id="59"/>
      <w:r/>
      <w:bookmarkEnd w:id="60"/>
      <w:r/>
      <w:bookmarkEnd w:id="61"/>
      <w:r>
        <w:rPr>
          <w:rFonts w:hint="eastAsia" w:ascii="宋体" w:hAnsi="宋体" w:eastAsia="宋体" w:cs="宋体"/>
          <w:sz w:val="28"/>
          <w:szCs w:val="28"/>
        </w:rPr>
        <w:t xml:space="preserve">供应商</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2.1满足磋商公告中供应商资格要求的规定。</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2.2 满足本磋商文件实质性要求和条件的规定。</w:t>
      </w:r>
      <w:r>
        <w:rPr>
          <w:rFonts w:hint="eastAsia" w:ascii="宋体" w:hAnsi="宋体" w:eastAsia="宋体" w:cs="宋体"/>
          <w:sz w:val="24"/>
          <w:szCs w:val="21"/>
        </w:rPr>
      </w:r>
      <w:r/>
    </w:p>
    <w:p>
      <w:pPr>
        <w:pStyle w:val="921"/>
        <w:ind w:firstLine="420"/>
        <w:keepLines/>
        <w:keepNext/>
        <w:spacing w:line="480" w:lineRule="exact"/>
        <w:rPr>
          <w:rFonts w:hint="eastAsia" w:ascii="宋体" w:hAnsi="宋体" w:eastAsia="宋体" w:cs="宋体"/>
          <w:sz w:val="28"/>
          <w:szCs w:val="28"/>
        </w:rPr>
        <w:outlineLvl w:val="3"/>
      </w:pPr>
      <w:r/>
      <w:bookmarkStart w:id="62" w:name="_Toc513029206"/>
      <w:r/>
      <w:bookmarkStart w:id="63" w:name="_Toc16938522"/>
      <w:r/>
      <w:bookmarkStart w:id="64" w:name="_Toc20823278"/>
      <w:r>
        <w:rPr>
          <w:rFonts w:hint="eastAsia" w:ascii="宋体" w:hAnsi="宋体" w:eastAsia="宋体" w:cs="宋体"/>
          <w:sz w:val="28"/>
          <w:szCs w:val="28"/>
        </w:rPr>
        <w:t xml:space="preserve">3、适用法律</w:t>
      </w:r>
      <w:bookmarkEnd w:id="62"/>
      <w:r/>
      <w:bookmarkEnd w:id="63"/>
      <w:r/>
      <w:bookmarkEnd w:id="64"/>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3.1 本次磋商及由此产生的合同受中华人民共和国有关的法律法规制约和保护。</w:t>
      </w:r>
      <w:r>
        <w:rPr>
          <w:rFonts w:hint="eastAsia" w:ascii="宋体" w:hAnsi="宋体" w:eastAsia="宋体" w:cs="宋体"/>
          <w:sz w:val="24"/>
          <w:szCs w:val="21"/>
        </w:rPr>
      </w:r>
      <w:r/>
    </w:p>
    <w:p>
      <w:pPr>
        <w:pStyle w:val="921"/>
        <w:ind w:firstLine="420"/>
        <w:keepLines/>
        <w:keepNext/>
        <w:spacing w:line="480" w:lineRule="exact"/>
        <w:rPr>
          <w:rFonts w:hint="eastAsia" w:ascii="宋体" w:hAnsi="宋体" w:eastAsia="宋体" w:cs="宋体"/>
          <w:sz w:val="28"/>
          <w:szCs w:val="28"/>
        </w:rPr>
        <w:outlineLvl w:val="3"/>
      </w:pPr>
      <w:r/>
      <w:bookmarkStart w:id="65" w:name="_Toc16938523"/>
      <w:r/>
      <w:bookmarkStart w:id="66" w:name="_Toc20823279"/>
      <w:r/>
      <w:bookmarkStart w:id="67" w:name="_Toc513029207"/>
      <w:r/>
      <w:bookmarkStart w:id="68" w:name="_Toc462564067"/>
      <w:r>
        <w:rPr>
          <w:rFonts w:hint="eastAsia" w:ascii="宋体" w:hAnsi="宋体" w:eastAsia="宋体" w:cs="宋体"/>
          <w:sz w:val="28"/>
          <w:szCs w:val="28"/>
        </w:rPr>
        <w:t xml:space="preserve">4、磋商费用</w:t>
      </w:r>
      <w:bookmarkEnd w:id="65"/>
      <w:r/>
      <w:bookmarkEnd w:id="66"/>
      <w:r/>
      <w:bookmarkEnd w:id="67"/>
      <w:r/>
      <w:bookmarkEnd w:id="68"/>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4.1供应商应自行承担所有与参加本次磋商有关的费用，无论磋商过程中的做法和结果如何，采购代理机构在任何情况下均无义务和责任承担这些费用。</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4.2代理费用收取方式及标准：按以下第</w:t>
      </w:r>
      <w:r>
        <w:rPr>
          <w:rFonts w:hint="eastAsia" w:ascii="宋体" w:hAnsi="宋体" w:eastAsia="宋体" w:cs="宋体"/>
          <w:sz w:val="24"/>
          <w:szCs w:val="21"/>
          <w:u w:val="single"/>
        </w:rPr>
        <w:t xml:space="preserve"> 4.2.2  </w:t>
      </w:r>
      <w:r>
        <w:rPr>
          <w:rFonts w:hint="eastAsia" w:ascii="宋体" w:hAnsi="宋体" w:eastAsia="宋体" w:cs="宋体"/>
          <w:sz w:val="24"/>
          <w:szCs w:val="21"/>
        </w:rPr>
        <w:t xml:space="preserve">种方式执行</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lang w:val="zh-CN"/>
        </w:rPr>
      </w:pPr>
      <w:r>
        <w:rPr>
          <w:rFonts w:hint="eastAsia" w:ascii="宋体" w:hAnsi="宋体" w:eastAsia="宋体" w:cs="宋体"/>
          <w:sz w:val="24"/>
          <w:szCs w:val="21"/>
          <w:lang w:val="zh-CN"/>
        </w:rPr>
        <w:t xml:space="preserve">4.2.1无需支付；</w:t>
      </w:r>
      <w:r>
        <w:rPr>
          <w:rFonts w:hint="eastAsia" w:ascii="宋体" w:hAnsi="宋体" w:eastAsia="宋体" w:cs="宋体"/>
          <w:sz w:val="24"/>
          <w:szCs w:val="21"/>
          <w:lang w:val="zh-CN"/>
        </w:rPr>
      </w:r>
      <w:r/>
    </w:p>
    <w:p>
      <w:pPr>
        <w:pStyle w:val="1062"/>
        <w:ind w:left="0" w:firstLine="480"/>
        <w:pageBreakBefore w:val="0"/>
        <w:widowControl w:val="off"/>
        <w:rPr>
          <w:rFonts w:hint="eastAsia" w:ascii="宋体" w:hAnsi="宋体" w:eastAsia="宋体" w:cs="宋体"/>
          <w:color w:val="000000"/>
          <w:sz w:val="24"/>
          <w:szCs w:val="21"/>
        </w:rPr>
      </w:pPr>
      <w:r>
        <w:rPr>
          <w:rFonts w:hint="eastAsia" w:ascii="宋体" w:hAnsi="宋体" w:eastAsia="宋体" w:cs="宋体"/>
          <w:color w:val="000000"/>
          <w:sz w:val="24"/>
          <w:szCs w:val="21"/>
          <w:lang w:val="zh-CN"/>
        </w:rPr>
        <w:t xml:space="preserve">4.2.2</w:t>
      </w:r>
      <w:r>
        <w:rPr>
          <w:rFonts w:hint="eastAsia" w:ascii="宋体" w:hAnsi="宋体" w:eastAsia="宋体" w:cs="宋体"/>
          <w:color w:val="000000"/>
          <w:sz w:val="24"/>
          <w:szCs w:val="21"/>
          <w:lang w:val="en-US" w:eastAsia="zh-CN"/>
        </w:rPr>
        <w:t xml:space="preserve">中标</w:t>
      </w:r>
      <w:r>
        <w:rPr>
          <w:rFonts w:hint="eastAsia" w:ascii="宋体" w:hAnsi="宋体" w:eastAsia="宋体" w:cs="宋体"/>
          <w:color w:val="000000"/>
          <w:sz w:val="24"/>
          <w:szCs w:val="21"/>
          <w:lang w:val="zh-CN"/>
        </w:rPr>
        <w:t xml:space="preserve">人支付，具体方式及标准为：</w:t>
      </w:r>
      <w:r>
        <w:rPr>
          <w:rFonts w:hint="eastAsia" w:ascii="宋体" w:hAnsi="宋体" w:eastAsia="宋体" w:cs="宋体"/>
          <w:color w:val="000000"/>
          <w:sz w:val="24"/>
          <w:szCs w:val="24"/>
          <w:highlight w:val="none"/>
          <w:lang w:val="en-US" w:eastAsia="zh-CN" w:bidi="ar-SA"/>
        </w:rPr>
        <w:t xml:space="preserve">按《江苏省招标代理服务收费的指导意见》苏招协[2022]002号文收费标准计算收取代理费，支付方式可以通过转账或数字人民币等方式。</w:t>
      </w:r>
      <w:r>
        <w:rPr>
          <w:rFonts w:hint="eastAsia" w:ascii="宋体" w:hAnsi="宋体" w:eastAsia="宋体" w:cs="宋体"/>
          <w:color w:val="000000"/>
          <w:sz w:val="24"/>
          <w:szCs w:val="21"/>
        </w:rPr>
        <w:t xml:space="preserve">     </w:t>
      </w:r>
      <w:r>
        <w:rPr>
          <w:rFonts w:hint="eastAsia" w:ascii="宋体" w:hAnsi="宋体" w:eastAsia="宋体" w:cs="宋体"/>
          <w:color w:val="000000"/>
          <w:sz w:val="24"/>
          <w:szCs w:val="21"/>
        </w:rPr>
      </w:r>
      <w:r/>
    </w:p>
    <w:p>
      <w:pPr>
        <w:pStyle w:val="921"/>
        <w:ind w:firstLine="42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5、磋商文件的约束力</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供应商一旦参加本项目采购活动，即被认为接受了本磋商文件的规定和约束。</w:t>
      </w:r>
      <w:r>
        <w:rPr>
          <w:rFonts w:hint="eastAsia" w:ascii="宋体" w:hAnsi="宋体" w:eastAsia="宋体" w:cs="宋体"/>
          <w:sz w:val="24"/>
          <w:szCs w:val="24"/>
        </w:rPr>
      </w:r>
      <w:r/>
    </w:p>
    <w:p>
      <w:pPr>
        <w:pStyle w:val="921"/>
        <w:ind w:firstLine="321"/>
        <w:keepLines/>
        <w:keepNext/>
        <w:spacing w:line="480" w:lineRule="exact"/>
        <w:rPr>
          <w:rFonts w:hint="eastAsia" w:ascii="宋体" w:hAnsi="宋体" w:eastAsia="宋体" w:cs="宋体"/>
          <w:b/>
          <w:bCs/>
          <w:sz w:val="32"/>
          <w:szCs w:val="32"/>
        </w:rPr>
        <w:outlineLvl w:val="2"/>
      </w:pPr>
      <w:r/>
      <w:bookmarkStart w:id="69" w:name="_Toc20823281"/>
      <w:r/>
      <w:bookmarkStart w:id="70" w:name="_Toc120614215"/>
      <w:r/>
      <w:bookmarkStart w:id="71" w:name="_Toc513029209"/>
      <w:r/>
      <w:bookmarkStart w:id="72" w:name="_Toc16938525"/>
      <w:r>
        <w:rPr>
          <w:rFonts w:hint="eastAsia" w:ascii="宋体" w:hAnsi="宋体" w:eastAsia="宋体" w:cs="宋体"/>
          <w:b/>
          <w:bCs/>
          <w:sz w:val="32"/>
          <w:szCs w:val="32"/>
        </w:rPr>
        <w:t xml:space="preserve">二、</w:t>
      </w:r>
      <w:bookmarkEnd w:id="69"/>
      <w:r/>
      <w:bookmarkEnd w:id="70"/>
      <w:r/>
      <w:bookmarkEnd w:id="71"/>
      <w:r/>
      <w:bookmarkEnd w:id="72"/>
      <w:r>
        <w:rPr>
          <w:rFonts w:hint="eastAsia" w:ascii="宋体" w:hAnsi="宋体" w:eastAsia="宋体" w:cs="宋体"/>
          <w:b/>
          <w:bCs/>
          <w:sz w:val="32"/>
          <w:szCs w:val="32"/>
        </w:rPr>
        <w:t xml:space="preserve">磋商文件</w:t>
      </w:r>
      <w:r>
        <w:rPr>
          <w:rFonts w:hint="eastAsia" w:ascii="宋体" w:hAnsi="宋体" w:eastAsia="宋体" w:cs="宋体"/>
          <w:b/>
          <w:bCs/>
          <w:sz w:val="32"/>
          <w:szCs w:val="32"/>
        </w:rPr>
      </w:r>
      <w:r/>
    </w:p>
    <w:p>
      <w:pPr>
        <w:pStyle w:val="921"/>
        <w:ind w:firstLine="420"/>
        <w:keepLines/>
        <w:keepNext/>
        <w:spacing w:line="480" w:lineRule="exact"/>
        <w:rPr>
          <w:rFonts w:hint="eastAsia" w:ascii="宋体" w:hAnsi="宋体" w:eastAsia="宋体" w:cs="宋体"/>
          <w:sz w:val="28"/>
          <w:szCs w:val="28"/>
        </w:rPr>
        <w:outlineLvl w:val="3"/>
      </w:pPr>
      <w:r/>
      <w:bookmarkStart w:id="73" w:name="_Toc513029210"/>
      <w:r/>
      <w:bookmarkStart w:id="74" w:name="_Toc16938526"/>
      <w:r/>
      <w:bookmarkStart w:id="75" w:name="_Toc20823282"/>
      <w:r>
        <w:rPr>
          <w:rFonts w:hint="eastAsia" w:ascii="宋体" w:hAnsi="宋体" w:eastAsia="宋体" w:cs="宋体"/>
          <w:sz w:val="28"/>
          <w:szCs w:val="28"/>
        </w:rPr>
        <w:t xml:space="preserve">6、磋商文件构成</w:t>
      </w:r>
      <w:bookmarkEnd w:id="73"/>
      <w:r/>
      <w:bookmarkEnd w:id="74"/>
      <w:r/>
      <w:bookmarkEnd w:id="75"/>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6.1磋商文件由以下部分组成：</w:t>
      </w:r>
      <w:r>
        <w:rPr>
          <w:rFonts w:hint="eastAsia" w:ascii="宋体" w:hAnsi="宋体" w:eastAsia="宋体" w:cs="宋体"/>
          <w:bCs/>
          <w:sz w:val="24"/>
          <w:szCs w:val="24"/>
        </w:rPr>
      </w:r>
      <w:r/>
    </w:p>
    <w:p>
      <w:pPr>
        <w:pStyle w:val="921"/>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（1）磋商邀请</w:t>
      </w:r>
      <w:r>
        <w:rPr>
          <w:rFonts w:hint="eastAsia" w:ascii="宋体" w:hAnsi="宋体" w:eastAsia="宋体" w:cs="宋体"/>
          <w:bCs/>
          <w:sz w:val="24"/>
          <w:szCs w:val="24"/>
        </w:rPr>
      </w:r>
      <w:r/>
    </w:p>
    <w:p>
      <w:pPr>
        <w:pStyle w:val="921"/>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（2）供应商须知</w:t>
      </w:r>
      <w:r>
        <w:rPr>
          <w:rFonts w:hint="eastAsia" w:ascii="宋体" w:hAnsi="宋体" w:eastAsia="宋体" w:cs="宋体"/>
          <w:bCs/>
          <w:sz w:val="24"/>
          <w:szCs w:val="24"/>
        </w:rPr>
      </w:r>
      <w:r/>
    </w:p>
    <w:p>
      <w:pPr>
        <w:pStyle w:val="921"/>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（3）合同文本</w:t>
      </w:r>
      <w:r>
        <w:rPr>
          <w:rFonts w:hint="eastAsia" w:ascii="宋体" w:hAnsi="宋体" w:eastAsia="宋体" w:cs="宋体"/>
          <w:bCs/>
          <w:sz w:val="24"/>
          <w:szCs w:val="24"/>
        </w:rPr>
      </w:r>
      <w:r/>
    </w:p>
    <w:p>
      <w:pPr>
        <w:pStyle w:val="921"/>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（4）采购需求</w:t>
      </w:r>
      <w:r>
        <w:rPr>
          <w:rFonts w:hint="eastAsia" w:ascii="宋体" w:hAnsi="宋体" w:eastAsia="宋体" w:cs="宋体"/>
          <w:bCs/>
          <w:sz w:val="24"/>
          <w:szCs w:val="24"/>
        </w:rPr>
      </w:r>
      <w:r/>
    </w:p>
    <w:p>
      <w:pPr>
        <w:pStyle w:val="921"/>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（5）评审方法与评审标准</w:t>
      </w:r>
      <w:r>
        <w:rPr>
          <w:rFonts w:hint="eastAsia" w:ascii="宋体" w:hAnsi="宋体" w:eastAsia="宋体" w:cs="宋体"/>
          <w:bCs/>
          <w:sz w:val="24"/>
          <w:szCs w:val="24"/>
        </w:rPr>
      </w:r>
      <w:r/>
    </w:p>
    <w:p>
      <w:pPr>
        <w:pStyle w:val="921"/>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（6）响应文件格式</w:t>
      </w:r>
      <w:r>
        <w:rPr>
          <w:rFonts w:hint="eastAsia" w:ascii="宋体" w:hAnsi="宋体" w:eastAsia="宋体" w:cs="宋体"/>
          <w:bCs/>
          <w:sz w:val="24"/>
          <w:szCs w:val="24"/>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请仔细检查磋商文件是否齐全，如有缺漏请立即与采购代理机构联系解决。</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bCs/>
          <w:sz w:val="24"/>
          <w:szCs w:val="21"/>
        </w:rPr>
        <w:t xml:space="preserve">6.2</w:t>
      </w:r>
      <w:r>
        <w:rPr>
          <w:rFonts w:hint="eastAsia" w:ascii="宋体" w:hAnsi="宋体" w:eastAsia="宋体" w:cs="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sz w:val="24"/>
          <w:szCs w:val="21"/>
        </w:rPr>
      </w:r>
      <w:r/>
    </w:p>
    <w:p>
      <w:pPr>
        <w:pStyle w:val="921"/>
        <w:ind w:firstLine="560"/>
        <w:keepLines/>
        <w:keepNext/>
        <w:spacing w:line="480" w:lineRule="exact"/>
        <w:rPr>
          <w:rFonts w:hint="eastAsia" w:ascii="宋体" w:hAnsi="宋体" w:eastAsia="宋体" w:cs="宋体"/>
          <w:sz w:val="28"/>
          <w:szCs w:val="28"/>
        </w:rPr>
        <w:outlineLvl w:val="3"/>
      </w:pPr>
      <w:r/>
      <w:bookmarkStart w:id="76" w:name="_Toc462564070"/>
      <w:r/>
      <w:bookmarkStart w:id="77" w:name="_Toc16938527"/>
      <w:r/>
      <w:bookmarkStart w:id="78" w:name="_Toc20823283"/>
      <w:r/>
      <w:bookmarkStart w:id="79" w:name="_Toc513029211"/>
      <w:r>
        <w:rPr>
          <w:rFonts w:hint="eastAsia" w:ascii="宋体" w:hAnsi="宋体" w:eastAsia="宋体" w:cs="宋体"/>
          <w:sz w:val="28"/>
          <w:szCs w:val="28"/>
        </w:rPr>
        <w:t xml:space="preserve">7、磋商文件的澄清</w:t>
      </w:r>
      <w:bookmarkEnd w:id="76"/>
      <w:r/>
      <w:bookmarkEnd w:id="77"/>
      <w:r/>
      <w:bookmarkEnd w:id="78"/>
      <w:r/>
      <w:bookmarkEnd w:id="79"/>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bCs/>
          <w:sz w:val="24"/>
          <w:szCs w:val="21"/>
        </w:rPr>
        <w:t xml:space="preserve">7.1</w:t>
      </w:r>
      <w:r>
        <w:rPr>
          <w:rFonts w:hint="eastAsia" w:ascii="宋体" w:hAnsi="宋体" w:eastAsia="宋体" w:cs="宋体"/>
          <w:sz w:val="24"/>
          <w:szCs w:val="21"/>
        </w:rPr>
        <w:t xml:space="preserve">任何要求对磋商文件进行澄清的供应商，应在磋商截止期5日</w:t>
      </w:r>
      <w:r>
        <w:rPr>
          <w:rFonts w:hint="eastAsia" w:ascii="宋体" w:hAnsi="宋体" w:eastAsia="宋体" w:cs="宋体"/>
          <w:sz w:val="24"/>
          <w:szCs w:val="24"/>
        </w:rPr>
        <w:t xml:space="preserve">前</w:t>
      </w:r>
      <w:r>
        <w:rPr>
          <w:rFonts w:hint="eastAsia" w:ascii="宋体" w:hAnsi="宋体" w:eastAsia="宋体" w:cs="宋体"/>
          <w:sz w:val="24"/>
          <w:szCs w:val="21"/>
        </w:rPr>
        <w:t xml:space="preserve">按磋商公告中的通讯地址，以书面形式通知采购代理机构。</w:t>
      </w:r>
      <w:r>
        <w:rPr>
          <w:rFonts w:hint="eastAsia" w:ascii="宋体" w:hAnsi="宋体" w:eastAsia="宋体" w:cs="宋体"/>
          <w:sz w:val="24"/>
          <w:szCs w:val="24"/>
        </w:rPr>
      </w:r>
      <w:r/>
    </w:p>
    <w:p>
      <w:pPr>
        <w:pStyle w:val="921"/>
        <w:ind w:firstLine="560"/>
        <w:keepLines/>
        <w:keepNext/>
        <w:spacing w:line="480" w:lineRule="exact"/>
        <w:rPr>
          <w:rFonts w:hint="eastAsia" w:ascii="宋体" w:hAnsi="宋体" w:eastAsia="宋体" w:cs="宋体"/>
          <w:sz w:val="28"/>
          <w:szCs w:val="28"/>
        </w:rPr>
        <w:outlineLvl w:val="3"/>
      </w:pPr>
      <w:r/>
      <w:bookmarkStart w:id="80" w:name="_Toc16938528"/>
      <w:r/>
      <w:bookmarkStart w:id="81" w:name="_Toc20823284"/>
      <w:r/>
      <w:bookmarkStart w:id="82" w:name="_Toc462564071"/>
      <w:r/>
      <w:bookmarkStart w:id="83" w:name="_Toc513029212"/>
      <w:r>
        <w:rPr>
          <w:rFonts w:hint="eastAsia" w:ascii="宋体" w:hAnsi="宋体" w:eastAsia="宋体" w:cs="宋体"/>
          <w:sz w:val="28"/>
          <w:szCs w:val="28"/>
        </w:rPr>
        <w:t xml:space="preserve">8、磋商文件的澄清和修改</w:t>
      </w:r>
      <w:bookmarkEnd w:id="80"/>
      <w:r/>
      <w:bookmarkEnd w:id="81"/>
      <w:r/>
      <w:bookmarkEnd w:id="82"/>
      <w:r/>
      <w:bookmarkEnd w:id="83"/>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8.1采购代理机构可以以更正公告的形式，对已发出的磋商文件进行必要的澄清或者修改。澄清或者修改的内容可能影响响应文件编制的，更正公告应在</w:t>
      </w:r>
      <w:r>
        <w:rPr>
          <w:rFonts w:hint="eastAsia" w:ascii="宋体" w:hAnsi="宋体" w:eastAsia="宋体" w:cs="宋体"/>
          <w:sz w:val="24"/>
          <w:szCs w:val="21"/>
        </w:rPr>
        <w:t xml:space="preserve">提交首次响应文件截止时间</w:t>
      </w:r>
      <w:r>
        <w:rPr>
          <w:rFonts w:hint="eastAsia" w:ascii="宋体" w:hAnsi="宋体" w:eastAsia="宋体" w:cs="宋体"/>
          <w:bCs/>
          <w:sz w:val="24"/>
        </w:rPr>
        <w:t xml:space="preserve">至少5日前发出；不足5日的，采购代理机构应当顺延</w:t>
      </w:r>
      <w:r>
        <w:rPr>
          <w:rFonts w:hint="eastAsia" w:ascii="宋体" w:hAnsi="宋体" w:eastAsia="宋体" w:cs="宋体"/>
          <w:sz w:val="24"/>
          <w:szCs w:val="21"/>
        </w:rPr>
        <w:t xml:space="preserve">提交首次响应文件截止时间</w:t>
      </w:r>
      <w:r>
        <w:rPr>
          <w:rFonts w:hint="eastAsia" w:ascii="宋体" w:hAnsi="宋体" w:eastAsia="宋体" w:cs="宋体"/>
          <w:bCs/>
          <w:sz w:val="24"/>
        </w:rPr>
        <w:t xml:space="preserve">。</w:t>
      </w:r>
      <w:r>
        <w:rPr>
          <w:rFonts w:hint="eastAsia" w:ascii="宋体" w:hAnsi="宋体" w:eastAsia="宋体" w:cs="宋体"/>
          <w:bCs/>
          <w:sz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8.2</w:t>
      </w:r>
      <w:r>
        <w:rPr>
          <w:rFonts w:hint="eastAsia" w:ascii="宋体" w:hAnsi="宋体" w:eastAsia="宋体" w:cs="宋体"/>
          <w:sz w:val="24"/>
          <w:szCs w:val="21"/>
        </w:rPr>
        <w:t xml:space="preserve">在响应文件提交截止时间前</w:t>
      </w:r>
      <w:r>
        <w:rPr>
          <w:rFonts w:hint="eastAsia" w:ascii="宋体" w:hAnsi="宋体" w:eastAsia="宋体" w:cs="宋体"/>
          <w:bCs/>
          <w:sz w:val="24"/>
        </w:rPr>
        <w:t xml:space="preserve">，采购代理机构可以对磋商文件进行修改。</w:t>
      </w:r>
      <w:r>
        <w:rPr>
          <w:rFonts w:hint="eastAsia" w:ascii="宋体" w:hAnsi="宋体" w:eastAsia="宋体" w:cs="宋体"/>
          <w:bCs/>
          <w:sz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8.3采购代理机构有权按照法定的要求推迟响应文件递交截止日期和磋商日期。</w:t>
      </w:r>
      <w:r>
        <w:rPr>
          <w:rFonts w:hint="eastAsia" w:ascii="宋体" w:hAnsi="宋体" w:eastAsia="宋体" w:cs="宋体"/>
          <w:bCs/>
          <w:sz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8.4磋商文件的修改将在原公告媒体上发布更正公告，</w:t>
      </w:r>
      <w:r>
        <w:rPr>
          <w:rFonts w:hint="eastAsia" w:ascii="宋体" w:hAnsi="宋体" w:eastAsia="宋体" w:cs="宋体"/>
          <w:sz w:val="24"/>
          <w:szCs w:val="21"/>
        </w:rPr>
        <w:t xml:space="preserve">更正公告内容将作为磋商文件的组成部分</w:t>
      </w:r>
      <w:r>
        <w:rPr>
          <w:rFonts w:hint="eastAsia" w:ascii="宋体" w:hAnsi="宋体" w:eastAsia="宋体" w:cs="宋体"/>
          <w:bCs/>
          <w:sz w:val="24"/>
        </w:rPr>
        <w:t xml:space="preserve">，并对供应商具有约束力，发布的更正公告视同为以书面形式通知所有获取招标文件的潜在投标人。</w:t>
      </w:r>
      <w:r>
        <w:rPr>
          <w:rFonts w:hint="eastAsia" w:ascii="宋体" w:hAnsi="宋体" w:eastAsia="宋体" w:cs="宋体"/>
          <w:bCs/>
          <w:sz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8.5供应商应及时登录“苏采云”系统获取澄清答疑文件（修改后磋商文件），如因供应商原因未能及时下载澄清和修改后的磋商文件，由此造成的相关责任，由供应商承担。</w:t>
      </w:r>
      <w:r>
        <w:rPr>
          <w:rFonts w:hint="eastAsia" w:ascii="宋体" w:hAnsi="宋体" w:eastAsia="宋体" w:cs="宋体"/>
          <w:bCs/>
          <w:sz w:val="24"/>
        </w:rPr>
      </w:r>
      <w:r/>
    </w:p>
    <w:p>
      <w:pPr>
        <w:pStyle w:val="921"/>
        <w:ind w:firstLine="482"/>
        <w:keepLines/>
        <w:keepNext/>
        <w:spacing w:line="480" w:lineRule="exact"/>
        <w:rPr>
          <w:rFonts w:hint="eastAsia" w:ascii="宋体" w:hAnsi="宋体" w:eastAsia="宋体" w:cs="宋体"/>
          <w:b/>
          <w:bCs/>
          <w:sz w:val="32"/>
          <w:szCs w:val="32"/>
        </w:rPr>
        <w:outlineLvl w:val="2"/>
      </w:pPr>
      <w:r/>
      <w:bookmarkStart w:id="84" w:name="_Toc513029213"/>
      <w:r/>
      <w:bookmarkStart w:id="85" w:name="_Toc462564072"/>
      <w:r/>
      <w:bookmarkStart w:id="86" w:name="_Toc16938529"/>
      <w:r/>
      <w:bookmarkStart w:id="87" w:name="_Toc20823285"/>
      <w:r/>
      <w:bookmarkStart w:id="88" w:name="_Toc120614216"/>
      <w:r>
        <w:rPr>
          <w:rFonts w:hint="eastAsia" w:ascii="宋体" w:hAnsi="宋体" w:eastAsia="宋体" w:cs="宋体"/>
          <w:b/>
          <w:bCs/>
          <w:sz w:val="32"/>
          <w:szCs w:val="32"/>
        </w:rPr>
        <w:t xml:space="preserve">三、响应文件的编制</w:t>
      </w:r>
      <w:bookmarkEnd w:id="84"/>
      <w:r/>
      <w:bookmarkEnd w:id="85"/>
      <w:r/>
      <w:bookmarkEnd w:id="86"/>
      <w:r/>
      <w:bookmarkEnd w:id="87"/>
      <w:r/>
      <w:bookmarkEnd w:id="88"/>
      <w:r>
        <w:rPr>
          <w:rFonts w:hint="eastAsia" w:ascii="宋体" w:hAnsi="宋体" w:eastAsia="宋体" w:cs="宋体"/>
          <w:b/>
          <w:bCs/>
          <w:sz w:val="32"/>
          <w:szCs w:val="32"/>
        </w:rPr>
      </w:r>
      <w:r/>
    </w:p>
    <w:p>
      <w:pPr>
        <w:pStyle w:val="921"/>
        <w:ind w:firstLine="560"/>
        <w:keepLines/>
        <w:keepNext/>
        <w:spacing w:line="480" w:lineRule="exact"/>
        <w:rPr>
          <w:rFonts w:hint="eastAsia" w:ascii="宋体" w:hAnsi="宋体" w:eastAsia="宋体" w:cs="宋体"/>
          <w:b/>
          <w:sz w:val="28"/>
          <w:szCs w:val="28"/>
        </w:rPr>
        <w:outlineLvl w:val="3"/>
      </w:pPr>
      <w:r/>
      <w:bookmarkStart w:id="89" w:name="_Toc513029214"/>
      <w:r/>
      <w:bookmarkStart w:id="90" w:name="_Toc462564073"/>
      <w:r/>
      <w:bookmarkStart w:id="91" w:name="_Toc16938530"/>
      <w:r/>
      <w:bookmarkStart w:id="92" w:name="_Toc20823286"/>
      <w:r>
        <w:rPr>
          <w:rFonts w:hint="eastAsia" w:ascii="宋体" w:hAnsi="宋体" w:eastAsia="宋体" w:cs="宋体"/>
          <w:sz w:val="28"/>
          <w:szCs w:val="28"/>
        </w:rPr>
        <w:t xml:space="preserve">9、响应文件的语言及度量衡单位</w:t>
      </w:r>
      <w:bookmarkEnd w:id="89"/>
      <w:r/>
      <w:bookmarkEnd w:id="90"/>
      <w:r/>
      <w:bookmarkEnd w:id="91"/>
      <w:r/>
      <w:bookmarkEnd w:id="92"/>
      <w:r>
        <w:rPr>
          <w:rFonts w:hint="eastAsia" w:ascii="宋体" w:hAnsi="宋体" w:eastAsia="宋体" w:cs="宋体"/>
          <w:b/>
          <w:sz w:val="28"/>
          <w:szCs w:val="28"/>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bCs/>
          <w:sz w:val="24"/>
          <w:szCs w:val="21"/>
        </w:rPr>
        <w:t xml:space="preserve">9.1</w:t>
      </w:r>
      <w:r>
        <w:rPr>
          <w:rFonts w:hint="eastAsia" w:ascii="宋体" w:hAnsi="宋体" w:eastAsia="宋体" w:cs="宋体"/>
          <w:sz w:val="24"/>
          <w:szCs w:val="21"/>
        </w:rPr>
        <w:t xml:space="preserve">供应商提交的响应文件以及供应商与采购代理机构就有关磋商的所有来往通知、函件和文件均应使用</w:t>
      </w:r>
      <w:r>
        <w:rPr>
          <w:rFonts w:hint="eastAsia" w:ascii="宋体" w:hAnsi="宋体" w:eastAsia="宋体" w:cs="宋体"/>
          <w:b/>
          <w:bCs/>
          <w:sz w:val="24"/>
          <w:szCs w:val="21"/>
        </w:rPr>
        <w:t xml:space="preserve">简体中文</w:t>
      </w:r>
      <w:r>
        <w:rPr>
          <w:rFonts w:hint="eastAsia" w:ascii="宋体" w:hAnsi="宋体" w:eastAsia="宋体" w:cs="宋体"/>
          <w:sz w:val="24"/>
          <w:szCs w:val="21"/>
        </w:rPr>
        <w:t xml:space="preserve">。</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bCs/>
          <w:sz w:val="24"/>
          <w:szCs w:val="21"/>
        </w:rPr>
        <w:t xml:space="preserve">9.2</w:t>
      </w:r>
      <w:r>
        <w:rPr>
          <w:rFonts w:hint="eastAsia" w:ascii="宋体" w:hAnsi="宋体" w:eastAsia="宋体" w:cs="宋体"/>
          <w:sz w:val="24"/>
          <w:szCs w:val="21"/>
        </w:rPr>
        <w:t xml:space="preserve"> 除技术性能另有规定外，响应文件所使用的度量衡单位，均须采用国家法定计量单位。</w:t>
      </w:r>
      <w:r>
        <w:rPr>
          <w:rFonts w:hint="eastAsia" w:ascii="宋体" w:hAnsi="宋体" w:eastAsia="宋体" w:cs="宋体"/>
          <w:sz w:val="24"/>
          <w:szCs w:val="21"/>
        </w:rPr>
      </w:r>
      <w:r/>
    </w:p>
    <w:p>
      <w:pPr>
        <w:pStyle w:val="921"/>
        <w:ind w:firstLine="420"/>
        <w:keepLines/>
        <w:keepNext/>
        <w:spacing w:line="480" w:lineRule="exact"/>
        <w:rPr>
          <w:rFonts w:hint="eastAsia" w:ascii="宋体" w:hAnsi="宋体" w:eastAsia="宋体" w:cs="宋体"/>
          <w:sz w:val="28"/>
          <w:szCs w:val="28"/>
        </w:rPr>
        <w:outlineLvl w:val="3"/>
      </w:pPr>
      <w:r/>
      <w:bookmarkStart w:id="93" w:name="_Toc16938531"/>
      <w:r/>
      <w:bookmarkStart w:id="94" w:name="_Toc462564074"/>
      <w:r/>
      <w:bookmarkStart w:id="95" w:name="_Toc513029215"/>
      <w:r/>
      <w:bookmarkStart w:id="96" w:name="_Toc20823287"/>
      <w:r>
        <w:rPr>
          <w:rFonts w:hint="eastAsia" w:ascii="宋体" w:hAnsi="宋体" w:eastAsia="宋体" w:cs="宋体"/>
          <w:sz w:val="28"/>
          <w:szCs w:val="28"/>
        </w:rPr>
        <w:t xml:space="preserve">10、响应文件构成</w:t>
      </w:r>
      <w:bookmarkEnd w:id="93"/>
      <w:r/>
      <w:bookmarkEnd w:id="94"/>
      <w:r/>
      <w:bookmarkEnd w:id="95"/>
      <w:r/>
      <w:bookmarkEnd w:id="96"/>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szCs w:val="21"/>
        </w:rPr>
        <w:t xml:space="preserve">10.1</w:t>
      </w:r>
      <w:r>
        <w:rPr>
          <w:rFonts w:hint="eastAsia" w:ascii="宋体" w:hAnsi="宋体" w:eastAsia="宋体" w:cs="宋体"/>
          <w:bCs/>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rPr>
          <w:rFonts w:hint="eastAsia" w:ascii="宋体" w:hAnsi="宋体" w:eastAsia="宋体" w:cs="宋体"/>
          <w:bCs/>
          <w:sz w:val="24"/>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bCs/>
          <w:sz w:val="24"/>
          <w:lang w:val="zh-CN"/>
        </w:rPr>
        <w:t xml:space="preserve">各供应商在编制</w:t>
      </w:r>
      <w:r>
        <w:rPr>
          <w:rFonts w:hint="eastAsia" w:ascii="宋体" w:hAnsi="宋体" w:eastAsia="宋体" w:cs="宋体"/>
          <w:bCs/>
          <w:sz w:val="24"/>
        </w:rPr>
        <w:t xml:space="preserve">响应文件</w:t>
      </w:r>
      <w:r>
        <w:rPr>
          <w:rFonts w:hint="eastAsia" w:ascii="宋体" w:hAnsi="宋体" w:eastAsia="宋体" w:cs="宋体"/>
          <w:bCs/>
          <w:sz w:val="24"/>
          <w:lang w:val="zh-CN"/>
        </w:rPr>
        <w:t xml:space="preserve">时请按照磋商文件第六</w:t>
      </w:r>
      <w:r>
        <w:rPr>
          <w:rFonts w:hint="eastAsia" w:ascii="宋体" w:hAnsi="宋体" w:eastAsia="宋体" w:cs="宋体"/>
          <w:bCs/>
          <w:sz w:val="24"/>
        </w:rPr>
        <w:t xml:space="preserve">章</w:t>
      </w:r>
      <w:r>
        <w:rPr>
          <w:rFonts w:hint="eastAsia" w:ascii="宋体" w:hAnsi="宋体" w:eastAsia="宋体" w:cs="宋体"/>
          <w:bCs/>
          <w:sz w:val="24"/>
          <w:lang w:val="zh-CN"/>
        </w:rPr>
        <w:t xml:space="preserve">规定的格式进行，混乱的编排导致</w:t>
      </w:r>
      <w:r>
        <w:rPr>
          <w:rFonts w:hint="eastAsia" w:ascii="宋体" w:hAnsi="宋体" w:eastAsia="宋体" w:cs="宋体"/>
          <w:bCs/>
          <w:sz w:val="24"/>
        </w:rPr>
        <w:t xml:space="preserve">响应</w:t>
      </w:r>
      <w:r>
        <w:rPr>
          <w:rFonts w:hint="eastAsia" w:ascii="宋体" w:hAnsi="宋体" w:eastAsia="宋体" w:cs="宋体"/>
          <w:bCs/>
          <w:sz w:val="24"/>
          <w:lang w:val="zh-CN"/>
        </w:rPr>
        <w:t xml:space="preserve">文件被误读或磋商小组查找不到有效文件是供应商的风险。</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rPr>
      </w:pPr>
      <w:r>
        <w:rPr>
          <w:rFonts w:hint="eastAsia" w:ascii="宋体" w:hAnsi="宋体" w:eastAsia="宋体" w:cs="宋体"/>
          <w:sz w:val="24"/>
          <w:szCs w:val="21"/>
        </w:rPr>
        <w:t xml:space="preserve">10.2</w:t>
      </w:r>
      <w:r>
        <w:rPr>
          <w:rFonts w:hint="eastAsia" w:ascii="宋体" w:hAnsi="宋体" w:eastAsia="宋体" w:cs="宋体"/>
          <w:sz w:val="24"/>
        </w:rPr>
        <w:t xml:space="preserve">供应商编写的响应文件应包括资格证明文件、分项报价表、其他证明文件、磋商申请及声明函、磋商报价表等部分。</w:t>
      </w:r>
      <w:r>
        <w:rPr>
          <w:rFonts w:hint="eastAsia" w:ascii="宋体" w:hAnsi="宋体" w:eastAsia="宋体" w:cs="宋体"/>
          <w:sz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10.3响应文件须加盖电子签章之处，应按要求加盖</w:t>
      </w:r>
      <w:r>
        <w:rPr>
          <w:rFonts w:hint="eastAsia" w:ascii="宋体" w:hAnsi="宋体" w:eastAsia="宋体" w:cs="宋体"/>
          <w:bCs/>
          <w:sz w:val="24"/>
          <w:lang w:val="zh-CN"/>
        </w:rPr>
        <w:t xml:space="preserve">供应商</w:t>
      </w:r>
      <w:r>
        <w:rPr>
          <w:rFonts w:hint="eastAsia" w:ascii="宋体" w:hAnsi="宋体" w:eastAsia="宋体" w:cs="宋体"/>
          <w:bCs/>
          <w:sz w:val="24"/>
        </w:rPr>
        <w:t xml:space="preserve">数字证书的电子签章。其他需要盖章但未明确要求电子签章的，</w:t>
      </w:r>
      <w:r>
        <w:rPr>
          <w:rFonts w:hint="eastAsia" w:ascii="宋体" w:hAnsi="宋体" w:eastAsia="宋体" w:cs="宋体"/>
          <w:bCs/>
          <w:sz w:val="24"/>
          <w:lang w:val="zh-CN"/>
        </w:rPr>
        <w:t xml:space="preserve">供应商</w:t>
      </w:r>
      <w:r>
        <w:rPr>
          <w:rFonts w:hint="eastAsia" w:ascii="宋体" w:hAnsi="宋体" w:eastAsia="宋体" w:cs="宋体"/>
          <w:bCs/>
          <w:sz w:val="24"/>
        </w:rPr>
        <w:t xml:space="preserve">可按要求加盖公章后上传材料电子件或直接加盖电子签章。 </w:t>
      </w:r>
      <w:r>
        <w:rPr>
          <w:rFonts w:hint="eastAsia" w:ascii="宋体" w:hAnsi="宋体" w:eastAsia="宋体" w:cs="宋体"/>
          <w:bCs/>
          <w:sz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10.4本项目通过“苏采云”系统进行电子招标投标，即</w:t>
      </w:r>
      <w:r>
        <w:rPr>
          <w:rFonts w:hint="eastAsia" w:ascii="宋体" w:hAnsi="宋体" w:eastAsia="宋体" w:cs="宋体"/>
          <w:bCs/>
          <w:sz w:val="24"/>
          <w:lang w:val="zh-CN"/>
        </w:rPr>
        <w:t xml:space="preserve">供应商</w:t>
      </w:r>
      <w:r>
        <w:rPr>
          <w:rFonts w:hint="eastAsia" w:ascii="宋体" w:hAnsi="宋体" w:eastAsia="宋体" w:cs="宋体"/>
          <w:bCs/>
          <w:sz w:val="24"/>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sz w:val="24"/>
          <w:lang w:val="zh-CN"/>
        </w:rPr>
        <w:t xml:space="preserve">供应商</w:t>
      </w:r>
      <w:r>
        <w:rPr>
          <w:rFonts w:hint="eastAsia" w:ascii="宋体" w:hAnsi="宋体" w:eastAsia="宋体" w:cs="宋体"/>
          <w:bCs/>
          <w:sz w:val="24"/>
        </w:rPr>
        <w:t xml:space="preserve">，按照无效响应处理(因“苏采云”系统导致解密失败的除外)。</w:t>
      </w:r>
      <w:r>
        <w:rPr>
          <w:rFonts w:hint="eastAsia" w:ascii="宋体" w:hAnsi="宋体" w:eastAsia="宋体" w:cs="宋体"/>
          <w:bCs/>
          <w:sz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10.5如标书制作工具中格式和内容与“宿迁市政府采购网”发布的磋商文件不一致，请以“宿迁市政府采购网”发布的磋商文件为准。</w:t>
      </w:r>
      <w:r>
        <w:rPr>
          <w:rFonts w:hint="eastAsia" w:ascii="宋体" w:hAnsi="宋体" w:eastAsia="宋体" w:cs="宋体"/>
          <w:bCs/>
          <w:sz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10.6成交后按相关要求提供与电子响应文件一致的纸质打印响应文件2份。 </w:t>
      </w:r>
      <w:r>
        <w:rPr>
          <w:rFonts w:hint="eastAsia" w:ascii="宋体" w:hAnsi="宋体" w:eastAsia="宋体" w:cs="宋体"/>
          <w:bCs/>
          <w:sz w:val="24"/>
        </w:rPr>
      </w:r>
      <w:r/>
    </w:p>
    <w:p>
      <w:pPr>
        <w:pStyle w:val="921"/>
        <w:ind w:firstLine="480"/>
        <w:spacing w:line="480" w:lineRule="exact"/>
        <w:rPr>
          <w:rFonts w:hint="eastAsia" w:ascii="宋体" w:hAnsi="宋体" w:eastAsia="宋体" w:cs="宋体"/>
          <w:sz w:val="24"/>
        </w:rPr>
      </w:pPr>
      <w:r/>
      <w:bookmarkStart w:id="97" w:name="EBc50e2bb832bb43068403b10c1cce6141"/>
      <w:r>
        <w:rPr>
          <w:rFonts w:hint="eastAsia" w:ascii="宋体" w:hAnsi="宋体" w:eastAsia="宋体" w:cs="宋体"/>
          <w:bCs/>
          <w:sz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7"/>
      <w:r>
        <w:rPr>
          <w:rFonts w:hint="eastAsia" w:ascii="宋体" w:hAnsi="宋体" w:eastAsia="宋体" w:cs="宋体"/>
          <w:sz w:val="24"/>
        </w:rPr>
      </w:r>
      <w:r/>
    </w:p>
    <w:p>
      <w:pPr>
        <w:pStyle w:val="921"/>
        <w:ind w:firstLine="420"/>
        <w:keepLines/>
        <w:keepNext/>
        <w:spacing w:line="480" w:lineRule="exact"/>
        <w:rPr>
          <w:rFonts w:hint="eastAsia" w:ascii="宋体" w:hAnsi="宋体" w:eastAsia="宋体" w:cs="宋体"/>
          <w:sz w:val="28"/>
          <w:szCs w:val="28"/>
        </w:rPr>
        <w:outlineLvl w:val="3"/>
      </w:pPr>
      <w:r/>
      <w:bookmarkStart w:id="98" w:name="_Hlt26954838"/>
      <w:r/>
      <w:bookmarkEnd w:id="98"/>
      <w:r/>
      <w:bookmarkStart w:id="99" w:name="_Hlt26670360"/>
      <w:r/>
      <w:bookmarkEnd w:id="99"/>
      <w:r/>
      <w:bookmarkStart w:id="100" w:name="_Hlt26668975"/>
      <w:r/>
      <w:bookmarkEnd w:id="100"/>
      <w:r/>
      <w:bookmarkStart w:id="101" w:name="_Toc49090507"/>
      <w:r/>
      <w:bookmarkStart w:id="102" w:name="_Toc14577354"/>
      <w:r/>
      <w:bookmarkStart w:id="103" w:name="_Toc49090509"/>
      <w:r/>
      <w:bookmarkStart w:id="104" w:name="_Toc14577357"/>
      <w:r/>
      <w:bookmarkStart w:id="105" w:name="_Toc513029219"/>
      <w:r/>
      <w:bookmarkStart w:id="106" w:name="_Toc513029216"/>
      <w:r/>
      <w:bookmarkStart w:id="107" w:name="_Toc49090508"/>
      <w:r/>
      <w:bookmarkStart w:id="108" w:name="_Toc14577355"/>
      <w:r>
        <w:rPr>
          <w:rFonts w:hint="eastAsia" w:ascii="宋体" w:hAnsi="宋体" w:eastAsia="宋体" w:cs="宋体"/>
          <w:sz w:val="28"/>
          <w:szCs w:val="28"/>
        </w:rPr>
        <w:t xml:space="preserve">11、证明磋商响应标的符合磋商文件规定的文件</w:t>
      </w:r>
      <w:bookmarkEnd w:id="101"/>
      <w:r/>
      <w:bookmarkEnd w:id="102"/>
      <w:r/>
      <w:bookmarkEnd w:id="103"/>
      <w:r/>
      <w:bookmarkEnd w:id="104"/>
      <w:r/>
      <w:bookmarkEnd w:id="105"/>
      <w:r/>
      <w:bookmarkEnd w:id="106"/>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11.1供应商应按照磋商文件要求提交证明文件，证明其及磋商响应标的符合磋商文件规定。</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11.2磋商文件对证明文件无明确形式要求的，证明文件可以以文字资料、图纸和数据等形式提交。</w:t>
      </w:r>
      <w:r>
        <w:rPr>
          <w:rFonts w:hint="eastAsia" w:ascii="宋体" w:hAnsi="宋体" w:eastAsia="宋体" w:cs="宋体"/>
          <w:sz w:val="24"/>
          <w:szCs w:val="24"/>
        </w:rPr>
      </w:r>
      <w:r/>
    </w:p>
    <w:p>
      <w:pPr>
        <w:pStyle w:val="921"/>
        <w:ind w:firstLine="420"/>
        <w:keepLines/>
        <w:keepNext/>
        <w:spacing w:line="480" w:lineRule="exact"/>
        <w:rPr>
          <w:rFonts w:hint="eastAsia" w:ascii="宋体" w:hAnsi="宋体" w:eastAsia="宋体" w:cs="宋体"/>
          <w:sz w:val="28"/>
          <w:szCs w:val="28"/>
        </w:rPr>
        <w:outlineLvl w:val="3"/>
      </w:pPr>
      <w:r/>
      <w:bookmarkEnd w:id="107"/>
      <w:r/>
      <w:bookmarkEnd w:id="108"/>
      <w:r>
        <w:rPr>
          <w:rFonts w:hint="eastAsia" w:ascii="宋体" w:hAnsi="宋体" w:eastAsia="宋体" w:cs="宋体"/>
          <w:sz w:val="28"/>
          <w:szCs w:val="28"/>
        </w:rPr>
        <w:t xml:space="preserve">12、分项报价表</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12.1</w:t>
      </w:r>
      <w:r>
        <w:rPr>
          <w:rFonts w:hint="eastAsia" w:ascii="宋体" w:hAnsi="宋体" w:eastAsia="宋体" w:cs="宋体"/>
          <w:sz w:val="24"/>
          <w:szCs w:val="21"/>
        </w:rPr>
        <w:t xml:space="preserve">供应商应按照磋商文件规定格式填报分项报价表。</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12.2</w:t>
      </w:r>
      <w:r>
        <w:rPr>
          <w:rFonts w:hint="eastAsia" w:ascii="宋体" w:hAnsi="宋体" w:eastAsia="宋体" w:cs="宋体"/>
          <w:bCs/>
          <w:sz w:val="24"/>
          <w:szCs w:val="21"/>
        </w:rPr>
        <w:t xml:space="preserve">磋商货币。响应文件中的单价和总价无特殊规定的采用人民币报价，以元为单位标注。</w:t>
      </w:r>
      <w:r>
        <w:rPr>
          <w:rFonts w:hint="eastAsia" w:ascii="宋体" w:hAnsi="宋体" w:eastAsia="宋体" w:cs="宋体"/>
          <w:sz w:val="24"/>
          <w:szCs w:val="21"/>
        </w:rPr>
        <w:t xml:space="preserve">磋商文件中另有规定的按规定执行。</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bCs/>
          <w:color w:val="000000"/>
          <w:sz w:val="24"/>
          <w:szCs w:val="21"/>
        </w:rPr>
      </w:pPr>
      <w:r>
        <w:rPr>
          <w:rFonts w:hint="eastAsia" w:ascii="宋体" w:hAnsi="宋体" w:eastAsia="宋体" w:cs="宋体"/>
          <w:bCs/>
          <w:sz w:val="24"/>
          <w:szCs w:val="21"/>
        </w:rPr>
        <w:t xml:space="preserve">12.3本项目不接受备选的投标方案或有选择的报价，只允许有一个报价。供应商响应文件中的报价作为首次报价，不公开；以最后报价作为评审</w:t>
      </w:r>
      <w:r>
        <w:rPr>
          <w:rFonts w:hint="eastAsia" w:ascii="宋体" w:hAnsi="宋体" w:eastAsia="宋体" w:cs="宋体"/>
          <w:bCs/>
          <w:color w:val="000000"/>
          <w:sz w:val="24"/>
          <w:szCs w:val="21"/>
        </w:rPr>
        <w:t xml:space="preserve">价。投标报价内容包括：</w:t>
      </w:r>
      <w:bookmarkStart w:id="109" w:name="_Hlt26670482"/>
      <w:r/>
      <w:bookmarkEnd w:id="109"/>
      <w:r/>
      <w:bookmarkStart w:id="110" w:name="_Hlt26670486"/>
      <w:r/>
      <w:bookmarkEnd w:id="110"/>
      <w:r/>
      <w:bookmarkStart w:id="111" w:name="_Hlt26954731"/>
      <w:r/>
      <w:bookmarkEnd w:id="111"/>
      <w:r/>
      <w:bookmarkStart w:id="112" w:name="_Hlt26954848"/>
      <w:r/>
      <w:bookmarkEnd w:id="112"/>
      <w:r/>
      <w:bookmarkStart w:id="113" w:name="_Hlt26954846"/>
      <w:r/>
      <w:bookmarkEnd w:id="113"/>
      <w:r>
        <w:rPr>
          <w:rFonts w:hint="eastAsia" w:ascii="宋体" w:hAnsi="宋体" w:eastAsia="宋体" w:cs="宋体"/>
          <w:bCs/>
          <w:color w:val="000000"/>
          <w:sz w:val="24"/>
          <w:szCs w:val="21"/>
        </w:rPr>
        <w:t xml:space="preserve">服务本身、人工费、服务费、代理服务费、税金以及交付使用过程中涉及到的其他一切费用。</w:t>
      </w:r>
      <w:r>
        <w:rPr>
          <w:rFonts w:hint="eastAsia" w:ascii="宋体" w:hAnsi="宋体" w:eastAsia="宋体" w:cs="宋体"/>
          <w:bCs/>
          <w:color w:val="000000"/>
          <w:sz w:val="24"/>
          <w:szCs w:val="21"/>
        </w:rPr>
      </w:r>
      <w:r/>
    </w:p>
    <w:p>
      <w:pPr>
        <w:pStyle w:val="921"/>
        <w:ind w:firstLine="420"/>
        <w:keepLines/>
        <w:keepNext/>
        <w:spacing w:line="48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13、技术要求响应及偏离表、商务要求响应及偏离表</w:t>
      </w:r>
      <w:r>
        <w:rPr>
          <w:rFonts w:hint="eastAsia" w:ascii="宋体" w:hAnsi="宋体" w:eastAsia="宋体" w:cs="宋体"/>
          <w:color w:val="000000"/>
          <w:sz w:val="28"/>
          <w:szCs w:val="28"/>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w:t>
      </w:r>
      <w:r>
        <w:rPr>
          <w:rFonts w:hint="eastAsia" w:ascii="宋体" w:hAnsi="宋体" w:eastAsia="宋体" w:cs="宋体"/>
          <w:bCs/>
          <w:sz w:val="24"/>
          <w:szCs w:val="21"/>
        </w:rPr>
      </w:r>
      <w:r/>
    </w:p>
    <w:p>
      <w:pPr>
        <w:pStyle w:val="921"/>
        <w:ind w:firstLine="42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14、服务承诺、培训计划、人员安排及其他</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szCs w:val="21"/>
        </w:rPr>
      </w:pPr>
      <w:r/>
      <w:bookmarkStart w:id="114" w:name="_Toc49090510"/>
      <w:r/>
      <w:bookmarkStart w:id="115" w:name="_Toc14577359"/>
      <w:r>
        <w:rPr>
          <w:rFonts w:hint="eastAsia" w:ascii="宋体" w:hAnsi="宋体" w:eastAsia="宋体" w:cs="宋体"/>
          <w:bCs/>
          <w:sz w:val="24"/>
          <w:szCs w:val="21"/>
        </w:rPr>
        <w:t xml:space="preserve">/</w:t>
      </w:r>
      <w:r>
        <w:rPr>
          <w:rFonts w:hint="eastAsia" w:ascii="宋体" w:hAnsi="宋体" w:eastAsia="宋体" w:cs="宋体"/>
          <w:bCs/>
          <w:sz w:val="24"/>
          <w:szCs w:val="21"/>
        </w:rPr>
      </w:r>
      <w:r/>
    </w:p>
    <w:p>
      <w:pPr>
        <w:pStyle w:val="921"/>
        <w:ind w:firstLine="42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15、磋商响应函</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bCs/>
          <w:sz w:val="24"/>
          <w:szCs w:val="21"/>
        </w:rPr>
        <w:t xml:space="preserve">15.1</w:t>
      </w:r>
      <w:r>
        <w:rPr>
          <w:rFonts w:hint="eastAsia" w:ascii="宋体" w:hAnsi="宋体" w:eastAsia="宋体" w:cs="宋体"/>
          <w:sz w:val="24"/>
          <w:szCs w:val="21"/>
        </w:rPr>
        <w:t xml:space="preserve">供应商应按照磋商文件中提供的格式完整、正确填写磋商响应函。</w:t>
      </w:r>
      <w:r>
        <w:rPr>
          <w:rFonts w:hint="eastAsia" w:ascii="宋体" w:hAnsi="宋体" w:eastAsia="宋体" w:cs="宋体"/>
          <w:sz w:val="24"/>
          <w:szCs w:val="21"/>
        </w:rPr>
      </w:r>
      <w:r/>
    </w:p>
    <w:p>
      <w:pPr>
        <w:pStyle w:val="921"/>
        <w:ind w:firstLine="420"/>
        <w:keepLines/>
        <w:keepNext/>
        <w:spacing w:line="480" w:lineRule="exact"/>
        <w:rPr>
          <w:rFonts w:hint="eastAsia" w:ascii="宋体" w:hAnsi="宋体" w:eastAsia="宋体" w:cs="宋体"/>
          <w:sz w:val="28"/>
          <w:szCs w:val="28"/>
        </w:rPr>
        <w:outlineLvl w:val="3"/>
      </w:pPr>
      <w:r/>
      <w:bookmarkEnd w:id="114"/>
      <w:r/>
      <w:bookmarkEnd w:id="115"/>
      <w:r/>
      <w:bookmarkStart w:id="116" w:name="_Toc14577360"/>
      <w:r/>
      <w:bookmarkStart w:id="117" w:name="_Toc49090511"/>
      <w:r>
        <w:rPr>
          <w:rFonts w:hint="eastAsia" w:ascii="宋体" w:hAnsi="宋体" w:eastAsia="宋体" w:cs="宋体"/>
          <w:sz w:val="28"/>
          <w:szCs w:val="28"/>
        </w:rPr>
        <w:t xml:space="preserve">16、磋商有效期</w:t>
      </w:r>
      <w:bookmarkEnd w:id="116"/>
      <w:r/>
      <w:bookmarkEnd w:id="117"/>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16.1磋商有效期为提交响应文件截止之日后</w:t>
      </w:r>
      <w:r>
        <w:rPr>
          <w:rFonts w:hint="eastAsia" w:ascii="宋体" w:hAnsi="宋体" w:eastAsia="宋体" w:cs="宋体"/>
          <w:b/>
          <w:sz w:val="24"/>
          <w:szCs w:val="21"/>
          <w:u w:val="single"/>
        </w:rPr>
        <w:t xml:space="preserve">六十（60）天</w:t>
      </w:r>
      <w:r>
        <w:rPr>
          <w:rFonts w:hint="eastAsia" w:ascii="宋体" w:hAnsi="宋体" w:eastAsia="宋体" w:cs="宋体"/>
          <w:bCs/>
          <w:sz w:val="24"/>
          <w:szCs w:val="21"/>
        </w:rPr>
        <w:t xml:space="preserve">。磋商有效期比规定短的将被视为非实质性响应磋商文件而予以拒绝。</w:t>
      </w:r>
      <w:r>
        <w:rPr>
          <w:rFonts w:hint="eastAsia" w:ascii="宋体" w:hAnsi="宋体" w:eastAsia="宋体" w:cs="宋体"/>
          <w:bCs/>
          <w:sz w:val="24"/>
          <w:szCs w:val="21"/>
        </w:rPr>
      </w:r>
      <w:r/>
    </w:p>
    <w:p>
      <w:pPr>
        <w:pStyle w:val="921"/>
        <w:ind w:firstLine="42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17、磋商有效期的延长</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17.1在特殊情况下，</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于原磋商有效期满之前，可向供应商提出延长磋商有效期的要求。这种要求与答复均应采用书面形式。供应商可以拒绝</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的这一要求而放弃磋商，同意延长磋商有效期的供应商既不能要求也不允许修改其响应文件。</w:t>
      </w:r>
      <w:r>
        <w:rPr>
          <w:rFonts w:hint="eastAsia" w:ascii="宋体" w:hAnsi="宋体" w:eastAsia="宋体" w:cs="宋体"/>
          <w:sz w:val="24"/>
          <w:szCs w:val="24"/>
        </w:rPr>
        <w:t xml:space="preserve">受磋商有效期约束的所有权利与义务均延长至新的有效期</w:t>
      </w:r>
      <w:r>
        <w:rPr>
          <w:rFonts w:hint="eastAsia" w:ascii="宋体" w:hAnsi="宋体" w:eastAsia="宋体" w:cs="宋体"/>
          <w:bCs/>
          <w:sz w:val="24"/>
          <w:szCs w:val="21"/>
        </w:rPr>
        <w:t xml:space="preserve">。</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17.2</w:t>
      </w:r>
      <w:r>
        <w:rPr>
          <w:rFonts w:hint="eastAsia" w:ascii="宋体" w:hAnsi="宋体" w:eastAsia="宋体" w:cs="宋体"/>
          <w:sz w:val="24"/>
        </w:rPr>
        <w:t xml:space="preserve">成交人的响应文件作为项目合同的附件，其有效期至成交人全部合同义务履行完毕为止。</w:t>
      </w:r>
      <w:r>
        <w:rPr>
          <w:rFonts w:hint="eastAsia" w:ascii="宋体" w:hAnsi="宋体" w:eastAsia="宋体" w:cs="宋体"/>
          <w:bCs/>
          <w:sz w:val="24"/>
          <w:szCs w:val="21"/>
        </w:rPr>
      </w:r>
      <w:r/>
    </w:p>
    <w:p>
      <w:pPr>
        <w:pStyle w:val="921"/>
        <w:ind w:firstLine="482"/>
        <w:keepLines/>
        <w:keepNext/>
        <w:spacing w:line="480" w:lineRule="exact"/>
        <w:rPr>
          <w:rFonts w:hint="eastAsia" w:ascii="宋体" w:hAnsi="宋体" w:eastAsia="宋体" w:cs="宋体"/>
          <w:b/>
          <w:bCs/>
          <w:sz w:val="32"/>
          <w:szCs w:val="32"/>
        </w:rPr>
        <w:outlineLvl w:val="2"/>
      </w:pPr>
      <w:r/>
      <w:bookmarkStart w:id="118" w:name="_Hlt26954739"/>
      <w:r/>
      <w:bookmarkEnd w:id="118"/>
      <w:r/>
      <w:bookmarkStart w:id="119" w:name="_Hlt26954852"/>
      <w:r/>
      <w:bookmarkEnd w:id="119"/>
      <w:r/>
      <w:bookmarkStart w:id="120" w:name="_Toc120614217"/>
      <w:r/>
      <w:bookmarkStart w:id="121" w:name="_Toc513029224"/>
      <w:r/>
      <w:bookmarkStart w:id="122" w:name="_Toc16938540"/>
      <w:r/>
      <w:bookmarkStart w:id="123" w:name="_Toc20823296"/>
      <w:r>
        <w:rPr>
          <w:rFonts w:hint="eastAsia" w:ascii="宋体" w:hAnsi="宋体" w:eastAsia="宋体" w:cs="宋体"/>
          <w:b/>
          <w:bCs/>
          <w:sz w:val="32"/>
          <w:szCs w:val="32"/>
        </w:rPr>
        <w:t xml:space="preserve">四、响应文件的递交</w:t>
      </w:r>
      <w:bookmarkEnd w:id="120"/>
      <w:r/>
      <w:bookmarkEnd w:id="121"/>
      <w:r/>
      <w:bookmarkEnd w:id="122"/>
      <w:r/>
      <w:bookmarkEnd w:id="123"/>
      <w:r>
        <w:rPr>
          <w:rFonts w:hint="eastAsia" w:ascii="宋体" w:hAnsi="宋体" w:eastAsia="宋体" w:cs="宋体"/>
          <w:b/>
          <w:bCs/>
          <w:sz w:val="32"/>
          <w:szCs w:val="32"/>
        </w:rPr>
      </w:r>
      <w:r/>
    </w:p>
    <w:p>
      <w:pPr>
        <w:pStyle w:val="921"/>
        <w:ind w:firstLine="560"/>
        <w:keepLines/>
        <w:keepNext/>
        <w:spacing w:line="480" w:lineRule="exact"/>
        <w:rPr>
          <w:rFonts w:hint="eastAsia" w:ascii="宋体" w:hAnsi="宋体" w:eastAsia="宋体" w:cs="宋体"/>
          <w:sz w:val="28"/>
          <w:szCs w:val="28"/>
        </w:rPr>
        <w:outlineLvl w:val="3"/>
      </w:pPr>
      <w:r/>
      <w:bookmarkStart w:id="124" w:name="_Toc16938541"/>
      <w:r/>
      <w:bookmarkStart w:id="125" w:name="_Toc462564084"/>
      <w:r/>
      <w:bookmarkStart w:id="126" w:name="_Toc513029225"/>
      <w:r/>
      <w:bookmarkStart w:id="127" w:name="_Toc20823297"/>
      <w:r>
        <w:rPr>
          <w:rFonts w:hint="eastAsia" w:ascii="宋体" w:hAnsi="宋体" w:eastAsia="宋体" w:cs="宋体"/>
          <w:sz w:val="28"/>
          <w:szCs w:val="28"/>
        </w:rPr>
        <w:t xml:space="preserve">18、电子磋商</w:t>
      </w:r>
      <w:bookmarkEnd w:id="124"/>
      <w:r/>
      <w:bookmarkEnd w:id="125"/>
      <w:r/>
      <w:bookmarkEnd w:id="126"/>
      <w:r/>
      <w:bookmarkEnd w:id="127"/>
      <w:r>
        <w:rPr>
          <w:rFonts w:hint="eastAsia" w:ascii="宋体" w:hAnsi="宋体" w:eastAsia="宋体" w:cs="宋体"/>
          <w:sz w:val="28"/>
          <w:szCs w:val="28"/>
        </w:rPr>
        <w:t xml:space="preserve">响应文件的递交</w:t>
      </w:r>
      <w:r>
        <w:rPr>
          <w:rFonts w:hint="eastAsia" w:ascii="宋体" w:hAnsi="宋体" w:eastAsia="宋体" w:cs="宋体"/>
          <w:sz w:val="28"/>
          <w:szCs w:val="28"/>
        </w:rPr>
      </w:r>
      <w:r/>
    </w:p>
    <w:p>
      <w:pPr>
        <w:pStyle w:val="921"/>
        <w:ind w:firstLine="60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18.1供应商应当按照《操作手册》规定，在提交响应文件截止时间前制作并上传电子响应文件。</w:t>
      </w:r>
      <w:bookmarkStart w:id="128" w:name="_Toc513029226"/>
      <w:r/>
      <w:bookmarkStart w:id="129" w:name="_Toc20823298"/>
      <w:r/>
      <w:bookmarkStart w:id="130" w:name="_Toc16938542"/>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sz w:val="24"/>
        </w:rPr>
      </w:pPr>
      <w:r>
        <w:rPr>
          <w:rFonts w:hint="eastAsia" w:ascii="宋体" w:hAnsi="宋体" w:eastAsia="宋体" w:cs="宋体"/>
          <w:sz w:val="24"/>
        </w:rPr>
        <w:t xml:space="preserve">18.2投标人通过“苏采云”系统不见面开标大厅在线参与开标活动。（具体操作详见《“苏采云”系统投标人操作手册》，网址链接http://www.ccgp-jiangsu.gov.cn//webfile/jiangsu/202311/1699268553318052447.pdf）</w:t>
      </w:r>
      <w:r>
        <w:rPr>
          <w:rFonts w:hint="eastAsia" w:ascii="宋体" w:hAnsi="宋体" w:eastAsia="宋体" w:cs="宋体"/>
          <w:sz w:val="24"/>
        </w:rPr>
      </w:r>
      <w:r/>
    </w:p>
    <w:p>
      <w:pPr>
        <w:pStyle w:val="921"/>
        <w:ind w:firstLine="560"/>
        <w:keepLines/>
        <w:keepNext/>
        <w:spacing w:line="480" w:lineRule="exact"/>
        <w:rPr>
          <w:rFonts w:hint="eastAsia" w:ascii="宋体" w:hAnsi="宋体" w:eastAsia="宋体" w:cs="宋体"/>
          <w:bCs/>
          <w:sz w:val="24"/>
          <w:szCs w:val="28"/>
        </w:rPr>
        <w:outlineLvl w:val="3"/>
      </w:pPr>
      <w:r>
        <w:rPr>
          <w:rFonts w:hint="eastAsia" w:ascii="宋体" w:hAnsi="宋体" w:eastAsia="宋体" w:cs="宋体"/>
          <w:bCs/>
          <w:sz w:val="28"/>
          <w:szCs w:val="28"/>
        </w:rPr>
        <w:t xml:space="preserve">19、提交响应文件截止时间</w:t>
      </w:r>
      <w:bookmarkEnd w:id="128"/>
      <w:r/>
      <w:bookmarkEnd w:id="129"/>
      <w:r/>
      <w:bookmarkEnd w:id="130"/>
      <w:r>
        <w:rPr>
          <w:rFonts w:hint="eastAsia" w:ascii="宋体" w:hAnsi="宋体" w:eastAsia="宋体" w:cs="宋体"/>
          <w:bCs/>
          <w:sz w:val="24"/>
          <w:szCs w:val="28"/>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19.1供应商上传电子响应文件的时间不得迟于磋商公告中规定的提交响应文件截止时间。</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sz w:val="24"/>
          <w:szCs w:val="21"/>
        </w:rPr>
        <w:t xml:space="preserve">19.2采购代理机构</w:t>
      </w:r>
      <w:r>
        <w:rPr>
          <w:rFonts w:hint="eastAsia" w:ascii="宋体" w:hAnsi="宋体" w:eastAsia="宋体" w:cs="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sz w:val="24"/>
          <w:szCs w:val="21"/>
        </w:rPr>
      </w:r>
      <w:r/>
    </w:p>
    <w:p>
      <w:pPr>
        <w:pStyle w:val="921"/>
        <w:ind w:firstLine="420"/>
        <w:keepLines/>
        <w:keepNext/>
        <w:spacing w:line="480" w:lineRule="exact"/>
        <w:rPr>
          <w:rFonts w:hint="eastAsia" w:ascii="宋体" w:hAnsi="宋体" w:eastAsia="宋体" w:cs="宋体"/>
          <w:sz w:val="28"/>
          <w:szCs w:val="28"/>
        </w:rPr>
        <w:outlineLvl w:val="3"/>
      </w:pPr>
      <w:r/>
      <w:bookmarkStart w:id="131" w:name="_Toc20823299"/>
      <w:r/>
      <w:bookmarkStart w:id="132" w:name="_Toc513029227"/>
      <w:r/>
      <w:bookmarkStart w:id="133" w:name="_Toc16938543"/>
      <w:r>
        <w:rPr>
          <w:rFonts w:hint="eastAsia" w:ascii="宋体" w:hAnsi="宋体" w:eastAsia="宋体" w:cs="宋体"/>
          <w:sz w:val="28"/>
          <w:szCs w:val="28"/>
        </w:rPr>
        <w:t xml:space="preserve">20、响应文件</w:t>
      </w:r>
      <w:bookmarkEnd w:id="131"/>
      <w:r/>
      <w:bookmarkEnd w:id="132"/>
      <w:r/>
      <w:bookmarkEnd w:id="133"/>
      <w:r>
        <w:rPr>
          <w:rFonts w:hint="eastAsia" w:ascii="宋体" w:hAnsi="宋体" w:eastAsia="宋体" w:cs="宋体"/>
          <w:sz w:val="28"/>
          <w:szCs w:val="28"/>
        </w:rPr>
        <w:t xml:space="preserve">的拒收</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20.1 </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拒绝接收在其规定的提交响应文件截止时间后上传的任何电子响应文件。</w:t>
      </w:r>
      <w:r>
        <w:rPr>
          <w:rFonts w:hint="eastAsia" w:ascii="宋体" w:hAnsi="宋体" w:eastAsia="宋体" w:cs="宋体"/>
          <w:bCs/>
          <w:sz w:val="24"/>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rPr>
          <w:rFonts w:hint="eastAsia" w:ascii="宋体" w:hAnsi="宋体" w:eastAsia="宋体" w:cs="宋体"/>
          <w:bCs/>
          <w:sz w:val="24"/>
          <w:szCs w:val="21"/>
        </w:rPr>
      </w:r>
      <w:r/>
    </w:p>
    <w:p>
      <w:pPr>
        <w:pStyle w:val="921"/>
        <w:ind w:firstLine="420"/>
        <w:keepLines/>
        <w:keepNext/>
        <w:spacing w:line="480" w:lineRule="exact"/>
        <w:rPr>
          <w:rFonts w:hint="eastAsia" w:ascii="宋体" w:hAnsi="宋体" w:eastAsia="宋体" w:cs="宋体"/>
          <w:sz w:val="28"/>
          <w:szCs w:val="28"/>
        </w:rPr>
        <w:outlineLvl w:val="3"/>
      </w:pPr>
      <w:r/>
      <w:bookmarkStart w:id="134" w:name="_Toc513029228"/>
      <w:r/>
      <w:bookmarkStart w:id="135" w:name="_Toc16938544"/>
      <w:r/>
      <w:bookmarkStart w:id="136" w:name="_Toc20823300"/>
      <w:r>
        <w:rPr>
          <w:rFonts w:hint="eastAsia" w:ascii="宋体" w:hAnsi="宋体" w:eastAsia="宋体" w:cs="宋体"/>
          <w:sz w:val="28"/>
          <w:szCs w:val="28"/>
        </w:rPr>
        <w:t xml:space="preserve">21、响应文件的撤回和修改</w:t>
      </w:r>
      <w:bookmarkEnd w:id="134"/>
      <w:r/>
      <w:bookmarkEnd w:id="135"/>
      <w:r/>
      <w:bookmarkEnd w:id="136"/>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21.1响应文件的撤回</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21.1.1电子响应文件的撤回</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截止时间前，撤回其电子响应文件，具体操作方法见《操作手册》。</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21.1.2供应商撤回电子响应文件，则认为其不再参与本项目磋商活动。</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21.2响应文件的修改</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21.2.1供应商可在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截止时间前，对其电子响应文件进行修改，具体操作方法见《操作手册》。</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sz w:val="24"/>
          <w:szCs w:val="21"/>
        </w:rPr>
        <w:t xml:space="preserve">21.2.2</w:t>
      </w:r>
      <w:r>
        <w:rPr>
          <w:rFonts w:hint="eastAsia" w:ascii="宋体" w:hAnsi="宋体" w:eastAsia="宋体" w:cs="宋体"/>
          <w:bCs/>
          <w:sz w:val="24"/>
          <w:szCs w:val="21"/>
        </w:rPr>
        <w:t xml:space="preserve">在提交响应文件截止时间之后，供应商不得对其电子响应文件作任何修改。</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sz w:val="24"/>
          <w:szCs w:val="21"/>
        </w:rPr>
        <w:t xml:space="preserve">21.3</w:t>
      </w:r>
      <w:r>
        <w:rPr>
          <w:rFonts w:hint="eastAsia" w:ascii="宋体" w:hAnsi="宋体" w:eastAsia="宋体" w:cs="宋体"/>
          <w:bCs/>
          <w:sz w:val="24"/>
          <w:szCs w:val="21"/>
        </w:rPr>
        <w:t xml:space="preserve">在提交响应文件截止时间至磋商文件中规定的磋商有效期满之间的这段时间内，供应商不得撤回其响应文件。</w:t>
      </w:r>
      <w:r>
        <w:rPr>
          <w:rFonts w:hint="eastAsia" w:ascii="宋体" w:hAnsi="宋体" w:eastAsia="宋体" w:cs="宋体"/>
          <w:bCs/>
          <w:sz w:val="24"/>
          <w:szCs w:val="21"/>
        </w:rPr>
      </w:r>
      <w:r/>
    </w:p>
    <w:p>
      <w:pPr>
        <w:pStyle w:val="921"/>
        <w:ind w:firstLine="482"/>
        <w:keepLines/>
        <w:keepNext/>
        <w:spacing w:line="480" w:lineRule="exact"/>
        <w:rPr>
          <w:rFonts w:hint="eastAsia" w:ascii="宋体" w:hAnsi="宋体" w:eastAsia="宋体" w:cs="宋体"/>
          <w:b/>
          <w:bCs/>
          <w:sz w:val="32"/>
          <w:szCs w:val="32"/>
        </w:rPr>
        <w:outlineLvl w:val="2"/>
      </w:pPr>
      <w:r/>
      <w:bookmarkStart w:id="137" w:name="_Toc20823301"/>
      <w:r/>
      <w:bookmarkStart w:id="138" w:name="_Toc16938545"/>
      <w:r/>
      <w:bookmarkStart w:id="139" w:name="_Toc513029229"/>
      <w:r/>
      <w:bookmarkStart w:id="140" w:name="_Toc120614218"/>
      <w:r>
        <w:rPr>
          <w:rFonts w:hint="eastAsia" w:ascii="宋体" w:hAnsi="宋体" w:eastAsia="宋体" w:cs="宋体"/>
          <w:b/>
          <w:bCs/>
          <w:sz w:val="32"/>
          <w:szCs w:val="32"/>
        </w:rPr>
        <w:t xml:space="preserve">五、响应文件的解密与评审</w:t>
      </w:r>
      <w:bookmarkEnd w:id="137"/>
      <w:r/>
      <w:bookmarkEnd w:id="138"/>
      <w:r/>
      <w:bookmarkEnd w:id="139"/>
      <w:r/>
      <w:bookmarkEnd w:id="140"/>
      <w:r>
        <w:rPr>
          <w:rFonts w:hint="eastAsia" w:ascii="宋体" w:hAnsi="宋体" w:eastAsia="宋体" w:cs="宋体"/>
          <w:b/>
          <w:bCs/>
          <w:sz w:val="32"/>
          <w:szCs w:val="32"/>
        </w:rPr>
      </w:r>
      <w:r/>
    </w:p>
    <w:p>
      <w:pPr>
        <w:pStyle w:val="921"/>
        <w:ind w:firstLine="420"/>
        <w:keepLines/>
        <w:keepNext/>
        <w:spacing w:line="480" w:lineRule="exact"/>
        <w:rPr>
          <w:rFonts w:hint="eastAsia" w:ascii="宋体" w:hAnsi="宋体" w:eastAsia="宋体" w:cs="宋体"/>
          <w:sz w:val="28"/>
          <w:szCs w:val="28"/>
        </w:rPr>
        <w:outlineLvl w:val="3"/>
      </w:pPr>
      <w:r/>
      <w:bookmarkStart w:id="141" w:name="_Toc20823302"/>
      <w:r/>
      <w:bookmarkStart w:id="142" w:name="_Toc513029230"/>
      <w:r/>
      <w:bookmarkStart w:id="143" w:name="_Toc16938546"/>
      <w:r>
        <w:rPr>
          <w:rFonts w:hint="eastAsia" w:ascii="宋体" w:hAnsi="宋体" w:eastAsia="宋体" w:cs="宋体"/>
          <w:sz w:val="28"/>
          <w:szCs w:val="28"/>
        </w:rPr>
        <w:t xml:space="preserve">22、</w:t>
      </w:r>
      <w:bookmarkEnd w:id="141"/>
      <w:r/>
      <w:bookmarkEnd w:id="142"/>
      <w:r/>
      <w:bookmarkEnd w:id="143"/>
      <w:r>
        <w:rPr>
          <w:rFonts w:hint="eastAsia" w:ascii="宋体" w:hAnsi="宋体" w:eastAsia="宋体" w:cs="宋体"/>
          <w:sz w:val="28"/>
          <w:szCs w:val="28"/>
        </w:rPr>
        <w:t xml:space="preserve">响应文件解密</w:t>
      </w:r>
      <w:r>
        <w:rPr>
          <w:rFonts w:hint="eastAsia" w:ascii="宋体" w:hAnsi="宋体" w:eastAsia="宋体" w:cs="宋体"/>
          <w:sz w:val="28"/>
          <w:szCs w:val="28"/>
        </w:rPr>
      </w:r>
      <w:r/>
    </w:p>
    <w:p>
      <w:pPr>
        <w:pStyle w:val="921"/>
        <w:ind w:firstLine="360"/>
        <w:spacing w:line="480" w:lineRule="exact"/>
        <w:rPr>
          <w:rFonts w:hint="eastAsia" w:ascii="宋体" w:hAnsi="宋体" w:eastAsia="宋体" w:cs="宋体"/>
          <w:szCs w:val="21"/>
        </w:rPr>
      </w:pPr>
      <w:r>
        <w:rPr>
          <w:rFonts w:hint="eastAsia" w:ascii="宋体" w:hAnsi="宋体" w:eastAsia="宋体" w:cs="宋体"/>
          <w:sz w:val="24"/>
          <w:szCs w:val="21"/>
        </w:rPr>
        <w:t xml:space="preserve">22.1</w:t>
      </w:r>
      <w:r>
        <w:rPr>
          <w:rFonts w:hint="eastAsia" w:ascii="宋体" w:hAnsi="宋体" w:eastAsia="宋体" w:cs="宋体"/>
          <w:sz w:val="24"/>
          <w:szCs w:val="24"/>
        </w:rPr>
        <w:t xml:space="preserve">供应商应当</w:t>
      </w:r>
      <w:r>
        <w:rPr>
          <w:rFonts w:hint="eastAsia" w:ascii="宋体" w:hAnsi="宋体" w:eastAsia="宋体" w:cs="宋体"/>
          <w:sz w:val="24"/>
          <w:szCs w:val="21"/>
        </w:rPr>
        <w:t xml:space="preserve">按照《“苏采云”系统供应商操作手册》规定</w:t>
      </w:r>
      <w:r>
        <w:rPr>
          <w:rFonts w:hint="eastAsia" w:ascii="宋体" w:hAnsi="宋体" w:eastAsia="宋体" w:cs="宋体"/>
          <w:sz w:val="24"/>
          <w:szCs w:val="24"/>
        </w:rPr>
        <w:t xml:space="preserve">，参加磋商活动和在苏采云系统规定的时间内对磋商响应文件进行解密。</w:t>
      </w:r>
      <w:r>
        <w:rPr>
          <w:rFonts w:hint="eastAsia" w:ascii="宋体" w:hAnsi="宋体" w:eastAsia="宋体" w:cs="宋体"/>
          <w:szCs w:val="21"/>
        </w:rPr>
      </w:r>
      <w:r/>
    </w:p>
    <w:p>
      <w:pPr>
        <w:pStyle w:val="921"/>
        <w:ind w:firstLine="420"/>
        <w:keepLines/>
        <w:keepNext/>
        <w:spacing w:line="480" w:lineRule="exact"/>
        <w:rPr>
          <w:rFonts w:hint="eastAsia" w:ascii="宋体" w:hAnsi="宋体" w:eastAsia="宋体" w:cs="宋体"/>
          <w:sz w:val="28"/>
          <w:szCs w:val="28"/>
        </w:rPr>
        <w:outlineLvl w:val="3"/>
      </w:pPr>
      <w:r/>
      <w:bookmarkStart w:id="144" w:name="_Toc20823303"/>
      <w:r/>
      <w:bookmarkStart w:id="145" w:name="_Toc16938547"/>
      <w:r/>
      <w:bookmarkStart w:id="146" w:name="_Toc513029231"/>
      <w:r>
        <w:rPr>
          <w:rFonts w:hint="eastAsia" w:ascii="宋体" w:hAnsi="宋体" w:eastAsia="宋体" w:cs="宋体"/>
          <w:sz w:val="28"/>
          <w:szCs w:val="28"/>
        </w:rPr>
        <w:t xml:space="preserve">23、磋商小组</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b/>
          <w:sz w:val="24"/>
          <w:szCs w:val="24"/>
        </w:rPr>
      </w:pPr>
      <w:r>
        <w:rPr>
          <w:rFonts w:hint="eastAsia" w:ascii="宋体" w:hAnsi="宋体" w:eastAsia="宋体" w:cs="宋体"/>
          <w:sz w:val="24"/>
          <w:szCs w:val="24"/>
        </w:rPr>
        <w:t xml:space="preserve">23.1</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23.2磋商小组独立工作，负责评审所有响应文件并确定成交侯选人。</w:t>
      </w:r>
      <w:r>
        <w:rPr>
          <w:rFonts w:hint="eastAsia" w:ascii="宋体" w:hAnsi="宋体" w:eastAsia="宋体" w:cs="宋体"/>
          <w:sz w:val="24"/>
          <w:szCs w:val="24"/>
        </w:rPr>
      </w:r>
      <w:r/>
    </w:p>
    <w:p>
      <w:pPr>
        <w:pStyle w:val="921"/>
        <w:ind w:firstLine="42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24、评审过程的保密与公正</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szCs w:val="21"/>
        </w:rPr>
      </w:pPr>
      <w:r/>
      <w:bookmarkEnd w:id="144"/>
      <w:r/>
      <w:bookmarkEnd w:id="145"/>
      <w:r/>
      <w:bookmarkEnd w:id="146"/>
      <w:r>
        <w:rPr>
          <w:rFonts w:hint="eastAsia" w:ascii="宋体" w:hAnsi="宋体" w:eastAsia="宋体" w:cs="宋体"/>
          <w:sz w:val="24"/>
          <w:szCs w:val="21"/>
        </w:rPr>
        <w:t xml:space="preserve">24.1</w:t>
      </w:r>
      <w:r>
        <w:rPr>
          <w:rFonts w:hint="eastAsia" w:ascii="宋体" w:hAnsi="宋体" w:eastAsia="宋体" w:cs="宋体"/>
          <w:bCs/>
          <w:sz w:val="24"/>
          <w:szCs w:val="21"/>
        </w:rPr>
        <w:t xml:space="preserve">磋商小组、采购人和</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工作人员、相关监督人员等与评审工作有关的人员，对评审情况以及在评审过程中获悉的国家秘密、商业秘密负有保密责任。</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1"/>
        </w:rPr>
        <w:t xml:space="preserve">24.2</w:t>
      </w:r>
      <w:r>
        <w:rPr>
          <w:rFonts w:hint="eastAsia" w:ascii="宋体" w:hAnsi="宋体" w:eastAsia="宋体" w:cs="宋体"/>
          <w:sz w:val="24"/>
          <w:szCs w:val="24"/>
        </w:rPr>
        <w:t xml:space="preserve">在评审过程中，供应商不得以任何行为影响磋商评审过程，否则其响应文件将被作为无效响应文件。</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1"/>
        </w:rPr>
        <w:t xml:space="preserve">24.3</w:t>
      </w:r>
      <w:r>
        <w:rPr>
          <w:rFonts w:hint="eastAsia" w:ascii="宋体" w:hAnsi="宋体" w:eastAsia="宋体" w:cs="宋体"/>
          <w:sz w:val="24"/>
          <w:szCs w:val="24"/>
        </w:rPr>
        <w:t xml:space="preserve">在项目评审期间，</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将设专门人员与供应商联系。</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24.4 </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和磋商小组不向未成交的供应商解释未成交原因，也不公布评审过程中的相关细节。</w:t>
      </w:r>
      <w:r>
        <w:rPr>
          <w:rFonts w:hint="eastAsia" w:ascii="宋体" w:hAnsi="宋体" w:eastAsia="宋体" w:cs="宋体"/>
          <w:sz w:val="24"/>
          <w:szCs w:val="24"/>
        </w:rPr>
      </w:r>
      <w:r/>
    </w:p>
    <w:p>
      <w:pPr>
        <w:pStyle w:val="921"/>
        <w:ind w:firstLine="420"/>
        <w:keepLines/>
        <w:keepNext/>
        <w:spacing w:line="480" w:lineRule="exact"/>
        <w:rPr>
          <w:rFonts w:hint="eastAsia" w:ascii="宋体" w:hAnsi="宋体" w:eastAsia="宋体" w:cs="宋体"/>
          <w:sz w:val="28"/>
          <w:szCs w:val="28"/>
        </w:rPr>
        <w:outlineLvl w:val="3"/>
      </w:pPr>
      <w:r/>
      <w:bookmarkStart w:id="147" w:name="_Toc20823304"/>
      <w:r/>
      <w:bookmarkStart w:id="148" w:name="_Toc16938548"/>
      <w:r/>
      <w:bookmarkStart w:id="149" w:name="_Toc513029232"/>
      <w:r>
        <w:rPr>
          <w:rFonts w:hint="eastAsia" w:ascii="宋体" w:hAnsi="宋体" w:eastAsia="宋体" w:cs="宋体"/>
          <w:sz w:val="28"/>
          <w:szCs w:val="28"/>
        </w:rPr>
        <w:t xml:space="preserve">25、评审过程中的的澄清</w:t>
      </w:r>
      <w:bookmarkEnd w:id="147"/>
      <w:r/>
      <w:bookmarkEnd w:id="148"/>
      <w:r/>
      <w:bookmarkEnd w:id="149"/>
      <w:r>
        <w:rPr>
          <w:rFonts w:hint="eastAsia" w:ascii="宋体" w:hAnsi="宋体" w:eastAsia="宋体" w:cs="宋体"/>
          <w:sz w:val="28"/>
          <w:szCs w:val="28"/>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25.3异常低价响应审查</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bookmarkStart w:id="150" w:name="_Hlk204074773"/>
      <w:r>
        <w:rPr>
          <w:rFonts w:hint="eastAsia" w:ascii="宋体" w:hAnsi="宋体" w:eastAsia="宋体" w:cs="宋体"/>
          <w:sz w:val="24"/>
          <w:szCs w:val="24"/>
          <w:lang w:val="en-US" w:eastAsia="zh-CN"/>
        </w:rPr>
        <w:t xml:space="preserve">25.3</w:t>
      </w:r>
      <w:r>
        <w:rPr>
          <w:rFonts w:hint="eastAsia" w:ascii="宋体" w:hAnsi="宋体" w:eastAsia="宋体" w:cs="宋体"/>
          <w:sz w:val="24"/>
          <w:szCs w:val="24"/>
        </w:rPr>
        <w:t xml:space="preserve">.1评审过程中出现下列情形之一的，评审委员会应当启动异常低价响应审查程序：</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（1）响应报价低于全部通过符合性审查供应商响应报价平均值50%的，即响应报价&lt;全部通过符合性审查供应商响应报价平均值×50%；</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（2）响应报价低于通过符合性审查的次低报价供应商响应报价50%的，即响应报价&lt;通过符合性审查的次低报价供应商响应报价×50%；</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（3）响应报价低于采购项目最高限价45%的，即响应报价&lt;采购项目最高限价×45%；</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（4）评审委员会基于专业判断，认为供应商报价过低，有可能影响产品质量或者不能诚信履约的其他情形。</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25.3.</w:t>
      </w:r>
      <w:r>
        <w:rPr>
          <w:rFonts w:hint="eastAsia" w:ascii="宋体" w:hAnsi="宋体" w:eastAsia="宋体" w:cs="宋体"/>
          <w:sz w:val="24"/>
          <w:szCs w:val="24"/>
        </w:rPr>
        <w:t xml:space="preserve">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150"/>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25.4 接到磋商小组澄清、说明和更正要求的供应商如未按规定做出澄清、说明和 更正，其风险由供应商自行承担。</w:t>
      </w:r>
      <w:r>
        <w:rPr>
          <w:rFonts w:hint="eastAsia" w:ascii="宋体" w:hAnsi="宋体" w:eastAsia="宋体" w:cs="宋体"/>
          <w:sz w:val="24"/>
          <w:szCs w:val="24"/>
        </w:rPr>
      </w:r>
      <w:r/>
    </w:p>
    <w:p>
      <w:pPr>
        <w:pStyle w:val="921"/>
        <w:ind w:firstLine="420"/>
        <w:keepLines/>
        <w:keepNext/>
        <w:spacing w:line="480" w:lineRule="exact"/>
        <w:rPr>
          <w:rFonts w:hint="eastAsia" w:ascii="宋体" w:hAnsi="宋体" w:eastAsia="宋体" w:cs="宋体"/>
          <w:sz w:val="28"/>
          <w:szCs w:val="28"/>
        </w:rPr>
        <w:outlineLvl w:val="3"/>
      </w:pPr>
      <w:r/>
      <w:bookmarkStart w:id="151" w:name="_Toc16938549"/>
      <w:r/>
      <w:bookmarkStart w:id="152" w:name="_Toc20823305"/>
      <w:r/>
      <w:bookmarkStart w:id="153" w:name="_Toc513029233"/>
      <w:r>
        <w:rPr>
          <w:rFonts w:hint="eastAsia" w:ascii="宋体" w:hAnsi="宋体" w:eastAsia="宋体" w:cs="宋体"/>
          <w:sz w:val="28"/>
          <w:szCs w:val="28"/>
        </w:rPr>
        <w:t xml:space="preserve">26、对响应文件的审</w:t>
      </w:r>
      <w:bookmarkEnd w:id="151"/>
      <w:r/>
      <w:bookmarkEnd w:id="152"/>
      <w:r/>
      <w:bookmarkEnd w:id="153"/>
      <w:r>
        <w:rPr>
          <w:rFonts w:hint="eastAsia" w:ascii="宋体" w:hAnsi="宋体" w:eastAsia="宋体" w:cs="宋体"/>
          <w:sz w:val="28"/>
          <w:szCs w:val="28"/>
        </w:rPr>
        <w:t xml:space="preserve">查</w:t>
      </w:r>
      <w:r>
        <w:rPr>
          <w:rFonts w:hint="eastAsia" w:ascii="宋体" w:hAnsi="宋体" w:eastAsia="宋体" w:cs="宋体"/>
          <w:sz w:val="28"/>
          <w:szCs w:val="28"/>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sz w:val="24"/>
          <w:szCs w:val="21"/>
        </w:rPr>
        <w:t xml:space="preserve">26.1</w:t>
      </w:r>
      <w:r>
        <w:rPr>
          <w:rFonts w:hint="eastAsia" w:ascii="宋体" w:hAnsi="宋体" w:eastAsia="宋体" w:cs="宋体"/>
          <w:bCs/>
          <w:sz w:val="24"/>
          <w:szCs w:val="21"/>
        </w:rPr>
        <w:t xml:space="preserve">响应文件审查分为资格审查和符合性审查。</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26.1.1 资格审查：由磋商小组依据法律法规和磋商文件的规定，对响应文件中的资格证明文件进行审查，以确定供应商是否具备参加磋商的资格。</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26.1.2符合性审查：依据磋商文件的规定，由磋商小组从响应文件的有效性、完整性和对磋商文件的响应程度进行审查，以确定是否对磋商文件的实质性要求作出响应。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26.1.3未通过资格审查或符合性审查的供应商，磋商小组将在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中告知未通过资格审查或符合性审查的原因，评审结束后，磋商小组将不再告知未通过资格审查或符合性审查的原因。</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1"/>
        </w:rPr>
        <w:t xml:space="preserve">26.2</w:t>
      </w:r>
      <w:r>
        <w:rPr>
          <w:rFonts w:hint="eastAsia" w:ascii="宋体" w:hAnsi="宋体" w:eastAsia="宋体" w:cs="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26.3未实质性响应磋商文件的情形</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26.3.1供应商在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规定的时间内未成功解密电子响应文件的。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26.3.2供应商未按照磋商文件要求上传电子响应文件的。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26.3.3同一供应商提交两个（含两个）以上不同的响应文件或者最后报价的。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26.3.4供应商不具备磋商文件中规定资格要求的。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26.3.5供应商的最后报价超过了采购预算。</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26.3.6不符合磋商文件中规定的实质性要求和条件的</w:t>
      </w:r>
      <w:r>
        <w:rPr>
          <w:rFonts w:hint="eastAsia" w:ascii="宋体" w:hAnsi="宋体" w:eastAsia="宋体" w:cs="宋体"/>
          <w:bCs/>
          <w:sz w:val="24"/>
          <w:highlight w:val="yellow"/>
        </w:rPr>
        <w:t xml:space="preserve">（</w:t>
      </w:r>
      <w:r>
        <w:rPr>
          <w:rFonts w:hint="eastAsia" w:ascii="宋体" w:hAnsi="宋体" w:eastAsia="宋体" w:cs="宋体"/>
          <w:bCs/>
          <w:i/>
          <w:sz w:val="24"/>
          <w:highlight w:val="yellow"/>
          <w:u w:val="single"/>
        </w:rPr>
        <w:t xml:space="preserve">加斜体下划线内容或打“★”内容为实质性要求和条件）。</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26.3.8响应文件含有采购人不能接受的附加条件的。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26.3.10响应文件未按照磋商文件要求加盖CA电子公章的。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26.4未实质性响应磋商文件的响应文件按无效响应处理。</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sz w:val="24"/>
          <w:szCs w:val="21"/>
        </w:rPr>
        <w:t xml:space="preserve">26.5</w:t>
      </w:r>
      <w:r>
        <w:rPr>
          <w:rFonts w:hint="eastAsia" w:ascii="宋体" w:hAnsi="宋体" w:eastAsia="宋体" w:cs="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sz w:val="24"/>
          <w:szCs w:val="21"/>
        </w:rPr>
      </w:pPr>
      <w:r/>
      <w:bookmarkStart w:id="154" w:name="_Toc16938550"/>
      <w:r/>
      <w:bookmarkStart w:id="155" w:name="_Toc20823306"/>
      <w:r/>
      <w:bookmarkStart w:id="156" w:name="_Toc513029234"/>
      <w:r>
        <w:rPr>
          <w:rFonts w:hint="eastAsia" w:ascii="宋体" w:hAnsi="宋体" w:eastAsia="宋体" w:cs="宋体"/>
          <w:sz w:val="24"/>
          <w:szCs w:val="21"/>
        </w:rPr>
        <w:t xml:space="preserve">26.6供应商在项目评审全过程中应保持通讯畅通，并安排专人与采购代理机构及磋商小组联系。</w:t>
      </w:r>
      <w:r>
        <w:rPr>
          <w:rFonts w:hint="eastAsia" w:ascii="宋体" w:hAnsi="宋体" w:eastAsia="宋体" w:cs="宋体"/>
          <w:sz w:val="24"/>
          <w:szCs w:val="21"/>
        </w:rPr>
      </w:r>
      <w:r/>
    </w:p>
    <w:p>
      <w:pPr>
        <w:pStyle w:val="921"/>
        <w:ind w:firstLine="42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27、</w:t>
      </w:r>
      <w:bookmarkEnd w:id="154"/>
      <w:r/>
      <w:bookmarkEnd w:id="155"/>
      <w:r/>
      <w:bookmarkEnd w:id="156"/>
      <w:r>
        <w:rPr>
          <w:rFonts w:hint="eastAsia" w:ascii="宋体" w:hAnsi="宋体" w:eastAsia="宋体" w:cs="宋体"/>
          <w:sz w:val="28"/>
          <w:szCs w:val="28"/>
        </w:rPr>
        <w:t xml:space="preserve">磋商程序及评审方法和评审标准</w:t>
      </w:r>
      <w:r>
        <w:rPr>
          <w:rFonts w:hint="eastAsia" w:ascii="宋体" w:hAnsi="宋体" w:eastAsia="宋体" w:cs="宋体"/>
          <w:sz w:val="28"/>
          <w:szCs w:val="28"/>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27.1磋商程序</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sz w:val="24"/>
          <w:szCs w:val="24"/>
        </w:rPr>
      </w:r>
      <w:r/>
    </w:p>
    <w:p>
      <w:pPr>
        <w:pStyle w:val="921"/>
        <w:ind w:firstLine="480"/>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27.2 评审方法和评审标准</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27.2.2评审标准</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见本磋商文件第五章规定。</w:t>
      </w:r>
      <w:r>
        <w:rPr>
          <w:rFonts w:hint="eastAsia" w:ascii="宋体" w:hAnsi="宋体" w:eastAsia="宋体" w:cs="宋体"/>
          <w:sz w:val="24"/>
          <w:szCs w:val="24"/>
        </w:rPr>
      </w:r>
      <w:r/>
    </w:p>
    <w:p>
      <w:pPr>
        <w:pStyle w:val="921"/>
        <w:ind w:firstLine="477"/>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27.3采购活动终止的情况</w:t>
      </w:r>
      <w:r>
        <w:rPr>
          <w:rFonts w:hint="eastAsia" w:ascii="宋体" w:hAnsi="宋体" w:eastAsia="宋体" w:cs="宋体"/>
          <w:sz w:val="24"/>
          <w:szCs w:val="24"/>
        </w:rPr>
      </w:r>
      <w:r/>
    </w:p>
    <w:p>
      <w:pPr>
        <w:pStyle w:val="921"/>
        <w:ind w:firstLine="360"/>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出现下列情形之一的，本次竞争性磋商采购活动将被终止：</w:t>
      </w:r>
      <w:r>
        <w:rPr>
          <w:rFonts w:hint="eastAsia" w:ascii="宋体" w:hAnsi="宋体" w:eastAsia="宋体" w:cs="宋体"/>
          <w:sz w:val="24"/>
          <w:szCs w:val="24"/>
        </w:rPr>
      </w:r>
      <w:r/>
    </w:p>
    <w:p>
      <w:pPr>
        <w:pStyle w:val="921"/>
        <w:ind w:firstLine="360"/>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27.3.1因情况变化，不再符合规定的竞争性磋商采购方式适用情形的。</w:t>
      </w:r>
      <w:r>
        <w:rPr>
          <w:rFonts w:hint="eastAsia" w:ascii="宋体" w:hAnsi="宋体" w:eastAsia="宋体" w:cs="宋体"/>
          <w:sz w:val="24"/>
          <w:szCs w:val="24"/>
        </w:rPr>
      </w:r>
      <w:r/>
    </w:p>
    <w:p>
      <w:pPr>
        <w:pStyle w:val="921"/>
        <w:ind w:firstLine="360"/>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27.3.2出现影响采购公正的违法、违规行为的。</w:t>
      </w:r>
      <w:r>
        <w:rPr>
          <w:rFonts w:hint="eastAsia" w:ascii="宋体" w:hAnsi="宋体" w:eastAsia="宋体" w:cs="宋体"/>
          <w:sz w:val="24"/>
          <w:szCs w:val="24"/>
        </w:rPr>
      </w:r>
      <w:r/>
    </w:p>
    <w:p>
      <w:pPr>
        <w:pStyle w:val="921"/>
        <w:ind w:firstLine="360"/>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sz w:val="24"/>
          <w:szCs w:val="24"/>
        </w:rPr>
      </w:r>
      <w:r/>
    </w:p>
    <w:p>
      <w:pPr>
        <w:pStyle w:val="921"/>
        <w:ind w:firstLine="360"/>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27.3.4在苏采云系统规定时间内成功解密电子响应文件的供应商不足3家的。</w:t>
      </w:r>
      <w:r>
        <w:rPr>
          <w:rFonts w:hint="eastAsia" w:ascii="宋体" w:hAnsi="宋体" w:eastAsia="宋体" w:cs="宋体"/>
          <w:sz w:val="24"/>
          <w:szCs w:val="24"/>
        </w:rPr>
      </w:r>
      <w:r/>
    </w:p>
    <w:p>
      <w:pPr>
        <w:pStyle w:val="921"/>
        <w:ind w:firstLine="482"/>
        <w:keepLines/>
        <w:keepNext/>
        <w:spacing w:line="480" w:lineRule="exact"/>
        <w:rPr>
          <w:rFonts w:hint="eastAsia" w:ascii="宋体" w:hAnsi="宋体" w:eastAsia="宋体" w:cs="宋体"/>
          <w:b/>
          <w:bCs/>
          <w:sz w:val="32"/>
          <w:szCs w:val="32"/>
        </w:rPr>
        <w:outlineLvl w:val="2"/>
      </w:pPr>
      <w:r/>
      <w:bookmarkStart w:id="157" w:name="_Toc120614219"/>
      <w:r/>
      <w:bookmarkStart w:id="158" w:name="_Toc16938551"/>
      <w:r/>
      <w:bookmarkStart w:id="159" w:name="_Toc513029235"/>
      <w:r/>
      <w:bookmarkStart w:id="160" w:name="_Toc20823307"/>
      <w:r>
        <w:rPr>
          <w:rFonts w:hint="eastAsia" w:ascii="宋体" w:hAnsi="宋体" w:eastAsia="宋体" w:cs="宋体"/>
          <w:b/>
          <w:bCs/>
          <w:sz w:val="32"/>
          <w:szCs w:val="32"/>
        </w:rPr>
        <w:t xml:space="preserve">六、</w:t>
      </w:r>
      <w:bookmarkEnd w:id="157"/>
      <w:r/>
      <w:bookmarkEnd w:id="158"/>
      <w:r/>
      <w:bookmarkEnd w:id="159"/>
      <w:r/>
      <w:bookmarkEnd w:id="160"/>
      <w:r>
        <w:rPr>
          <w:rFonts w:hint="eastAsia" w:ascii="宋体" w:hAnsi="宋体" w:eastAsia="宋体" w:cs="宋体"/>
          <w:b/>
          <w:bCs/>
          <w:sz w:val="32"/>
          <w:szCs w:val="32"/>
        </w:rPr>
        <w:t xml:space="preserve">成交</w:t>
      </w:r>
      <w:r>
        <w:rPr>
          <w:rFonts w:hint="eastAsia" w:ascii="宋体" w:hAnsi="宋体" w:eastAsia="宋体" w:cs="宋体"/>
          <w:b/>
          <w:bCs/>
          <w:sz w:val="32"/>
          <w:szCs w:val="32"/>
        </w:rPr>
      </w:r>
      <w:r/>
    </w:p>
    <w:p>
      <w:pPr>
        <w:pStyle w:val="921"/>
        <w:ind w:firstLine="600"/>
        <w:keepLines/>
        <w:keepNext/>
        <w:spacing w:line="480" w:lineRule="exact"/>
        <w:rPr>
          <w:rFonts w:hint="eastAsia" w:ascii="宋体" w:hAnsi="宋体" w:eastAsia="宋体" w:cs="宋体"/>
          <w:bCs/>
          <w:sz w:val="30"/>
          <w:szCs w:val="30"/>
        </w:rPr>
        <w:outlineLvl w:val="3"/>
      </w:pPr>
      <w:r/>
      <w:bookmarkStart w:id="161" w:name="_Toc513029238"/>
      <w:r/>
      <w:bookmarkStart w:id="162" w:name="_Toc20823310"/>
      <w:r/>
      <w:bookmarkStart w:id="163" w:name="_Toc16938554"/>
      <w:r>
        <w:rPr>
          <w:rFonts w:hint="eastAsia" w:ascii="宋体" w:hAnsi="宋体" w:eastAsia="宋体" w:cs="宋体"/>
          <w:bCs/>
          <w:sz w:val="30"/>
          <w:szCs w:val="30"/>
        </w:rPr>
        <w:t xml:space="preserve">28、</w:t>
      </w:r>
      <w:bookmarkEnd w:id="161"/>
      <w:r>
        <w:rPr>
          <w:rFonts w:hint="eastAsia" w:ascii="宋体" w:hAnsi="宋体" w:eastAsia="宋体" w:cs="宋体"/>
          <w:bCs/>
          <w:sz w:val="30"/>
          <w:szCs w:val="30"/>
        </w:rPr>
        <w:t xml:space="preserve">确定</w:t>
      </w:r>
      <w:bookmarkEnd w:id="162"/>
      <w:r/>
      <w:bookmarkEnd w:id="163"/>
      <w:r>
        <w:rPr>
          <w:rFonts w:hint="eastAsia" w:ascii="宋体" w:hAnsi="宋体" w:eastAsia="宋体" w:cs="宋体"/>
          <w:bCs/>
          <w:sz w:val="30"/>
          <w:szCs w:val="30"/>
        </w:rPr>
        <w:t xml:space="preserve">成交单位</w:t>
      </w:r>
      <w:r>
        <w:rPr>
          <w:rFonts w:hint="eastAsia" w:ascii="宋体" w:hAnsi="宋体" w:eastAsia="宋体" w:cs="宋体"/>
          <w:bCs/>
          <w:sz w:val="30"/>
          <w:szCs w:val="30"/>
        </w:rPr>
      </w:r>
      <w:r/>
    </w:p>
    <w:p>
      <w:pPr>
        <w:pStyle w:val="921"/>
        <w:ind w:firstLine="477"/>
        <w:spacing w:line="480" w:lineRule="exact"/>
        <w:tabs>
          <w:tab w:val="left" w:pos="900" w:leader="none"/>
        </w:tabs>
        <w:rPr>
          <w:rFonts w:hint="eastAsia" w:ascii="宋体" w:hAnsi="宋体" w:eastAsia="宋体" w:cs="宋体"/>
          <w:sz w:val="24"/>
          <w:szCs w:val="21"/>
        </w:rPr>
      </w:pPr>
      <w:r>
        <w:rPr>
          <w:rFonts w:hint="eastAsia" w:ascii="宋体" w:hAnsi="宋体" w:eastAsia="宋体" w:cs="宋体"/>
          <w:bCs/>
          <w:sz w:val="24"/>
          <w:szCs w:val="21"/>
        </w:rPr>
        <w:t xml:space="preserve">28.1</w:t>
      </w:r>
      <w:r>
        <w:rPr>
          <w:rFonts w:hint="eastAsia" w:ascii="宋体" w:hAnsi="宋体" w:eastAsia="宋体" w:cs="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宋体"/>
          <w:sz w:val="24"/>
          <w:szCs w:val="21"/>
        </w:rPr>
      </w:r>
      <w:r/>
    </w:p>
    <w:p>
      <w:pPr>
        <w:pStyle w:val="921"/>
        <w:ind w:firstLine="477"/>
        <w:spacing w:line="480" w:lineRule="exact"/>
        <w:tabs>
          <w:tab w:val="left" w:pos="900" w:leader="none"/>
        </w:tabs>
        <w:rPr>
          <w:rFonts w:hint="eastAsia" w:ascii="宋体" w:hAnsi="宋体" w:eastAsia="宋体" w:cs="宋体"/>
          <w:bCs/>
          <w:sz w:val="24"/>
          <w:szCs w:val="21"/>
        </w:rPr>
      </w:pPr>
      <w:r>
        <w:rPr>
          <w:rFonts w:hint="eastAsia" w:ascii="宋体" w:hAnsi="宋体" w:eastAsia="宋体" w:cs="宋体"/>
          <w:bCs/>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bCs/>
          <w:sz w:val="24"/>
          <w:szCs w:val="21"/>
        </w:rPr>
      </w:r>
      <w:r/>
    </w:p>
    <w:p>
      <w:pPr>
        <w:pStyle w:val="921"/>
        <w:ind w:firstLine="477"/>
        <w:spacing w:line="480" w:lineRule="exact"/>
        <w:tabs>
          <w:tab w:val="left" w:pos="900" w:leader="none"/>
        </w:tabs>
        <w:rPr>
          <w:rFonts w:hint="eastAsia" w:ascii="宋体" w:hAnsi="宋体" w:eastAsia="宋体" w:cs="宋体"/>
          <w:bCs/>
          <w:sz w:val="24"/>
          <w:szCs w:val="21"/>
        </w:rPr>
      </w:pPr>
      <w:r>
        <w:rPr>
          <w:rFonts w:hint="eastAsia" w:ascii="宋体" w:hAnsi="宋体" w:eastAsia="宋体" w:cs="宋体"/>
          <w:bCs/>
          <w:sz w:val="24"/>
          <w:szCs w:val="21"/>
        </w:rPr>
        <w:t xml:space="preserve">28.2采购人从评审报告提出的成交候选供应商中，按照排序由高到低的原则确定成交供应商。</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按以下第</w:t>
      </w:r>
      <w:r>
        <w:rPr>
          <w:rFonts w:hint="eastAsia" w:ascii="宋体" w:hAnsi="宋体" w:eastAsia="宋体" w:cs="宋体"/>
          <w:bCs/>
          <w:sz w:val="24"/>
          <w:u w:val="single"/>
          <w:lang w:val="zh-CN"/>
        </w:rPr>
        <w:t xml:space="preserve">（</w:t>
      </w:r>
      <w:r>
        <w:rPr>
          <w:rFonts w:hint="eastAsia" w:ascii="宋体" w:hAnsi="宋体" w:eastAsia="宋体" w:cs="宋体"/>
          <w:bCs/>
          <w:sz w:val="24"/>
          <w:u w:val="single"/>
        </w:rPr>
        <w:t xml:space="preserve">1</w:t>
      </w:r>
      <w:r>
        <w:rPr>
          <w:rFonts w:hint="eastAsia" w:ascii="宋体" w:hAnsi="宋体" w:eastAsia="宋体" w:cs="宋体"/>
          <w:bCs/>
          <w:sz w:val="24"/>
          <w:u w:val="single"/>
          <w:lang w:val="zh-CN"/>
        </w:rPr>
        <w:t xml:space="preserve">）</w:t>
      </w:r>
      <w:r>
        <w:rPr>
          <w:rFonts w:hint="eastAsia" w:ascii="宋体" w:hAnsi="宋体" w:eastAsia="宋体" w:cs="宋体"/>
          <w:bCs/>
          <w:sz w:val="24"/>
          <w:lang w:val="zh-CN"/>
        </w:rPr>
        <w:t xml:space="preserve">种方式确定成交供应商</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（1）磋商小组直接确定排名第一的</w:t>
      </w:r>
      <w:r>
        <w:rPr>
          <w:rFonts w:hint="eastAsia" w:ascii="宋体" w:hAnsi="宋体" w:eastAsia="宋体" w:cs="宋体"/>
          <w:bCs/>
          <w:sz w:val="24"/>
          <w:szCs w:val="21"/>
        </w:rPr>
        <w:t xml:space="preserve">成交候选供应商</w:t>
      </w:r>
      <w:r>
        <w:rPr>
          <w:rFonts w:hint="eastAsia" w:ascii="宋体" w:hAnsi="宋体" w:eastAsia="宋体" w:cs="宋体"/>
          <w:bCs/>
          <w:sz w:val="24"/>
          <w:lang w:val="zh-CN"/>
        </w:rPr>
        <w:t xml:space="preserve">为成交供应商；</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（2）采购人</w:t>
      </w:r>
      <w:r>
        <w:rPr>
          <w:rFonts w:hint="eastAsia" w:ascii="宋体" w:hAnsi="宋体" w:eastAsia="宋体" w:cs="宋体"/>
          <w:bCs/>
          <w:sz w:val="24"/>
          <w:szCs w:val="21"/>
        </w:rPr>
        <w:t xml:space="preserve">从评审报告提出</w:t>
      </w:r>
      <w:r>
        <w:rPr>
          <w:rFonts w:hint="eastAsia" w:ascii="宋体" w:hAnsi="宋体" w:eastAsia="宋体" w:cs="宋体"/>
          <w:bCs/>
          <w:sz w:val="24"/>
          <w:lang w:val="zh-CN"/>
        </w:rPr>
        <w:t xml:space="preserve">的</w:t>
      </w:r>
      <w:r>
        <w:rPr>
          <w:rFonts w:hint="eastAsia" w:ascii="宋体" w:hAnsi="宋体" w:eastAsia="宋体" w:cs="宋体"/>
          <w:bCs/>
          <w:sz w:val="24"/>
          <w:szCs w:val="21"/>
        </w:rPr>
        <w:t xml:space="preserve">成交候选供应商</w:t>
      </w:r>
      <w:r>
        <w:rPr>
          <w:rFonts w:hint="eastAsia" w:ascii="宋体" w:hAnsi="宋体" w:eastAsia="宋体" w:cs="宋体"/>
          <w:bCs/>
          <w:sz w:val="24"/>
          <w:lang w:val="zh-CN"/>
        </w:rPr>
        <w:t xml:space="preserve">中按顺序确定成交供应商。</w:t>
      </w:r>
      <w:r>
        <w:rPr>
          <w:rFonts w:hint="eastAsia" w:ascii="宋体" w:hAnsi="宋体" w:eastAsia="宋体" w:cs="宋体"/>
          <w:bCs/>
          <w:sz w:val="24"/>
          <w:lang w:val="zh-CN"/>
        </w:rPr>
      </w:r>
      <w:r/>
    </w:p>
    <w:p>
      <w:pPr>
        <w:pStyle w:val="921"/>
        <w:ind w:firstLine="477"/>
        <w:spacing w:line="480" w:lineRule="exact"/>
        <w:tabs>
          <w:tab w:val="left" w:pos="900" w:leader="none"/>
        </w:tabs>
        <w:rPr>
          <w:rFonts w:hint="eastAsia" w:ascii="宋体" w:hAnsi="宋体" w:eastAsia="宋体" w:cs="宋体"/>
          <w:bCs/>
          <w:sz w:val="24"/>
          <w:szCs w:val="21"/>
        </w:rPr>
      </w:pPr>
      <w:r>
        <w:rPr>
          <w:rFonts w:hint="eastAsia" w:ascii="宋体" w:hAnsi="宋体" w:eastAsia="宋体" w:cs="宋体"/>
          <w:bCs/>
          <w:sz w:val="24"/>
          <w:lang w:val="zh-CN"/>
        </w:rPr>
        <w:t xml:space="preserve">按第</w:t>
      </w:r>
      <w:r>
        <w:rPr>
          <w:rFonts w:hint="eastAsia" w:ascii="宋体" w:hAnsi="宋体" w:eastAsia="宋体" w:cs="宋体"/>
          <w:bCs/>
          <w:sz w:val="24"/>
        </w:rPr>
        <w:t xml:space="preserve">2</w:t>
      </w:r>
      <w:r>
        <w:rPr>
          <w:rFonts w:hint="eastAsia" w:ascii="宋体" w:hAnsi="宋体" w:eastAsia="宋体" w:cs="宋体"/>
          <w:bCs/>
          <w:sz w:val="24"/>
          <w:lang w:val="zh-CN"/>
        </w:rPr>
        <w:t xml:space="preserve">种方式确定成交供应商的，</w:t>
      </w:r>
      <w:r>
        <w:rPr>
          <w:rFonts w:hint="eastAsia" w:ascii="宋体" w:hAnsi="宋体" w:eastAsia="宋体" w:cs="宋体"/>
          <w:bCs/>
          <w:sz w:val="24"/>
        </w:rPr>
        <w:t xml:space="preserve">采购代理机构</w:t>
      </w:r>
      <w:r>
        <w:rPr>
          <w:rFonts w:hint="eastAsia" w:ascii="宋体" w:hAnsi="宋体" w:eastAsia="宋体" w:cs="宋体"/>
          <w:bCs/>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bCs/>
          <w:sz w:val="24"/>
          <w:szCs w:val="21"/>
        </w:rPr>
        <w:t xml:space="preserve">成交候选供应商</w:t>
      </w:r>
      <w:r>
        <w:rPr>
          <w:rFonts w:hint="eastAsia" w:ascii="宋体" w:hAnsi="宋体" w:eastAsia="宋体" w:cs="宋体"/>
          <w:bCs/>
          <w:sz w:val="24"/>
          <w:lang w:val="zh-CN"/>
        </w:rPr>
        <w:t xml:space="preserve">中按顺序确定成交供应商。</w:t>
      </w:r>
      <w:r>
        <w:rPr>
          <w:rFonts w:hint="eastAsia" w:ascii="宋体" w:hAnsi="宋体" w:eastAsia="宋体" w:cs="宋体"/>
          <w:bCs/>
          <w:sz w:val="24"/>
          <w:szCs w:val="21"/>
        </w:rPr>
      </w:r>
      <w:r/>
    </w:p>
    <w:p>
      <w:pPr>
        <w:pStyle w:val="921"/>
        <w:ind w:firstLine="477"/>
        <w:spacing w:line="480" w:lineRule="exact"/>
        <w:tabs>
          <w:tab w:val="left" w:pos="900" w:leader="none"/>
        </w:tabs>
        <w:rPr>
          <w:rFonts w:hint="eastAsia" w:ascii="宋体" w:hAnsi="宋体" w:eastAsia="宋体" w:cs="宋体"/>
          <w:bCs/>
          <w:sz w:val="24"/>
          <w:szCs w:val="21"/>
        </w:rPr>
      </w:pPr>
      <w:r>
        <w:rPr>
          <w:rFonts w:hint="eastAsia" w:ascii="宋体" w:hAnsi="宋体" w:eastAsia="宋体" w:cs="宋体"/>
          <w:bCs/>
          <w:sz w:val="24"/>
          <w:szCs w:val="21"/>
        </w:rPr>
        <w:t xml:space="preserve">28.3成交供应商确定后，采购代理机构将在“宿迁市政府采购网”发布成交结果公告，公告期限为1个工作日。</w:t>
      </w:r>
      <w:r>
        <w:rPr>
          <w:rFonts w:hint="eastAsia" w:ascii="宋体" w:hAnsi="宋体" w:eastAsia="宋体" w:cs="宋体"/>
          <w:bCs/>
          <w:sz w:val="24"/>
          <w:szCs w:val="21"/>
        </w:rPr>
      </w:r>
      <w:r/>
    </w:p>
    <w:p>
      <w:pPr>
        <w:pStyle w:val="921"/>
        <w:ind w:firstLine="477"/>
        <w:spacing w:line="480" w:lineRule="exact"/>
        <w:tabs>
          <w:tab w:val="left" w:pos="900" w:leader="none"/>
        </w:tabs>
        <w:rPr>
          <w:rFonts w:hint="eastAsia" w:ascii="宋体" w:hAnsi="宋体" w:eastAsia="宋体" w:cs="宋体"/>
          <w:bCs/>
          <w:sz w:val="24"/>
          <w:szCs w:val="21"/>
        </w:rPr>
      </w:pPr>
      <w:r>
        <w:rPr>
          <w:rFonts w:hint="eastAsia" w:ascii="宋体" w:hAnsi="宋体" w:eastAsia="宋体" w:cs="宋体"/>
          <w:bCs/>
          <w:sz w:val="24"/>
          <w:szCs w:val="21"/>
        </w:rPr>
        <w:t xml:space="preserve">28.4若有充分证据证明，成交供应商出现下列情况之一的，一经查实，将被取消成交资格：</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28.4.1提供虚假材料谋取成交的。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28.4.2与评审专家、采购人、其他供应商或者</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工作人员恶意串通的。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28.4.3向评审专家、采购人或</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工作人员行贿或者提供其他不正当利益的。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28.4.4恶意竞争，最后报价明显低于其自身合理成本且又无法提供证明的。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28.4.5不满足本磋商文件规定的实质性要求，但在评审过程中又未被磋商小组发现的。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28.4.6成交后无正当理由拒不与采购人签订政府采购合同或者未按照磋商文件确定的事项签订政府采购合同的。</w:t>
      </w:r>
      <w:r>
        <w:rPr>
          <w:rFonts w:hint="eastAsia" w:ascii="宋体" w:hAnsi="宋体" w:eastAsia="宋体" w:cs="宋体"/>
          <w:bCs/>
          <w:sz w:val="24"/>
          <w:szCs w:val="21"/>
        </w:rPr>
      </w:r>
      <w:r/>
    </w:p>
    <w:p>
      <w:pPr>
        <w:pStyle w:val="921"/>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28.4.7将政府采购合同转包的。</w:t>
      </w:r>
      <w:r>
        <w:rPr>
          <w:rFonts w:hint="eastAsia" w:ascii="宋体" w:hAnsi="宋体" w:eastAsia="宋体" w:cs="宋体"/>
          <w:bCs/>
          <w:sz w:val="24"/>
          <w:szCs w:val="21"/>
        </w:rPr>
      </w:r>
      <w:r/>
    </w:p>
    <w:p>
      <w:pPr>
        <w:pStyle w:val="921"/>
        <w:ind w:firstLine="600"/>
        <w:keepLines/>
        <w:keepNext/>
        <w:spacing w:line="480" w:lineRule="exact"/>
        <w:rPr>
          <w:rFonts w:hint="eastAsia" w:ascii="宋体" w:hAnsi="宋体" w:eastAsia="宋体" w:cs="宋体"/>
          <w:bCs/>
          <w:sz w:val="30"/>
          <w:szCs w:val="30"/>
        </w:rPr>
        <w:outlineLvl w:val="3"/>
      </w:pPr>
      <w:r/>
      <w:bookmarkStart w:id="164" w:name="_Toc200451960"/>
      <w:r>
        <w:rPr>
          <w:rFonts w:hint="eastAsia" w:ascii="宋体" w:hAnsi="宋体" w:eastAsia="宋体" w:cs="宋体"/>
          <w:bCs/>
          <w:sz w:val="30"/>
          <w:szCs w:val="30"/>
        </w:rPr>
        <w:t xml:space="preserve">29、质疑处理</w:t>
      </w:r>
      <w:bookmarkEnd w:id="164"/>
      <w:r>
        <w:rPr>
          <w:rFonts w:hint="eastAsia" w:ascii="宋体" w:hAnsi="宋体" w:eastAsia="宋体" w:cs="宋体"/>
          <w:bCs/>
          <w:sz w:val="30"/>
          <w:szCs w:val="30"/>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29.2.1</w:t>
      </w:r>
      <w:r>
        <w:rPr>
          <w:rFonts w:hint="eastAsia" w:ascii="宋体" w:hAnsi="宋体" w:eastAsia="宋体" w:cs="宋体"/>
          <w:sz w:val="24"/>
          <w:szCs w:val="24"/>
        </w:rPr>
        <w:t xml:space="preserve">对可以质疑的采购文件提出质疑的，为收到采购文件之日或者采购文件公告期限届满之日。</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29.2.2</w:t>
      </w:r>
      <w:r>
        <w:rPr>
          <w:rFonts w:hint="eastAsia" w:ascii="宋体" w:hAnsi="宋体" w:eastAsia="宋体" w:cs="宋体"/>
          <w:sz w:val="24"/>
          <w:szCs w:val="24"/>
        </w:rPr>
        <w:t xml:space="preserve">对采购过程提出质疑的，为各采购程序环节结束之日。</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29.2.3</w:t>
      </w:r>
      <w:r>
        <w:rPr>
          <w:rFonts w:hint="eastAsia" w:ascii="宋体" w:hAnsi="宋体" w:eastAsia="宋体" w:cs="宋体"/>
          <w:sz w:val="24"/>
          <w:szCs w:val="24"/>
        </w:rPr>
        <w:t xml:space="preserve">对成交结果提出质疑的，为成交结果公告期限届满之日。</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、采购人将只对供应商第一次质疑作出答复。</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29.4 供应商应以书面形式向采购人或者其委托的采购代理机构提出质疑。质疑超出采购机构代理范围的，供应商应当向采购人提出。</w:t>
      </w:r>
      <w:r>
        <w:rPr>
          <w:rFonts w:hint="eastAsia" w:ascii="宋体" w:hAnsi="宋体" w:eastAsia="宋体" w:cs="宋体"/>
          <w:sz w:val="24"/>
          <w:szCs w:val="24"/>
          <w:highlight w:val="yellow"/>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接收质疑函的方式：现场接收或邮寄接收。</w:t>
      </w:r>
      <w:r>
        <w:rPr>
          <w:rFonts w:hint="eastAsia" w:ascii="宋体" w:hAnsi="宋体" w:eastAsia="宋体" w:cs="宋体"/>
          <w:sz w:val="24"/>
          <w:szCs w:val="24"/>
        </w:rPr>
      </w:r>
      <w:r/>
    </w:p>
    <w:p>
      <w:pPr>
        <w:pStyle w:val="1076"/>
        <w:ind w:left="1620" w:hanging="1200"/>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联系部门：</w:t>
      </w:r>
      <w:r>
        <w:rPr>
          <w:rFonts w:hint="eastAsia" w:ascii="宋体" w:hAnsi="宋体" w:eastAsia="宋体" w:cs="宋体"/>
          <w:sz w:val="24"/>
          <w:szCs w:val="24"/>
          <w:u w:val="single"/>
          <w:lang w:eastAsia="zh-CN"/>
        </w:rPr>
        <w:t xml:space="preserve">苏州宿迁工业园区社会保险基金管理中心</w:t>
      </w:r>
      <w:r>
        <w:rPr>
          <w:rFonts w:hint="eastAsia" w:ascii="宋体" w:hAnsi="宋体" w:eastAsia="宋体" w:cs="宋体"/>
          <w:sz w:val="24"/>
          <w:szCs w:val="24"/>
          <w:u w:val="single"/>
        </w:rPr>
        <w:t xml:space="preserve">/中诚智信工程咨询集团股份有限公司</w:t>
      </w:r>
      <w:r>
        <w:rPr>
          <w:rFonts w:hint="eastAsia" w:ascii="宋体" w:hAnsi="宋体" w:eastAsia="宋体" w:cs="宋体"/>
          <w:sz w:val="24"/>
          <w:szCs w:val="24"/>
          <w:u w:val="single"/>
        </w:rPr>
      </w:r>
      <w:r/>
    </w:p>
    <w:p>
      <w:pPr>
        <w:pStyle w:val="1076"/>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联系电话：</w:t>
      </w:r>
      <w:r>
        <w:rPr>
          <w:rFonts w:hint="eastAsia" w:ascii="宋体" w:hAnsi="宋体" w:eastAsia="宋体" w:cs="宋体"/>
          <w:color w:val="000000"/>
          <w:sz w:val="24"/>
          <w:szCs w:val="24"/>
          <w:highlight w:val="none"/>
          <w:u w:val="single"/>
        </w:rPr>
        <w:t xml:space="preserve">0527-82868982</w:t>
      </w:r>
      <w:r>
        <w:rPr>
          <w:rFonts w:hint="eastAsia" w:ascii="宋体" w:hAnsi="宋体" w:eastAsia="宋体" w:cs="宋体"/>
          <w:sz w:val="24"/>
          <w:szCs w:val="24"/>
          <w:u w:val="single"/>
        </w:rPr>
        <w:t xml:space="preserve"> /19352690669</w:t>
      </w:r>
      <w:r>
        <w:rPr>
          <w:rFonts w:hint="eastAsia" w:ascii="宋体" w:hAnsi="宋体" w:eastAsia="宋体" w:cs="宋体"/>
          <w:sz w:val="24"/>
          <w:szCs w:val="24"/>
          <w:u w:val="single"/>
        </w:rPr>
      </w:r>
      <w:r/>
    </w:p>
    <w:p>
      <w:pPr>
        <w:pStyle w:val="1076"/>
        <w:ind w:left="1620" w:hanging="1200"/>
        <w:jc w:val="left"/>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通讯地址：</w:t>
      </w:r>
      <w:r>
        <w:rPr>
          <w:rFonts w:hint="eastAsia" w:ascii="宋体" w:hAnsi="宋体" w:eastAsia="宋体" w:cs="宋体"/>
          <w:sz w:val="24"/>
          <w:szCs w:val="24"/>
          <w:u w:val="single"/>
          <w:lang w:eastAsia="zh-CN"/>
        </w:rPr>
        <w:t xml:space="preserve">宿迁市苏宿工业园区五指山路6号（园区政务服务中心一楼）</w:t>
      </w:r>
      <w:r>
        <w:rPr>
          <w:rFonts w:hint="eastAsia" w:ascii="宋体" w:hAnsi="宋体" w:eastAsia="宋体" w:cs="宋体"/>
          <w:sz w:val="24"/>
          <w:szCs w:val="24"/>
          <w:u w:val="single"/>
        </w:rPr>
        <w:t xml:space="preserve">/苏宿工业园区生产力中心7-105室（苏州银行取款机隔壁）</w:t>
      </w:r>
      <w:r>
        <w:rPr>
          <w:rFonts w:hint="eastAsia" w:ascii="宋体" w:hAnsi="宋体" w:eastAsia="宋体" w:cs="宋体"/>
          <w:sz w:val="24"/>
          <w:szCs w:val="24"/>
          <w:u w:val="single"/>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29.5 以下情形的质疑不予受理</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29.5.1 内容不符合《政府采购质疑和投诉办法》第十二条规定的质疑。</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29.5.2 超出政府采购法定期限的质疑。</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29.5.3 以传真、电子邮件等方式递交的非原件形式的质疑。</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29.5.4 未参加磋商活动的供应商或在磋商活动中自身权益未受到损害的供应商所提出的质疑。</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29.5.5供应商组成联合体参加磋商，联合体中任何一方或多方未按要求签字、盖章、加盖公章的质疑。</w:t>
      </w:r>
      <w:r>
        <w:rPr>
          <w:rFonts w:hint="eastAsia" w:ascii="宋体" w:hAnsi="宋体" w:eastAsia="宋体" w:cs="宋体"/>
          <w:sz w:val="24"/>
          <w:szCs w:val="24"/>
        </w:rPr>
      </w:r>
      <w:r/>
    </w:p>
    <w:p>
      <w:pPr>
        <w:pStyle w:val="921"/>
        <w:ind w:firstLine="468"/>
        <w:spacing w:line="480" w:lineRule="exact"/>
        <w:rPr>
          <w:rFonts w:hint="eastAsia" w:ascii="宋体" w:hAnsi="宋体" w:eastAsia="宋体" w:cs="宋体"/>
          <w:sz w:val="24"/>
          <w:szCs w:val="24"/>
        </w:rPr>
      </w:pPr>
      <w:r>
        <w:rPr>
          <w:rFonts w:hint="eastAsia" w:ascii="宋体" w:hAnsi="宋体" w:eastAsia="宋体" w:cs="宋体"/>
          <w:sz w:val="24"/>
          <w:szCs w:val="24"/>
        </w:rPr>
        <w:t xml:space="preserve">29.6  供应商提出书面质疑必须有理、有据，不得捏造事实、提供虚假材料进行恶意质疑。否则，一经查实，</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rPr>
      </w:r>
      <w:r/>
    </w:p>
    <w:p>
      <w:pPr>
        <w:pStyle w:val="921"/>
        <w:ind w:firstLine="468"/>
        <w:spacing w:line="480" w:lineRule="exact"/>
        <w:rPr>
          <w:rFonts w:hint="eastAsia" w:ascii="宋体" w:hAnsi="宋体" w:eastAsia="宋体" w:cs="宋体"/>
          <w:sz w:val="24"/>
          <w:szCs w:val="24"/>
        </w:rPr>
      </w:pPr>
      <w:r>
        <w:rPr>
          <w:rFonts w:hint="eastAsia" w:ascii="宋体" w:hAnsi="宋体" w:eastAsia="宋体" w:cs="宋体"/>
          <w:sz w:val="24"/>
          <w:szCs w:val="24"/>
        </w:rPr>
        <w:t xml:space="preserve">29.7质疑供应商对采购人、采购代理机构的答复不满意，或者采购人、采购代理机构未在规定时间内作出答复的，可以在答复期满后15个工作日内向同级财政部门提起投诉。</w:t>
      </w:r>
      <w:r>
        <w:rPr>
          <w:rFonts w:hint="eastAsia" w:ascii="宋体" w:hAnsi="宋体" w:eastAsia="宋体" w:cs="宋体"/>
          <w:sz w:val="24"/>
          <w:szCs w:val="24"/>
        </w:rPr>
      </w:r>
      <w:r/>
    </w:p>
    <w:p>
      <w:pPr>
        <w:pStyle w:val="921"/>
        <w:ind w:firstLine="600"/>
        <w:keepLines/>
        <w:keepNext/>
        <w:spacing w:line="480" w:lineRule="exact"/>
        <w:rPr>
          <w:rFonts w:hint="eastAsia" w:ascii="宋体" w:hAnsi="宋体" w:eastAsia="宋体" w:cs="宋体"/>
          <w:bCs/>
          <w:sz w:val="30"/>
          <w:szCs w:val="30"/>
        </w:rPr>
        <w:outlineLvl w:val="3"/>
      </w:pPr>
      <w:r>
        <w:rPr>
          <w:rFonts w:hint="eastAsia" w:ascii="宋体" w:hAnsi="宋体" w:eastAsia="宋体" w:cs="宋体"/>
          <w:bCs/>
          <w:sz w:val="30"/>
          <w:szCs w:val="30"/>
        </w:rPr>
        <w:t xml:space="preserve">30、成交通知书</w:t>
      </w:r>
      <w:r>
        <w:rPr>
          <w:rFonts w:hint="eastAsia" w:ascii="宋体" w:hAnsi="宋体" w:eastAsia="宋体" w:cs="宋体"/>
          <w:bCs/>
          <w:sz w:val="30"/>
          <w:szCs w:val="30"/>
        </w:rPr>
      </w:r>
      <w:r/>
    </w:p>
    <w:p>
      <w:pPr>
        <w:pStyle w:val="921"/>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rPr>
          <w:rFonts w:hint="eastAsia" w:ascii="宋体" w:hAnsi="宋体" w:eastAsia="宋体" w:cs="宋体"/>
          <w:sz w:val="24"/>
          <w:szCs w:val="24"/>
        </w:rPr>
      </w:r>
      <w:r/>
    </w:p>
    <w:p>
      <w:pPr>
        <w:pStyle w:val="921"/>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rPr>
      </w:r>
      <w:r/>
    </w:p>
    <w:p>
      <w:pPr>
        <w:pStyle w:val="921"/>
        <w:keepLines/>
        <w:keepNext/>
        <w:spacing w:line="480" w:lineRule="exact"/>
        <w:rPr>
          <w:rFonts w:hint="eastAsia" w:ascii="宋体" w:hAnsi="宋体" w:eastAsia="宋体" w:cs="宋体"/>
          <w:b/>
          <w:bCs/>
          <w:sz w:val="32"/>
          <w:szCs w:val="32"/>
        </w:rPr>
        <w:outlineLvl w:val="2"/>
      </w:pPr>
      <w:r/>
      <w:bookmarkStart w:id="165" w:name="_Toc120614220"/>
      <w:r/>
      <w:bookmarkStart w:id="166" w:name="_Toc20823308"/>
      <w:r/>
      <w:bookmarkStart w:id="167" w:name="_Toc513029236"/>
      <w:r/>
      <w:bookmarkStart w:id="168" w:name="_Toc16938552"/>
      <w:r>
        <w:rPr>
          <w:rFonts w:hint="eastAsia" w:ascii="宋体" w:hAnsi="宋体" w:eastAsia="宋体" w:cs="宋体"/>
          <w:b/>
          <w:bCs/>
          <w:sz w:val="32"/>
          <w:szCs w:val="32"/>
        </w:rPr>
        <w:t xml:space="preserve">七、授予合同</w:t>
      </w:r>
      <w:bookmarkEnd w:id="165"/>
      <w:r>
        <w:rPr>
          <w:rFonts w:hint="eastAsia" w:ascii="宋体" w:hAnsi="宋体" w:eastAsia="宋体" w:cs="宋体"/>
          <w:b/>
          <w:bCs/>
          <w:sz w:val="32"/>
          <w:szCs w:val="32"/>
        </w:rPr>
      </w:r>
      <w:r/>
    </w:p>
    <w:p>
      <w:pPr>
        <w:pStyle w:val="921"/>
        <w:ind w:firstLine="600"/>
        <w:keepLines/>
        <w:keepNext/>
        <w:spacing w:line="480" w:lineRule="exact"/>
        <w:rPr>
          <w:rFonts w:hint="eastAsia" w:ascii="宋体" w:hAnsi="宋体" w:eastAsia="宋体" w:cs="宋体"/>
          <w:bCs/>
          <w:sz w:val="30"/>
          <w:szCs w:val="30"/>
        </w:rPr>
        <w:outlineLvl w:val="3"/>
      </w:pPr>
      <w:r/>
      <w:bookmarkEnd w:id="166"/>
      <w:r/>
      <w:bookmarkEnd w:id="167"/>
      <w:r/>
      <w:bookmarkEnd w:id="168"/>
      <w:r/>
      <w:bookmarkStart w:id="169" w:name="_Toc513029237"/>
      <w:r/>
      <w:bookmarkStart w:id="170" w:name="_Toc16938553"/>
      <w:r/>
      <w:bookmarkStart w:id="171" w:name="_Toc20823309"/>
      <w:r>
        <w:rPr>
          <w:rFonts w:hint="eastAsia" w:ascii="宋体" w:hAnsi="宋体" w:eastAsia="宋体" w:cs="宋体"/>
          <w:bCs/>
          <w:sz w:val="30"/>
          <w:szCs w:val="30"/>
        </w:rPr>
        <w:t xml:space="preserve">31. 签订合同</w:t>
      </w:r>
      <w:r>
        <w:rPr>
          <w:rFonts w:hint="eastAsia" w:ascii="宋体" w:hAnsi="宋体" w:eastAsia="宋体" w:cs="宋体"/>
          <w:bCs/>
          <w:sz w:val="30"/>
          <w:szCs w:val="30"/>
        </w:rPr>
      </w:r>
      <w:r/>
    </w:p>
    <w:p>
      <w:pPr>
        <w:pStyle w:val="921"/>
        <w:ind w:firstLine="600"/>
        <w:spacing w:line="480" w:lineRule="exact"/>
        <w:rPr>
          <w:rFonts w:hint="eastAsia" w:ascii="宋体" w:hAnsi="宋体" w:eastAsia="宋体" w:cs="宋体"/>
          <w:sz w:val="24"/>
          <w:szCs w:val="24"/>
        </w:rPr>
      </w:pPr>
      <w:r>
        <w:rPr>
          <w:rFonts w:hint="eastAsia" w:ascii="宋体" w:hAnsi="宋体" w:eastAsia="宋体" w:cs="宋体"/>
          <w:bCs/>
          <w:sz w:val="24"/>
          <w:szCs w:val="24"/>
        </w:rPr>
        <w:t xml:space="preserve">31</w:t>
      </w:r>
      <w:r>
        <w:rPr>
          <w:rFonts w:hint="eastAsia" w:ascii="宋体" w:hAnsi="宋体" w:eastAsia="宋体" w:cs="宋体"/>
          <w:sz w:val="24"/>
          <w:szCs w:val="24"/>
        </w:rPr>
        <w:t xml:space="preserve">.l成交供应商应当在成交通知书发出之日起15日内，按照磋商文件确定的事项与采购人签订政府采购合同。</w:t>
      </w:r>
      <w:r>
        <w:rPr>
          <w:rFonts w:hint="eastAsia" w:ascii="宋体" w:hAnsi="宋体" w:eastAsia="宋体" w:cs="宋体"/>
          <w:sz w:val="24"/>
          <w:szCs w:val="24"/>
        </w:rPr>
      </w:r>
      <w:r/>
    </w:p>
    <w:p>
      <w:pPr>
        <w:pStyle w:val="921"/>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31.2磋商文件、成交供应商的响应文件及磋商过程中有关澄清、承诺文件均应作为合同附件。</w:t>
      </w:r>
      <w:r>
        <w:rPr>
          <w:rFonts w:hint="eastAsia" w:ascii="宋体" w:hAnsi="宋体" w:eastAsia="宋体" w:cs="宋体"/>
          <w:sz w:val="24"/>
          <w:szCs w:val="24"/>
        </w:rPr>
      </w:r>
      <w:r/>
    </w:p>
    <w:p>
      <w:pPr>
        <w:pStyle w:val="921"/>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sz w:val="24"/>
          <w:szCs w:val="24"/>
        </w:rPr>
      </w:r>
      <w:r/>
    </w:p>
    <w:p>
      <w:pPr>
        <w:pStyle w:val="921"/>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31.4本项目的非主体、非关键性工作是否允许分包按以下第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种方式确定：</w:t>
      </w:r>
      <w:r>
        <w:rPr>
          <w:rFonts w:hint="eastAsia" w:ascii="宋体" w:hAnsi="宋体" w:eastAsia="宋体" w:cs="宋体"/>
          <w:sz w:val="24"/>
          <w:szCs w:val="24"/>
        </w:rPr>
      </w:r>
      <w:r/>
    </w:p>
    <w:p>
      <w:pPr>
        <w:pStyle w:val="921"/>
        <w:ind w:firstLine="720"/>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1.允许分包，允许大中型企业向一家或者多家小微企业分包，分包具体内容、金额或比例：</w:t>
      </w:r>
      <w:r>
        <w:rPr>
          <w:rFonts w:hint="eastAsia" w:ascii="宋体" w:hAnsi="宋体" w:eastAsia="宋体" w:cs="宋体"/>
          <w:sz w:val="24"/>
          <w:szCs w:val="24"/>
          <w:u w:val="single"/>
        </w:rPr>
        <w:t xml:space="preserve">  /  ；</w:t>
      </w:r>
      <w:r>
        <w:rPr>
          <w:rFonts w:hint="eastAsia" w:ascii="宋体" w:hAnsi="宋体" w:eastAsia="宋体" w:cs="宋体"/>
          <w:sz w:val="24"/>
          <w:szCs w:val="24"/>
          <w:u w:val="single"/>
        </w:rPr>
      </w:r>
      <w:r/>
    </w:p>
    <w:p>
      <w:pPr>
        <w:pStyle w:val="921"/>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 2.不允许分包。未经采购人同意，成交供应商也不得采用分包形式履行合同,否则采购人有权终止合同。转包或分包造成采购人损失的，成交供应商应承担相应赔偿责任。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31.5履约保证金</w:t>
      </w:r>
      <w:r>
        <w:rPr>
          <w:rFonts w:hint="eastAsia" w:ascii="宋体" w:hAnsi="宋体" w:eastAsia="宋体" w:cs="宋体"/>
          <w:bCs/>
          <w:sz w:val="24"/>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按照以下第</w:t>
      </w:r>
      <w:r>
        <w:rPr>
          <w:rFonts w:hint="eastAsia" w:ascii="宋体" w:hAnsi="宋体" w:eastAsia="宋体" w:cs="宋体"/>
          <w:bCs/>
          <w:sz w:val="24"/>
          <w:u w:val="single"/>
        </w:rPr>
        <w:t xml:space="preserve">  （1）  </w:t>
      </w:r>
      <w:r>
        <w:rPr>
          <w:rFonts w:hint="eastAsia" w:ascii="宋体" w:hAnsi="宋体" w:eastAsia="宋体" w:cs="宋体"/>
          <w:bCs/>
          <w:sz w:val="24"/>
          <w:lang w:val="zh-CN"/>
        </w:rPr>
        <w:t xml:space="preserve">方式确定履约保证收取方式。</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(1)不收取履约保证金。</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(2)履约保证金应在采购合同签订前提交，履约保证金的金额</w:t>
      </w:r>
      <w:r>
        <w:rPr>
          <w:rFonts w:hint="eastAsia" w:ascii="宋体" w:hAnsi="宋体" w:eastAsia="宋体" w:cs="宋体"/>
          <w:bCs/>
          <w:sz w:val="24"/>
          <w:u w:val="single"/>
        </w:rPr>
        <w:t xml:space="preserve">  /   </w:t>
      </w:r>
      <w:r>
        <w:rPr>
          <w:rFonts w:hint="eastAsia" w:ascii="宋体" w:hAnsi="宋体" w:eastAsia="宋体" w:cs="宋体"/>
          <w:bCs/>
          <w:sz w:val="24"/>
          <w:lang w:val="zh-CN"/>
        </w:rPr>
        <w:t xml:space="preserve">：按采购合同总价的</w:t>
      </w:r>
      <w:r>
        <w:rPr>
          <w:rFonts w:hint="eastAsia" w:ascii="宋体" w:hAnsi="宋体" w:eastAsia="宋体" w:cs="宋体"/>
          <w:bCs/>
          <w:sz w:val="24"/>
          <w:u w:val="single"/>
        </w:rPr>
        <w:t xml:space="preserve">   /  </w:t>
      </w:r>
      <w:r>
        <w:rPr>
          <w:rFonts w:hint="eastAsia" w:ascii="宋体" w:hAnsi="宋体" w:eastAsia="宋体" w:cs="宋体"/>
          <w:bCs/>
          <w:sz w:val="24"/>
          <w:lang w:val="zh-CN"/>
        </w:rPr>
        <w:t xml:space="preserve">%计取。除银行电汇、网上银行、数字人民币外，供应商还可选用银行保函、担保公司的保证担保或保险公司的保证保险等多种形式向采购人缴纳；</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履约保证金退还的条件：按以下第 b 种方式实行：</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a、货物类项目，项目验收合格，出具验收报告及履约保证金收据申请退付；</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b、服务类项目，项目履约期满评价合格，出具履约评价报告及履约保证金收据申请退付；</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c、工程类项目，项目完工验收合格，出具完工证明及履约保证金收据申请退付；</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履约保证金退还时间：采购单位收到供应商退付申请后5个工作日内退还；</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rPr>
          <w:rFonts w:hint="eastAsia" w:ascii="宋体" w:hAnsi="宋体" w:eastAsia="宋体" w:cs="宋体"/>
          <w:bCs/>
          <w:sz w:val="24"/>
          <w:lang w:val="zh-CN"/>
        </w:rPr>
      </w:r>
      <w:r/>
    </w:p>
    <w:p>
      <w:pPr>
        <w:pStyle w:val="921"/>
        <w:ind w:firstLine="480"/>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rPr>
          <w:rFonts w:hint="eastAsia" w:ascii="宋体" w:hAnsi="宋体" w:eastAsia="宋体" w:cs="宋体"/>
          <w:bCs/>
          <w:sz w:val="24"/>
          <w:lang w:val="zh-CN"/>
        </w:rPr>
      </w:r>
      <w:r/>
    </w:p>
    <w:p>
      <w:pPr>
        <w:pStyle w:val="921"/>
        <w:ind w:firstLine="600"/>
        <w:spacing w:line="480" w:lineRule="exact"/>
        <w:rPr>
          <w:rFonts w:hint="eastAsia" w:ascii="宋体" w:hAnsi="宋体" w:eastAsia="宋体" w:cs="宋体"/>
          <w:sz w:val="24"/>
          <w:szCs w:val="24"/>
        </w:rPr>
      </w:pPr>
      <w:r>
        <w:rPr>
          <w:rFonts w:hint="eastAsia" w:ascii="宋体" w:hAnsi="宋体" w:eastAsia="宋体" w:cs="宋体"/>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sz w:val="24"/>
          <w:szCs w:val="24"/>
        </w:rPr>
      </w:r>
      <w:r/>
    </w:p>
    <w:p>
      <w:pPr>
        <w:pStyle w:val="921"/>
        <w:ind w:firstLine="600"/>
        <w:keepLines/>
        <w:keepNext/>
        <w:spacing w:line="480" w:lineRule="exact"/>
        <w:rPr>
          <w:rFonts w:hint="eastAsia" w:ascii="宋体" w:hAnsi="宋体" w:eastAsia="宋体" w:cs="宋体"/>
          <w:bCs/>
          <w:sz w:val="30"/>
          <w:szCs w:val="30"/>
        </w:rPr>
        <w:outlineLvl w:val="3"/>
      </w:pPr>
      <w:r>
        <w:rPr>
          <w:rFonts w:hint="eastAsia" w:ascii="宋体" w:hAnsi="宋体" w:eastAsia="宋体" w:cs="宋体"/>
          <w:bCs/>
          <w:sz w:val="30"/>
          <w:szCs w:val="30"/>
        </w:rPr>
        <w:t xml:space="preserve">32、标的物的追加</w:t>
      </w:r>
      <w:r>
        <w:rPr>
          <w:rFonts w:hint="eastAsia" w:ascii="宋体" w:hAnsi="宋体" w:eastAsia="宋体" w:cs="宋体"/>
          <w:bCs/>
          <w:sz w:val="30"/>
          <w:szCs w:val="30"/>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rPr>
      </w:r>
      <w:r/>
    </w:p>
    <w:p>
      <w:pPr>
        <w:pStyle w:val="921"/>
        <w:ind w:firstLine="600"/>
        <w:keepLines/>
        <w:keepNext/>
        <w:spacing w:line="480" w:lineRule="exact"/>
        <w:rPr>
          <w:rFonts w:hint="eastAsia" w:ascii="宋体" w:hAnsi="宋体" w:eastAsia="宋体" w:cs="宋体"/>
          <w:bCs/>
          <w:sz w:val="30"/>
          <w:szCs w:val="30"/>
        </w:rPr>
        <w:outlineLvl w:val="3"/>
      </w:pPr>
      <w:r/>
      <w:bookmarkEnd w:id="169"/>
      <w:r/>
      <w:bookmarkEnd w:id="170"/>
      <w:r/>
      <w:bookmarkEnd w:id="171"/>
      <w:r/>
      <w:bookmarkStart w:id="172" w:name="_Toc479757207"/>
      <w:r/>
      <w:bookmarkStart w:id="173" w:name="_Toc120614221"/>
      <w:r/>
      <w:bookmarkStart w:id="174" w:name="_Toc20823314"/>
      <w:r/>
      <w:bookmarkStart w:id="175" w:name="_Toc16938558"/>
      <w:r/>
      <w:bookmarkStart w:id="176" w:name="_Toc513029242"/>
      <w:r>
        <w:rPr>
          <w:rFonts w:hint="eastAsia" w:ascii="宋体" w:hAnsi="宋体" w:eastAsia="宋体" w:cs="宋体"/>
          <w:bCs/>
          <w:sz w:val="30"/>
          <w:szCs w:val="30"/>
        </w:rPr>
        <w:t xml:space="preserve">33、政府采购履约资金扶持政策</w:t>
      </w:r>
      <w:r>
        <w:rPr>
          <w:rFonts w:hint="eastAsia" w:ascii="宋体" w:hAnsi="宋体" w:eastAsia="宋体" w:cs="宋体"/>
          <w:bCs/>
          <w:sz w:val="30"/>
          <w:szCs w:val="30"/>
        </w:rPr>
      </w:r>
      <w:r/>
    </w:p>
    <w:p>
      <w:pPr>
        <w:pStyle w:val="921"/>
        <w:ind w:firstLine="420"/>
        <w:spacing w:line="480" w:lineRule="exact"/>
        <w:rPr>
          <w:rFonts w:hint="eastAsia" w:ascii="宋体" w:hAnsi="宋体" w:eastAsia="宋体" w:cs="宋体"/>
          <w:szCs w:val="21"/>
        </w:rPr>
      </w:pPr>
      <w:r>
        <w:rPr>
          <w:rFonts w:hint="eastAsia" w:ascii="宋体" w:hAnsi="宋体" w:eastAsia="宋体" w:cs="宋体"/>
          <w:bCs/>
          <w:sz w:val="24"/>
        </w:rPr>
        <w:t xml:space="preserve">33.1</w:t>
      </w:r>
      <w:r>
        <w:rPr>
          <w:rFonts w:hint="eastAsia" w:ascii="宋体" w:hAnsi="宋体" w:eastAsia="宋体" w:cs="宋体"/>
          <w:bCs/>
          <w:color w:val="000000"/>
          <w:sz w:val="24"/>
        </w:rPr>
        <w:t xml:space="preserve">根据江苏省财政厅 中国人民银行南京分行《关于深入推进政府采购线上合同信用融资工作的通知》（苏财购〔2021〕82号）</w:t>
      </w:r>
      <w:r>
        <w:rPr>
          <w:rFonts w:hint="eastAsia" w:ascii="宋体" w:hAnsi="宋体" w:eastAsia="宋体" w:cs="宋体"/>
          <w:bCs/>
          <w:color w:val="000000"/>
          <w:sz w:val="24"/>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rFonts w:hint="eastAsia" w:ascii="宋体" w:hAnsi="宋体" w:eastAsia="宋体" w:cs="宋体"/>
          <w:bCs/>
          <w:sz w:val="24"/>
          <w:lang w:val="zh-CN"/>
        </w:rPr>
        <w:t xml:space="preserve">。</w:t>
      </w:r>
      <w:r>
        <w:rPr>
          <w:rFonts w:hint="eastAsia" w:ascii="宋体" w:hAnsi="宋体" w:eastAsia="宋体" w:cs="宋体"/>
          <w:szCs w:val="21"/>
        </w:rPr>
      </w:r>
      <w:r/>
    </w:p>
    <w:p>
      <w:pPr>
        <w:pStyle w:val="925"/>
        <w:ind w:firstLine="602"/>
        <w:spacing w:before="0" w:after="0" w:line="480" w:lineRule="exact"/>
        <w:rPr>
          <w:rFonts w:hint="eastAsia" w:ascii="宋体" w:hAnsi="宋体" w:eastAsia="宋体" w:cs="宋体"/>
          <w:sz w:val="30"/>
          <w:szCs w:val="30"/>
        </w:rPr>
      </w:pPr>
      <w:r>
        <w:rPr>
          <w:rFonts w:hint="eastAsia" w:ascii="宋体" w:hAnsi="宋体" w:eastAsia="宋体" w:cs="宋体"/>
          <w:sz w:val="30"/>
          <w:szCs w:val="30"/>
        </w:rPr>
        <w:t xml:space="preserve">34、验收及付款</w:t>
      </w:r>
      <w:r>
        <w:rPr>
          <w:rFonts w:hint="eastAsia" w:ascii="宋体" w:hAnsi="宋体" w:eastAsia="宋体" w:cs="宋体"/>
          <w:sz w:val="30"/>
          <w:szCs w:val="30"/>
        </w:rPr>
      </w:r>
      <w:r/>
    </w:p>
    <w:p>
      <w:pPr>
        <w:pStyle w:val="921"/>
        <w:ind w:firstLine="482"/>
        <w:spacing w:line="480" w:lineRule="exact"/>
        <w:rPr>
          <w:rFonts w:hint="eastAsia" w:ascii="宋体" w:hAnsi="宋体" w:eastAsia="宋体" w:cs="宋体"/>
          <w:bCs/>
          <w:sz w:val="24"/>
          <w:highlight w:val="white"/>
        </w:rPr>
      </w:pPr>
      <w:r>
        <w:rPr>
          <w:rFonts w:hint="eastAsia" w:ascii="宋体" w:hAnsi="宋体" w:eastAsia="宋体" w:cs="宋体"/>
          <w:bCs/>
          <w:sz w:val="24"/>
          <w:highlight w:val="whit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宋体" w:hAnsi="宋体" w:eastAsia="宋体" w:cs="宋体"/>
          <w:bCs/>
          <w:sz w:val="24"/>
          <w:highlight w:val="white"/>
        </w:rPr>
      </w:r>
      <w:r/>
    </w:p>
    <w:p>
      <w:pPr>
        <w:pStyle w:val="921"/>
        <w:ind w:firstLine="482"/>
        <w:spacing w:line="480" w:lineRule="exact"/>
        <w:rPr>
          <w:rFonts w:hint="eastAsia" w:ascii="宋体" w:hAnsi="宋体" w:eastAsia="宋体" w:cs="宋体"/>
          <w:bCs/>
          <w:sz w:val="24"/>
          <w:highlight w:val="white"/>
        </w:rPr>
      </w:pPr>
      <w:r>
        <w:rPr>
          <w:rFonts w:hint="eastAsia" w:ascii="宋体" w:hAnsi="宋体" w:eastAsia="宋体" w:cs="宋体"/>
          <w:bCs/>
          <w:sz w:val="24"/>
          <w:highlight w:val="white"/>
        </w:rPr>
        <w:t xml:space="preserve">34.2采购人可以邀请参加本项目的其他供应商或者第三方机构参与验收。参与验收的供应商或者第三方机构的意见作为验收书的参考资料一并存档。</w:t>
      </w:r>
      <w:r>
        <w:rPr>
          <w:rFonts w:hint="eastAsia" w:ascii="宋体" w:hAnsi="宋体" w:eastAsia="宋体" w:cs="宋体"/>
          <w:bCs/>
          <w:sz w:val="24"/>
          <w:highlight w:val="white"/>
        </w:rPr>
      </w:r>
      <w:r/>
    </w:p>
    <w:p>
      <w:pPr>
        <w:pStyle w:val="921"/>
        <w:ind w:firstLine="482"/>
        <w:spacing w:line="480" w:lineRule="exact"/>
        <w:rPr>
          <w:rFonts w:hint="eastAsia" w:ascii="宋体" w:hAnsi="宋体" w:eastAsia="宋体" w:cs="宋体"/>
          <w:bCs/>
          <w:sz w:val="24"/>
          <w:highlight w:val="white"/>
        </w:rPr>
      </w:pPr>
      <w:r>
        <w:rPr>
          <w:rFonts w:hint="eastAsia" w:ascii="宋体" w:hAnsi="宋体" w:eastAsia="宋体" w:cs="宋体"/>
          <w:bCs/>
          <w:sz w:val="24"/>
          <w:highlight w:val="whit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eastAsia="宋体" w:cs="宋体"/>
          <w:bCs/>
          <w:sz w:val="24"/>
          <w:highlight w:val="white"/>
        </w:rPr>
      </w:r>
      <w:r/>
    </w:p>
    <w:p>
      <w:pPr>
        <w:pStyle w:val="921"/>
        <w:ind w:firstLine="482"/>
        <w:spacing w:line="480" w:lineRule="exact"/>
        <w:rPr>
          <w:rFonts w:hint="eastAsia" w:ascii="宋体" w:hAnsi="宋体" w:eastAsia="宋体" w:cs="宋体"/>
          <w:sz w:val="24"/>
        </w:rPr>
      </w:pPr>
      <w:r>
        <w:rPr>
          <w:rFonts w:hint="eastAsia" w:ascii="宋体" w:hAnsi="宋体" w:eastAsia="宋体" w:cs="宋体"/>
          <w:bCs/>
          <w:sz w:val="24"/>
          <w:highlight w:val="whit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eastAsia="宋体" w:cs="宋体"/>
          <w:sz w:val="24"/>
        </w:rPr>
      </w:r>
      <w:r/>
    </w:p>
    <w:p>
      <w:pPr>
        <w:pStyle w:val="921"/>
        <w:ind w:firstLine="482"/>
        <w:spacing w:line="480" w:lineRule="exact"/>
        <w:rPr>
          <w:rFonts w:hint="eastAsia" w:ascii="宋体" w:hAnsi="宋体" w:eastAsia="宋体" w:cs="宋体"/>
          <w:b/>
          <w:sz w:val="24"/>
        </w:rPr>
      </w:pPr>
      <w:r>
        <w:rPr>
          <w:rFonts w:hint="eastAsia" w:ascii="宋体" w:hAnsi="宋体" w:eastAsia="宋体" w:cs="宋体"/>
          <w:b/>
          <w:sz w:val="24"/>
          <w:highlight w:val="white"/>
        </w:rPr>
        <w:t xml:space="preserve">35、付款</w:t>
      </w:r>
      <w:r>
        <w:rPr>
          <w:rFonts w:hint="eastAsia" w:ascii="宋体" w:hAnsi="宋体" w:eastAsia="宋体" w:cs="宋体"/>
          <w:b/>
          <w:sz w:val="24"/>
        </w:rPr>
      </w:r>
      <w:r/>
    </w:p>
    <w:p>
      <w:pPr>
        <w:pStyle w:val="921"/>
        <w:ind w:firstLine="482"/>
        <w:spacing w:line="480" w:lineRule="exact"/>
        <w:rPr>
          <w:rFonts w:hint="eastAsia" w:ascii="宋体" w:hAnsi="宋体" w:eastAsia="宋体" w:cs="宋体"/>
          <w:bCs/>
          <w:sz w:val="24"/>
          <w:highlight w:val="white"/>
        </w:rPr>
      </w:pPr>
      <w:r>
        <w:rPr>
          <w:rFonts w:hint="eastAsia" w:ascii="宋体" w:hAnsi="宋体" w:eastAsia="宋体" w:cs="宋体"/>
          <w:bCs/>
          <w:sz w:val="24"/>
          <w:highlight w:val="white"/>
        </w:rPr>
        <w:t xml:space="preserve"> </w:t>
      </w:r>
      <w:bookmarkStart w:id="177" w:name="EBec7f529f50594afd871ea9378869e456"/>
      <w:r>
        <w:rPr>
          <w:rFonts w:hint="eastAsia" w:ascii="宋体" w:hAnsi="宋体" w:eastAsia="宋体" w:cs="宋体"/>
          <w:bCs/>
          <w:sz w:val="24"/>
          <w:highlight w:val="white"/>
        </w:rPr>
        <w:t xml:space="preserve">按照以下</w:t>
      </w:r>
      <w:r>
        <w:rPr>
          <w:rFonts w:hint="eastAsia" w:ascii="宋体" w:hAnsi="宋体" w:eastAsia="宋体" w:cs="宋体"/>
          <w:bCs/>
          <w:sz w:val="24"/>
          <w:u w:val="single"/>
        </w:rPr>
        <w:t xml:space="preserve"> （2） </w:t>
      </w:r>
      <w:r>
        <w:rPr>
          <w:rFonts w:hint="eastAsia" w:ascii="宋体" w:hAnsi="宋体" w:eastAsia="宋体" w:cs="宋体"/>
          <w:bCs/>
          <w:sz w:val="24"/>
          <w:highlight w:val="white"/>
        </w:rPr>
        <w:t xml:space="preserve">类项目确定的付款方式，采购人及时办理付款手续。对于满足合同约定支付条件的，自收到发票后10个工作日内将资金支付到合同约定的供应商账户或供应商数字人民币账户。</w:t>
      </w:r>
      <w:bookmarkEnd w:id="177"/>
      <w:r>
        <w:rPr>
          <w:rFonts w:hint="eastAsia" w:ascii="宋体" w:hAnsi="宋体" w:eastAsia="宋体" w:cs="宋体"/>
          <w:bCs/>
          <w:sz w:val="24"/>
          <w:highlight w:val="white"/>
        </w:rPr>
      </w:r>
      <w:r/>
    </w:p>
    <w:p>
      <w:pPr>
        <w:pStyle w:val="921"/>
        <w:ind w:firstLine="482"/>
        <w:spacing w:line="480" w:lineRule="exact"/>
        <w:rPr>
          <w:rFonts w:hint="eastAsia" w:ascii="宋体" w:hAnsi="宋体" w:eastAsia="宋体" w:cs="宋体"/>
          <w:bCs/>
          <w:sz w:val="24"/>
          <w:highlight w:val="white"/>
        </w:rPr>
      </w:pPr>
      <w:r>
        <w:rPr>
          <w:rFonts w:hint="eastAsia" w:ascii="宋体" w:hAnsi="宋体" w:eastAsia="宋体" w:cs="宋体"/>
          <w:bCs/>
          <w:sz w:val="24"/>
          <w:highlight w:val="white"/>
        </w:rPr>
        <w:t xml:space="preserve">（1）货物类项目</w:t>
      </w:r>
      <w:r>
        <w:rPr>
          <w:rFonts w:hint="eastAsia" w:ascii="宋体" w:hAnsi="宋体" w:eastAsia="宋体" w:cs="宋体"/>
          <w:bCs/>
          <w:sz w:val="24"/>
          <w:highlight w:val="white"/>
        </w:rPr>
      </w:r>
      <w:r/>
    </w:p>
    <w:p>
      <w:pPr>
        <w:pStyle w:val="921"/>
        <w:ind w:firstLine="482"/>
        <w:spacing w:line="480" w:lineRule="exact"/>
        <w:rPr>
          <w:rFonts w:hint="eastAsia" w:ascii="宋体" w:hAnsi="宋体" w:eastAsia="宋体" w:cs="宋体"/>
          <w:bCs/>
          <w:sz w:val="24"/>
        </w:rPr>
      </w:pPr>
      <w:r>
        <w:rPr>
          <w:rFonts w:hint="eastAsia" w:ascii="宋体" w:hAnsi="宋体" w:eastAsia="宋体" w:cs="宋体"/>
          <w:bCs/>
          <w:sz w:val="24"/>
        </w:rPr>
        <w:t xml:space="preserve">预付款：合同金额的</w:t>
      </w:r>
      <w:r>
        <w:rPr>
          <w:rFonts w:hint="eastAsia" w:ascii="宋体" w:hAnsi="宋体" w:eastAsia="宋体" w:cs="宋体"/>
          <w:bCs/>
          <w:sz w:val="24"/>
          <w:u w:val="single"/>
        </w:rPr>
        <w:t xml:space="preserve">  /  </w:t>
      </w:r>
      <w:r>
        <w:rPr>
          <w:rFonts w:hint="eastAsia" w:ascii="宋体" w:hAnsi="宋体" w:eastAsia="宋体" w:cs="宋体"/>
          <w:bCs/>
          <w:sz w:val="24"/>
        </w:rPr>
        <w:t xml:space="preserve">%，合同签订后按规定支付； </w:t>
      </w:r>
      <w:r>
        <w:rPr>
          <w:rFonts w:hint="eastAsia" w:ascii="宋体" w:hAnsi="宋体" w:eastAsia="宋体" w:cs="宋体"/>
          <w:bCs/>
          <w:sz w:val="24"/>
        </w:rPr>
      </w:r>
      <w:r/>
    </w:p>
    <w:p>
      <w:pPr>
        <w:pStyle w:val="921"/>
        <w:ind w:firstLine="482"/>
        <w:spacing w:line="480" w:lineRule="exact"/>
        <w:rPr>
          <w:rFonts w:hint="eastAsia" w:ascii="宋体" w:hAnsi="宋体" w:eastAsia="宋体" w:cs="宋体"/>
          <w:bCs/>
          <w:sz w:val="24"/>
          <w:u w:val="single"/>
        </w:rPr>
      </w:pPr>
      <w:r>
        <w:rPr>
          <w:rFonts w:hint="eastAsia" w:ascii="宋体" w:hAnsi="宋体" w:eastAsia="宋体" w:cs="宋体"/>
          <w:bCs/>
          <w:sz w:val="24"/>
        </w:rPr>
        <w:t xml:space="preserve">进度款：</w:t>
      </w:r>
      <w:bookmarkStart w:id="178" w:name="EBf1f8b954f7504a2cb44cef25707c76a6"/>
      <w:r/>
      <w:bookmarkEnd w:id="178"/>
      <w:r>
        <w:rPr>
          <w:rFonts w:hint="eastAsia" w:ascii="宋体" w:hAnsi="宋体" w:eastAsia="宋体" w:cs="宋体"/>
          <w:bCs/>
          <w:sz w:val="24"/>
          <w:u w:val="single"/>
        </w:rPr>
        <w:t xml:space="preserve">  /   。</w:t>
      </w:r>
      <w:r>
        <w:rPr>
          <w:rFonts w:hint="eastAsia" w:ascii="宋体" w:hAnsi="宋体" w:eastAsia="宋体" w:cs="宋体"/>
          <w:bCs/>
          <w:sz w:val="24"/>
          <w:u w:val="single"/>
        </w:rPr>
      </w:r>
      <w:r/>
    </w:p>
    <w:p>
      <w:pPr>
        <w:pStyle w:val="921"/>
        <w:ind w:firstLine="482"/>
        <w:spacing w:line="48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（2）服务类项目</w:t>
      </w:r>
      <w:r>
        <w:rPr>
          <w:rFonts w:hint="eastAsia" w:ascii="宋体" w:hAnsi="宋体" w:eastAsia="宋体" w:cs="宋体"/>
          <w:bCs/>
          <w:color w:val="000000"/>
          <w:sz w:val="24"/>
          <w:highlight w:val="white"/>
        </w:rPr>
      </w:r>
      <w:r/>
    </w:p>
    <w:p>
      <w:pPr>
        <w:pStyle w:val="921"/>
        <w:ind w:left="0" w:firstLine="480"/>
        <w:jc w:val="both"/>
        <w:pageBreakBefore w:val="0"/>
        <w:spacing w:line="560" w:lineRule="exact"/>
        <w:widowControl w:val="off"/>
        <w:rPr>
          <w:rFonts w:hint="eastAsia" w:ascii="宋体" w:hAnsi="宋体" w:eastAsia="宋体" w:cs="宋体"/>
          <w:bCs/>
          <w:color w:val="000000"/>
          <w:sz w:val="24"/>
          <w:szCs w:val="24"/>
          <w:highlight w:val="none"/>
        </w:rPr>
      </w:pPr>
      <w:r/>
      <w:bookmarkStart w:id="179" w:name="EB11398ec6946f4019bc4c35221e27b04f"/>
      <w:r>
        <w:rPr>
          <w:rFonts w:hint="eastAsia" w:ascii="宋体" w:hAnsi="宋体" w:eastAsia="宋体" w:cs="宋体"/>
          <w:bCs/>
          <w:color w:val="000000"/>
          <w:sz w:val="24"/>
          <w:szCs w:val="24"/>
          <w:highlight w:val="none"/>
        </w:rPr>
        <w:t xml:space="preserve">预付款：合同金额的</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%，合同签订后按规定支付； </w:t>
      </w:r>
      <w:r>
        <w:rPr>
          <w:rFonts w:hint="eastAsia" w:ascii="宋体" w:hAnsi="宋体" w:eastAsia="宋体" w:cs="宋体"/>
          <w:bCs/>
          <w:color w:val="000000"/>
          <w:sz w:val="24"/>
          <w:szCs w:val="24"/>
          <w:highlight w:val="none"/>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bookmarkEnd w:id="179"/>
      <w:r>
        <w:rPr>
          <w:rFonts w:hint="eastAsia" w:ascii="宋体" w:hAnsi="宋体" w:eastAsia="宋体" w:cs="宋体"/>
          <w:bCs/>
          <w:color w:val="000000"/>
          <w:sz w:val="24"/>
          <w:szCs w:val="24"/>
          <w:highlight w:val="none"/>
        </w:rPr>
        <w:t xml:space="preserve">进度款：</w:t>
      </w:r>
      <w:r>
        <w:rPr>
          <w:rFonts w:hint="eastAsia" w:ascii="宋体" w:hAnsi="宋体" w:eastAsia="宋体" w:cs="宋体"/>
          <w:bCs/>
          <w:color w:val="000000"/>
          <w:sz w:val="24"/>
          <w:szCs w:val="24"/>
          <w:highlight w:val="none"/>
          <w:lang w:val="en-US" w:eastAsia="zh-CN"/>
        </w:rPr>
        <w:t xml:space="preserve">1.承办服务费。承办商保机构的当期承办服务费从当期长护险基金收入中计提，计提标准以本次中标的中标人“承办服务费”最终报价确定,后期综合考虑服务人口、机构运营成本、工作绩效等因素，合理调整承办服务费。承办服务费从长护险基金中支付。每年第一季度，医保经办机构拨付本年度承办服务费的95%给商保机构。次年第一季度，根据协议履行情况、服务对象满意度情况及当期考核结果，进行当期结算。招录的经办服务人员薪酬、保险及福利费用，办公经费，交通费等费用列入承办服务费。</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失能人员在宿迁市内，发生的符合长护险失能评估、护理服务项目范围和标准的费用(由市医疗保障局另行制定),从长护险基金中支付；超出长护险护理服务项目范围和标准的护理费用，长护险基金不予支付，由失能人员个人承担，并与定点服务机构直接结算。</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3.采购人建立与服务对象满意度、评估质量、护理服务质量挂钩的考核结算机制。可通过约定预留款等方式，每期末根据考核结果进行费用清算。</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4.保费与承办服务费分别建账、核算、考核。</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4.1采购人按每保险期的筹资标准及期初人数，计算长护险基金收入，将基金收入划分长护险保费与长护险承办服务费两个科目。其中承办服务费按招标确定的承办服务费基准标准计提，其余计提划入长护险保费。</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商保公司相应建立以上两个科目。合同期内，每年第一季度将长护险保费和承办服务费的95%向商保公司拨付，其余部分留存采购人，分别用于对商保公司各期末综合考核和承办服务质量考核，根据考核结果及时清算，如有结余，结余部分返还基金。</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5.盈亏处理</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长护险按照“以收定支、收支平衡、略有盈余”的原则建立风险共担机制。长护险保费收支结余如出现亏损，亏损2%(含)以内的部分由承办商保机构承担，2%以上的部分，经医疗保障行政部门综合评定后，对因政策调整导致的亏损部分，由基金承担，除政策调整原因以外导致的亏损部分，由承办商保机构承担；由采购人根据实际情况最终确定。</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如有盈利，则盈利部分全额返还基金。承办服务费结余归采购人所有，超支的由商保公司承担。</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盈利率或亏损率计算公式：[(本期长护险实际保费-本期长护险待遇支出-本期长护险评估费用支出)/本期长护险实际保费]×100%。本期长护险实际保费=当期长护险基金收入-本期长护险承办服务费支出。承办服务费含商保公司招录的经办服务人员薪酬、保险及福利费用、办公经费、交通工具等相关费用。</w:t>
      </w:r>
      <w:r>
        <w:rPr>
          <w:rFonts w:hint="eastAsia" w:ascii="宋体" w:hAnsi="宋体" w:eastAsia="宋体" w:cs="宋体"/>
          <w:bCs/>
          <w:color w:val="000000"/>
          <w:sz w:val="24"/>
          <w:szCs w:val="24"/>
          <w:highlight w:val="none"/>
          <w:lang w:val="en-US" w:eastAsia="zh-CN"/>
        </w:rPr>
      </w:r>
      <w:r/>
    </w:p>
    <w:p>
      <w:pPr>
        <w:pStyle w:val="921"/>
        <w:ind w:firstLine="480"/>
        <w:jc w:val="left"/>
        <w:spacing w:line="460" w:lineRule="exact"/>
        <w:rPr>
          <w:rFonts w:hint="eastAsia" w:ascii="宋体" w:hAnsi="宋体" w:eastAsia="宋体" w:cs="宋体"/>
          <w:color w:val="000000"/>
          <w:highlight w:val="none"/>
          <w:lang w:val="en-US"/>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最终服务量以实际发生为准，本项目每年最高支付</w:t>
      </w:r>
      <w:r>
        <w:rPr>
          <w:rFonts w:hint="eastAsia" w:ascii="宋体" w:hAnsi="宋体" w:eastAsia="宋体" w:cs="宋体"/>
          <w:color w:val="000000"/>
          <w:sz w:val="24"/>
          <w:szCs w:val="24"/>
          <w:highlight w:val="none"/>
          <w:lang w:val="en-US" w:eastAsia="zh-CN"/>
        </w:rPr>
        <w:t xml:space="preserve">76万元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highlight w:val="none"/>
          <w:lang w:val="en-US"/>
        </w:rPr>
      </w:r>
      <w:r/>
    </w:p>
    <w:p>
      <w:pPr>
        <w:pStyle w:val="921"/>
        <w:ind w:left="0" w:firstLine="482"/>
        <w:jc w:val="left"/>
        <w:keepLines w:val="0"/>
        <w:keepNext w:val="0"/>
        <w:pageBreakBefore w:val="0"/>
        <w:spacing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注：1.在签订合同时，中标人明确表示无需预付款或者主动要求降低预付款比例的金额，采购人可不适用预付款规定。</w:t>
      </w:r>
      <w:r>
        <w:rPr>
          <w:rFonts w:hint="eastAsia" w:ascii="宋体" w:hAnsi="宋体" w:eastAsia="宋体" w:cs="宋体"/>
          <w:b/>
          <w:bCs w:val="0"/>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2.由于各期参保人数中途可能发生变动，以各期实际划拨的保费为准。</w:t>
      </w:r>
      <w:r>
        <w:rPr>
          <w:rFonts w:hint="eastAsia" w:ascii="宋体" w:hAnsi="宋体" w:eastAsia="宋体" w:cs="宋体"/>
          <w:b/>
          <w:bCs w:val="0"/>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3.本项目以中标人承办服务费</w:t>
      </w:r>
      <w:r>
        <w:rPr>
          <w:rFonts w:hint="eastAsia" w:ascii="宋体" w:hAnsi="宋体" w:eastAsia="宋体" w:cs="宋体"/>
          <w:b/>
          <w:bCs w:val="0"/>
          <w:color w:val="000000"/>
          <w:sz w:val="24"/>
          <w:szCs w:val="24"/>
          <w:highlight w:val="none"/>
          <w:rtl w:val="0"/>
          <w:lang w:val="en-US" w:eastAsia="zh-CN"/>
        </w:rPr>
        <w:t xml:space="preserve">最终</w:t>
      </w:r>
      <w:r>
        <w:rPr>
          <w:rFonts w:hint="eastAsia" w:ascii="宋体" w:hAnsi="宋体" w:eastAsia="宋体" w:cs="宋体"/>
          <w:b/>
          <w:bCs w:val="0"/>
          <w:color w:val="000000"/>
          <w:sz w:val="24"/>
          <w:szCs w:val="24"/>
          <w:highlight w:val="none"/>
          <w:lang w:val="en-US" w:eastAsia="zh-CN"/>
        </w:rPr>
        <w:t xml:space="preserve">报价（含小数点后两位）作为最终承办服务费计提比例，</w:t>
      </w:r>
      <w:r>
        <w:rPr>
          <w:rFonts w:hint="eastAsia" w:ascii="宋体" w:hAnsi="宋体" w:eastAsia="宋体" w:cs="宋体"/>
          <w:b/>
          <w:bCs w:val="0"/>
          <w:color w:val="000000"/>
          <w:sz w:val="24"/>
          <w:szCs w:val="24"/>
          <w:highlight w:val="none"/>
          <w:lang w:val="en-US" w:eastAsia="zh-CN"/>
        </w:rPr>
        <w:t xml:space="preserve">最高不得超过</w:t>
      </w:r>
      <w:r>
        <w:rPr>
          <w:rFonts w:hint="eastAsia" w:ascii="宋体" w:hAnsi="宋体" w:eastAsia="宋体" w:cs="宋体"/>
          <w:b/>
          <w:bCs/>
          <w:color w:val="000000"/>
          <w:sz w:val="24"/>
          <w:szCs w:val="24"/>
          <w:highlight w:val="none"/>
          <w:lang w:val="en-US" w:eastAsia="zh-CN"/>
        </w:rPr>
        <w:t xml:space="preserve">每年每个参保人员3.2元</w:t>
      </w:r>
      <w:r>
        <w:rPr>
          <w:rFonts w:hint="eastAsia" w:ascii="宋体" w:hAnsi="宋体" w:eastAsia="宋体" w:cs="宋体"/>
          <w:b/>
          <w:bCs w:val="0"/>
          <w:color w:val="000000"/>
          <w:sz w:val="24"/>
          <w:szCs w:val="24"/>
          <w:highlight w:val="none"/>
          <w:lang w:val="zh-CN" w:eastAsia="zh-CN"/>
        </w:rPr>
        <w:t xml:space="preserve">。</w:t>
      </w:r>
      <w:r>
        <w:rPr>
          <w:rFonts w:hint="eastAsia" w:ascii="宋体" w:hAnsi="宋体" w:eastAsia="宋体" w:cs="宋体"/>
          <w:b/>
          <w:bCs w:val="0"/>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
          <w:bCs w:val="0"/>
          <w:color w:val="ff0000"/>
          <w:sz w:val="24"/>
          <w:szCs w:val="24"/>
          <w:highlight w:val="none"/>
          <w:lang w:val="en-US" w:eastAsia="zh-CN"/>
        </w:rPr>
      </w:pPr>
      <w:r>
        <w:rPr>
          <w:rFonts w:hint="eastAsia" w:ascii="宋体" w:hAnsi="宋体" w:eastAsia="宋体" w:cs="宋体"/>
          <w:b/>
          <w:bCs w:val="0"/>
          <w:color w:val="ff0000"/>
          <w:sz w:val="24"/>
          <w:szCs w:val="24"/>
          <w:highlight w:val="none"/>
          <w:lang w:val="en-US" w:eastAsia="zh-CN"/>
        </w:rPr>
      </w:r>
      <w:r/>
    </w:p>
    <w:p>
      <w:pPr>
        <w:pStyle w:val="921"/>
        <w:ind w:left="0" w:firstLine="482"/>
        <w:jc w:val="center"/>
        <w:keepLines w:val="0"/>
        <w:keepNext w:val="0"/>
        <w:pageBreakBefore w:val="0"/>
        <w:spacing w:line="440" w:lineRule="exact"/>
        <w:widowControl w:val="off"/>
        <w:rPr>
          <w:rFonts w:hint="eastAsia" w:ascii="宋体" w:hAnsi="宋体" w:eastAsia="宋体" w:cs="宋体"/>
          <w:bCs/>
          <w:sz w:val="44"/>
          <w:szCs w:val="28"/>
        </w:rPr>
        <w:outlineLvl w:val="0"/>
      </w:pPr>
      <w:r>
        <w:rPr>
          <w:rFonts w:hint="eastAsia" w:ascii="宋体" w:hAnsi="宋体" w:eastAsia="宋体" w:cs="宋体"/>
          <w:bCs/>
          <w:color w:val="ff0000"/>
          <w:sz w:val="24"/>
          <w:szCs w:val="24"/>
          <w:highlight w:val="none"/>
          <w:lang w:val="en-US" w:eastAsia="zh-CN"/>
        </w:rPr>
        <w:br w:type="page" w:clear="all"/>
      </w:r>
      <w:bookmarkStart w:id="180" w:name="_Toc32149"/>
      <w:r>
        <w:rPr>
          <w:rFonts w:hint="eastAsia" w:ascii="宋体" w:hAnsi="宋体" w:eastAsia="宋体" w:cs="宋体"/>
          <w:bCs/>
          <w:sz w:val="44"/>
          <w:szCs w:val="28"/>
        </w:rPr>
        <w:t xml:space="preserve">第三章  合同</w:t>
      </w:r>
      <w:bookmarkEnd w:id="172"/>
      <w:r/>
      <w:bookmarkEnd w:id="173"/>
      <w:r/>
      <w:bookmarkEnd w:id="174"/>
      <w:r/>
      <w:bookmarkEnd w:id="175"/>
      <w:r/>
      <w:bookmarkEnd w:id="176"/>
      <w:r>
        <w:rPr>
          <w:rFonts w:hint="eastAsia" w:ascii="宋体" w:hAnsi="宋体" w:eastAsia="宋体" w:cs="宋体"/>
          <w:bCs/>
          <w:sz w:val="44"/>
          <w:szCs w:val="28"/>
        </w:rPr>
        <w:t xml:space="preserve">文本</w:t>
      </w:r>
      <w:bookmarkEnd w:id="180"/>
      <w:r>
        <w:rPr>
          <w:rFonts w:hint="eastAsia" w:ascii="宋体" w:hAnsi="宋体" w:eastAsia="宋体" w:cs="宋体"/>
          <w:bCs/>
          <w:sz w:val="44"/>
          <w:szCs w:val="28"/>
        </w:rPr>
      </w:r>
      <w:r/>
    </w:p>
    <w:p>
      <w:pPr>
        <w:pStyle w:val="921"/>
        <w:jc w:val="center"/>
        <w:spacing w:before="145" w:after="145" w:line="480" w:lineRule="exact"/>
        <w:rPr>
          <w:rFonts w:hint="eastAsia" w:ascii="宋体" w:hAnsi="宋体" w:eastAsia="宋体" w:cs="宋体"/>
          <w:b/>
          <w:sz w:val="30"/>
          <w:szCs w:val="21"/>
        </w:rPr>
      </w:pPr>
      <w:r/>
      <w:bookmarkStart w:id="181" w:name="_Toc20823315"/>
      <w:r/>
      <w:bookmarkStart w:id="182" w:name="_Toc513029243"/>
      <w:r/>
      <w:bookmarkStart w:id="183" w:name="_Toc16938559"/>
      <w:r>
        <w:rPr>
          <w:rFonts w:hint="eastAsia" w:ascii="宋体" w:hAnsi="宋体" w:eastAsia="宋体" w:cs="宋体"/>
          <w:b/>
          <w:sz w:val="30"/>
          <w:szCs w:val="21"/>
        </w:rPr>
      </w:r>
      <w:r/>
    </w:p>
    <w:p>
      <w:pPr>
        <w:pStyle w:val="1010"/>
        <w:rPr>
          <w:rFonts w:hint="eastAsia" w:ascii="宋体" w:hAnsi="宋体" w:eastAsia="宋体" w:cs="宋体"/>
        </w:rPr>
      </w:pPr>
      <w:r>
        <w:rPr>
          <w:rFonts w:hint="eastAsia" w:ascii="宋体" w:hAnsi="宋体" w:eastAsia="宋体" w:cs="宋体"/>
        </w:rPr>
      </w:r>
      <w:r/>
    </w:p>
    <w:p>
      <w:pPr>
        <w:pStyle w:val="984"/>
        <w:jc w:val="center"/>
        <w:spacing w:line="480" w:lineRule="auto"/>
        <w:widowControl/>
        <w:rPr>
          <w:rStyle w:val="931"/>
          <w:rFonts w:hint="eastAsia" w:ascii="宋体" w:hAnsi="宋体" w:eastAsia="宋体" w:cs="宋体"/>
          <w:b/>
          <w:color w:val="000000"/>
          <w:sz w:val="44"/>
          <w:szCs w:val="44"/>
          <w:highlight w:val="none"/>
          <w:lang w:eastAsia="zh-CN"/>
        </w:rPr>
        <w:pBdr>
          <w:top w:val="none" w:color="000000" w:sz="0" w:space="0"/>
          <w:left w:val="none" w:color="000000" w:sz="0" w:space="0"/>
          <w:bottom w:val="none" w:color="000000" w:sz="0" w:space="0"/>
          <w:right w:val="none" w:color="000000" w:sz="0" w:space="0"/>
        </w:pBdr>
      </w:pPr>
      <w:r/>
      <w:bookmarkEnd w:id="181"/>
      <w:r/>
      <w:bookmarkEnd w:id="182"/>
      <w:r/>
      <w:bookmarkEnd w:id="183"/>
      <w:r/>
      <w:bookmarkStart w:id="184" w:name="_Hlt16619350"/>
      <w:r/>
      <w:bookmarkStart w:id="185" w:name="_Toc16938590"/>
      <w:r/>
      <w:bookmarkStart w:id="186" w:name="_Toc20823346"/>
      <w:r/>
      <w:bookmarkStart w:id="187" w:name="_Toc120614244"/>
      <w:r/>
      <w:bookmarkStart w:id="188" w:name="_Toc479757211"/>
      <w:r/>
      <w:bookmarkStart w:id="189" w:name="_Toc462564139"/>
      <w:r>
        <w:rPr>
          <w:rStyle w:val="931"/>
          <w:rFonts w:hint="eastAsia" w:ascii="宋体" w:hAnsi="宋体" w:eastAsia="宋体" w:cs="宋体"/>
          <w:b/>
          <w:color w:val="000000"/>
          <w:sz w:val="44"/>
          <w:szCs w:val="44"/>
          <w:highlight w:val="none"/>
          <w:lang w:eastAsia="zh-CN"/>
        </w:rPr>
        <w:t xml:space="preserve">苏宿园区职工医保长期护理保险承办机构采购</w:t>
      </w:r>
      <w:r>
        <w:rPr>
          <w:rStyle w:val="931"/>
          <w:rFonts w:hint="eastAsia" w:ascii="宋体" w:hAnsi="宋体" w:eastAsia="宋体" w:cs="宋体"/>
          <w:b/>
          <w:color w:val="000000"/>
          <w:sz w:val="44"/>
          <w:szCs w:val="44"/>
          <w:highlight w:val="none"/>
          <w:lang w:eastAsia="zh-CN"/>
        </w:rPr>
      </w:r>
      <w:r/>
    </w:p>
    <w:p>
      <w:pPr>
        <w:pStyle w:val="984"/>
        <w:jc w:val="center"/>
        <w:spacing w:line="480" w:lineRule="auto"/>
        <w:widowControl/>
        <w:rPr>
          <w:rStyle w:val="931"/>
          <w:rFonts w:hint="eastAsia" w:ascii="宋体" w:hAnsi="宋体" w:eastAsia="宋体" w:cs="宋体"/>
          <w:b/>
          <w:color w:val="000000"/>
          <w:sz w:val="32"/>
          <w:szCs w:val="32"/>
          <w:highlight w:val="none"/>
          <w:lang w:val="en-US" w:eastAsia="zh-CN" w:bidi="ar-SA"/>
        </w:rPr>
        <w:pBdr>
          <w:top w:val="none" w:color="000000" w:sz="0" w:space="0"/>
          <w:left w:val="none" w:color="000000" w:sz="0" w:space="0"/>
          <w:bottom w:val="none" w:color="000000" w:sz="0" w:space="0"/>
          <w:right w:val="none" w:color="000000" w:sz="0" w:space="0"/>
        </w:pBdr>
      </w:pPr>
      <w:r>
        <w:rPr>
          <w:rStyle w:val="931"/>
          <w:rFonts w:hint="eastAsia" w:ascii="宋体" w:hAnsi="宋体" w:eastAsia="宋体" w:cs="宋体"/>
          <w:b/>
          <w:color w:val="000000"/>
          <w:sz w:val="44"/>
          <w:szCs w:val="44"/>
          <w:highlight w:val="none"/>
          <w:lang w:eastAsia="zh-CN"/>
        </w:rPr>
        <w:t xml:space="preserve">政府</w:t>
      </w:r>
      <w:r>
        <w:rPr>
          <w:rStyle w:val="931"/>
          <w:rFonts w:hint="eastAsia" w:ascii="宋体" w:hAnsi="宋体" w:eastAsia="宋体" w:cs="宋体"/>
          <w:b/>
          <w:color w:val="000000"/>
          <w:sz w:val="44"/>
          <w:szCs w:val="44"/>
          <w:highlight w:val="none"/>
          <w:lang w:val="en-US" w:eastAsia="zh-CN"/>
        </w:rPr>
        <w:t xml:space="preserve">采购合同</w:t>
      </w:r>
      <w:r>
        <w:rPr>
          <w:rStyle w:val="931"/>
          <w:rFonts w:hint="eastAsia" w:ascii="宋体" w:hAnsi="宋体" w:eastAsia="宋体" w:cs="宋体"/>
          <w:b/>
          <w:color w:val="000000"/>
          <w:sz w:val="32"/>
          <w:szCs w:val="32"/>
          <w:highlight w:val="none"/>
          <w:lang w:val="en-US" w:eastAsia="zh-CN" w:bidi="ar-SA"/>
        </w:rPr>
        <w:t xml:space="preserve"> </w:t>
      </w:r>
      <w:r>
        <w:rPr>
          <w:rStyle w:val="931"/>
          <w:rFonts w:hint="eastAsia" w:ascii="宋体" w:hAnsi="宋体" w:eastAsia="宋体" w:cs="宋体"/>
          <w:b/>
          <w:color w:val="000000"/>
          <w:sz w:val="32"/>
          <w:szCs w:val="32"/>
          <w:highlight w:val="none"/>
          <w:lang w:val="en-US" w:eastAsia="zh-CN" w:bidi="ar-SA"/>
        </w:rPr>
      </w:r>
      <w:r/>
    </w:p>
    <w:p>
      <w:pPr>
        <w:pStyle w:val="921"/>
        <w:jc w:val="center"/>
        <w:spacing w:before="145" w:after="145"/>
        <w:rPr>
          <w:rStyle w:val="931"/>
          <w:rFonts w:hint="eastAsia" w:ascii="宋体" w:hAnsi="宋体" w:eastAsia="宋体" w:cs="宋体"/>
          <w:b/>
          <w:color w:val="000000"/>
          <w:sz w:val="32"/>
          <w:szCs w:val="32"/>
          <w:highlight w:val="none"/>
          <w:lang w:val="en-US" w:eastAsia="zh-CN" w:bidi="ar-SA"/>
        </w:rPr>
        <w:outlineLvl w:val="9"/>
      </w:pPr>
      <w:r>
        <w:rPr>
          <w:rStyle w:val="931"/>
          <w:rFonts w:hint="eastAsia" w:ascii="宋体" w:hAnsi="宋体" w:eastAsia="宋体" w:cs="宋体"/>
          <w:b/>
          <w:color w:val="000000"/>
          <w:sz w:val="32"/>
          <w:szCs w:val="32"/>
          <w:highlight w:val="none"/>
          <w:lang w:val="en-US" w:eastAsia="zh-CN" w:bidi="ar-SA"/>
        </w:rPr>
        <w:t xml:space="preserve">（服务类）</w:t>
      </w:r>
      <w:r>
        <w:rPr>
          <w:rStyle w:val="931"/>
          <w:rFonts w:hint="eastAsia" w:ascii="宋体" w:hAnsi="宋体" w:eastAsia="宋体" w:cs="宋体"/>
          <w:b/>
          <w:color w:val="000000"/>
          <w:sz w:val="32"/>
          <w:szCs w:val="32"/>
          <w:highlight w:val="none"/>
          <w:lang w:val="en-US" w:eastAsia="zh-CN" w:bidi="ar-SA"/>
        </w:rPr>
      </w:r>
      <w:r/>
    </w:p>
    <w:p>
      <w:pPr>
        <w:pStyle w:val="1104"/>
        <w:jc w:val="center"/>
        <w:spacing w:line="480" w:lineRule="auto"/>
        <w:widowControl/>
        <w:rPr>
          <w:rStyle w:val="931"/>
          <w:rFonts w:hint="eastAsia" w:ascii="宋体" w:hAnsi="宋体" w:eastAsia="宋体" w:cs="宋体"/>
          <w:b/>
          <w:color w:val="000000"/>
          <w:sz w:val="24"/>
          <w:szCs w:val="20"/>
          <w:highlight w:val="none"/>
        </w:rPr>
      </w:pPr>
      <w:r>
        <w:rPr>
          <w:rStyle w:val="931"/>
          <w:rFonts w:hint="eastAsia" w:ascii="宋体" w:hAnsi="宋体" w:eastAsia="宋体" w:cs="宋体"/>
          <w:b/>
          <w:color w:val="000000"/>
          <w:sz w:val="24"/>
          <w:szCs w:val="20"/>
          <w:highlight w:val="none"/>
        </w:rPr>
      </w:r>
      <w:r/>
    </w:p>
    <w:p>
      <w:pPr>
        <w:pStyle w:val="1104"/>
        <w:spacing w:after="200"/>
        <w:rPr>
          <w:rStyle w:val="931"/>
          <w:rFonts w:hint="eastAsia" w:ascii="宋体" w:hAnsi="宋体" w:eastAsia="宋体" w:cs="宋体"/>
          <w:color w:val="000000"/>
          <w:sz w:val="28"/>
          <w:szCs w:val="28"/>
          <w:highlight w:val="none"/>
        </w:rPr>
      </w:pPr>
      <w:r>
        <w:rPr>
          <w:rStyle w:val="931"/>
          <w:rFonts w:hint="eastAsia" w:ascii="宋体" w:hAnsi="宋体" w:eastAsia="宋体" w:cs="宋体"/>
          <w:color w:val="000000"/>
          <w:sz w:val="28"/>
          <w:szCs w:val="28"/>
          <w:highlight w:val="none"/>
        </w:rPr>
      </w:r>
      <w:r/>
    </w:p>
    <w:p>
      <w:pPr>
        <w:pStyle w:val="1104"/>
        <w:ind w:firstLine="320"/>
        <w:spacing w:after="200"/>
        <w:rPr>
          <w:rStyle w:val="931"/>
          <w:rFonts w:hint="eastAsia" w:ascii="宋体" w:hAnsi="宋体" w:eastAsia="宋体" w:cs="宋体"/>
          <w:color w:val="000000"/>
          <w:spacing w:val="-6"/>
          <w:sz w:val="28"/>
          <w:szCs w:val="28"/>
          <w:highlight w:val="none"/>
          <w:u w:val="single"/>
          <w:lang w:eastAsia="zh-CN"/>
        </w:rPr>
      </w:pPr>
      <w:r>
        <w:rPr>
          <w:rStyle w:val="931"/>
          <w:rFonts w:hint="eastAsia" w:ascii="宋体" w:hAnsi="宋体" w:eastAsia="宋体" w:cs="宋体"/>
          <w:color w:val="000000"/>
          <w:sz w:val="32"/>
          <w:szCs w:val="28"/>
          <w:highlight w:val="none"/>
        </w:rPr>
        <w:t xml:space="preserve">项  目  名  称：</w:t>
      </w:r>
      <w:r>
        <w:rPr>
          <w:rStyle w:val="931"/>
          <w:rFonts w:hint="eastAsia" w:ascii="宋体" w:hAnsi="宋体" w:eastAsia="宋体" w:cs="宋体"/>
          <w:color w:val="000000"/>
          <w:spacing w:val="-6"/>
          <w:sz w:val="28"/>
          <w:szCs w:val="28"/>
          <w:highlight w:val="none"/>
          <w:u w:val="single"/>
          <w:lang w:eastAsia="zh-CN"/>
        </w:rPr>
        <w:t xml:space="preserve">苏宿园区职工医保长期护理保险承办机构采购</w:t>
      </w:r>
      <w:r>
        <w:rPr>
          <w:rStyle w:val="931"/>
          <w:rFonts w:hint="eastAsia" w:ascii="宋体" w:hAnsi="宋体" w:eastAsia="宋体" w:cs="宋体"/>
          <w:color w:val="000000"/>
          <w:spacing w:val="-6"/>
          <w:sz w:val="28"/>
          <w:szCs w:val="28"/>
          <w:highlight w:val="none"/>
          <w:u w:val="single"/>
          <w:lang w:eastAsia="zh-CN"/>
        </w:rPr>
      </w:r>
      <w:r/>
    </w:p>
    <w:p>
      <w:pPr>
        <w:pStyle w:val="1104"/>
        <w:spacing w:after="200"/>
        <w:rPr>
          <w:rStyle w:val="931"/>
          <w:rFonts w:hint="eastAsia" w:ascii="宋体" w:hAnsi="宋体" w:eastAsia="宋体" w:cs="宋体"/>
          <w:color w:val="000000"/>
          <w:sz w:val="32"/>
          <w:szCs w:val="28"/>
        </w:rPr>
      </w:pPr>
      <w:r>
        <w:rPr>
          <w:rStyle w:val="931"/>
          <w:rFonts w:hint="eastAsia" w:ascii="宋体" w:hAnsi="宋体" w:eastAsia="宋体" w:cs="宋体"/>
          <w:color w:val="000000"/>
          <w:sz w:val="32"/>
          <w:szCs w:val="28"/>
        </w:rPr>
      </w:r>
      <w:r/>
    </w:p>
    <w:p>
      <w:pPr>
        <w:pStyle w:val="1104"/>
        <w:ind w:firstLine="320"/>
        <w:spacing w:after="200"/>
        <w:rPr>
          <w:rFonts w:hint="eastAsia" w:ascii="宋体" w:hAnsi="宋体" w:eastAsia="宋体" w:cs="宋体"/>
        </w:rPr>
      </w:pPr>
      <w:r>
        <w:rPr>
          <w:rStyle w:val="931"/>
          <w:rFonts w:hint="eastAsia" w:ascii="宋体" w:hAnsi="宋体" w:eastAsia="宋体" w:cs="宋体"/>
          <w:color w:val="000000"/>
          <w:sz w:val="32"/>
          <w:szCs w:val="28"/>
        </w:rPr>
        <w:t xml:space="preserve">项  目  地  点：</w:t>
      </w:r>
      <w:r>
        <w:rPr>
          <w:rStyle w:val="931"/>
          <w:rFonts w:hint="eastAsia" w:ascii="宋体" w:hAnsi="宋体" w:eastAsia="宋体" w:cs="宋体"/>
          <w:color w:val="000000"/>
          <w:sz w:val="28"/>
          <w:szCs w:val="28"/>
          <w:u w:val="single"/>
        </w:rPr>
        <w:t xml:space="preserve">             </w:t>
      </w:r>
      <w:r>
        <w:rPr>
          <w:rStyle w:val="931"/>
          <w:rFonts w:hint="eastAsia" w:ascii="宋体" w:hAnsi="宋体" w:eastAsia="宋体" w:cs="宋体"/>
          <w:color w:val="000000"/>
          <w:sz w:val="28"/>
          <w:szCs w:val="28"/>
          <w:u w:val="single"/>
          <w:lang w:val="en-US" w:eastAsia="zh-CN"/>
        </w:rPr>
        <w:t xml:space="preserve">苏宿园区</w:t>
      </w:r>
      <w:r>
        <w:rPr>
          <w:rStyle w:val="931"/>
          <w:rFonts w:hint="eastAsia" w:ascii="宋体" w:hAnsi="宋体" w:eastAsia="宋体" w:cs="宋体"/>
          <w:color w:val="000000"/>
          <w:sz w:val="28"/>
          <w:szCs w:val="28"/>
          <w:u w:val="single"/>
        </w:rPr>
        <w:t xml:space="preserve">            </w:t>
      </w:r>
      <w:r>
        <w:rPr>
          <w:rFonts w:hint="eastAsia" w:ascii="宋体" w:hAnsi="宋体" w:eastAsia="宋体" w:cs="宋体"/>
        </w:rPr>
      </w:r>
      <w:r/>
    </w:p>
    <w:p>
      <w:pPr>
        <w:pStyle w:val="1104"/>
        <w:spacing w:after="200"/>
        <w:rPr>
          <w:rStyle w:val="931"/>
          <w:rFonts w:hint="eastAsia" w:ascii="宋体" w:hAnsi="宋体" w:eastAsia="宋体" w:cs="宋体"/>
          <w:color w:val="000000"/>
          <w:sz w:val="32"/>
          <w:szCs w:val="28"/>
          <w:highlight w:val="none"/>
        </w:rPr>
      </w:pPr>
      <w:r>
        <w:rPr>
          <w:rStyle w:val="931"/>
          <w:rFonts w:hint="eastAsia" w:ascii="宋体" w:hAnsi="宋体" w:eastAsia="宋体" w:cs="宋体"/>
          <w:color w:val="000000"/>
          <w:sz w:val="32"/>
          <w:szCs w:val="28"/>
          <w:highlight w:val="none"/>
        </w:rPr>
      </w:r>
      <w:r/>
    </w:p>
    <w:p>
      <w:pPr>
        <w:pStyle w:val="1104"/>
        <w:ind w:firstLine="320"/>
        <w:spacing w:after="200"/>
        <w:rPr>
          <w:rStyle w:val="931"/>
          <w:rFonts w:hint="eastAsia" w:ascii="宋体" w:hAnsi="宋体" w:eastAsia="宋体" w:cs="宋体"/>
          <w:color w:val="000000"/>
          <w:sz w:val="28"/>
          <w:szCs w:val="28"/>
          <w:highlight w:val="none"/>
          <w:u w:val="single"/>
        </w:rPr>
      </w:pPr>
      <w:r>
        <w:rPr>
          <w:rStyle w:val="931"/>
          <w:rFonts w:hint="eastAsia" w:ascii="宋体" w:hAnsi="宋体" w:eastAsia="宋体" w:cs="宋体"/>
          <w:color w:val="000000"/>
          <w:sz w:val="32"/>
          <w:szCs w:val="28"/>
          <w:highlight w:val="none"/>
        </w:rPr>
        <w:t xml:space="preserve">甲          方：</w:t>
      </w:r>
      <w:r>
        <w:rPr>
          <w:rStyle w:val="931"/>
          <w:rFonts w:hint="eastAsia" w:ascii="宋体" w:hAnsi="宋体" w:eastAsia="宋体" w:cs="宋体"/>
          <w:color w:val="000000"/>
          <w:sz w:val="28"/>
          <w:szCs w:val="28"/>
          <w:highlight w:val="none"/>
          <w:u w:val="single"/>
          <w:lang w:eastAsia="zh-CN"/>
        </w:rPr>
        <w:t xml:space="preserve">苏州宿迁工业园区社会保险基金管理中心</w:t>
      </w:r>
      <w:r>
        <w:rPr>
          <w:rStyle w:val="931"/>
          <w:rFonts w:hint="eastAsia" w:ascii="宋体" w:hAnsi="宋体" w:eastAsia="宋体" w:cs="宋体"/>
          <w:color w:val="000000"/>
          <w:sz w:val="28"/>
          <w:szCs w:val="28"/>
          <w:highlight w:val="none"/>
          <w:u w:val="single"/>
        </w:rPr>
      </w:r>
      <w:r/>
    </w:p>
    <w:p>
      <w:pPr>
        <w:pStyle w:val="1104"/>
        <w:spacing w:after="200"/>
        <w:rPr>
          <w:rStyle w:val="931"/>
          <w:rFonts w:hint="eastAsia" w:ascii="宋体" w:hAnsi="宋体" w:eastAsia="宋体" w:cs="宋体"/>
          <w:color w:val="000000"/>
          <w:sz w:val="32"/>
          <w:szCs w:val="28"/>
          <w:highlight w:val="none"/>
        </w:rPr>
      </w:pPr>
      <w:r>
        <w:rPr>
          <w:rStyle w:val="931"/>
          <w:rFonts w:hint="eastAsia" w:ascii="宋体" w:hAnsi="宋体" w:eastAsia="宋体" w:cs="宋体"/>
          <w:color w:val="000000"/>
          <w:sz w:val="32"/>
          <w:szCs w:val="28"/>
          <w:highlight w:val="none"/>
        </w:rPr>
      </w:r>
      <w:r/>
    </w:p>
    <w:p>
      <w:pPr>
        <w:pStyle w:val="1104"/>
        <w:ind w:firstLine="320"/>
        <w:spacing w:after="200"/>
        <w:rPr>
          <w:rStyle w:val="931"/>
          <w:rFonts w:hint="eastAsia" w:ascii="宋体" w:hAnsi="宋体" w:eastAsia="宋体" w:cs="宋体"/>
          <w:color w:val="000000"/>
          <w:sz w:val="28"/>
          <w:szCs w:val="28"/>
          <w:highlight w:val="none"/>
          <w:u w:val="single"/>
        </w:rPr>
      </w:pPr>
      <w:r>
        <w:rPr>
          <w:rStyle w:val="931"/>
          <w:rFonts w:hint="eastAsia" w:ascii="宋体" w:hAnsi="宋体" w:eastAsia="宋体" w:cs="宋体"/>
          <w:color w:val="000000"/>
          <w:sz w:val="32"/>
          <w:szCs w:val="28"/>
          <w:highlight w:val="none"/>
        </w:rPr>
        <w:t xml:space="preserve">乙          方：</w:t>
      </w:r>
      <w:r>
        <w:rPr>
          <w:rStyle w:val="931"/>
          <w:rFonts w:hint="eastAsia" w:ascii="宋体" w:hAnsi="宋体" w:eastAsia="宋体" w:cs="宋体"/>
          <w:color w:val="000000"/>
          <w:sz w:val="32"/>
          <w:szCs w:val="28"/>
          <w:highlight w:val="none"/>
          <w:u w:val="single"/>
        </w:rPr>
        <w:t xml:space="preserve">     </w:t>
      </w:r>
      <w:r>
        <w:rPr>
          <w:rStyle w:val="931"/>
          <w:rFonts w:hint="eastAsia" w:ascii="宋体" w:hAnsi="宋体" w:eastAsia="宋体" w:cs="宋体"/>
          <w:color w:val="000000"/>
          <w:sz w:val="28"/>
          <w:szCs w:val="28"/>
          <w:highlight w:val="none"/>
          <w:u w:val="single"/>
        </w:rPr>
        <w:t xml:space="preserve">                             </w:t>
      </w:r>
      <w:r>
        <w:rPr>
          <w:rStyle w:val="931"/>
          <w:rFonts w:hint="eastAsia" w:ascii="宋体" w:hAnsi="宋体" w:eastAsia="宋体" w:cs="宋体"/>
          <w:color w:val="000000"/>
          <w:sz w:val="28"/>
          <w:szCs w:val="28"/>
          <w:highlight w:val="none"/>
          <w:u w:val="single"/>
        </w:rPr>
      </w:r>
      <w:r/>
    </w:p>
    <w:p>
      <w:pPr>
        <w:pStyle w:val="1104"/>
        <w:spacing w:after="200"/>
        <w:rPr>
          <w:rStyle w:val="931"/>
          <w:rFonts w:hint="eastAsia" w:ascii="宋体" w:hAnsi="宋体" w:eastAsia="宋体" w:cs="宋体"/>
          <w:color w:val="000000"/>
          <w:sz w:val="24"/>
          <w:highlight w:val="none"/>
          <w:u w:val="single"/>
        </w:rPr>
      </w:pPr>
      <w:r>
        <w:rPr>
          <w:rStyle w:val="931"/>
          <w:rFonts w:hint="eastAsia" w:ascii="宋体" w:hAnsi="宋体" w:eastAsia="宋体" w:cs="宋体"/>
          <w:color w:val="000000"/>
          <w:sz w:val="24"/>
          <w:highlight w:val="none"/>
          <w:u w:val="single"/>
        </w:rPr>
      </w:r>
      <w:r/>
    </w:p>
    <w:p>
      <w:pPr>
        <w:pStyle w:val="1104"/>
        <w:jc w:val="center"/>
        <w:spacing w:after="200"/>
        <w:rPr>
          <w:rStyle w:val="931"/>
          <w:rFonts w:hint="eastAsia" w:ascii="宋体" w:hAnsi="宋体" w:eastAsia="宋体" w:cs="宋体"/>
          <w:color w:val="000000"/>
          <w:sz w:val="28"/>
          <w:szCs w:val="28"/>
          <w:highlight w:val="none"/>
        </w:rPr>
      </w:pPr>
      <w:r>
        <w:rPr>
          <w:rStyle w:val="931"/>
          <w:rFonts w:hint="eastAsia" w:ascii="宋体" w:hAnsi="宋体" w:eastAsia="宋体" w:cs="宋体"/>
          <w:color w:val="000000"/>
          <w:sz w:val="28"/>
          <w:szCs w:val="28"/>
          <w:highlight w:val="none"/>
        </w:rPr>
        <w:t xml:space="preserve">签订日期：      年    月   日</w:t>
      </w:r>
      <w:r>
        <w:rPr>
          <w:rStyle w:val="931"/>
          <w:rFonts w:hint="eastAsia" w:ascii="宋体" w:hAnsi="宋体" w:eastAsia="宋体" w:cs="宋体"/>
          <w:color w:val="000000"/>
          <w:sz w:val="28"/>
          <w:szCs w:val="28"/>
          <w:highlight w:val="none"/>
        </w:rPr>
      </w:r>
      <w:r/>
    </w:p>
    <w:p>
      <w:pPr>
        <w:pStyle w:val="92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1"/>
        <w:jc w:val="center"/>
        <w:spacing w:before="156" w:after="156"/>
        <w:rPr>
          <w:rFonts w:hint="eastAsia" w:ascii="宋体" w:hAnsi="宋体" w:eastAsia="宋体" w:cs="宋体"/>
          <w:b/>
          <w:bCs/>
          <w:sz w:val="30"/>
          <w:szCs w:val="20"/>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政府采购合同</w:t>
      </w:r>
      <w:r>
        <w:rPr>
          <w:rFonts w:hint="eastAsia" w:ascii="宋体" w:hAnsi="宋体" w:eastAsia="宋体" w:cs="宋体"/>
          <w:b/>
          <w:bCs/>
          <w:sz w:val="30"/>
          <w:szCs w:val="20"/>
        </w:rPr>
      </w:r>
      <w:r/>
    </w:p>
    <w:p>
      <w:pPr>
        <w:pStyle w:val="921"/>
        <w:ind w:firstLine="480"/>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lang w:val="en-US" w:eastAsia="zh-CN"/>
        </w:rPr>
        <w:t xml:space="preserve">苏宿园区职工医保长期护理保险承办机构采购</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21"/>
        <w:ind w:firstLine="480"/>
        <w:spacing w:before="120" w:after="120"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ind w:firstLine="480"/>
        <w:spacing w:before="120" w:after="120"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甲方：（买方）</w:t>
      </w:r>
      <w:r>
        <w:rPr>
          <w:rFonts w:hint="eastAsia" w:ascii="宋体" w:hAnsi="宋体" w:eastAsia="宋体" w:cs="宋体"/>
          <w:sz w:val="24"/>
          <w:szCs w:val="24"/>
          <w:u w:val="single"/>
          <w:lang w:eastAsia="zh-CN"/>
        </w:rPr>
        <w:t xml:space="preserve">苏州宿迁工业园区社会保险基金管理中心</w:t>
      </w:r>
      <w:r>
        <w:rPr>
          <w:rFonts w:hint="eastAsia" w:ascii="宋体" w:hAnsi="宋体" w:eastAsia="宋体" w:cs="宋体"/>
          <w:sz w:val="24"/>
          <w:szCs w:val="24"/>
          <w:lang w:eastAsia="zh-CN"/>
        </w:rPr>
      </w:r>
      <w:r/>
    </w:p>
    <w:p>
      <w:pPr>
        <w:pStyle w:val="921"/>
        <w:ind w:firstLine="480"/>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t xml:space="preserve">乙方：（卖方）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21"/>
        <w:ind w:firstLine="480"/>
        <w:spacing w:before="120" w:after="120" w:line="480" w:lineRule="exact"/>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中华人民共和国政府采购法》等有关的法律法规，以及本采购项目采购文件、乙方的《投标（响应）文件》及《中标（成交）通知书》，甲乙双方同意签订本合同。具体情况及要求如下：</w:t>
      </w:r>
      <w:r>
        <w:rPr>
          <w:rFonts w:hint="eastAsia" w:ascii="宋体" w:hAnsi="宋体" w:eastAsia="宋体" w:cs="宋体"/>
          <w:sz w:val="24"/>
          <w:szCs w:val="24"/>
        </w:rPr>
      </w:r>
      <w:r/>
    </w:p>
    <w:p>
      <w:pPr>
        <w:pStyle w:val="921"/>
        <w:ind w:firstLine="482"/>
        <w:keepLines w:val="0"/>
        <w:keepNext w:val="0"/>
        <w:pageBreakBefore w:val="0"/>
        <w:spacing w:before="120" w:after="120" w:line="4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rPr>
          <w:rFonts w:hint="eastAsia" w:ascii="宋体" w:hAnsi="宋体" w:eastAsia="宋体" w:cs="宋体"/>
          <w:b/>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1.1 标的名称：</w:t>
      </w:r>
      <w:r>
        <w:rPr>
          <w:rFonts w:hint="eastAsia" w:ascii="宋体" w:hAnsi="宋体" w:eastAsia="宋体" w:cs="宋体"/>
          <w:sz w:val="24"/>
          <w:szCs w:val="24"/>
          <w:lang w:eastAsia="zh-CN"/>
        </w:rPr>
        <w:t xml:space="preserve">苏宿园区职工医保长期护理保险承办机构采购</w:t>
      </w:r>
      <w:r>
        <w:rPr>
          <w:rFonts w:hint="eastAsia" w:ascii="宋体" w:hAnsi="宋体" w:eastAsia="宋体" w:cs="宋体"/>
          <w:sz w:val="24"/>
          <w:szCs w:val="24"/>
          <w:lang w:eastAsia="zh-CN"/>
        </w:rPr>
      </w:r>
      <w:r/>
    </w:p>
    <w:p>
      <w:pPr>
        <w:pStyle w:val="921"/>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项目概述</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00" w:lineRule="exact"/>
        <w:widowControl w:val="off"/>
        <w:rPr>
          <w:rFonts w:hint="eastAsia" w:ascii="宋体" w:hAnsi="宋体" w:eastAsia="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为贯彻落实党的二十大关于建立长期护理保险制度的决策部署，根据《市政府关于建立长期护理保险制度的实施意见》（宿政规发〔2023〕6号）要求，</w:t>
      </w:r>
      <w:r>
        <w:rPr>
          <w:rFonts w:hint="eastAsia" w:ascii="宋体" w:hAnsi="宋体" w:eastAsia="宋体" w:cs="宋体"/>
          <w:color w:val="000000"/>
          <w:sz w:val="24"/>
          <w:szCs w:val="24"/>
          <w:highlight w:val="none"/>
          <w:lang w:val="en-US" w:eastAsia="zh-CN"/>
        </w:rPr>
        <w:t xml:space="preserve">苏宿园区实施职工医保长期护理保险制度</w:t>
      </w:r>
      <w:r>
        <w:rPr>
          <w:rFonts w:hint="eastAsia" w:ascii="宋体" w:hAnsi="宋体" w:eastAsia="宋体" w:cs="宋体"/>
          <w:color w:val="000000"/>
          <w:sz w:val="24"/>
          <w:szCs w:val="24"/>
          <w:highlight w:val="none"/>
        </w:rPr>
        <w:t xml:space="preserve">。由于各期参保人数中途可能发生变动，</w:t>
      </w:r>
      <w:r>
        <w:rPr>
          <w:rFonts w:hint="eastAsia" w:ascii="宋体" w:hAnsi="宋体" w:eastAsia="宋体" w:cs="宋体"/>
          <w:color w:val="000000"/>
          <w:sz w:val="24"/>
          <w:szCs w:val="24"/>
          <w:highlight w:val="none"/>
          <w:lang w:val="en-US" w:eastAsia="zh-CN"/>
        </w:rPr>
        <w:t xml:space="preserve">年度保费</w:t>
      </w:r>
      <w:r>
        <w:rPr>
          <w:rFonts w:hint="eastAsia" w:ascii="宋体" w:hAnsi="宋体" w:eastAsia="宋体" w:cs="宋体"/>
          <w:color w:val="000000"/>
          <w:sz w:val="24"/>
          <w:szCs w:val="24"/>
          <w:highlight w:val="none"/>
        </w:rPr>
        <w:t xml:space="preserve">以各期实际划拨的保费为准。</w:t>
      </w:r>
      <w:r>
        <w:rPr>
          <w:rFonts w:hint="eastAsia" w:ascii="宋体" w:hAnsi="宋体" w:eastAsia="宋体" w:cs="宋体"/>
          <w:color w:val="000000"/>
          <w:sz w:val="24"/>
          <w:szCs w:val="24"/>
          <w:highlight w:val="yellow"/>
        </w:rPr>
      </w:r>
      <w:r/>
    </w:p>
    <w:p>
      <w:pPr>
        <w:pStyle w:val="921"/>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（二）基本原则</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坚持以人为本，着力解决重度失能人员长期护理保障问题。</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坚持独立运行，独立险种，独立设计，统筹推进。</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坚持保障基本，低水平起步，以收定支，合理确定保障范围和待遇标准。</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坚持责任分担，遵循权利义务对等，多渠道筹资，合理划分筹资责任和保障责任。</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坚持市级统筹，全市统一待遇政策、统一基金管理、统一经办管理、统一信息系统、统一监督管理。</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（三）筹资标准</w:t>
      </w:r>
      <w:r>
        <w:rPr>
          <w:rFonts w:hint="eastAsia" w:ascii="宋体" w:hAnsi="宋体" w:eastAsia="宋体" w:cs="宋体"/>
          <w:color w:val="000000"/>
          <w:sz w:val="24"/>
          <w:szCs w:val="24"/>
          <w:highlight w:val="none"/>
          <w:lang w:eastAsia="zh-CN"/>
        </w:rPr>
      </w:r>
      <w:r/>
    </w:p>
    <w:p>
      <w:pPr>
        <w:pStyle w:val="921"/>
        <w:ind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长护险筹资标准：基金由个人缴费、职工基本医保统筹基金划拨两部分组成，其中个人缴费标准为每人每年20元、医保统筹基金划拨每人每年</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元。企事业单位、慈善机构等社会团体和个人给予捐助的资金，纳入长护险基金管理。</w:t>
      </w:r>
      <w:r>
        <w:rPr>
          <w:rFonts w:hint="eastAsia" w:ascii="宋体" w:hAnsi="宋体" w:eastAsia="宋体" w:cs="宋体"/>
          <w:color w:val="000000"/>
          <w:sz w:val="24"/>
          <w:szCs w:val="24"/>
          <w:highlight w:val="none"/>
          <w:lang w:val="en-US" w:eastAsia="zh-CN"/>
        </w:rPr>
        <w:t xml:space="preserve">个人缴纳部分，每年1月底前由经办机构从职工医保个人账户中一次性划转当年度参保费用。个人账户资金余额不足时，从次月账户划入额度中抵扣。年度内新增或中断后续保人员，在首次个人账户划拨时，按全年标准一次缴清当年费用。参加职工医保的灵活就业人员，参照在职职工执行。</w:t>
      </w:r>
      <w:r>
        <w:rPr>
          <w:rFonts w:hint="eastAsia" w:ascii="宋体" w:hAnsi="宋体" w:eastAsia="宋体" w:cs="宋体"/>
          <w:color w:val="000000"/>
          <w:sz w:val="24"/>
          <w:szCs w:val="24"/>
          <w:highlight w:val="none"/>
          <w:lang w:eastAsia="zh-CN"/>
        </w:rPr>
      </w:r>
      <w:r/>
    </w:p>
    <w:p>
      <w:pPr>
        <w:pStyle w:val="921"/>
        <w:ind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医保统筹基金筹集部分，每年按照参加长护险的人数列入基金支出预算，年初划入长护险基金专户。</w:t>
      </w:r>
      <w:r>
        <w:rPr>
          <w:rFonts w:hint="eastAsia" w:ascii="宋体" w:hAnsi="宋体" w:eastAsia="宋体" w:cs="宋体"/>
          <w:color w:val="000000"/>
          <w:sz w:val="24"/>
          <w:szCs w:val="24"/>
          <w:highlight w:val="none"/>
          <w:lang w:eastAsia="zh-CN"/>
        </w:rPr>
      </w:r>
      <w:r/>
    </w:p>
    <w:p>
      <w:pPr>
        <w:pStyle w:val="921"/>
        <w:ind w:firstLine="480"/>
        <w:keepLines w:val="0"/>
        <w:keepNext w:val="0"/>
        <w:pageBreakBefore w:val="0"/>
        <w:spacing w:line="400" w:lineRule="exact"/>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由于各期参保人数中途可能发生变动，以各期实际划拨的保费为准。</w:t>
      </w:r>
      <w:r>
        <w:rPr>
          <w:rFonts w:hint="eastAsia" w:ascii="宋体" w:hAnsi="宋体" w:eastAsia="宋体" w:cs="宋体"/>
          <w:lang w:eastAsia="zh-CN"/>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t xml:space="preserve">1.2 标的质量：必须按照国家、省和市有关标准和要求开展工作，无国家标准的应符合行业标准或企业标准，并满足</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文件要求，实现投标响应文件承诺条款，如存在标准不一致现象按最高标准执行。 </w:t>
      </w:r>
      <w:r>
        <w:rPr>
          <w:rFonts w:hint="eastAsia" w:ascii="宋体" w:hAnsi="宋体" w:eastAsia="宋体" w:cs="宋体"/>
          <w:sz w:val="24"/>
          <w:szCs w:val="24"/>
        </w:rPr>
      </w:r>
      <w:r/>
    </w:p>
    <w:p>
      <w:pPr>
        <w:pStyle w:val="921"/>
        <w:ind w:firstLine="480"/>
        <w:keepLines w:val="0"/>
        <w:keepNext w:val="0"/>
        <w:pageBreakBefore w:val="0"/>
        <w:spacing w:before="120" w:after="12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履行时间（期限）：</w:t>
      </w:r>
      <w:r>
        <w:rPr>
          <w:rFonts w:hint="eastAsia" w:ascii="宋体" w:hAnsi="宋体" w:eastAsia="宋体" w:cs="宋体"/>
          <w:color w:val="000000"/>
          <w:sz w:val="24"/>
          <w:szCs w:val="24"/>
          <w:highlight w:val="none"/>
        </w:rPr>
      </w:r>
      <w:r/>
    </w:p>
    <w:p>
      <w:pPr>
        <w:pStyle w:val="921"/>
        <w:ind w:firstLine="480"/>
        <w:keepLines w:val="0"/>
        <w:keepNext w:val="0"/>
        <w:pageBreakBefore w:val="0"/>
        <w:spacing w:before="120" w:after="12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自合同签订并生效之日起算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1"/>
        <w:ind w:firstLine="480"/>
        <w:keepLines w:val="0"/>
        <w:keepNext w:val="0"/>
        <w:pageBreakBefore w:val="0"/>
        <w:spacing w:before="120" w:after="12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采购合同一年一签，甲方根据供应商服务质量进行综合评定，确定是否进行下一年度合同签订。因考核不合格或政策、经办管理模式发生重大变化等原因，甲方有权单方面终止服务合同，乙方应无条件服从。</w:t>
      </w:r>
      <w:r>
        <w:rPr>
          <w:rFonts w:hint="eastAsia" w:ascii="宋体" w:hAnsi="宋体" w:eastAsia="宋体" w:cs="宋体"/>
          <w:color w:val="000000"/>
          <w:sz w:val="24"/>
          <w:szCs w:val="24"/>
          <w:highlight w:val="none"/>
        </w:rPr>
      </w:r>
      <w:r/>
    </w:p>
    <w:p>
      <w:pPr>
        <w:pStyle w:val="921"/>
        <w:ind w:firstLine="480"/>
        <w:keepLines w:val="0"/>
        <w:keepNext w:val="0"/>
        <w:pageBreakBefore w:val="0"/>
        <w:spacing w:before="120" w:after="12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履行地点：甲方指定地点。</w:t>
      </w:r>
      <w:r>
        <w:rPr>
          <w:rFonts w:hint="eastAsia" w:ascii="宋体" w:hAnsi="宋体" w:eastAsia="宋体" w:cs="宋体"/>
          <w:color w:val="000000"/>
          <w:sz w:val="24"/>
          <w:szCs w:val="24"/>
          <w:highlight w:val="none"/>
        </w:rPr>
      </w:r>
      <w:r/>
    </w:p>
    <w:p>
      <w:pPr>
        <w:pStyle w:val="921"/>
        <w:ind w:firstLine="480"/>
        <w:keepLines w:val="0"/>
        <w:keepNext w:val="0"/>
        <w:pageBreakBefore w:val="0"/>
        <w:spacing w:before="120" w:after="12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履行方式：按照采购文件和投标响应文件及合同约定履行，全面服从甲方工作安排及要求。</w:t>
      </w:r>
      <w:r>
        <w:rPr>
          <w:rFonts w:hint="eastAsia" w:ascii="宋体" w:hAnsi="宋体" w:eastAsia="宋体" w:cs="宋体"/>
          <w:color w:val="000000"/>
          <w:sz w:val="24"/>
          <w:szCs w:val="24"/>
          <w:highlight w:val="none"/>
        </w:rPr>
      </w:r>
      <w:r/>
    </w:p>
    <w:p>
      <w:pPr>
        <w:pStyle w:val="921"/>
        <w:ind w:firstLine="482"/>
        <w:keepLines w:val="0"/>
        <w:keepNext w:val="0"/>
        <w:pageBreakBefore w:val="0"/>
        <w:spacing w:before="120" w:after="120"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b/>
          <w:color w:val="000000"/>
          <w:sz w:val="24"/>
          <w:szCs w:val="24"/>
          <w:highlight w:val="none"/>
        </w:rPr>
      </w:r>
      <w:r/>
    </w:p>
    <w:p>
      <w:pPr>
        <w:pStyle w:val="921"/>
        <w:ind w:firstLine="480"/>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2.1 </w:t>
      </w:r>
      <w:r>
        <w:rPr>
          <w:rFonts w:hint="eastAsia" w:ascii="宋体" w:hAnsi="宋体" w:eastAsia="宋体" w:cs="宋体"/>
          <w:color w:val="000000"/>
          <w:sz w:val="24"/>
          <w:szCs w:val="24"/>
          <w:highlight w:val="none"/>
          <w:lang w:val="en-US" w:eastAsia="zh-CN"/>
        </w:rPr>
        <w:t xml:space="preserve">中标承办服务费：</w:t>
      </w:r>
      <w:r>
        <w:rPr>
          <w:rFonts w:hint="eastAsia" w:ascii="宋体" w:hAnsi="宋体" w:eastAsia="宋体" w:cs="宋体"/>
          <w:b w:val="0"/>
          <w:bCs w:val="0"/>
          <w:color w:val="000000"/>
          <w:sz w:val="24"/>
          <w:szCs w:val="24"/>
          <w:highlight w:val="none"/>
          <w:lang w:val="en-US" w:eastAsia="zh-CN"/>
        </w:rPr>
        <w:t xml:space="preserve">每年每个参保人员</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val="en-US" w:eastAsia="zh-CN"/>
        </w:rPr>
        <w:t xml:space="preserve">元计提（参保人数以市医保提供数据为准）</w:t>
      </w:r>
      <w:r>
        <w:rPr>
          <w:rFonts w:hint="eastAsia" w:ascii="宋体" w:hAnsi="宋体" w:eastAsia="宋体" w:cs="宋体"/>
          <w:color w:val="000000"/>
          <w:sz w:val="24"/>
          <w:szCs w:val="24"/>
          <w:highlight w:val="none"/>
          <w:lang w:val="en-US" w:eastAsia="zh-CN"/>
        </w:rPr>
      </w:r>
      <w:r/>
    </w:p>
    <w:p>
      <w:pPr>
        <w:pStyle w:val="921"/>
        <w:ind w:firstLine="480"/>
        <w:jc w:val="left"/>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注：最终服务量以实际发生为准，本项目每年最高支付</w:t>
      </w:r>
      <w:r>
        <w:rPr>
          <w:rFonts w:hint="eastAsia" w:ascii="宋体" w:hAnsi="宋体" w:eastAsia="宋体" w:cs="宋体"/>
          <w:color w:val="000000"/>
          <w:sz w:val="24"/>
          <w:szCs w:val="24"/>
          <w:highlight w:val="none"/>
          <w:lang w:val="en-US" w:eastAsia="zh-CN"/>
        </w:rPr>
        <w:t xml:space="preserve">76万元。</w:t>
      </w:r>
      <w:r>
        <w:rPr>
          <w:rFonts w:hint="eastAsia" w:ascii="宋体" w:hAnsi="宋体" w:eastAsia="宋体" w:cs="宋体"/>
          <w:color w:val="000000"/>
          <w:sz w:val="24"/>
          <w:szCs w:val="24"/>
          <w:highlight w:val="none"/>
          <w:lang w:val="en-US" w:eastAsia="zh-CN"/>
        </w:rPr>
      </w:r>
      <w:r/>
    </w:p>
    <w:p>
      <w:pPr>
        <w:pStyle w:val="921"/>
        <w:ind w:firstLine="482"/>
        <w:keepLines w:val="0"/>
        <w:keepNext w:val="0"/>
        <w:pageBreakBefore w:val="0"/>
        <w:spacing w:before="120" w:after="120" w:line="400" w:lineRule="exact"/>
        <w:rPr>
          <w:rFonts w:hint="eastAsia" w:ascii="宋体" w:hAnsi="宋体" w:eastAsia="宋体" w:cs="宋体"/>
          <w:b/>
          <w:sz w:val="24"/>
          <w:szCs w:val="24"/>
        </w:rPr>
      </w:pPr>
      <w:r>
        <w:rPr>
          <w:rFonts w:hint="eastAsia" w:ascii="宋体" w:hAnsi="宋体" w:eastAsia="宋体" w:cs="宋体"/>
          <w:b/>
          <w:sz w:val="24"/>
          <w:szCs w:val="24"/>
        </w:rPr>
        <w:t xml:space="preserve">三、技术资料</w:t>
      </w:r>
      <w:r>
        <w:rPr>
          <w:rFonts w:hint="eastAsia" w:ascii="宋体" w:hAnsi="宋体" w:eastAsia="宋体" w:cs="宋体"/>
          <w:b/>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t xml:space="preserve">3.1乙方应按</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文件规定的时间向甲方提供与合同标的有关的技术资料。</w:t>
      </w:r>
      <w:r>
        <w:rPr>
          <w:rFonts w:hint="eastAsia" w:ascii="宋体" w:hAnsi="宋体" w:eastAsia="宋体" w:cs="宋体"/>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以及本合同成果资料（以下简称“保密信息”）提供给与履行本合同无关的任何其他人或将前述资料用于本合同履行之外的目的。即使向履行本合同有关的人员提供，也应注意保密并限于履行合同的必需范围。</w:t>
      </w:r>
      <w:r>
        <w:rPr>
          <w:rFonts w:hint="eastAsia" w:ascii="宋体" w:hAnsi="宋体" w:eastAsia="宋体" w:cs="宋体"/>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t xml:space="preserve">3.3 乙方员工、合作伙伴等凡是有机会接触到保密信息的主体，含自然人和法人，均负有前述保密义务，乙方应当采取充足措施保障前述主体履行保密义务，否则视为乙方违反保密义务。乙方违反保密规定的，应向甲方支付合同总金额30%的违约金，并赔偿由此给甲方造成的一切损失。同时甲方有权立即解除本合同。</w:t>
      </w:r>
      <w:r>
        <w:rPr>
          <w:rFonts w:hint="eastAsia" w:ascii="宋体" w:hAnsi="宋体" w:eastAsia="宋体" w:cs="宋体"/>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t xml:space="preserve">3.4 无论合同是否成立、生效、变更、解除或终止，本合同保密条款不受其限制而继续有效，乙方都应继续承担保密条款约定的保密义务及责任，保密期限直至相关保密信息公开为止。</w:t>
      </w:r>
      <w:r>
        <w:rPr>
          <w:rFonts w:hint="eastAsia" w:ascii="宋体" w:hAnsi="宋体" w:eastAsia="宋体" w:cs="宋体"/>
          <w:sz w:val="24"/>
          <w:szCs w:val="24"/>
        </w:rPr>
      </w:r>
      <w:r/>
    </w:p>
    <w:p>
      <w:pPr>
        <w:pStyle w:val="921"/>
        <w:ind w:firstLine="482"/>
        <w:keepLines w:val="0"/>
        <w:keepNext w:val="0"/>
        <w:pageBreakBefore w:val="0"/>
        <w:spacing w:before="120" w:after="120" w:line="400" w:lineRule="exact"/>
        <w:rPr>
          <w:rFonts w:hint="eastAsia" w:ascii="宋体" w:hAnsi="宋体" w:eastAsia="宋体" w:cs="宋体"/>
          <w:b/>
          <w:sz w:val="24"/>
          <w:szCs w:val="24"/>
        </w:rPr>
      </w:pPr>
      <w:r>
        <w:rPr>
          <w:rFonts w:hint="eastAsia" w:ascii="宋体" w:hAnsi="宋体" w:eastAsia="宋体" w:cs="宋体"/>
          <w:b/>
          <w:sz w:val="24"/>
          <w:szCs w:val="24"/>
        </w:rPr>
        <w:t xml:space="preserve">四、知识产权</w:t>
      </w:r>
      <w:r>
        <w:rPr>
          <w:rFonts w:hint="eastAsia" w:ascii="宋体" w:hAnsi="宋体" w:eastAsia="宋体" w:cs="宋体"/>
          <w:b/>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甲方因此受到损失的，乙方应当足额赔偿。</w:t>
      </w:r>
      <w:r>
        <w:rPr>
          <w:rFonts w:hint="eastAsia" w:ascii="宋体" w:hAnsi="宋体" w:eastAsia="宋体" w:cs="宋体"/>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t xml:space="preserve">4.2乙方因提供本合同的约定服务而产出的数据、报告等服务成果的知识产权归【甲方】所有，未经甲方书面同意，乙方不得擅自使用或授权给任何第三人使用。乙方违反本条约定的，应向甲方支付本合同总金额的30%的违约金，给甲方造成损失的，乙方应赔偿甲方一切损失。</w:t>
      </w:r>
      <w:r>
        <w:rPr>
          <w:rFonts w:hint="eastAsia" w:ascii="宋体" w:hAnsi="宋体" w:eastAsia="宋体" w:cs="宋体"/>
          <w:sz w:val="24"/>
          <w:szCs w:val="24"/>
        </w:rPr>
      </w:r>
      <w:r/>
    </w:p>
    <w:p>
      <w:pPr>
        <w:pStyle w:val="921"/>
        <w:ind w:firstLine="482"/>
        <w:keepLines w:val="0"/>
        <w:keepNext w:val="0"/>
        <w:pageBreakBefore w:val="0"/>
        <w:spacing w:before="120" w:after="120" w:line="400" w:lineRule="exact"/>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rPr>
          <w:rFonts w:hint="eastAsia" w:ascii="宋体" w:hAnsi="宋体" w:eastAsia="宋体" w:cs="宋体"/>
          <w:sz w:val="24"/>
          <w:szCs w:val="24"/>
          <w:u w:val="single"/>
        </w:rPr>
      </w:r>
      <w:r/>
    </w:p>
    <w:p>
      <w:pPr>
        <w:pStyle w:val="921"/>
        <w:ind w:firstLine="480"/>
        <w:keepLines w:val="0"/>
        <w:keepNext w:val="0"/>
        <w:pageBreakBefore w:val="0"/>
        <w:spacing w:before="120" w:after="120"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5.1 乙方保证所交付的合同标的的所有权完全属于乙方且无任何抵押、查封、担保等产权瑕疵和负担。</w:t>
      </w:r>
      <w:r>
        <w:rPr>
          <w:rFonts w:hint="eastAsia" w:ascii="宋体" w:hAnsi="宋体" w:eastAsia="宋体" w:cs="宋体"/>
          <w:sz w:val="24"/>
          <w:szCs w:val="24"/>
          <w:u w:val="single"/>
        </w:rPr>
      </w:r>
      <w:r/>
    </w:p>
    <w:p>
      <w:pPr>
        <w:pStyle w:val="921"/>
        <w:ind w:firstLine="482"/>
        <w:keepLines w:val="0"/>
        <w:keepNext w:val="0"/>
        <w:pageBreakBefore w:val="0"/>
        <w:spacing w:before="120" w:after="120" w:line="400" w:lineRule="exact"/>
        <w:rPr>
          <w:rFonts w:hint="eastAsia" w:ascii="宋体" w:hAnsi="宋体" w:eastAsia="宋体" w:cs="宋体"/>
          <w:b/>
          <w:sz w:val="24"/>
          <w:szCs w:val="24"/>
        </w:rPr>
      </w:pPr>
      <w:r>
        <w:rPr>
          <w:rFonts w:hint="eastAsia" w:ascii="宋体" w:hAnsi="宋体" w:eastAsia="宋体" w:cs="宋体"/>
          <w:b/>
          <w:sz w:val="24"/>
          <w:szCs w:val="24"/>
        </w:rPr>
        <w:t xml:space="preserve">六、履约保证金</w:t>
      </w:r>
      <w:r>
        <w:rPr>
          <w:rFonts w:hint="eastAsia" w:ascii="宋体" w:hAnsi="宋体" w:eastAsia="宋体" w:cs="宋体"/>
          <w:b/>
          <w:sz w:val="24"/>
          <w:szCs w:val="24"/>
        </w:rPr>
      </w:r>
      <w:r/>
    </w:p>
    <w:p>
      <w:pPr>
        <w:pStyle w:val="921"/>
        <w:ind w:firstLine="480"/>
        <w:keepLines w:val="0"/>
        <w:keepNext w:val="0"/>
        <w:pageBreakBefore w:val="0"/>
        <w:spacing w:line="400" w:lineRule="exact"/>
        <w:rPr>
          <w:rFonts w:hint="eastAsia" w:ascii="宋体" w:hAnsi="宋体" w:eastAsia="宋体" w:cs="宋体"/>
          <w:sz w:val="24"/>
          <w:highlight w:val="white"/>
        </w:rPr>
      </w:pPr>
      <w:r>
        <w:rPr>
          <w:rFonts w:hint="eastAsia" w:ascii="宋体" w:hAnsi="宋体" w:eastAsia="宋体" w:cs="宋体"/>
          <w:sz w:val="24"/>
          <w:szCs w:val="24"/>
        </w:rPr>
        <w:t xml:space="preserve">6.1 </w:t>
      </w:r>
      <w:r>
        <w:rPr>
          <w:rFonts w:hint="eastAsia" w:ascii="宋体" w:hAnsi="宋体" w:eastAsia="宋体" w:cs="宋体"/>
          <w:bCs/>
          <w:sz w:val="24"/>
        </w:rPr>
        <w:t xml:space="preserve">本项目不收取</w:t>
      </w:r>
      <w:r>
        <w:rPr>
          <w:rFonts w:hint="eastAsia" w:ascii="宋体" w:hAnsi="宋体" w:eastAsia="宋体" w:cs="宋体"/>
          <w:bCs/>
          <w:sz w:val="24"/>
          <w:lang w:val="zh-CN"/>
        </w:rPr>
        <w:t xml:space="preserve">履约保证金</w:t>
      </w:r>
      <w:r>
        <w:rPr>
          <w:rFonts w:hint="eastAsia" w:ascii="宋体" w:hAnsi="宋体" w:eastAsia="宋体" w:cs="宋体"/>
          <w:bCs/>
          <w:sz w:val="24"/>
        </w:rPr>
        <w:t xml:space="preserve">。</w:t>
      </w:r>
      <w:r>
        <w:rPr>
          <w:rFonts w:hint="eastAsia" w:ascii="宋体" w:hAnsi="宋体" w:eastAsia="宋体" w:cs="宋体"/>
          <w:sz w:val="24"/>
          <w:highlight w:val="white"/>
        </w:rPr>
      </w:r>
      <w:r/>
    </w:p>
    <w:p>
      <w:pPr>
        <w:pStyle w:val="921"/>
        <w:ind w:firstLine="482"/>
        <w:keepLines w:val="0"/>
        <w:keepNext w:val="0"/>
        <w:pageBreakBefore w:val="0"/>
        <w:spacing w:before="145" w:after="145" w:line="400" w:lineRule="exact"/>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rPr>
          <w:rFonts w:hint="eastAsia" w:ascii="宋体" w:hAnsi="宋体" w:eastAsia="宋体" w:cs="宋体"/>
          <w:b/>
          <w:sz w:val="24"/>
          <w:szCs w:val="24"/>
        </w:rPr>
      </w:r>
      <w:r/>
    </w:p>
    <w:p>
      <w:pPr>
        <w:pStyle w:val="921"/>
        <w:ind w:firstLine="480"/>
        <w:keepLines w:val="0"/>
        <w:keepNext w:val="0"/>
        <w:pageBreakBefore w:val="0"/>
        <w:spacing w:before="145" w:after="145" w:line="400" w:lineRule="exact"/>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rPr>
          <w:rFonts w:hint="eastAsia" w:ascii="宋体" w:hAnsi="宋体" w:eastAsia="宋体" w:cs="宋体"/>
          <w:sz w:val="24"/>
          <w:szCs w:val="24"/>
        </w:rPr>
      </w:r>
      <w:r/>
    </w:p>
    <w:p>
      <w:pPr>
        <w:pStyle w:val="921"/>
        <w:ind w:firstLine="480"/>
        <w:keepLines w:val="0"/>
        <w:keepNext w:val="0"/>
        <w:pageBreakBefore w:val="0"/>
        <w:spacing w:before="145" w:after="145" w:line="400" w:lineRule="exact"/>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rPr>
          <w:rFonts w:hint="eastAsia" w:ascii="宋体" w:hAnsi="宋体" w:eastAsia="宋体" w:cs="宋体"/>
          <w:sz w:val="24"/>
          <w:szCs w:val="24"/>
        </w:rPr>
      </w:r>
      <w:r/>
    </w:p>
    <w:p>
      <w:pPr>
        <w:pStyle w:val="921"/>
        <w:ind w:firstLine="480"/>
        <w:keepLines w:val="0"/>
        <w:keepNext w:val="0"/>
        <w:pageBreakBefore w:val="0"/>
        <w:spacing w:before="145" w:after="145" w:line="400" w:lineRule="exact"/>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7.3乙方如有转包或未经甲方同意的分包行为，甲方有权解除合同并要求乙方承担相应的违约责任。</w:t>
      </w:r>
      <w:r>
        <w:rPr>
          <w:rFonts w:hint="eastAsia" w:ascii="宋体" w:hAnsi="宋体" w:eastAsia="宋体" w:cs="宋体"/>
          <w:sz w:val="24"/>
          <w:szCs w:val="24"/>
        </w:rPr>
      </w:r>
      <w:r/>
    </w:p>
    <w:p>
      <w:pPr>
        <w:pStyle w:val="921"/>
        <w:ind w:firstLine="482"/>
        <w:keepLines w:val="0"/>
        <w:keepNext w:val="0"/>
        <w:pageBreakBefore w:val="0"/>
        <w:spacing w:before="120" w:after="120" w:line="400" w:lineRule="exact"/>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rPr>
          <w:rFonts w:hint="eastAsia" w:ascii="宋体" w:hAnsi="宋体" w:eastAsia="宋体" w:cs="宋体"/>
          <w:b/>
          <w:sz w:val="24"/>
          <w:szCs w:val="24"/>
        </w:rPr>
      </w:r>
      <w:r/>
    </w:p>
    <w:p>
      <w:pPr>
        <w:pStyle w:val="921"/>
        <w:ind w:firstLine="480"/>
        <w:keepLines w:val="0"/>
        <w:keepNext w:val="0"/>
        <w:pageBreakBefore w:val="0"/>
        <w:spacing w:before="120" w:after="120" w:line="400" w:lineRule="exact"/>
        <w:rPr>
          <w:rFonts w:hint="eastAsia" w:ascii="宋体" w:hAnsi="宋体" w:eastAsia="宋体" w:cs="宋体"/>
          <w:bCs/>
          <w:sz w:val="24"/>
          <w:szCs w:val="24"/>
        </w:rPr>
      </w:pPr>
      <w:r>
        <w:rPr>
          <w:rFonts w:hint="eastAsia" w:ascii="宋体" w:hAnsi="宋体" w:eastAsia="宋体" w:cs="宋体"/>
          <w:bCs/>
          <w:sz w:val="24"/>
          <w:szCs w:val="24"/>
        </w:rPr>
        <w:t xml:space="preserve">8.1合同款项的支付方式及进度安排</w:t>
      </w:r>
      <w:r>
        <w:rPr>
          <w:rFonts w:hint="eastAsia" w:ascii="宋体" w:hAnsi="宋体" w:eastAsia="宋体" w:cs="宋体"/>
          <w:bCs/>
          <w:sz w:val="24"/>
          <w:szCs w:val="24"/>
        </w:rPr>
      </w:r>
      <w:r/>
    </w:p>
    <w:p>
      <w:pPr>
        <w:pStyle w:val="921"/>
        <w:ind w:firstLine="480"/>
        <w:jc w:val="left"/>
        <w:keepLines w:val="0"/>
        <w:keepNext w:val="0"/>
        <w:pageBreakBefore w:val="0"/>
        <w:spacing w:line="400" w:lineRule="exact"/>
        <w:rPr>
          <w:rFonts w:hint="eastAsia" w:ascii="宋体" w:hAnsi="宋体" w:eastAsia="宋体" w:cs="宋体"/>
          <w:bCs/>
          <w:sz w:val="24"/>
          <w:lang w:val="zh-CN"/>
        </w:rPr>
      </w:pPr>
      <w:r>
        <w:rPr>
          <w:rFonts w:hint="eastAsia" w:ascii="宋体" w:hAnsi="宋体" w:eastAsia="宋体" w:cs="宋体"/>
          <w:bCs/>
          <w:sz w:val="24"/>
          <w:lang w:val="zh-CN"/>
        </w:rPr>
        <w:t xml:space="preserve">资金支付的方式：</w:t>
      </w:r>
      <w:r>
        <w:rPr>
          <w:rFonts w:hint="eastAsia" w:ascii="宋体" w:hAnsi="宋体" w:eastAsia="宋体" w:cs="宋体"/>
          <w:bCs/>
          <w:sz w:val="24"/>
          <w:lang w:val="zh-CN"/>
        </w:rPr>
      </w:r>
      <w:r/>
    </w:p>
    <w:p>
      <w:pPr>
        <w:pStyle w:val="921"/>
        <w:ind w:left="0" w:firstLine="480"/>
        <w:jc w:val="both"/>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预付款：合同金额的</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%，合同签订后按规定支付； </w:t>
      </w:r>
      <w:r>
        <w:rPr>
          <w:rFonts w:hint="eastAsia" w:ascii="宋体" w:hAnsi="宋体" w:eastAsia="宋体" w:cs="宋体"/>
          <w:bCs/>
          <w:color w:val="000000"/>
          <w:sz w:val="24"/>
          <w:szCs w:val="24"/>
          <w:highlight w:val="none"/>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进度款：</w:t>
      </w:r>
      <w:r>
        <w:rPr>
          <w:rFonts w:hint="eastAsia" w:ascii="宋体" w:hAnsi="宋体" w:eastAsia="宋体" w:cs="宋体"/>
          <w:bCs/>
          <w:color w:val="000000"/>
          <w:sz w:val="24"/>
          <w:szCs w:val="24"/>
          <w:highlight w:val="none"/>
          <w:lang w:val="en-US" w:eastAsia="zh-CN"/>
        </w:rPr>
        <w:t xml:space="preserve">1.承办服务费。承办商保机构的当期承办服务费从当期长护险基金收入中计提，计提标准以本次中标的乙方“承办服务费”最终报价确定,后期综合考虑服务人口、机构运营成本、工作绩效等因素，合理调整承办服务费。承办服务费从长护险基金中支付。每年第一季度，医保经办机构拨付本年度承办服务费的95%给商保机构。次年第一季度，根据协议履行情况、服务对象满意度情况及当期考核结果，进行当期结算。招录的经办服务人员薪酬、保险及福利费用，办公经费，交通费等费用列入承办服务费。</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失能人员在宿迁市内，发生的符合长护险失能评估、护理服务项目范围和标准的费用(由市医疗保障局另行制定),从长护险基金中支付；超出长护险护理服务项目范围和标准的护理费用，长护险基金不予支付，由失能人员个人承担，并与定点服务机构直接结算。</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3.采购人建立与服务对象满意度、评估质量、护理服务质量挂钩的考核结算机制。可通过约定预留款等方式，每期末根据考核结果进行费用清算。</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4.保费与承办服务费分别建账、核算、考核。</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4.1采购人按每保险期的筹资标准及期初人数，计算长护险基金收入，将基金收入划分长护险保费与长护险承办服务费两个科目。其中承办服务费按招标确定的承办服务费基准标准计提，其余计提划入长护险保费。</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商保公司相应建立以上两个科目。合同期内，每年第一季度将长护险保费和承办服务费的95%向商保公司拨付，其余部分留存采购人，分别用于对商保公司各期末综合考核和承办服务质量考核，根据考核结果及时清算，如有结余，结余部分返还基金。</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5.盈亏处理</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长护险按照“以收定支、收支平衡、略有盈余”的原则建立风险共担机制。长护险保费收支结余如出现亏损，亏损2%(含)以内的部分由承办商保机构承担，2%以上的部分，经医疗保障行政部门综合评定后，对因政策调整导致的亏损部分，由基金承担，除政策调整原因以外导致的亏损部分，由承办商保机构承担；由采购人根据实际情况最终确定。</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如有盈利，则盈利部分全额返还基金。承办服务费结余归采购人所有，超支的由商保公司承担。</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盈利率或亏损率计算公式：[(本期长护险实际保费-本期长护险待遇支出-本期长护险评估费用支出)/本期长护险实际保费]×100%。本期长护险实际保费=当期长护险基金收入-本期长护险承办服务费支出。承办服务费含商保公司招录的经办服务人员薪酬、保险及福利费用、办公经费、交通工具等相关费用。</w:t>
      </w:r>
      <w:r>
        <w:rPr>
          <w:rFonts w:hint="eastAsia" w:ascii="宋体" w:hAnsi="宋体" w:eastAsia="宋体" w:cs="宋体"/>
          <w:bCs/>
          <w:color w:val="000000"/>
          <w:sz w:val="24"/>
          <w:szCs w:val="24"/>
          <w:highlight w:val="none"/>
          <w:lang w:val="en-US" w:eastAsia="zh-CN"/>
        </w:rPr>
      </w:r>
      <w:r/>
    </w:p>
    <w:p>
      <w:pPr>
        <w:pStyle w:val="921"/>
        <w:ind w:firstLine="480"/>
        <w:jc w:val="left"/>
        <w:spacing w:line="460" w:lineRule="exact"/>
        <w:rPr>
          <w:rFonts w:hint="eastAsia" w:ascii="宋体" w:hAnsi="宋体" w:eastAsia="宋体" w:cs="宋体"/>
          <w:color w:val="000000"/>
          <w:highlight w:val="none"/>
          <w:lang w:val="en-US"/>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最终服务量以实际发生为准，本项目每年最高支付</w:t>
      </w:r>
      <w:r>
        <w:rPr>
          <w:rFonts w:hint="eastAsia" w:ascii="宋体" w:hAnsi="宋体" w:eastAsia="宋体" w:cs="宋体"/>
          <w:color w:val="000000"/>
          <w:sz w:val="24"/>
          <w:szCs w:val="24"/>
          <w:highlight w:val="none"/>
          <w:lang w:val="en-US" w:eastAsia="zh-CN"/>
        </w:rPr>
        <w:t xml:space="preserve">76万元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highlight w:val="none"/>
          <w:lang w:val="en-US"/>
        </w:rPr>
      </w:r>
      <w:r/>
    </w:p>
    <w:p>
      <w:pPr>
        <w:pStyle w:val="921"/>
        <w:ind w:left="0" w:firstLine="482"/>
        <w:jc w:val="left"/>
        <w:keepLines w:val="0"/>
        <w:keepNext w:val="0"/>
        <w:pageBreakBefore w:val="0"/>
        <w:spacing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注：1.在签订合同时，乙方明确表示无需预付款或者主动要求降低预付款比例的金额，采购人可不适用预付款规定。</w:t>
      </w:r>
      <w:r>
        <w:rPr>
          <w:rFonts w:hint="eastAsia" w:ascii="宋体" w:hAnsi="宋体" w:eastAsia="宋体" w:cs="宋体"/>
          <w:b/>
          <w:bCs w:val="0"/>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2.由于各期参保人数中途可能发生变动，以各期实际划拨的保费为准。</w:t>
      </w:r>
      <w:r>
        <w:rPr>
          <w:rFonts w:hint="eastAsia" w:ascii="宋体" w:hAnsi="宋体" w:eastAsia="宋体" w:cs="宋体"/>
          <w:b/>
          <w:bCs w:val="0"/>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color w:val="000000"/>
          <w:highlight w:val="none"/>
          <w:lang w:val="en-US" w:eastAsia="zh-CN"/>
        </w:rPr>
      </w:pPr>
      <w:r>
        <w:rPr>
          <w:rFonts w:hint="eastAsia" w:ascii="宋体" w:hAnsi="宋体" w:eastAsia="宋体" w:cs="宋体"/>
          <w:b/>
          <w:bCs w:val="0"/>
          <w:color w:val="000000"/>
          <w:sz w:val="24"/>
          <w:szCs w:val="24"/>
          <w:highlight w:val="none"/>
          <w:lang w:val="en-US" w:eastAsia="zh-CN"/>
        </w:rPr>
        <w:t xml:space="preserve">3.本项目以乙方承办服务费</w:t>
      </w:r>
      <w:r>
        <w:rPr>
          <w:rFonts w:hint="eastAsia" w:ascii="宋体" w:hAnsi="宋体" w:eastAsia="宋体" w:cs="宋体"/>
          <w:b/>
          <w:bCs w:val="0"/>
          <w:color w:val="000000"/>
          <w:sz w:val="24"/>
          <w:szCs w:val="24"/>
          <w:highlight w:val="none"/>
          <w:rtl w:val="0"/>
          <w:lang w:val="en-US" w:eastAsia="zh-CN"/>
        </w:rPr>
        <w:t xml:space="preserve">最终</w:t>
      </w:r>
      <w:r>
        <w:rPr>
          <w:rFonts w:hint="eastAsia" w:ascii="宋体" w:hAnsi="宋体" w:eastAsia="宋体" w:cs="宋体"/>
          <w:b/>
          <w:bCs w:val="0"/>
          <w:color w:val="000000"/>
          <w:sz w:val="24"/>
          <w:szCs w:val="24"/>
          <w:highlight w:val="none"/>
          <w:lang w:val="en-US" w:eastAsia="zh-CN"/>
        </w:rPr>
        <w:t xml:space="preserve">报价（含小数点后两位）作为最终承办服务费计提比例，</w:t>
      </w:r>
      <w:r>
        <w:rPr>
          <w:rFonts w:hint="eastAsia" w:ascii="宋体" w:hAnsi="宋体" w:eastAsia="宋体" w:cs="宋体"/>
          <w:b/>
          <w:bCs w:val="0"/>
          <w:color w:val="000000"/>
          <w:sz w:val="24"/>
          <w:szCs w:val="24"/>
          <w:highlight w:val="none"/>
          <w:lang w:val="en-US" w:eastAsia="zh-CN"/>
        </w:rPr>
        <w:t xml:space="preserve">最高不得超过</w:t>
      </w:r>
      <w:r>
        <w:rPr>
          <w:rFonts w:hint="eastAsia" w:ascii="宋体" w:hAnsi="宋体" w:eastAsia="宋体" w:cs="宋体"/>
          <w:b/>
          <w:bCs/>
          <w:color w:val="000000"/>
          <w:sz w:val="24"/>
          <w:szCs w:val="24"/>
          <w:highlight w:val="none"/>
          <w:lang w:val="en-US" w:eastAsia="zh-CN"/>
        </w:rPr>
        <w:t xml:space="preserve">每年每个参保人员3.2元</w:t>
      </w:r>
      <w:r>
        <w:rPr>
          <w:rFonts w:hint="eastAsia" w:ascii="宋体" w:hAnsi="宋体" w:eastAsia="宋体" w:cs="宋体"/>
          <w:b/>
          <w:bCs w:val="0"/>
          <w:color w:val="000000"/>
          <w:sz w:val="24"/>
          <w:szCs w:val="24"/>
          <w:highlight w:val="none"/>
          <w:lang w:val="zh-CN" w:eastAsia="zh-CN"/>
        </w:rPr>
        <w:t xml:space="preserve">。</w:t>
      </w:r>
      <w:r>
        <w:rPr>
          <w:rFonts w:hint="eastAsia" w:ascii="宋体" w:hAnsi="宋体" w:eastAsia="宋体" w:cs="宋体"/>
          <w:color w:val="000000"/>
          <w:highlight w:val="none"/>
          <w:lang w:val="en-US" w:eastAsia="zh-CN"/>
        </w:rPr>
      </w:r>
      <w:r/>
    </w:p>
    <w:p>
      <w:pPr>
        <w:pStyle w:val="921"/>
        <w:ind w:firstLine="480"/>
        <w:keepLines w:val="0"/>
        <w:keepNext w:val="0"/>
        <w:pageBreakBefore w:val="0"/>
        <w:spacing w:line="400" w:lineRule="exact"/>
        <w:rPr>
          <w:rFonts w:hint="eastAsia" w:ascii="宋体" w:hAnsi="宋体" w:eastAsia="宋体" w:cs="宋体"/>
          <w:bCs/>
          <w:sz w:val="24"/>
          <w:lang w:val="zh-CN"/>
        </w:rPr>
      </w:pPr>
      <w:r>
        <w:rPr>
          <w:rFonts w:hint="eastAsia" w:ascii="宋体" w:hAnsi="宋体" w:eastAsia="宋体" w:cs="宋体"/>
          <w:bCs/>
          <w:sz w:val="24"/>
          <w:lang w:val="zh-CN"/>
        </w:rPr>
        <w:t xml:space="preserve">资金支付的</w:t>
      </w:r>
      <w:r>
        <w:rPr>
          <w:rFonts w:hint="eastAsia" w:ascii="宋体" w:hAnsi="宋体" w:eastAsia="宋体" w:cs="宋体"/>
          <w:bCs/>
          <w:sz w:val="24"/>
        </w:rPr>
        <w:t xml:space="preserve">时间</w:t>
      </w:r>
      <w:r>
        <w:rPr>
          <w:rFonts w:hint="eastAsia" w:ascii="宋体" w:hAnsi="宋体" w:eastAsia="宋体" w:cs="宋体"/>
          <w:bCs/>
          <w:sz w:val="24"/>
          <w:lang w:val="zh-CN"/>
        </w:rPr>
        <w:t xml:space="preserve">：</w:t>
      </w:r>
      <w:r>
        <w:rPr>
          <w:rFonts w:hint="eastAsia" w:ascii="宋体" w:hAnsi="宋体" w:eastAsia="宋体" w:cs="宋体"/>
          <w:bCs/>
          <w:sz w:val="24"/>
        </w:rPr>
        <w:t xml:space="preserve">收到乙方发票10个工作日内</w:t>
      </w:r>
      <w:r>
        <w:rPr>
          <w:rFonts w:hint="eastAsia" w:ascii="宋体" w:hAnsi="宋体" w:eastAsia="宋体" w:cs="宋体"/>
          <w:bCs/>
          <w:sz w:val="24"/>
          <w:lang w:val="zh-CN"/>
        </w:rPr>
        <w:t xml:space="preserve">；</w:t>
      </w:r>
      <w:r>
        <w:rPr>
          <w:rFonts w:hint="eastAsia" w:ascii="宋体" w:hAnsi="宋体" w:eastAsia="宋体" w:cs="宋体"/>
          <w:bCs/>
          <w:sz w:val="24"/>
          <w:lang w:val="zh-CN"/>
        </w:rPr>
      </w:r>
      <w:r/>
    </w:p>
    <w:p>
      <w:pPr>
        <w:pStyle w:val="921"/>
        <w:ind w:firstLine="480"/>
        <w:keepLines w:val="0"/>
        <w:keepNext w:val="0"/>
        <w:pageBreakBefore w:val="0"/>
        <w:spacing w:line="400" w:lineRule="exact"/>
        <w:rPr>
          <w:rFonts w:hint="eastAsia" w:ascii="宋体" w:hAnsi="宋体" w:eastAsia="宋体" w:cs="宋体"/>
          <w:bCs/>
          <w:sz w:val="24"/>
        </w:rPr>
      </w:pPr>
      <w:r>
        <w:rPr>
          <w:rFonts w:hint="eastAsia" w:ascii="宋体" w:hAnsi="宋体" w:eastAsia="宋体" w:cs="宋体"/>
          <w:bCs/>
          <w:sz w:val="24"/>
          <w:lang w:val="zh-CN"/>
        </w:rPr>
        <w:t xml:space="preserve">资金支付</w:t>
      </w:r>
      <w:r>
        <w:rPr>
          <w:rFonts w:hint="eastAsia" w:ascii="宋体" w:hAnsi="宋体" w:eastAsia="宋体" w:cs="宋体"/>
          <w:bCs/>
          <w:sz w:val="24"/>
        </w:rPr>
        <w:t xml:space="preserve">的条件：满足相应阶段的要求且收到乙方开具的合法有效的发票；乙方未满足付款条件的，甲方有权拒绝付款并不承担任何责任。</w:t>
      </w:r>
      <w:r>
        <w:rPr>
          <w:rFonts w:hint="eastAsia" w:ascii="宋体" w:hAnsi="宋体" w:eastAsia="宋体" w:cs="宋体"/>
          <w:bCs/>
          <w:sz w:val="24"/>
        </w:rPr>
      </w:r>
      <w:r/>
    </w:p>
    <w:p>
      <w:pPr>
        <w:pStyle w:val="921"/>
        <w:ind w:firstLine="480"/>
        <w:jc w:val="left"/>
        <w:keepLines w:val="0"/>
        <w:keepNext w:val="0"/>
        <w:pageBreakBefore w:val="0"/>
        <w:spacing w:line="400" w:lineRule="exact"/>
        <w:rPr>
          <w:rFonts w:hint="eastAsia" w:ascii="宋体" w:hAnsi="宋体" w:eastAsia="宋体" w:cs="宋体"/>
          <w:bCs/>
          <w:sz w:val="24"/>
          <w:lang w:val="zh-CN"/>
        </w:rPr>
      </w:pPr>
      <w:r>
        <w:rPr>
          <w:rFonts w:hint="eastAsia" w:ascii="宋体" w:hAnsi="宋体" w:eastAsia="宋体" w:cs="宋体"/>
          <w:bCs/>
          <w:sz w:val="24"/>
          <w:lang w:val="zh-CN"/>
        </w:rPr>
        <w:t xml:space="preserve">乙方收款账户信息如下：</w:t>
      </w:r>
      <w:r>
        <w:rPr>
          <w:rFonts w:hint="eastAsia" w:ascii="宋体" w:hAnsi="宋体" w:eastAsia="宋体" w:cs="宋体"/>
          <w:bCs/>
          <w:sz w:val="24"/>
          <w:lang w:val="zh-CN"/>
        </w:rPr>
      </w:r>
      <w:r/>
    </w:p>
    <w:p>
      <w:pPr>
        <w:pStyle w:val="921"/>
        <w:ind w:firstLine="480"/>
        <w:jc w:val="left"/>
        <w:keepLines w:val="0"/>
        <w:keepNext w:val="0"/>
        <w:pageBreakBefore w:val="0"/>
        <w:spacing w:line="400" w:lineRule="exact"/>
        <w:rPr>
          <w:rFonts w:hint="eastAsia" w:ascii="宋体" w:hAnsi="宋体" w:eastAsia="宋体" w:cs="宋体"/>
          <w:bCs/>
          <w:sz w:val="24"/>
          <w:u w:val="single"/>
        </w:rPr>
      </w:pPr>
      <w:r>
        <w:rPr>
          <w:rFonts w:hint="eastAsia" w:ascii="宋体" w:hAnsi="宋体" w:eastAsia="宋体" w:cs="宋体"/>
          <w:bCs/>
          <w:sz w:val="24"/>
          <w:lang w:val="zh-CN"/>
        </w:rPr>
        <w:t xml:space="preserve">户名：</w:t>
      </w:r>
      <w:r>
        <w:rPr>
          <w:rFonts w:hint="eastAsia" w:ascii="宋体" w:hAnsi="宋体" w:eastAsia="宋体" w:cs="宋体"/>
          <w:bCs/>
          <w:sz w:val="24"/>
          <w:u w:val="single"/>
        </w:rPr>
        <w:t xml:space="preserve">                      </w:t>
      </w:r>
      <w:r>
        <w:rPr>
          <w:rFonts w:hint="eastAsia" w:ascii="宋体" w:hAnsi="宋体" w:eastAsia="宋体" w:cs="宋体"/>
          <w:bCs/>
          <w:sz w:val="24"/>
          <w:u w:val="single"/>
        </w:rPr>
      </w:r>
      <w:r/>
    </w:p>
    <w:p>
      <w:pPr>
        <w:pStyle w:val="921"/>
        <w:ind w:firstLine="480"/>
        <w:jc w:val="left"/>
        <w:keepLines w:val="0"/>
        <w:keepNext w:val="0"/>
        <w:pageBreakBefore w:val="0"/>
        <w:spacing w:line="400" w:lineRule="exact"/>
        <w:rPr>
          <w:rFonts w:hint="eastAsia" w:ascii="宋体" w:hAnsi="宋体" w:eastAsia="宋体" w:cs="宋体"/>
          <w:bCs/>
          <w:sz w:val="24"/>
        </w:rPr>
      </w:pPr>
      <w:r>
        <w:rPr>
          <w:rFonts w:hint="eastAsia" w:ascii="宋体" w:hAnsi="宋体" w:eastAsia="宋体" w:cs="宋体"/>
          <w:bCs/>
          <w:sz w:val="24"/>
          <w:lang w:val="zh-CN"/>
        </w:rPr>
        <w:t xml:space="preserve">账号：</w:t>
      </w:r>
      <w:r>
        <w:rPr>
          <w:rFonts w:hint="eastAsia" w:ascii="宋体" w:hAnsi="宋体" w:eastAsia="宋体" w:cs="宋体"/>
          <w:bCs/>
          <w:sz w:val="24"/>
          <w:u w:val="single"/>
        </w:rPr>
        <w:t xml:space="preserve">                      </w:t>
      </w:r>
      <w:r>
        <w:rPr>
          <w:rFonts w:hint="eastAsia" w:ascii="宋体" w:hAnsi="宋体" w:eastAsia="宋体" w:cs="宋体"/>
          <w:bCs/>
          <w:sz w:val="24"/>
        </w:rPr>
        <w:t xml:space="preserve"> </w:t>
      </w:r>
      <w:r>
        <w:rPr>
          <w:rFonts w:hint="eastAsia" w:ascii="宋体" w:hAnsi="宋体" w:eastAsia="宋体" w:cs="宋体"/>
          <w:bCs/>
          <w:sz w:val="24"/>
        </w:rPr>
      </w:r>
      <w:r/>
    </w:p>
    <w:p>
      <w:pPr>
        <w:pStyle w:val="921"/>
        <w:ind w:firstLine="480"/>
        <w:jc w:val="left"/>
        <w:keepLines w:val="0"/>
        <w:keepNext w:val="0"/>
        <w:pageBreakBefore w:val="0"/>
        <w:spacing w:line="400" w:lineRule="exact"/>
        <w:rPr>
          <w:rFonts w:hint="eastAsia" w:ascii="宋体" w:hAnsi="宋体" w:eastAsia="宋体" w:cs="宋体"/>
          <w:bCs/>
          <w:sz w:val="24"/>
        </w:rPr>
      </w:pPr>
      <w:r>
        <w:rPr>
          <w:rFonts w:hint="eastAsia" w:ascii="宋体" w:hAnsi="宋体" w:eastAsia="宋体" w:cs="宋体"/>
          <w:bCs/>
          <w:sz w:val="24"/>
          <w:lang w:val="zh-CN"/>
        </w:rPr>
        <w:t xml:space="preserve">开户行：</w:t>
      </w:r>
      <w:r>
        <w:rPr>
          <w:rFonts w:hint="eastAsia" w:ascii="宋体" w:hAnsi="宋体" w:eastAsia="宋体" w:cs="宋体"/>
          <w:bCs/>
          <w:sz w:val="24"/>
          <w:u w:val="single"/>
        </w:rPr>
        <w:t xml:space="preserve">                    </w:t>
      </w:r>
      <w:r>
        <w:rPr>
          <w:rFonts w:hint="eastAsia" w:ascii="宋体" w:hAnsi="宋体" w:eastAsia="宋体" w:cs="宋体"/>
          <w:bCs/>
          <w:sz w:val="24"/>
        </w:rPr>
      </w:r>
      <w:r/>
    </w:p>
    <w:p>
      <w:pPr>
        <w:pStyle w:val="921"/>
        <w:ind w:firstLine="480"/>
        <w:jc w:val="left"/>
        <w:keepLines w:val="0"/>
        <w:keepNext w:val="0"/>
        <w:pageBreakBefore w:val="0"/>
        <w:spacing w:line="400" w:lineRule="exact"/>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未经甲方书面同意，乙方不得擅自修改此处的收款账户信息。</w:t>
      </w:r>
      <w:r>
        <w:rPr>
          <w:rFonts w:hint="eastAsia" w:ascii="宋体" w:hAnsi="宋体" w:eastAsia="宋体" w:cs="宋体"/>
          <w:bCs/>
          <w:color w:val="000000"/>
          <w:sz w:val="24"/>
          <w:lang w:val="zh-CN"/>
        </w:rPr>
      </w:r>
      <w:r/>
    </w:p>
    <w:p>
      <w:pPr>
        <w:pStyle w:val="921"/>
        <w:ind w:firstLine="482"/>
        <w:jc w:val="left"/>
        <w:keepLines w:val="0"/>
        <w:keepNext w:val="0"/>
        <w:pageBreakBefore w:val="0"/>
        <w:spacing w:line="4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九、税费</w:t>
      </w:r>
      <w:r>
        <w:rPr>
          <w:rFonts w:hint="eastAsia" w:ascii="宋体" w:hAnsi="宋体" w:eastAsia="宋体" w:cs="宋体"/>
          <w:b/>
          <w:color w:val="000000"/>
          <w:sz w:val="24"/>
          <w:lang w:val="zh-CN"/>
        </w:rPr>
      </w:r>
      <w:r/>
    </w:p>
    <w:p>
      <w:pPr>
        <w:pStyle w:val="921"/>
        <w:ind w:firstLine="480"/>
        <w:keepLines w:val="0"/>
        <w:keepNext w:val="0"/>
        <w:pageBreakBefore w:val="0"/>
        <w:spacing w:before="145" w:after="145" w:line="400" w:lineRule="exact"/>
        <w:rPr>
          <w:rFonts w:hint="eastAsia" w:ascii="宋体" w:hAnsi="宋体" w:eastAsia="宋体" w:cs="宋体"/>
          <w:sz w:val="24"/>
          <w:szCs w:val="24"/>
        </w:rPr>
      </w:pPr>
      <w:r/>
      <w:bookmarkStart w:id="190" w:name="OLE_LINK6"/>
      <w:r/>
      <w:bookmarkStart w:id="191" w:name="OLE_LINK5"/>
      <w:r>
        <w:rPr>
          <w:rFonts w:hint="eastAsia" w:ascii="宋体" w:hAnsi="宋体" w:eastAsia="宋体" w:cs="宋体"/>
          <w:sz w:val="24"/>
          <w:szCs w:val="24"/>
        </w:rPr>
        <w:t xml:space="preserve">9.1</w:t>
      </w:r>
      <w:bookmarkEnd w:id="190"/>
      <w:r/>
      <w:bookmarkEnd w:id="191"/>
      <w:r>
        <w:rPr>
          <w:rFonts w:hint="eastAsia" w:ascii="宋体" w:hAnsi="宋体" w:eastAsia="宋体" w:cs="宋体"/>
          <w:sz w:val="24"/>
          <w:szCs w:val="24"/>
        </w:rPr>
        <w:t xml:space="preserve">本合同执行中相关的一切税费均由乙方负担。</w:t>
      </w:r>
      <w:r>
        <w:rPr>
          <w:rFonts w:hint="eastAsia" w:ascii="宋体" w:hAnsi="宋体" w:eastAsia="宋体" w:cs="宋体"/>
          <w:sz w:val="24"/>
          <w:szCs w:val="24"/>
        </w:rPr>
      </w:r>
      <w:r/>
    </w:p>
    <w:p>
      <w:pPr>
        <w:pStyle w:val="921"/>
        <w:ind w:left="0" w:firstLine="482"/>
        <w:jc w:val="left"/>
        <w:keepLines w:val="0"/>
        <w:keepNext w:val="0"/>
        <w:pageBreakBefore w:val="0"/>
        <w:spacing w:line="400" w:lineRule="exact"/>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color w:val="000000"/>
          <w:sz w:val="24"/>
          <w:lang w:val="en-US" w:eastAsia="zh-CN"/>
        </w:rPr>
        <w:t xml:space="preserve">十、</w:t>
      </w:r>
      <w:r>
        <w:rPr>
          <w:rFonts w:hint="eastAsia" w:ascii="宋体" w:hAnsi="宋体" w:eastAsia="宋体" w:cs="宋体"/>
          <w:b/>
          <w:bCs w:val="0"/>
          <w:color w:val="000000"/>
          <w:sz w:val="24"/>
          <w:szCs w:val="24"/>
          <w:highlight w:val="none"/>
          <w:lang w:val="en-US" w:eastAsia="zh-CN"/>
        </w:rPr>
        <w:t xml:space="preserve">服务内容与要求</w:t>
      </w:r>
      <w:r>
        <w:rPr>
          <w:rFonts w:hint="eastAsia" w:ascii="宋体" w:hAnsi="宋体" w:eastAsia="宋体" w:cs="宋体"/>
          <w:b/>
          <w:bCs w:val="0"/>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（一）总体要求</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乙方按《宿迁市人民政府关于建立长期护理保险制度的实施意见》(宿政规发〔2023〕6号)及相关的配套政策文件要求，在长护险经办管理机构(以下简称"医保经办机构")指导下提供宿迁市长护险经办服务，并接受医保经办机构考核管理、服务群众监督。</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（二）服务内容</w:t>
      </w:r>
      <w:r>
        <w:rPr>
          <w:rFonts w:hint="eastAsia" w:ascii="宋体" w:hAnsi="宋体" w:eastAsia="宋体" w:cs="宋体"/>
          <w:bCs/>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在协议服务期内，承办商保机构负责以下工作：</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1.协助医保经办机构做好长护险定点服务机构(包括医疗机构、护理机构、养老服务机构等，以下简称“定点服务机构”)相关协议管理工作；</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2.长护险政策宣传、公众号运维、咨询回复、投诉处理工作；</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3.长护险待遇申请的受理、审核、评定结果公示及送达等工作；</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4.失能等级评估申请受理，组织评估人员开展失能等级评估及争议、纠纷处理；</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5.长护险待遇享受人员服务派单、待遇支付、费用结算、稽核调查；</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6.定点服务机构费用的审核、结算、待遇支付；</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7.长护险业务档案资料的整理和保存；</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8.协助做好长护险从业人员的政策业务培训工作；</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9.长护险待遇享受人员跟踪回访、稽核调查工作；</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10.长护险基金运行监测分析，按月编报长护险运行分析报告；</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11.协助做好长护险政策调整工作；</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12.医保经办机构安排的其他工作。</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（三）项目实施方案及要求</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1.总体理解与规划</w:t>
      </w:r>
      <w:r>
        <w:rPr>
          <w:rFonts w:hint="eastAsia" w:ascii="宋体" w:hAnsi="宋体" w:eastAsia="宋体" w:cs="宋体"/>
          <w:color w:val="000000"/>
          <w:sz w:val="24"/>
          <w:szCs w:val="24"/>
          <w:highlight w:val="none"/>
          <w:lang w:val="en-US" w:eastAsia="zh-CN"/>
        </w:rPr>
      </w:r>
      <w:r/>
    </w:p>
    <w:p>
      <w:pPr>
        <w:pStyle w:val="1119"/>
        <w:ind w:firstLine="480"/>
        <w:jc w:val="both"/>
        <w:keepLines w:val="0"/>
        <w:keepNext w:val="0"/>
        <w:pageBreakBefore w:val="0"/>
        <w:spacing w:line="44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制定</w:t>
      </w:r>
      <w:r>
        <w:rPr>
          <w:rFonts w:hint="eastAsia" w:ascii="宋体" w:hAnsi="宋体" w:eastAsia="宋体" w:cs="宋体"/>
          <w:color w:val="000000"/>
          <w:szCs w:val="21"/>
          <w:highlight w:val="none"/>
        </w:rPr>
        <w:t xml:space="preserve">总体理解与规划</w:t>
      </w:r>
      <w:r>
        <w:rPr>
          <w:rFonts w:hint="eastAsia" w:ascii="宋体" w:hAnsi="宋体" w:eastAsia="宋体" w:cs="宋体"/>
          <w:color w:val="000000"/>
          <w:szCs w:val="21"/>
          <w:highlight w:val="none"/>
          <w:lang w:val="en-US" w:eastAsia="zh-CN"/>
        </w:rPr>
        <w:t xml:space="preserve">方案，</w:t>
      </w:r>
      <w:r>
        <w:rPr>
          <w:rFonts w:hint="eastAsia" w:ascii="宋体" w:hAnsi="宋体" w:eastAsia="宋体" w:cs="宋体"/>
          <w:color w:val="000000"/>
          <w:szCs w:val="21"/>
          <w:highlight w:val="none"/>
        </w:rPr>
        <w:t xml:space="preserve">包括但不限于</w:t>
      </w:r>
      <w:r>
        <w:rPr>
          <w:rFonts w:hint="eastAsia" w:ascii="宋体" w:hAnsi="宋体" w:eastAsia="宋体" w:cs="宋体"/>
          <w:color w:val="000000"/>
          <w:szCs w:val="21"/>
          <w:highlight w:val="none"/>
          <w:rtl w:val="0"/>
          <w:lang w:val="en-US" w:eastAsia="zh-CN"/>
        </w:rPr>
        <w:t xml:space="preserve">对本项目背景</w:t>
      </w:r>
      <w:r>
        <w:rPr>
          <w:rFonts w:hint="eastAsia" w:ascii="宋体" w:hAnsi="宋体" w:eastAsia="宋体" w:cs="宋体"/>
          <w:color w:val="000000"/>
          <w:szCs w:val="21"/>
          <w:highlight w:val="none"/>
          <w:lang w:val="en-US" w:eastAsia="zh-CN"/>
        </w:rPr>
        <w:t xml:space="preserve">和</w:t>
      </w:r>
      <w:r>
        <w:rPr>
          <w:rFonts w:hint="eastAsia" w:ascii="宋体" w:hAnsi="宋体" w:eastAsia="宋体" w:cs="宋体"/>
          <w:color w:val="000000"/>
          <w:szCs w:val="21"/>
          <w:highlight w:val="none"/>
        </w:rPr>
        <w:t xml:space="preserve">相关政策法规的理解、对项目需求的理解；整体服务规划的前瞻性与可行性。</w:t>
      </w:r>
      <w:r>
        <w:rPr>
          <w:rFonts w:hint="eastAsia" w:ascii="宋体" w:hAnsi="宋体" w:eastAsia="宋体" w:cs="宋体"/>
          <w:color w:val="000000"/>
          <w:szCs w:val="21"/>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2.失能评估管理方案</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为确保失能评估工作的科学性、严谨性与合规性，建立一套涵盖申请、评估、质控与争议处理全流程的闭环管理体系。具体包括：设立线上线下多渠道的标准化申请受理与初审机制；组建专业评估队伍，规范开展上门或定点现场评估，并确保过程可追溯；通过实施双盲评估、交叉复核、定期督导及引入第三方监督等方式，构建严格的评估质量控制体系；设立畅通的申诉渠道，建立规范的复核程序与纠纷调解机制，公正高效地处理争议。整个评估过程将依托信息化系统进行管理，确保评估结果及时、准确地与待遇享受衔接，并持续通过体系审查与人员培训进行优化改进。</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3.定点机构管理与费用结算方案</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针对定点护理服务机构，制定涵盖协议管理、质量监控、考核评价及费用结算支付的全流程闭环管理方案。方案包括：协助建立并动态管理服务协议，明确准入、履约、退出标准与培训机制；构建线上线下结合的服务质量日常监控体系与多维定期考核机制，并将考核结果与费用结算、协议存续等直接关联；建立规范、高效的智能化费用审核流程与透明结算支付通道，强化风险稽核与基金监管协同。整体方案应突出合规性、操作性、精细化管理与风险防控能力。</w:t>
      </w:r>
      <w:r>
        <w:rPr>
          <w:rFonts w:hint="eastAsia" w:ascii="宋体" w:hAnsi="宋体" w:eastAsia="宋体" w:cs="宋体"/>
          <w:color w:val="000000"/>
          <w:sz w:val="24"/>
          <w:szCs w:val="24"/>
          <w:highlight w:val="none"/>
          <w:lang w:val="en-US" w:eastAsia="zh-CN"/>
        </w:rPr>
      </w:r>
      <w:r/>
    </w:p>
    <w:p>
      <w:pPr>
        <w:pStyle w:val="921"/>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highlight w:val="none"/>
          <w:lang w:val="en-US" w:eastAsia="zh-CN"/>
        </w:rPr>
        <w:t xml:space="preserve">服务稽核与质量管控方案</w:t>
      </w:r>
      <w:r>
        <w:rPr>
          <w:rFonts w:hint="eastAsia" w:ascii="宋体" w:hAnsi="宋体" w:eastAsia="宋体" w:cs="宋体"/>
          <w:color w:val="000000"/>
          <w:sz w:val="24"/>
          <w:szCs w:val="24"/>
          <w:highlight w:val="none"/>
          <w:lang w:val="en-US" w:eastAsia="zh-CN"/>
        </w:rPr>
      </w:r>
      <w:r/>
    </w:p>
    <w:p>
      <w:pPr>
        <w:pStyle w:val="921"/>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tl w:val="0"/>
          <w:lang w:val="en-US" w:eastAsia="zh-CN"/>
        </w:rPr>
        <w:t xml:space="preserve">包括但不限于对定点机构服务行为、待遇享受人员资格及服务质量的稽核调查方案；</w:t>
      </w:r>
      <w:r>
        <w:rPr>
          <w:rFonts w:hint="eastAsia" w:ascii="宋体" w:hAnsi="宋体" w:eastAsia="宋体" w:cs="宋体"/>
          <w:color w:val="000000"/>
          <w:sz w:val="24"/>
          <w:szCs w:val="24"/>
          <w:highlight w:val="none"/>
          <w:lang w:val="en-US" w:eastAsia="zh-CN"/>
        </w:rPr>
        <w:t xml:space="preserve">待遇支付、</w:t>
      </w:r>
      <w:r>
        <w:rPr>
          <w:rFonts w:hint="eastAsia" w:ascii="宋体" w:hAnsi="宋体" w:eastAsia="宋体" w:cs="宋体"/>
          <w:color w:val="000000"/>
          <w:sz w:val="24"/>
          <w:szCs w:val="24"/>
          <w:highlight w:val="none"/>
          <w:rtl w:val="0"/>
          <w:lang w:val="en-US" w:eastAsia="zh-CN"/>
        </w:rPr>
        <w:t xml:space="preserve">内部质量控制体系、服务对象回访制度及满意度提升措施。</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（1）投标人制定巡查计划及措施，对定点护理机构的失能人员在院情况、提供护理服务、待遇结算、违规情况、待遇享受人员失能及恢复情况等进行定时巡查的，开展失能人员满意度调查的；</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（2）配置具有录音、录像、等功能的执法记录仪以及平板等具有文字处理功能的移动终端设备开展日常巡查，并满足每季度巡查定点护理机构不少于总数的50%，失能人员不少于总人数的20%；</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（3）投标人建立有定点护理机构退出机制，对定点护理机构服务场所、服务范围、服务人员情况等发生变化的，视情况重新进行服务能力评估，对不符合长期护理保险服务管理要求的，暂停或终止服务协议。</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ff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（4）对违规多发放待遇的追回方案及协助配合第三方专业机构的稽核巡查方案。</w:t>
      </w:r>
      <w:r>
        <w:rPr>
          <w:rFonts w:hint="eastAsia" w:ascii="宋体" w:hAnsi="宋体" w:eastAsia="宋体" w:cs="宋体"/>
          <w:color w:val="ff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lang w:val="en-US" w:eastAsia="zh-CN"/>
        </w:rPr>
        <w:t xml:space="preserve">待遇经办与基金运行管理要求  </w:t>
      </w:r>
      <w:r>
        <w:rPr>
          <w:rFonts w:hint="eastAsia" w:ascii="宋体" w:hAnsi="宋体" w:eastAsia="宋体" w:cs="宋体"/>
          <w:color w:val="000000"/>
          <w:sz w:val="24"/>
          <w:szCs w:val="24"/>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承办机构应建立便捷、高效的待遇经办全流程服务体系，提供申请与办理渠道，确保审核、支付及时准确并依法公示。建立健全基金运行监测机制，按月编制分析报告，实时跟踪基金收支情况，并设置风险预警指标与应对预案，依托全市统一信息系统实现经办服务、基金核算与风险管控的一体化运营。</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6.宣传方案</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承办机构制定并落实宣传工作方案，明确宣传方向、方式、渠道与频率。服务期内每半年至少开展一次主题宣传，每季度至少组织一次业务培训。设立并对外公布项目专属咨询投诉热线，统一提供政策与业务咨询，并受理失能人员投诉。宣传与服务成效纳入机构考核。</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7.业务数据保密措施</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包括但不限于对参保人员相关信息、数据、资料承担保密责任，不得用于其他用途，并不得向第三方泄露，不得利用经办之便推销或者变相推销其他商业保险产品。</w:t>
      </w:r>
      <w:r>
        <w:rPr>
          <w:rFonts w:hint="eastAsia" w:ascii="宋体" w:hAnsi="宋体" w:eastAsia="宋体" w:cs="宋体"/>
          <w:color w:val="000000"/>
          <w:sz w:val="24"/>
          <w:szCs w:val="24"/>
          <w:highlight w:val="none"/>
          <w:lang w:val="en-US" w:eastAsia="zh-CN"/>
        </w:rPr>
      </w:r>
      <w:r/>
    </w:p>
    <w:p>
      <w:pPr>
        <w:pStyle w:val="921"/>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color w:val="000000"/>
          <w:sz w:val="24"/>
          <w:szCs w:val="24"/>
          <w:lang w:val="en-US" w:eastAsia="zh-CN" w:bidi="ar-SA"/>
        </w:rPr>
        <w:t xml:space="preserve">8.</w:t>
      </w:r>
      <w:r>
        <w:rPr>
          <w:rStyle w:val="1005"/>
          <w:rFonts w:hint="eastAsia" w:ascii="宋体" w:hAnsi="宋体" w:eastAsia="宋体" w:cs="宋体"/>
          <w:b w:val="0"/>
          <w:bCs w:val="0"/>
          <w:i w:val="0"/>
          <w:iCs w:val="0"/>
          <w:caps w:val="0"/>
          <w:color w:val="0f1115"/>
          <w:spacing w:val="0"/>
          <w:sz w:val="24"/>
          <w:szCs w:val="24"/>
          <w:shd w:val="clear" w:color="auto" w:fill="ffffff"/>
        </w:rPr>
        <w:t xml:space="preserve">特色服务与创新</w:t>
      </w:r>
      <w:r>
        <w:rPr>
          <w:rFonts w:hint="eastAsia" w:ascii="宋体" w:hAnsi="宋体" w:eastAsia="宋体" w:cs="宋体"/>
          <w:b w:val="0"/>
          <w:bCs w:val="0"/>
          <w:color w:val="000000"/>
          <w:sz w:val="24"/>
          <w:szCs w:val="24"/>
          <w:highlight w:val="none"/>
          <w:lang w:val="en-US" w:eastAsia="zh-CN"/>
        </w:rPr>
        <w:t xml:space="preserve">方案</w:t>
      </w:r>
      <w:r>
        <w:rPr>
          <w:rFonts w:hint="eastAsia" w:ascii="宋体" w:hAnsi="宋体" w:eastAsia="宋体" w:cs="宋体"/>
          <w:b w:val="0"/>
          <w:bCs w:val="0"/>
          <w:color w:val="000000"/>
          <w:sz w:val="24"/>
          <w:szCs w:val="24"/>
          <w:highlight w:val="none"/>
          <w:lang w:val="en-US" w:eastAsia="zh-CN"/>
        </w:rPr>
      </w:r>
      <w:r/>
    </w:p>
    <w:p>
      <w:pPr>
        <w:pStyle w:val="921"/>
        <w:numPr>
          <w:ilvl w:val="0"/>
          <w:numId w:val="0"/>
        </w:numPr>
        <w:ind w:firstLine="480"/>
        <w:keepLines w:val="0"/>
        <w:keepNext w:val="0"/>
        <w:pageBreakBefore w:val="0"/>
        <w:spacing w:line="440" w:lineRule="exact"/>
        <w:widowControl w:val="off"/>
        <w:rPr>
          <w:rFonts w:hint="eastAsia" w:ascii="宋体" w:hAnsi="宋体" w:eastAsia="宋体" w:cs="宋体"/>
          <w:color w:val="ff0000"/>
          <w:sz w:val="24"/>
          <w:szCs w:val="24"/>
          <w:highlight w:val="none"/>
          <w:lang w:val="en-US" w:eastAsia="zh-CN"/>
        </w:rPr>
        <w:outlineLvl w:val="9"/>
      </w:pPr>
      <w:r>
        <w:rPr>
          <w:rFonts w:hint="eastAsia" w:ascii="宋体" w:hAnsi="宋体" w:eastAsia="宋体" w:cs="宋体"/>
          <w:i w:val="0"/>
          <w:iCs w:val="0"/>
          <w:caps w:val="0"/>
          <w:color w:val="0f1115"/>
          <w:spacing w:val="0"/>
          <w:sz w:val="24"/>
          <w:szCs w:val="24"/>
          <w:highlight w:val="none"/>
          <w:shd w:val="clear" w:color="auto" w:fill="ffffff"/>
        </w:rPr>
        <w:t xml:space="preserve">在政策宣传、咨询投诉处理、信息化手段应用、档案管理、人员培训等方面提出的具有实操性的特色服务或创新性优化方案。</w:t>
      </w:r>
      <w:r>
        <w:rPr>
          <w:rFonts w:hint="eastAsia" w:ascii="宋体" w:hAnsi="宋体" w:eastAsia="宋体" w:cs="宋体"/>
          <w:color w:val="ff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9.培训方案</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包括但不限于培训内容（需包括对经办服务、护理服务、失能评估等方面）、培训时间、培训地点、培训目标、培训人数、培训方法和培训师资及相关课件展示等。</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10.制定人员配置方案</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包括但不限于针对本项目服务的管理职能部门、成立专业管理团队、建立管理制度。</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b/>
          <w:bCs/>
          <w:strike w:val="0"/>
          <w:color w:val="000000"/>
          <w:sz w:val="24"/>
          <w:szCs w:val="24"/>
          <w:highlight w:val="none"/>
          <w:lang w:val="en-US" w:eastAsia="zh-CN"/>
        </w:rPr>
        <w:outlineLvl w:val="9"/>
      </w:pPr>
      <w:r>
        <w:rPr>
          <w:rFonts w:hint="eastAsia" w:ascii="宋体" w:hAnsi="宋体" w:eastAsia="宋体" w:cs="宋体"/>
          <w:b/>
          <w:bCs/>
          <w:strike w:val="0"/>
          <w:color w:val="000000"/>
          <w:sz w:val="24"/>
          <w:szCs w:val="24"/>
          <w:highlight w:val="none"/>
          <w:lang w:val="en-US" w:eastAsia="zh-CN"/>
        </w:rPr>
        <w:t xml:space="preserve">★11.项目组成员配备要求</w:t>
      </w:r>
      <w:r>
        <w:rPr>
          <w:rFonts w:hint="eastAsia" w:ascii="宋体" w:hAnsi="宋体" w:eastAsia="宋体" w:cs="宋体"/>
          <w:b/>
          <w:bCs/>
          <w:strike w:val="0"/>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b/>
          <w:bCs/>
          <w:strike w:val="0"/>
          <w:color w:val="000000"/>
          <w:sz w:val="24"/>
          <w:szCs w:val="24"/>
          <w:highlight w:val="none"/>
          <w:lang w:val="en-US" w:eastAsia="zh-CN"/>
        </w:rPr>
        <w:outlineLvl w:val="9"/>
      </w:pPr>
      <w:r>
        <w:rPr>
          <w:rFonts w:hint="eastAsia" w:ascii="宋体" w:hAnsi="宋体" w:eastAsia="宋体" w:cs="宋体"/>
          <w:b w:val="0"/>
          <w:bCs w:val="0"/>
          <w:strike w:val="0"/>
          <w:color w:val="000000"/>
          <w:sz w:val="24"/>
          <w:szCs w:val="24"/>
          <w:highlight w:val="none"/>
          <w:lang w:val="en-US" w:eastAsia="zh-CN"/>
        </w:rPr>
        <w:t xml:space="preserve">乙方应承诺为本项目配备长护险经办服务全日制工作人员1名,至医保经办机构共同办理长护险经办业务。</w:t>
      </w:r>
      <w:r>
        <w:rPr>
          <w:rFonts w:hint="eastAsia" w:ascii="宋体" w:hAnsi="宋体" w:eastAsia="宋体" w:cs="宋体"/>
          <w:b/>
          <w:bCs/>
          <w:strike w:val="0"/>
          <w:color w:val="000000"/>
          <w:sz w:val="24"/>
          <w:szCs w:val="24"/>
          <w:highlight w:val="none"/>
          <w:lang w:val="en-US" w:eastAsia="zh-CN"/>
        </w:rPr>
        <w:t xml:space="preserve">（响应文件中需提供承诺函，格式自拟）</w:t>
      </w:r>
      <w:r>
        <w:rPr>
          <w:rFonts w:hint="eastAsia" w:ascii="宋体" w:hAnsi="宋体" w:eastAsia="宋体" w:cs="宋体"/>
          <w:b/>
          <w:bCs/>
          <w:strike w:val="0"/>
          <w:color w:val="000000"/>
          <w:sz w:val="24"/>
          <w:szCs w:val="24"/>
          <w:highlight w:val="none"/>
          <w:lang w:val="en-US" w:eastAsia="zh-CN"/>
        </w:rPr>
      </w:r>
      <w:r/>
    </w:p>
    <w:p>
      <w:pPr>
        <w:pStyle w:val="921"/>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十一、保障内容及要求</w:t>
      </w:r>
      <w:r>
        <w:rPr>
          <w:rFonts w:hint="eastAsia" w:ascii="宋体" w:hAnsi="宋体" w:eastAsia="宋体" w:cs="宋体"/>
          <w:b/>
          <w:bCs/>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1.保障对象</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长护险试行期间，参保对象为苏宿园区职工医保参保人员。办理职工医保参保缴费手续时，同步参加长护险。长护险制度运行期间根据宿迁市经济发展水平、基金运行情况、护理产业发展等情况，适时扩大参保范围和保障对象，调整筹资水平和待遇标准等政策。</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2.保障范围及补偿比例</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参保人员因年老、疾病、伤残等原因，基本生活不能自理，经医疗机构或康复机构规范诊疗，失能状态持续6个月以上的，经申请评估符合失能等级标准的，可享受长护险待遇。失能等级评估为重度失能等级的参保人员(以下简称“失能人员”),自相关手续办结次日起可享受长护险待遇。失能人员本人或其代理人可选择通过入住定点服务机构接受护理服务、居家接受定点服务机构护理服务、居家接受定点护理机构护理服务和亲情护理相结合等方式享受长护险待遇。</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2.2失能人员接受护理服务期间，发生的符合长护险护理服务项目范围和标准的费用，由长护险基金按以下标准定额支付：</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（1）入住服务机构的医疗床位接受护理服务的，按50元/天的标准与服务机构结算；</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（2）入住服务机构的护理床位接受护理服务的，按40元/天的标准与服务机构结算；</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（3）居家接受服务机构上门提供护理服务的，每次服务时长不低于1.5小时，按30元/小时的标准与服务机构结算，月度限额为900元。上门护理服务月度总时长不足30小时的，根据实际服务时长结算；</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（4）居家接受亲情护理服务的，按20元/天的标准支付护理服务补助；</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选择居家接受上门服务机构提供护理服务和亲情护理相结合模式的，亲情护理服务补助标准为15元/天，月度限额450元，上门服务机构护理每次服务时长不低于1.5小时，按30元/小时的标准与服务机构结算，月度限额为300元。</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在市外居住的失能人员，由长护险基金按20元/天的标准支付护理服务补助。</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 服务结算支付</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失能人员在享受长护险待遇期间，发生的符合长护险护理服务项目范围和标准的护理费用，从长护险基金中支付；超出长护险护理服务项目范围和标准的护理费用，长护险基金不予支付，由失能人员个人承担，并与定点服务机构直接结算。</w:t>
      </w:r>
      <w:r>
        <w:rPr>
          <w:rFonts w:hint="eastAsia" w:ascii="宋体" w:hAnsi="宋体" w:eastAsia="宋体" w:cs="宋体"/>
          <w:color w:val="000000"/>
          <w:sz w:val="24"/>
          <w:szCs w:val="24"/>
          <w:highlight w:val="none"/>
          <w:lang w:eastAsia="zh-CN"/>
        </w:rPr>
      </w:r>
      <w:r/>
    </w:p>
    <w:p>
      <w:pPr>
        <w:pStyle w:val="921"/>
        <w:ind w:firstLine="482"/>
        <w:keepLines w:val="0"/>
        <w:keepNext w:val="0"/>
        <w:pageBreakBefore w:val="0"/>
        <w:spacing w:line="400" w:lineRule="exact"/>
        <w:widowControl w:val="off"/>
        <w:rPr>
          <w:rFonts w:hint="eastAsia" w:ascii="宋体" w:hAnsi="宋体" w:eastAsia="宋体" w:cs="宋体"/>
          <w:bCs/>
          <w:color w:val="000000"/>
          <w:sz w:val="24"/>
          <w:szCs w:val="24"/>
          <w:highlight w:val="none"/>
          <w:lang w:val="en-US"/>
        </w:rPr>
        <w:outlineLvl w:val="9"/>
      </w:pPr>
      <w:r>
        <w:rPr>
          <w:rFonts w:hint="eastAsia" w:ascii="宋体" w:hAnsi="宋体" w:eastAsia="宋体" w:cs="宋体"/>
          <w:b/>
          <w:bCs/>
          <w:color w:val="000000"/>
          <w:sz w:val="24"/>
          <w:szCs w:val="24"/>
          <w:highlight w:val="none"/>
          <w:lang w:val="en-US" w:eastAsia="zh-CN"/>
        </w:rPr>
        <w:t xml:space="preserve">十二、经办模式</w:t>
      </w:r>
      <w:r>
        <w:rPr>
          <w:rFonts w:hint="eastAsia" w:ascii="宋体" w:hAnsi="宋体" w:eastAsia="宋体" w:cs="宋体"/>
          <w:bCs/>
          <w:color w:val="000000"/>
          <w:sz w:val="24"/>
          <w:szCs w:val="24"/>
          <w:highlight w:val="none"/>
          <w:lang w:val="en-US"/>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苏宿园区长护险服务项目实行"运行风险共担、保险事务共办、购买承办服务、当期考核准出"的运行模式。</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
          <w:bCs w:val="0"/>
          <w:color w:val="000000"/>
          <w:sz w:val="24"/>
          <w:szCs w:val="24"/>
          <w:highlight w:val="none"/>
          <w:rtl w:val="0"/>
          <w:lang w:val="en-US" w:eastAsia="zh-CN"/>
        </w:rPr>
      </w:pPr>
      <w:r>
        <w:rPr>
          <w:rFonts w:hint="eastAsia" w:ascii="宋体" w:hAnsi="宋体" w:eastAsia="宋体" w:cs="宋体"/>
          <w:b/>
          <w:bCs w:val="0"/>
          <w:color w:val="000000"/>
          <w:sz w:val="24"/>
          <w:szCs w:val="24"/>
          <w:highlight w:val="none"/>
          <w:rtl w:val="0"/>
          <w:lang w:val="en-US" w:eastAsia="zh-CN"/>
        </w:rPr>
        <w:t xml:space="preserve">★1.运行风险共担(投标人须提供承诺函电子件并加盖投标人公章，格式自拟，否则作无效标处理。)</w:t>
      </w:r>
      <w:r>
        <w:rPr>
          <w:rFonts w:hint="eastAsia" w:ascii="宋体" w:hAnsi="宋体" w:eastAsia="宋体" w:cs="宋体"/>
          <w:b/>
          <w:bCs w:val="0"/>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长护险委托承办商保机</w:t>
      </w:r>
      <w:r>
        <w:rPr>
          <w:rFonts w:hint="eastAsia" w:ascii="宋体" w:hAnsi="宋体" w:eastAsia="宋体" w:cs="宋体"/>
          <w:bCs/>
          <w:color w:val="000000"/>
          <w:sz w:val="24"/>
          <w:szCs w:val="24"/>
          <w:highlight w:val="none"/>
          <w:rtl w:val="0"/>
          <w:lang w:val="en-US" w:eastAsia="zh-CN"/>
        </w:rPr>
        <w:t xml:space="preserve">构参与经办，承办商保机构与长护险基金实行风险共担机制，长护险收入扣除长护险待遇支出(按“待遇支付标准”计算)、评估费用支出(初评评估费用+复评评估费用)、该统筹当期承办服务费（从当期长护险基金收入中计提，计提标准以本次中标的乙方“承办服务费”最终报价确定）后，如出现亏损，长护险保费收支结余如出现亏损，亏损2%(含)以内的部分由承办商保机构承担，2%以上的部分，经医疗保障行政部门综合评定后，对因政策性原因导致的亏损部分，由基金承担，对非政策性原因导致的亏损部分，由承办商保机构承担；由甲方根据实际情况最终确定。</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但如有盈利，则盈利部分全额返还基金。</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2.保险事务共办</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长护险经办事务由医保经办机构和承办商保机构共同经办，分工负责。</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医保经办机构负责参保地长护险的经办管理事务，具体包括长护险参保登记、基金筹集、管理和使用；开展长护险承办业务的商业保险机构的招标、协议签订和管理、监督指导和考核等工作。</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商保机构承办长护险的具体事务，包括受理失能评估申请、组织评估人员开展失能评估工作；协作做好服务机构协议管理工作；长护险费用结算、待遇支付工作；负责长护险政策宣传和待遇享受人员跟踪回访工作；协助做好长护险政策调整、经办服务能力提升等调查研究工作；经办机构安排的其他工作。</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3.购买承办服务</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承办商保机构的当期承办服务费从当期长护险基金收入中计提，计提标准以本次中标的乙方“承办服务费”最终报价确定,后期综合考虑服务人口、机构运营成本、工作绩效等因素，合理调整承办服务费。承办服务费从长护险基金中支付。每年第一季度，医保部门按承办服务费的95%拨给承办商保机构。次年第一季度，根据协议履行情况、服务对象满意度情况及当期考核结果，进行当期结算。</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招录的经办服务人员薪酬、保险及福利费用；办公经费；交通工具等相关费用列入承办服务费。 </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考核退出。建立与承办质量相挂钩的考核机制，定期对承办商保机构合同履行情况、基金运行管理情况、服务质效情况等进行考核，如有承办商保机构当期考核不通过，则终止合同。</w:t>
      </w:r>
      <w:r>
        <w:rPr>
          <w:rFonts w:hint="eastAsia" w:ascii="宋体" w:hAnsi="宋体" w:eastAsia="宋体" w:cs="宋体"/>
          <w:bCs/>
          <w:color w:val="000000"/>
          <w:sz w:val="24"/>
          <w:szCs w:val="24"/>
          <w:highlight w:val="none"/>
          <w:rtl w:val="0"/>
          <w:lang w:val="en-US" w:eastAsia="zh-CN"/>
        </w:rPr>
      </w:r>
      <w:r/>
    </w:p>
    <w:p>
      <w:pPr>
        <w:pStyle w:val="921"/>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十三、考核与管理</w:t>
      </w:r>
      <w:r>
        <w:rPr>
          <w:rFonts w:hint="eastAsia" w:ascii="宋体" w:hAnsi="宋体" w:eastAsia="宋体" w:cs="宋体"/>
          <w:b/>
          <w:bCs/>
          <w:color w:val="000000"/>
          <w:sz w:val="24"/>
          <w:szCs w:val="24"/>
          <w:highlight w:val="none"/>
          <w:lang w:val="en-US" w:eastAsia="zh-CN"/>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医保经办机构有权邀请相关专业机构和定点服务机构组成考核小组对承办商保机构相关工作进行考核评价，内容包括但不限于：合同履行情况、基金运行管理情况、服务质效情况和促进参保扩面情况等，承办商保机构须积极配合。如有承办商保机构当期考核不通过，则终止合同。</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2.建立健全长护险基金监管机制，对基金使用情况、医疗护理服务、欺诈骗保等进行监督管理。</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3.医保经办机构建立举报投诉、信息披露、基金监管、欺诈防范等监管机制。对承办商保机构政策制度执行情况及业务经办情况进行实时督查。</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4.承办商保机构应建立费用审核、内部控制、日常巡查、运行分析等管理制度，通过信息系统、抽查询访、满意度调查等途径，对评估结果、定点护理机构服务质量及待遇享受等情况进行跟踪管理。</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承办商保机构应发挥精准精细服务优势，以护理服务为抓手，引导群众及其家庭成员及时参保缴费，实现应保尽保。宣传动员灵活就业人员、个体工商户参加职工基本医保，进一步优化参保结构，扩大长期护理保险参保人数。</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6.承办商保机构、定点服务机构及其工作人员、参保人员等存在违法违规行为造成基金损失的，可参照医疗保障基金使用监督管理有关规定处理。构成犯罪的，移送司法机关追究刑事责任。</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7.建立健全长护险诚信档案，根据信用评价等级分级分类监督管理，对失信行为按照国家有关规定实施惩戒。</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十四、双方权利和义务</w:t>
      </w:r>
      <w:r>
        <w:rPr>
          <w:rFonts w:hint="eastAsia" w:ascii="宋体" w:hAnsi="宋体" w:eastAsia="宋体" w:cs="宋体"/>
          <w:b/>
          <w:bCs/>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（一）甲方权利与义务</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甲方有权对合同规定范围内乙方的服务进行监督和检查，有权定期核对乙方提供服务所配备的人员数量、办公设备、场所及相关交通工具等开展长护险业务必备资源。</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1.甲方应协助提供长护险核查所需的相关资料。依托宿迁市长期护理保险信息系统提供必要的信息。</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2.甲方应加强长护险基金管理，完善付费方式及结算办法，及时审核并与乙方进行结算。</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3.甲方为乙方进驻定点护理机构完成长护险核查工作尽可能提供支持。</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4.乙方若对宿迁市长期护理保险信息系统计算结果或对甲方审核的费用等有异议，可向甲方申请复核，甲方应积极予以配合。</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5.甲方通过建立投诉受理渠道、日常抽查等多种方式对乙方提供服务及赔付情况进行考核，保证服务质量。</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6.国家法律、法规所规定的由甲方承担的其他责任。</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（二）乙方权利与义务</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1.乙方须</w:t>
      </w:r>
      <w:r>
        <w:rPr>
          <w:rFonts w:hint="eastAsia" w:ascii="宋体" w:hAnsi="宋体" w:eastAsia="宋体" w:cs="宋体"/>
          <w:b w:val="0"/>
          <w:bCs w:val="0"/>
          <w:strike w:val="0"/>
          <w:color w:val="000000"/>
          <w:sz w:val="24"/>
          <w:szCs w:val="24"/>
          <w:highlight w:val="none"/>
          <w:lang w:val="en-US" w:eastAsia="zh-CN"/>
        </w:rPr>
        <w:t xml:space="preserve">为本项目配备长护险经办服务全日制工作人员1名,派驻相应数量的工作人员至医保经办机构共同办理长护险经办业务。</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乙方协助评估人员开展评估相关工作、定点服务机构服务行为进行监管，包括协助审核参保人员身份、告知参保人员权益和义务以及护理服务合规性核查等，负责开展业务派单、失能人员评估、费用结算、待遇支付、基金运行监测、长护险待遇享受人员跟踪回访、稽核调查工作等工作。</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3.发挥优势配合甲方做好苏宿园区职工参保缴费宣传工作。</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4.乙方对甲方提供的参保人信息以及相关资料承担保密责任，不得用于其他用途，不得向第三方泄露。</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5.未经甲方书面同意，乙方不得将本保险合同业务转让转包给任何第三方。</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6.长护险政策宣传、咨询回复、投诉处理等工作。</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7.医保经办机构安排的其他工作。</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8.以宿迁市长护险相关政策文件为指导开展工作。</w:t>
      </w:r>
      <w:r>
        <w:rPr>
          <w:rFonts w:hint="eastAsia" w:ascii="宋体" w:hAnsi="宋体" w:eastAsia="宋体" w:cs="宋体"/>
          <w:b w:val="0"/>
          <w:bCs w:val="0"/>
          <w:color w:val="000000"/>
          <w:sz w:val="24"/>
          <w:szCs w:val="24"/>
          <w:highlight w:val="none"/>
          <w:lang w:val="en-US" w:eastAsia="zh-CN" w:bidi="ar-SA"/>
        </w:rPr>
      </w:r>
      <w:r/>
    </w:p>
    <w:p>
      <w:pPr>
        <w:pStyle w:val="1054"/>
        <w:ind w:firstLine="560"/>
        <w:jc w:val="both"/>
        <w:keepLines w:val="0"/>
        <w:keepNext w:val="0"/>
        <w:pageBreakBefore w:val="0"/>
        <w:spacing w:line="4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十五、</w:t>
      </w:r>
      <w:r>
        <w:rPr>
          <w:rFonts w:hint="eastAsia" w:ascii="宋体" w:hAnsi="宋体" w:eastAsia="宋体" w:cs="宋体"/>
          <w:b/>
          <w:bCs w:val="0"/>
          <w:sz w:val="24"/>
          <w:szCs w:val="24"/>
          <w:highlight w:val="none"/>
        </w:rPr>
        <w:t xml:space="preserve">违约责任</w:t>
      </w:r>
      <w:r>
        <w:rPr>
          <w:rFonts w:hint="eastAsia" w:ascii="宋体" w:hAnsi="宋体" w:eastAsia="宋体" w:cs="宋体"/>
          <w:b/>
          <w:bCs w:val="0"/>
          <w:sz w:val="24"/>
          <w:szCs w:val="24"/>
          <w:highlight w:val="none"/>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.1甲方无正当理由拒绝接受乙方提供合格服务的，甲方向乙方偿付拒绝接受合同价款总值</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的违约金。</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.2 甲方无故逾期验收和办理合同款项支付手续的,甲方应按逾期付款总额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每日向乙方支付违约金。</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.3 乙方逾期交付合同标的的，乙方应按合同总额每日</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的违约金，如造成甲方损失超过违约金的，超出部分由乙方继续承担赔偿责任。 </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.4 若乙方未按照甲方及本合同要求提供项目成果，或成果质量较差经甲方验收不合格的，乙方应按照甲方要求限期重新提交，由此产生的费用由乙方自行承担，若因此导致乙方逾期交付的，乙方应承担相应逾期交付的违约责任。乙方应保证本项目通过审查，如因乙方原因导致项目未通过的，甲方有权解除本合同并要求乙方支付本合同价款总额30%的违约金，同时乙方无权要求甲方支付任何费用。</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.5 乙方应依照国家有关技术标准及甲方要求开展服务活动。乙方应为其服务人员采取必要的安全防范措施，服务期间若乙方人员发生安全事故、疾病伤害、猝死等，均由乙方作为用人单位承担相应责任，乙方应负责办理相关工伤或保险理赔等手续，所需金额如理赔不足的，剩余部分则由乙方承担。甲方不承担任何责任，也无需支付任何补偿金、赔偿金、人道主义慰问金等。</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.6 乙方应赔偿甲方的损失、支付给甲方的违约金以及其他依据本合同应支付给甲方的费用，甲方有权直接从未支付款项中予以扣除，不足部分有权要求乙方予以补足。</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.7若乙方的违约行为给甲方造成了损失，乙方应依法承担相关责任。在任何情形下，乙方在本协议项下或与此相关的责任（包括但不限于合同、侵权或其他）总额将不超过乙方根据本协议已收取的服务费用数额。</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15.8</w:t>
      </w:r>
      <w:r>
        <w:rPr>
          <w:rFonts w:hint="eastAsia" w:ascii="宋体" w:hAnsi="宋体" w:eastAsia="宋体" w:cs="宋体"/>
          <w:color w:val="000000"/>
          <w:sz w:val="24"/>
          <w:szCs w:val="24"/>
        </w:rPr>
        <w:t xml:space="preserve">乙方利用专业技术和行业信息优势之便，故意隐瞒和掩盖自身过失，违背投标承诺和未尽义务，甲方有权解除合同</w:t>
      </w:r>
      <w:r>
        <w:rPr>
          <w:rFonts w:hint="eastAsia" w:ascii="宋体" w:hAnsi="宋体" w:eastAsia="宋体" w:cs="宋体"/>
          <w:color w:val="000000"/>
          <w:sz w:val="24"/>
          <w:szCs w:val="24"/>
          <w:lang w:val="en-US" w:eastAsia="zh-CN"/>
        </w:rPr>
        <w:t xml:space="preserve">并</w:t>
      </w:r>
      <w:r>
        <w:rPr>
          <w:rFonts w:hint="eastAsia" w:ascii="宋体" w:hAnsi="宋体" w:eastAsia="宋体" w:cs="宋体"/>
          <w:color w:val="000000"/>
          <w:sz w:val="24"/>
          <w:szCs w:val="24"/>
        </w:rPr>
        <w:t xml:space="preserve">追究乙方的违约责任。</w:t>
      </w:r>
      <w:r>
        <w:rPr>
          <w:rFonts w:hint="eastAsia" w:ascii="宋体" w:hAnsi="宋体" w:eastAsia="宋体" w:cs="宋体"/>
          <w:color w:val="000000"/>
          <w:sz w:val="24"/>
          <w:szCs w:val="24"/>
        </w:rPr>
      </w:r>
      <w:r/>
    </w:p>
    <w:p>
      <w:pPr>
        <w:pStyle w:val="1054"/>
        <w:ind w:firstLine="560"/>
        <w:keepLines w:val="0"/>
        <w:keepNext w:val="0"/>
        <w:pageBreakBefore w:val="0"/>
        <w:spacing w:line="4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十六、</w:t>
      </w:r>
      <w:r>
        <w:rPr>
          <w:rFonts w:hint="eastAsia" w:ascii="宋体" w:hAnsi="宋体" w:eastAsia="宋体" w:cs="宋体"/>
          <w:b/>
          <w:bCs w:val="0"/>
          <w:color w:val="000000"/>
          <w:sz w:val="24"/>
          <w:szCs w:val="24"/>
          <w:highlight w:val="none"/>
        </w:rPr>
        <w:t xml:space="preserve">特殊情况处理</w:t>
      </w:r>
      <w:r>
        <w:rPr>
          <w:rFonts w:hint="eastAsia" w:ascii="宋体" w:hAnsi="宋体" w:eastAsia="宋体" w:cs="宋体"/>
          <w:b/>
          <w:bCs w:val="0"/>
          <w:color w:val="000000"/>
          <w:sz w:val="24"/>
          <w:szCs w:val="24"/>
          <w:highlight w:val="none"/>
        </w:rPr>
      </w:r>
      <w:r/>
    </w:p>
    <w:p>
      <w:pPr>
        <w:pStyle w:val="1054"/>
        <w:ind w:firstLine="560"/>
        <w:keepLines w:val="0"/>
        <w:keepNext w:val="0"/>
        <w:pageBreakBefore w:val="0"/>
        <w:spacing w:line="400" w:lineRule="exact"/>
        <w:rPr>
          <w:rFonts w:hint="eastAsia" w:ascii="宋体" w:hAnsi="宋体" w:eastAsia="宋体" w:cs="宋体"/>
          <w:b/>
          <w:bCs/>
          <w:sz w:val="24"/>
          <w:szCs w:val="32"/>
        </w:rPr>
      </w:pPr>
      <w:r>
        <w:rPr>
          <w:rFonts w:hint="eastAsia" w:ascii="宋体" w:hAnsi="宋体" w:eastAsia="宋体" w:cs="宋体"/>
          <w:b w:val="0"/>
          <w:bCs/>
          <w:color w:val="000000"/>
          <w:sz w:val="24"/>
          <w:szCs w:val="24"/>
          <w:highlight w:val="none"/>
        </w:rPr>
        <w:t xml:space="preserve">如因乙方不能履行合同，影响了参保人权益，</w:t>
      </w:r>
      <w:r>
        <w:rPr>
          <w:rFonts w:hint="eastAsia" w:ascii="宋体" w:hAnsi="宋体" w:eastAsia="宋体" w:cs="宋体"/>
          <w:b w:val="0"/>
          <w:bCs/>
          <w:sz w:val="24"/>
          <w:szCs w:val="24"/>
          <w:highlight w:val="none"/>
        </w:rPr>
        <w:t xml:space="preserve">甲方按政策规定履行职能，有权解除合同，停止支付尚未支付的</w:t>
      </w:r>
      <w:r>
        <w:rPr>
          <w:rFonts w:hint="eastAsia" w:ascii="宋体" w:hAnsi="宋体" w:eastAsia="宋体" w:cs="宋体"/>
          <w:b w:val="0"/>
          <w:bCs/>
          <w:sz w:val="24"/>
          <w:szCs w:val="24"/>
          <w:highlight w:val="none"/>
          <w:lang w:eastAsia="zh-CN"/>
        </w:rPr>
        <w:t xml:space="preserve">长护</w:t>
      </w:r>
      <w:r>
        <w:rPr>
          <w:rFonts w:hint="eastAsia" w:ascii="宋体" w:hAnsi="宋体" w:eastAsia="宋体" w:cs="宋体"/>
          <w:b w:val="0"/>
          <w:bCs/>
          <w:sz w:val="24"/>
          <w:szCs w:val="24"/>
          <w:highlight w:val="none"/>
        </w:rPr>
        <w:t xml:space="preserve">保险费，并报相关部门追究其责任</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乙方还应按照考核金总额的3倍支付甲方违约金，若甲方损失大于违约金数额，乙方应予补足。</w:t>
      </w:r>
      <w:r>
        <w:rPr>
          <w:rFonts w:hint="eastAsia" w:ascii="宋体" w:hAnsi="宋体" w:eastAsia="宋体" w:cs="宋体"/>
          <w:b/>
          <w:bCs/>
          <w:sz w:val="24"/>
          <w:szCs w:val="32"/>
        </w:rPr>
      </w:r>
      <w:r/>
    </w:p>
    <w:p>
      <w:pPr>
        <w:pStyle w:val="921"/>
        <w:ind w:firstLine="480"/>
        <w:jc w:val="left"/>
        <w:keepLines w:val="0"/>
        <w:keepNext w:val="0"/>
        <w:pageBreakBefore w:val="0"/>
        <w:spacing w:line="400" w:lineRule="exact"/>
        <w:rPr>
          <w:rFonts w:hint="eastAsia" w:ascii="宋体" w:hAnsi="宋体" w:eastAsia="宋体" w:cs="宋体"/>
          <w:b/>
          <w:bCs/>
          <w:sz w:val="24"/>
          <w:szCs w:val="32"/>
        </w:rPr>
      </w:pPr>
      <w:r>
        <w:rPr>
          <w:rFonts w:hint="eastAsia" w:ascii="宋体" w:hAnsi="宋体" w:eastAsia="宋体" w:cs="宋体"/>
          <w:b/>
          <w:bCs/>
          <w:sz w:val="24"/>
          <w:szCs w:val="32"/>
          <w:lang w:val="en-US" w:eastAsia="zh-CN"/>
        </w:rPr>
        <w:t xml:space="preserve">十七</w:t>
      </w:r>
      <w:r>
        <w:rPr>
          <w:rFonts w:hint="eastAsia" w:ascii="宋体" w:hAnsi="宋体" w:eastAsia="宋体" w:cs="宋体"/>
          <w:b/>
          <w:bCs/>
          <w:sz w:val="24"/>
          <w:szCs w:val="32"/>
        </w:rPr>
        <w:t xml:space="preserve">、验收要求</w:t>
      </w:r>
      <w:r>
        <w:rPr>
          <w:rFonts w:hint="eastAsia" w:ascii="宋体" w:hAnsi="宋体" w:eastAsia="宋体" w:cs="宋体"/>
          <w:b/>
          <w:bCs/>
          <w:sz w:val="24"/>
          <w:szCs w:val="32"/>
        </w:rPr>
      </w:r>
      <w:r/>
    </w:p>
    <w:p>
      <w:pPr>
        <w:pStyle w:val="921"/>
        <w:ind w:firstLine="480"/>
        <w:jc w:val="left"/>
        <w:keepLines w:val="0"/>
        <w:keepNext w:val="0"/>
        <w:pageBreakBefore w:val="0"/>
        <w:spacing w:line="400" w:lineRule="exact"/>
        <w:rPr>
          <w:rFonts w:hint="eastAsia" w:ascii="宋体" w:hAnsi="宋体" w:eastAsia="宋体" w:cs="宋体"/>
          <w:sz w:val="24"/>
          <w:szCs w:val="32"/>
        </w:rPr>
      </w:pPr>
      <w:r>
        <w:rPr>
          <w:rFonts w:hint="eastAsia" w:ascii="宋体" w:hAnsi="宋体" w:eastAsia="宋体" w:cs="宋体"/>
          <w:sz w:val="24"/>
          <w:szCs w:val="32"/>
        </w:rPr>
        <w:t xml:space="preserve">提交的成果资料符合相关规范、符合</w:t>
      </w:r>
      <w:r>
        <w:rPr>
          <w:rFonts w:hint="eastAsia" w:ascii="宋体" w:hAnsi="宋体" w:eastAsia="宋体" w:cs="宋体"/>
          <w:sz w:val="24"/>
          <w:szCs w:val="32"/>
          <w:lang w:eastAsia="zh-CN"/>
        </w:rPr>
        <w:t xml:space="preserve">苏州宿迁工业园区社会保险基金管理中心</w:t>
      </w:r>
      <w:r>
        <w:rPr>
          <w:rFonts w:hint="eastAsia" w:ascii="宋体" w:hAnsi="宋体" w:eastAsia="宋体" w:cs="宋体"/>
          <w:sz w:val="24"/>
          <w:szCs w:val="32"/>
        </w:rPr>
        <w:t xml:space="preserve">有关要求，并顺利通过甲方验收合格。</w:t>
      </w:r>
      <w:r>
        <w:rPr>
          <w:rFonts w:hint="eastAsia" w:ascii="宋体" w:hAnsi="宋体" w:eastAsia="宋体" w:cs="宋体"/>
          <w:sz w:val="24"/>
          <w:szCs w:val="32"/>
        </w:rPr>
      </w:r>
      <w:r/>
    </w:p>
    <w:p>
      <w:pPr>
        <w:pStyle w:val="921"/>
        <w:ind w:firstLine="482"/>
        <w:keepLines w:val="0"/>
        <w:keepNext w:val="0"/>
        <w:pageBreakBefore w:val="0"/>
        <w:spacing w:before="120" w:after="120"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十八</w:t>
      </w:r>
      <w:r>
        <w:rPr>
          <w:rFonts w:hint="eastAsia" w:ascii="宋体" w:hAnsi="宋体" w:eastAsia="宋体" w:cs="宋体"/>
          <w:b/>
          <w:sz w:val="24"/>
          <w:szCs w:val="24"/>
        </w:rPr>
        <w:t xml:space="preserve">、供应商合法权益补偿机制</w:t>
      </w:r>
      <w:r>
        <w:rPr>
          <w:rFonts w:hint="eastAsia" w:ascii="宋体" w:hAnsi="宋体" w:eastAsia="宋体" w:cs="宋体"/>
          <w:b/>
          <w:sz w:val="24"/>
          <w:szCs w:val="24"/>
        </w:rPr>
      </w:r>
      <w:r/>
    </w:p>
    <w:p>
      <w:pPr>
        <w:pStyle w:val="1073"/>
        <w:ind w:firstLine="480"/>
        <w:keepLines w:val="0"/>
        <w:keepNext w:val="0"/>
        <w:pageBreakBefore w:val="0"/>
        <w:spacing w:before="87" w:after="87" w:line="400" w:lineRule="exact"/>
        <w:rPr>
          <w:rFonts w:hint="eastAsia" w:ascii="宋体" w:hAnsi="宋体" w:eastAsia="宋体" w:cs="宋体"/>
          <w:sz w:val="24"/>
          <w:szCs w:val="24"/>
        </w:rPr>
      </w:pPr>
      <w:r/>
      <w:bookmarkStart w:id="192" w:name="_Toc23650"/>
      <w:r>
        <w:rPr>
          <w:rFonts w:hint="eastAsia" w:ascii="宋体" w:hAnsi="宋体" w:eastAsia="宋体" w:cs="宋体"/>
          <w:sz w:val="24"/>
          <w:szCs w:val="24"/>
        </w:rPr>
        <w:t xml:space="preserve">乙方合法权益补偿救济机制。在履约过程因政策变化、规划调整而无法履行合同约定，造成企业合法权益受损的，甲方依据实际情况对乙方进行补偿救济。</w:t>
      </w:r>
      <w:bookmarkEnd w:id="192"/>
      <w:r>
        <w:rPr>
          <w:rFonts w:hint="eastAsia" w:ascii="宋体" w:hAnsi="宋体" w:eastAsia="宋体" w:cs="宋体"/>
          <w:sz w:val="24"/>
          <w:szCs w:val="24"/>
        </w:rPr>
      </w:r>
      <w:r/>
    </w:p>
    <w:p>
      <w:pPr>
        <w:pStyle w:val="921"/>
        <w:ind w:firstLine="482"/>
        <w:keepLines w:val="0"/>
        <w:keepNext w:val="0"/>
        <w:pageBreakBefore w:val="0"/>
        <w:spacing w:before="120" w:after="120"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十九</w:t>
      </w:r>
      <w:r>
        <w:rPr>
          <w:rFonts w:hint="eastAsia" w:ascii="宋体" w:hAnsi="宋体" w:eastAsia="宋体" w:cs="宋体"/>
          <w:b/>
          <w:sz w:val="24"/>
          <w:szCs w:val="24"/>
        </w:rPr>
        <w:t xml:space="preserve">、不可抗力事件处理</w:t>
      </w:r>
      <w:r>
        <w:rPr>
          <w:rFonts w:hint="eastAsia" w:ascii="宋体" w:hAnsi="宋体" w:eastAsia="宋体" w:cs="宋体"/>
          <w:b/>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.1 在合同有效期内，任何一方因不可抗力事件导致不能履行合同，则合同履行期可延长，其延长期与不可抗力影响期相同。</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.2 不可抗力事件发生后，应在3日内通知对方，并最晚在7日内寄送有关权威机构出具的书面证明文件。</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.3 不可抗力事件延续120天以上，双方应通过友好协商，确定是否继续履行合同。</w:t>
      </w:r>
      <w:r>
        <w:rPr>
          <w:rFonts w:hint="eastAsia" w:ascii="宋体" w:hAnsi="宋体" w:eastAsia="宋体" w:cs="宋体"/>
          <w:sz w:val="24"/>
          <w:szCs w:val="24"/>
        </w:rPr>
      </w:r>
      <w:r/>
    </w:p>
    <w:p>
      <w:pPr>
        <w:pStyle w:val="921"/>
        <w:ind w:firstLine="482"/>
        <w:keepLines w:val="0"/>
        <w:keepNext w:val="0"/>
        <w:pageBreakBefore w:val="0"/>
        <w:spacing w:before="120" w:after="120"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二十</w:t>
      </w:r>
      <w:r>
        <w:rPr>
          <w:rFonts w:hint="eastAsia" w:ascii="宋体" w:hAnsi="宋体" w:eastAsia="宋体" w:cs="宋体"/>
          <w:b/>
          <w:sz w:val="24"/>
          <w:szCs w:val="24"/>
        </w:rPr>
        <w:t xml:space="preserve">、解决争议的方法</w:t>
      </w:r>
      <w:r>
        <w:rPr>
          <w:rFonts w:hint="eastAsia" w:ascii="宋体" w:hAnsi="宋体" w:eastAsia="宋体" w:cs="宋体"/>
          <w:b/>
          <w:sz w:val="24"/>
          <w:szCs w:val="24"/>
        </w:rPr>
      </w:r>
      <w:r/>
    </w:p>
    <w:p>
      <w:pPr>
        <w:pStyle w:val="921"/>
        <w:ind w:firstLine="480"/>
        <w:keepLines w:val="0"/>
        <w:keepNext w:val="0"/>
        <w:pageBreakBefore w:val="0"/>
        <w:spacing w:before="120" w:after="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.1双方在签订、履行合同中所发生的一切争议，应通过友好协商解决。如协商不成，由甲方住所地人民法院管辖。</w:t>
      </w:r>
      <w:bookmarkStart w:id="193" w:name="OLE_LINK263"/>
      <w:r/>
      <w:bookmarkStart w:id="194" w:name="OLE_LINK73"/>
      <w:r/>
      <w:bookmarkStart w:id="195" w:name="OLE_LINK170"/>
      <w:r/>
      <w:bookmarkStart w:id="196" w:name="OLE_LINK814"/>
      <w:r/>
      <w:bookmarkStart w:id="197" w:name="OLE_LINK815"/>
      <w:r/>
      <w:bookmarkStart w:id="198" w:name="OLE_LINK264"/>
      <w:r>
        <w:rPr>
          <w:rFonts w:hint="eastAsia" w:ascii="宋体" w:hAnsi="宋体" w:eastAsia="宋体" w:cs="宋体"/>
          <w:sz w:val="24"/>
        </w:rPr>
        <w:t xml:space="preserve">若</w:t>
      </w:r>
      <w:bookmarkStart w:id="199" w:name="OLE_LINK103"/>
      <w:r/>
      <w:bookmarkStart w:id="200" w:name="OLE_LINK102"/>
      <w:r>
        <w:rPr>
          <w:rFonts w:hint="eastAsia" w:ascii="宋体" w:hAnsi="宋体" w:eastAsia="宋体" w:cs="宋体"/>
          <w:sz w:val="24"/>
        </w:rPr>
        <w:t xml:space="preserve">由于乙方违约或乙方追究甲方违约不成立的而产生纠纷的，甲方为处理纠纷产生的费用由乙方承担，该费用包括但不限于保全费、诉讼费、鉴定费、律师费、差旅费等</w:t>
      </w:r>
      <w:bookmarkEnd w:id="193"/>
      <w:r/>
      <w:bookmarkEnd w:id="194"/>
      <w:r/>
      <w:bookmarkEnd w:id="195"/>
      <w:r/>
      <w:bookmarkEnd w:id="196"/>
      <w:r/>
      <w:bookmarkEnd w:id="197"/>
      <w:r/>
      <w:bookmarkEnd w:id="198"/>
      <w:r/>
      <w:bookmarkEnd w:id="199"/>
      <w:r/>
      <w:bookmarkEnd w:id="200"/>
      <w:r>
        <w:rPr>
          <w:rFonts w:hint="eastAsia" w:ascii="宋体" w:hAnsi="宋体" w:eastAsia="宋体" w:cs="宋体"/>
          <w:sz w:val="24"/>
        </w:rPr>
        <w:t xml:space="preserve">。</w:t>
      </w:r>
      <w:r>
        <w:rPr>
          <w:rFonts w:hint="eastAsia" w:ascii="宋体" w:hAnsi="宋体" w:eastAsia="宋体" w:cs="宋体"/>
          <w:sz w:val="24"/>
          <w:szCs w:val="24"/>
        </w:rPr>
      </w:r>
      <w:r/>
    </w:p>
    <w:p>
      <w:pPr>
        <w:pStyle w:val="921"/>
        <w:ind w:firstLine="482"/>
        <w:keepLines w:val="0"/>
        <w:keepNext w:val="0"/>
        <w:pageBreakBefore w:val="0"/>
        <w:spacing w:before="120" w:after="120"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二十一</w:t>
      </w:r>
      <w:r>
        <w:rPr>
          <w:rFonts w:hint="eastAsia" w:ascii="宋体" w:hAnsi="宋体" w:eastAsia="宋体" w:cs="宋体"/>
          <w:b/>
          <w:sz w:val="24"/>
          <w:szCs w:val="24"/>
        </w:rPr>
        <w:t xml:space="preserve">、合同生效及其它</w:t>
      </w:r>
      <w:r>
        <w:rPr>
          <w:rFonts w:hint="eastAsia" w:ascii="宋体" w:hAnsi="宋体" w:eastAsia="宋体" w:cs="宋体"/>
          <w:b/>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.1 合同经双方法定代表人或授权委托代表人签字并加盖单位公章后生效。</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.2本合同未尽事宜，遵照《民法典》《政府采购法》有关条文执行。</w:t>
      </w:r>
      <w:r>
        <w:rPr>
          <w:rFonts w:hint="eastAsia" w:ascii="宋体" w:hAnsi="宋体" w:eastAsia="宋体" w:cs="宋体"/>
          <w:sz w:val="24"/>
          <w:szCs w:val="24"/>
        </w:rPr>
      </w:r>
      <w:r/>
    </w:p>
    <w:p>
      <w:pPr>
        <w:pStyle w:val="921"/>
        <w:ind w:firstLine="480"/>
        <w:keepLines w:val="0"/>
        <w:keepNext w:val="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.3 </w:t>
      </w:r>
      <w:r>
        <w:rPr>
          <w:rFonts w:hint="eastAsia" w:ascii="宋体" w:hAnsi="宋体" w:eastAsia="宋体" w:cs="宋体"/>
          <w:sz w:val="24"/>
          <w:szCs w:val="24"/>
          <w:lang w:val="zh-CN"/>
        </w:rPr>
        <w:t xml:space="preserve">本合同正本一式</w:t>
      </w:r>
      <w:r>
        <w:rPr>
          <w:rFonts w:hint="eastAsia" w:ascii="宋体" w:hAnsi="宋体" w:eastAsia="宋体" w:cs="宋体"/>
          <w:sz w:val="24"/>
          <w:szCs w:val="24"/>
        </w:rPr>
        <w:t xml:space="preserve">陆</w:t>
      </w:r>
      <w:r>
        <w:rPr>
          <w:rFonts w:hint="eastAsia" w:ascii="宋体" w:hAnsi="宋体" w:eastAsia="宋体" w:cs="宋体"/>
          <w:sz w:val="24"/>
          <w:szCs w:val="24"/>
          <w:lang w:val="zh-CN"/>
        </w:rPr>
        <w:t xml:space="preserve">份，具有同等法律效力，甲方、乙方各执</w:t>
      </w:r>
      <w:r>
        <w:rPr>
          <w:rFonts w:hint="eastAsia" w:ascii="宋体" w:hAnsi="宋体" w:eastAsia="宋体" w:cs="宋体"/>
          <w:sz w:val="24"/>
          <w:szCs w:val="24"/>
        </w:rPr>
        <w:t xml:space="preserve">叁</w:t>
      </w:r>
      <w:r>
        <w:rPr>
          <w:rFonts w:hint="eastAsia" w:ascii="宋体" w:hAnsi="宋体" w:eastAsia="宋体" w:cs="宋体"/>
          <w:sz w:val="24"/>
          <w:szCs w:val="24"/>
          <w:lang w:val="zh-CN"/>
        </w:rPr>
        <w:t xml:space="preserve">份。</w:t>
      </w:r>
      <w:r>
        <w:rPr>
          <w:rFonts w:hint="eastAsia" w:ascii="宋体" w:hAnsi="宋体" w:eastAsia="宋体" w:cs="宋体"/>
          <w:sz w:val="24"/>
          <w:szCs w:val="24"/>
          <w:lang w:val="zh-CN"/>
        </w:rPr>
      </w:r>
      <w:r/>
    </w:p>
    <w:p>
      <w:pPr>
        <w:pStyle w:val="921"/>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.4双方所确认的负责人、联系方式及法律文书送达地址（本合同首部载明的地址），如发生变更的，应当于变更之日起3日内书面通知另一方，未通知的自行承担由此引起的送达不能等一切不利后果。</w:t>
      </w: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（以下无正文）</w:t>
      </w:r>
      <w:r>
        <w:rPr>
          <w:rFonts w:hint="eastAsia" w:ascii="宋体" w:hAnsi="宋体" w:eastAsia="宋体" w:cs="宋体"/>
          <w:sz w:val="24"/>
          <w:szCs w:val="24"/>
        </w:rPr>
      </w:r>
      <w:r/>
    </w:p>
    <w:p>
      <w:pPr>
        <w:pStyle w:val="921"/>
        <w:ind w:left="479" w:hanging="240"/>
        <w:spacing w:before="120" w:after="120" w:line="480" w:lineRule="exact"/>
        <w:rPr>
          <w:rFonts w:hint="eastAsia" w:ascii="宋体" w:hAnsi="宋体" w:eastAsia="宋体" w:cs="宋体"/>
          <w:sz w:val="24"/>
          <w:szCs w:val="24"/>
        </w:rPr>
      </w:pPr>
      <w:r>
        <w:rPr>
          <w:rFonts w:hint="eastAsia" w:ascii="宋体" w:hAnsi="宋体" w:eastAsia="宋体" w:cs="宋体"/>
          <w:sz w:val="24"/>
          <w:szCs w:val="24"/>
        </w:rPr>
        <w:t xml:space="preserve">甲方：                        乙方： </w:t>
      </w:r>
      <w:r>
        <w:rPr>
          <w:rFonts w:hint="eastAsia" w:ascii="宋体" w:hAnsi="宋体" w:eastAsia="宋体" w:cs="宋体"/>
          <w:sz w:val="24"/>
          <w:szCs w:val="24"/>
        </w:rPr>
      </w:r>
      <w:r/>
    </w:p>
    <w:p>
      <w:pPr>
        <w:pStyle w:val="921"/>
        <w:spacing w:before="120" w:after="120" w:line="480" w:lineRule="exact"/>
        <w:rPr>
          <w:rFonts w:hint="eastAsia" w:ascii="宋体" w:hAnsi="宋体" w:eastAsia="宋体" w:cs="宋体"/>
          <w:sz w:val="24"/>
          <w:szCs w:val="24"/>
        </w:rPr>
      </w:pPr>
      <w:r>
        <w:rPr>
          <w:rFonts w:hint="eastAsia" w:ascii="宋体" w:hAnsi="宋体" w:eastAsia="宋体" w:cs="宋体"/>
          <w:sz w:val="24"/>
          <w:szCs w:val="24"/>
        </w:rPr>
        <w:t xml:space="preserve">  地址：                        地址： </w:t>
      </w:r>
      <w:r>
        <w:rPr>
          <w:rFonts w:hint="eastAsia" w:ascii="宋体" w:hAnsi="宋体" w:eastAsia="宋体" w:cs="宋体"/>
          <w:sz w:val="24"/>
          <w:szCs w:val="24"/>
        </w:rPr>
      </w:r>
      <w:r/>
    </w:p>
    <w:p>
      <w:pPr>
        <w:pStyle w:val="921"/>
        <w:spacing w:before="120" w:after="120" w:line="480" w:lineRule="exact"/>
        <w:rPr>
          <w:rFonts w:hint="eastAsia" w:ascii="宋体" w:hAnsi="宋体" w:eastAsia="宋体" w:cs="宋体"/>
          <w:sz w:val="24"/>
          <w:szCs w:val="24"/>
        </w:rPr>
      </w:pPr>
      <w:r>
        <w:rPr>
          <w:rFonts w:hint="eastAsia" w:ascii="宋体" w:hAnsi="宋体" w:eastAsia="宋体" w:cs="宋体"/>
          <w:sz w:val="24"/>
          <w:szCs w:val="24"/>
        </w:rPr>
        <w:t xml:space="preserve">  法定代表人或授权代表：        法定代表人或授权代表：</w:t>
      </w:r>
      <w:r>
        <w:rPr>
          <w:rFonts w:hint="eastAsia" w:ascii="宋体" w:hAnsi="宋体" w:eastAsia="宋体" w:cs="宋体"/>
          <w:sz w:val="24"/>
          <w:szCs w:val="24"/>
        </w:rPr>
      </w:r>
      <w:r/>
    </w:p>
    <w:p>
      <w:pPr>
        <w:pStyle w:val="921"/>
        <w:ind w:firstLine="240"/>
        <w:spacing w:before="120" w:after="120" w:line="480" w:lineRule="exact"/>
        <w:rPr>
          <w:rFonts w:hint="eastAsia" w:ascii="宋体" w:hAnsi="宋体" w:eastAsia="宋体" w:cs="宋体"/>
          <w:szCs w:val="21"/>
        </w:rPr>
      </w:pPr>
      <w:r>
        <w:rPr>
          <w:rFonts w:hint="eastAsia" w:ascii="宋体" w:hAnsi="宋体" w:eastAsia="宋体" w:cs="宋体"/>
          <w:sz w:val="24"/>
          <w:szCs w:val="24"/>
        </w:rPr>
        <w:t xml:space="preserve">联系电话：                    联系电话：          </w:t>
      </w:r>
      <w:r>
        <w:rPr>
          <w:rFonts w:hint="eastAsia" w:ascii="宋体" w:hAnsi="宋体" w:eastAsia="宋体" w:cs="宋体"/>
          <w:szCs w:val="21"/>
        </w:rPr>
      </w:r>
      <w:r/>
    </w:p>
    <w:p>
      <w:pPr>
        <w:pStyle w:val="921"/>
        <w:ind w:firstLine="420"/>
        <w:spacing w:line="480" w:lineRule="exact"/>
        <w:rPr>
          <w:rFonts w:hint="eastAsia" w:ascii="宋体" w:hAnsi="宋体" w:eastAsia="宋体" w:cs="宋体"/>
          <w:bCs/>
          <w:sz w:val="24"/>
          <w:szCs w:val="21"/>
        </w:rPr>
      </w:pPr>
      <w:r>
        <w:rPr>
          <w:rFonts w:hint="eastAsia" w:ascii="宋体" w:hAnsi="宋体" w:eastAsia="宋体" w:cs="宋体"/>
          <w:szCs w:val="21"/>
        </w:rPr>
        <w:t xml:space="preserve">                                          签订日期：      年    月   日</w:t>
      </w:r>
      <w:r>
        <w:rPr>
          <w:rFonts w:hint="eastAsia" w:ascii="宋体" w:hAnsi="宋体" w:eastAsia="宋体" w:cs="宋体"/>
          <w:bCs/>
          <w:sz w:val="24"/>
          <w:szCs w:val="21"/>
        </w:rPr>
      </w:r>
      <w:r/>
    </w:p>
    <w:p>
      <w:pPr>
        <w:pStyle w:val="921"/>
        <w:jc w:val="center"/>
        <w:rPr>
          <w:rFonts w:hint="eastAsia" w:ascii="宋体" w:hAnsi="宋体" w:eastAsia="宋体" w:cs="宋体"/>
          <w:bCs/>
          <w:sz w:val="44"/>
          <w:szCs w:val="21"/>
        </w:rPr>
        <w:outlineLvl w:val="0"/>
      </w:pPr>
      <w:r>
        <w:rPr>
          <w:rFonts w:hint="eastAsia" w:ascii="宋体" w:hAnsi="宋体" w:eastAsia="宋体" w:cs="宋体"/>
          <w:bCs/>
          <w:sz w:val="44"/>
          <w:szCs w:val="21"/>
        </w:rPr>
        <w:br w:type="page" w:clear="all"/>
      </w:r>
      <w:bookmarkStart w:id="201" w:name="_Toc5712"/>
      <w:r>
        <w:rPr>
          <w:rFonts w:hint="eastAsia" w:ascii="宋体" w:hAnsi="宋体" w:eastAsia="宋体" w:cs="宋体"/>
          <w:bCs/>
          <w:sz w:val="44"/>
          <w:szCs w:val="21"/>
        </w:rPr>
        <w:t xml:space="preserve">第</w:t>
      </w:r>
      <w:bookmarkEnd w:id="184"/>
      <w:r>
        <w:rPr>
          <w:rFonts w:hint="eastAsia" w:ascii="宋体" w:hAnsi="宋体" w:eastAsia="宋体" w:cs="宋体"/>
          <w:bCs/>
          <w:sz w:val="44"/>
          <w:szCs w:val="21"/>
        </w:rPr>
        <w:t xml:space="preserve">四章  采购需求</w:t>
      </w:r>
      <w:bookmarkEnd w:id="185"/>
      <w:r/>
      <w:bookmarkEnd w:id="186"/>
      <w:r/>
      <w:bookmarkEnd w:id="187"/>
      <w:r/>
      <w:bookmarkEnd w:id="201"/>
      <w:r/>
      <w:bookmarkStart w:id="202" w:name="_Toc49090575"/>
      <w:r/>
      <w:bookmarkStart w:id="203" w:name="_Toc26554093"/>
      <w:r>
        <w:rPr>
          <w:rFonts w:hint="eastAsia" w:ascii="宋体" w:hAnsi="宋体" w:eastAsia="宋体" w:cs="宋体"/>
          <w:bCs/>
          <w:sz w:val="44"/>
          <w:szCs w:val="21"/>
        </w:rPr>
      </w:r>
      <w:r/>
    </w:p>
    <w:p>
      <w:pPr>
        <w:pStyle w:val="921"/>
        <w:ind w:firstLine="480"/>
        <w:spacing w:before="120" w:after="120" w:line="480" w:lineRule="exact"/>
        <w:rPr>
          <w:rFonts w:hint="eastAsia" w:ascii="宋体" w:hAnsi="宋体" w:eastAsia="宋体" w:cs="宋体"/>
          <w:sz w:val="24"/>
          <w:szCs w:val="24"/>
        </w:rPr>
      </w:pPr>
      <w:r/>
      <w:bookmarkStart w:id="204" w:name="_Toc120614281"/>
      <w:r>
        <w:rPr>
          <w:rFonts w:hint="eastAsia" w:ascii="宋体" w:hAnsi="宋体" w:eastAsia="宋体" w:cs="宋体"/>
          <w:sz w:val="24"/>
          <w:szCs w:val="24"/>
        </w:rPr>
        <w:t xml:space="preserve">项目属性：服务类项目</w:t>
      </w:r>
      <w:r>
        <w:rPr>
          <w:rFonts w:hint="eastAsia" w:ascii="宋体" w:hAnsi="宋体" w:eastAsia="宋体" w:cs="宋体"/>
          <w:sz w:val="24"/>
          <w:szCs w:val="24"/>
        </w:rPr>
      </w:r>
      <w:r/>
    </w:p>
    <w:p>
      <w:pPr>
        <w:pStyle w:val="921"/>
        <w:ind w:firstLine="480"/>
        <w:spacing w:before="120" w:after="120"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本项目采购标的对应的中小企业划分标准所属行业：</w:t>
      </w:r>
      <w:r>
        <w:rPr>
          <w:rFonts w:hint="eastAsia" w:ascii="宋体" w:hAnsi="宋体" w:eastAsia="宋体" w:cs="宋体"/>
          <w:sz w:val="24"/>
          <w:szCs w:val="24"/>
          <w:u w:val="single"/>
        </w:rPr>
        <w:t xml:space="preserve">其他未列明行业</w:t>
      </w:r>
      <w:r>
        <w:rPr>
          <w:rFonts w:hint="eastAsia" w:ascii="宋体" w:hAnsi="宋体" w:eastAsia="宋体" w:cs="宋体"/>
          <w:sz w:val="24"/>
          <w:szCs w:val="24"/>
        </w:rPr>
        <w:t xml:space="preserve"> </w:t>
      </w:r>
      <w:r>
        <w:rPr>
          <w:rFonts w:hint="eastAsia" w:ascii="宋体" w:hAnsi="宋体" w:eastAsia="宋体" w:cs="宋体"/>
          <w:sz w:val="24"/>
          <w:szCs w:val="24"/>
          <w:u w:val="single"/>
        </w:rPr>
      </w:r>
      <w:r/>
    </w:p>
    <w:p>
      <w:pPr>
        <w:pStyle w:val="921"/>
        <w:ind w:firstLine="480"/>
        <w:spacing w:before="120" w:after="120" w:line="480" w:lineRule="exact"/>
        <w:rPr>
          <w:rFonts w:hint="eastAsia" w:ascii="宋体" w:hAnsi="宋体" w:eastAsia="宋体" w:cs="宋体"/>
          <w:bCs/>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进口产品。</w:t>
      </w:r>
      <w:r>
        <w:rPr>
          <w:rFonts w:hint="eastAsia" w:ascii="宋体" w:hAnsi="宋体" w:eastAsia="宋体" w:cs="宋体"/>
          <w:bCs/>
          <w:sz w:val="24"/>
          <w:szCs w:val="24"/>
        </w:rPr>
      </w:r>
      <w:r/>
    </w:p>
    <w:p>
      <w:pPr>
        <w:pStyle w:val="921"/>
        <w:ind w:firstLine="482"/>
        <w:keepLines w:val="0"/>
        <w:keepNext w:val="0"/>
        <w:pageBreakBefore w:val="0"/>
        <w:spacing w:line="440" w:lineRule="exact"/>
        <w:widowControl w:val="off"/>
        <w:rPr>
          <w:rFonts w:hint="eastAsia" w:ascii="宋体" w:hAnsi="宋体" w:eastAsia="宋体" w:cs="宋体"/>
          <w:b/>
          <w:bCs w:val="0"/>
          <w:color w:val="000000"/>
          <w:sz w:val="24"/>
          <w:szCs w:val="24"/>
          <w:highlight w:val="none"/>
          <w:lang w:eastAsia="zh-CN"/>
        </w:rPr>
        <w:outlineLvl w:val="1"/>
      </w:pPr>
      <w:r>
        <w:rPr>
          <w:rFonts w:hint="eastAsia" w:ascii="宋体" w:hAnsi="宋体" w:eastAsia="宋体" w:cs="宋体"/>
          <w:b/>
          <w:bCs w:val="0"/>
          <w:color w:val="000000"/>
          <w:sz w:val="24"/>
          <w:szCs w:val="24"/>
          <w:highlight w:val="none"/>
        </w:rPr>
        <w:t xml:space="preserve">一、项目</w:t>
      </w:r>
      <w:r>
        <w:rPr>
          <w:rFonts w:hint="eastAsia" w:ascii="宋体" w:hAnsi="宋体" w:eastAsia="宋体" w:cs="宋体"/>
          <w:b/>
          <w:bCs w:val="0"/>
          <w:color w:val="000000"/>
          <w:sz w:val="24"/>
          <w:szCs w:val="24"/>
          <w:highlight w:val="none"/>
          <w:lang w:val="en-US" w:eastAsia="zh-CN"/>
        </w:rPr>
        <w:t xml:space="preserve">概况</w:t>
      </w:r>
      <w:r>
        <w:rPr>
          <w:rFonts w:hint="eastAsia" w:ascii="宋体" w:hAnsi="宋体" w:eastAsia="宋体" w:cs="宋体"/>
          <w:b/>
          <w:bCs w:val="0"/>
          <w:color w:val="000000"/>
          <w:sz w:val="24"/>
          <w:szCs w:val="24"/>
          <w:highlight w:val="none"/>
          <w:lang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项目概述</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为贯彻落实党的二十大关于建立长期护理保险制度的决策部署，根据《市政府关于建立长期护理保险制度的实施意见》（宿政规发〔2023〕6号）要求，</w:t>
      </w:r>
      <w:r>
        <w:rPr>
          <w:rFonts w:hint="eastAsia" w:ascii="宋体" w:hAnsi="宋体" w:eastAsia="宋体" w:cs="宋体"/>
          <w:color w:val="000000"/>
          <w:sz w:val="24"/>
          <w:szCs w:val="24"/>
          <w:highlight w:val="none"/>
          <w:lang w:val="en-US" w:eastAsia="zh-CN"/>
        </w:rPr>
        <w:t xml:space="preserve">苏宿园区实施职工医保长期护理保险制度</w:t>
      </w:r>
      <w:r>
        <w:rPr>
          <w:rFonts w:hint="eastAsia" w:ascii="宋体" w:hAnsi="宋体" w:eastAsia="宋体" w:cs="宋体"/>
          <w:color w:val="000000"/>
          <w:sz w:val="24"/>
          <w:szCs w:val="24"/>
          <w:highlight w:val="none"/>
        </w:rPr>
        <w:t xml:space="preserve">。由于各期参保人数中途可能发生变动，</w:t>
      </w:r>
      <w:r>
        <w:rPr>
          <w:rFonts w:hint="eastAsia" w:ascii="宋体" w:hAnsi="宋体" w:eastAsia="宋体" w:cs="宋体"/>
          <w:color w:val="000000"/>
          <w:sz w:val="24"/>
          <w:szCs w:val="24"/>
          <w:highlight w:val="none"/>
          <w:lang w:val="en-US" w:eastAsia="zh-CN"/>
        </w:rPr>
        <w:t xml:space="preserve">年度保费</w:t>
      </w:r>
      <w:r>
        <w:rPr>
          <w:rFonts w:hint="eastAsia" w:ascii="宋体" w:hAnsi="宋体" w:eastAsia="宋体" w:cs="宋体"/>
          <w:color w:val="000000"/>
          <w:sz w:val="24"/>
          <w:szCs w:val="24"/>
          <w:highlight w:val="none"/>
        </w:rPr>
        <w:t xml:space="preserve">以各期实际划拨的保费为准。</w:t>
      </w:r>
      <w:r>
        <w:rPr>
          <w:rFonts w:hint="eastAsia" w:ascii="宋体" w:hAnsi="宋体" w:eastAsia="宋体" w:cs="宋体"/>
          <w:color w:val="000000"/>
          <w:sz w:val="24"/>
          <w:szCs w:val="24"/>
          <w:highlight w:val="yellow"/>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项目名称：苏宿园区职工医保长期护理保险承办机构采购</w:t>
      </w:r>
      <w:r>
        <w:rPr>
          <w:rFonts w:hint="eastAsia" w:ascii="宋体" w:hAnsi="宋体" w:eastAsia="宋体" w:cs="宋体"/>
          <w:color w:val="000000"/>
          <w:sz w:val="24"/>
          <w:szCs w:val="24"/>
          <w:highlight w:val="none"/>
          <w:lang w:eastAsia="zh-CN"/>
        </w:rPr>
      </w:r>
      <w:r/>
    </w:p>
    <w:p>
      <w:pPr>
        <w:pStyle w:val="921"/>
        <w:ind w:firstLine="480"/>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lang w:val="en-US" w:eastAsia="zh-CN"/>
        </w:rPr>
        <w:t xml:space="preserve">76</w:t>
      </w:r>
      <w:r>
        <w:rPr>
          <w:rFonts w:hint="eastAsia" w:ascii="宋体" w:hAnsi="宋体" w:eastAsia="宋体" w:cs="宋体"/>
          <w:color w:val="000000"/>
          <w:sz w:val="24"/>
          <w:szCs w:val="24"/>
          <w:highlight w:val="none"/>
          <w:lang w:eastAsia="zh-CN"/>
        </w:rPr>
        <w:t xml:space="preserve">万元/年。</w:t>
      </w:r>
      <w:r>
        <w:rPr>
          <w:rFonts w:hint="eastAsia" w:ascii="宋体" w:hAnsi="宋体" w:eastAsia="宋体" w:cs="宋体"/>
          <w:color w:val="000000"/>
          <w:sz w:val="24"/>
          <w:szCs w:val="24"/>
          <w:highlight w:val="none"/>
          <w:lang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（1）承办服务费最高单价限价为按照每年每个参保人员3.2元计提</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参保人数以市医保提供数据为准)</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（2）亏损率（绝对值）期望值最高为2%。</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注：本项目以单价形式进行报价，“磋商报价表”中的“投标报价”请按照“承办服务费”的报价填写。</w:t>
      </w:r>
      <w:r>
        <w:rPr>
          <w:rFonts w:hint="eastAsia" w:ascii="宋体" w:hAnsi="宋体" w:eastAsia="宋体" w:cs="宋体"/>
          <w:b/>
          <w:bCs/>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（二）基本原则</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坚持以人为本，着力解决重度失能人员长期护理保障问题。</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坚持独立运行，独立险种，独立设计，统筹推进。</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坚持保障基本，低水平起步，以收定支，合理确定保障范围和待遇标准。</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坚持责任分担，遵循权利义务对等，多渠道筹资，合理划分筹资责任和保障责任。</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坚持市级统筹，全市统一待遇政策、统一基金管理、统一经办管理、统一信息系统、统一监督管理。</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（三）筹资标准</w:t>
      </w:r>
      <w:r>
        <w:rPr>
          <w:rFonts w:hint="eastAsia" w:ascii="宋体" w:hAnsi="宋体" w:eastAsia="宋体" w:cs="宋体"/>
          <w:color w:val="000000"/>
          <w:sz w:val="24"/>
          <w:szCs w:val="24"/>
          <w:highlight w:val="none"/>
          <w:lang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长护险筹资标准：基金由个人缴费、职工基本医保统筹基金划拨两部分组成，其中个人缴费标准为每人每年20元、医保统筹基金划拨每人每年</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元。企事业单位、慈善机构等社会团体和个人给予捐助的资金，纳入长护险基金管理。</w:t>
      </w:r>
      <w:r>
        <w:rPr>
          <w:rFonts w:hint="eastAsia" w:ascii="宋体" w:hAnsi="宋体" w:eastAsia="宋体" w:cs="宋体"/>
          <w:color w:val="000000"/>
          <w:sz w:val="24"/>
          <w:szCs w:val="24"/>
          <w:highlight w:val="none"/>
          <w:lang w:val="en-US" w:eastAsia="zh-CN"/>
        </w:rPr>
        <w:t xml:space="preserve">个人缴纳部分，每年1月底前由经办机构从职工医保个人账户中一次性划转当年度参保费用。个人账户资金余额不足时，从次月账户划入额度中抵扣。年度内新增或中断后续保人员，在首次个人账户划拨时，按全年标准一次缴清当年费用。参加职工医保的灵活就业人员，参照在职职工执行。</w:t>
      </w:r>
      <w:r>
        <w:rPr>
          <w:rFonts w:hint="eastAsia" w:ascii="宋体" w:hAnsi="宋体" w:eastAsia="宋体" w:cs="宋体"/>
          <w:color w:val="000000"/>
          <w:sz w:val="24"/>
          <w:szCs w:val="24"/>
          <w:highlight w:val="none"/>
          <w:lang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医保统筹基金筹集部分，每年按照参加长护险的人数列入基金支出预算，年初划入长护险基金专户。</w:t>
      </w:r>
      <w:r>
        <w:rPr>
          <w:rFonts w:hint="eastAsia" w:ascii="宋体" w:hAnsi="宋体" w:eastAsia="宋体" w:cs="宋体"/>
          <w:color w:val="000000"/>
          <w:sz w:val="24"/>
          <w:szCs w:val="24"/>
          <w:highlight w:val="none"/>
          <w:lang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由于各期参保人数中途可能发生变动，以各期实际划拨的保费为准。</w:t>
      </w:r>
      <w:r>
        <w:rPr>
          <w:rFonts w:hint="eastAsia" w:ascii="宋体" w:hAnsi="宋体" w:eastAsia="宋体" w:cs="宋体"/>
          <w:color w:val="000000"/>
          <w:sz w:val="24"/>
          <w:szCs w:val="24"/>
          <w:highlight w:val="none"/>
          <w:lang w:val="en-US" w:eastAsia="zh-CN"/>
        </w:rPr>
      </w:r>
      <w:r/>
    </w:p>
    <w:p>
      <w:pPr>
        <w:pStyle w:val="921"/>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outlineLvl w:val="1"/>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、服务期限</w:t>
      </w:r>
      <w:r>
        <w:rPr>
          <w:rFonts w:hint="eastAsia" w:ascii="宋体" w:hAnsi="宋体" w:eastAsia="宋体" w:cs="宋体"/>
          <w:b/>
          <w:bCs/>
          <w:color w:val="000000"/>
          <w:sz w:val="24"/>
          <w:szCs w:val="24"/>
          <w:highlight w:val="none"/>
          <w:lang w:val="en-US" w:eastAsia="zh-CN"/>
        </w:rPr>
        <w:t xml:space="preserve">和地点 </w:t>
      </w:r>
      <w:r>
        <w:rPr>
          <w:rFonts w:hint="eastAsia" w:ascii="宋体" w:hAnsi="宋体" w:eastAsia="宋体" w:cs="宋体"/>
          <w:color w:val="000000"/>
          <w:sz w:val="24"/>
          <w:szCs w:val="24"/>
          <w:highlight w:val="none"/>
          <w:lang w:eastAsia="zh-CN"/>
        </w:rPr>
      </w:r>
      <w:r/>
    </w:p>
    <w:p>
      <w:pPr>
        <w:pStyle w:val="1117"/>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服务期限</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lang w:val="en-US" w:eastAsia="zh-CN"/>
        </w:rPr>
        <w:t xml:space="preserve">自合同签</w:t>
      </w:r>
      <w:r>
        <w:rPr>
          <w:rFonts w:hint="eastAsia" w:ascii="宋体" w:hAnsi="宋体" w:eastAsia="宋体" w:cs="宋体"/>
          <w:color w:val="000000"/>
          <w:sz w:val="24"/>
          <w:szCs w:val="24"/>
          <w:highlight w:val="none"/>
          <w:lang w:val="en-US" w:eastAsia="zh-CN"/>
        </w:rPr>
        <w:t xml:space="preserve">订并生效之日起算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采购合同一年一签，采购人根据供应商服务质量进行综合评定，确定是否进行下一年度合同签订。因考核不合格或政策、经办管理模式发生重大变化等原因，采购人有权单方面终止服务合同，中标人应无条件服从。</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1"/>
        <w:ind w:firstLine="482"/>
        <w:keepLines w:val="0"/>
        <w:keepNext w:val="0"/>
        <w:pageBreakBefore w:val="0"/>
        <w:spacing w:line="44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三、付款方式</w:t>
      </w:r>
      <w:r>
        <w:rPr>
          <w:rFonts w:hint="eastAsia" w:ascii="宋体" w:hAnsi="宋体" w:eastAsia="宋体" w:cs="宋体"/>
          <w:color w:val="000000"/>
          <w:sz w:val="24"/>
          <w:szCs w:val="24"/>
          <w:highlight w:val="none"/>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1"/>
          <w:highlight w:val="none"/>
          <w:lang w:val="zh-CN" w:eastAsia="zh-CN" w:bidi="ar-SA"/>
        </w:rPr>
      </w:pPr>
      <w:r>
        <w:rPr>
          <w:rFonts w:hint="eastAsia" w:ascii="宋体" w:hAnsi="宋体" w:eastAsia="宋体" w:cs="宋体"/>
          <w:bCs/>
          <w:color w:val="000000"/>
          <w:sz w:val="24"/>
          <w:szCs w:val="21"/>
          <w:highlight w:val="none"/>
          <w:lang w:val="zh-CN" w:eastAsia="zh-CN" w:bidi="ar-SA"/>
        </w:rPr>
        <w:t xml:space="preserve">对于满足合同约定支付条件的，自收到发票后10个工作日内将资金支付到合同约定的投标人账户或投标人数字人民币账户。</w:t>
      </w:r>
      <w:r>
        <w:rPr>
          <w:rFonts w:hint="eastAsia" w:ascii="宋体" w:hAnsi="宋体" w:eastAsia="宋体" w:cs="宋体"/>
          <w:bCs/>
          <w:color w:val="000000"/>
          <w:sz w:val="24"/>
          <w:szCs w:val="21"/>
          <w:highlight w:val="none"/>
          <w:lang w:val="zh-CN" w:eastAsia="zh-CN" w:bidi="ar-SA"/>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预付款：合同金额的</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%，合同签订后按规定支付； </w:t>
      </w:r>
      <w:r>
        <w:rPr>
          <w:rFonts w:hint="eastAsia" w:ascii="宋体" w:hAnsi="宋体" w:eastAsia="宋体" w:cs="宋体"/>
          <w:bCs/>
          <w:color w:val="000000"/>
          <w:sz w:val="24"/>
          <w:szCs w:val="24"/>
          <w:highlight w:val="none"/>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进度款：</w:t>
      </w:r>
      <w:r>
        <w:rPr>
          <w:rFonts w:hint="eastAsia" w:ascii="宋体" w:hAnsi="宋体" w:eastAsia="宋体" w:cs="宋体"/>
          <w:bCs/>
          <w:color w:val="000000"/>
          <w:sz w:val="24"/>
          <w:szCs w:val="24"/>
          <w:highlight w:val="none"/>
          <w:lang w:val="en-US" w:eastAsia="zh-CN"/>
        </w:rPr>
        <w:t xml:space="preserve">1.承办服务费。承办商保机构的当期承办服务费从当期长护险基金收入中计提，计提标准以本次中标的中标人“承办服务费”最终报价确定,后期综合考虑服务人口、机构运营成本、工作绩效等因素，合理调整承办服务费。承办服务费从长护险基金中支付。每年第一季度，医保经办机构拨付本年度承办服务费的95%给商保机构。次年第一季度，根据协议履行情况、服务对象满意度情况及当期考核结果，进行当期结算。招录的经办服务人员薪酬、保险及福利费用，办公经费，交通费等费用列入承办服务费。</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失能人员在宿迁市内，发生的符合长护险失能评估、护理服务项目范围和标准的费用(由市医疗保障局另行制定),从长护险基金中支付；超出长护险护理服务项目范围和标准的护理费用，长护险基金不予支付，由失能人员个人承担，并与定点服务机构直接结算。</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3.采购人建立与服务对象满意度、评估质量、护理服务质量挂钩的考核结算机制。可通过约定预留款等方式，每期末根据考核结果进行费用清算。</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4.保费与承办服务费分别建账、核算、考核。</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4.1采购人按每保险期的筹资标准及期初人数，计算长护险基金收入，将基金收入划分长护险保费与长护险承办服务费两个科目。其中承办服务费按招标确定的承办服务费基准标准计提，其余计提划入长护险保费。</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商保公司相应建立以上两个科目。合同期内，每年第一季度将长护险保费和承办服务费的95%向商保公司拨付，其余部分留存采购人，分别用于对商保公司各期末综合考核和承办服务质量考核，根据考核结果及时清算，如有结余，结余部分返还基金。</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5.盈亏处理</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长护险按照“以收定支、收支平衡、略有盈余”的原则建立风险共担机制。长护险保费收支结余如出现亏损，亏损2%(含)以内的部分由承办商保机构承担，2%以上的部分，经医疗保障行政部门综合评定后，对因政策调整导致的亏损部分，由基金承担，除政策调整原因以外导致的亏损部分，由承办商保机构承担；由采购人根据实际情况最终确定。</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如有盈利，则盈利部分全额返还基金。承办服务费结余归采购人所有，超支的由商保公司承担。</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盈利率或亏损率计算公式：[(本期长护险实际保费-本期长护险待遇支出-本期长护险评估费用支出)/本期长护险实际保费]×100%。本期长护险实际保费=当期长护险基金收入-本期长护险承办服务费支出。承办服务费含商保公司招录的经办服务人员薪酬、保险及福利费用、办公经费、交通工具等相关费用。</w:t>
      </w:r>
      <w:r>
        <w:rPr>
          <w:rFonts w:hint="eastAsia" w:ascii="宋体" w:hAnsi="宋体" w:eastAsia="宋体" w:cs="宋体"/>
          <w:bCs/>
          <w:color w:val="000000"/>
          <w:sz w:val="24"/>
          <w:szCs w:val="24"/>
          <w:highlight w:val="none"/>
          <w:lang w:val="en-US" w:eastAsia="zh-CN"/>
        </w:rPr>
      </w:r>
      <w:r/>
    </w:p>
    <w:p>
      <w:pPr>
        <w:pStyle w:val="921"/>
        <w:ind w:firstLine="480"/>
        <w:jc w:val="left"/>
        <w:spacing w:line="460" w:lineRule="exact"/>
        <w:rPr>
          <w:rFonts w:hint="eastAsia" w:ascii="宋体" w:hAnsi="宋体" w:eastAsia="宋体" w:cs="宋体"/>
          <w:color w:val="000000"/>
          <w:highlight w:val="none"/>
          <w:lang w:val="en-US"/>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最终服务量以实际发生为准，本项目每年最高支付</w:t>
      </w:r>
      <w:r>
        <w:rPr>
          <w:rFonts w:hint="eastAsia" w:ascii="宋体" w:hAnsi="宋体" w:eastAsia="宋体" w:cs="宋体"/>
          <w:color w:val="000000"/>
          <w:sz w:val="24"/>
          <w:szCs w:val="24"/>
          <w:highlight w:val="none"/>
          <w:lang w:val="en-US" w:eastAsia="zh-CN"/>
        </w:rPr>
        <w:t xml:space="preserve">76万元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highlight w:val="none"/>
          <w:lang w:val="en-US"/>
        </w:rPr>
      </w:r>
      <w:r/>
    </w:p>
    <w:p>
      <w:pPr>
        <w:pStyle w:val="921"/>
        <w:ind w:left="0" w:firstLine="482"/>
        <w:jc w:val="left"/>
        <w:keepLines w:val="0"/>
        <w:keepNext w:val="0"/>
        <w:pageBreakBefore w:val="0"/>
        <w:spacing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注：1.在签订合同时，中标人明确表示无需预付款或者主动要求降低预付款比例的金额，采购人可不适用预付款规定。</w:t>
      </w:r>
      <w:r>
        <w:rPr>
          <w:rFonts w:hint="eastAsia" w:ascii="宋体" w:hAnsi="宋体" w:eastAsia="宋体" w:cs="宋体"/>
          <w:b/>
          <w:bCs w:val="0"/>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2.由于各期参保人数中途可能发生变动，以各期实际划拨的保费为准。</w:t>
      </w:r>
      <w:r>
        <w:rPr>
          <w:rFonts w:hint="eastAsia" w:ascii="宋体" w:hAnsi="宋体" w:eastAsia="宋体" w:cs="宋体"/>
          <w:b/>
          <w:bCs w:val="0"/>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3.本项目以中标人承办服务费</w:t>
      </w:r>
      <w:r>
        <w:rPr>
          <w:rFonts w:hint="eastAsia" w:ascii="宋体" w:hAnsi="宋体" w:eastAsia="宋体" w:cs="宋体"/>
          <w:b/>
          <w:bCs w:val="0"/>
          <w:color w:val="000000"/>
          <w:sz w:val="24"/>
          <w:szCs w:val="24"/>
          <w:highlight w:val="none"/>
          <w:rtl w:val="0"/>
          <w:lang w:val="en-US" w:eastAsia="zh-CN"/>
        </w:rPr>
        <w:t xml:space="preserve">最终</w:t>
      </w:r>
      <w:r>
        <w:rPr>
          <w:rFonts w:hint="eastAsia" w:ascii="宋体" w:hAnsi="宋体" w:eastAsia="宋体" w:cs="宋体"/>
          <w:b/>
          <w:bCs w:val="0"/>
          <w:color w:val="000000"/>
          <w:sz w:val="24"/>
          <w:szCs w:val="24"/>
          <w:highlight w:val="none"/>
          <w:lang w:val="en-US" w:eastAsia="zh-CN"/>
        </w:rPr>
        <w:t xml:space="preserve">报价（含小数点后两位）作为最终承办服务费计提比例，</w:t>
      </w:r>
      <w:r>
        <w:rPr>
          <w:rFonts w:hint="eastAsia" w:ascii="宋体" w:hAnsi="宋体" w:eastAsia="宋体" w:cs="宋体"/>
          <w:b/>
          <w:bCs w:val="0"/>
          <w:color w:val="000000"/>
          <w:sz w:val="24"/>
          <w:szCs w:val="24"/>
          <w:highlight w:val="none"/>
          <w:lang w:val="en-US" w:eastAsia="zh-CN"/>
        </w:rPr>
        <w:t xml:space="preserve">最高不得超过</w:t>
      </w:r>
      <w:r>
        <w:rPr>
          <w:rFonts w:hint="eastAsia" w:ascii="宋体" w:hAnsi="宋体" w:eastAsia="宋体" w:cs="宋体"/>
          <w:b/>
          <w:bCs/>
          <w:color w:val="000000"/>
          <w:sz w:val="24"/>
          <w:szCs w:val="24"/>
          <w:highlight w:val="none"/>
          <w:lang w:val="en-US" w:eastAsia="zh-CN"/>
        </w:rPr>
        <w:t xml:space="preserve">每年每个参保人员3.2元</w:t>
      </w:r>
      <w:r>
        <w:rPr>
          <w:rFonts w:hint="eastAsia" w:ascii="宋体" w:hAnsi="宋体" w:eastAsia="宋体" w:cs="宋体"/>
          <w:b/>
          <w:bCs w:val="0"/>
          <w:color w:val="000000"/>
          <w:sz w:val="24"/>
          <w:szCs w:val="24"/>
          <w:highlight w:val="none"/>
          <w:lang w:val="zh-CN" w:eastAsia="zh-CN"/>
        </w:rPr>
        <w:t xml:space="preserve">。</w:t>
      </w:r>
      <w:r>
        <w:rPr>
          <w:rFonts w:hint="eastAsia" w:ascii="宋体" w:hAnsi="宋体" w:eastAsia="宋体" w:cs="宋体"/>
          <w:b/>
          <w:bCs w:val="0"/>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四、服务内容与要求</w:t>
      </w:r>
      <w:r>
        <w:rPr>
          <w:rFonts w:hint="eastAsia" w:ascii="宋体" w:hAnsi="宋体" w:eastAsia="宋体" w:cs="宋体"/>
          <w:b/>
          <w:bCs w:val="0"/>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（一）总体要求</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中标人按《宿迁市人民政府关于建立长期护理保险制度的实施意见》(宿政规发〔2023〕6号)及相关的配套政策文件要求，在长护险经办管理机构(以下简称"医保经办机构")指导下提供宿迁市长护险经办服务，并接受医保经办机构考核管理、服务群众监督。</w:t>
      </w:r>
      <w:r>
        <w:rPr>
          <w:rFonts w:hint="eastAsia" w:ascii="宋体" w:hAnsi="宋体" w:eastAsia="宋体" w:cs="宋体"/>
          <w:bCs/>
          <w:color w:val="000000"/>
          <w:sz w:val="24"/>
          <w:szCs w:val="24"/>
          <w:highlight w:val="none"/>
          <w:lang w:val="en-US" w:eastAsia="zh-CN"/>
        </w:rPr>
      </w:r>
      <w:r/>
    </w:p>
    <w:p>
      <w:pPr>
        <w:pStyle w:val="921"/>
        <w:ind w:left="0" w:firstLine="482"/>
        <w:jc w:val="left"/>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（二）服务内容</w:t>
      </w:r>
      <w:r>
        <w:rPr>
          <w:rFonts w:hint="eastAsia" w:ascii="宋体" w:hAnsi="宋体" w:eastAsia="宋体" w:cs="宋体"/>
          <w:bCs/>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在协议服务期内，承办商保机构负责以下工作：</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1.协助医保经办机构做好长护险定点服务机构(包括医疗机构、护理机构、养老服务机构等，以下简称“定点服务机构”)相关协议管理工作；</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2.长护险政策宣传、公众号运维、咨询回复、投诉处理工作；</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3.长护险待遇申请的受理、审核、评定结果公示及送达等工作；</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4.失能等级评估申请受理，组织评估人员开展失能等级评估及争议、纠纷处理；</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5.长护险待遇享受人员服务派单、待遇支付、费用结算、稽核调查；</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6.定点服务机构费用的审核、结算、待遇支付；</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7.长护险业务档案资料的整理和保存；</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8.协助做好长护险从业人员的政策业务培训工作；</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9.长护险待遇享受人员跟踪回访、稽核调查工作；</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10.长护险基金运行监测分析，按月编报长护险运行分析报告；</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11.协助做好长护险政策调整工作；</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12.医保经办机构安排的其他工作。</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（三）项目实施方案及要求</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1.总体理解与规划</w:t>
      </w:r>
      <w:r>
        <w:rPr>
          <w:rFonts w:hint="eastAsia" w:ascii="宋体" w:hAnsi="宋体" w:eastAsia="宋体" w:cs="宋体"/>
          <w:color w:val="000000"/>
          <w:sz w:val="24"/>
          <w:szCs w:val="24"/>
          <w:highlight w:val="none"/>
          <w:lang w:val="en-US" w:eastAsia="zh-CN"/>
        </w:rPr>
      </w:r>
      <w:r/>
    </w:p>
    <w:p>
      <w:pPr>
        <w:pStyle w:val="1119"/>
        <w:ind w:firstLine="480"/>
        <w:jc w:val="both"/>
        <w:keepLines w:val="0"/>
        <w:keepNext w:val="0"/>
        <w:pageBreakBefore w:val="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制定</w:t>
      </w:r>
      <w:r>
        <w:rPr>
          <w:rFonts w:hint="eastAsia" w:ascii="宋体" w:hAnsi="宋体" w:eastAsia="宋体" w:cs="宋体"/>
          <w:color w:val="000000"/>
          <w:szCs w:val="21"/>
          <w:highlight w:val="none"/>
        </w:rPr>
        <w:t xml:space="preserve">总体理解与规划</w:t>
      </w:r>
      <w:r>
        <w:rPr>
          <w:rFonts w:hint="eastAsia" w:ascii="宋体" w:hAnsi="宋体" w:eastAsia="宋体" w:cs="宋体"/>
          <w:color w:val="000000"/>
          <w:szCs w:val="21"/>
          <w:highlight w:val="none"/>
          <w:lang w:val="en-US" w:eastAsia="zh-CN"/>
        </w:rPr>
        <w:t xml:space="preserve">方案，</w:t>
      </w:r>
      <w:r>
        <w:rPr>
          <w:rFonts w:hint="eastAsia" w:ascii="宋体" w:hAnsi="宋体" w:eastAsia="宋体" w:cs="宋体"/>
          <w:color w:val="000000"/>
          <w:szCs w:val="21"/>
          <w:highlight w:val="none"/>
        </w:rPr>
        <w:t xml:space="preserve">包括但不限于</w:t>
      </w:r>
      <w:r>
        <w:rPr>
          <w:rFonts w:hint="eastAsia" w:ascii="宋体" w:hAnsi="宋体" w:eastAsia="宋体" w:cs="宋体"/>
          <w:color w:val="000000"/>
          <w:szCs w:val="21"/>
          <w:highlight w:val="none"/>
          <w:rtl w:val="0"/>
          <w:lang w:val="en-US" w:eastAsia="zh-CN"/>
        </w:rPr>
        <w:t xml:space="preserve">对本项目背景</w:t>
      </w:r>
      <w:r>
        <w:rPr>
          <w:rFonts w:hint="eastAsia" w:ascii="宋体" w:hAnsi="宋体" w:eastAsia="宋体" w:cs="宋体"/>
          <w:color w:val="000000"/>
          <w:szCs w:val="21"/>
          <w:highlight w:val="none"/>
          <w:lang w:val="en-US" w:eastAsia="zh-CN"/>
        </w:rPr>
        <w:t xml:space="preserve">和</w:t>
      </w:r>
      <w:r>
        <w:rPr>
          <w:rFonts w:hint="eastAsia" w:ascii="宋体" w:hAnsi="宋体" w:eastAsia="宋体" w:cs="宋体"/>
          <w:color w:val="000000"/>
          <w:szCs w:val="21"/>
          <w:highlight w:val="none"/>
        </w:rPr>
        <w:t xml:space="preserve">相关政策法规的理解、对项目需求的理解；整体服务规划的前瞻性与可行性。</w:t>
      </w:r>
      <w:r>
        <w:rPr>
          <w:rFonts w:hint="eastAsia" w:ascii="宋体" w:hAnsi="宋体" w:eastAsia="宋体" w:cs="宋体"/>
          <w:color w:val="000000"/>
          <w:szCs w:val="21"/>
          <w:highlight w:val="none"/>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2.失能评估管理方案</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确保失能评估工作的科学性、严谨性与合规性，建立一套涵盖申请、评估、质控与争议处理全流程的闭环管理体系。具体包括：设立线上线下多渠道的标准化申请受理与初审机制；组建专业评估队伍，规范开展上门或定点现场评估，并确保过程可追溯；通过实施双盲评估、交叉复核、定期督导及引入第三方监督等方式，构建严格的评估质量控制体系；设立畅通的申诉渠道，建立规范的复核程序与纠纷调解机制，公正高效地处理争议。整个评估过程将依托信息化系统进行管理，确保评估结果及时、准确地与待遇享受衔接，并持续通过体系审查与人员培训进行优化改进。</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3.定点机构管理与费用结算方案</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定点护理服务机构，制定涵盖协议管理、质量监控、考核评价及费用结算支付的全流程闭环管理方案。方案包括：协助建立并动态管理服务协议，明确准入、履约、退出标准与培训机制；构建线上线下结合的服务质量日常监控体系与多维定期考核机制，并将考核结果与费用结算、协议存续等直接关联；建立规范、高效的智能化费用审核流程与透明结算支付通道，强化风险稽核与基金监管协同。整体方案应突出合规性、操作性、精细化管理与风险防控能力。</w:t>
      </w:r>
      <w:r>
        <w:rPr>
          <w:rFonts w:hint="eastAsia" w:ascii="宋体" w:hAnsi="宋体" w:eastAsia="宋体" w:cs="宋体"/>
          <w:color w:val="000000"/>
          <w:sz w:val="24"/>
          <w:szCs w:val="24"/>
          <w:highlight w:val="none"/>
          <w:lang w:val="en-US" w:eastAsia="zh-CN"/>
        </w:rPr>
      </w:r>
      <w:r/>
    </w:p>
    <w:p>
      <w:pPr>
        <w:pStyle w:val="921"/>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highlight w:val="none"/>
          <w:lang w:val="en-US" w:eastAsia="zh-CN"/>
        </w:rPr>
        <w:t xml:space="preserve">服务稽核与质量管控方案</w:t>
      </w:r>
      <w:r>
        <w:rPr>
          <w:rFonts w:hint="eastAsia" w:ascii="宋体" w:hAnsi="宋体" w:eastAsia="宋体" w:cs="宋体"/>
          <w:color w:val="000000"/>
          <w:sz w:val="24"/>
          <w:szCs w:val="24"/>
          <w:highlight w:val="none"/>
          <w:lang w:val="en-US" w:eastAsia="zh-CN"/>
        </w:rPr>
      </w:r>
      <w:r/>
    </w:p>
    <w:p>
      <w:pPr>
        <w:pStyle w:val="921"/>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tl w:val="0"/>
          <w:lang w:val="en-US" w:eastAsia="zh-CN"/>
        </w:rPr>
        <w:t xml:space="preserve">包括但不限于对定点机构服务行为、待遇享受人员资格及服务质量的稽核调查方案；</w:t>
      </w:r>
      <w:r>
        <w:rPr>
          <w:rFonts w:hint="eastAsia" w:ascii="宋体" w:hAnsi="宋体" w:eastAsia="宋体" w:cs="宋体"/>
          <w:color w:val="000000"/>
          <w:sz w:val="24"/>
          <w:szCs w:val="24"/>
          <w:highlight w:val="none"/>
          <w:lang w:val="en-US" w:eastAsia="zh-CN"/>
        </w:rPr>
        <w:t xml:space="preserve">待遇支付、</w:t>
      </w:r>
      <w:r>
        <w:rPr>
          <w:rFonts w:hint="eastAsia" w:ascii="宋体" w:hAnsi="宋体" w:eastAsia="宋体" w:cs="宋体"/>
          <w:color w:val="000000"/>
          <w:sz w:val="24"/>
          <w:szCs w:val="24"/>
          <w:highlight w:val="none"/>
          <w:rtl w:val="0"/>
          <w:lang w:val="en-US" w:eastAsia="zh-CN"/>
        </w:rPr>
        <w:t xml:space="preserve">内部质量控制体系、服务对象回访制度及满意度提升措施。</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（1）投标人制定巡查计划及措施，对定点护理机构的失能人员在院情况、提供护理服务、待遇结算、违规情况、待遇享受人员失能及恢复情况等进行定时巡查的，开展失能人员满意度调查的；</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（2）配置具有录音、录像、等功能的执法记录仪以及平板等具有文字处理功能的移动终端设备开展日常巡查，并满足每季度巡查定点护理机构不少于总数的50%，失能人员不少于总人数的20%；</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（3）投标人建立有定点护理机构退出机制，对定点护理机构服务场所、服务范围、服务人员情况等发生变化的，视情况重新进行服务能力评估，对不符合长期护理保险服务管理要求的，暂停或终止服务协议。</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（4）对违规多发放待遇的追回方案及协助配合第三方专业机构的稽核巡查方案。</w:t>
      </w:r>
      <w:r>
        <w:rPr>
          <w:rFonts w:hint="eastAsia" w:ascii="宋体" w:hAnsi="宋体" w:eastAsia="宋体" w:cs="宋体"/>
          <w:color w:val="ff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lang w:val="en-US" w:eastAsia="zh-CN"/>
        </w:rPr>
        <w:t xml:space="preserve">待遇经办与基金运行管理要求  </w:t>
      </w:r>
      <w:r>
        <w:rPr>
          <w:rFonts w:hint="eastAsia" w:ascii="宋体" w:hAnsi="宋体" w:eastAsia="宋体" w:cs="宋体"/>
          <w:color w:val="000000"/>
          <w:sz w:val="24"/>
          <w:szCs w:val="24"/>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承办机构应建立便捷、高效的待遇经办全流程服务体系，提供申请与办理渠道，确保审核、支付及时准确并依法公示。建立健全基金运行监测机制，按月编制分析报告，实时跟踪基金收支情况，并设置风险预警指标与应对预案，依托全市统一信息系统实现经办服务、基金核算与风险管控的一体化运营。</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6.宣传方案</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承办机构制定并落实宣传工作方案，明确宣传方向、方式、渠道与频率。服务期内每半年至少开展一次主题宣传，每季度至少组织一次业务培训。设立并对外公布项目专属咨询投诉热线，统一提供政策与业务咨询，并受理失能人员投诉。宣传与服务成效纳入机构考核。</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7.业务数据保密措施</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包括但不限于对参保人员相关信息、数据、资料承担保密责任，不得用于其他用途，并不得向第三方泄露，不得利用经办之便推销或者变相推销其他商业保险产品。</w:t>
      </w:r>
      <w:r>
        <w:rPr>
          <w:rFonts w:hint="eastAsia" w:ascii="宋体" w:hAnsi="宋体" w:eastAsia="宋体" w:cs="宋体"/>
          <w:color w:val="000000"/>
          <w:sz w:val="24"/>
          <w:szCs w:val="24"/>
          <w:highlight w:val="none"/>
          <w:lang w:val="en-US" w:eastAsia="zh-CN"/>
        </w:rPr>
      </w:r>
      <w:r/>
    </w:p>
    <w:p>
      <w:pPr>
        <w:pStyle w:val="921"/>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outlineLvl w:val="2"/>
      </w:pPr>
      <w:r>
        <w:rPr>
          <w:rFonts w:hint="eastAsia" w:ascii="宋体" w:hAnsi="宋体" w:eastAsia="宋体" w:cs="宋体"/>
          <w:color w:val="000000"/>
          <w:sz w:val="24"/>
          <w:szCs w:val="24"/>
          <w:lang w:val="en-US" w:eastAsia="zh-CN" w:bidi="ar-SA"/>
        </w:rPr>
        <w:t xml:space="preserve">8.</w:t>
      </w:r>
      <w:r>
        <w:rPr>
          <w:rStyle w:val="1005"/>
          <w:rFonts w:hint="eastAsia" w:ascii="宋体" w:hAnsi="宋体" w:eastAsia="宋体" w:cs="宋体"/>
          <w:b w:val="0"/>
          <w:bCs w:val="0"/>
          <w:i w:val="0"/>
          <w:iCs w:val="0"/>
          <w:caps w:val="0"/>
          <w:color w:val="0f1115"/>
          <w:spacing w:val="0"/>
          <w:sz w:val="24"/>
          <w:szCs w:val="24"/>
          <w:shd w:val="clear" w:color="auto" w:fill="ffffff"/>
        </w:rPr>
        <w:t xml:space="preserve">特色服务与创新</w:t>
      </w:r>
      <w:r>
        <w:rPr>
          <w:rFonts w:hint="eastAsia" w:ascii="宋体" w:hAnsi="宋体" w:eastAsia="宋体" w:cs="宋体"/>
          <w:b w:val="0"/>
          <w:bCs w:val="0"/>
          <w:color w:val="000000"/>
          <w:sz w:val="24"/>
          <w:szCs w:val="24"/>
          <w:highlight w:val="none"/>
          <w:lang w:val="en-US" w:eastAsia="zh-CN"/>
        </w:rPr>
        <w:t xml:space="preserve">方案</w:t>
      </w:r>
      <w:r>
        <w:rPr>
          <w:rFonts w:hint="eastAsia" w:ascii="宋体" w:hAnsi="宋体" w:eastAsia="宋体" w:cs="宋体"/>
          <w:b w:val="0"/>
          <w:bCs w:val="0"/>
          <w:color w:val="000000"/>
          <w:sz w:val="24"/>
          <w:szCs w:val="24"/>
          <w:highlight w:val="none"/>
          <w:lang w:val="en-US" w:eastAsia="zh-CN"/>
        </w:rPr>
      </w:r>
      <w:r/>
    </w:p>
    <w:p>
      <w:pPr>
        <w:pStyle w:val="921"/>
        <w:numPr>
          <w:ilvl w:val="0"/>
          <w:numId w:val="0"/>
        </w:numPr>
        <w:ind w:firstLine="480"/>
        <w:keepLines w:val="0"/>
        <w:keepNext w:val="0"/>
        <w:pageBreakBefore w:val="0"/>
        <w:spacing w:line="44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i w:val="0"/>
          <w:iCs w:val="0"/>
          <w:caps w:val="0"/>
          <w:color w:val="0f1115"/>
          <w:spacing w:val="0"/>
          <w:sz w:val="24"/>
          <w:szCs w:val="24"/>
          <w:highlight w:val="none"/>
          <w:shd w:val="clear" w:color="auto" w:fill="ffffff"/>
        </w:rPr>
        <w:t xml:space="preserve">在政策宣传、咨询投诉处理、信息化手段应用、档案管理、人员培训等方面提出的具有实操性的特色服务或创新性优化方案。</w:t>
      </w:r>
      <w:r>
        <w:rPr>
          <w:rFonts w:hint="eastAsia" w:ascii="宋体" w:hAnsi="宋体" w:eastAsia="宋体" w:cs="宋体"/>
          <w:color w:val="ff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9.培训方案</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包括但不限于培训内容（需包括对经办服务、护理服务、失能评估等方面）、培训时间、培训地点、培训目标、培训人数、培训方法和培训师资及相关课件展示等。</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10.制定人员配置方案</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包括但不限于针对本项目服务的管理职能部门、成立专业管理团队、建立管理制度。</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b/>
          <w:bCs/>
          <w:strike w:val="0"/>
          <w:color w:val="000000"/>
          <w:sz w:val="24"/>
          <w:szCs w:val="24"/>
          <w:highlight w:val="none"/>
          <w:lang w:val="en-US" w:eastAsia="zh-CN"/>
        </w:rPr>
        <w:outlineLvl w:val="2"/>
      </w:pPr>
      <w:r>
        <w:rPr>
          <w:rFonts w:hint="eastAsia" w:ascii="宋体" w:hAnsi="宋体" w:eastAsia="宋体" w:cs="宋体"/>
          <w:b/>
          <w:bCs/>
          <w:strike w:val="0"/>
          <w:color w:val="000000"/>
          <w:sz w:val="24"/>
          <w:szCs w:val="24"/>
          <w:highlight w:val="none"/>
          <w:lang w:val="en-US" w:eastAsia="zh-CN"/>
        </w:rPr>
        <w:t xml:space="preserve">★11.项目组成员配备要求</w:t>
      </w:r>
      <w:r>
        <w:rPr>
          <w:rFonts w:hint="eastAsia" w:ascii="宋体" w:hAnsi="宋体" w:eastAsia="宋体" w:cs="宋体"/>
          <w:b/>
          <w:bCs/>
          <w:strike w:val="0"/>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b/>
          <w:bCs/>
          <w:strike w:val="0"/>
          <w:color w:val="000000"/>
          <w:sz w:val="24"/>
          <w:szCs w:val="24"/>
          <w:highlight w:val="none"/>
          <w:lang w:val="en-US" w:eastAsia="zh-CN"/>
        </w:rPr>
      </w:pPr>
      <w:r>
        <w:rPr>
          <w:rFonts w:hint="eastAsia" w:ascii="宋体" w:hAnsi="宋体" w:eastAsia="宋体" w:cs="宋体"/>
          <w:b w:val="0"/>
          <w:bCs w:val="0"/>
          <w:strike w:val="0"/>
          <w:color w:val="000000"/>
          <w:sz w:val="24"/>
          <w:szCs w:val="24"/>
          <w:highlight w:val="none"/>
          <w:lang w:val="en-US" w:eastAsia="zh-CN"/>
        </w:rPr>
        <w:t xml:space="preserve">中标人应承诺为本项目配备长护险经办服务全日制工作人员1名,至医保经办机构共同办理长护险经办业务。</w:t>
      </w:r>
      <w:r>
        <w:rPr>
          <w:rFonts w:hint="eastAsia" w:ascii="宋体" w:hAnsi="宋体" w:eastAsia="宋体" w:cs="宋体"/>
          <w:b/>
          <w:bCs/>
          <w:strike w:val="0"/>
          <w:color w:val="000000"/>
          <w:sz w:val="24"/>
          <w:szCs w:val="24"/>
          <w:highlight w:val="none"/>
          <w:lang w:val="en-US" w:eastAsia="zh-CN"/>
        </w:rPr>
        <w:t xml:space="preserve">（响应文件中需提供承诺函，格式自拟）</w:t>
      </w:r>
      <w:r>
        <w:rPr>
          <w:rFonts w:hint="eastAsia" w:ascii="宋体" w:hAnsi="宋体" w:eastAsia="宋体" w:cs="宋体"/>
          <w:b/>
          <w:bCs/>
          <w:strike w:val="0"/>
          <w:color w:val="000000"/>
          <w:sz w:val="24"/>
          <w:szCs w:val="24"/>
          <w:highlight w:val="none"/>
          <w:lang w:val="en-US" w:eastAsia="zh-CN"/>
        </w:rPr>
      </w:r>
      <w:r/>
    </w:p>
    <w:p>
      <w:pPr>
        <w:pStyle w:val="921"/>
        <w:ind w:firstLine="482"/>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五、保障内容及要求</w:t>
      </w:r>
      <w:r>
        <w:rPr>
          <w:rFonts w:hint="eastAsia" w:ascii="宋体" w:hAnsi="宋体" w:eastAsia="宋体" w:cs="宋体"/>
          <w:b/>
          <w:bCs/>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1.保障对象</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长护险试行期间，参保对象为苏宿园区职工医保参保人员。办理职工医保参保缴费手续时，同步参加长护险。长护险制度运行期间根据宿迁市经济发展水平、基金运行情况、护理产业发展等情况，适时扩大参保范围和保障对象，调整筹资水平和待遇标准等政策。</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2.保障范围及补偿比例</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参保人员因年老、疾病、伤残等原因，基本生活不能自理，经医疗机构或康复机构规范诊疗，失能状态持续6个月以上的，经申请评估符合失能等级标准的，可享受长护险待遇。失能等级评估为重度失能等级的参保人员(以下简称“失能人员”),自相关手续办结次日起可享受长护险待遇。失能人员本人或其代理人可选择通过入住定点服务机构接受护理服务、居家接受定点服务机构护理服务、居家接受定点护理机构护理服务和亲情护理相结合等方式享受长护险待遇。</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2.2失能人员接受护理服务期间，发生的符合长护险护理服务项目范围和标准的费用，由长护险基金按以下标准定额支付：</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（1）入住服务机构的医疗床位接受护理服务的，按50元/天的标准与服务机构结算；</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（2）入住服务机构的护理床位接受护理服务的，按40元/天的标准与服务机构结算；</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（3）居家接受服务机构上门提供护理服务的，每次服务时长不低于1.5小时，按30元/小时的标准与服务机构结算，月度限额为900元。上门护理服务月度总时长不足30小时的，根据实际服务时长结算；</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（4）居家接受亲情护理服务的，按20元/天的标准支付护理服务补助；</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选择居家接受上门服务机构提供护理服务和亲情护理相结合模式的，亲情护理服务补助标准为15元/天，月度限额450元，上门服务机构护理每次服务时长不低于1.5小时，按30元/小时的标准与服务机构结算，月度限额为300元。</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在市外居住的失能人员，由长护险基金按20元/天的标准支付护理服务补助。</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 服务结算支付</w:t>
      </w:r>
      <w:r>
        <w:rPr>
          <w:rFonts w:hint="eastAsia" w:ascii="宋体" w:hAnsi="宋体" w:eastAsia="宋体" w:cs="宋体"/>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失能人员在享受长护险待遇期间，发生的符合长护险护理服务项目范围和标准的护理费用，从长护险基金中支付；超出长护险护理服务项目范围和标准的护理费用，长护险基金不予支付，由失能人员个人承担，并与定点服务机构直接结算。</w:t>
      </w:r>
      <w:r>
        <w:rPr>
          <w:rFonts w:hint="eastAsia" w:ascii="宋体" w:hAnsi="宋体" w:eastAsia="宋体" w:cs="宋体"/>
          <w:color w:val="000000"/>
          <w:sz w:val="24"/>
          <w:szCs w:val="24"/>
          <w:highlight w:val="none"/>
          <w:lang w:eastAsia="zh-CN"/>
        </w:rPr>
      </w:r>
      <w:r/>
    </w:p>
    <w:p>
      <w:pPr>
        <w:pStyle w:val="921"/>
        <w:ind w:firstLine="482"/>
        <w:keepLines w:val="0"/>
        <w:keepNext w:val="0"/>
        <w:pageBreakBefore w:val="0"/>
        <w:spacing w:line="440" w:lineRule="exact"/>
        <w:widowControl w:val="off"/>
        <w:rPr>
          <w:rFonts w:hint="eastAsia" w:ascii="宋体" w:hAnsi="宋体" w:eastAsia="宋体" w:cs="宋体"/>
          <w:bCs/>
          <w:color w:val="000000"/>
          <w:sz w:val="24"/>
          <w:szCs w:val="24"/>
          <w:highlight w:val="none"/>
          <w:lang w:val="en-US"/>
        </w:rPr>
        <w:outlineLvl w:val="1"/>
      </w:pPr>
      <w:r>
        <w:rPr>
          <w:rFonts w:hint="eastAsia" w:ascii="宋体" w:hAnsi="宋体" w:eastAsia="宋体" w:cs="宋体"/>
          <w:b/>
          <w:bCs/>
          <w:color w:val="000000"/>
          <w:sz w:val="24"/>
          <w:szCs w:val="24"/>
          <w:highlight w:val="none"/>
          <w:lang w:val="en-US" w:eastAsia="zh-CN"/>
        </w:rPr>
        <w:t xml:space="preserve">六、经办模式</w:t>
      </w:r>
      <w:r>
        <w:rPr>
          <w:rFonts w:hint="eastAsia" w:ascii="宋体" w:hAnsi="宋体" w:eastAsia="宋体" w:cs="宋体"/>
          <w:bCs/>
          <w:color w:val="000000"/>
          <w:sz w:val="24"/>
          <w:szCs w:val="24"/>
          <w:highlight w:val="none"/>
          <w:lang w:val="en-US"/>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苏宿园区长护险服务项目实行"运行风险共担、保险事务共办、购买承办服务、当期考核准出"的运行模式。</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
          <w:bCs w:val="0"/>
          <w:color w:val="000000"/>
          <w:sz w:val="24"/>
          <w:szCs w:val="24"/>
          <w:highlight w:val="none"/>
          <w:rtl w:val="0"/>
          <w:lang w:val="en-US" w:eastAsia="zh-CN"/>
        </w:rPr>
      </w:pPr>
      <w:r>
        <w:rPr>
          <w:rFonts w:hint="eastAsia" w:ascii="宋体" w:hAnsi="宋体" w:eastAsia="宋体" w:cs="宋体"/>
          <w:b/>
          <w:bCs w:val="0"/>
          <w:color w:val="000000"/>
          <w:sz w:val="24"/>
          <w:szCs w:val="24"/>
          <w:highlight w:val="none"/>
          <w:rtl w:val="0"/>
          <w:lang w:val="en-US" w:eastAsia="zh-CN"/>
        </w:rPr>
        <w:t xml:space="preserve">★1.运行风险共担(投标人须提供承诺函电子件并加盖投标人公章，格式自拟，否则作无效标处理。)</w:t>
      </w:r>
      <w:r>
        <w:rPr>
          <w:rFonts w:hint="eastAsia" w:ascii="宋体" w:hAnsi="宋体" w:eastAsia="宋体" w:cs="宋体"/>
          <w:b/>
          <w:bCs w:val="0"/>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长护险委托承办商保机构参</w:t>
      </w:r>
      <w:r>
        <w:rPr>
          <w:rFonts w:hint="eastAsia" w:ascii="宋体" w:hAnsi="宋体" w:eastAsia="宋体" w:cs="宋体"/>
          <w:bCs/>
          <w:color w:val="000000"/>
          <w:sz w:val="24"/>
          <w:szCs w:val="24"/>
          <w:highlight w:val="none"/>
          <w:rtl w:val="0"/>
          <w:lang w:val="en-US" w:eastAsia="zh-CN"/>
        </w:rPr>
        <w:t xml:space="preserve">与经办，承办商保机构与长护险基金实行风险共担机制，长护险收入扣除长护险待遇支出(按“待遇支付标准”计算)、评估费用支出(初评评估费用+复评评估费用)、该统筹当期承办服务费（从当期长护险基金收入中计提，计提标准以本次中标的中标人“承办服务费”最终报价确定）后，如出现亏损，长护险保费收支结余如出现亏损，亏损2%(含)以内的部分由承办商保机构承担，2%以上的部分，经医疗保障行政部门综合评定后，对因政策性原因导致的亏损部分，由基金承担，对非政策性原因导致的亏损部分，由承办商保机构承担；由采购人根据实际情况最终确定。</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但如有盈利，则盈利部分全额返还基金。</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2.保险事务共办</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长护险经办事务由医保经办机构和承办商保机构共同经办，分工负责。</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医保经办机构负责参保地长护险的经办管理事务，具体包括长护险参保登记、基金筹集、管理和使用；开展长护险承办业务的商业保险机构的招标、协议签订和管理、监督指导和考核等工作。</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商保机构承办长护险的具体事务，包括受理失能评估申请、组织评估人员开展失能评估工作；协作做好服务机构协议管理工作；长护险费用结算、待遇支付工作；负责长护险政策宣传和待遇享受人员跟踪回访工作；协助做好长护险政策调整、经办服务能力提升等调查研究工作；经办机构安排的其他工作。</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3.购买承办服务</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承办商保机构的当期承办服务费从当期长护险基金收入中计提，计提标准以本次中标的中标人“承办服务费”最终报价确定,后期综合考虑服务人口、机构运营成本、工作绩效等因素，合理调整承办服务费。承办服务费从长护险基金中支付。每年第一季度，医保部门按承办服务费的95%拨给承办商保机构。次年第一季度，根据协议履行情况、服务对象满意度情况及当期考核结果，进行当期结算。</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招录的经办服务人员薪酬、保险及福利费用；办公经费；交通工具等相关费用列入承办服务费。 </w:t>
      </w:r>
      <w:r>
        <w:rPr>
          <w:rFonts w:hint="eastAsia" w:ascii="宋体" w:hAnsi="宋体" w:eastAsia="宋体" w:cs="宋体"/>
          <w:bCs/>
          <w:color w:val="000000"/>
          <w:sz w:val="24"/>
          <w:szCs w:val="24"/>
          <w:highlight w:val="none"/>
          <w:rtl w:val="0"/>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rtl w:val="0"/>
          <w:lang w:val="en-US" w:eastAsia="zh-CN"/>
        </w:rPr>
      </w:pPr>
      <w:r>
        <w:rPr>
          <w:rFonts w:hint="eastAsia" w:ascii="宋体" w:hAnsi="宋体" w:eastAsia="宋体" w:cs="宋体"/>
          <w:bCs/>
          <w:color w:val="000000"/>
          <w:sz w:val="24"/>
          <w:szCs w:val="24"/>
          <w:highlight w:val="none"/>
          <w:rtl w:val="0"/>
          <w:lang w:val="en-US" w:eastAsia="zh-CN"/>
        </w:rPr>
        <w:t xml:space="preserve">考核退出。建立与承办质量相挂钩的考核机制，定期对承办商保机构合同履行情况、基金运行管理情况、服务质效情况等进行考核，如有承办商保机构当期考核不通过，则终止合同。</w:t>
      </w:r>
      <w:r>
        <w:rPr>
          <w:rFonts w:hint="eastAsia" w:ascii="宋体" w:hAnsi="宋体" w:eastAsia="宋体" w:cs="宋体"/>
          <w:bCs/>
          <w:color w:val="000000"/>
          <w:sz w:val="24"/>
          <w:szCs w:val="24"/>
          <w:highlight w:val="none"/>
          <w:rtl w:val="0"/>
          <w:lang w:val="en-US" w:eastAsia="zh-CN"/>
        </w:rPr>
      </w:r>
      <w:r/>
    </w:p>
    <w:p>
      <w:pPr>
        <w:pStyle w:val="921"/>
        <w:ind w:firstLine="482"/>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七、考核与管理</w:t>
      </w:r>
      <w:r>
        <w:rPr>
          <w:rFonts w:hint="eastAsia" w:ascii="宋体" w:hAnsi="宋体" w:eastAsia="宋体" w:cs="宋体"/>
          <w:b/>
          <w:bCs/>
          <w:color w:val="000000"/>
          <w:sz w:val="24"/>
          <w:szCs w:val="24"/>
          <w:highlight w:val="none"/>
          <w:lang w:val="en-US" w:eastAsia="zh-CN"/>
        </w:rPr>
      </w:r>
      <w:r/>
    </w:p>
    <w:p>
      <w:pPr>
        <w:pStyle w:val="921"/>
        <w:ind w:righ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医保经办机构有权邀请相关专业机构和定点服务机构组成考核小组对承办商保机构相关工作进行考核评价，内容包括但不限于：合同履行情况、基金运行管理情况、服务质效情况和促进参保扩面情况等，承办商保机构须积极配合。如有承办商保机构当期考核不通过，则终止合同。</w:t>
      </w:r>
      <w:r>
        <w:rPr>
          <w:rFonts w:hint="eastAsia" w:ascii="宋体" w:hAnsi="宋体" w:eastAsia="宋体" w:cs="宋体"/>
          <w:color w:val="000000"/>
          <w:sz w:val="24"/>
          <w:szCs w:val="24"/>
          <w:highlight w:val="none"/>
          <w:lang w:val="en-US" w:eastAsia="zh-CN" w:bidi="ar-SA"/>
        </w:rPr>
      </w:r>
      <w:r/>
    </w:p>
    <w:p>
      <w:pPr>
        <w:pStyle w:val="921"/>
        <w:ind w:righ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2.建立健全长护险基金监管机制，对基金使用情况、医疗护理服务、欺诈骗保等进行监督管理。</w:t>
      </w:r>
      <w:r>
        <w:rPr>
          <w:rFonts w:hint="eastAsia" w:ascii="宋体" w:hAnsi="宋体" w:eastAsia="宋体" w:cs="宋体"/>
          <w:color w:val="000000"/>
          <w:sz w:val="24"/>
          <w:szCs w:val="24"/>
          <w:highlight w:val="none"/>
          <w:lang w:val="en-US" w:eastAsia="zh-CN" w:bidi="ar-SA"/>
        </w:rPr>
      </w:r>
      <w:r/>
    </w:p>
    <w:p>
      <w:pPr>
        <w:pStyle w:val="921"/>
        <w:ind w:righ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3.医保经办机构建立举报投诉、信息披露、基金监管、欺诈防范等监管机制。对承办商保机构政策制度执行情况及业务经办情况进行实时督查。</w:t>
      </w:r>
      <w:r>
        <w:rPr>
          <w:rFonts w:hint="eastAsia" w:ascii="宋体" w:hAnsi="宋体" w:eastAsia="宋体" w:cs="宋体"/>
          <w:color w:val="000000"/>
          <w:sz w:val="24"/>
          <w:szCs w:val="24"/>
          <w:highlight w:val="none"/>
          <w:lang w:val="en-US" w:eastAsia="zh-CN" w:bidi="ar-SA"/>
        </w:rPr>
      </w:r>
      <w:r/>
    </w:p>
    <w:p>
      <w:pPr>
        <w:pStyle w:val="921"/>
        <w:ind w:righ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4.承办商保机构应建立费用审核、内部控制、日常巡查、运行分析等管理制度，通过信息系统、抽查询访、满意度调查等途径，对评估结果、定点护理机构服务质量及待遇享受等情况进行跟踪管理。</w:t>
      </w:r>
      <w:r>
        <w:rPr>
          <w:rFonts w:hint="eastAsia" w:ascii="宋体" w:hAnsi="宋体" w:eastAsia="宋体" w:cs="宋体"/>
          <w:color w:val="000000"/>
          <w:sz w:val="24"/>
          <w:szCs w:val="24"/>
          <w:highlight w:val="none"/>
          <w:lang w:val="en-US" w:eastAsia="zh-CN" w:bidi="ar-SA"/>
        </w:rPr>
      </w:r>
      <w:r/>
    </w:p>
    <w:p>
      <w:pPr>
        <w:pStyle w:val="921"/>
        <w:ind w:righ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承办商保机构应发挥精准精细服务优势，以护理服务为抓手，引导群众及其家庭成员及时参保缴费，实现应保尽保。宣传动员灵活就业人员、个体工商户参加职工基本医保，进一步优化参保结构，扩大长期护理保险参保人数。</w:t>
      </w:r>
      <w:r>
        <w:rPr>
          <w:rFonts w:hint="eastAsia" w:ascii="宋体" w:hAnsi="宋体" w:eastAsia="宋体" w:cs="宋体"/>
          <w:color w:val="000000"/>
          <w:sz w:val="24"/>
          <w:szCs w:val="24"/>
          <w:highlight w:val="none"/>
          <w:lang w:val="en-US" w:eastAsia="zh-CN" w:bidi="ar-SA"/>
        </w:rPr>
      </w:r>
      <w:r/>
    </w:p>
    <w:p>
      <w:pPr>
        <w:pStyle w:val="921"/>
        <w:ind w:righ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6.承办商保机构、定点服务机构及其工作人员、参保人员等存在违法违规行为造成基金损失的，可参照医疗保障基金使用监督管理有关规定处理。构成犯罪的，移送司法机关追究刑事责任。</w:t>
      </w:r>
      <w:r>
        <w:rPr>
          <w:rFonts w:hint="eastAsia" w:ascii="宋体" w:hAnsi="宋体" w:eastAsia="宋体" w:cs="宋体"/>
          <w:color w:val="000000"/>
          <w:sz w:val="24"/>
          <w:szCs w:val="24"/>
          <w:highlight w:val="none"/>
          <w:lang w:val="en-US" w:eastAsia="zh-CN" w:bidi="ar-SA"/>
        </w:rPr>
      </w:r>
      <w:r/>
    </w:p>
    <w:p>
      <w:pPr>
        <w:pStyle w:val="921"/>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7.建立健全长护险诚信档案，根据信用评价等级分级分类监督管理，对失信行为按照国家有关规定实施惩戒。</w:t>
      </w:r>
      <w:r>
        <w:rPr>
          <w:rFonts w:hint="eastAsia" w:ascii="宋体" w:hAnsi="宋体" w:eastAsia="宋体" w:cs="宋体"/>
          <w:b/>
          <w:bCs/>
          <w:color w:val="000000"/>
          <w:sz w:val="24"/>
          <w:szCs w:val="24"/>
          <w:highlight w:val="none"/>
          <w:lang w:val="en-US" w:eastAsia="zh-CN"/>
        </w:rPr>
      </w:r>
      <w:r/>
    </w:p>
    <w:p>
      <w:pPr>
        <w:pStyle w:val="921"/>
        <w:ind w:firstLine="482"/>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八、项目实施依据</w:t>
      </w:r>
      <w:r>
        <w:rPr>
          <w:rFonts w:hint="eastAsia" w:ascii="宋体" w:hAnsi="宋体" w:eastAsia="宋体" w:cs="宋体"/>
          <w:b/>
          <w:bCs/>
          <w:color w:val="000000"/>
          <w:sz w:val="24"/>
          <w:szCs w:val="24"/>
          <w:highlight w:val="none"/>
          <w:lang w:val="en-US" w:eastAsia="zh-CN"/>
        </w:rPr>
      </w:r>
      <w:r/>
    </w:p>
    <w:p>
      <w:pPr>
        <w:pStyle w:val="921"/>
        <w:ind w:righ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1.《国家医保局办公室民政部办公厅关于印发&lt;长期护理失能等级评估标准(试行)&gt;的通知》(医保办发〔2021〕37号)；</w:t>
      </w:r>
      <w:r>
        <w:rPr>
          <w:rFonts w:hint="eastAsia" w:ascii="宋体" w:hAnsi="宋体" w:eastAsia="宋体" w:cs="宋体"/>
          <w:color w:val="000000"/>
          <w:sz w:val="24"/>
          <w:szCs w:val="24"/>
          <w:highlight w:val="none"/>
          <w:lang w:val="en-US" w:eastAsia="zh-CN" w:bidi="ar-SA"/>
        </w:rPr>
      </w:r>
      <w:r/>
    </w:p>
    <w:p>
      <w:pPr>
        <w:pStyle w:val="921"/>
        <w:ind w:righ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2.《宿迁市人民政府关于建立长期护理保险制度的实施意见》(宿政规发〔2023〕6号)；</w:t>
      </w:r>
      <w:r>
        <w:rPr>
          <w:rFonts w:hint="eastAsia" w:ascii="宋体" w:hAnsi="宋体" w:eastAsia="宋体" w:cs="宋体"/>
          <w:color w:val="000000"/>
          <w:sz w:val="24"/>
          <w:szCs w:val="24"/>
          <w:highlight w:val="none"/>
          <w:lang w:val="en-US" w:eastAsia="zh-CN" w:bidi="ar-SA"/>
        </w:rPr>
      </w:r>
      <w:r/>
    </w:p>
    <w:p>
      <w:pPr>
        <w:pStyle w:val="921"/>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3.《关于印发&lt;宿迁市长期护理保险实施细则&gt;的通知》（宿医保规〔2023〕1号）。</w:t>
      </w:r>
      <w:r>
        <w:rPr>
          <w:rFonts w:hint="eastAsia" w:ascii="宋体" w:hAnsi="宋体" w:eastAsia="宋体" w:cs="宋体"/>
          <w:b/>
          <w:bCs/>
          <w:color w:val="000000"/>
          <w:sz w:val="24"/>
          <w:szCs w:val="24"/>
          <w:highlight w:val="none"/>
          <w:lang w:val="en-US" w:eastAsia="zh-CN"/>
        </w:rPr>
      </w:r>
      <w:r/>
    </w:p>
    <w:p>
      <w:pPr>
        <w:pStyle w:val="921"/>
        <w:ind w:firstLine="482"/>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九、验收要求</w:t>
      </w:r>
      <w:r>
        <w:rPr>
          <w:rFonts w:hint="eastAsia" w:ascii="宋体" w:hAnsi="宋体" w:eastAsia="宋体" w:cs="宋体"/>
          <w:b/>
          <w:bCs/>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提交的成果资料符合相关规范、符合苏州宿迁工业园区社会保险基金管理中心有关要求，并顺利通过采购人验收合格。</w:t>
      </w:r>
      <w:r>
        <w:rPr>
          <w:rFonts w:hint="eastAsia" w:ascii="宋体" w:hAnsi="宋体" w:eastAsia="宋体" w:cs="宋体"/>
          <w:b/>
          <w:bCs/>
          <w:color w:val="000000"/>
          <w:sz w:val="24"/>
          <w:szCs w:val="24"/>
          <w:highlight w:val="none"/>
          <w:lang w:val="en-US" w:eastAsia="zh-CN"/>
        </w:rPr>
      </w:r>
      <w:r/>
    </w:p>
    <w:p>
      <w:pPr>
        <w:pStyle w:val="921"/>
        <w:ind w:firstLine="482"/>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十、采购本国货物、工程和服务</w:t>
      </w:r>
      <w:r>
        <w:rPr>
          <w:rFonts w:hint="eastAsia" w:ascii="宋体" w:hAnsi="宋体" w:eastAsia="宋体" w:cs="宋体"/>
          <w:b/>
          <w:bCs/>
          <w:color w:val="000000"/>
          <w:sz w:val="24"/>
          <w:szCs w:val="24"/>
          <w:highlight w:val="none"/>
          <w:lang w:val="en-US" w:eastAsia="zh-CN"/>
        </w:rPr>
      </w:r>
      <w:r/>
    </w:p>
    <w:p>
      <w:pPr>
        <w:pStyle w:val="921"/>
        <w:ind w:firstLine="480"/>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政府采购应当采购本国货物、工程和服务，但有《中华人民共和国政府采购法》第十条规定情形的除外。</w:t>
      </w:r>
      <w:r>
        <w:rPr>
          <w:rFonts w:hint="eastAsia" w:ascii="宋体" w:hAnsi="宋体" w:eastAsia="宋体" w:cs="宋体"/>
          <w:bCs/>
          <w:color w:val="000000"/>
          <w:sz w:val="24"/>
          <w:szCs w:val="24"/>
          <w:highlight w:val="none"/>
          <w:lang w:val="en-US" w:eastAsia="zh-CN"/>
        </w:rPr>
      </w:r>
      <w:r/>
    </w:p>
    <w:p>
      <w:pPr>
        <w:pStyle w:val="921"/>
        <w:ind w:righ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注：1.★部分为实质性要求，不接受负偏离。否则，作为无效标处理。</w:t>
      </w:r>
      <w:r>
        <w:rPr>
          <w:rFonts w:hint="eastAsia" w:ascii="宋体" w:hAnsi="宋体" w:eastAsia="宋体" w:cs="宋体"/>
          <w:color w:val="000000"/>
          <w:sz w:val="24"/>
          <w:szCs w:val="24"/>
          <w:highlight w:val="none"/>
          <w:lang w:val="en-US" w:eastAsia="zh-CN" w:bidi="ar-SA"/>
        </w:rPr>
        <w:t xml:space="preserve">具体事宜按照《宿迁市长期护理保险实施细则》执行。</w:t>
      </w:r>
      <w:r>
        <w:rPr>
          <w:rFonts w:hint="eastAsia" w:ascii="宋体" w:hAnsi="宋体" w:eastAsia="宋体" w:cs="宋体"/>
          <w:color w:val="000000"/>
          <w:sz w:val="24"/>
          <w:szCs w:val="24"/>
          <w:highlight w:val="none"/>
          <w:lang w:val="en-US" w:eastAsia="zh-CN" w:bidi="ar-SA"/>
        </w:rPr>
      </w:r>
      <w:r/>
    </w:p>
    <w:p>
      <w:pPr>
        <w:pStyle w:val="921"/>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分公司参与投标的，</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文件中关于法定代表签章或签字的部分，可对应使用分公司负责人签章或签字。</w:t>
      </w:r>
      <w:r>
        <w:rPr>
          <w:rFonts w:hint="eastAsia" w:ascii="宋体" w:hAnsi="宋体" w:eastAsia="宋体" w:cs="宋体"/>
          <w:b/>
          <w:bCs/>
          <w:color w:val="000000"/>
          <w:sz w:val="24"/>
          <w:szCs w:val="24"/>
          <w:highlight w:val="none"/>
          <w:lang w:val="en-US" w:eastAsia="zh-CN"/>
        </w:rPr>
      </w:r>
      <w:r/>
    </w:p>
    <w:p>
      <w:pPr>
        <w:pStyle w:val="921"/>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21"/>
        <w:jc w:val="center"/>
        <w:spacing w:before="120" w:after="120" w:line="480" w:lineRule="exact"/>
        <w:rPr>
          <w:rFonts w:hint="eastAsia" w:ascii="宋体" w:hAnsi="宋体" w:eastAsia="宋体" w:cs="宋体"/>
          <w:bCs/>
          <w:sz w:val="44"/>
          <w:szCs w:val="21"/>
        </w:rPr>
        <w:outlineLvl w:val="0"/>
      </w:pPr>
      <w:r>
        <w:rPr>
          <w:rFonts w:hint="eastAsia" w:ascii="宋体" w:hAnsi="宋体" w:eastAsia="宋体" w:cs="宋体"/>
          <w:bCs/>
          <w:sz w:val="44"/>
          <w:szCs w:val="21"/>
        </w:rPr>
        <w:br w:type="page" w:clear="all"/>
      </w:r>
      <w:bookmarkStart w:id="205" w:name="_Toc16235"/>
      <w:r>
        <w:rPr>
          <w:rFonts w:hint="eastAsia" w:ascii="宋体" w:hAnsi="宋体" w:eastAsia="宋体" w:cs="宋体"/>
          <w:bCs/>
          <w:sz w:val="44"/>
          <w:szCs w:val="21"/>
        </w:rPr>
        <w:t xml:space="preserve">第五章  评审方法与评审标准</w:t>
      </w:r>
      <w:bookmarkEnd w:id="205"/>
      <w:r>
        <w:rPr>
          <w:rFonts w:hint="eastAsia" w:ascii="宋体" w:hAnsi="宋体" w:eastAsia="宋体" w:cs="宋体"/>
          <w:bCs/>
          <w:sz w:val="44"/>
          <w:szCs w:val="21"/>
        </w:rPr>
      </w:r>
      <w:r/>
    </w:p>
    <w:p>
      <w:pPr>
        <w:pStyle w:val="921"/>
        <w:ind w:firstLine="562"/>
        <w:jc w:val="left"/>
        <w:spacing w:line="480" w:lineRule="exact"/>
        <w:rPr>
          <w:rFonts w:hint="eastAsia" w:ascii="宋体" w:hAnsi="宋体" w:eastAsia="宋体" w:cs="宋体"/>
          <w:sz w:val="24"/>
        </w:rPr>
      </w:pPr>
      <w:r>
        <w:rPr>
          <w:rFonts w:hint="eastAsia" w:ascii="宋体" w:hAnsi="宋体" w:eastAsia="宋体" w:cs="宋体"/>
          <w:b/>
          <w:sz w:val="28"/>
          <w:highlight w:val="white"/>
        </w:rPr>
        <w:t xml:space="preserve">一、资格审查。</w:t>
      </w:r>
      <w:r>
        <w:rPr>
          <w:rFonts w:hint="eastAsia" w:ascii="宋体" w:hAnsi="宋体" w:eastAsia="宋体" w:cs="宋体"/>
          <w:sz w:val="24"/>
        </w:rPr>
        <w:t xml:space="preserve">资格审查人员按照下列指标对各供应商的资格进行审查，未通过审查的为无效标，不参与评审。</w:t>
      </w:r>
      <w:r>
        <w:rPr>
          <w:rFonts w:hint="eastAsia" w:ascii="宋体" w:hAnsi="宋体" w:eastAsia="宋体" w:cs="宋体"/>
          <w:sz w:val="24"/>
        </w:rPr>
      </w:r>
      <w:r/>
    </w:p>
    <w:tbl>
      <w:tblPr>
        <w:tblW w:w="8876" w:type="dxa"/>
        <w:tblInd w:w="-4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pStyle w:val="921"/>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资格审查因素</w:t>
            </w:r>
            <w:r>
              <w:rPr>
                <w:rFonts w:hint="eastAsia" w:ascii="宋体" w:hAnsi="宋体" w:eastAsia="宋体" w:cs="宋体"/>
                <w:sz w:val="24"/>
                <w:szCs w:val="24"/>
              </w:rPr>
            </w:r>
            <w:r/>
          </w:p>
        </w:tc>
        <w:tc>
          <w:tcPr>
            <w:tcW w:w="4438" w:type="dxa"/>
            <w:vAlign w:val="center"/>
            <w:textDirection w:val="lrTb"/>
            <w:noWrap w:val="false"/>
          </w:tcPr>
          <w:p>
            <w:pPr>
              <w:pStyle w:val="921"/>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审查标准</w:t>
            </w:r>
            <w:r>
              <w:rPr>
                <w:rFonts w:hint="eastAsia" w:ascii="宋体" w:hAnsi="宋体" w:eastAsia="宋体" w:cs="宋体"/>
                <w:sz w:val="24"/>
                <w:szCs w:val="24"/>
              </w:rPr>
            </w:r>
            <w:r/>
          </w:p>
        </w:tc>
      </w:tr>
      <w:tr>
        <w:trPr/>
        <w:tc>
          <w:tcPr>
            <w:tcW w:w="4438"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响应声明及承诺函</w:t>
            </w:r>
            <w:r>
              <w:rPr>
                <w:rFonts w:hint="eastAsia" w:ascii="宋体" w:hAnsi="宋体" w:eastAsia="宋体" w:cs="宋体"/>
                <w:sz w:val="24"/>
                <w:szCs w:val="24"/>
              </w:rPr>
            </w:r>
            <w:r/>
          </w:p>
        </w:tc>
        <w:tc>
          <w:tcPr>
            <w:tcW w:w="4438"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符合磋商文件要求</w:t>
            </w:r>
            <w:r>
              <w:rPr>
                <w:rFonts w:hint="eastAsia" w:ascii="宋体" w:hAnsi="宋体" w:eastAsia="宋体" w:cs="宋体"/>
                <w:sz w:val="24"/>
                <w:szCs w:val="24"/>
              </w:rPr>
            </w:r>
            <w:r/>
          </w:p>
        </w:tc>
      </w:tr>
      <w:tr>
        <w:trPr/>
        <w:tc>
          <w:tcPr>
            <w:tcW w:w="4438"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信用信息</w:t>
            </w:r>
            <w:r>
              <w:rPr>
                <w:rFonts w:hint="eastAsia" w:ascii="宋体" w:hAnsi="宋体" w:eastAsia="宋体" w:cs="宋体"/>
                <w:sz w:val="24"/>
                <w:szCs w:val="24"/>
              </w:rPr>
            </w:r>
            <w:r/>
          </w:p>
        </w:tc>
        <w:tc>
          <w:tcPr>
            <w:tcW w:w="4438"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符合磋商文件要求</w:t>
            </w:r>
            <w:r>
              <w:rPr>
                <w:rFonts w:hint="eastAsia" w:ascii="宋体" w:hAnsi="宋体" w:eastAsia="宋体" w:cs="宋体"/>
                <w:sz w:val="24"/>
                <w:szCs w:val="24"/>
              </w:rPr>
            </w:r>
            <w:r/>
          </w:p>
        </w:tc>
      </w:tr>
      <w:tr>
        <w:trPr/>
        <w:tc>
          <w:tcPr>
            <w:tcW w:w="4438"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本项目的特定资格要求</w:t>
            </w:r>
            <w:r>
              <w:rPr>
                <w:rFonts w:hint="eastAsia" w:ascii="宋体" w:hAnsi="宋体" w:eastAsia="宋体" w:cs="宋体"/>
                <w:sz w:val="24"/>
                <w:szCs w:val="24"/>
              </w:rPr>
            </w:r>
            <w:r/>
          </w:p>
        </w:tc>
        <w:tc>
          <w:tcPr>
            <w:tcW w:w="4438"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符合磋商文件要求</w:t>
            </w:r>
            <w:r>
              <w:rPr>
                <w:rFonts w:hint="eastAsia" w:ascii="宋体" w:hAnsi="宋体" w:eastAsia="宋体" w:cs="宋体"/>
                <w:sz w:val="24"/>
                <w:szCs w:val="24"/>
              </w:rPr>
            </w:r>
            <w:r/>
          </w:p>
        </w:tc>
      </w:tr>
    </w:tbl>
    <w:p>
      <w:pPr>
        <w:pStyle w:val="921"/>
        <w:ind w:firstLine="562"/>
        <w:jc w:val="left"/>
        <w:spacing w:line="480" w:lineRule="exact"/>
        <w:rPr>
          <w:rFonts w:hint="eastAsia" w:ascii="宋体" w:hAnsi="宋体" w:eastAsia="宋体" w:cs="宋体"/>
          <w:sz w:val="24"/>
          <w:szCs w:val="24"/>
        </w:rPr>
      </w:pPr>
      <w:r>
        <w:rPr>
          <w:rFonts w:hint="eastAsia" w:ascii="宋体" w:hAnsi="宋体" w:eastAsia="宋体" w:cs="宋体"/>
          <w:b/>
          <w:sz w:val="28"/>
          <w:highlight w:val="white"/>
        </w:rPr>
        <w:t xml:space="preserve">二、符合性审查。</w:t>
      </w:r>
      <w:r>
        <w:rPr>
          <w:rFonts w:hint="eastAsia" w:ascii="宋体" w:hAnsi="宋体" w:eastAsia="宋体" w:cs="宋体"/>
          <w:sz w:val="24"/>
          <w:szCs w:val="24"/>
        </w:rPr>
        <w:t xml:space="preserve">磋商小组首先按照下列指标对各供应商进行初步评审，未通过评审的为无效标，不再参与评审。</w:t>
      </w:r>
      <w:r>
        <w:rPr>
          <w:rFonts w:hint="eastAsia" w:ascii="宋体" w:hAnsi="宋体" w:eastAsia="宋体" w:cs="宋体"/>
          <w:sz w:val="24"/>
          <w:szCs w:val="24"/>
        </w:rPr>
      </w:r>
      <w:r/>
    </w:p>
    <w:tbl>
      <w:tblPr>
        <w:tblW w:w="8892" w:type="dxa"/>
        <w:tblInd w:w="-4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4"/>
        <w:gridCol w:w="4458"/>
      </w:tblGrid>
      <w:tr>
        <w:trPr/>
        <w:tc>
          <w:tcPr>
            <w:tcW w:w="4434" w:type="dxa"/>
            <w:vAlign w:val="center"/>
            <w:textDirection w:val="lrTb"/>
            <w:noWrap w:val="false"/>
          </w:tcPr>
          <w:p>
            <w:pPr>
              <w:pStyle w:val="921"/>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评审因素</w:t>
            </w:r>
            <w:r>
              <w:rPr>
                <w:rFonts w:hint="eastAsia" w:ascii="宋体" w:hAnsi="宋体" w:eastAsia="宋体" w:cs="宋体"/>
                <w:sz w:val="24"/>
                <w:szCs w:val="24"/>
              </w:rPr>
            </w:r>
            <w:r/>
          </w:p>
        </w:tc>
        <w:tc>
          <w:tcPr>
            <w:tcW w:w="4458" w:type="dxa"/>
            <w:vAlign w:val="center"/>
            <w:textDirection w:val="lrTb"/>
            <w:noWrap w:val="false"/>
          </w:tcPr>
          <w:p>
            <w:pPr>
              <w:pStyle w:val="921"/>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r>
      <w:tr>
        <w:trPr/>
        <w:tc>
          <w:tcPr>
            <w:tcW w:w="4434"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法定代表人身份证明或授权委托书</w:t>
            </w:r>
            <w:r>
              <w:rPr>
                <w:rFonts w:hint="eastAsia" w:ascii="宋体" w:hAnsi="宋体" w:eastAsia="宋体" w:cs="宋体"/>
                <w:sz w:val="24"/>
                <w:szCs w:val="24"/>
              </w:rPr>
            </w:r>
            <w:r/>
          </w:p>
        </w:tc>
        <w:tc>
          <w:tcPr>
            <w:tcW w:w="4458"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符合磋商文件要求</w:t>
            </w:r>
            <w:r>
              <w:rPr>
                <w:rFonts w:hint="eastAsia" w:ascii="宋体" w:hAnsi="宋体" w:eastAsia="宋体" w:cs="宋体"/>
                <w:sz w:val="24"/>
                <w:szCs w:val="24"/>
              </w:rPr>
            </w:r>
            <w:r/>
          </w:p>
        </w:tc>
      </w:tr>
      <w:tr>
        <w:trPr/>
        <w:tc>
          <w:tcPr>
            <w:tcW w:w="4434"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其他</w:t>
            </w:r>
            <w:r>
              <w:rPr>
                <w:rFonts w:hint="eastAsia" w:ascii="宋体" w:hAnsi="宋体" w:eastAsia="宋体" w:cs="宋体"/>
                <w:sz w:val="24"/>
                <w:szCs w:val="24"/>
              </w:rPr>
            </w:r>
            <w:r/>
          </w:p>
        </w:tc>
        <w:tc>
          <w:tcPr>
            <w:tcW w:w="4458" w:type="dxa"/>
            <w:vAlign w:val="center"/>
            <w:textDirection w:val="lrTb"/>
            <w:noWrap w:val="false"/>
          </w:tcPr>
          <w:p>
            <w:pPr>
              <w:pStyle w:val="921"/>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符合磋商文件要求</w:t>
            </w:r>
            <w:r>
              <w:rPr>
                <w:rFonts w:hint="eastAsia" w:ascii="宋体" w:hAnsi="宋体" w:eastAsia="宋体" w:cs="宋体"/>
                <w:sz w:val="24"/>
                <w:szCs w:val="24"/>
              </w:rPr>
            </w:r>
            <w:r/>
          </w:p>
        </w:tc>
      </w:tr>
    </w:tbl>
    <w:p>
      <w:pPr>
        <w:pStyle w:val="921"/>
        <w:ind w:firstLine="562"/>
        <w:spacing w:line="480" w:lineRule="exact"/>
        <w:rPr>
          <w:rFonts w:hint="eastAsia" w:ascii="宋体" w:hAnsi="宋体" w:eastAsia="宋体" w:cs="宋体"/>
          <w:b/>
          <w:sz w:val="28"/>
          <w:highlight w:val="white"/>
        </w:rPr>
      </w:pPr>
      <w:r>
        <w:rPr>
          <w:rFonts w:hint="eastAsia" w:ascii="宋体" w:hAnsi="宋体" w:eastAsia="宋体" w:cs="宋体"/>
          <w:b/>
          <w:sz w:val="28"/>
          <w:highlight w:val="white"/>
        </w:rPr>
        <w:t xml:space="preserve">三、评分办法—综合评分法</w:t>
      </w:r>
      <w:r>
        <w:rPr>
          <w:rFonts w:hint="eastAsia" w:ascii="宋体" w:hAnsi="宋体" w:eastAsia="宋体" w:cs="宋体"/>
          <w:b/>
          <w:sz w:val="28"/>
          <w:highlight w:val="white"/>
        </w:rPr>
      </w:r>
      <w:r/>
    </w:p>
    <w:p>
      <w:pPr>
        <w:pStyle w:val="921"/>
        <w:ind w:firstLine="482"/>
        <w:jc w:val="left"/>
        <w:spacing w:line="480" w:lineRule="exact"/>
        <w:rPr>
          <w:rFonts w:hint="eastAsia" w:ascii="宋体" w:hAnsi="宋体" w:eastAsia="宋体" w:cs="宋体"/>
          <w:sz w:val="24"/>
        </w:rPr>
      </w:pPr>
      <w:r>
        <w:rPr>
          <w:rFonts w:hint="eastAsia" w:ascii="宋体" w:hAnsi="宋体" w:eastAsia="宋体" w:cs="宋体"/>
          <w:b/>
          <w:sz w:val="24"/>
          <w:highlight w:val="white"/>
        </w:rPr>
        <w:t xml:space="preserve">（一）评标办法：</w:t>
      </w:r>
      <w:r>
        <w:rPr>
          <w:rFonts w:hint="eastAsia" w:ascii="宋体" w:hAnsi="宋体" w:eastAsia="宋体" w:cs="宋体"/>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rPr>
          <w:rFonts w:hint="eastAsia" w:ascii="宋体" w:hAnsi="宋体" w:eastAsia="宋体" w:cs="宋体"/>
          <w:sz w:val="24"/>
        </w:rPr>
      </w:r>
      <w:r/>
    </w:p>
    <w:p>
      <w:pPr>
        <w:pStyle w:val="921"/>
        <w:ind w:firstLine="480"/>
        <w:jc w:val="left"/>
        <w:spacing w:line="480" w:lineRule="exact"/>
        <w:rPr>
          <w:rFonts w:hint="eastAsia" w:ascii="宋体" w:hAnsi="宋体" w:eastAsia="宋体" w:cs="宋体"/>
          <w:sz w:val="24"/>
          <w:highlight w:val="yellow"/>
        </w:rPr>
      </w:pPr>
      <w:r>
        <w:rPr>
          <w:rFonts w:hint="eastAsia" w:ascii="宋体" w:hAnsi="宋体" w:eastAsia="宋体" w:cs="宋体"/>
          <w:sz w:val="24"/>
        </w:rPr>
        <w:t xml:space="preserve">磋商小组</w:t>
      </w:r>
      <w:r>
        <w:rPr>
          <w:rFonts w:hint="eastAsia" w:ascii="宋体" w:hAnsi="宋体" w:eastAsia="宋体" w:cs="宋体"/>
          <w:sz w:val="24"/>
          <w:highlight w:val="white"/>
        </w:rPr>
        <w:t xml:space="preserve">根据评审后供应商排序推荐3名成交候选人。响应文件满足磋商文件全部实质性要求，且评审后排序第一的供应商为第一成交候选人，依次类推。</w:t>
      </w:r>
      <w:r>
        <w:rPr>
          <w:rFonts w:hint="eastAsia" w:ascii="宋体" w:hAnsi="宋体" w:eastAsia="宋体" w:cs="宋体"/>
          <w:sz w:val="24"/>
          <w:highlight w:val="yellow"/>
        </w:rPr>
      </w:r>
      <w:r/>
    </w:p>
    <w:p>
      <w:pPr>
        <w:pStyle w:val="921"/>
        <w:ind w:firstLine="480"/>
        <w:jc w:val="left"/>
        <w:spacing w:line="480" w:lineRule="exact"/>
        <w:rPr>
          <w:rFonts w:hint="eastAsia" w:ascii="宋体" w:hAnsi="宋体" w:eastAsia="宋体" w:cs="宋体"/>
          <w:sz w:val="24"/>
        </w:rPr>
      </w:pPr>
      <w:r>
        <w:rPr>
          <w:rFonts w:hint="eastAsia" w:ascii="宋体" w:hAnsi="宋体" w:eastAsia="宋体" w:cs="宋体"/>
          <w:sz w:val="24"/>
          <w:highlight w:val="white"/>
        </w:rPr>
        <w:t xml:space="preserve">综合评分保留至小数点后两位。 </w:t>
      </w:r>
      <w:r>
        <w:rPr>
          <w:rFonts w:hint="eastAsia" w:ascii="宋体" w:hAnsi="宋体" w:eastAsia="宋体" w:cs="宋体"/>
          <w:sz w:val="24"/>
        </w:rPr>
      </w:r>
      <w:r/>
    </w:p>
    <w:p>
      <w:pPr>
        <w:pStyle w:val="921"/>
        <w:numPr>
          <w:ilvl w:val="0"/>
          <w:numId w:val="0"/>
        </w:numPr>
        <w:ind w:firstLine="482"/>
        <w:jc w:val="left"/>
        <w:spacing w:line="480" w:lineRule="exact"/>
        <w:rPr>
          <w:rFonts w:hint="eastAsia" w:ascii="宋体" w:hAnsi="宋体" w:eastAsia="宋体" w:cs="宋体"/>
          <w:sz w:val="24"/>
        </w:rPr>
      </w:pPr>
      <w:r>
        <w:rPr>
          <w:rFonts w:hint="eastAsia" w:ascii="宋体" w:hAnsi="宋体" w:eastAsia="宋体" w:cs="宋体"/>
          <w:b/>
          <w:bCs/>
          <w:sz w:val="24"/>
          <w:szCs w:val="22"/>
          <w:lang w:val="en-US" w:eastAsia="zh-CN" w:bidi="ar-SA"/>
        </w:rPr>
        <w:t xml:space="preserve">（二）</w:t>
      </w:r>
      <w:r>
        <w:rPr>
          <w:rFonts w:hint="eastAsia" w:ascii="宋体" w:hAnsi="宋体" w:eastAsia="宋体" w:cs="宋体"/>
          <w:b/>
          <w:bCs/>
          <w:sz w:val="24"/>
          <w:highlight w:val="white"/>
        </w:rPr>
        <w:t xml:space="preserve">详细评审。</w:t>
      </w:r>
      <w:r>
        <w:rPr>
          <w:rFonts w:hint="eastAsia" w:ascii="宋体" w:hAnsi="宋体" w:eastAsia="宋体" w:cs="宋体"/>
          <w:sz w:val="24"/>
        </w:rPr>
        <w:t xml:space="preserve">磋商小组按照竞争性磋商文件规定的评分标准，对各响应文件进行详细评审打分。磋商小组组长对各评审专家的打分情况进行复核无误后汇总。</w:t>
      </w:r>
      <w:r>
        <w:rPr>
          <w:rFonts w:hint="eastAsia" w:ascii="宋体" w:hAnsi="宋体" w:eastAsia="宋体" w:cs="宋体"/>
          <w:sz w:val="24"/>
        </w:rPr>
      </w:r>
      <w:r/>
    </w:p>
    <w:tbl>
      <w:tblPr>
        <w:tblW w:w="8895"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488"/>
        <w:gridCol w:w="1447"/>
        <w:gridCol w:w="1314"/>
        <w:gridCol w:w="4646"/>
      </w:tblGrid>
      <w:tr>
        <w:trPr>
          <w:trHeight w:val="632"/>
        </w:trPr>
        <w:tc>
          <w:tcPr>
            <w:tcW w:w="1488" w:type="dxa"/>
            <w:vAlign w:val="center"/>
            <w:textDirection w:val="lrTb"/>
            <w:noWrap w:val="false"/>
          </w:tcPr>
          <w:p>
            <w:pPr>
              <w:pStyle w:val="921"/>
              <w:jc w:val="center"/>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评审因素</w:t>
            </w:r>
            <w:r>
              <w:rPr>
                <w:rFonts w:hint="eastAsia" w:ascii="宋体" w:hAnsi="宋体" w:eastAsia="宋体" w:cs="宋体"/>
                <w:color w:val="000000"/>
                <w:sz w:val="21"/>
                <w:szCs w:val="22"/>
                <w:highlight w:val="none"/>
                <w:lang w:val="en-US" w:eastAsia="zh-CN" w:bidi="ar-SA"/>
              </w:rPr>
            </w:r>
            <w:r/>
          </w:p>
        </w:tc>
        <w:tc>
          <w:tcPr>
            <w:tcW w:w="1447" w:type="dxa"/>
            <w:vAlign w:val="center"/>
            <w:textDirection w:val="lrTb"/>
            <w:noWrap w:val="false"/>
          </w:tcPr>
          <w:p>
            <w:pPr>
              <w:pStyle w:val="921"/>
              <w:jc w:val="center"/>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分数</w:t>
            </w:r>
            <w:r>
              <w:rPr>
                <w:rFonts w:hint="eastAsia" w:ascii="宋体" w:hAnsi="宋体" w:eastAsia="宋体" w:cs="宋体"/>
                <w:color w:val="000000"/>
                <w:sz w:val="21"/>
                <w:szCs w:val="22"/>
                <w:highlight w:val="none"/>
                <w:lang w:val="en-US" w:eastAsia="zh-CN" w:bidi="ar-SA"/>
              </w:rPr>
            </w:r>
            <w:r/>
          </w:p>
        </w:tc>
        <w:tc>
          <w:tcPr>
            <w:gridSpan w:val="2"/>
            <w:tcW w:w="5960" w:type="dxa"/>
            <w:vAlign w:val="center"/>
            <w:textDirection w:val="lrTb"/>
            <w:noWrap w:val="false"/>
          </w:tcPr>
          <w:p>
            <w:pPr>
              <w:pStyle w:val="921"/>
              <w:jc w:val="center"/>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评审标准</w:t>
            </w:r>
            <w:r>
              <w:rPr>
                <w:rFonts w:hint="eastAsia" w:ascii="宋体" w:hAnsi="宋体" w:eastAsia="宋体" w:cs="宋体"/>
                <w:color w:val="000000"/>
                <w:sz w:val="21"/>
                <w:szCs w:val="22"/>
                <w:highlight w:val="none"/>
                <w:lang w:val="en-US" w:eastAsia="zh-CN" w:bidi="ar-SA"/>
              </w:rPr>
            </w:r>
            <w:r/>
          </w:p>
        </w:tc>
      </w:tr>
      <w:tr>
        <w:trPr/>
        <w:tc>
          <w:tcPr>
            <w:tcW w:w="1488" w:type="dxa"/>
            <w:vAlign w:val="center"/>
            <w:textDirection w:val="lrTb"/>
            <w:noWrap w:val="false"/>
          </w:tcPr>
          <w:p>
            <w:pPr>
              <w:pStyle w:val="921"/>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报价分</w:t>
            </w:r>
            <w:r>
              <w:rPr>
                <w:rFonts w:hint="eastAsia" w:ascii="宋体" w:hAnsi="宋体" w:eastAsia="宋体" w:cs="宋体"/>
                <w:color w:val="000000"/>
                <w:sz w:val="21"/>
                <w:szCs w:val="22"/>
                <w:highlight w:val="none"/>
                <w:rtl w:val="0"/>
                <w:lang w:val="en-US" w:eastAsia="zh-CN" w:bidi="ar-SA"/>
              </w:rPr>
            </w:r>
            <w:r/>
          </w:p>
        </w:tc>
        <w:tc>
          <w:tcPr>
            <w:tcW w:w="1447"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投标报价</w:t>
            </w:r>
            <w:r>
              <w:rPr>
                <w:rFonts w:hint="eastAsia" w:ascii="宋体" w:hAnsi="宋体" w:eastAsia="宋体" w:cs="宋体"/>
                <w:color w:val="000000"/>
                <w:szCs w:val="21"/>
                <w:rtl w:val="0"/>
                <w:lang w:val="en-US" w:eastAsia="zh-CN"/>
              </w:rPr>
            </w:r>
            <w:r/>
          </w:p>
        </w:tc>
        <w:tc>
          <w:tcPr>
            <w:tcW w:w="1314"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10.00分</w:t>
            </w:r>
            <w:r>
              <w:rPr>
                <w:rFonts w:hint="eastAsia" w:ascii="宋体" w:hAnsi="宋体" w:eastAsia="宋体" w:cs="宋体"/>
                <w:color w:val="000000"/>
                <w:szCs w:val="21"/>
                <w:rtl w:val="0"/>
                <w:lang w:val="en-US" w:eastAsia="zh-CN"/>
              </w:rPr>
            </w:r>
            <w:r/>
          </w:p>
        </w:tc>
        <w:tc>
          <w:tcPr>
            <w:tcW w:w="4646"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采用低价优先法计算，即满足磋商文件要求且承办服务费最低的报价为评标基准值价，其得分为10分，其他投标人承办服务费得分=（评标基准价/承办服务费报价）×10。</w:t>
            </w:r>
            <w:r>
              <w:rPr>
                <w:rFonts w:hint="eastAsia" w:ascii="宋体" w:hAnsi="宋体" w:eastAsia="宋体" w:cs="宋体"/>
                <w:color w:val="000000"/>
                <w:szCs w:val="21"/>
                <w:rtl w:val="0"/>
                <w:lang w:val="en-US" w:eastAsia="zh-CN"/>
              </w:rPr>
            </w:r>
            <w:r/>
          </w:p>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注：符合规定的小微企业（含监狱企业和残疾人福利单位）报价给予10%的扣除，用扣除后的价格参加评审。</w:t>
            </w:r>
            <w:r>
              <w:rPr>
                <w:rFonts w:hint="eastAsia" w:ascii="宋体" w:hAnsi="宋体" w:eastAsia="宋体" w:cs="宋体"/>
                <w:color w:val="000000"/>
                <w:szCs w:val="21"/>
                <w:rtl w:val="0"/>
                <w:lang w:val="en-US" w:eastAsia="zh-CN"/>
              </w:rPr>
            </w:r>
            <w:r/>
          </w:p>
        </w:tc>
      </w:tr>
      <w:tr>
        <w:trPr/>
        <w:tc>
          <w:tcPr>
            <w:tcW w:w="1488" w:type="dxa"/>
            <w:vAlign w:val="center"/>
            <w:vMerge w:val="restart"/>
            <w:textDirection w:val="lrTb"/>
            <w:noWrap w:val="false"/>
          </w:tcPr>
          <w:p>
            <w:pPr>
              <w:pStyle w:val="921"/>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企业经营业绩、信誉</w:t>
            </w:r>
            <w:r>
              <w:rPr>
                <w:rFonts w:hint="eastAsia" w:ascii="宋体" w:hAnsi="宋体" w:eastAsia="宋体" w:cs="宋体"/>
                <w:color w:val="000000"/>
                <w:sz w:val="21"/>
                <w:szCs w:val="22"/>
                <w:highlight w:val="none"/>
                <w:lang w:val="en-US" w:eastAsia="zh-CN" w:bidi="ar-SA"/>
              </w:rPr>
            </w:r>
            <w:r/>
          </w:p>
        </w:tc>
        <w:tc>
          <w:tcPr>
            <w:tcW w:w="1447"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企业医疗保障项目业绩</w:t>
            </w:r>
            <w:r>
              <w:rPr>
                <w:rFonts w:hint="eastAsia" w:ascii="宋体" w:hAnsi="宋体" w:eastAsia="宋体" w:cs="宋体"/>
                <w:color w:val="000000"/>
                <w:szCs w:val="21"/>
                <w:highlight w:val="none"/>
                <w:rtl w:val="0"/>
                <w:lang w:val="en-US" w:eastAsia="zh-CN"/>
              </w:rPr>
            </w:r>
            <w:r/>
          </w:p>
        </w:tc>
        <w:tc>
          <w:tcPr>
            <w:tcW w:w="1314"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6.00分</w:t>
            </w:r>
            <w:r>
              <w:rPr>
                <w:rFonts w:hint="eastAsia" w:ascii="宋体" w:hAnsi="宋体" w:eastAsia="宋体" w:cs="宋体"/>
                <w:color w:val="000000"/>
                <w:szCs w:val="21"/>
                <w:highlight w:val="none"/>
                <w:rtl w:val="0"/>
                <w:lang w:val="en-US" w:eastAsia="zh-CN"/>
              </w:rPr>
            </w:r>
            <w:r/>
          </w:p>
        </w:tc>
        <w:tc>
          <w:tcPr>
            <w:tcW w:w="4646"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投标人及投标人总公司或其下属分支机构，自2022年1月1日（以合同签订时间为准）以来，承担过类似合作医疗类保险项目（保险项目中含医疗类保障）经验，每提供一个得3分，本项最高得6分。</w:t>
            </w:r>
            <w:r>
              <w:rPr>
                <w:rFonts w:hint="eastAsia" w:ascii="宋体" w:hAnsi="宋体" w:eastAsia="宋体" w:cs="宋体"/>
                <w:color w:val="000000"/>
                <w:szCs w:val="21"/>
                <w:highlight w:val="none"/>
                <w:rtl w:val="0"/>
                <w:lang w:val="en-US" w:eastAsia="zh-CN"/>
              </w:rPr>
            </w:r>
            <w:r/>
          </w:p>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注：响应文件中提供保险项目业绩合同或合作协议及中标（成交）通知书电子件并加盖投标人公章。同一项目与同一部门或单位连续签约的，计一次合作经验，协议中能清晰反映投保人名称、项目类别及签订日期，反映不全不得分。</w:t>
            </w:r>
            <w:r>
              <w:rPr>
                <w:rFonts w:hint="eastAsia" w:ascii="宋体" w:hAnsi="宋体" w:eastAsia="宋体" w:cs="宋体"/>
                <w:color w:val="000000"/>
                <w:szCs w:val="21"/>
                <w:highlight w:val="none"/>
                <w:rtl w:val="0"/>
                <w:lang w:val="en-US" w:eastAsia="zh-CN"/>
              </w:rPr>
            </w:r>
            <w:r/>
          </w:p>
        </w:tc>
      </w:tr>
      <w:tr>
        <w:trPr/>
        <w:tc>
          <w:tcPr>
            <w:tcW w:w="1488" w:type="dxa"/>
            <w:vAlign w:val="center"/>
            <w:vMerge w:val="continue"/>
            <w:textDirection w:val="lrTb"/>
            <w:noWrap w:val="false"/>
          </w:tcPr>
          <w:p>
            <w:pPr>
              <w:pStyle w:val="921"/>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r>
            <w:r/>
          </w:p>
        </w:tc>
        <w:tc>
          <w:tcPr>
            <w:tcW w:w="1447"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企业长护险承办业绩</w:t>
            </w:r>
            <w:r>
              <w:rPr>
                <w:rFonts w:hint="eastAsia" w:ascii="宋体" w:hAnsi="宋体" w:eastAsia="宋体" w:cs="宋体"/>
                <w:color w:val="000000"/>
                <w:szCs w:val="21"/>
                <w:highlight w:val="none"/>
                <w:rtl w:val="0"/>
                <w:lang w:val="en-US" w:eastAsia="zh-CN"/>
              </w:rPr>
            </w:r>
            <w:r/>
          </w:p>
        </w:tc>
        <w:tc>
          <w:tcPr>
            <w:tcW w:w="1314"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9.00分</w:t>
            </w:r>
            <w:r>
              <w:rPr>
                <w:rFonts w:hint="eastAsia" w:ascii="宋体" w:hAnsi="宋体" w:eastAsia="宋体" w:cs="宋体"/>
                <w:color w:val="000000"/>
                <w:szCs w:val="21"/>
                <w:highlight w:val="none"/>
                <w:rtl w:val="0"/>
                <w:lang w:val="en-US" w:eastAsia="zh-CN"/>
              </w:rPr>
            </w:r>
            <w:r/>
          </w:p>
        </w:tc>
        <w:tc>
          <w:tcPr>
            <w:tcW w:w="4646"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投标人及投标人总公司或其下属分支机构，自2022年1月1日（以合同签订时间为准）以来，承担过类似长期护理（照护）保险项目业绩的，每提供一个得3分，本项最高得9分。</w:t>
            </w:r>
            <w:r>
              <w:rPr>
                <w:rFonts w:hint="eastAsia" w:ascii="宋体" w:hAnsi="宋体" w:eastAsia="宋体" w:cs="宋体"/>
                <w:color w:val="000000"/>
                <w:szCs w:val="21"/>
                <w:highlight w:val="none"/>
                <w:rtl w:val="0"/>
                <w:lang w:val="en-US" w:eastAsia="zh-CN"/>
              </w:rPr>
            </w:r>
            <w:r/>
          </w:p>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注：响应文件中提供保险项目业绩合同或合作协议及中标（成交）通知书电子件并加盖投标人公章。同一项目与同一部门或单位连续签约的，计一次合作经验，协议中能清晰反映投保人名称、项目类别及签订日期，反映不全不得分。</w:t>
            </w:r>
            <w:r>
              <w:rPr>
                <w:rFonts w:hint="eastAsia" w:ascii="宋体" w:hAnsi="宋体" w:eastAsia="宋体" w:cs="宋体"/>
                <w:color w:val="000000"/>
                <w:szCs w:val="21"/>
                <w:highlight w:val="none"/>
                <w:rtl w:val="0"/>
                <w:lang w:val="en-US" w:eastAsia="zh-CN"/>
              </w:rPr>
            </w:r>
            <w:r/>
          </w:p>
        </w:tc>
      </w:tr>
      <w:tr>
        <w:trPr>
          <w:trHeight w:val="2251"/>
        </w:trPr>
        <w:tc>
          <w:tcPr>
            <w:tcW w:w="1488" w:type="dxa"/>
            <w:vAlign w:val="center"/>
            <w:vMerge w:val="continue"/>
            <w:textDirection w:val="lrTb"/>
            <w:noWrap w:val="false"/>
          </w:tcPr>
          <w:p>
            <w:pPr>
              <w:pStyle w:val="921"/>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tc>
        <w:tc>
          <w:tcPr>
            <w:tcW w:w="1447"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核心偿付能力</w:t>
            </w:r>
            <w:r>
              <w:rPr>
                <w:rFonts w:hint="eastAsia" w:ascii="宋体" w:hAnsi="宋体" w:eastAsia="宋体" w:cs="宋体"/>
                <w:color w:val="000000"/>
                <w:szCs w:val="21"/>
                <w:rtl w:val="0"/>
                <w:lang w:val="en-US" w:eastAsia="zh-CN"/>
              </w:rPr>
            </w:r>
            <w:r/>
          </w:p>
        </w:tc>
        <w:tc>
          <w:tcPr>
            <w:tcW w:w="1314"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9.00分</w:t>
            </w:r>
            <w:r>
              <w:rPr>
                <w:rFonts w:hint="eastAsia" w:ascii="宋体" w:hAnsi="宋体" w:eastAsia="宋体" w:cs="宋体"/>
                <w:color w:val="000000"/>
                <w:szCs w:val="21"/>
                <w:rtl w:val="0"/>
                <w:lang w:val="en-US" w:eastAsia="zh-CN"/>
              </w:rPr>
            </w:r>
            <w:r/>
          </w:p>
        </w:tc>
        <w:tc>
          <w:tcPr>
            <w:tcW w:w="4646"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投标人总公司经审计的2024年末核心偿付能力充足率≥150%的，得9分；130%≤2024年末核心偿付能力充足率﹤150%的，得7分；2024年末核心偿付能力充足率﹤130%的，得5分。</w:t>
            </w:r>
            <w:r>
              <w:rPr>
                <w:rFonts w:hint="eastAsia" w:ascii="宋体" w:hAnsi="宋体" w:eastAsia="宋体" w:cs="宋体"/>
                <w:color w:val="000000"/>
                <w:szCs w:val="21"/>
                <w:rtl w:val="0"/>
                <w:lang w:val="en-US" w:eastAsia="zh-CN"/>
              </w:rPr>
              <w:br w:type="textWrapping" w:clear="all"/>
            </w:r>
            <w:r>
              <w:rPr>
                <w:rFonts w:hint="eastAsia" w:ascii="宋体" w:hAnsi="宋体" w:eastAsia="宋体" w:cs="宋体"/>
                <w:color w:val="000000"/>
                <w:szCs w:val="21"/>
                <w:rtl w:val="0"/>
                <w:lang w:val="en-US" w:eastAsia="zh-CN"/>
              </w:rPr>
              <w:t xml:space="preserve">注：响应文件中提供投标人总公司经审计的2024年末核心偿付能力报告电子件并加盖投标人公章，否则不得分。</w:t>
            </w:r>
            <w:r>
              <w:rPr>
                <w:rFonts w:hint="eastAsia" w:ascii="宋体" w:hAnsi="宋体" w:eastAsia="宋体" w:cs="宋体"/>
                <w:color w:val="000000"/>
                <w:szCs w:val="21"/>
                <w:rtl w:val="0"/>
                <w:lang w:val="en-US" w:eastAsia="zh-CN"/>
              </w:rPr>
            </w:r>
            <w:r/>
          </w:p>
        </w:tc>
      </w:tr>
      <w:tr>
        <w:trPr>
          <w:trHeight w:val="315"/>
        </w:trPr>
        <w:tc>
          <w:tcPr>
            <w:tcW w:w="1488" w:type="dxa"/>
            <w:vAlign w:val="center"/>
            <w:vMerge w:val="continue"/>
            <w:textDirection w:val="lrTb"/>
            <w:noWrap w:val="false"/>
          </w:tcPr>
          <w:p>
            <w:pPr>
              <w:pStyle w:val="921"/>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tc>
        <w:tc>
          <w:tcPr>
            <w:tcW w:w="1447" w:type="dxa"/>
            <w:vAlign w:val="center"/>
            <w:textDirection w:val="lrTb"/>
            <w:noWrap w:val="false"/>
          </w:tcPr>
          <w:p>
            <w:pPr>
              <w:pStyle w:val="921"/>
              <w:jc w:val="lef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highlight w:val="none"/>
              </w:rPr>
              <w:t xml:space="preserve">风险评级</w:t>
            </w:r>
            <w:r>
              <w:rPr>
                <w:rFonts w:hint="eastAsia" w:ascii="宋体" w:hAnsi="宋体" w:eastAsia="宋体" w:cs="宋体"/>
                <w:color w:val="000000"/>
                <w:szCs w:val="21"/>
                <w:highlight w:val="none"/>
                <w:rtl w:val="0"/>
                <w:lang w:val="en-US" w:eastAsia="zh-CN"/>
              </w:rPr>
            </w:r>
            <w:r/>
          </w:p>
        </w:tc>
        <w:tc>
          <w:tcPr>
            <w:tcW w:w="1314" w:type="dxa"/>
            <w:vAlign w:val="center"/>
            <w:textDirection w:val="lrTb"/>
            <w:noWrap w:val="false"/>
          </w:tcPr>
          <w:p>
            <w:pPr>
              <w:pStyle w:val="921"/>
              <w:jc w:val="lef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.00分</w:t>
            </w:r>
            <w:r>
              <w:rPr>
                <w:rFonts w:hint="eastAsia" w:ascii="宋体" w:hAnsi="宋体" w:eastAsia="宋体" w:cs="宋体"/>
                <w:color w:val="000000"/>
                <w:szCs w:val="21"/>
                <w:highlight w:val="none"/>
                <w:rtl w:val="0"/>
                <w:lang w:val="en-US" w:eastAsia="zh-CN"/>
              </w:rPr>
            </w:r>
            <w:r/>
          </w:p>
        </w:tc>
        <w:tc>
          <w:tcPr>
            <w:tcW w:w="4646" w:type="dxa"/>
            <w:vAlign w:val="center"/>
            <w:textDirection w:val="lrTb"/>
            <w:noWrap w:val="false"/>
          </w:tcPr>
          <w:p>
            <w:pPr>
              <w:pStyle w:val="921"/>
              <w:jc w:val="left"/>
              <w:rPr>
                <w:rFonts w:hint="eastAsia" w:ascii="宋体" w:hAnsi="宋体" w:eastAsia="宋体" w:cs="宋体"/>
                <w:color w:val="000000"/>
                <w:highlight w:val="none"/>
                <w:rtl w:val="0"/>
                <w:lang w:val="en-US" w:eastAsia="zh-CN"/>
              </w:rPr>
            </w:pPr>
            <w:r>
              <w:rPr>
                <w:rFonts w:hint="eastAsia" w:ascii="宋体" w:hAnsi="宋体" w:eastAsia="宋体" w:cs="宋体"/>
                <w:color w:val="000000"/>
                <w:highlight w:val="none"/>
                <w:rtl w:val="0"/>
                <w:lang w:val="en-US" w:eastAsia="zh-CN"/>
              </w:rPr>
              <w:t xml:space="preserve">根据投标人所属总公司2024年四个季度（2024年1月1日-2024年12月31日）的综合风险评价等级评定结果进行评分：每有一个AAA级，得 1.5分，每有一个AA级，得 1.2分；每有一个A级，得 1分；每有一个BBB级，得 0.7分；每有一个BB级，得 0.5分；每有一个B级，得 0.3分；C 级或无评级结果的，该季度不得分。可累计加分，本项最高得6分。</w:t>
            </w:r>
            <w:r>
              <w:rPr>
                <w:rFonts w:hint="eastAsia" w:ascii="宋体" w:hAnsi="宋体" w:eastAsia="宋体" w:cs="宋体"/>
                <w:color w:val="000000"/>
                <w:highlight w:val="none"/>
                <w:rtl w:val="0"/>
                <w:lang w:val="en-US" w:eastAsia="zh-CN"/>
              </w:rPr>
            </w:r>
            <w:r/>
          </w:p>
          <w:p>
            <w:pPr>
              <w:pStyle w:val="921"/>
              <w:jc w:val="both"/>
              <w:spacing w:line="240" w:lineRule="auto"/>
              <w:widowControl/>
              <w:rPr>
                <w:rFonts w:hint="eastAsia" w:ascii="宋体" w:hAnsi="宋体" w:eastAsia="宋体" w:cs="宋体"/>
                <w:color w:val="000000"/>
                <w:highlight w:val="none"/>
                <w:rtl w:val="0"/>
                <w:lang w:val="en-US" w:eastAsia="zh-CN"/>
              </w:rPr>
            </w:pPr>
            <w:r>
              <w:rPr>
                <w:rFonts w:hint="eastAsia" w:ascii="宋体" w:hAnsi="宋体" w:eastAsia="宋体" w:cs="宋体"/>
                <w:color w:val="000000"/>
                <w:highlight w:val="none"/>
                <w:rtl w:val="0"/>
                <w:lang w:val="en-US" w:eastAsia="zh-CN"/>
              </w:rPr>
              <w:t xml:space="preserve">注：响应文件中提供2024年四个季度（2024年1月1日-2024年12月31日）的</w:t>
            </w:r>
            <w:r>
              <w:rPr>
                <w:rFonts w:hint="eastAsia" w:ascii="宋体" w:hAnsi="宋体" w:eastAsia="宋体" w:cs="宋体"/>
                <w:color w:val="000000"/>
                <w:highlight w:val="none"/>
              </w:rPr>
              <w:t xml:space="preserve">国家金融监督管理部门确认的风险综合评级</w:t>
            </w:r>
            <w:r>
              <w:rPr>
                <w:rFonts w:hint="eastAsia" w:ascii="宋体" w:hAnsi="宋体" w:eastAsia="宋体" w:cs="宋体"/>
                <w:color w:val="000000"/>
                <w:highlight w:val="none"/>
                <w:lang w:val="en-US" w:eastAsia="zh-CN"/>
              </w:rPr>
              <w:t xml:space="preserve">证明材料</w:t>
            </w:r>
            <w:r>
              <w:rPr>
                <w:rFonts w:hint="eastAsia" w:ascii="宋体" w:hAnsi="宋体" w:eastAsia="宋体" w:cs="宋体"/>
                <w:color w:val="000000"/>
                <w:highlight w:val="none"/>
              </w:rPr>
              <w:t xml:space="preserve">，并加盖</w:t>
            </w:r>
            <w:r>
              <w:rPr>
                <w:rFonts w:hint="eastAsia" w:ascii="宋体" w:hAnsi="宋体" w:eastAsia="宋体" w:cs="宋体"/>
                <w:color w:val="000000"/>
                <w:highlight w:val="none"/>
                <w:lang w:val="en-US" w:eastAsia="zh-CN"/>
              </w:rPr>
              <w:t xml:space="preserve">投标单位</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；证明材料须按季度逐一提供，内容清晰标注评级所属季度、评级等级等关键信息，无关键信息或信息无法辨认的，视为该季度材料无效。</w:t>
            </w:r>
            <w:r>
              <w:rPr>
                <w:rFonts w:hint="eastAsia" w:ascii="宋体" w:hAnsi="宋体" w:eastAsia="宋体" w:cs="宋体"/>
                <w:color w:val="000000"/>
                <w:highlight w:val="none"/>
                <w:rtl w:val="0"/>
                <w:lang w:val="en-US" w:eastAsia="zh-CN"/>
              </w:rPr>
            </w:r>
            <w:r/>
          </w:p>
        </w:tc>
      </w:tr>
      <w:tr>
        <w:trPr/>
        <w:tc>
          <w:tcPr>
            <w:tcW w:w="1488" w:type="dxa"/>
            <w:vAlign w:val="center"/>
            <w:vMerge w:val="restart"/>
            <w:textDirection w:val="lrTb"/>
            <w:noWrap w:val="false"/>
          </w:tcPr>
          <w:p>
            <w:pPr>
              <w:pStyle w:val="921"/>
              <w:jc w:val="left"/>
              <w:spacing w:after="0" w:afterAutospacing="0"/>
              <w:widowControl w:val="off"/>
              <w:rPr>
                <w:rFonts w:hint="eastAsia" w:ascii="宋体" w:hAnsi="宋体" w:eastAsia="宋体" w:cs="宋体"/>
                <w:color w:val="000000"/>
                <w:sz w:val="21"/>
                <w:szCs w:val="22"/>
                <w:highlight w:val="green"/>
                <w:lang w:val="en-US" w:eastAsia="zh-CN" w:bidi="ar-SA"/>
              </w:rPr>
            </w:pPr>
            <w:r>
              <w:rPr>
                <w:rFonts w:hint="eastAsia" w:ascii="宋体" w:hAnsi="宋体" w:eastAsia="宋体" w:cs="宋体"/>
                <w:color w:val="000000"/>
                <w:sz w:val="21"/>
                <w:szCs w:val="22"/>
                <w:highlight w:val="none"/>
                <w:rtl w:val="0"/>
                <w:lang w:val="en-US" w:eastAsia="zh-CN" w:bidi="ar-SA"/>
              </w:rPr>
              <w:t xml:space="preserve">项目实施方案</w:t>
            </w:r>
            <w:r>
              <w:rPr>
                <w:rFonts w:hint="eastAsia" w:ascii="宋体" w:hAnsi="宋体" w:eastAsia="宋体" w:cs="宋体"/>
                <w:color w:val="000000"/>
                <w:sz w:val="21"/>
                <w:szCs w:val="22"/>
                <w:highlight w:val="green"/>
                <w:lang w:val="en-US" w:eastAsia="zh-CN" w:bidi="ar-SA"/>
              </w:rPr>
            </w:r>
            <w:r/>
          </w:p>
        </w:tc>
        <w:tc>
          <w:tcPr>
            <w:tcW w:w="1447" w:type="dxa"/>
            <w:vAlign w:val="center"/>
            <w:textDirection w:val="lrTb"/>
            <w:noWrap w:val="false"/>
          </w:tcPr>
          <w:p>
            <w:pPr>
              <w:pStyle w:val="92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总体理解与规划</w:t>
            </w:r>
            <w:r>
              <w:rPr>
                <w:rFonts w:hint="eastAsia" w:ascii="宋体" w:hAnsi="宋体" w:eastAsia="宋体" w:cs="宋体"/>
                <w:color w:val="000000"/>
                <w:szCs w:val="21"/>
                <w:highlight w:val="none"/>
                <w:lang w:val="en-US" w:eastAsia="zh-CN"/>
              </w:rPr>
            </w:r>
            <w:r/>
          </w:p>
        </w:tc>
        <w:tc>
          <w:tcPr>
            <w:tcW w:w="1314" w:type="dxa"/>
            <w:vAlign w:val="center"/>
            <w:textDirection w:val="lrTb"/>
            <w:noWrap w:val="false"/>
          </w:tcPr>
          <w:p>
            <w:pPr>
              <w:pStyle w:val="921"/>
              <w:jc w:val="lef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5.00分</w:t>
            </w:r>
            <w:r>
              <w:rPr>
                <w:rFonts w:hint="eastAsia" w:ascii="宋体" w:hAnsi="宋体" w:eastAsia="宋体" w:cs="宋体"/>
                <w:color w:val="000000"/>
                <w:szCs w:val="21"/>
                <w:highlight w:val="none"/>
                <w:rtl w:val="0"/>
                <w:lang w:val="en-US" w:eastAsia="zh-CN"/>
              </w:rPr>
            </w:r>
            <w:r/>
          </w:p>
        </w:tc>
        <w:tc>
          <w:tcPr>
            <w:tcW w:w="4646" w:type="dxa"/>
            <w:vAlign w:val="center"/>
            <w:textDirection w:val="lrTb"/>
            <w:noWrap w:val="false"/>
          </w:tcPr>
          <w:p>
            <w:pPr>
              <w:pStyle w:val="921"/>
              <w:jc w:val="lef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针对采购文件“第四章 采购需求”中“四、服务内容与要求-（三）项目实施方案及要求-1.</w:t>
            </w:r>
            <w:r>
              <w:rPr>
                <w:rFonts w:hint="eastAsia" w:ascii="宋体" w:hAnsi="宋体" w:eastAsia="宋体" w:cs="宋体"/>
                <w:color w:val="000000"/>
                <w:szCs w:val="21"/>
                <w:highlight w:val="none"/>
              </w:rPr>
              <w:t xml:space="preserve">总体理解与规划</w:t>
            </w:r>
            <w:r>
              <w:rPr>
                <w:rFonts w:hint="eastAsia" w:ascii="宋体" w:hAnsi="宋体" w:eastAsia="宋体" w:cs="宋体"/>
                <w:color w:val="000000"/>
                <w:szCs w:val="21"/>
                <w:highlight w:val="none"/>
                <w:rtl w:val="0"/>
                <w:lang w:val="en-US" w:eastAsia="zh-CN"/>
              </w:rPr>
              <w:t xml:space="preserve">”要求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提供</w:t>
            </w:r>
            <w:r>
              <w:rPr>
                <w:rFonts w:hint="eastAsia" w:ascii="宋体" w:hAnsi="宋体" w:eastAsia="宋体" w:cs="宋体"/>
                <w:color w:val="000000"/>
                <w:szCs w:val="21"/>
                <w:highlight w:val="none"/>
              </w:rPr>
              <w:t xml:space="preserve">总体理解与规划</w:t>
            </w:r>
            <w:r>
              <w:rPr>
                <w:rFonts w:hint="eastAsia" w:ascii="宋体" w:hAnsi="宋体" w:eastAsia="宋体" w:cs="宋体"/>
                <w:color w:val="000000"/>
                <w:szCs w:val="21"/>
                <w:highlight w:val="none"/>
                <w:lang w:val="en-US" w:eastAsia="zh-CN"/>
              </w:rPr>
              <w:t xml:space="preserve">方案，</w:t>
            </w:r>
            <w:r>
              <w:rPr>
                <w:rFonts w:hint="eastAsia" w:ascii="宋体" w:hAnsi="宋体" w:eastAsia="宋体" w:cs="宋体"/>
                <w:color w:val="000000"/>
                <w:szCs w:val="21"/>
                <w:highlight w:val="none"/>
              </w:rPr>
              <w:t xml:space="preserve">包括但不限于</w:t>
            </w:r>
            <w:r>
              <w:rPr>
                <w:rFonts w:hint="eastAsia" w:ascii="宋体" w:hAnsi="宋体" w:eastAsia="宋体" w:cs="宋体"/>
                <w:color w:val="000000"/>
                <w:szCs w:val="21"/>
                <w:highlight w:val="none"/>
                <w:rtl w:val="0"/>
                <w:lang w:val="en-US" w:eastAsia="zh-CN"/>
              </w:rPr>
              <w:t xml:space="preserve">对本项目背景</w:t>
            </w:r>
            <w:r>
              <w:rPr>
                <w:rFonts w:hint="eastAsia" w:ascii="宋体" w:hAnsi="宋体" w:eastAsia="宋体" w:cs="宋体"/>
                <w:color w:val="000000"/>
                <w:szCs w:val="21"/>
                <w:highlight w:val="none"/>
                <w:lang w:val="en-US" w:eastAsia="zh-CN"/>
              </w:rPr>
              <w:t xml:space="preserve">和</w:t>
            </w:r>
            <w:r>
              <w:rPr>
                <w:rFonts w:hint="eastAsia" w:ascii="宋体" w:hAnsi="宋体" w:eastAsia="宋体" w:cs="宋体"/>
                <w:color w:val="000000"/>
                <w:szCs w:val="21"/>
                <w:highlight w:val="none"/>
              </w:rPr>
              <w:t xml:space="preserve">相关政策法规的理解、对项目需求的理解；整体服务规划的前瞻性与可行性。方案描述详细、贴合实际要求，优于采购需求的得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分；方案内容基本完整、内容基本详实，满足采购需求的得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分；方案内容粗略，通过后期优化能够实现采购需求的得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分。没有内容不得分。</w:t>
            </w:r>
            <w:r>
              <w:rPr>
                <w:rFonts w:hint="eastAsia" w:ascii="宋体" w:hAnsi="宋体" w:eastAsia="宋体" w:cs="宋体"/>
                <w:color w:val="000000"/>
                <w:szCs w:val="21"/>
                <w:highlight w:val="none"/>
                <w:rtl w:val="0"/>
                <w:lang w:val="en-US" w:eastAsia="zh-CN"/>
              </w:rPr>
            </w:r>
            <w:r/>
          </w:p>
        </w:tc>
      </w:tr>
      <w:tr>
        <w:trPr/>
        <w:tc>
          <w:tcPr>
            <w:tcW w:w="1488" w:type="dxa"/>
            <w:vAlign w:val="center"/>
            <w:vMerge w:val="continue"/>
            <w:textDirection w:val="lrTb"/>
            <w:noWrap w:val="false"/>
          </w:tcPr>
          <w:p>
            <w:pPr>
              <w:pStyle w:val="921"/>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r>
            <w:r/>
          </w:p>
        </w:tc>
        <w:tc>
          <w:tcPr>
            <w:tcW w:w="1447"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r>
            <w:r/>
          </w:p>
          <w:p>
            <w:pPr>
              <w:pStyle w:val="921"/>
              <w:jc w:val="left"/>
              <w:spacing w:line="300" w:lineRule="exact"/>
              <w:rPr>
                <w:rStyle w:val="1005"/>
                <w:rFonts w:hint="eastAsia" w:ascii="宋体" w:hAnsi="宋体" w:eastAsia="宋体" w:cs="宋体"/>
                <w:b/>
                <w:bCs/>
                <w:i w:val="0"/>
                <w:iCs w:val="0"/>
                <w:caps w:val="0"/>
                <w:color w:val="000000"/>
                <w:spacing w:val="0"/>
                <w:sz w:val="24"/>
                <w:szCs w:val="24"/>
                <w:highlight w:val="none"/>
                <w:shd w:val="clear" w:color="auto" w:fill="ffffff"/>
                <w:lang w:val="en-US"/>
              </w:rPr>
            </w:pPr>
            <w:r>
              <w:rPr>
                <w:rFonts w:hint="eastAsia" w:ascii="宋体" w:hAnsi="宋体" w:eastAsia="宋体" w:cs="宋体"/>
                <w:color w:val="000000"/>
                <w:szCs w:val="21"/>
                <w:highlight w:val="none"/>
                <w:rtl w:val="0"/>
                <w:lang w:val="en-US" w:eastAsia="zh-CN"/>
              </w:rPr>
              <w:t xml:space="preserve">失能评估管理方案</w:t>
            </w:r>
            <w:r>
              <w:rPr>
                <w:rStyle w:val="1005"/>
                <w:rFonts w:hint="eastAsia" w:ascii="宋体" w:hAnsi="宋体" w:eastAsia="宋体" w:cs="宋体"/>
                <w:b/>
                <w:bCs/>
                <w:i w:val="0"/>
                <w:iCs w:val="0"/>
                <w:caps w:val="0"/>
                <w:color w:val="000000"/>
                <w:spacing w:val="0"/>
                <w:sz w:val="24"/>
                <w:szCs w:val="24"/>
                <w:highlight w:val="none"/>
                <w:shd w:val="clear" w:color="auto" w:fill="ffffff"/>
                <w:lang w:val="en-US"/>
              </w:rPr>
            </w:r>
            <w:r/>
          </w:p>
        </w:tc>
        <w:tc>
          <w:tcPr>
            <w:tcW w:w="1314"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r>
            <w:r/>
          </w:p>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7.00分</w:t>
            </w:r>
            <w:r>
              <w:rPr>
                <w:rFonts w:hint="eastAsia" w:ascii="宋体" w:hAnsi="宋体" w:eastAsia="宋体" w:cs="宋体"/>
                <w:color w:val="000000"/>
                <w:szCs w:val="21"/>
                <w:highlight w:val="none"/>
                <w:rtl w:val="0"/>
                <w:lang w:val="en-US" w:eastAsia="zh-CN"/>
              </w:rPr>
            </w:r>
            <w:r/>
          </w:p>
        </w:tc>
        <w:tc>
          <w:tcPr>
            <w:tcW w:w="4646" w:type="dxa"/>
            <w:vAlign w:val="center"/>
            <w:textDirection w:val="lrTb"/>
            <w:noWrap w:val="false"/>
          </w:tcPr>
          <w:p>
            <w:pPr>
              <w:pStyle w:val="921"/>
              <w:jc w:val="left"/>
              <w:spacing w:line="3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tl w:val="0"/>
                <w:lang w:val="en-US" w:eastAsia="zh-CN"/>
              </w:rPr>
              <w:t xml:space="preserve">针对采购文件“第四章 采购需求”中“四、服务内容与要求-（三）项目实施方案及要求-2.失能评估管理方案”要求，提供失能评估管理方案，包括但不限于评估申请受理、现场评估组织、评估质量控制、争议复核与纠纷处理流程的科学性、严谨性及合规性等。</w:t>
            </w:r>
            <w:r>
              <w:rPr>
                <w:rFonts w:hint="eastAsia" w:ascii="宋体" w:hAnsi="宋体" w:eastAsia="宋体" w:cs="宋体"/>
                <w:color w:val="000000"/>
              </w:rPr>
              <w:t xml:space="preserve">方案描述详细、贴合实际要求，优于采购需求的得</w:t>
            </w: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分；方案较详细、转化落地有较强可实施性，满足采购需求的得</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分；方案内容基本完整、内容基本详实，基本满足采购需求的得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分；方案内容粗略，通过后期优化能够实现采购需求的得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分。没有内容不得分。</w:t>
            </w:r>
            <w:r>
              <w:rPr>
                <w:rFonts w:hint="eastAsia" w:ascii="宋体" w:hAnsi="宋体" w:eastAsia="宋体" w:cs="宋体"/>
                <w:color w:val="000000"/>
                <w:szCs w:val="21"/>
                <w:highlight w:val="none"/>
                <w:lang w:val="en-US" w:eastAsia="zh-CN"/>
              </w:rPr>
            </w:r>
            <w:r/>
          </w:p>
        </w:tc>
      </w:tr>
      <w:tr>
        <w:trPr/>
        <w:tc>
          <w:tcPr>
            <w:tcW w:w="1488" w:type="dxa"/>
            <w:vAlign w:val="center"/>
            <w:vMerge w:val="continue"/>
            <w:textDirection w:val="lrTb"/>
            <w:noWrap w:val="false"/>
          </w:tcPr>
          <w:p>
            <w:pPr>
              <w:pStyle w:val="921"/>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r>
            <w:r/>
          </w:p>
        </w:tc>
        <w:tc>
          <w:tcPr>
            <w:tcW w:w="1447"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定点机构管理与费用结算方案</w:t>
            </w:r>
            <w:r>
              <w:rPr>
                <w:rFonts w:hint="eastAsia" w:ascii="宋体" w:hAnsi="宋体" w:eastAsia="宋体" w:cs="宋体"/>
                <w:color w:val="000000"/>
                <w:szCs w:val="21"/>
                <w:highlight w:val="none"/>
                <w:rtl w:val="0"/>
                <w:lang w:val="en-US" w:eastAsia="zh-CN"/>
              </w:rPr>
            </w:r>
            <w:r/>
          </w:p>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r>
            <w:r/>
          </w:p>
        </w:tc>
        <w:tc>
          <w:tcPr>
            <w:tcW w:w="1314"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7.00分</w:t>
            </w:r>
            <w:r>
              <w:rPr>
                <w:rFonts w:hint="eastAsia" w:ascii="宋体" w:hAnsi="宋体" w:eastAsia="宋体" w:cs="宋体"/>
                <w:color w:val="000000"/>
                <w:szCs w:val="21"/>
                <w:highlight w:val="none"/>
                <w:rtl w:val="0"/>
                <w:lang w:val="en-US" w:eastAsia="zh-CN"/>
              </w:rPr>
            </w:r>
            <w:r/>
          </w:p>
        </w:tc>
        <w:tc>
          <w:tcPr>
            <w:tcW w:w="4646"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针对采购文件“第四章 采购需求”中“四、服务内容与要求-（三）项目实施方案及要求-3.定点机构管理与费用结算方案”要求，提供定点机构管理与费用结算方案。包括但不限于针对定点护理服务机构，制定涵盖协议管理、质量监控、考核评价及费用结算支付的全流程闭环管理方案。</w:t>
            </w:r>
            <w:r>
              <w:rPr>
                <w:rFonts w:hint="eastAsia" w:ascii="宋体" w:hAnsi="宋体" w:eastAsia="宋体" w:cs="宋体"/>
                <w:color w:val="000000"/>
              </w:rPr>
              <w:t xml:space="preserve">方案描述详细、贴合实际要求，优于采购需求的得</w:t>
            </w: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分；方案较详细、转化落地有较强可实施性，满足采购需求的得</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分；方案内容基本完整、内容基本详实，基本满足采购需求的得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分；方案内容粗略，通过后期优化能够实现采购需求的得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分。没有内容不得分。</w:t>
            </w:r>
            <w:r>
              <w:rPr>
                <w:rFonts w:hint="eastAsia" w:ascii="宋体" w:hAnsi="宋体" w:eastAsia="宋体" w:cs="宋体"/>
                <w:color w:val="000000"/>
                <w:szCs w:val="21"/>
                <w:highlight w:val="none"/>
                <w:rtl w:val="0"/>
                <w:lang w:val="en-US" w:eastAsia="zh-CN"/>
              </w:rPr>
            </w:r>
            <w:r/>
          </w:p>
        </w:tc>
      </w:tr>
      <w:tr>
        <w:trPr/>
        <w:tc>
          <w:tcPr>
            <w:tcW w:w="1488" w:type="dxa"/>
            <w:vAlign w:val="center"/>
            <w:vMerge w:val="continue"/>
            <w:textDirection w:val="lrTb"/>
            <w:noWrap w:val="false"/>
          </w:tcPr>
          <w:p>
            <w:pPr>
              <w:pStyle w:val="921"/>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r>
            <w:r/>
          </w:p>
        </w:tc>
        <w:tc>
          <w:tcPr>
            <w:tcW w:w="1447"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服务稽核与质量管控</w:t>
            </w:r>
            <w:r>
              <w:rPr>
                <w:rFonts w:hint="eastAsia" w:ascii="宋体" w:hAnsi="宋体" w:eastAsia="宋体" w:cs="宋体"/>
                <w:color w:val="000000"/>
                <w:szCs w:val="21"/>
                <w:highlight w:val="none"/>
                <w:rtl w:val="0"/>
                <w:lang w:val="en-US" w:eastAsia="zh-CN"/>
              </w:rPr>
            </w:r>
            <w:r/>
          </w:p>
        </w:tc>
        <w:tc>
          <w:tcPr>
            <w:tcW w:w="1314"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7.00分</w:t>
            </w:r>
            <w:r>
              <w:rPr>
                <w:rFonts w:hint="eastAsia" w:ascii="宋体" w:hAnsi="宋体" w:eastAsia="宋体" w:cs="宋体"/>
                <w:color w:val="000000"/>
                <w:szCs w:val="21"/>
                <w:highlight w:val="none"/>
                <w:rtl w:val="0"/>
                <w:lang w:val="en-US" w:eastAsia="zh-CN"/>
              </w:rPr>
            </w:r>
            <w:r/>
          </w:p>
        </w:tc>
        <w:tc>
          <w:tcPr>
            <w:tcW w:w="4646"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针对采购文件“第四章 采购需求”中“四、服务内容与要求-（三）项目实施方案及要求-4.服务稽核与质量管控方案”要求，提供服务稽核与质量管控方案。包括但不限于对定点机构服务行为、待遇享受人员资格及服务质量的稽核调查方案；待遇支付、内部质量控制体系、服务对象回访制度及满意度提升措施。</w:t>
            </w:r>
            <w:r>
              <w:rPr>
                <w:rFonts w:hint="eastAsia" w:ascii="宋体" w:hAnsi="宋体" w:eastAsia="宋体" w:cs="宋体"/>
                <w:color w:val="000000"/>
              </w:rPr>
              <w:t xml:space="preserve">方案描述详细、贴合实际要求，优于采购需求的得</w:t>
            </w: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分；方案较详细、转化落地有较强可实施性，满足采购需求的得</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分；方案内容基本完整、内容基本详实，基本满足采购需求的得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分；方案内容粗略，通过后期优化能够实现采购需求的得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分。没有内容不得分。</w:t>
            </w:r>
            <w:r>
              <w:rPr>
                <w:rFonts w:hint="eastAsia" w:ascii="宋体" w:hAnsi="宋体" w:eastAsia="宋体" w:cs="宋体"/>
                <w:color w:val="000000"/>
                <w:szCs w:val="21"/>
                <w:highlight w:val="none"/>
                <w:rtl w:val="0"/>
                <w:lang w:val="en-US" w:eastAsia="zh-CN"/>
              </w:rPr>
            </w:r>
            <w:r/>
          </w:p>
        </w:tc>
      </w:tr>
      <w:tr>
        <w:trPr/>
        <w:tc>
          <w:tcPr>
            <w:tcW w:w="1488" w:type="dxa"/>
            <w:vAlign w:val="center"/>
            <w:vMerge w:val="continue"/>
            <w:textDirection w:val="lrTb"/>
            <w:noWrap w:val="false"/>
          </w:tcPr>
          <w:p>
            <w:pPr>
              <w:pStyle w:val="921"/>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r>
            <w:r/>
          </w:p>
        </w:tc>
        <w:tc>
          <w:tcPr>
            <w:tcW w:w="1447"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待遇经办与基金运行管理要求 </w:t>
            </w:r>
            <w:r>
              <w:rPr>
                <w:rFonts w:hint="eastAsia" w:ascii="宋体" w:hAnsi="宋体" w:eastAsia="宋体" w:cs="宋体"/>
                <w:color w:val="000000"/>
                <w:szCs w:val="21"/>
                <w:highlight w:val="none"/>
                <w:rtl w:val="0"/>
                <w:lang w:val="en-US" w:eastAsia="zh-CN"/>
              </w:rPr>
            </w:r>
            <w:r/>
          </w:p>
        </w:tc>
        <w:tc>
          <w:tcPr>
            <w:tcW w:w="1314"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7.00分</w:t>
            </w:r>
            <w:r>
              <w:rPr>
                <w:rFonts w:hint="eastAsia" w:ascii="宋体" w:hAnsi="宋体" w:eastAsia="宋体" w:cs="宋体"/>
                <w:color w:val="000000"/>
                <w:szCs w:val="21"/>
                <w:highlight w:val="none"/>
                <w:rtl w:val="0"/>
                <w:lang w:val="en-US" w:eastAsia="zh-CN"/>
              </w:rPr>
            </w:r>
            <w:r/>
          </w:p>
        </w:tc>
        <w:tc>
          <w:tcPr>
            <w:tcW w:w="4646" w:type="dxa"/>
            <w:vAlign w:val="center"/>
            <w:textDirection w:val="lrTb"/>
            <w:noWrap w:val="false"/>
          </w:tcPr>
          <w:p>
            <w:pPr>
              <w:pStyle w:val="921"/>
              <w:jc w:val="left"/>
              <w:spacing w:line="300" w:lineRule="exact"/>
              <w:rPr>
                <w:rFonts w:hint="eastAsia" w:ascii="宋体" w:hAnsi="宋体" w:eastAsia="宋体" w:cs="宋体"/>
                <w:color w:val="000000"/>
                <w:rtl w:val="0"/>
                <w:lang w:val="en-US" w:eastAsia="zh-CN"/>
              </w:rPr>
            </w:pPr>
            <w:r>
              <w:rPr>
                <w:rFonts w:hint="eastAsia" w:ascii="宋体" w:hAnsi="宋体" w:eastAsia="宋体" w:cs="宋体"/>
                <w:color w:val="000000"/>
                <w:szCs w:val="21"/>
                <w:highlight w:val="none"/>
                <w:rtl w:val="0"/>
                <w:lang w:val="en-US" w:eastAsia="zh-CN"/>
              </w:rPr>
              <w:t xml:space="preserve">针对采购文件“第四章 采购需求”中“四、服务内容与要求-（三）项目实施方案及要求-5.待遇经办与基金运行管理要求 ”要求，提供待遇经办与基金运行管理要求方案。包括但不限于待遇申请、审核、支付、公示等全流程经办服务的便捷性、准确性方案；长护险基金运行监测、分析报告编制及风险预警机制。</w:t>
            </w:r>
            <w:r>
              <w:rPr>
                <w:rFonts w:hint="eastAsia" w:ascii="宋体" w:hAnsi="宋体" w:eastAsia="宋体" w:cs="宋体"/>
                <w:color w:val="000000"/>
              </w:rPr>
              <w:t xml:space="preserve">方案描述详细、贴合实际要求，优于采购需求的得</w:t>
            </w: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分；方案较详细、转化落地有较强可实施性，满足采购需求的得</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分；方案内容基本完整、内容基本详实，基本满足采购需求的得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分；方案内容粗略，通过后期优化能够实现采购需求的得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分。没有内容不得分。</w:t>
            </w:r>
            <w:r>
              <w:rPr>
                <w:rFonts w:hint="eastAsia" w:ascii="宋体" w:hAnsi="宋体" w:eastAsia="宋体" w:cs="宋体"/>
                <w:color w:val="000000"/>
                <w:rtl w:val="0"/>
                <w:lang w:val="en-US" w:eastAsia="zh-CN"/>
              </w:rPr>
            </w:r>
            <w:r/>
          </w:p>
        </w:tc>
      </w:tr>
      <w:tr>
        <w:trPr/>
        <w:tc>
          <w:tcPr>
            <w:tcW w:w="1488" w:type="dxa"/>
            <w:vAlign w:val="center"/>
            <w:vMerge w:val="continue"/>
            <w:textDirection w:val="lrTb"/>
            <w:noWrap w:val="false"/>
          </w:tcPr>
          <w:p>
            <w:pPr>
              <w:pStyle w:val="921"/>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tc>
        <w:tc>
          <w:tcPr>
            <w:tcW w:w="1447"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宣传方案</w:t>
            </w:r>
            <w:r>
              <w:rPr>
                <w:rFonts w:hint="eastAsia" w:ascii="宋体" w:hAnsi="宋体" w:eastAsia="宋体" w:cs="宋体"/>
                <w:color w:val="000000"/>
                <w:szCs w:val="21"/>
                <w:rtl w:val="0"/>
                <w:lang w:val="en-US" w:eastAsia="zh-CN"/>
              </w:rPr>
            </w:r>
            <w:r/>
          </w:p>
        </w:tc>
        <w:tc>
          <w:tcPr>
            <w:tcW w:w="1314"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6.00分</w:t>
            </w:r>
            <w:r>
              <w:rPr>
                <w:rFonts w:hint="eastAsia" w:ascii="宋体" w:hAnsi="宋体" w:eastAsia="宋体" w:cs="宋体"/>
                <w:color w:val="000000"/>
                <w:szCs w:val="21"/>
                <w:rtl w:val="0"/>
                <w:lang w:val="en-US" w:eastAsia="zh-CN"/>
              </w:rPr>
            </w:r>
            <w:r/>
          </w:p>
        </w:tc>
        <w:tc>
          <w:tcPr>
            <w:tcW w:w="4646"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针对采购文件“第四章 采购需求”中“四、服务内容与要求-（三）项目实施方案及要求-6.宣传方案”要求，提供宣传方案。政策宣传方向正确，方案完整详实，标新立异，思路新颖、实用性强，且优于采购需求的得6分；政策宣传方向正确，方案较完整详实，思路普通，能够满足采购需求的得4分；政策宣传方向正确，方案一般，思路陈旧，通过后期优化能实现采购需求的得2分。没有内容不得分。</w:t>
            </w:r>
            <w:r>
              <w:rPr>
                <w:rFonts w:hint="eastAsia" w:ascii="宋体" w:hAnsi="宋体" w:eastAsia="宋体" w:cs="宋体"/>
                <w:color w:val="000000"/>
                <w:szCs w:val="21"/>
                <w:rtl w:val="0"/>
                <w:lang w:val="en-US" w:eastAsia="zh-CN"/>
              </w:rPr>
            </w:r>
            <w:r/>
          </w:p>
        </w:tc>
      </w:tr>
      <w:tr>
        <w:trPr/>
        <w:tc>
          <w:tcPr>
            <w:tcW w:w="1488" w:type="dxa"/>
            <w:vAlign w:val="center"/>
            <w:vMerge w:val="continue"/>
            <w:textDirection w:val="lrTb"/>
            <w:noWrap w:val="false"/>
          </w:tcPr>
          <w:p>
            <w:pPr>
              <w:pStyle w:val="921"/>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tc>
        <w:tc>
          <w:tcPr>
            <w:tcW w:w="1447"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业务数据保密措施</w:t>
            </w:r>
            <w:r>
              <w:rPr>
                <w:rFonts w:hint="eastAsia" w:ascii="宋体" w:hAnsi="宋体" w:eastAsia="宋体" w:cs="宋体"/>
                <w:color w:val="000000"/>
                <w:szCs w:val="21"/>
                <w:rtl w:val="0"/>
                <w:lang w:val="en-US" w:eastAsia="zh-CN"/>
              </w:rPr>
            </w:r>
            <w:r/>
          </w:p>
        </w:tc>
        <w:tc>
          <w:tcPr>
            <w:tcW w:w="1314"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6.00分</w:t>
            </w:r>
            <w:r>
              <w:rPr>
                <w:rFonts w:hint="eastAsia" w:ascii="宋体" w:hAnsi="宋体" w:eastAsia="宋体" w:cs="宋体"/>
                <w:color w:val="000000"/>
                <w:szCs w:val="21"/>
                <w:rtl w:val="0"/>
                <w:lang w:val="en-US" w:eastAsia="zh-CN"/>
              </w:rPr>
            </w:r>
            <w:r/>
          </w:p>
        </w:tc>
        <w:tc>
          <w:tcPr>
            <w:tcW w:w="4646"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针对采购文件“第四章 采购需求”中“四、服务内容与要求-（三）项目实施方案及要求-7.业务数据保密措施”要求，提供业务数据保密措施方案。保密措施完整详实、切合实际、能够实现采购人保密要求的，且优于采购需求的得6分；保密措施完整、较切合实际，能够满足采购需求的得4分；保密措施一般，通过后期优化能实现采购需求的得2分。没有内容不得分。</w:t>
            </w:r>
            <w:r>
              <w:rPr>
                <w:rFonts w:hint="eastAsia" w:ascii="宋体" w:hAnsi="宋体" w:eastAsia="宋体" w:cs="宋体"/>
                <w:color w:val="000000"/>
                <w:szCs w:val="21"/>
                <w:rtl w:val="0"/>
                <w:lang w:val="en-US" w:eastAsia="zh-CN"/>
              </w:rPr>
            </w:r>
            <w:r/>
          </w:p>
        </w:tc>
      </w:tr>
      <w:tr>
        <w:trPr/>
        <w:tc>
          <w:tcPr>
            <w:tcW w:w="1488" w:type="dxa"/>
            <w:vAlign w:val="center"/>
            <w:vMerge w:val="continue"/>
            <w:textDirection w:val="lrTb"/>
            <w:noWrap w:val="false"/>
          </w:tcPr>
          <w:p>
            <w:pPr>
              <w:pStyle w:val="921"/>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tc>
        <w:tc>
          <w:tcPr>
            <w:tcW w:w="1447"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特色服务与创新方案</w:t>
            </w:r>
            <w:r>
              <w:rPr>
                <w:rFonts w:hint="eastAsia" w:ascii="宋体" w:hAnsi="宋体" w:eastAsia="宋体" w:cs="宋体"/>
                <w:color w:val="000000"/>
                <w:szCs w:val="21"/>
                <w:highlight w:val="none"/>
                <w:rtl w:val="0"/>
                <w:lang w:val="en-US" w:eastAsia="zh-CN"/>
              </w:rPr>
            </w:r>
            <w:r/>
          </w:p>
        </w:tc>
        <w:tc>
          <w:tcPr>
            <w:tcW w:w="1314"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6.00分</w:t>
            </w:r>
            <w:r>
              <w:rPr>
                <w:rFonts w:hint="eastAsia" w:ascii="宋体" w:hAnsi="宋体" w:eastAsia="宋体" w:cs="宋体"/>
                <w:color w:val="000000"/>
                <w:szCs w:val="21"/>
                <w:highlight w:val="none"/>
                <w:rtl w:val="0"/>
                <w:lang w:val="en-US" w:eastAsia="zh-CN"/>
              </w:rPr>
            </w:r>
            <w:r/>
          </w:p>
        </w:tc>
        <w:tc>
          <w:tcPr>
            <w:tcW w:w="4646" w:type="dxa"/>
            <w:vAlign w:val="center"/>
            <w:textDirection w:val="lrTb"/>
            <w:noWrap w:val="false"/>
          </w:tcPr>
          <w:p>
            <w:pPr>
              <w:pStyle w:val="921"/>
              <w:jc w:val="left"/>
              <w:spacing w:line="300" w:lineRule="exact"/>
              <w:rPr>
                <w:rFonts w:hint="eastAsia" w:ascii="宋体" w:hAnsi="宋体" w:eastAsia="宋体" w:cs="宋体"/>
                <w:color w:val="000000"/>
                <w:szCs w:val="21"/>
                <w:highlight w:val="none"/>
                <w:rtl w:val="0"/>
                <w:lang w:val="en-US" w:eastAsia="zh-CN"/>
              </w:rPr>
            </w:pPr>
            <w:r>
              <w:rPr>
                <w:rFonts w:hint="eastAsia" w:ascii="宋体" w:hAnsi="宋体" w:eastAsia="宋体" w:cs="宋体"/>
                <w:color w:val="000000"/>
                <w:szCs w:val="21"/>
                <w:highlight w:val="none"/>
                <w:rtl w:val="0"/>
                <w:lang w:val="en-US" w:eastAsia="zh-CN"/>
              </w:rPr>
              <w:t xml:space="preserve">针对采购文件“第四章 采购需求”中“四、服务内容与要求-（三）项目实施方案及要求-8.特色服务与创新方案”要求，提供特色服务与创新方案。包括但不限于在政策宣传、咨询投诉处理、信息化手段应用、档案管理、人员培训等方面。方案完整详实、思路新颖，且优于采购需求的得6分；方案基本详实，思路普通，能够满足采购需求的得4分；方案内容不完善、思路陈旧，通过后期优化能实现采购需求的得2分。没有内容不得分。</w:t>
            </w:r>
            <w:r>
              <w:rPr>
                <w:rFonts w:hint="eastAsia" w:ascii="宋体" w:hAnsi="宋体" w:eastAsia="宋体" w:cs="宋体"/>
                <w:color w:val="000000"/>
                <w:szCs w:val="21"/>
                <w:highlight w:val="none"/>
                <w:rtl w:val="0"/>
                <w:lang w:val="en-US" w:eastAsia="zh-CN"/>
              </w:rPr>
            </w:r>
            <w:r/>
          </w:p>
        </w:tc>
      </w:tr>
      <w:tr>
        <w:trPr/>
        <w:tc>
          <w:tcPr>
            <w:tcW w:w="1488" w:type="dxa"/>
            <w:vAlign w:val="center"/>
            <w:vMerge w:val="continue"/>
            <w:textDirection w:val="lrTb"/>
            <w:noWrap w:val="false"/>
          </w:tcPr>
          <w:p>
            <w:pPr>
              <w:pStyle w:val="921"/>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tc>
        <w:tc>
          <w:tcPr>
            <w:tcW w:w="1447"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培训方案</w:t>
            </w:r>
            <w:r>
              <w:rPr>
                <w:rFonts w:hint="eastAsia" w:ascii="宋体" w:hAnsi="宋体" w:eastAsia="宋体" w:cs="宋体"/>
                <w:color w:val="000000"/>
                <w:szCs w:val="21"/>
                <w:rtl w:val="0"/>
                <w:lang w:val="en-US" w:eastAsia="zh-CN"/>
              </w:rPr>
            </w:r>
            <w:r/>
          </w:p>
        </w:tc>
        <w:tc>
          <w:tcPr>
            <w:tcW w:w="1314"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5.00分</w:t>
            </w:r>
            <w:r>
              <w:rPr>
                <w:rFonts w:hint="eastAsia" w:ascii="宋体" w:hAnsi="宋体" w:eastAsia="宋体" w:cs="宋体"/>
                <w:color w:val="000000"/>
                <w:szCs w:val="21"/>
                <w:rtl w:val="0"/>
                <w:lang w:val="en-US" w:eastAsia="zh-CN"/>
              </w:rPr>
            </w:r>
            <w:r/>
          </w:p>
        </w:tc>
        <w:tc>
          <w:tcPr>
            <w:tcW w:w="4646"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针对采购文件“第四章 采购需求”中“四、服务内容与要求-（三）项目实施方案及要求-9.培训方案”要求，提供培训方案。培训方案内容详实，可执行性强、表述清晰准确，且优于采购需求的得5分；培训方案内容较详实，表述不够准确，但不影响实施，能够满足采购需求的得3分；有培训方案，但方案内容笼统，没有针对本项目细化制定，通过后期优化能满足采购需求的得1分。没有内容不得分。</w:t>
            </w:r>
            <w:r>
              <w:rPr>
                <w:rFonts w:hint="eastAsia" w:ascii="宋体" w:hAnsi="宋体" w:eastAsia="宋体" w:cs="宋体"/>
                <w:color w:val="000000"/>
                <w:szCs w:val="21"/>
                <w:rtl w:val="0"/>
                <w:lang w:val="en-US" w:eastAsia="zh-CN"/>
              </w:rPr>
            </w:r>
            <w:r/>
          </w:p>
        </w:tc>
      </w:tr>
      <w:tr>
        <w:trPr/>
        <w:tc>
          <w:tcPr>
            <w:tcW w:w="1488" w:type="dxa"/>
            <w:vAlign w:val="center"/>
            <w:vMerge w:val="continue"/>
            <w:textDirection w:val="lrTb"/>
            <w:noWrap w:val="false"/>
          </w:tcPr>
          <w:p>
            <w:pPr>
              <w:pStyle w:val="921"/>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tc>
        <w:tc>
          <w:tcPr>
            <w:tcW w:w="1447"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人员配备</w:t>
            </w:r>
            <w:r>
              <w:rPr>
                <w:rFonts w:hint="eastAsia" w:ascii="宋体" w:hAnsi="宋体" w:eastAsia="宋体" w:cs="宋体"/>
                <w:color w:val="000000"/>
                <w:szCs w:val="21"/>
                <w:rtl w:val="0"/>
                <w:lang w:val="en-US" w:eastAsia="zh-CN"/>
              </w:rPr>
            </w:r>
            <w:r/>
          </w:p>
        </w:tc>
        <w:tc>
          <w:tcPr>
            <w:tcW w:w="1314"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4.00分</w:t>
            </w:r>
            <w:r>
              <w:rPr>
                <w:rFonts w:hint="eastAsia" w:ascii="宋体" w:hAnsi="宋体" w:eastAsia="宋体" w:cs="宋体"/>
                <w:color w:val="000000"/>
                <w:szCs w:val="21"/>
                <w:rtl w:val="0"/>
                <w:lang w:val="en-US" w:eastAsia="zh-CN"/>
              </w:rPr>
            </w:r>
            <w:r/>
          </w:p>
        </w:tc>
        <w:tc>
          <w:tcPr>
            <w:tcW w:w="4646" w:type="dxa"/>
            <w:vAlign w:val="center"/>
            <w:textDirection w:val="lrTb"/>
            <w:noWrap w:val="false"/>
          </w:tcPr>
          <w:p>
            <w:pPr>
              <w:pStyle w:val="921"/>
              <w:jc w:val="left"/>
              <w:spacing w:line="300" w:lineRule="exact"/>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针对采购文件“第四章 采购需求”中“四、服务内容与要求-（三）项目实施方案及要求-10.制定人员配置方案”要求，提供人员配备。内容结构严谨、思路清晰、描述详细、转化落地有较强可实施性、满足且优于项目需求，得4分；表述略有偏差、但不影响实质性意思表达、基本能够满足项目需求，得2分；内容有欠缺，通过后期优化能实现采购需求的，得1分。没有内容不得分。</w:t>
            </w:r>
            <w:r>
              <w:rPr>
                <w:rFonts w:hint="eastAsia" w:ascii="宋体" w:hAnsi="宋体" w:eastAsia="宋体" w:cs="宋体"/>
                <w:color w:val="000000"/>
                <w:szCs w:val="21"/>
                <w:rtl w:val="0"/>
                <w:lang w:val="en-US" w:eastAsia="zh-CN"/>
              </w:rPr>
            </w:r>
            <w:r/>
          </w:p>
        </w:tc>
      </w:tr>
    </w:tbl>
    <w:p>
      <w:pPr>
        <w:pStyle w:val="921"/>
        <w:spacing w:line="480" w:lineRule="exact"/>
        <w:rPr>
          <w:rFonts w:hint="eastAsia" w:ascii="宋体" w:hAnsi="宋体" w:eastAsia="宋体" w:cs="宋体"/>
          <w:b/>
          <w:sz w:val="24"/>
          <w:szCs w:val="24"/>
        </w:rPr>
      </w:pPr>
      <w:r/>
      <w:bookmarkStart w:id="206" w:name="EB9fc9bd0651534134824972d053d71a11"/>
      <w:r>
        <w:rPr>
          <w:rFonts w:hint="eastAsia" w:ascii="宋体" w:hAnsi="宋体" w:eastAsia="宋体" w:cs="宋体"/>
          <w:b/>
          <w:sz w:val="24"/>
          <w:highlight w:val="white"/>
        </w:rPr>
        <w:t xml:space="preserve"> </w:t>
      </w:r>
      <w:bookmarkEnd w:id="206"/>
      <w:r>
        <w:rPr>
          <w:rFonts w:hint="eastAsia" w:ascii="宋体" w:hAnsi="宋体" w:eastAsia="宋体" w:cs="宋体"/>
          <w:b/>
          <w:sz w:val="24"/>
          <w:highlight w:val="white"/>
        </w:rPr>
        <w:t xml:space="preserve"> （三）评标结果。</w:t>
      </w:r>
      <w:r>
        <w:rPr>
          <w:rFonts w:hint="eastAsia" w:ascii="宋体" w:hAnsi="宋体" w:eastAsia="宋体" w:cs="宋体"/>
          <w:sz w:val="24"/>
        </w:rPr>
        <w:t xml:space="preserve">磋商小组按照本办法规定推荐成交候选人，并形成评标报告。</w:t>
      </w:r>
      <w:r>
        <w:rPr>
          <w:rFonts w:hint="eastAsia" w:ascii="宋体" w:hAnsi="宋体" w:eastAsia="宋体" w:cs="宋体"/>
          <w:b/>
          <w:sz w:val="24"/>
          <w:szCs w:val="24"/>
        </w:rPr>
      </w:r>
      <w:r/>
    </w:p>
    <w:p>
      <w:pPr>
        <w:pStyle w:val="921"/>
        <w:ind w:firstLine="241"/>
        <w:spacing w:line="480" w:lineRule="exact"/>
        <w:rPr>
          <w:rFonts w:hint="eastAsia" w:ascii="宋体" w:hAnsi="宋体" w:eastAsia="宋体" w:cs="宋体"/>
          <w:b/>
          <w:sz w:val="24"/>
          <w:highlight w:val="white"/>
        </w:rPr>
      </w:pPr>
      <w:r>
        <w:rPr>
          <w:rFonts w:hint="eastAsia" w:ascii="宋体" w:hAnsi="宋体" w:eastAsia="宋体" w:cs="宋体"/>
          <w:b/>
          <w:sz w:val="24"/>
          <w:highlight w:val="white"/>
        </w:rPr>
        <w:t xml:space="preserve">（四）政府采购政策功能落实</w:t>
      </w:r>
      <w:r>
        <w:rPr>
          <w:rFonts w:hint="eastAsia" w:ascii="宋体" w:hAnsi="宋体" w:eastAsia="宋体" w:cs="宋体"/>
          <w:b/>
          <w:sz w:val="24"/>
          <w:highlight w:val="white"/>
        </w:rPr>
      </w:r>
      <w:r/>
    </w:p>
    <w:p>
      <w:pPr>
        <w:pStyle w:val="921"/>
        <w:ind w:firstLine="241"/>
        <w:spacing w:line="480" w:lineRule="exact"/>
        <w:rPr>
          <w:rFonts w:hint="eastAsia" w:ascii="宋体" w:hAnsi="宋体" w:eastAsia="宋体" w:cs="宋体"/>
          <w:b/>
          <w:sz w:val="24"/>
        </w:rPr>
      </w:pPr>
      <w:r>
        <w:rPr>
          <w:rFonts w:hint="eastAsia" w:ascii="宋体" w:hAnsi="宋体" w:eastAsia="宋体" w:cs="宋体"/>
          <w:b/>
          <w:bCs/>
          <w:sz w:val="24"/>
        </w:rPr>
        <w:t xml:space="preserve">本项目落实的政府采购政策对应以下序号为</w:t>
      </w:r>
      <w:r>
        <w:rPr>
          <w:rFonts w:hint="eastAsia" w:ascii="宋体" w:hAnsi="宋体" w:eastAsia="宋体" w:cs="宋体"/>
          <w:b/>
          <w:bCs/>
          <w:sz w:val="24"/>
          <w:u w:val="single"/>
        </w:rPr>
        <w:t xml:space="preserve"> 1、2 </w:t>
      </w:r>
      <w:r>
        <w:rPr>
          <w:rFonts w:hint="eastAsia" w:ascii="宋体" w:hAnsi="宋体" w:eastAsia="宋体" w:cs="宋体"/>
          <w:b/>
          <w:sz w:val="24"/>
        </w:rPr>
      </w:r>
      <w:r/>
    </w:p>
    <w:p>
      <w:pPr>
        <w:pStyle w:val="921"/>
        <w:ind w:firstLine="480"/>
        <w:spacing w:line="480" w:lineRule="exact"/>
        <w:rPr>
          <w:rFonts w:hint="eastAsia" w:ascii="宋体" w:hAnsi="宋体" w:eastAsia="宋体" w:cs="宋体"/>
          <w:sz w:val="24"/>
        </w:rPr>
      </w:pPr>
      <w:r>
        <w:rPr>
          <w:rFonts w:hint="eastAsia" w:ascii="宋体" w:hAnsi="宋体" w:eastAsia="宋体" w:cs="宋体"/>
          <w:sz w:val="24"/>
        </w:rPr>
        <w:t xml:space="preserve">1、采购本国货物、工程和服务</w:t>
      </w:r>
      <w:r>
        <w:rPr>
          <w:rFonts w:hint="eastAsia" w:ascii="宋体" w:hAnsi="宋体" w:eastAsia="宋体" w:cs="宋体"/>
          <w:sz w:val="24"/>
        </w:rPr>
      </w:r>
      <w:r/>
    </w:p>
    <w:p>
      <w:pPr>
        <w:pStyle w:val="921"/>
        <w:ind w:firstLine="480"/>
        <w:spacing w:line="480" w:lineRule="exact"/>
        <w:rPr>
          <w:rFonts w:hint="eastAsia" w:ascii="宋体" w:hAnsi="宋体" w:eastAsia="宋体" w:cs="宋体"/>
          <w:sz w:val="24"/>
        </w:rPr>
      </w:pPr>
      <w:r>
        <w:rPr>
          <w:rFonts w:hint="eastAsia" w:ascii="宋体" w:hAnsi="宋体" w:eastAsia="宋体" w:cs="宋体"/>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hint="eastAsia" w:ascii="宋体" w:hAnsi="宋体" w:eastAsia="宋体" w:cs="宋体"/>
          <w:sz w:val="24"/>
        </w:rPr>
      </w:r>
      <w:r/>
    </w:p>
    <w:p>
      <w:pPr>
        <w:pStyle w:val="921"/>
        <w:ind w:firstLine="480"/>
        <w:spacing w:line="480" w:lineRule="exact"/>
        <w:rPr>
          <w:rFonts w:hint="eastAsia" w:ascii="宋体" w:hAnsi="宋体" w:eastAsia="宋体" w:cs="宋体"/>
          <w:sz w:val="24"/>
        </w:rPr>
      </w:pPr>
      <w:r>
        <w:rPr>
          <w:rFonts w:hint="eastAsia" w:ascii="宋体" w:hAnsi="宋体" w:eastAsia="宋体" w:cs="宋体"/>
          <w:sz w:val="24"/>
        </w:rPr>
        <w:t xml:space="preserve">2、中小企业政策</w:t>
      </w:r>
      <w:r>
        <w:rPr>
          <w:rFonts w:hint="eastAsia" w:ascii="宋体" w:hAnsi="宋体" w:eastAsia="宋体" w:cs="宋体"/>
          <w:sz w:val="24"/>
        </w:rPr>
      </w:r>
      <w:r/>
    </w:p>
    <w:p>
      <w:pPr>
        <w:pStyle w:val="921"/>
        <w:ind w:firstLine="480"/>
        <w:spacing w:line="480" w:lineRule="exact"/>
        <w:rPr>
          <w:rFonts w:hint="eastAsia" w:ascii="宋体" w:hAnsi="宋体" w:eastAsia="宋体" w:cs="宋体"/>
          <w:sz w:val="24"/>
        </w:rPr>
      </w:pPr>
      <w:r>
        <w:rPr>
          <w:rFonts w:hint="eastAsia" w:ascii="宋体" w:hAnsi="宋体" w:eastAsia="宋体" w:cs="宋体"/>
          <w:sz w:val="24"/>
        </w:rPr>
        <w:t xml:space="preserve">本项目按以下第</w:t>
      </w:r>
      <w:r>
        <w:rPr>
          <w:rFonts w:hint="eastAsia" w:ascii="宋体" w:hAnsi="宋体" w:eastAsia="宋体" w:cs="宋体"/>
          <w:sz w:val="24"/>
          <w:u w:val="single"/>
        </w:rPr>
        <w:t xml:space="preserve">（2）</w:t>
      </w:r>
      <w:r>
        <w:rPr>
          <w:rFonts w:hint="eastAsia" w:ascii="宋体" w:hAnsi="宋体" w:eastAsia="宋体" w:cs="宋体"/>
          <w:b/>
          <w:bCs/>
          <w:sz w:val="24"/>
          <w:u w:val="single"/>
        </w:rPr>
        <w:t xml:space="preserve"> </w:t>
      </w:r>
      <w:r>
        <w:rPr>
          <w:rFonts w:hint="eastAsia" w:ascii="宋体" w:hAnsi="宋体" w:eastAsia="宋体" w:cs="宋体"/>
          <w:sz w:val="24"/>
        </w:rPr>
        <w:t xml:space="preserve">种政策确定本项目落实的中小企业政策：</w:t>
      </w:r>
      <w:r>
        <w:rPr>
          <w:rFonts w:hint="eastAsia" w:ascii="宋体" w:hAnsi="宋体" w:eastAsia="宋体" w:cs="宋体"/>
          <w:sz w:val="24"/>
        </w:rPr>
      </w:r>
      <w:r/>
    </w:p>
    <w:p>
      <w:pPr>
        <w:pStyle w:val="921"/>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（1）本项目专门面向中小企业（含监狱企业、残疾人福利企业）采购。</w:t>
      </w:r>
      <w:r>
        <w:rPr>
          <w:rFonts w:hint="eastAsia" w:ascii="宋体" w:hAnsi="宋体" w:eastAsia="宋体" w:cs="宋体"/>
          <w:sz w:val="24"/>
        </w:rPr>
      </w:r>
      <w:r/>
    </w:p>
    <w:p>
      <w:pPr>
        <w:pStyle w:val="921"/>
        <w:ind w:firstLine="480"/>
        <w:spacing w:line="480" w:lineRule="exact"/>
        <w:rPr>
          <w:rFonts w:hint="eastAsia" w:ascii="宋体" w:hAnsi="宋体" w:eastAsia="宋体" w:cs="宋体"/>
          <w:sz w:val="24"/>
        </w:rPr>
      </w:pPr>
      <w:r>
        <w:rPr>
          <w:rFonts w:hint="eastAsia" w:ascii="宋体" w:hAnsi="宋体" w:eastAsia="宋体" w:cs="宋体"/>
          <w:sz w:val="24"/>
        </w:rPr>
        <w:t xml:space="preserve">（2）投标人提供的货物、工程或者服务符合下列情形的，对小微企业报价给予</w:t>
      </w:r>
      <w:r>
        <w:rPr>
          <w:rFonts w:hint="eastAsia" w:ascii="宋体" w:hAnsi="宋体" w:eastAsia="宋体" w:cs="宋体"/>
          <w:sz w:val="24"/>
          <w:u w:val="single"/>
        </w:rPr>
        <w:t xml:space="preserve"> 10 </w:t>
      </w:r>
      <w:r>
        <w:rPr>
          <w:rFonts w:hint="eastAsia" w:ascii="宋体" w:hAnsi="宋体" w:eastAsia="宋体" w:cs="宋体"/>
          <w:sz w:val="24"/>
        </w:rPr>
        <w:t xml:space="preserve">%（工程项目为</w:t>
      </w:r>
      <w:r>
        <w:rPr>
          <w:rFonts w:hint="eastAsia" w:ascii="宋体" w:hAnsi="宋体" w:eastAsia="宋体" w:cs="宋体"/>
          <w:sz w:val="24"/>
          <w:u w:val="single"/>
        </w:rPr>
        <w:t xml:space="preserve">  5  </w:t>
      </w:r>
      <w:r>
        <w:rPr>
          <w:rFonts w:hint="eastAsia" w:ascii="宋体" w:hAnsi="宋体" w:eastAsia="宋体" w:cs="宋体"/>
          <w:sz w:val="24"/>
        </w:rPr>
        <w:t xml:space="preserve">%）的扣除，用扣除后的价格参加评审。</w:t>
      </w:r>
      <w:r>
        <w:rPr>
          <w:rFonts w:hint="eastAsia" w:ascii="宋体" w:hAnsi="宋体" w:eastAsia="宋体" w:cs="宋体"/>
          <w:sz w:val="24"/>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在服务采购项目中，服务由中小企业承接，即提供服务的人员为中小企业依照《中华人民共和国民法典》订立劳动合同的从业人员。</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3、政府采购节能产品、环境标志产品</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（3）采购人拟采购的产品属于优先采购的节能环保品目清单范围的，按以下条件优先采购：</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采用综合评分法的项目，对提供有效节能环保证书的投标人加分。</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4、商品包装、快递包装政府采购需求标准（试行）</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宋体" w:hAnsi="宋体" w:eastAsia="宋体" w:cs="宋体"/>
          <w:sz w:val="24"/>
          <w:highlight w:val="white"/>
        </w:rPr>
      </w:r>
      <w:r/>
    </w:p>
    <w:p>
      <w:pPr>
        <w:pStyle w:val="921"/>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5、绿色数据中心政府采购需求标准（试行）</w:t>
      </w:r>
      <w:r>
        <w:rPr>
          <w:rFonts w:hint="eastAsia" w:ascii="宋体" w:hAnsi="宋体" w:eastAsia="宋体" w:cs="宋体"/>
          <w:sz w:val="24"/>
          <w:highlight w:val="white"/>
        </w:rPr>
      </w:r>
      <w:r/>
    </w:p>
    <w:p>
      <w:pPr>
        <w:pStyle w:val="921"/>
        <w:ind w:firstLine="480"/>
        <w:jc w:val="left"/>
        <w:spacing w:line="480" w:lineRule="exact"/>
        <w:rPr>
          <w:rFonts w:hint="eastAsia" w:ascii="宋体" w:hAnsi="宋体" w:eastAsia="宋体" w:cs="宋体"/>
          <w:sz w:val="24"/>
          <w:szCs w:val="24"/>
        </w:rPr>
      </w:pPr>
      <w:r>
        <w:rPr>
          <w:rFonts w:hint="eastAsia" w:ascii="宋体" w:hAnsi="宋体" w:eastAsia="宋体" w:cs="宋体"/>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宋体" w:hAnsi="宋体" w:eastAsia="宋体" w:cs="宋体"/>
          <w:sz w:val="24"/>
          <w:szCs w:val="24"/>
        </w:rPr>
      </w:r>
      <w:r/>
    </w:p>
    <w:p>
      <w:pPr>
        <w:pStyle w:val="921"/>
        <w:jc w:val="center"/>
        <w:keepNext/>
        <w:spacing w:line="480" w:lineRule="exact"/>
        <w:rPr>
          <w:rFonts w:hint="eastAsia" w:ascii="宋体" w:hAnsi="宋体" w:eastAsia="宋体" w:cs="宋体"/>
          <w:bCs/>
          <w:sz w:val="44"/>
          <w:szCs w:val="28"/>
        </w:rPr>
        <w:outlineLvl w:val="0"/>
      </w:pPr>
      <w:r>
        <w:rPr>
          <w:rFonts w:hint="eastAsia" w:ascii="宋体" w:hAnsi="宋体" w:eastAsia="宋体" w:cs="宋体"/>
          <w:bCs/>
          <w:sz w:val="44"/>
          <w:szCs w:val="28"/>
        </w:rPr>
        <w:br w:type="page" w:clear="all"/>
      </w:r>
      <w:bookmarkStart w:id="207" w:name="_Toc4708"/>
      <w:r>
        <w:rPr>
          <w:rFonts w:hint="eastAsia" w:ascii="宋体" w:hAnsi="宋体" w:eastAsia="宋体" w:cs="宋体"/>
          <w:bCs/>
          <w:sz w:val="44"/>
          <w:szCs w:val="28"/>
        </w:rPr>
        <w:t xml:space="preserve">第六章  </w:t>
      </w:r>
      <w:bookmarkEnd w:id="202"/>
      <w:r/>
      <w:bookmarkEnd w:id="203"/>
      <w:r/>
      <w:bookmarkEnd w:id="204"/>
      <w:r>
        <w:rPr>
          <w:rFonts w:hint="eastAsia" w:ascii="宋体" w:hAnsi="宋体" w:eastAsia="宋体" w:cs="宋体"/>
          <w:bCs/>
          <w:sz w:val="44"/>
          <w:szCs w:val="28"/>
        </w:rPr>
        <w:t xml:space="preserve">响应文件格式</w:t>
      </w:r>
      <w:bookmarkEnd w:id="207"/>
      <w:r>
        <w:rPr>
          <w:rFonts w:hint="eastAsia" w:ascii="宋体" w:hAnsi="宋体" w:eastAsia="宋体" w:cs="宋体"/>
          <w:bCs/>
          <w:sz w:val="44"/>
          <w:szCs w:val="28"/>
        </w:rPr>
        <w:t xml:space="preserve"> </w:t>
      </w:r>
      <w:r>
        <w:rPr>
          <w:rFonts w:hint="eastAsia" w:ascii="宋体" w:hAnsi="宋体" w:eastAsia="宋体" w:cs="宋体"/>
          <w:bCs/>
          <w:sz w:val="44"/>
          <w:szCs w:val="28"/>
        </w:rPr>
      </w:r>
      <w:r/>
    </w:p>
    <w:p>
      <w:pPr>
        <w:pStyle w:val="921"/>
        <w:jc w:val="center"/>
        <w:spacing w:line="480" w:lineRule="exact"/>
        <w:rPr>
          <w:rFonts w:hint="eastAsia" w:ascii="宋体" w:hAnsi="宋体" w:eastAsia="宋体" w:cs="宋体"/>
          <w:b/>
          <w:sz w:val="72"/>
          <w:szCs w:val="21"/>
        </w:rPr>
      </w:pPr>
      <w:r/>
      <w:bookmarkStart w:id="208" w:name="_Hlt26671244"/>
      <w:r/>
      <w:bookmarkEnd w:id="208"/>
      <w:r/>
      <w:bookmarkStart w:id="209" w:name="_Hlt26955039"/>
      <w:r/>
      <w:bookmarkEnd w:id="209"/>
      <w:r/>
      <w:bookmarkStart w:id="210" w:name="_Toc49090576"/>
      <w:r/>
      <w:bookmarkStart w:id="211" w:name="_Toc26554094"/>
      <w:r/>
      <w:bookmarkStart w:id="212" w:name="_Toc120614282"/>
      <w:r>
        <w:rPr>
          <w:rFonts w:hint="eastAsia" w:ascii="宋体" w:hAnsi="宋体" w:eastAsia="宋体" w:cs="宋体"/>
          <w:b/>
          <w:sz w:val="72"/>
          <w:szCs w:val="21"/>
        </w:rPr>
      </w:r>
      <w:r/>
    </w:p>
    <w:p>
      <w:pPr>
        <w:pStyle w:val="921"/>
        <w:jc w:val="center"/>
        <w:spacing w:line="480" w:lineRule="exact"/>
        <w:rPr>
          <w:rFonts w:hint="eastAsia" w:ascii="宋体" w:hAnsi="宋体" w:eastAsia="宋体" w:cs="宋体"/>
          <w:b/>
          <w:sz w:val="72"/>
          <w:szCs w:val="21"/>
        </w:rPr>
      </w:pPr>
      <w:r>
        <w:rPr>
          <w:rFonts w:hint="eastAsia" w:ascii="宋体" w:hAnsi="宋体" w:eastAsia="宋体" w:cs="宋体"/>
          <w:b/>
          <w:sz w:val="72"/>
          <w:szCs w:val="21"/>
        </w:rPr>
      </w:r>
      <w:r/>
    </w:p>
    <w:p>
      <w:pPr>
        <w:pStyle w:val="921"/>
        <w:jc w:val="center"/>
        <w:spacing w:line="480" w:lineRule="exact"/>
        <w:rPr>
          <w:rFonts w:hint="eastAsia" w:ascii="宋体" w:hAnsi="宋体" w:eastAsia="宋体" w:cs="宋体"/>
          <w:b/>
          <w:sz w:val="72"/>
          <w:szCs w:val="21"/>
        </w:rPr>
      </w:pPr>
      <w:r>
        <w:rPr>
          <w:rFonts w:hint="eastAsia" w:ascii="宋体" w:hAnsi="宋体" w:eastAsia="宋体" w:cs="宋体"/>
          <w:b/>
          <w:sz w:val="72"/>
          <w:szCs w:val="21"/>
        </w:rPr>
      </w:r>
      <w:r/>
    </w:p>
    <w:p>
      <w:pPr>
        <w:pStyle w:val="921"/>
        <w:jc w:val="center"/>
        <w:spacing w:line="480" w:lineRule="exact"/>
        <w:rPr>
          <w:rFonts w:hint="eastAsia" w:ascii="宋体" w:hAnsi="宋体" w:eastAsia="宋体" w:cs="宋体"/>
          <w:b/>
          <w:sz w:val="72"/>
          <w:szCs w:val="21"/>
        </w:rPr>
      </w:pPr>
      <w:r>
        <w:rPr>
          <w:rFonts w:hint="eastAsia" w:ascii="宋体" w:hAnsi="宋体" w:eastAsia="宋体" w:cs="宋体"/>
          <w:b/>
          <w:sz w:val="72"/>
          <w:szCs w:val="21"/>
        </w:rPr>
      </w:r>
      <w:r/>
    </w:p>
    <w:p>
      <w:pPr>
        <w:pStyle w:val="921"/>
        <w:jc w:val="center"/>
        <w:spacing w:line="480" w:lineRule="exact"/>
        <w:rPr>
          <w:rFonts w:hint="eastAsia" w:ascii="宋体" w:hAnsi="宋体" w:eastAsia="宋体" w:cs="宋体"/>
          <w:b/>
          <w:sz w:val="72"/>
          <w:szCs w:val="21"/>
        </w:rPr>
      </w:pPr>
      <w:r>
        <w:rPr>
          <w:rFonts w:hint="eastAsia" w:ascii="宋体" w:hAnsi="宋体" w:eastAsia="宋体" w:cs="宋体"/>
          <w:b/>
          <w:sz w:val="72"/>
          <w:szCs w:val="21"/>
        </w:rPr>
      </w:r>
      <w:r/>
    </w:p>
    <w:p>
      <w:pPr>
        <w:pStyle w:val="921"/>
        <w:jc w:val="center"/>
        <w:rPr>
          <w:rFonts w:hint="eastAsia" w:ascii="宋体" w:hAnsi="宋体" w:eastAsia="宋体" w:cs="宋体"/>
          <w:b/>
          <w:sz w:val="72"/>
          <w:szCs w:val="21"/>
        </w:rPr>
      </w:pPr>
      <w:r>
        <w:rPr>
          <w:rFonts w:hint="eastAsia" w:ascii="宋体" w:hAnsi="宋体" w:eastAsia="宋体" w:cs="宋体"/>
          <w:b/>
          <w:sz w:val="72"/>
          <w:szCs w:val="21"/>
        </w:rPr>
        <w:t xml:space="preserve">响  应  文  件</w:t>
      </w:r>
      <w:r>
        <w:rPr>
          <w:rFonts w:hint="eastAsia" w:ascii="宋体" w:hAnsi="宋体" w:eastAsia="宋体" w:cs="宋体"/>
          <w:b/>
          <w:sz w:val="72"/>
          <w:szCs w:val="21"/>
        </w:rPr>
      </w:r>
      <w:r/>
    </w:p>
    <w:p>
      <w:pPr>
        <w:pStyle w:val="921"/>
        <w:jc w:val="center"/>
        <w:rPr>
          <w:rFonts w:hint="eastAsia" w:ascii="宋体" w:hAnsi="宋体" w:eastAsia="宋体" w:cs="宋体"/>
          <w:b/>
          <w:sz w:val="72"/>
          <w:szCs w:val="21"/>
        </w:rPr>
      </w:pPr>
      <w:r>
        <w:rPr>
          <w:rFonts w:hint="eastAsia" w:ascii="宋体" w:hAnsi="宋体" w:eastAsia="宋体" w:cs="宋体"/>
          <w:b/>
          <w:sz w:val="72"/>
          <w:szCs w:val="21"/>
        </w:rPr>
      </w:r>
      <w:r/>
    </w:p>
    <w:p>
      <w:pPr>
        <w:pStyle w:val="921"/>
        <w:jc w:val="center"/>
        <w:rPr>
          <w:rFonts w:hint="eastAsia" w:ascii="宋体" w:hAnsi="宋体" w:eastAsia="宋体" w:cs="宋体"/>
          <w:b/>
          <w:sz w:val="72"/>
          <w:szCs w:val="21"/>
        </w:rPr>
      </w:pPr>
      <w:r>
        <w:rPr>
          <w:rFonts w:hint="eastAsia" w:ascii="宋体" w:hAnsi="宋体" w:eastAsia="宋体" w:cs="宋体"/>
          <w:b/>
          <w:sz w:val="72"/>
          <w:szCs w:val="21"/>
        </w:rPr>
      </w:r>
      <w:r/>
    </w:p>
    <w:p>
      <w:pPr>
        <w:pStyle w:val="921"/>
        <w:jc w:val="center"/>
        <w:rPr>
          <w:rFonts w:hint="eastAsia" w:ascii="宋体" w:hAnsi="宋体" w:eastAsia="宋体" w:cs="宋体"/>
          <w:b/>
          <w:sz w:val="36"/>
          <w:szCs w:val="21"/>
        </w:rPr>
      </w:pPr>
      <w:r>
        <w:rPr>
          <w:rFonts w:hint="eastAsia" w:ascii="宋体" w:hAnsi="宋体" w:eastAsia="宋体" w:cs="宋体"/>
          <w:b/>
          <w:sz w:val="36"/>
          <w:szCs w:val="21"/>
        </w:rPr>
      </w:r>
      <w:r/>
    </w:p>
    <w:p>
      <w:pPr>
        <w:pStyle w:val="921"/>
        <w:jc w:val="center"/>
        <w:rPr>
          <w:rFonts w:hint="eastAsia" w:ascii="宋体" w:hAnsi="宋体" w:eastAsia="宋体" w:cs="宋体"/>
          <w:b/>
          <w:sz w:val="36"/>
          <w:szCs w:val="21"/>
        </w:rPr>
      </w:pPr>
      <w:r>
        <w:rPr>
          <w:rFonts w:hint="eastAsia" w:ascii="宋体" w:hAnsi="宋体" w:eastAsia="宋体" w:cs="宋体"/>
          <w:b/>
          <w:sz w:val="36"/>
          <w:szCs w:val="21"/>
        </w:rPr>
      </w:r>
      <w:r/>
    </w:p>
    <w:p>
      <w:pPr>
        <w:pStyle w:val="921"/>
        <w:jc w:val="center"/>
        <w:rPr>
          <w:rFonts w:hint="eastAsia" w:ascii="宋体" w:hAnsi="宋体" w:eastAsia="宋体" w:cs="宋体"/>
          <w:b/>
          <w:sz w:val="36"/>
          <w:szCs w:val="21"/>
        </w:rPr>
      </w:pPr>
      <w:r>
        <w:rPr>
          <w:rFonts w:hint="eastAsia" w:ascii="宋体" w:hAnsi="宋体" w:eastAsia="宋体" w:cs="宋体"/>
          <w:b/>
          <w:sz w:val="36"/>
          <w:szCs w:val="21"/>
        </w:rPr>
      </w:r>
      <w:r/>
    </w:p>
    <w:p>
      <w:pPr>
        <w:pStyle w:val="921"/>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rPr>
          <w:rFonts w:hint="eastAsia" w:ascii="宋体" w:hAnsi="宋体" w:eastAsia="宋体" w:cs="宋体"/>
          <w:b/>
          <w:sz w:val="36"/>
        </w:rPr>
      </w:r>
      <w:r/>
    </w:p>
    <w:p>
      <w:pPr>
        <w:pStyle w:val="921"/>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rPr>
          <w:rFonts w:hint="eastAsia" w:ascii="宋体" w:hAnsi="宋体" w:eastAsia="宋体" w:cs="宋体"/>
          <w:b/>
          <w:sz w:val="36"/>
          <w:u w:val="single"/>
        </w:rPr>
      </w:r>
      <w:r/>
    </w:p>
    <w:p>
      <w:pPr>
        <w:pStyle w:val="921"/>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（加盖CA电子公章）</w:t>
      </w:r>
      <w:r>
        <w:rPr>
          <w:rFonts w:hint="eastAsia" w:ascii="宋体" w:hAnsi="宋体" w:eastAsia="宋体" w:cs="宋体"/>
          <w:b/>
          <w:sz w:val="36"/>
          <w:u w:val="single"/>
        </w:rPr>
      </w:r>
      <w:r/>
    </w:p>
    <w:p>
      <w:pPr>
        <w:pStyle w:val="921"/>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rPr>
          <w:rFonts w:hint="eastAsia" w:ascii="宋体" w:hAnsi="宋体" w:eastAsia="宋体" w:cs="宋体"/>
          <w:b/>
          <w:sz w:val="36"/>
          <w:u w:val="single"/>
        </w:rPr>
      </w:r>
      <w:r/>
    </w:p>
    <w:p>
      <w:pPr>
        <w:pStyle w:val="921"/>
        <w:ind w:firstLine="964"/>
        <w:jc w:val="center"/>
        <w:spacing w:line="48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1"/>
        <w:ind w:firstLine="964"/>
        <w:jc w:val="center"/>
        <w:spacing w:line="48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1"/>
        <w:ind w:firstLine="964"/>
        <w:jc w:val="center"/>
        <w:spacing w:line="48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1"/>
        <w:ind w:firstLine="964"/>
        <w:jc w:val="center"/>
        <w:spacing w:line="48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1"/>
        <w:ind w:firstLine="964"/>
        <w:jc w:val="center"/>
        <w:spacing w:line="48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1"/>
        <w:ind w:firstLine="964"/>
        <w:jc w:val="center"/>
        <w:spacing w:line="48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1"/>
        <w:spacing w:line="480" w:lineRule="exact"/>
        <w:rPr>
          <w:rFonts w:hint="eastAsia" w:ascii="宋体" w:hAnsi="宋体" w:eastAsia="宋体" w:cs="宋体"/>
          <w:b/>
          <w:bCs/>
          <w:sz w:val="32"/>
          <w:szCs w:val="32"/>
        </w:rPr>
      </w:pPr>
      <w:r>
        <w:rPr>
          <w:rFonts w:hint="eastAsia" w:ascii="宋体" w:hAnsi="宋体" w:eastAsia="宋体" w:cs="宋体"/>
          <w:b/>
          <w:bCs/>
          <w:sz w:val="32"/>
          <w:szCs w:val="32"/>
        </w:rPr>
      </w:r>
      <w:r/>
    </w:p>
    <w:p>
      <w:pPr>
        <w:shd w:val="nil" w:color="auto"/>
        <w:rPr>
          <w:rFonts w:hint="eastAsia" w:ascii="宋体" w:hAnsi="宋体" w:eastAsia="宋体" w:cs="宋体"/>
          <w:b/>
          <w:bCs/>
          <w:sz w:val="32"/>
          <w:szCs w:val="32"/>
        </w:rPr>
      </w:pPr>
      <w:r>
        <w:rPr>
          <w:rFonts w:hint="eastAsia" w:ascii="宋体" w:hAnsi="宋体" w:eastAsia="宋体" w:cs="宋体"/>
          <w:b/>
          <w:bCs/>
          <w:sz w:val="32"/>
          <w:szCs w:val="32"/>
          <w:highlight w:val="none"/>
        </w:rPr>
        <w:br w:type="page" w:clear="all"/>
      </w:r>
      <w:r>
        <w:rPr>
          <w:rFonts w:hint="eastAsia" w:ascii="宋体" w:hAnsi="宋体" w:eastAsia="宋体" w:cs="宋体"/>
          <w:b/>
          <w:bCs/>
          <w:sz w:val="32"/>
          <w:szCs w:val="32"/>
          <w:highlight w:val="none"/>
        </w:rPr>
      </w:r>
      <w:r/>
    </w:p>
    <w:p>
      <w:pPr>
        <w:pStyle w:val="921"/>
        <w:ind w:firstLine="964"/>
        <w:jc w:val="center"/>
        <w:spacing w:line="480" w:lineRule="exact"/>
        <w:rPr>
          <w:rFonts w:hint="eastAsia" w:ascii="宋体" w:hAnsi="宋体" w:eastAsia="宋体" w:cs="宋体"/>
          <w:b/>
          <w:bCs/>
          <w:sz w:val="32"/>
          <w:szCs w:val="32"/>
          <w:highlight w:val="none"/>
        </w:rPr>
      </w:pPr>
      <w:r>
        <w:rPr>
          <w:rFonts w:hint="eastAsia" w:ascii="宋体" w:hAnsi="宋体" w:eastAsia="宋体" w:cs="宋体"/>
          <w:b/>
          <w:bCs/>
          <w:sz w:val="32"/>
          <w:szCs w:val="32"/>
        </w:rPr>
        <w:t xml:space="preserve">响应文件目录</w:t>
      </w:r>
      <w:r>
        <w:rPr>
          <w:rFonts w:hint="eastAsia" w:ascii="宋体" w:hAnsi="宋体" w:eastAsia="宋体" w:cs="宋体"/>
          <w:b/>
          <w:bCs/>
          <w:sz w:val="32"/>
          <w:szCs w:val="32"/>
        </w:rPr>
      </w:r>
      <w:r/>
    </w:p>
    <w:p>
      <w:pPr>
        <w:pStyle w:val="921"/>
        <w:jc w:val="center"/>
        <w:spacing w:line="48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一、磋商申请及声明</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二、供应商基本信息</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三、特定资格要求的证明文件</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四、法人（负责人）授权书</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五、中小企业或残疾人福利性单位声明函</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六、磋商报价表</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七、分项报价表</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八、项目组人员</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九、企业业绩</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十、磋商所需其他材料</w:t>
      </w: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ind w:firstLine="480"/>
        <w:spacing w:line="480" w:lineRule="exact"/>
        <w:rPr>
          <w:rFonts w:hint="eastAsia" w:ascii="宋体" w:hAnsi="宋体" w:eastAsia="宋体" w:cs="宋体"/>
          <w:sz w:val="24"/>
          <w:szCs w:val="21"/>
        </w:rPr>
      </w:pPr>
      <w:r>
        <w:rPr>
          <w:rFonts w:hint="eastAsia" w:ascii="宋体" w:hAnsi="宋体" w:eastAsia="宋体" w:cs="宋体"/>
          <w:sz w:val="24"/>
          <w:szCs w:val="21"/>
        </w:rPr>
      </w:r>
      <w:r/>
    </w:p>
    <w:p>
      <w:pPr>
        <w:pStyle w:val="921"/>
        <w:spacing w:line="480" w:lineRule="exact"/>
        <w:rPr>
          <w:rFonts w:hint="eastAsia" w:ascii="宋体" w:hAnsi="宋体" w:eastAsia="宋体" w:cs="宋体"/>
          <w:iCs/>
          <w:sz w:val="32"/>
          <w:szCs w:val="32"/>
        </w:rPr>
        <w:outlineLvl w:val="1"/>
      </w:pPr>
      <w:r>
        <w:rPr>
          <w:rFonts w:hint="eastAsia" w:ascii="宋体" w:hAnsi="宋体" w:eastAsia="宋体" w:cs="宋体"/>
          <w:iCs/>
          <w:sz w:val="32"/>
          <w:szCs w:val="32"/>
        </w:rPr>
        <w:br w:type="page" w:clear="all"/>
      </w:r>
      <w:r>
        <w:rPr>
          <w:rFonts w:hint="eastAsia" w:ascii="宋体" w:hAnsi="宋体" w:eastAsia="宋体" w:cs="宋体"/>
          <w:iCs/>
          <w:sz w:val="32"/>
          <w:szCs w:val="32"/>
        </w:rPr>
        <w:t xml:space="preserve">一、磋商申请及声明</w:t>
      </w:r>
      <w:r>
        <w:rPr>
          <w:rFonts w:hint="eastAsia" w:ascii="宋体" w:hAnsi="宋体" w:eastAsia="宋体" w:cs="宋体"/>
          <w:iCs/>
          <w:sz w:val="32"/>
          <w:szCs w:val="32"/>
        </w:rPr>
      </w:r>
      <w:r/>
    </w:p>
    <w:p>
      <w:pPr>
        <w:pStyle w:val="106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t xml:space="preserve">响应声明及承诺函</w:t>
      </w:r>
      <w:r>
        <w:rPr>
          <w:rFonts w:hint="eastAsia" w:ascii="宋体" w:hAnsi="宋体" w:eastAsia="宋体" w:cs="宋体"/>
          <w:b/>
          <w:sz w:val="32"/>
          <w:szCs w:val="32"/>
        </w:rPr>
      </w:r>
      <w:r/>
    </w:p>
    <w:p>
      <w:pPr>
        <w:pStyle w:val="1061"/>
        <w:jc w:val="left"/>
        <w:spacing w:line="480" w:lineRule="exact"/>
        <w:rPr>
          <w:rFonts w:hint="eastAsia" w:ascii="宋体" w:hAnsi="宋体" w:eastAsia="宋体" w:cs="宋体"/>
          <w:sz w:val="24"/>
          <w:szCs w:val="24"/>
          <w:u w:val="single"/>
        </w:rPr>
      </w:pPr>
      <w:r>
        <w:rPr>
          <w:rFonts w:hint="eastAsia" w:ascii="宋体" w:hAnsi="宋体" w:eastAsia="宋体" w:cs="宋体"/>
          <w:sz w:val="24"/>
          <w:szCs w:val="24"/>
          <w:u w:val="single"/>
          <w:lang w:eastAsia="zh-CN"/>
        </w:rPr>
        <w:t xml:space="preserve">苏州宿迁工业园区社会保险基金管理中心</w:t>
      </w:r>
      <w:r>
        <w:rPr>
          <w:rFonts w:hint="eastAsia" w:ascii="宋体" w:hAnsi="宋体" w:eastAsia="宋体" w:cs="宋体"/>
          <w:sz w:val="24"/>
          <w:szCs w:val="24"/>
          <w:u w:val="single"/>
        </w:rPr>
        <w:t xml:space="preserve">（采购单位名称）：</w:t>
      </w:r>
      <w:r>
        <w:rPr>
          <w:rFonts w:hint="eastAsia" w:ascii="宋体" w:hAnsi="宋体" w:eastAsia="宋体" w:cs="宋体"/>
          <w:sz w:val="24"/>
          <w:szCs w:val="24"/>
          <w:u w:val="single"/>
        </w:rPr>
      </w:r>
      <w:r/>
    </w:p>
    <w:p>
      <w:pPr>
        <w:pStyle w:val="1061"/>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根据已收到的项目编号为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项目的竞争性磋商文件，我单位在参加本项目竞争性磋商活动中，特做出如下承诺：</w:t>
      </w:r>
      <w:r>
        <w:rPr>
          <w:rFonts w:hint="eastAsia" w:ascii="宋体" w:hAnsi="宋体" w:eastAsia="宋体" w:cs="宋体"/>
          <w:sz w:val="24"/>
          <w:szCs w:val="24"/>
        </w:rPr>
      </w:r>
      <w:r/>
    </w:p>
    <w:p>
      <w:pPr>
        <w:pStyle w:val="1061"/>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一、我方</w:t>
      </w:r>
      <w:r>
        <w:rPr>
          <w:rFonts w:hint="eastAsia" w:ascii="宋体" w:hAnsi="宋体" w:eastAsia="宋体" w:cs="宋体"/>
          <w:sz w:val="24"/>
          <w:highlight w:val="white"/>
        </w:rPr>
        <w:t xml:space="preserve">具备《中华人民共和国政府采购法》第二十二条第一款规定的6项条件；</w:t>
      </w:r>
      <w:r>
        <w:rPr>
          <w:rFonts w:hint="eastAsia" w:ascii="宋体" w:hAnsi="宋体" w:eastAsia="宋体" w:cs="宋体"/>
          <w:sz w:val="24"/>
          <w:szCs w:val="24"/>
        </w:rPr>
      </w:r>
      <w:r/>
    </w:p>
    <w:p>
      <w:pPr>
        <w:pStyle w:val="1061"/>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hint="eastAsia" w:ascii="宋体" w:hAnsi="宋体" w:eastAsia="宋体" w:cs="宋体"/>
          <w:sz w:val="24"/>
          <w:szCs w:val="24"/>
        </w:rPr>
      </w:r>
      <w:r/>
    </w:p>
    <w:p>
      <w:pPr>
        <w:pStyle w:val="1061"/>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三、我方按磋商文件要求提交响应文件，响应磋商文件规定的响应有效期；</w:t>
      </w:r>
      <w:r>
        <w:rPr>
          <w:rFonts w:hint="eastAsia" w:ascii="宋体" w:hAnsi="宋体" w:eastAsia="宋体" w:cs="宋体"/>
          <w:sz w:val="24"/>
          <w:szCs w:val="24"/>
        </w:rPr>
      </w:r>
      <w:r/>
    </w:p>
    <w:p>
      <w:pPr>
        <w:pStyle w:val="1061"/>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四、如果我方的响应文件被接受，我方将按《中华人民共和国民法典（第三编合同） 》及其他有关法律、法规的规定，按期、按质、按量交付采购单位，全面做到履约守信；</w:t>
      </w:r>
      <w:r>
        <w:rPr>
          <w:rFonts w:hint="eastAsia" w:ascii="宋体" w:hAnsi="宋体" w:eastAsia="宋体" w:cs="宋体"/>
          <w:sz w:val="24"/>
          <w:szCs w:val="24"/>
        </w:rPr>
      </w:r>
      <w:r/>
    </w:p>
    <w:p>
      <w:pPr>
        <w:pStyle w:val="1061"/>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rPr>
          <w:rFonts w:hint="eastAsia" w:ascii="宋体" w:hAnsi="宋体" w:eastAsia="宋体" w:cs="宋体"/>
          <w:sz w:val="24"/>
          <w:szCs w:val="24"/>
        </w:rPr>
      </w:r>
      <w:r/>
    </w:p>
    <w:p>
      <w:pPr>
        <w:pStyle w:val="1061"/>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六、我方同意采购人、采购代理机构将本声明及承诺函上网公开。</w:t>
      </w:r>
      <w:r>
        <w:rPr>
          <w:rFonts w:hint="eastAsia" w:ascii="宋体" w:hAnsi="宋体" w:eastAsia="宋体" w:cs="宋体"/>
          <w:sz w:val="24"/>
          <w:szCs w:val="24"/>
        </w:rPr>
      </w:r>
      <w:r/>
    </w:p>
    <w:p>
      <w:pPr>
        <w:pStyle w:val="1061"/>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061"/>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061"/>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供应商名称：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（加盖CA电子公章）</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074"/>
        <w:spacing w:line="480" w:lineRule="exact"/>
        <w:rPr>
          <w:rFonts w:hint="eastAsia" w:ascii="宋体" w:hAnsi="宋体" w:eastAsia="宋体" w:cs="宋体"/>
          <w:iCs/>
          <w:szCs w:val="32"/>
        </w:rPr>
      </w:pPr>
      <w:r/>
      <w:bookmarkEnd w:id="210"/>
      <w:r/>
      <w:bookmarkEnd w:id="211"/>
      <w:r/>
      <w:bookmarkEnd w:id="212"/>
      <w:r/>
      <w:bookmarkStart w:id="213" w:name="_Toc27399"/>
      <w:r/>
      <w:bookmarkStart w:id="214" w:name="_Toc120614284"/>
      <w:r>
        <w:rPr>
          <w:rFonts w:hint="eastAsia" w:ascii="宋体" w:hAnsi="宋体" w:eastAsia="宋体" w:cs="宋体"/>
          <w:iCs/>
          <w:szCs w:val="32"/>
        </w:rPr>
      </w:r>
      <w:r/>
    </w:p>
    <w:p>
      <w:pPr>
        <w:pStyle w:val="1074"/>
        <w:spacing w:line="480" w:lineRule="exact"/>
        <w:rPr>
          <w:rFonts w:hint="eastAsia" w:ascii="宋体" w:hAnsi="宋体" w:eastAsia="宋体" w:cs="宋体"/>
          <w:iCs/>
          <w:szCs w:val="32"/>
        </w:rPr>
      </w:pPr>
      <w:r>
        <w:rPr>
          <w:rFonts w:hint="eastAsia" w:ascii="宋体" w:hAnsi="宋体" w:eastAsia="宋体" w:cs="宋体"/>
          <w:iCs/>
          <w:szCs w:val="32"/>
        </w:rPr>
      </w:r>
      <w:r/>
    </w:p>
    <w:p>
      <w:pPr>
        <w:pStyle w:val="1074"/>
        <w:spacing w:line="480" w:lineRule="exact"/>
        <w:rPr>
          <w:rFonts w:hint="eastAsia" w:ascii="宋体" w:hAnsi="宋体" w:eastAsia="宋体" w:cs="宋体"/>
        </w:rPr>
        <w:outlineLvl w:val="1"/>
      </w:pPr>
      <w:r>
        <w:rPr>
          <w:rFonts w:hint="eastAsia" w:ascii="宋体" w:hAnsi="宋体" w:eastAsia="宋体" w:cs="宋体"/>
          <w:iCs/>
          <w:szCs w:val="32"/>
        </w:rPr>
        <w:t xml:space="preserve">二</w:t>
      </w:r>
      <w:r>
        <w:rPr>
          <w:rFonts w:hint="eastAsia" w:ascii="宋体" w:hAnsi="宋体" w:eastAsia="宋体" w:cs="宋体"/>
        </w:rPr>
        <w:t xml:space="preserve">、供应商基本信息</w:t>
      </w:r>
      <w:bookmarkEnd w:id="213"/>
      <w:r>
        <w:rPr>
          <w:rFonts w:hint="eastAsia" w:ascii="宋体" w:hAnsi="宋体" w:eastAsia="宋体" w:cs="宋体"/>
        </w:rPr>
      </w:r>
      <w:r/>
    </w:p>
    <w:p>
      <w:pPr>
        <w:pStyle w:val="1075"/>
        <w:jc w:val="center"/>
        <w:spacing w:line="480" w:lineRule="exact"/>
        <w:rPr>
          <w:rFonts w:hint="eastAsia" w:ascii="宋体" w:hAnsi="宋体" w:eastAsia="宋体" w:cs="宋体"/>
          <w:sz w:val="44"/>
          <w:szCs w:val="44"/>
        </w:rPr>
      </w:pPr>
      <w:r>
        <w:rPr>
          <w:rFonts w:hint="eastAsia" w:ascii="宋体" w:hAnsi="宋体" w:eastAsia="宋体" w:cs="宋体"/>
          <w:sz w:val="44"/>
          <w:szCs w:val="44"/>
        </w:rPr>
        <w:t xml:space="preserve">供应商基本情况表</w:t>
      </w:r>
      <w:r>
        <w:rPr>
          <w:rFonts w:hint="eastAsia" w:ascii="宋体" w:hAnsi="宋体" w:eastAsia="宋体" w:cs="宋体"/>
          <w:sz w:val="44"/>
          <w:szCs w:val="44"/>
        </w:rPr>
      </w:r>
      <w:r/>
    </w:p>
    <w:tbl>
      <w:tblPr>
        <w:tblW w:w="8524" w:type="dxa"/>
        <w:jc w:val="center"/>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w:t>
            </w:r>
            <w:r>
              <w:rPr>
                <w:rFonts w:hint="eastAsia" w:ascii="宋体" w:hAnsi="宋体" w:eastAsia="宋体" w:cs="宋体"/>
                <w:color w:val="000000"/>
                <w:sz w:val="24"/>
                <w:szCs w:val="24"/>
              </w:rPr>
            </w:r>
            <w:r/>
          </w:p>
        </w:tc>
        <w:tc>
          <w:tcPr>
            <w:gridSpan w:val="3"/>
            <w:tcW w:w="6998"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526"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rPr>
            </w:r>
            <w:r/>
          </w:p>
        </w:tc>
        <w:tc>
          <w:tcPr>
            <w:tcW w:w="3118"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注册地区</w:t>
            </w:r>
            <w:r>
              <w:rPr>
                <w:rFonts w:hint="eastAsia" w:ascii="宋体" w:hAnsi="宋体" w:eastAsia="宋体" w:cs="宋体"/>
                <w:color w:val="000000"/>
                <w:sz w:val="24"/>
                <w:szCs w:val="24"/>
              </w:rPr>
            </w:r>
            <w:r/>
          </w:p>
        </w:tc>
        <w:tc>
          <w:tcPr>
            <w:tcW w:w="2604"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526"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rPr>
            </w:r>
            <w:r/>
          </w:p>
        </w:tc>
        <w:tc>
          <w:tcPr>
            <w:tcW w:w="3118"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rPr>
            </w:r>
            <w:r/>
          </w:p>
        </w:tc>
        <w:tc>
          <w:tcPr>
            <w:tcW w:w="2604"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526"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成立时间</w:t>
            </w:r>
            <w:r>
              <w:rPr>
                <w:rFonts w:hint="eastAsia" w:ascii="宋体" w:hAnsi="宋体" w:eastAsia="宋体" w:cs="宋体"/>
                <w:color w:val="000000"/>
                <w:sz w:val="24"/>
                <w:szCs w:val="24"/>
              </w:rPr>
            </w:r>
            <w:r/>
          </w:p>
        </w:tc>
        <w:tc>
          <w:tcPr>
            <w:tcW w:w="3118"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单位性质</w:t>
            </w:r>
            <w:r>
              <w:rPr>
                <w:rFonts w:hint="eastAsia" w:ascii="宋体" w:hAnsi="宋体" w:eastAsia="宋体" w:cs="宋体"/>
                <w:color w:val="000000"/>
                <w:sz w:val="24"/>
                <w:szCs w:val="24"/>
              </w:rPr>
            </w:r>
            <w:r/>
          </w:p>
        </w:tc>
        <w:tc>
          <w:tcPr>
            <w:tcW w:w="2604"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526"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注册号或社会信用代码</w:t>
            </w:r>
            <w:r>
              <w:rPr>
                <w:rFonts w:hint="eastAsia" w:ascii="宋体" w:hAnsi="宋体" w:eastAsia="宋体" w:cs="宋体"/>
                <w:color w:val="000000"/>
                <w:sz w:val="24"/>
                <w:szCs w:val="24"/>
              </w:rPr>
            </w:r>
            <w:r/>
          </w:p>
        </w:tc>
        <w:tc>
          <w:tcPr>
            <w:tcW w:w="3118"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注册资本（万元）</w:t>
            </w:r>
            <w:r>
              <w:rPr>
                <w:rFonts w:hint="eastAsia" w:ascii="宋体" w:hAnsi="宋体" w:eastAsia="宋体" w:cs="宋体"/>
                <w:color w:val="000000"/>
                <w:sz w:val="24"/>
                <w:szCs w:val="24"/>
              </w:rPr>
            </w:r>
            <w:r/>
          </w:p>
        </w:tc>
        <w:tc>
          <w:tcPr>
            <w:tcW w:w="2604"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526"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供应商类别</w:t>
            </w:r>
            <w:r>
              <w:rPr>
                <w:rFonts w:hint="eastAsia" w:ascii="宋体" w:hAnsi="宋体" w:eastAsia="宋体" w:cs="宋体"/>
                <w:color w:val="000000"/>
                <w:sz w:val="24"/>
                <w:szCs w:val="24"/>
              </w:rPr>
            </w:r>
            <w:r/>
          </w:p>
        </w:tc>
        <w:tc>
          <w:tcPr>
            <w:gridSpan w:val="3"/>
            <w:tcW w:w="6998"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526"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rPr>
            </w:r>
            <w:r/>
          </w:p>
        </w:tc>
        <w:tc>
          <w:tcPr>
            <w:tcW w:w="3118"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rPr>
            </w:r>
            <w:r/>
          </w:p>
        </w:tc>
        <w:tc>
          <w:tcPr>
            <w:tcW w:w="2604"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526"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rPr>
            </w:r>
            <w:r/>
          </w:p>
        </w:tc>
        <w:tc>
          <w:tcPr>
            <w:tcW w:w="3118"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tc>
        <w:tc>
          <w:tcPr>
            <w:tcW w:w="2604"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76"/>
        </w:trPr>
        <w:tc>
          <w:tcPr>
            <w:tcW w:w="1526"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经营范围</w:t>
            </w:r>
            <w:r>
              <w:rPr>
                <w:rFonts w:hint="eastAsia" w:ascii="宋体" w:hAnsi="宋体" w:eastAsia="宋体" w:cs="宋体"/>
                <w:color w:val="000000"/>
                <w:sz w:val="24"/>
                <w:szCs w:val="24"/>
              </w:rPr>
            </w:r>
            <w:r/>
          </w:p>
        </w:tc>
        <w:tc>
          <w:tcPr>
            <w:gridSpan w:val="3"/>
            <w:tcW w:w="6998" w:type="dxa"/>
            <w:vAlign w:val="top"/>
            <w:textDirection w:val="lrTb"/>
            <w:noWrap w:val="false"/>
          </w:tcPr>
          <w:p>
            <w:pPr>
              <w:pStyle w:val="1075"/>
              <w:ind w:firstLine="1433"/>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134"/>
        </w:trPr>
        <w:tc>
          <w:tcPr>
            <w:tcW w:w="1526"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c>
          <w:tcPr>
            <w:gridSpan w:val="3"/>
            <w:tcW w:w="6998" w:type="dxa"/>
            <w:vAlign w:val="center"/>
            <w:textDirection w:val="lrTb"/>
            <w:noWrap w:val="false"/>
          </w:tcPr>
          <w:p>
            <w:pPr>
              <w:pStyle w:val="1075"/>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无需提供营业执照等资料，填表即可</w:t>
            </w:r>
            <w:r>
              <w:rPr>
                <w:rFonts w:hint="eastAsia" w:ascii="宋体" w:hAnsi="宋体" w:eastAsia="宋体" w:cs="宋体"/>
                <w:color w:val="000000"/>
                <w:sz w:val="24"/>
                <w:szCs w:val="24"/>
              </w:rPr>
            </w:r>
            <w:r/>
          </w:p>
        </w:tc>
      </w:tr>
    </w:tbl>
    <w:p>
      <w:pPr>
        <w:pStyle w:val="921"/>
        <w:spacing w:line="480" w:lineRule="exact"/>
        <w:rPr>
          <w:rFonts w:hint="eastAsia" w:ascii="宋体" w:hAnsi="宋体" w:eastAsia="宋体" w:cs="宋体"/>
          <w:i w:val="0"/>
          <w:iCs/>
          <w:sz w:val="32"/>
          <w:szCs w:val="32"/>
          <w:u w:val="none"/>
        </w:rPr>
        <w:outlineLvl w:val="1"/>
      </w:pPr>
      <w:r>
        <w:rPr>
          <w:rFonts w:hint="eastAsia" w:ascii="宋体" w:hAnsi="宋体" w:eastAsia="宋体" w:cs="宋体"/>
          <w:iCs/>
          <w:sz w:val="32"/>
          <w:szCs w:val="32"/>
        </w:rPr>
        <w:br w:type="page" w:clear="all"/>
      </w:r>
      <w:r>
        <w:rPr>
          <w:rFonts w:hint="eastAsia" w:ascii="宋体" w:hAnsi="宋体" w:eastAsia="宋体" w:cs="宋体"/>
          <w:i w:val="0"/>
          <w:iCs/>
          <w:sz w:val="32"/>
          <w:szCs w:val="32"/>
          <w:u w:val="none"/>
        </w:rPr>
        <w:t xml:space="preserve">三、特定资格要求的证明文件</w:t>
      </w:r>
      <w:r>
        <w:rPr>
          <w:rFonts w:hint="eastAsia" w:ascii="宋体" w:hAnsi="宋体" w:eastAsia="宋体" w:cs="宋体"/>
          <w:i w:val="0"/>
          <w:iCs/>
          <w:sz w:val="32"/>
          <w:szCs w:val="32"/>
          <w:u w:val="none"/>
        </w:rPr>
      </w:r>
      <w:r/>
    </w:p>
    <w:p>
      <w:pPr>
        <w:pStyle w:val="921"/>
        <w:spacing w:line="480" w:lineRule="exact"/>
        <w:rPr>
          <w:rFonts w:hint="eastAsia"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rPr>
          <w:rFonts w:hint="eastAsia" w:ascii="宋体" w:hAnsi="宋体" w:eastAsia="宋体" w:cs="宋体"/>
          <w:bCs/>
          <w:sz w:val="24"/>
        </w:rPr>
      </w:r>
      <w:r/>
    </w:p>
    <w:p>
      <w:pPr>
        <w:pStyle w:val="921"/>
        <w:spacing w:line="480" w:lineRule="exact"/>
        <w:rPr>
          <w:rFonts w:hint="eastAsia" w:ascii="宋体" w:hAnsi="宋体" w:eastAsia="宋体" w:cs="宋体"/>
          <w:iCs/>
          <w:sz w:val="32"/>
          <w:szCs w:val="32"/>
        </w:rPr>
        <w:outlineLvl w:val="1"/>
      </w:pPr>
      <w:r>
        <w:rPr>
          <w:rFonts w:hint="eastAsia" w:ascii="宋体" w:hAnsi="宋体" w:eastAsia="宋体" w:cs="宋体"/>
          <w:iCs/>
          <w:sz w:val="32"/>
          <w:szCs w:val="32"/>
        </w:rPr>
        <w:br w:type="page" w:clear="all"/>
      </w:r>
      <w:r>
        <w:rPr>
          <w:rFonts w:hint="eastAsia" w:ascii="宋体" w:hAnsi="宋体" w:eastAsia="宋体" w:cs="宋体"/>
          <w:iCs/>
          <w:sz w:val="32"/>
          <w:szCs w:val="32"/>
        </w:rPr>
        <w:t xml:space="preserve">四、法人（负责人）授权书</w:t>
      </w:r>
      <w:r>
        <w:rPr>
          <w:rFonts w:hint="eastAsia" w:ascii="宋体" w:hAnsi="宋体" w:eastAsia="宋体" w:cs="宋体"/>
          <w:iCs/>
          <w:sz w:val="32"/>
          <w:szCs w:val="32"/>
        </w:rPr>
      </w:r>
      <w:r/>
    </w:p>
    <w:p>
      <w:pPr>
        <w:pStyle w:val="921"/>
        <w:ind w:firstLine="480"/>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本授权书声明：____________（供应商名称）授权________________（被授权人的姓名）为我方就JSZC-</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号项目采购活动的合法代理人，以本单位名义全权处理一切与该项目采购有关的事务。</w:t>
      </w:r>
      <w:r>
        <w:rPr>
          <w:rFonts w:hint="eastAsia" w:ascii="宋体" w:hAnsi="宋体" w:eastAsia="宋体" w:cs="宋体"/>
          <w:sz w:val="24"/>
          <w:szCs w:val="24"/>
        </w:rPr>
      </w:r>
      <w:r/>
    </w:p>
    <w:p>
      <w:pPr>
        <w:pStyle w:val="921"/>
        <w:ind w:firstLine="480"/>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rPr>
          <w:rFonts w:hint="eastAsia" w:ascii="宋体" w:hAnsi="宋体" w:eastAsia="宋体" w:cs="宋体"/>
          <w:sz w:val="24"/>
          <w:szCs w:val="24"/>
        </w:rPr>
      </w:r>
      <w:r/>
    </w:p>
    <w:p>
      <w:pPr>
        <w:pStyle w:val="921"/>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21"/>
        <w:ind w:firstLine="960"/>
        <w:spacing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ind w:firstLine="1200"/>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rPr>
          <w:rFonts w:hint="eastAsia" w:ascii="宋体" w:hAnsi="宋体" w:eastAsia="宋体" w:cs="宋体"/>
          <w:sz w:val="24"/>
          <w:szCs w:val="24"/>
        </w:rPr>
      </w:r>
      <w:r/>
    </w:p>
    <w:p>
      <w:pPr>
        <w:pStyle w:val="921"/>
        <w:ind w:firstLine="480"/>
        <w:spacing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ind w:firstLine="480"/>
        <w:spacing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日期：</w:t>
      </w:r>
      <w:bookmarkStart w:id="215" w:name="_Hlt26955070"/>
      <w:r/>
      <w:bookmarkEnd w:id="215"/>
      <w:r/>
      <w:bookmarkStart w:id="216" w:name="_Hlt26671380"/>
      <w:r/>
      <w:bookmarkEnd w:id="216"/>
      <w:r/>
      <w:bookmarkStart w:id="217" w:name="_格式3__银行出具的资信证明"/>
      <w:r/>
      <w:bookmarkEnd w:id="217"/>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921"/>
        <w:ind w:firstLine="480"/>
        <w:spacing w:line="48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921"/>
        <w:ind w:firstLine="480"/>
        <w:spacing w:line="48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pStyle w:val="921"/>
        <w:ind w:firstLine="420"/>
        <w:spacing w:line="480" w:lineRule="exact"/>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921"/>
        <w:spacing w:line="480" w:lineRule="exact"/>
        <w:rPr>
          <w:rFonts w:hint="eastAsia" w:ascii="宋体" w:hAnsi="宋体" w:eastAsia="宋体" w:cs="宋体"/>
          <w:szCs w:val="21"/>
        </w:rPr>
      </w:pPr>
      <w:r>
        <w:rPr>
          <w:rFonts w:hint="eastAsia" w:ascii="宋体" w:hAnsi="宋体" w:eastAsia="宋体" w:cs="宋体"/>
          <w:szCs w:val="21"/>
        </w:rPr>
      </w:r>
      <w:r/>
    </w:p>
    <w:p>
      <w:pPr>
        <w:pStyle w:val="921"/>
        <w:spacing w:line="480" w:lineRule="exact"/>
        <w:rPr>
          <w:rFonts w:hint="eastAsia" w:ascii="宋体" w:hAnsi="宋体" w:eastAsia="宋体" w:cs="宋体"/>
          <w:iCs/>
          <w:sz w:val="32"/>
          <w:szCs w:val="32"/>
        </w:rPr>
        <w:outlineLvl w:val="1"/>
      </w:pPr>
      <w:r>
        <w:rPr>
          <w:rFonts w:hint="eastAsia" w:ascii="宋体" w:hAnsi="宋体" w:eastAsia="宋体" w:cs="宋体"/>
          <w:b/>
          <w:sz w:val="24"/>
          <w:szCs w:val="44"/>
        </w:rPr>
        <w:br w:type="page" w:clear="all"/>
      </w:r>
      <w:r>
        <w:rPr>
          <w:rFonts w:hint="eastAsia" w:ascii="宋体" w:hAnsi="宋体" w:eastAsia="宋体" w:cs="宋体"/>
          <w:iCs/>
          <w:sz w:val="32"/>
          <w:szCs w:val="32"/>
        </w:rPr>
        <w:t xml:space="preserve">五、中小企业和残疾人福利性单位声明函</w:t>
      </w:r>
      <w:r>
        <w:rPr>
          <w:rFonts w:hint="eastAsia" w:ascii="宋体" w:hAnsi="宋体" w:eastAsia="宋体" w:cs="宋体"/>
          <w:iCs/>
          <w:sz w:val="32"/>
          <w:szCs w:val="32"/>
        </w:rPr>
      </w:r>
      <w:r/>
    </w:p>
    <w:p>
      <w:pPr>
        <w:pStyle w:val="921"/>
        <w:spacing w:line="480" w:lineRule="exact"/>
        <w:rPr>
          <w:rFonts w:hint="eastAsia" w:ascii="宋体" w:hAnsi="宋体" w:eastAsia="宋体" w:cs="宋体"/>
          <w:iCs/>
          <w:sz w:val="32"/>
          <w:szCs w:val="32"/>
        </w:rPr>
      </w:pPr>
      <w:r>
        <w:rPr>
          <w:rFonts w:hint="eastAsia" w:ascii="宋体" w:hAnsi="宋体" w:eastAsia="宋体" w:cs="宋体"/>
          <w:iCs/>
          <w:sz w:val="32"/>
          <w:szCs w:val="32"/>
        </w:rPr>
      </w:r>
      <w:r/>
    </w:p>
    <w:p>
      <w:pPr>
        <w:pStyle w:val="995"/>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rPr>
        <w:t xml:space="preserve">中小微企业声明函（服务类项目）（采购包号：**）</w:t>
      </w:r>
      <w:r>
        <w:rPr>
          <w:rFonts w:hint="eastAsia" w:ascii="宋体" w:hAnsi="宋体" w:eastAsia="宋体" w:cs="宋体"/>
          <w:b/>
          <w:bCs/>
          <w:color w:val="000000"/>
          <w:sz w:val="28"/>
          <w:szCs w:val="28"/>
        </w:rPr>
      </w:r>
      <w:r/>
    </w:p>
    <w:p>
      <w:pPr>
        <w:pStyle w:val="995"/>
        <w:jc w:val="center"/>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rPr>
        <w:t xml:space="preserve"> </w:t>
      </w:r>
      <w:r>
        <w:rPr>
          <w:sz w:val="24"/>
          <w:szCs w:val="24"/>
        </w:rPr>
      </w:r>
      <w:r/>
    </w:p>
    <w:p>
      <w:pPr>
        <w:pStyle w:val="995"/>
        <w:ind w:left="0" w:firstLine="36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rPr>
          <w:sz w:val="24"/>
          <w:szCs w:val="24"/>
        </w:rPr>
      </w:r>
      <w:r/>
    </w:p>
    <w:p>
      <w:pPr>
        <w:pStyle w:val="995"/>
        <w:ind w:left="0" w:firstLine="36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rPr>
          <w:sz w:val="24"/>
          <w:szCs w:val="24"/>
        </w:rPr>
      </w:r>
      <w:r/>
    </w:p>
    <w:p>
      <w:pPr>
        <w:pStyle w:val="995"/>
        <w:ind w:left="0" w:firstLine="36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rPr>
          <w:sz w:val="24"/>
          <w:szCs w:val="24"/>
        </w:rPr>
      </w:r>
      <w:r/>
    </w:p>
    <w:p>
      <w:pPr>
        <w:pStyle w:val="995"/>
        <w:ind w:left="0" w:firstLine="36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rPr>
          <w:sz w:val="24"/>
          <w:szCs w:val="24"/>
        </w:rPr>
      </w:r>
      <w:r/>
    </w:p>
    <w:p>
      <w:pPr>
        <w:pStyle w:val="995"/>
        <w:ind w:left="0" w:firstLine="36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sz w:val="24"/>
          <w:szCs w:val="24"/>
        </w:rPr>
      </w:r>
      <w:r/>
    </w:p>
    <w:p>
      <w:pPr>
        <w:pStyle w:val="995"/>
        <w:ind w:left="0" w:firstLine="36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rPr>
          <w:sz w:val="24"/>
          <w:szCs w:val="24"/>
        </w:rPr>
      </w:r>
      <w:r/>
    </w:p>
    <w:p>
      <w:pPr>
        <w:pStyle w:val="995"/>
        <w:ind w:left="0" w:right="180" w:firstLine="360"/>
        <w:jc w:val="center"/>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rPr>
        <w:t xml:space="preserve"> </w:t>
      </w:r>
      <w:r>
        <w:rPr>
          <w:rFonts w:hint="eastAsia" w:ascii="宋体" w:hAnsi="宋体" w:eastAsia="宋体" w:cs="宋体"/>
          <w:color w:val="000000"/>
          <w:sz w:val="24"/>
          <w:szCs w:val="24"/>
        </w:rPr>
        <w:t xml:space="preserve">               企业名称（加盖CA电子公章）：</w:t>
      </w:r>
      <w:r>
        <w:rPr>
          <w:sz w:val="24"/>
          <w:szCs w:val="24"/>
        </w:rPr>
      </w:r>
      <w:r/>
    </w:p>
    <w:p>
      <w:pPr>
        <w:pStyle w:val="995"/>
        <w:ind w:left="0" w:right="180" w:firstLine="360"/>
        <w:jc w:val="center"/>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rPr>
          <w:sz w:val="24"/>
          <w:szCs w:val="24"/>
        </w:rPr>
      </w:r>
      <w:r/>
    </w:p>
    <w:p>
      <w:pPr>
        <w:pStyle w:val="995"/>
        <w:ind w:left="0" w:firstLine="480"/>
        <w:jc w:val="both"/>
        <w:keepLines w:val="0"/>
        <w:keepNext w:val="0"/>
        <w:spacing w:before="0" w:beforeAutospacing="0" w:after="0" w:afterAutospacing="0" w:line="0" w:lineRule="atLeast"/>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rPr>
        <w:t xml:space="preserve"> </w:t>
      </w:r>
      <w:r>
        <w:rPr>
          <w:sz w:val="24"/>
          <w:szCs w:val="24"/>
        </w:rPr>
      </w:r>
      <w:r/>
    </w:p>
    <w:p>
      <w:pPr>
        <w:pStyle w:val="995"/>
        <w:ind w:left="0" w:firstLine="480"/>
        <w:jc w:val="both"/>
        <w:keepLines w:val="0"/>
        <w:keepNext w:val="0"/>
        <w:spacing w:before="0" w:beforeAutospacing="0" w:after="0" w:afterAutospacing="0" w:line="0" w:lineRule="atLeast"/>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rPr>
          <w:sz w:val="24"/>
          <w:szCs w:val="24"/>
        </w:rPr>
      </w:r>
      <w:r/>
    </w:p>
    <w:p>
      <w:pPr>
        <w:pStyle w:val="995"/>
        <w:ind w:left="0" w:firstLine="480"/>
        <w:jc w:val="both"/>
        <w:keepLines w:val="0"/>
        <w:keepNext w:val="0"/>
        <w:spacing w:before="0" w:beforeAutospacing="0" w:after="0" w:afterAutospacing="0" w:line="0" w:lineRule="atLeast"/>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rPr>
          <w:sz w:val="24"/>
          <w:szCs w:val="24"/>
        </w:rPr>
      </w:r>
      <w:r/>
    </w:p>
    <w:p>
      <w:pPr>
        <w:pStyle w:val="995"/>
        <w:ind w:left="0" w:firstLine="480"/>
        <w:jc w:val="both"/>
        <w:keepLines w:val="0"/>
        <w:keepNext w:val="0"/>
        <w:spacing w:before="0" w:beforeAutospacing="0" w:after="0" w:afterAutospacing="0" w:line="0" w:lineRule="atLeast"/>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sz w:val="24"/>
          <w:szCs w:val="24"/>
        </w:rPr>
      </w:r>
      <w:r/>
    </w:p>
    <w:p>
      <w:pPr>
        <w:pStyle w:val="995"/>
        <w:ind w:left="0" w:firstLine="480"/>
        <w:jc w:val="both"/>
        <w:keepLines w:val="0"/>
        <w:keepNext w:val="0"/>
        <w:spacing w:before="0" w:beforeAutospacing="0" w:after="0" w:afterAutospacing="0" w:line="0" w:lineRule="atLeast"/>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sz w:val="24"/>
          <w:szCs w:val="24"/>
        </w:rPr>
      </w:r>
      <w:r/>
    </w:p>
    <w:p>
      <w:pPr>
        <w:pStyle w:val="921"/>
        <w:jc w:val="left"/>
        <w:spacing w:line="480" w:lineRule="exact"/>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r>
      <w:r/>
    </w:p>
    <w:p>
      <w:pPr>
        <w:pStyle w:val="995"/>
        <w:ind w:left="0" w:right="0"/>
        <w:jc w:val="center"/>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rPr>
        <w:t xml:space="preserve">残疾人福利性单位声明函（服务类项目）（采购包号：**）</w:t>
      </w:r>
      <w:r>
        <w:rPr>
          <w:sz w:val="24"/>
          <w:szCs w:val="24"/>
        </w:rPr>
      </w:r>
      <w:r/>
    </w:p>
    <w:p>
      <w:pPr>
        <w:pStyle w:val="995"/>
        <w:jc w:val="center"/>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rPr>
        <w:t xml:space="preserve"> </w:t>
      </w:r>
      <w:r>
        <w:rPr>
          <w:sz w:val="24"/>
          <w:szCs w:val="24"/>
        </w:rPr>
      </w:r>
      <w:r/>
    </w:p>
    <w:p>
      <w:pPr>
        <w:pStyle w:val="995"/>
        <w:ind w:left="0" w:firstLine="48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rPr>
          <w:sz w:val="24"/>
          <w:szCs w:val="24"/>
        </w:rPr>
      </w:r>
      <w:r/>
    </w:p>
    <w:p>
      <w:pPr>
        <w:pStyle w:val="995"/>
        <w:ind w:left="0" w:firstLine="48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rPr>
          <w:sz w:val="24"/>
          <w:szCs w:val="24"/>
        </w:rPr>
      </w:r>
      <w:r/>
    </w:p>
    <w:p>
      <w:pPr>
        <w:pStyle w:val="995"/>
        <w:ind w:left="0" w:firstLine="48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rPr>
        <w:t xml:space="preserve"> </w:t>
      </w:r>
      <w:r>
        <w:rPr>
          <w:sz w:val="24"/>
          <w:szCs w:val="24"/>
        </w:rPr>
      </w:r>
      <w:r/>
    </w:p>
    <w:p>
      <w:pPr>
        <w:pStyle w:val="995"/>
        <w:ind w:left="0" w:firstLine="48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rPr>
          <w:sz w:val="24"/>
          <w:szCs w:val="24"/>
        </w:rPr>
      </w:r>
      <w:r/>
    </w:p>
    <w:p>
      <w:pPr>
        <w:pStyle w:val="995"/>
        <w:ind w:left="0" w:firstLine="48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rPr>
          <w:sz w:val="24"/>
          <w:szCs w:val="24"/>
        </w:rPr>
      </w:r>
      <w:r/>
    </w:p>
    <w:p>
      <w:pPr>
        <w:pStyle w:val="995"/>
        <w:ind w:left="0" w:firstLine="480"/>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rPr>
          <w:sz w:val="24"/>
          <w:szCs w:val="24"/>
        </w:rPr>
      </w:r>
      <w:r/>
    </w:p>
    <w:p>
      <w:pPr>
        <w:pStyle w:val="995"/>
        <w:ind w:left="0" w:firstLine="480"/>
        <w:jc w:val="both"/>
        <w:keepLines w:val="0"/>
        <w:keepNext w:val="0"/>
        <w:spacing w:before="0" w:beforeAutospacing="0" w:after="0" w:afterAutospacing="0" w:line="360" w:lineRule="auto"/>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rPr>
          <w:rFonts w:hint="eastAsia" w:cs="宋体"/>
          <w:color w:val="000000"/>
          <w:sz w:val="24"/>
          <w:szCs w:val="24"/>
          <w:lang w:eastAsia="zh-CN"/>
        </w:rPr>
        <w:t xml:space="preserve">。</w:t>
      </w:r>
      <w:r>
        <w:rPr>
          <w:rFonts w:hint="eastAsia" w:eastAsia="宋体"/>
          <w:sz w:val="24"/>
          <w:szCs w:val="24"/>
          <w:lang w:eastAsia="zh-CN"/>
        </w:rPr>
      </w:r>
      <w:r/>
    </w:p>
    <w:p>
      <w:pPr>
        <w:pStyle w:val="995"/>
        <w:ind w:left="0" w:firstLine="624"/>
        <w:jc w:val="both"/>
        <w:keepLines w:val="0"/>
        <w:keepNext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rPr>
        <w:t xml:space="preserve"> </w:t>
      </w:r>
      <w:r>
        <w:rPr>
          <w:sz w:val="24"/>
          <w:szCs w:val="24"/>
        </w:rPr>
      </w:r>
      <w:r/>
    </w:p>
    <w:p>
      <w:pPr>
        <w:pStyle w:val="995"/>
        <w:ind w:left="0" w:right="1559" w:firstLine="624"/>
        <w:jc w:val="center"/>
        <w:keepLines w:val="0"/>
        <w:keepNext w:val="0"/>
        <w:spacing w:before="0" w:beforeAutospacing="0" w:after="0" w:afterAutospacing="0" w:line="360" w:lineRule="auto"/>
        <w:widowControl w:val="off"/>
        <w:tabs>
          <w:tab w:val="left" w:pos="4864" w:leader="none"/>
        </w:tabs>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24"/>
          <w:szCs w:val="24"/>
        </w:rPr>
        <w:t xml:space="preserve">         </w:t>
      </w:r>
      <w:r>
        <w:rPr>
          <w:rFonts w:hint="eastAsia" w:ascii="宋体" w:hAnsi="宋体" w:eastAsia="宋体" w:cs="宋体"/>
          <w:color w:val="000000"/>
          <w:sz w:val="24"/>
          <w:szCs w:val="24"/>
        </w:rPr>
        <w:t xml:space="preserve"> 供应商全称（加盖CA电子公章）：</w:t>
      </w:r>
      <w:r>
        <w:rPr>
          <w:sz w:val="24"/>
          <w:szCs w:val="24"/>
        </w:rPr>
      </w:r>
      <w:r/>
    </w:p>
    <w:p>
      <w:pPr>
        <w:pStyle w:val="995"/>
        <w:ind w:left="0" w:right="1559" w:firstLine="480"/>
        <w:jc w:val="center"/>
        <w:keepLines w:val="0"/>
        <w:keepNext w:val="0"/>
        <w:spacing w:before="0" w:beforeAutospacing="0" w:after="0" w:afterAutospacing="0" w:line="360" w:lineRule="auto"/>
        <w:widowControl w:val="off"/>
        <w:tabs>
          <w:tab w:val="left" w:pos="4864" w:leader="none"/>
        </w:tabs>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   </w:t>
      </w:r>
      <w:r>
        <w:rPr>
          <w:sz w:val="24"/>
          <w:szCs w:val="24"/>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shd w:val="nil" w:color="auto"/>
        <w:rPr>
          <w:rFonts w:hint="eastAsia" w:ascii="宋体" w:hAnsi="宋体" w:eastAsia="宋体" w:cs="宋体"/>
          <w:b/>
          <w:bCs/>
          <w:sz w:val="24"/>
          <w:szCs w:val="24"/>
        </w:rPr>
        <w:outlineLvl w:val="1"/>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r>
      <w:r/>
    </w:p>
    <w:p>
      <w:pPr>
        <w:pStyle w:val="921"/>
        <w:jc w:val="left"/>
        <w:spacing w:line="48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rPr>
        <w:t xml:space="preserve">六、磋商报价表</w:t>
      </w:r>
      <w:r>
        <w:rPr>
          <w:rFonts w:hint="eastAsia" w:ascii="宋体" w:hAnsi="宋体" w:eastAsia="宋体" w:cs="宋体"/>
          <w:b/>
          <w:sz w:val="24"/>
          <w:szCs w:val="24"/>
        </w:rPr>
      </w:r>
      <w:r/>
    </w:p>
    <w:p>
      <w:pPr>
        <w:pStyle w:val="921"/>
        <w:spacing w:line="241"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en-US" w:eastAsia="zh-CN"/>
        </w:rPr>
      </w:r>
      <w:r/>
    </w:p>
    <w:p>
      <w:pPr>
        <w:pStyle w:val="921"/>
        <w:spacing w:line="241"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JSZC-321395-ZCZX-C2026-0030</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eastAsia="zh-CN"/>
        </w:rPr>
      </w:r>
      <w:r/>
    </w:p>
    <w:p>
      <w:pPr>
        <w:pStyle w:val="921"/>
        <w:rPr>
          <w:rFonts w:hint="eastAsia" w:ascii="宋体" w:hAnsi="宋体" w:eastAsia="宋体" w:cs="宋体"/>
          <w:sz w:val="24"/>
          <w:szCs w:val="24"/>
          <w:lang w:val="en-US"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苏宿园区职工医保长期护理保险承办机构采购</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21"/>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w:t>
            </w:r>
            <w:r>
              <w:rPr>
                <w:rFonts w:hint="eastAsia" w:ascii="宋体" w:hAnsi="宋体" w:eastAsia="宋体" w:cs="宋体"/>
                <w:caps w:val="0"/>
                <w:color w:val="000000"/>
                <w:sz w:val="24"/>
                <w:szCs w:val="24"/>
                <w:highlight w:val="none"/>
                <w:lang w:val="en-US" w:eastAsia="zh-CN"/>
              </w:rPr>
              <w:t xml:space="preserve">报价</w:t>
            </w:r>
            <w:r>
              <w:rPr>
                <w:rFonts w:hint="eastAsia" w:ascii="宋体" w:hAnsi="宋体" w:eastAsia="宋体" w:cs="宋体"/>
                <w:caps w:val="0"/>
                <w:color w:val="000000"/>
                <w:sz w:val="24"/>
                <w:szCs w:val="24"/>
                <w:highlight w:val="none"/>
              </w:rPr>
            </w:r>
            <w:r/>
          </w:p>
        </w:tc>
      </w:tr>
      <w:tr>
        <w:trPr>
          <w:cantSplit/>
          <w:trHeight w:val="904"/>
        </w:trPr>
        <w:tc>
          <w:tcPr>
            <w:tcW w:w="8206" w:type="dxa"/>
            <w:vAlign w:val="center"/>
            <w:textDirection w:val="lrTb"/>
            <w:noWrap w:val="false"/>
          </w:tcPr>
          <w:p>
            <w:pPr>
              <w:pStyle w:val="921"/>
              <w:jc w:val="center"/>
              <w:pageBreakBefore w:val="0"/>
              <w:spacing w:line="560" w:lineRule="exact"/>
              <w:rPr>
                <w:rFonts w:hint="eastAsia" w:ascii="宋体" w:hAnsi="宋体" w:eastAsia="宋体" w:cs="宋体"/>
                <w:caps w:val="0"/>
                <w:color w:val="000000"/>
                <w:szCs w:val="21"/>
                <w:highlight w:val="none"/>
              </w:rPr>
            </w:pPr>
            <w:r>
              <w:rPr>
                <w:rFonts w:hint="eastAsia" w:ascii="宋体" w:hAnsi="宋体" w:eastAsia="宋体" w:cs="宋体"/>
                <w:color w:val="000000"/>
                <w:sz w:val="24"/>
                <w:szCs w:val="24"/>
                <w:highlight w:val="none"/>
                <w:lang w:val="en-US" w:eastAsia="zh-CN"/>
              </w:rPr>
              <w:t xml:space="preserve">每年每个参保人员</w:t>
            </w:r>
            <w:r>
              <w:rPr>
                <w:rFonts w:hint="eastAsia" w:ascii="宋体" w:hAnsi="宋体" w:eastAsia="宋体" w:cs="宋体"/>
                <w:color w:val="000000"/>
                <w:sz w:val="24"/>
                <w:szCs w:val="24"/>
                <w:highlight w:val="none"/>
                <w:lang w:val="en-US" w:eastAsia="zh-CN"/>
              </w:rPr>
              <w:t xml:space="preserve">承办服务费：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aps w:val="0"/>
                <w:color w:val="000000"/>
                <w:szCs w:val="21"/>
                <w:highlight w:val="none"/>
              </w:rPr>
            </w:r>
            <w:r/>
          </w:p>
        </w:tc>
      </w:tr>
    </w:tbl>
    <w:p>
      <w:pPr>
        <w:pStyle w:val="921"/>
        <w:ind w:firstLine="480"/>
        <w:pageBreakBefore w:val="0"/>
        <w:spacing w:line="560" w:lineRule="exact"/>
        <w:rPr>
          <w:rFonts w:hint="eastAsia" w:ascii="宋体" w:hAnsi="宋体" w:eastAsia="宋体" w:cs="宋体"/>
          <w:color w:val="ff0000"/>
          <w:sz w:val="24"/>
          <w:szCs w:val="24"/>
          <w:highlight w:val="yellow"/>
          <w:lang w:val="en-US" w:eastAsia="zh-CN"/>
        </w:rPr>
      </w:pPr>
      <w:r>
        <w:rPr>
          <w:rFonts w:hint="eastAsia" w:ascii="宋体" w:hAnsi="宋体" w:eastAsia="宋体" w:cs="宋体"/>
          <w:color w:val="000000"/>
          <w:sz w:val="24"/>
        </w:rPr>
        <w:t xml:space="preserve">          </w:t>
      </w:r>
      <w:r>
        <w:rPr>
          <w:rFonts w:hint="eastAsia" w:ascii="宋体" w:hAnsi="宋体" w:eastAsia="宋体" w:cs="宋体"/>
          <w:color w:val="ff0000"/>
          <w:sz w:val="24"/>
          <w:szCs w:val="24"/>
          <w:highlight w:val="yellow"/>
          <w:lang w:val="en-US" w:eastAsia="zh-CN"/>
        </w:rPr>
      </w:r>
      <w:r/>
    </w:p>
    <w:p>
      <w:pPr>
        <w:pStyle w:val="921"/>
        <w:spacing w:line="241"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921"/>
        <w:spacing w:line="241"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供应商（CA电子签章）：</w:t>
      </w:r>
      <w:r>
        <w:rPr>
          <w:rFonts w:hint="eastAsia" w:ascii="宋体" w:hAnsi="宋体" w:eastAsia="宋体" w:cs="宋体"/>
          <w:color w:val="000000"/>
          <w:sz w:val="24"/>
          <w:u w:val="single"/>
        </w:rPr>
        <w:t xml:space="preserve">供应商名称</w:t>
      </w:r>
      <w:r>
        <w:rPr>
          <w:rFonts w:hint="eastAsia" w:ascii="宋体" w:hAnsi="宋体" w:eastAsia="宋体" w:cs="宋体"/>
          <w:color w:val="000000"/>
          <w:sz w:val="24"/>
        </w:rPr>
        <w:t xml:space="preserve"> </w:t>
      </w:r>
      <w:r>
        <w:rPr>
          <w:rFonts w:hint="eastAsia" w:ascii="宋体" w:hAnsi="宋体" w:eastAsia="宋体" w:cs="宋体"/>
        </w:rPr>
      </w:r>
      <w:r/>
    </w:p>
    <w:p>
      <w:pPr>
        <w:pStyle w:val="921"/>
        <w:jc w:val="left"/>
        <w:spacing w:line="241"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  月  日</w:t>
      </w:r>
      <w:r>
        <w:rPr>
          <w:rFonts w:hint="eastAsia" w:ascii="宋体" w:hAnsi="宋体" w:eastAsia="宋体" w:cs="宋体"/>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21"/>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t xml:space="preserve">本项目以单价形式进行报价，“磋商报价表”中的“投标报价”请按照“承办服务费”的报价填写。</w:t>
      </w:r>
      <w:r>
        <w:rPr>
          <w:rFonts w:hint="eastAsia" w:ascii="宋体" w:hAnsi="宋体" w:eastAsia="宋体" w:cs="宋体"/>
          <w:b/>
          <w:bCs/>
          <w:color w:val="000000"/>
          <w:sz w:val="24"/>
          <w:szCs w:val="24"/>
          <w:highlight w:val="none"/>
          <w:lang w:val="en-US" w:eastAsia="zh-CN"/>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21"/>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1000"/>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1000"/>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1000"/>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1000"/>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1000"/>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1000"/>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1000"/>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1000"/>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1000"/>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1000"/>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1000"/>
        <w:ind w:firstLine="643"/>
        <w:spacing w:line="480" w:lineRule="exact"/>
        <w:rPr>
          <w:rFonts w:hint="eastAsia" w:ascii="宋体" w:hAnsi="宋体" w:eastAsia="宋体" w:cs="宋体"/>
          <w:b/>
          <w:sz w:val="32"/>
          <w:szCs w:val="32"/>
        </w:rPr>
      </w:pPr>
      <w:r>
        <w:rPr>
          <w:rFonts w:hint="eastAsia" w:ascii="宋体" w:hAnsi="宋体" w:eastAsia="宋体" w:cs="宋体"/>
          <w:b/>
          <w:sz w:val="32"/>
          <w:szCs w:val="32"/>
        </w:rPr>
      </w:r>
      <w:r/>
    </w:p>
    <w:p>
      <w:pPr>
        <w:pStyle w:val="921"/>
        <w:jc w:val="left"/>
        <w:spacing w:line="480" w:lineRule="exact"/>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32"/>
          <w:szCs w:val="32"/>
          <w:highlight w:val="none"/>
          <w:lang w:val="en-US" w:eastAsia="zh-CN"/>
        </w:rPr>
        <w:br w:type="page" w:clear="all"/>
      </w:r>
      <w:r>
        <w:rPr>
          <w:rFonts w:hint="eastAsia" w:ascii="宋体" w:hAnsi="宋体" w:eastAsia="宋体" w:cs="宋体"/>
          <w:b/>
          <w:color w:val="000000"/>
          <w:sz w:val="32"/>
          <w:szCs w:val="32"/>
          <w:highlight w:val="none"/>
          <w:lang w:val="en-US" w:eastAsia="zh-CN"/>
        </w:rPr>
        <w:t xml:space="preserve">七、</w:t>
      </w:r>
      <w:r>
        <w:rPr>
          <w:rFonts w:hint="eastAsia" w:ascii="宋体" w:hAnsi="宋体" w:eastAsia="宋体" w:cs="宋体"/>
          <w:b/>
          <w:color w:val="000000"/>
          <w:sz w:val="32"/>
          <w:szCs w:val="32"/>
          <w:highlight w:val="none"/>
        </w:rPr>
        <w:t xml:space="preserve">分项报价表（服务类）</w:t>
      </w:r>
      <w:r>
        <w:rPr>
          <w:rFonts w:hint="eastAsia" w:ascii="宋体" w:hAnsi="宋体" w:eastAsia="宋体" w:cs="宋体"/>
          <w:color w:val="000000"/>
          <w:sz w:val="24"/>
          <w:szCs w:val="24"/>
          <w:highlight w:val="none"/>
        </w:rPr>
      </w:r>
      <w:r/>
    </w:p>
    <w:tbl>
      <w:tblPr>
        <w:tblpPr w:horzAnchor="text" w:tblpXSpec="center" w:vertAnchor="text" w:tblpY="1" w:leftFromText="180" w:topFromText="0" w:rightFromText="180" w:bottomFromText="0"/>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1232"/>
        <w:gridCol w:w="3250"/>
        <w:gridCol w:w="1524"/>
        <w:gridCol w:w="918"/>
      </w:tblGrid>
      <w:tr>
        <w:trPr>
          <w:cantSplit/>
          <w:trHeight w:val="630"/>
        </w:trPr>
        <w:tc>
          <w:tcPr>
            <w:tcW w:w="654" w:type="dxa"/>
            <w:vAlign w:val="center"/>
            <w:textDirection w:val="lrTb"/>
            <w:noWrap w:val="false"/>
          </w:tcPr>
          <w:p>
            <w:pPr>
              <w:pStyle w:val="1084"/>
              <w:jc w:val="center"/>
              <w:spacing w:line="3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t xml:space="preserve">序号</w:t>
            </w:r>
            <w:r>
              <w:rPr>
                <w:rStyle w:val="931"/>
                <w:rFonts w:hint="eastAsia" w:ascii="宋体" w:hAnsi="宋体" w:eastAsia="宋体" w:cs="宋体"/>
                <w:color w:val="000000"/>
                <w:sz w:val="24"/>
                <w:szCs w:val="24"/>
                <w:highlight w:val="none"/>
                <w:lang w:val="en-US" w:eastAsia="zh-CN" w:bidi="ar-SA"/>
              </w:rPr>
            </w:r>
            <w:r/>
          </w:p>
        </w:tc>
        <w:tc>
          <w:tcPr>
            <w:gridSpan w:val="2"/>
            <w:tcW w:w="2639" w:type="dxa"/>
            <w:vAlign w:val="center"/>
            <w:textDirection w:val="lrTb"/>
            <w:noWrap w:val="false"/>
          </w:tcPr>
          <w:p>
            <w:pPr>
              <w:pStyle w:val="1084"/>
              <w:jc w:val="center"/>
              <w:spacing w:line="3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t xml:space="preserve">服务费用简述</w:t>
            </w:r>
            <w:r>
              <w:rPr>
                <w:rStyle w:val="931"/>
                <w:rFonts w:hint="eastAsia" w:ascii="宋体" w:hAnsi="宋体" w:eastAsia="宋体" w:cs="宋体"/>
                <w:color w:val="000000"/>
                <w:sz w:val="24"/>
                <w:szCs w:val="24"/>
                <w:highlight w:val="none"/>
                <w:lang w:val="en-US" w:eastAsia="zh-CN" w:bidi="ar-SA"/>
              </w:rPr>
            </w:r>
            <w:r/>
          </w:p>
        </w:tc>
        <w:tc>
          <w:tcPr>
            <w:tcW w:w="3250" w:type="dxa"/>
            <w:vAlign w:val="center"/>
            <w:textDirection w:val="lrTb"/>
            <w:noWrap w:val="false"/>
          </w:tcPr>
          <w:p>
            <w:pPr>
              <w:pStyle w:val="1084"/>
              <w:jc w:val="center"/>
              <w:spacing w:line="3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Fonts w:hint="eastAsia" w:ascii="宋体" w:hAnsi="宋体" w:eastAsia="宋体" w:cs="宋体"/>
                <w:color w:val="000000"/>
                <w:sz w:val="24"/>
                <w:szCs w:val="24"/>
                <w:highlight w:val="none"/>
                <w:lang w:val="en-US" w:eastAsia="zh-CN"/>
              </w:rPr>
              <w:t xml:space="preserve">每年每个参保人员承办服务费</w:t>
            </w:r>
            <w:r>
              <w:rPr>
                <w:rStyle w:val="931"/>
                <w:rFonts w:hint="eastAsia" w:ascii="宋体" w:hAnsi="宋体" w:eastAsia="宋体" w:cs="宋体"/>
                <w:color w:val="000000"/>
                <w:sz w:val="24"/>
                <w:szCs w:val="24"/>
                <w:highlight w:val="none"/>
                <w:lang w:val="en-US" w:eastAsia="zh-CN" w:bidi="ar-SA"/>
              </w:rPr>
            </w:r>
            <w:r/>
          </w:p>
        </w:tc>
        <w:tc>
          <w:tcPr>
            <w:tcW w:w="1524" w:type="dxa"/>
            <w:vAlign w:val="center"/>
            <w:textDirection w:val="lrTb"/>
            <w:noWrap w:val="false"/>
          </w:tcPr>
          <w:p>
            <w:pPr>
              <w:pStyle w:val="1084"/>
              <w:jc w:val="center"/>
              <w:spacing w:line="3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t xml:space="preserve">数量</w:t>
            </w:r>
            <w:r>
              <w:rPr>
                <w:rStyle w:val="931"/>
                <w:rFonts w:hint="eastAsia" w:ascii="宋体" w:hAnsi="宋体" w:eastAsia="宋体" w:cs="宋体"/>
                <w:color w:val="000000"/>
                <w:sz w:val="24"/>
                <w:szCs w:val="24"/>
                <w:highlight w:val="none"/>
                <w:lang w:val="en-US" w:eastAsia="zh-CN" w:bidi="ar-SA"/>
              </w:rPr>
            </w:r>
            <w:r/>
          </w:p>
        </w:tc>
        <w:tc>
          <w:tcPr>
            <w:tcW w:w="918" w:type="dxa"/>
            <w:vAlign w:val="center"/>
            <w:textDirection w:val="lrTb"/>
            <w:noWrap w:val="false"/>
          </w:tcPr>
          <w:p>
            <w:pPr>
              <w:pStyle w:val="1084"/>
              <w:jc w:val="center"/>
              <w:spacing w:line="3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t xml:space="preserve">备注</w:t>
            </w:r>
            <w:r>
              <w:rPr>
                <w:rStyle w:val="931"/>
                <w:rFonts w:hint="eastAsia" w:ascii="宋体" w:hAnsi="宋体" w:eastAsia="宋体" w:cs="宋体"/>
                <w:color w:val="000000"/>
                <w:sz w:val="24"/>
                <w:szCs w:val="24"/>
                <w:highlight w:val="none"/>
                <w:lang w:val="en-US" w:eastAsia="zh-CN" w:bidi="ar-SA"/>
              </w:rPr>
            </w:r>
            <w:r/>
          </w:p>
        </w:tc>
      </w:tr>
      <w:tr>
        <w:trPr>
          <w:cantSplit/>
          <w:trHeight w:val="563"/>
        </w:trPr>
        <w:tc>
          <w:tcPr>
            <w:tcW w:w="654" w:type="dxa"/>
            <w:vAlign w:val="top"/>
            <w:textDirection w:val="lrTb"/>
            <w:noWrap w:val="false"/>
          </w:tcPr>
          <w:p>
            <w:pPr>
              <w:pStyle w:val="1084"/>
              <w:jc w:val="center"/>
              <w:spacing w:line="5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t xml:space="preserve">1</w:t>
            </w:r>
            <w:r>
              <w:rPr>
                <w:rStyle w:val="931"/>
                <w:rFonts w:hint="eastAsia" w:ascii="宋体" w:hAnsi="宋体" w:eastAsia="宋体" w:cs="宋体"/>
                <w:color w:val="000000"/>
                <w:sz w:val="24"/>
                <w:szCs w:val="24"/>
                <w:highlight w:val="none"/>
                <w:lang w:val="en-US" w:eastAsia="zh-CN" w:bidi="ar-SA"/>
              </w:rPr>
            </w:r>
            <w:r/>
          </w:p>
        </w:tc>
        <w:tc>
          <w:tcPr>
            <w:gridSpan w:val="2"/>
            <w:tcW w:w="2639" w:type="dxa"/>
            <w:vAlign w:val="top"/>
            <w:textDirection w:val="lrTb"/>
            <w:noWrap w:val="false"/>
          </w:tcPr>
          <w:p>
            <w:pPr>
              <w:pStyle w:val="1084"/>
              <w:jc w:val="center"/>
              <w:spacing w:line="5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3250" w:type="dxa"/>
            <w:vAlign w:val="center"/>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1524" w:type="dxa"/>
            <w:vAlign w:val="center"/>
            <w:vMerge w:val="restart"/>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t xml:space="preserve">实际人数以各期参保人数为准</w:t>
            </w:r>
            <w:r>
              <w:rPr>
                <w:rStyle w:val="931"/>
                <w:rFonts w:hint="eastAsia" w:ascii="宋体" w:hAnsi="宋体" w:eastAsia="宋体" w:cs="宋体"/>
                <w:color w:val="000000"/>
                <w:sz w:val="24"/>
                <w:szCs w:val="24"/>
                <w:highlight w:val="none"/>
                <w:lang w:val="en-US" w:eastAsia="zh-CN" w:bidi="ar-SA"/>
              </w:rPr>
            </w:r>
            <w:r/>
          </w:p>
        </w:tc>
        <w:tc>
          <w:tcPr>
            <w:tcW w:w="918" w:type="dxa"/>
            <w:vAlign w:val="center"/>
            <w:vMerge w:val="restart"/>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r>
      <w:tr>
        <w:trPr>
          <w:cantSplit/>
          <w:trHeight w:val="562"/>
        </w:trPr>
        <w:tc>
          <w:tcPr>
            <w:tcW w:w="654" w:type="dxa"/>
            <w:vAlign w:val="top"/>
            <w:textDirection w:val="lrTb"/>
            <w:noWrap w:val="false"/>
          </w:tcPr>
          <w:p>
            <w:pPr>
              <w:pStyle w:val="1084"/>
              <w:jc w:val="center"/>
              <w:spacing w:line="5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t xml:space="preserve">2</w:t>
            </w:r>
            <w:r>
              <w:rPr>
                <w:rStyle w:val="931"/>
                <w:rFonts w:hint="eastAsia" w:ascii="宋体" w:hAnsi="宋体" w:eastAsia="宋体" w:cs="宋体"/>
                <w:color w:val="000000"/>
                <w:sz w:val="24"/>
                <w:szCs w:val="24"/>
                <w:highlight w:val="none"/>
                <w:lang w:val="en-US" w:eastAsia="zh-CN" w:bidi="ar-SA"/>
              </w:rPr>
            </w:r>
            <w:r/>
          </w:p>
        </w:tc>
        <w:tc>
          <w:tcPr>
            <w:gridSpan w:val="2"/>
            <w:tcW w:w="2639" w:type="dxa"/>
            <w:vAlign w:val="top"/>
            <w:textDirection w:val="lrTb"/>
            <w:noWrap w:val="false"/>
          </w:tcPr>
          <w:p>
            <w:pPr>
              <w:pStyle w:val="1084"/>
              <w:jc w:val="center"/>
              <w:spacing w:line="5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3250" w:type="dxa"/>
            <w:vAlign w:val="center"/>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1524" w:type="dxa"/>
            <w:vAlign w:val="top"/>
            <w:vMerge w:val="continue"/>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918" w:type="dxa"/>
            <w:vAlign w:val="center"/>
            <w:vMerge w:val="restart"/>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r>
      <w:tr>
        <w:trPr>
          <w:cantSplit/>
          <w:trHeight w:val="200"/>
        </w:trPr>
        <w:tc>
          <w:tcPr>
            <w:tcW w:w="654" w:type="dxa"/>
            <w:vAlign w:val="top"/>
            <w:textDirection w:val="lrTb"/>
            <w:noWrap w:val="false"/>
          </w:tcPr>
          <w:p>
            <w:pPr>
              <w:pStyle w:val="1084"/>
              <w:jc w:val="center"/>
              <w:spacing w:line="5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t xml:space="preserve">3</w:t>
            </w:r>
            <w:r>
              <w:rPr>
                <w:rStyle w:val="931"/>
                <w:rFonts w:hint="eastAsia" w:ascii="宋体" w:hAnsi="宋体" w:eastAsia="宋体" w:cs="宋体"/>
                <w:color w:val="000000"/>
                <w:sz w:val="24"/>
                <w:szCs w:val="24"/>
                <w:highlight w:val="none"/>
                <w:lang w:val="en-US" w:eastAsia="zh-CN" w:bidi="ar-SA"/>
              </w:rPr>
            </w:r>
            <w:r/>
          </w:p>
        </w:tc>
        <w:tc>
          <w:tcPr>
            <w:gridSpan w:val="2"/>
            <w:tcW w:w="2639" w:type="dxa"/>
            <w:vAlign w:val="top"/>
            <w:textDirection w:val="lrTb"/>
            <w:noWrap w:val="false"/>
          </w:tcPr>
          <w:p>
            <w:pPr>
              <w:pStyle w:val="1084"/>
              <w:jc w:val="center"/>
              <w:spacing w:line="5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3250" w:type="dxa"/>
            <w:vAlign w:val="center"/>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1524" w:type="dxa"/>
            <w:vAlign w:val="top"/>
            <w:vMerge w:val="continue"/>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918" w:type="dxa"/>
            <w:vAlign w:val="center"/>
            <w:vMerge w:val="restart"/>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r>
      <w:tr>
        <w:trPr>
          <w:cantSplit/>
          <w:trHeight w:val="200"/>
        </w:trPr>
        <w:tc>
          <w:tcPr>
            <w:tcW w:w="654" w:type="dxa"/>
            <w:vAlign w:val="top"/>
            <w:textDirection w:val="lrTb"/>
            <w:noWrap w:val="false"/>
          </w:tcPr>
          <w:p>
            <w:pPr>
              <w:pStyle w:val="1084"/>
              <w:jc w:val="center"/>
              <w:spacing w:line="5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t xml:space="preserve">4</w:t>
            </w:r>
            <w:r>
              <w:rPr>
                <w:rStyle w:val="931"/>
                <w:rFonts w:hint="eastAsia" w:ascii="宋体" w:hAnsi="宋体" w:eastAsia="宋体" w:cs="宋体"/>
                <w:color w:val="000000"/>
                <w:sz w:val="24"/>
                <w:szCs w:val="24"/>
                <w:highlight w:val="none"/>
                <w:lang w:val="en-US" w:eastAsia="zh-CN" w:bidi="ar-SA"/>
              </w:rPr>
            </w:r>
            <w:r/>
          </w:p>
        </w:tc>
        <w:tc>
          <w:tcPr>
            <w:gridSpan w:val="2"/>
            <w:tcW w:w="2639" w:type="dxa"/>
            <w:vAlign w:val="top"/>
            <w:textDirection w:val="lrTb"/>
            <w:noWrap w:val="false"/>
          </w:tcPr>
          <w:p>
            <w:pPr>
              <w:pStyle w:val="1084"/>
              <w:jc w:val="center"/>
              <w:spacing w:line="5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3250" w:type="dxa"/>
            <w:vAlign w:val="center"/>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1524" w:type="dxa"/>
            <w:vAlign w:val="top"/>
            <w:vMerge w:val="continue"/>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918" w:type="dxa"/>
            <w:vAlign w:val="center"/>
            <w:vMerge w:val="restart"/>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r>
      <w:tr>
        <w:trPr>
          <w:cantSplit/>
          <w:trHeight w:val="200"/>
        </w:trPr>
        <w:tc>
          <w:tcPr>
            <w:tcW w:w="654" w:type="dxa"/>
            <w:vAlign w:val="top"/>
            <w:textDirection w:val="lrTb"/>
            <w:noWrap w:val="false"/>
          </w:tcPr>
          <w:p>
            <w:pPr>
              <w:pStyle w:val="1084"/>
              <w:jc w:val="center"/>
              <w:spacing w:line="5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t xml:space="preserve">5</w:t>
            </w:r>
            <w:r>
              <w:rPr>
                <w:rStyle w:val="931"/>
                <w:rFonts w:hint="eastAsia" w:ascii="宋体" w:hAnsi="宋体" w:eastAsia="宋体" w:cs="宋体"/>
                <w:color w:val="000000"/>
                <w:sz w:val="24"/>
                <w:szCs w:val="24"/>
                <w:highlight w:val="none"/>
                <w:lang w:val="en-US" w:eastAsia="zh-CN" w:bidi="ar-SA"/>
              </w:rPr>
            </w:r>
            <w:r/>
          </w:p>
        </w:tc>
        <w:tc>
          <w:tcPr>
            <w:gridSpan w:val="2"/>
            <w:tcW w:w="2639" w:type="dxa"/>
            <w:vAlign w:val="top"/>
            <w:textDirection w:val="lrTb"/>
            <w:noWrap w:val="false"/>
          </w:tcPr>
          <w:p>
            <w:pPr>
              <w:pStyle w:val="1084"/>
              <w:jc w:val="center"/>
              <w:spacing w:line="5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3250" w:type="dxa"/>
            <w:vAlign w:val="center"/>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1524" w:type="dxa"/>
            <w:vAlign w:val="top"/>
            <w:vMerge w:val="continue"/>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918" w:type="dxa"/>
            <w:vAlign w:val="center"/>
            <w:vMerge w:val="restart"/>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r>
      <w:tr>
        <w:trPr>
          <w:cantSplit/>
          <w:trHeight w:val="70"/>
        </w:trPr>
        <w:tc>
          <w:tcPr>
            <w:tcW w:w="654" w:type="dxa"/>
            <w:vAlign w:val="top"/>
            <w:textDirection w:val="lrTb"/>
            <w:noWrap w:val="false"/>
          </w:tcPr>
          <w:p>
            <w:pPr>
              <w:pStyle w:val="1084"/>
              <w:jc w:val="both"/>
              <w:spacing w:line="5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t xml:space="preserve">…</w:t>
            </w:r>
            <w:r>
              <w:rPr>
                <w:rStyle w:val="931"/>
                <w:rFonts w:hint="eastAsia" w:ascii="宋体" w:hAnsi="宋体" w:eastAsia="宋体" w:cs="宋体"/>
                <w:color w:val="000000"/>
                <w:sz w:val="24"/>
                <w:szCs w:val="24"/>
                <w:highlight w:val="none"/>
                <w:lang w:val="en-US" w:eastAsia="zh-CN" w:bidi="ar-SA"/>
              </w:rPr>
            </w:r>
            <w:r/>
          </w:p>
        </w:tc>
        <w:tc>
          <w:tcPr>
            <w:gridSpan w:val="2"/>
            <w:tcW w:w="2639" w:type="dxa"/>
            <w:vAlign w:val="top"/>
            <w:textDirection w:val="lrTb"/>
            <w:noWrap w:val="false"/>
          </w:tcPr>
          <w:p>
            <w:pPr>
              <w:pStyle w:val="1084"/>
              <w:jc w:val="center"/>
              <w:spacing w:line="560" w:lineRule="exact"/>
              <w:widowControl/>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3250" w:type="dxa"/>
            <w:vAlign w:val="center"/>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1524" w:type="dxa"/>
            <w:vAlign w:val="top"/>
            <w:vMerge w:val="continue"/>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c>
          <w:tcPr>
            <w:tcW w:w="918" w:type="dxa"/>
            <w:vAlign w:val="center"/>
            <w:textDirection w:val="lrTb"/>
            <w:noWrap w:val="false"/>
          </w:tcPr>
          <w:p>
            <w:pPr>
              <w:pStyle w:val="1084"/>
              <w:jc w:val="center"/>
              <w:spacing w:line="560" w:lineRule="exact"/>
              <w:widowControl w:val="off"/>
              <w:rPr>
                <w:rStyle w:val="931"/>
                <w:rFonts w:hint="eastAsia" w:ascii="宋体" w:hAnsi="宋体" w:eastAsia="宋体" w:cs="宋体"/>
                <w:color w:val="000000"/>
                <w:sz w:val="24"/>
                <w:szCs w:val="24"/>
                <w:highlight w:val="none"/>
                <w:lang w:val="en-US" w:eastAsia="zh-CN" w:bidi="ar-SA"/>
              </w:rPr>
              <w:framePr w:vAnchor="margin" w:hAnchor="page" w:xAlign="center" w:y="1"/>
            </w:pPr>
            <w:r>
              <w:rPr>
                <w:rStyle w:val="931"/>
                <w:rFonts w:hint="eastAsia" w:ascii="宋体" w:hAnsi="宋体" w:eastAsia="宋体" w:cs="宋体"/>
                <w:color w:val="000000"/>
                <w:sz w:val="24"/>
                <w:szCs w:val="24"/>
                <w:highlight w:val="none"/>
                <w:lang w:val="en-US" w:eastAsia="zh-CN" w:bidi="ar-SA"/>
              </w:rPr>
            </w:r>
            <w:r/>
          </w:p>
        </w:tc>
      </w:tr>
      <w:tr>
        <w:trPr>
          <w:cantSplit/>
          <w:trHeight w:val="1406"/>
        </w:trPr>
        <w:tc>
          <w:tcPr>
            <w:gridSpan w:val="2"/>
            <w:tcW w:w="2061" w:type="dxa"/>
            <w:vAlign w:val="center"/>
            <w:textDirection w:val="lrTb"/>
            <w:noWrap w:val="false"/>
          </w:tcPr>
          <w:p>
            <w:pPr>
              <w:pStyle w:val="1084"/>
              <w:jc w:val="center"/>
              <w:spacing w:line="500" w:lineRule="exact"/>
              <w:widowControl w:val="off"/>
              <w:rPr>
                <w:rStyle w:val="931"/>
                <w:rFonts w:hint="eastAsia" w:ascii="宋体" w:hAnsi="宋体" w:eastAsia="宋体" w:cs="宋体"/>
                <w:b/>
                <w:bCs/>
                <w:color w:val="000000"/>
                <w:sz w:val="24"/>
                <w:szCs w:val="24"/>
                <w:highlight w:val="none"/>
                <w:lang w:val="en-US" w:eastAsia="zh-CN" w:bidi="ar-SA"/>
              </w:rPr>
              <w:framePr w:vAnchor="margin" w:hAnchor="page" w:xAlign="center" w:y="1"/>
            </w:pPr>
            <w:r>
              <w:rPr>
                <w:rStyle w:val="931"/>
                <w:rFonts w:hint="eastAsia" w:ascii="宋体" w:hAnsi="宋体" w:eastAsia="宋体" w:cs="宋体"/>
                <w:b/>
                <w:bCs/>
                <w:color w:val="000000"/>
                <w:sz w:val="24"/>
                <w:szCs w:val="24"/>
                <w:highlight w:val="none"/>
                <w:lang w:val="en-US" w:eastAsia="zh-CN" w:bidi="ar-SA"/>
              </w:rPr>
              <w:t xml:space="preserve">报价总计</w:t>
            </w:r>
            <w:r>
              <w:rPr>
                <w:rStyle w:val="931"/>
                <w:rFonts w:hint="eastAsia" w:ascii="宋体" w:hAnsi="宋体" w:eastAsia="宋体" w:cs="宋体"/>
                <w:b/>
                <w:bCs/>
                <w:color w:val="000000"/>
                <w:sz w:val="24"/>
                <w:szCs w:val="24"/>
                <w:highlight w:val="none"/>
                <w:lang w:val="en-US" w:eastAsia="zh-CN" w:bidi="ar-SA"/>
              </w:rPr>
            </w:r>
            <w:r/>
          </w:p>
        </w:tc>
        <w:tc>
          <w:tcPr>
            <w:gridSpan w:val="4"/>
            <w:tcW w:w="6924" w:type="dxa"/>
            <w:vAlign w:val="center"/>
            <w:textDirection w:val="lrTb"/>
            <w:noWrap w:val="false"/>
          </w:tcPr>
          <w:p>
            <w:pPr>
              <w:pStyle w:val="1084"/>
              <w:jc w:val="both"/>
              <w:spacing w:line="500" w:lineRule="exact"/>
              <w:widowControl w:val="off"/>
              <w:rPr>
                <w:rStyle w:val="931"/>
                <w:rFonts w:hint="eastAsia" w:ascii="宋体" w:hAnsi="宋体" w:eastAsia="宋体" w:cs="宋体"/>
                <w:b/>
                <w:bCs/>
                <w:color w:val="000000"/>
                <w:sz w:val="24"/>
                <w:szCs w:val="24"/>
                <w:highlight w:val="none"/>
                <w:lang w:val="en-US" w:eastAsia="zh-CN" w:bidi="ar-SA"/>
              </w:rPr>
              <w:framePr w:vAnchor="margin" w:hAnchor="page" w:xAlign="center" w:y="1"/>
            </w:pPr>
            <w:r>
              <w:rPr>
                <w:rFonts w:hint="eastAsia" w:ascii="宋体" w:hAnsi="宋体" w:eastAsia="宋体" w:cs="宋体"/>
                <w:color w:val="000000"/>
                <w:sz w:val="24"/>
                <w:szCs w:val="24"/>
                <w:highlight w:val="none"/>
                <w:lang w:val="en-US" w:eastAsia="zh-CN"/>
              </w:rPr>
              <w:t xml:space="preserve">每年每个参保人员承办服务费：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w:t>
            </w:r>
            <w:r>
              <w:rPr>
                <w:rStyle w:val="931"/>
                <w:rFonts w:hint="eastAsia" w:ascii="宋体" w:hAnsi="宋体" w:eastAsia="宋体" w:cs="宋体"/>
                <w:color w:val="000000"/>
                <w:sz w:val="24"/>
                <w:szCs w:val="24"/>
                <w:highlight w:val="none"/>
                <w:lang w:val="en-US" w:eastAsia="zh-CN" w:bidi="ar-SA"/>
              </w:rPr>
              <w:t xml:space="preserve">             </w:t>
            </w:r>
            <w:r>
              <w:rPr>
                <w:rStyle w:val="931"/>
                <w:rFonts w:hint="eastAsia" w:ascii="宋体" w:hAnsi="宋体" w:eastAsia="宋体" w:cs="宋体"/>
                <w:b/>
                <w:bCs/>
                <w:color w:val="000000"/>
                <w:sz w:val="24"/>
                <w:szCs w:val="24"/>
                <w:highlight w:val="none"/>
                <w:lang w:val="en-US" w:eastAsia="zh-CN" w:bidi="ar-SA"/>
              </w:rPr>
            </w:r>
            <w:r/>
          </w:p>
        </w:tc>
      </w:tr>
    </w:tbl>
    <w:p>
      <w:pPr>
        <w:pStyle w:val="92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1"/>
        <w:spacing w:line="241"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bookmarkEnd w:id="188"/>
      <w:r/>
      <w:bookmarkEnd w:id="189"/>
      <w:r/>
      <w:bookmarkEnd w:id="214"/>
      <w:r>
        <w:rPr>
          <w:rFonts w:hint="eastAsia" w:ascii="宋体" w:hAnsi="宋体" w:eastAsia="宋体" w:cs="宋体"/>
          <w:color w:val="000000"/>
          <w:sz w:val="24"/>
          <w:highlight w:val="none"/>
        </w:rPr>
        <w:t xml:space="preserve">供应商（CA电子签章）：</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921"/>
        <w:jc w:val="left"/>
        <w:spacing w:line="241"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  月  日</w:t>
      </w:r>
      <w:r>
        <w:rPr>
          <w:rFonts w:hint="eastAsia" w:ascii="宋体" w:hAnsi="宋体" w:eastAsia="宋体" w:cs="宋体"/>
        </w:rPr>
      </w:r>
      <w:r/>
    </w:p>
    <w:p>
      <w:pPr>
        <w:pStyle w:val="1067"/>
        <w:spacing w:line="480" w:lineRule="exact"/>
        <w:rPr>
          <w:rFonts w:hint="eastAsia" w:ascii="宋体" w:hAnsi="宋体" w:eastAsia="宋体" w:cs="宋体"/>
        </w:rPr>
        <w:outlineLvl w:val="1"/>
      </w:pPr>
      <w:r>
        <w:rPr>
          <w:rFonts w:hint="eastAsia" w:ascii="宋体" w:hAnsi="宋体" w:eastAsia="宋体" w:cs="宋体"/>
        </w:rPr>
        <w:br w:type="page" w:clear="all"/>
      </w:r>
      <w:r>
        <w:rPr>
          <w:rFonts w:hint="eastAsia" w:ascii="宋体" w:hAnsi="宋体" w:eastAsia="宋体" w:cs="宋体"/>
        </w:rPr>
        <w:t xml:space="preserve">八、项目组人员</w:t>
      </w:r>
      <w:r>
        <w:rPr>
          <w:rFonts w:hint="eastAsia" w:ascii="宋体" w:hAnsi="宋体" w:eastAsia="宋体" w:cs="宋体"/>
        </w:rPr>
      </w:r>
      <w:r/>
    </w:p>
    <w:p>
      <w:pPr>
        <w:pStyle w:val="995"/>
        <w:jc w:val="center"/>
        <w:spacing w:line="480" w:lineRule="exact"/>
        <w:rPr>
          <w:rFonts w:hint="eastAsia" w:ascii="宋体" w:hAnsi="宋体" w:eastAsia="宋体" w:cs="宋体"/>
          <w:b/>
          <w:bCs/>
          <w:sz w:val="32"/>
          <w:szCs w:val="32"/>
        </w:rPr>
      </w:pPr>
      <w:r>
        <w:rPr>
          <w:rFonts w:hint="eastAsia" w:ascii="宋体" w:hAnsi="宋体" w:eastAsia="宋体" w:cs="宋体"/>
          <w:b/>
          <w:bCs/>
          <w:sz w:val="32"/>
          <w:szCs w:val="32"/>
          <w:lang w:bidi="ar"/>
        </w:rPr>
        <w:t xml:space="preserve">项目组成员</w:t>
      </w:r>
      <w:r>
        <w:rPr>
          <w:rFonts w:hint="eastAsia" w:ascii="宋体" w:hAnsi="宋体" w:eastAsia="宋体" w:cs="宋体"/>
          <w:b/>
          <w:bCs/>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68"/>
              <w:jc w:val="center"/>
              <w:spacing w:beforeAutospacing="1"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姓名</w:t>
            </w:r>
            <w:r>
              <w:rPr>
                <w:rFonts w:hint="eastAsia" w:ascii="宋体" w:hAnsi="宋体" w:eastAsia="宋体" w:cs="宋体"/>
                <w:sz w:val="28"/>
                <w:szCs w:val="28"/>
              </w:rPr>
            </w:r>
            <w:r/>
          </w:p>
        </w:tc>
        <w:tc>
          <w:tcPr>
            <w:tcW w:w="1843" w:type="dxa"/>
            <w:vAlign w:val="center"/>
            <w:textDirection w:val="lrTb"/>
            <w:noWrap w:val="false"/>
          </w:tcPr>
          <w:p>
            <w:pPr>
              <w:pStyle w:val="1068"/>
              <w:jc w:val="center"/>
              <w:spacing w:beforeAutospacing="1"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职务</w:t>
            </w:r>
            <w:r>
              <w:rPr>
                <w:rFonts w:hint="eastAsia" w:ascii="宋体" w:hAnsi="宋体" w:eastAsia="宋体" w:cs="宋体"/>
                <w:sz w:val="28"/>
                <w:szCs w:val="28"/>
              </w:rPr>
            </w:r>
            <w:r/>
          </w:p>
        </w:tc>
        <w:tc>
          <w:tcPr>
            <w:tcW w:w="992" w:type="dxa"/>
            <w:vAlign w:val="center"/>
            <w:textDirection w:val="lrTb"/>
            <w:noWrap w:val="false"/>
          </w:tcPr>
          <w:p>
            <w:pPr>
              <w:pStyle w:val="1068"/>
              <w:jc w:val="center"/>
              <w:spacing w:beforeAutospacing="1"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学历</w:t>
            </w:r>
            <w:r>
              <w:rPr>
                <w:rFonts w:hint="eastAsia" w:ascii="宋体" w:hAnsi="宋体" w:eastAsia="宋体" w:cs="宋体"/>
                <w:sz w:val="28"/>
                <w:szCs w:val="28"/>
              </w:rPr>
            </w:r>
            <w:r/>
          </w:p>
        </w:tc>
        <w:tc>
          <w:tcPr>
            <w:tcW w:w="1984" w:type="dxa"/>
            <w:vAlign w:val="center"/>
            <w:textDirection w:val="lrTb"/>
            <w:noWrap w:val="false"/>
          </w:tcPr>
          <w:p>
            <w:pPr>
              <w:pStyle w:val="1068"/>
              <w:ind w:firstLine="280"/>
              <w:spacing w:beforeAutospacing="1"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身份证号</w:t>
            </w:r>
            <w:r>
              <w:rPr>
                <w:rFonts w:hint="eastAsia" w:ascii="宋体" w:hAnsi="宋体" w:eastAsia="宋体" w:cs="宋体"/>
                <w:sz w:val="28"/>
                <w:szCs w:val="28"/>
              </w:rPr>
            </w:r>
            <w:r/>
          </w:p>
        </w:tc>
        <w:tc>
          <w:tcPr>
            <w:tcW w:w="1702" w:type="dxa"/>
            <w:vAlign w:val="center"/>
            <w:textDirection w:val="lrTb"/>
            <w:noWrap w:val="false"/>
          </w:tcPr>
          <w:p>
            <w:pPr>
              <w:pStyle w:val="1068"/>
              <w:jc w:val="center"/>
              <w:spacing w:beforeAutospacing="1"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相关证书</w:t>
            </w:r>
            <w:r>
              <w:rPr>
                <w:rFonts w:hint="eastAsia" w:ascii="宋体" w:hAnsi="宋体" w:eastAsia="宋体" w:cs="宋体"/>
                <w:sz w:val="28"/>
                <w:szCs w:val="28"/>
              </w:rPr>
            </w:r>
            <w:r/>
          </w:p>
        </w:tc>
        <w:tc>
          <w:tcPr>
            <w:tcW w:w="962" w:type="dxa"/>
            <w:vAlign w:val="center"/>
            <w:textDirection w:val="lrTb"/>
            <w:noWrap w:val="false"/>
          </w:tcPr>
          <w:p>
            <w:pPr>
              <w:pStyle w:val="1068"/>
              <w:spacing w:beforeAutospacing="1"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t xml:space="preserve">备注</w:t>
            </w: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95"/>
              <w:jc w:val="center"/>
              <w:spacing w:line="480" w:lineRule="exact"/>
              <w:rPr>
                <w:rFonts w:hint="eastAsia" w:ascii="宋体" w:hAnsi="宋体" w:eastAsia="宋体" w:cs="宋体"/>
                <w:sz w:val="20"/>
                <w:szCs w:val="20"/>
              </w:rPr>
              <w:framePr w:vAnchor="page" w:hAnchor="page" w:xAlign="center" w:y="74"/>
            </w:pPr>
            <w:r>
              <w:rPr>
                <w:rFonts w:hint="eastAsia" w:ascii="宋体" w:hAnsi="宋体" w:eastAsia="宋体" w:cs="宋体"/>
                <w:sz w:val="28"/>
                <w:szCs w:val="28"/>
                <w:lang w:bidi="ar"/>
              </w:rPr>
              <w:t xml:space="preserve">项目负责人</w:t>
            </w:r>
            <w:r>
              <w:rPr>
                <w:rFonts w:hint="eastAsia" w:ascii="宋体" w:hAnsi="宋体" w:eastAsia="宋体" w:cs="宋体"/>
                <w:sz w:val="20"/>
                <w:szCs w:val="20"/>
              </w:rPr>
            </w:r>
            <w:r/>
          </w:p>
        </w:tc>
        <w:tc>
          <w:tcPr>
            <w:tcW w:w="99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95"/>
              <w:jc w:val="center"/>
              <w:spacing w:line="480" w:lineRule="exact"/>
              <w:rPr>
                <w:rFonts w:hint="eastAsia" w:ascii="宋体" w:hAnsi="宋体" w:eastAsia="宋体" w:cs="宋体"/>
                <w:sz w:val="28"/>
                <w:szCs w:val="28"/>
              </w:rPr>
              <w:framePr w:vAnchor="page" w:hAnchor="page" w:xAlign="center" w:y="74"/>
            </w:pPr>
            <w:r>
              <w:rPr>
                <w:rFonts w:hint="eastAsia" w:ascii="宋体" w:hAnsi="宋体" w:eastAsia="宋体" w:cs="宋体"/>
                <w:sz w:val="28"/>
                <w:szCs w:val="28"/>
                <w:lang w:bidi="ar"/>
              </w:rPr>
              <w:t xml:space="preserve">......</w:t>
            </w:r>
            <w:r>
              <w:rPr>
                <w:rFonts w:hint="eastAsia" w:ascii="宋体" w:hAnsi="宋体" w:eastAsia="宋体" w:cs="宋体"/>
                <w:sz w:val="28"/>
                <w:szCs w:val="28"/>
              </w:rPr>
            </w:r>
            <w:r/>
          </w:p>
        </w:tc>
        <w:tc>
          <w:tcPr>
            <w:tcW w:w="99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95"/>
              <w:ind w:firstLine="280"/>
              <w:spacing w:line="480" w:lineRule="exact"/>
              <w:rPr>
                <w:rFonts w:hint="eastAsia" w:ascii="宋体" w:hAnsi="宋体" w:eastAsia="宋体" w:cs="宋体"/>
                <w:sz w:val="28"/>
                <w:szCs w:val="28"/>
              </w:rPr>
              <w:framePr w:vAnchor="page" w:hAnchor="page" w:xAlign="center" w:y="74"/>
            </w:pPr>
            <w:r>
              <w:rPr>
                <w:rFonts w:hint="eastAsia" w:ascii="宋体" w:hAnsi="宋体" w:eastAsia="宋体" w:cs="宋体"/>
                <w:sz w:val="28"/>
                <w:szCs w:val="28"/>
                <w:lang w:bidi="ar"/>
              </w:rPr>
              <w:t xml:space="preserve">......</w:t>
            </w:r>
            <w:r>
              <w:rPr>
                <w:rFonts w:hint="eastAsia" w:ascii="宋体" w:hAnsi="宋体" w:eastAsia="宋体" w:cs="宋体"/>
                <w:sz w:val="28"/>
                <w:szCs w:val="28"/>
              </w:rPr>
            </w:r>
            <w:r/>
          </w:p>
        </w:tc>
        <w:tc>
          <w:tcPr>
            <w:tcW w:w="99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95"/>
              <w:spacing w:line="480" w:lineRule="exact"/>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995"/>
              <w:spacing w:line="480" w:lineRule="exact"/>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843"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9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984"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170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c>
          <w:tcPr>
            <w:tcW w:w="962" w:type="dxa"/>
            <w:vAlign w:val="center"/>
            <w:textDirection w:val="lrTb"/>
            <w:noWrap w:val="false"/>
          </w:tcPr>
          <w:p>
            <w:pPr>
              <w:pStyle w:val="1068"/>
              <w:ind w:firstLine="560"/>
              <w:jc w:val="center"/>
              <w:spacing w:line="480" w:lineRule="exact"/>
              <w:widowControl/>
              <w:rPr>
                <w:rFonts w:hint="eastAsia" w:ascii="宋体" w:hAnsi="宋体" w:eastAsia="宋体" w:cs="宋体"/>
                <w:sz w:val="28"/>
                <w:szCs w:val="28"/>
              </w:rPr>
              <w:framePr w:vAnchor="page" w:hAnchor="page" w:xAlign="center" w:y="74"/>
            </w:pPr>
            <w:r>
              <w:rPr>
                <w:rFonts w:hint="eastAsia" w:ascii="宋体" w:hAnsi="宋体" w:eastAsia="宋体" w:cs="宋体"/>
                <w:sz w:val="28"/>
                <w:szCs w:val="28"/>
              </w:rPr>
            </w:r>
            <w:r/>
          </w:p>
        </w:tc>
      </w:tr>
    </w:tbl>
    <w:p>
      <w:pPr>
        <w:pStyle w:val="995"/>
        <w:ind w:firstLine="398"/>
        <w:spacing w:line="480" w:lineRule="exact"/>
        <w:rPr>
          <w:rFonts w:hint="eastAsia" w:ascii="宋体" w:hAnsi="宋体" w:eastAsia="宋体" w:cs="宋体"/>
        </w:rPr>
      </w:pPr>
      <w:r>
        <w:rPr>
          <w:rFonts w:hint="eastAsia" w:ascii="宋体" w:hAnsi="宋体" w:eastAsia="宋体" w:cs="宋体"/>
          <w:b/>
          <w:lang w:bidi="ar"/>
        </w:rPr>
        <w:t xml:space="preserve">注：如供应商成交，项目组成员必须按本表承诺人员操作，不得随意更换。按磋商文件要求附相关人员证书。</w:t>
      </w:r>
      <w:r>
        <w:rPr>
          <w:rFonts w:hint="eastAsia" w:ascii="宋体" w:hAnsi="宋体" w:eastAsia="宋体" w:cs="宋体"/>
        </w:rPr>
      </w:r>
      <w:r/>
    </w:p>
    <w:p>
      <w:pPr>
        <w:pStyle w:val="995"/>
        <w:ind w:firstLine="280"/>
        <w:spacing w:line="480" w:lineRule="exact"/>
        <w:rPr>
          <w:rFonts w:hint="eastAsia" w:ascii="宋体" w:hAnsi="宋体" w:eastAsia="宋体" w:cs="宋体"/>
        </w:rPr>
      </w:pPr>
      <w:r>
        <w:rPr>
          <w:rFonts w:hint="eastAsia" w:ascii="宋体" w:hAnsi="宋体" w:eastAsia="宋体" w:cs="宋体"/>
        </w:rPr>
      </w:r>
      <w:r/>
    </w:p>
    <w:p>
      <w:pPr>
        <w:pStyle w:val="1069"/>
        <w:spacing w:line="480" w:lineRule="exact"/>
        <w:rPr>
          <w:rFonts w:hint="eastAsia" w:ascii="宋体" w:hAnsi="宋体" w:eastAsia="宋体" w:cs="宋体"/>
        </w:rPr>
        <w:outlineLvl w:val="1"/>
      </w:pPr>
      <w:r>
        <w:rPr>
          <w:rFonts w:hint="eastAsia" w:ascii="宋体" w:hAnsi="宋体" w:eastAsia="宋体" w:cs="宋体"/>
        </w:rPr>
        <w:br w:type="page" w:clear="all"/>
      </w:r>
      <w:bookmarkStart w:id="218" w:name="_Toc11176"/>
      <w:r>
        <w:rPr>
          <w:rFonts w:hint="eastAsia" w:ascii="宋体" w:hAnsi="宋体" w:eastAsia="宋体" w:cs="宋体"/>
          <w:b/>
          <w:sz w:val="32"/>
        </w:rPr>
        <w:t xml:space="preserve">九、</w:t>
      </w:r>
      <w:bookmarkEnd w:id="218"/>
      <w:r>
        <w:rPr>
          <w:rFonts w:hint="eastAsia" w:ascii="宋体" w:hAnsi="宋体" w:eastAsia="宋体" w:cs="宋体"/>
          <w:b/>
          <w:sz w:val="32"/>
        </w:rPr>
        <w:t xml:space="preserve">企业业绩</w:t>
      </w:r>
      <w:r>
        <w:rPr>
          <w:rFonts w:hint="eastAsia" w:ascii="宋体" w:hAnsi="宋体" w:eastAsia="宋体" w:cs="宋体"/>
        </w:rPr>
      </w:r>
      <w:r/>
    </w:p>
    <w:p>
      <w:pPr>
        <w:pStyle w:val="1070"/>
        <w:jc w:val="center"/>
        <w:spacing w:line="480" w:lineRule="exact"/>
        <w:rPr>
          <w:rFonts w:hint="eastAsia" w:ascii="宋体" w:hAnsi="宋体" w:eastAsia="宋体" w:cs="宋体"/>
          <w:b/>
          <w:sz w:val="32"/>
          <w:szCs w:val="32"/>
        </w:rPr>
      </w:pPr>
      <w:r>
        <w:rPr>
          <w:rFonts w:hint="eastAsia" w:ascii="宋体" w:hAnsi="宋体" w:eastAsia="宋体" w:cs="宋体"/>
          <w:b/>
          <w:sz w:val="32"/>
          <w:szCs w:val="32"/>
        </w:rPr>
        <w:t xml:space="preserve">投标人承担类似项目业绩一览表</w:t>
      </w:r>
      <w:r>
        <w:rPr>
          <w:rFonts w:hint="eastAsia" w:ascii="宋体" w:hAnsi="宋体" w:eastAsia="宋体" w:cs="宋体"/>
          <w:b/>
          <w:sz w:val="32"/>
          <w:szCs w:val="32"/>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71"/>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序号</w:t>
            </w:r>
            <w:r>
              <w:rPr>
                <w:rFonts w:hint="eastAsia" w:ascii="宋体" w:hAnsi="宋体" w:eastAsia="宋体" w:cs="宋体"/>
                <w:sz w:val="28"/>
                <w:szCs w:val="28"/>
              </w:rPr>
            </w:r>
            <w:r/>
          </w:p>
        </w:tc>
        <w:tc>
          <w:tcPr>
            <w:tcW w:w="3827" w:type="dxa"/>
            <w:vAlign w:val="center"/>
            <w:textDirection w:val="lrTb"/>
            <w:noWrap w:val="false"/>
          </w:tcPr>
          <w:p>
            <w:pPr>
              <w:pStyle w:val="1071"/>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eastAsia="宋体" w:cs="宋体"/>
                <w:sz w:val="28"/>
                <w:szCs w:val="28"/>
              </w:rPr>
            </w:r>
            <w:r/>
          </w:p>
        </w:tc>
        <w:tc>
          <w:tcPr>
            <w:tcW w:w="2433" w:type="dxa"/>
            <w:vAlign w:val="center"/>
            <w:textDirection w:val="lrTb"/>
            <w:noWrap w:val="false"/>
          </w:tcPr>
          <w:p>
            <w:pPr>
              <w:pStyle w:val="1071"/>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rPr>
                <w:rFonts w:hint="eastAsia" w:ascii="宋体" w:hAnsi="宋体" w:eastAsia="宋体" w:cs="宋体"/>
                <w:sz w:val="28"/>
                <w:szCs w:val="28"/>
              </w:rPr>
            </w:r>
            <w:r/>
          </w:p>
        </w:tc>
        <w:tc>
          <w:tcPr>
            <w:tcW w:w="1395" w:type="dxa"/>
            <w:vAlign w:val="center"/>
            <w:textDirection w:val="lrTb"/>
            <w:noWrap w:val="false"/>
          </w:tcPr>
          <w:p>
            <w:pPr>
              <w:pStyle w:val="1071"/>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rPr>
                <w:rFonts w:hint="eastAsia" w:ascii="宋体" w:hAnsi="宋体" w:eastAsia="宋体" w:cs="宋体"/>
                <w:sz w:val="28"/>
                <w:szCs w:val="28"/>
              </w:rPr>
            </w:r>
            <w:r/>
          </w:p>
        </w:tc>
      </w:tr>
      <w:tr>
        <w:trPr>
          <w:trHeight w:val="1510"/>
        </w:trPr>
        <w:tc>
          <w:tcPr>
            <w:tcW w:w="1229" w:type="dxa"/>
            <w:vAlign w:val="top"/>
            <w:textDirection w:val="lrTb"/>
            <w:noWrap w:val="false"/>
          </w:tcPr>
          <w:p>
            <w:pPr>
              <w:pStyle w:val="1071"/>
              <w:jc w:val="center"/>
              <w:spacing w:line="48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071"/>
              <w:jc w:val="center"/>
              <w:spacing w:line="48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071"/>
              <w:jc w:val="center"/>
              <w:spacing w:line="48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071"/>
              <w:jc w:val="center"/>
              <w:spacing w:line="480" w:lineRule="exact"/>
              <w:rPr>
                <w:rFonts w:hint="eastAsia" w:ascii="宋体" w:hAnsi="宋体" w:eastAsia="宋体" w:cs="宋体"/>
                <w:sz w:val="28"/>
              </w:rPr>
            </w:pPr>
            <w:r>
              <w:rPr>
                <w:rFonts w:hint="eastAsia" w:ascii="宋体" w:hAnsi="宋体" w:eastAsia="宋体" w:cs="宋体"/>
                <w:sz w:val="28"/>
              </w:rPr>
            </w:r>
            <w:r/>
          </w:p>
        </w:tc>
      </w:tr>
      <w:tr>
        <w:trPr>
          <w:trHeight w:val="1510"/>
        </w:trPr>
        <w:tc>
          <w:tcPr>
            <w:tcW w:w="1229" w:type="dxa"/>
            <w:vAlign w:val="top"/>
            <w:textDirection w:val="lrTb"/>
            <w:noWrap w:val="false"/>
          </w:tcPr>
          <w:p>
            <w:pPr>
              <w:pStyle w:val="1071"/>
              <w:jc w:val="center"/>
              <w:spacing w:line="48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071"/>
              <w:jc w:val="center"/>
              <w:spacing w:line="48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071"/>
              <w:jc w:val="center"/>
              <w:spacing w:line="48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071"/>
              <w:jc w:val="center"/>
              <w:spacing w:line="480" w:lineRule="exact"/>
              <w:rPr>
                <w:rFonts w:hint="eastAsia" w:ascii="宋体" w:hAnsi="宋体" w:eastAsia="宋体" w:cs="宋体"/>
                <w:sz w:val="28"/>
              </w:rPr>
            </w:pPr>
            <w:r>
              <w:rPr>
                <w:rFonts w:hint="eastAsia" w:ascii="宋体" w:hAnsi="宋体" w:eastAsia="宋体" w:cs="宋体"/>
                <w:sz w:val="28"/>
              </w:rPr>
            </w:r>
            <w:r/>
          </w:p>
        </w:tc>
      </w:tr>
      <w:tr>
        <w:trPr>
          <w:trHeight w:val="1510"/>
        </w:trPr>
        <w:tc>
          <w:tcPr>
            <w:tcW w:w="1229" w:type="dxa"/>
            <w:vAlign w:val="top"/>
            <w:textDirection w:val="lrTb"/>
            <w:noWrap w:val="false"/>
          </w:tcPr>
          <w:p>
            <w:pPr>
              <w:pStyle w:val="1071"/>
              <w:jc w:val="center"/>
              <w:spacing w:line="48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071"/>
              <w:jc w:val="center"/>
              <w:spacing w:line="48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071"/>
              <w:jc w:val="center"/>
              <w:spacing w:line="48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071"/>
              <w:jc w:val="center"/>
              <w:spacing w:line="480" w:lineRule="exact"/>
              <w:rPr>
                <w:rFonts w:hint="eastAsia" w:ascii="宋体" w:hAnsi="宋体" w:eastAsia="宋体" w:cs="宋体"/>
                <w:sz w:val="28"/>
              </w:rPr>
            </w:pPr>
            <w:r>
              <w:rPr>
                <w:rFonts w:hint="eastAsia" w:ascii="宋体" w:hAnsi="宋体" w:eastAsia="宋体" w:cs="宋体"/>
                <w:sz w:val="28"/>
              </w:rPr>
            </w:r>
            <w:r/>
          </w:p>
        </w:tc>
      </w:tr>
      <w:tr>
        <w:trPr>
          <w:trHeight w:val="1525"/>
        </w:trPr>
        <w:tc>
          <w:tcPr>
            <w:tcW w:w="1229" w:type="dxa"/>
            <w:vAlign w:val="top"/>
            <w:textDirection w:val="lrTb"/>
            <w:noWrap w:val="false"/>
          </w:tcPr>
          <w:p>
            <w:pPr>
              <w:pStyle w:val="1071"/>
              <w:jc w:val="center"/>
              <w:spacing w:line="48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071"/>
              <w:jc w:val="center"/>
              <w:spacing w:line="48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071"/>
              <w:jc w:val="center"/>
              <w:spacing w:line="48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071"/>
              <w:jc w:val="center"/>
              <w:spacing w:line="480" w:lineRule="exact"/>
              <w:rPr>
                <w:rFonts w:hint="eastAsia" w:ascii="宋体" w:hAnsi="宋体" w:eastAsia="宋体" w:cs="宋体"/>
                <w:sz w:val="28"/>
              </w:rPr>
            </w:pPr>
            <w:r>
              <w:rPr>
                <w:rFonts w:hint="eastAsia" w:ascii="宋体" w:hAnsi="宋体" w:eastAsia="宋体" w:cs="宋体"/>
                <w:sz w:val="28"/>
              </w:rPr>
            </w:r>
            <w:r/>
          </w:p>
        </w:tc>
      </w:tr>
    </w:tbl>
    <w:p>
      <w:pPr>
        <w:pStyle w:val="1070"/>
        <w:spacing w:line="480" w:lineRule="exact"/>
        <w:rPr>
          <w:rFonts w:hint="eastAsia" w:ascii="宋体" w:hAnsi="宋体" w:eastAsia="宋体" w:cs="宋体"/>
        </w:rPr>
      </w:pPr>
      <w:r>
        <w:rPr>
          <w:rFonts w:hint="eastAsia" w:ascii="宋体" w:hAnsi="宋体" w:eastAsia="宋体" w:cs="宋体"/>
          <w:b/>
          <w:sz w:val="24"/>
        </w:rPr>
        <w:t xml:space="preserve">注：请填写此表，并按要求上传业绩资料电子件。</w:t>
      </w:r>
      <w:r>
        <w:rPr>
          <w:rFonts w:hint="eastAsia" w:ascii="宋体" w:hAnsi="宋体" w:eastAsia="宋体" w:cs="宋体"/>
        </w:rPr>
      </w:r>
      <w:r/>
    </w:p>
    <w:p>
      <w:pPr>
        <w:pStyle w:val="1069"/>
        <w:spacing w:line="480" w:lineRule="exact"/>
        <w:rPr>
          <w:rFonts w:hint="eastAsia" w:ascii="宋体" w:hAnsi="宋体" w:eastAsia="宋体" w:cs="宋体"/>
          <w:b/>
          <w:sz w:val="32"/>
        </w:rPr>
      </w:pPr>
      <w:r/>
      <w:bookmarkStart w:id="219" w:name="_Toc28140"/>
      <w:r>
        <w:rPr>
          <w:rFonts w:hint="eastAsia" w:ascii="宋体" w:hAnsi="宋体" w:eastAsia="宋体" w:cs="宋体"/>
          <w:b/>
          <w:sz w:val="32"/>
        </w:rPr>
      </w:r>
      <w:r/>
    </w:p>
    <w:p>
      <w:pPr>
        <w:pStyle w:val="1069"/>
        <w:spacing w:line="480" w:lineRule="exact"/>
        <w:rPr>
          <w:rFonts w:hint="eastAsia" w:ascii="宋体" w:hAnsi="宋体" w:eastAsia="宋体" w:cs="宋体"/>
          <w:b/>
          <w:sz w:val="32"/>
        </w:rPr>
      </w:pPr>
      <w:r>
        <w:rPr>
          <w:rFonts w:hint="eastAsia" w:ascii="宋体" w:hAnsi="宋体" w:eastAsia="宋体" w:cs="宋体"/>
          <w:b/>
          <w:sz w:val="32"/>
        </w:rPr>
      </w:r>
      <w:r/>
    </w:p>
    <w:p>
      <w:pPr>
        <w:pStyle w:val="1069"/>
        <w:spacing w:line="480" w:lineRule="exact"/>
        <w:rPr>
          <w:rFonts w:hint="eastAsia" w:ascii="宋体" w:hAnsi="宋体" w:eastAsia="宋体" w:cs="宋体"/>
          <w:b/>
          <w:sz w:val="32"/>
        </w:rPr>
      </w:pPr>
      <w:r>
        <w:rPr>
          <w:rFonts w:hint="eastAsia" w:ascii="宋体" w:hAnsi="宋体" w:eastAsia="宋体" w:cs="宋体"/>
          <w:b/>
          <w:sz w:val="32"/>
        </w:rPr>
      </w:r>
      <w:r/>
    </w:p>
    <w:p>
      <w:pPr>
        <w:pStyle w:val="1069"/>
        <w:spacing w:line="480" w:lineRule="exact"/>
        <w:rPr>
          <w:rFonts w:hint="eastAsia" w:ascii="宋体" w:hAnsi="宋体" w:eastAsia="宋体" w:cs="宋体"/>
          <w:b/>
          <w:sz w:val="32"/>
        </w:rPr>
      </w:pPr>
      <w:r>
        <w:rPr>
          <w:rFonts w:hint="eastAsia" w:ascii="宋体" w:hAnsi="宋体" w:eastAsia="宋体" w:cs="宋体"/>
          <w:b/>
          <w:sz w:val="32"/>
        </w:rPr>
      </w:r>
      <w:r/>
    </w:p>
    <w:p>
      <w:pPr>
        <w:pStyle w:val="1069"/>
        <w:spacing w:line="480" w:lineRule="exact"/>
        <w:rPr>
          <w:rFonts w:hint="eastAsia" w:ascii="宋体" w:hAnsi="宋体" w:eastAsia="宋体" w:cs="宋体"/>
          <w:b/>
          <w:sz w:val="32"/>
        </w:rPr>
      </w:pPr>
      <w:r>
        <w:rPr>
          <w:rFonts w:hint="eastAsia" w:ascii="宋体" w:hAnsi="宋体" w:eastAsia="宋体" w:cs="宋体"/>
          <w:b/>
          <w:sz w:val="32"/>
        </w:rPr>
      </w:r>
      <w:r/>
    </w:p>
    <w:p>
      <w:pPr>
        <w:pStyle w:val="1069"/>
        <w:spacing w:line="480" w:lineRule="exact"/>
        <w:rPr>
          <w:rFonts w:hint="eastAsia" w:ascii="宋体" w:hAnsi="宋体" w:eastAsia="宋体" w:cs="宋体"/>
          <w:b/>
          <w:sz w:val="32"/>
        </w:rPr>
      </w:pPr>
      <w:r>
        <w:rPr>
          <w:rFonts w:hint="eastAsia" w:ascii="宋体" w:hAnsi="宋体" w:eastAsia="宋体" w:cs="宋体"/>
          <w:b/>
          <w:sz w:val="32"/>
        </w:rPr>
      </w:r>
      <w:r/>
    </w:p>
    <w:p>
      <w:pPr>
        <w:pStyle w:val="1069"/>
        <w:spacing w:line="480" w:lineRule="exact"/>
        <w:rPr>
          <w:rFonts w:hint="eastAsia" w:ascii="宋体" w:hAnsi="宋体" w:eastAsia="宋体" w:cs="宋体"/>
          <w:b/>
          <w:sz w:val="32"/>
        </w:rPr>
      </w:pPr>
      <w:r>
        <w:rPr>
          <w:rFonts w:hint="eastAsia" w:ascii="宋体" w:hAnsi="宋体" w:eastAsia="宋体" w:cs="宋体"/>
          <w:b/>
          <w:sz w:val="32"/>
        </w:rPr>
      </w:r>
      <w:r/>
    </w:p>
    <w:p>
      <w:pPr>
        <w:pStyle w:val="1069"/>
        <w:spacing w:line="480" w:lineRule="exact"/>
        <w:rPr>
          <w:rFonts w:hint="eastAsia" w:ascii="宋体" w:hAnsi="宋体" w:eastAsia="宋体" w:cs="宋体"/>
          <w:b/>
          <w:sz w:val="32"/>
        </w:rPr>
      </w:pPr>
      <w:r>
        <w:rPr>
          <w:rFonts w:hint="eastAsia" w:ascii="宋体" w:hAnsi="宋体" w:eastAsia="宋体" w:cs="宋体"/>
          <w:b/>
          <w:sz w:val="32"/>
        </w:rPr>
      </w:r>
      <w:r/>
    </w:p>
    <w:p>
      <w:pPr>
        <w:pStyle w:val="1069"/>
        <w:spacing w:line="480" w:lineRule="exact"/>
        <w:rPr>
          <w:rFonts w:hint="eastAsia" w:ascii="宋体" w:hAnsi="宋体" w:eastAsia="宋体" w:cs="宋体"/>
          <w:b/>
          <w:sz w:val="32"/>
        </w:rPr>
      </w:pPr>
      <w:r>
        <w:rPr>
          <w:rFonts w:hint="eastAsia" w:ascii="宋体" w:hAnsi="宋体" w:eastAsia="宋体" w:cs="宋体"/>
          <w:b/>
          <w:sz w:val="32"/>
        </w:rPr>
      </w:r>
      <w:r/>
    </w:p>
    <w:p>
      <w:pPr>
        <w:pStyle w:val="1069"/>
        <w:spacing w:line="480" w:lineRule="exact"/>
        <w:rPr>
          <w:rFonts w:hint="eastAsia" w:ascii="宋体" w:hAnsi="宋体" w:eastAsia="宋体" w:cs="宋体"/>
          <w:b/>
          <w:sz w:val="32"/>
        </w:rPr>
      </w:pPr>
      <w:r>
        <w:rPr>
          <w:rFonts w:hint="eastAsia" w:ascii="宋体" w:hAnsi="宋体" w:eastAsia="宋体" w:cs="宋体"/>
          <w:b/>
          <w:sz w:val="32"/>
        </w:rPr>
      </w:r>
      <w:r/>
    </w:p>
    <w:p>
      <w:pPr>
        <w:pStyle w:val="1069"/>
        <w:spacing w:line="480" w:lineRule="exact"/>
        <w:rPr>
          <w:rFonts w:hint="eastAsia" w:ascii="宋体" w:hAnsi="宋体" w:eastAsia="宋体" w:cs="宋体"/>
          <w:b/>
          <w:sz w:val="32"/>
        </w:rPr>
      </w:pPr>
      <w:r>
        <w:rPr>
          <w:rFonts w:hint="eastAsia" w:ascii="宋体" w:hAnsi="宋体" w:eastAsia="宋体" w:cs="宋体"/>
          <w:b/>
          <w:sz w:val="32"/>
        </w:rPr>
      </w:r>
      <w:r/>
    </w:p>
    <w:p>
      <w:pPr>
        <w:pStyle w:val="921"/>
        <w:rPr>
          <w:rFonts w:hint="eastAsia" w:ascii="宋体" w:hAnsi="宋体" w:eastAsia="宋体" w:cs="宋体"/>
          <w:b/>
          <w:sz w:val="32"/>
          <w:szCs w:val="24"/>
        </w:rPr>
        <w:outlineLvl w:val="1"/>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十</w:t>
      </w:r>
      <w:r>
        <w:rPr>
          <w:rFonts w:hint="eastAsia" w:ascii="宋体" w:hAnsi="宋体" w:eastAsia="宋体" w:cs="宋体"/>
          <w:b/>
          <w:sz w:val="32"/>
          <w:szCs w:val="24"/>
        </w:rPr>
        <w:t xml:space="preserve">、磋商所需其他材料</w:t>
      </w:r>
      <w:bookmarkEnd w:id="219"/>
      <w:r>
        <w:rPr>
          <w:rFonts w:hint="eastAsia" w:ascii="宋体" w:hAnsi="宋体" w:eastAsia="宋体" w:cs="宋体"/>
          <w:b/>
          <w:sz w:val="32"/>
          <w:szCs w:val="24"/>
        </w:rPr>
      </w:r>
      <w:r/>
    </w:p>
    <w:p>
      <w:pPr>
        <w:pStyle w:val="1066"/>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请在此文档中增加磋商所需其他相关内容（包括资格要求、评分办法、采购需求中涉及的证件证明及其它投标人认为有必要提供的资料），如没有请将此空文档上传。</w:t>
      </w:r>
      <w:r>
        <w:rPr>
          <w:rFonts w:hint="eastAsia" w:ascii="宋体" w:hAnsi="宋体" w:eastAsia="宋体" w:cs="宋体"/>
          <w:sz w:val="28"/>
          <w:szCs w:val="28"/>
        </w:rPr>
      </w:r>
      <w:r/>
    </w:p>
    <w:p>
      <w:pPr>
        <w:pStyle w:val="921"/>
        <w:jc w:val="center"/>
        <w:spacing w:line="480" w:lineRule="exact"/>
        <w:rPr>
          <w:rFonts w:hint="eastAsia" w:ascii="宋体" w:hAnsi="宋体" w:eastAsia="宋体" w:cs="宋体"/>
          <w:b/>
          <w:bCs/>
          <w:sz w:val="32"/>
          <w:szCs w:val="32"/>
        </w:rPr>
        <w:outlineLvl w:val="1"/>
      </w:pPr>
      <w:r>
        <w:rPr>
          <w:rFonts w:hint="eastAsia" w:ascii="宋体" w:hAnsi="宋体" w:eastAsia="宋体" w:cs="宋体"/>
          <w:b/>
          <w:bCs/>
          <w:sz w:val="32"/>
          <w:szCs w:val="32"/>
        </w:rPr>
        <w:br w:type="page" w:clear="all"/>
      </w:r>
      <w:r>
        <w:rPr>
          <w:rFonts w:hint="eastAsia" w:ascii="宋体" w:hAnsi="宋体" w:eastAsia="宋体" w:cs="宋体"/>
          <w:b/>
          <w:bCs/>
          <w:sz w:val="32"/>
          <w:szCs w:val="32"/>
        </w:rPr>
        <w:t xml:space="preserve">质疑函范本</w:t>
      </w:r>
      <w:r>
        <w:rPr>
          <w:rFonts w:hint="eastAsia" w:ascii="宋体" w:hAnsi="宋体" w:eastAsia="宋体" w:cs="宋体"/>
          <w:b/>
          <w:bCs/>
          <w:sz w:val="32"/>
          <w:szCs w:val="32"/>
        </w:rPr>
      </w:r>
      <w:r/>
    </w:p>
    <w:p>
      <w:pPr>
        <w:pStyle w:val="921"/>
        <w:spacing w:before="290" w:line="480" w:lineRule="exact"/>
        <w:rPr>
          <w:rFonts w:hint="eastAsia" w:ascii="宋体" w:hAnsi="宋体" w:eastAsia="宋体" w:cs="宋体"/>
          <w:bCs/>
          <w:sz w:val="24"/>
          <w:szCs w:val="24"/>
        </w:rPr>
      </w:pPr>
      <w:r>
        <w:rPr>
          <w:rFonts w:hint="eastAsia" w:ascii="宋体" w:hAnsi="宋体" w:eastAsia="宋体" w:cs="宋体"/>
          <w:bCs/>
          <w:sz w:val="24"/>
          <w:szCs w:val="24"/>
        </w:rPr>
        <w:t xml:space="preserve">一、质疑供应商基本信息</w:t>
      </w:r>
      <w:r>
        <w:rPr>
          <w:rFonts w:hint="eastAsia" w:ascii="宋体" w:hAnsi="宋体" w:eastAsia="宋体" w:cs="宋体"/>
          <w:bCs/>
          <w:sz w:val="24"/>
          <w:szCs w:val="24"/>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21"/>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rPr>
          <w:rFonts w:hint="eastAsia" w:ascii="宋体" w:hAnsi="宋体" w:eastAsia="宋体" w:cs="宋体"/>
          <w:bCs/>
          <w:sz w:val="24"/>
          <w:szCs w:val="24"/>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21"/>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rPr>
          <w:rFonts w:hint="eastAsia" w:ascii="宋体" w:hAnsi="宋体" w:eastAsia="宋体" w:cs="宋体"/>
          <w:bCs/>
          <w:sz w:val="24"/>
          <w:szCs w:val="24"/>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1"/>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四、与质疑事项相关的质疑请求</w:t>
      </w:r>
      <w:r>
        <w:rPr>
          <w:rFonts w:hint="eastAsia" w:ascii="宋体" w:hAnsi="宋体" w:eastAsia="宋体" w:cs="宋体"/>
          <w:bCs/>
          <w:sz w:val="24"/>
          <w:szCs w:val="24"/>
        </w:rPr>
      </w:r>
      <w:r/>
    </w:p>
    <w:p>
      <w:pPr>
        <w:pStyle w:val="921"/>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签字(签章)：                   公章：                      </w:t>
      </w:r>
      <w:r>
        <w:rPr>
          <w:rFonts w:hint="eastAsia" w:ascii="宋体" w:hAnsi="宋体" w:eastAsia="宋体" w:cs="宋体"/>
          <w:sz w:val="24"/>
          <w:szCs w:val="24"/>
        </w:rPr>
      </w:r>
      <w:r/>
    </w:p>
    <w:p>
      <w:pPr>
        <w:pStyle w:val="921"/>
        <w:spacing w:line="480" w:lineRule="exact"/>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r>
      <w:r/>
    </w:p>
    <w:p>
      <w:pPr>
        <w:pStyle w:val="921"/>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质疑函制作说明：</w:t>
      </w:r>
      <w:r>
        <w:rPr>
          <w:rFonts w:hint="eastAsia" w:ascii="宋体" w:hAnsi="宋体" w:eastAsia="宋体" w:cs="宋体"/>
          <w:b/>
          <w:sz w:val="24"/>
          <w:szCs w:val="24"/>
        </w:rPr>
      </w:r>
      <w:r/>
    </w:p>
    <w:p>
      <w:pPr>
        <w:pStyle w:val="921"/>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rPr>
          <w:rFonts w:hint="eastAsia" w:ascii="宋体" w:hAnsi="宋体" w:eastAsia="宋体" w:cs="宋体"/>
          <w:sz w:val="24"/>
          <w:szCs w:val="24"/>
        </w:rPr>
      </w:r>
      <w:r/>
    </w:p>
    <w:p>
      <w:pPr>
        <w:pStyle w:val="921"/>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w:t>
      </w:r>
      <w:r>
        <w:rPr>
          <w:rFonts w:hint="eastAsia" w:ascii="宋体" w:hAnsi="宋体" w:eastAsia="宋体" w:cs="宋体"/>
          <w:sz w:val="24"/>
          <w:szCs w:val="24"/>
        </w:rPr>
        <w:t xml:space="preserve">供应商签署的授权委托书。授权委托书应载明代理人的姓名或者名称、代理事项、具体权限、期限和相关事项。</w:t>
      </w:r>
      <w:r>
        <w:rPr>
          <w:rFonts w:hint="eastAsia" w:ascii="宋体" w:hAnsi="宋体" w:eastAsia="宋体" w:cs="宋体"/>
          <w:sz w:val="24"/>
          <w:szCs w:val="24"/>
        </w:rPr>
      </w:r>
      <w:r/>
    </w:p>
    <w:p>
      <w:pPr>
        <w:pStyle w:val="921"/>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rPr>
          <w:rFonts w:hint="eastAsia" w:ascii="宋体" w:hAnsi="宋体" w:eastAsia="宋体" w:cs="宋体"/>
          <w:sz w:val="24"/>
          <w:szCs w:val="24"/>
        </w:rPr>
      </w:r>
      <w:r/>
    </w:p>
    <w:p>
      <w:pPr>
        <w:pStyle w:val="921"/>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rPr>
          <w:rFonts w:hint="eastAsia" w:ascii="宋体" w:hAnsi="宋体" w:eastAsia="宋体" w:cs="宋体"/>
          <w:sz w:val="24"/>
          <w:szCs w:val="24"/>
        </w:rPr>
      </w:r>
      <w:r/>
    </w:p>
    <w:p>
      <w:pPr>
        <w:pStyle w:val="921"/>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rPr>
          <w:rFonts w:hint="eastAsia" w:ascii="宋体" w:hAnsi="宋体" w:eastAsia="宋体" w:cs="宋体"/>
          <w:sz w:val="24"/>
          <w:szCs w:val="24"/>
        </w:rPr>
      </w:r>
      <w:r/>
    </w:p>
    <w:p>
      <w:pPr>
        <w:pStyle w:val="921"/>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sz w:val="24"/>
          <w:szCs w:val="24"/>
        </w:rPr>
      </w:r>
      <w:r/>
    </w:p>
    <w:p>
      <w:pPr>
        <w:pStyle w:val="921"/>
        <w:ind w:firstLine="42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21"/>
        <w:ind w:firstLine="420"/>
        <w:spacing w:line="480" w:lineRule="exact"/>
        <w:rPr>
          <w:rFonts w:hint="eastAsia" w:ascii="宋体" w:hAnsi="宋体" w:eastAsia="宋体" w:cs="宋体"/>
          <w:sz w:val="24"/>
          <w:szCs w:val="24"/>
        </w:rPr>
      </w:pPr>
      <w:r>
        <w:rPr>
          <w:rFonts w:hint="eastAsia" w:ascii="宋体" w:hAnsi="宋体" w:eastAsia="宋体" w:cs="宋体"/>
          <w:sz w:val="24"/>
          <w:szCs w:val="24"/>
        </w:rPr>
      </w:r>
      <w:r/>
    </w:p>
    <w:sectPr>
      <w:footerReference w:type="defaul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1</w:t>
    </w:r>
    <w:r>
      <w:fldChar w:fldCharType="end"/>
    </w:r>
    <w:r>
      <w:rPr>
        <w:rStyle w:val="1006"/>
      </w:rPr>
    </w:r>
    <w:r/>
  </w:p>
  <w:p>
    <w:pPr>
      <w:pStyle w:val="97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1"/>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9"/>
      <w:isLgl w:val="false"/>
      <w:suff w:val="tab"/>
      <w:lvlText w:val=""/>
      <w:lvlJc w:val="left"/>
      <w:pPr>
        <w:pStyle w:val="921"/>
        <w:ind w:left="780" w:hanging="360"/>
        <w:tabs>
          <w:tab w:val="num" w:pos="780" w:leader="none"/>
        </w:tabs>
      </w:pPr>
      <w:rPr>
        <w:rFonts w:ascii="Wingdings" w:hAnsi="Wingdings"/>
      </w:rPr>
    </w:lvl>
    <w:lvl w:ilvl="1">
      <w:start w:val="1"/>
      <w:numFmt w:val="bullet"/>
      <w:isLgl w:val="false"/>
      <w:suff w:val="tab"/>
      <w:lvlText w:val="o"/>
      <w:lvlJc w:val="left"/>
      <w:pPr>
        <w:pStyle w:val="921"/>
        <w:ind w:left="1440" w:hanging="360"/>
      </w:pPr>
      <w:rPr>
        <w:rFonts w:ascii="Courier New" w:hAnsi="Courier New" w:eastAsia="Courier New" w:cs="Courier New"/>
      </w:rPr>
    </w:lvl>
    <w:lvl w:ilvl="2">
      <w:start w:val="1"/>
      <w:numFmt w:val="bullet"/>
      <w:isLgl w:val="false"/>
      <w:suff w:val="tab"/>
      <w:lvlText w:val="§"/>
      <w:lvlJc w:val="left"/>
      <w:pPr>
        <w:pStyle w:val="921"/>
        <w:ind w:left="2160" w:hanging="360"/>
      </w:pPr>
      <w:rPr>
        <w:rFonts w:ascii="Wingdings" w:hAnsi="Wingdings" w:eastAsia="Wingdings" w:cs="Wingdings"/>
      </w:rPr>
    </w:lvl>
    <w:lvl w:ilvl="3">
      <w:start w:val="1"/>
      <w:numFmt w:val="bullet"/>
      <w:isLgl w:val="false"/>
      <w:suff w:val="tab"/>
      <w:lvlText w:val="·"/>
      <w:lvlJc w:val="left"/>
      <w:pPr>
        <w:pStyle w:val="921"/>
        <w:ind w:left="2880" w:hanging="360"/>
      </w:pPr>
      <w:rPr>
        <w:rFonts w:ascii="Symbol" w:hAnsi="Symbol" w:eastAsia="Symbol" w:cs="Symbol"/>
      </w:rPr>
    </w:lvl>
    <w:lvl w:ilvl="4">
      <w:start w:val="1"/>
      <w:numFmt w:val="bullet"/>
      <w:isLgl w:val="false"/>
      <w:suff w:val="tab"/>
      <w:lvlText w:val="o"/>
      <w:lvlJc w:val="left"/>
      <w:pPr>
        <w:pStyle w:val="921"/>
        <w:ind w:left="3600" w:hanging="360"/>
      </w:pPr>
      <w:rPr>
        <w:rFonts w:ascii="Courier New" w:hAnsi="Courier New" w:eastAsia="Courier New" w:cs="Courier New"/>
      </w:rPr>
    </w:lvl>
    <w:lvl w:ilvl="5">
      <w:start w:val="1"/>
      <w:numFmt w:val="bullet"/>
      <w:isLgl w:val="false"/>
      <w:suff w:val="tab"/>
      <w:lvlText w:val="§"/>
      <w:lvlJc w:val="left"/>
      <w:pPr>
        <w:pStyle w:val="921"/>
        <w:ind w:left="4320" w:hanging="360"/>
      </w:pPr>
      <w:rPr>
        <w:rFonts w:ascii="Wingdings" w:hAnsi="Wingdings" w:eastAsia="Wingdings" w:cs="Wingdings"/>
      </w:rPr>
    </w:lvl>
    <w:lvl w:ilvl="6">
      <w:start w:val="1"/>
      <w:numFmt w:val="bullet"/>
      <w:isLgl w:val="false"/>
      <w:suff w:val="tab"/>
      <w:lvlText w:val="·"/>
      <w:lvlJc w:val="left"/>
      <w:pPr>
        <w:pStyle w:val="921"/>
        <w:ind w:left="5040" w:hanging="360"/>
      </w:pPr>
      <w:rPr>
        <w:rFonts w:ascii="Symbol" w:hAnsi="Symbol" w:eastAsia="Symbol" w:cs="Symbol"/>
      </w:rPr>
    </w:lvl>
    <w:lvl w:ilvl="7">
      <w:start w:val="1"/>
      <w:numFmt w:val="bullet"/>
      <w:isLgl w:val="false"/>
      <w:suff w:val="tab"/>
      <w:lvlText w:val="o"/>
      <w:lvlJc w:val="left"/>
      <w:pPr>
        <w:pStyle w:val="921"/>
        <w:ind w:left="5760" w:hanging="360"/>
      </w:pPr>
      <w:rPr>
        <w:rFonts w:ascii="Courier New" w:hAnsi="Courier New" w:eastAsia="Courier New" w:cs="Courier New"/>
      </w:rPr>
    </w:lvl>
    <w:lvl w:ilvl="8">
      <w:start w:val="1"/>
      <w:numFmt w:val="bullet"/>
      <w:isLgl w:val="false"/>
      <w:suff w:val="tab"/>
      <w:lvlText w:val="§"/>
      <w:lvlJc w:val="left"/>
      <w:pPr>
        <w:pStyle w:val="921"/>
        <w:ind w:left="6480" w:hanging="360"/>
      </w:pPr>
      <w:rPr>
        <w:rFonts w:ascii="Wingdings" w:hAnsi="Wingdings" w:eastAsia="Wingdings" w:cs="Wingdings"/>
      </w:rPr>
    </w:lvl>
  </w:abstractNum>
  <w:abstractNum w:abstractNumId="1">
    <w:multiLevelType w:val="hybridMultilevel"/>
    <w:lvl w:ilvl="0">
      <w:start w:val="1"/>
      <w:numFmt w:val="upperLetter"/>
      <w:pStyle w:val="1016"/>
      <w:isLgl w:val="false"/>
      <w:suff w:val="tab"/>
      <w:lvlText w:val="附录%1."/>
      <w:lvlJc w:val="left"/>
      <w:pPr>
        <w:pStyle w:val="92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3"/>
      <w:isLgl w:val="false"/>
      <w:suff w:val="tab"/>
      <w:lvlText w:val="%1."/>
      <w:lvlJc w:val="left"/>
      <w:pPr>
        <w:pStyle w:val="921"/>
        <w:ind w:left="709" w:hanging="709"/>
        <w:tabs>
          <w:tab w:val="num" w:pos="709" w:leader="none"/>
        </w:tabs>
      </w:pPr>
      <w:rPr>
        <w:rFonts w:hint="eastAsia"/>
      </w:rPr>
    </w:lvl>
    <w:lvl w:ilvl="1">
      <w:start w:val="1"/>
      <w:numFmt w:val="decimal"/>
      <w:isLgl w:val="false"/>
      <w:suff w:val="tab"/>
      <w:lvlText w:val="%1.%2"/>
      <w:lvlJc w:val="left"/>
      <w:pPr>
        <w:pStyle w:val="921"/>
        <w:ind w:left="709" w:hanging="709"/>
        <w:tabs>
          <w:tab w:val="num" w:pos="709" w:leader="none"/>
        </w:tabs>
      </w:pPr>
      <w:rPr>
        <w:rFonts w:hint="eastAsia"/>
      </w:rPr>
    </w:lvl>
    <w:lvl w:ilvl="2">
      <w:start w:val="1"/>
      <w:numFmt w:val="decimal"/>
      <w:isLgl w:val="false"/>
      <w:suff w:val="tab"/>
      <w:lvlText w:val="%1.%2.%3."/>
      <w:lvlJc w:val="left"/>
      <w:pPr>
        <w:pStyle w:val="921"/>
        <w:ind w:left="425" w:hanging="425"/>
        <w:tabs>
          <w:tab w:val="num" w:pos="425" w:leader="none"/>
        </w:tabs>
      </w:pPr>
      <w:rPr>
        <w:rFonts w:hint="eastAsia"/>
      </w:rPr>
    </w:lvl>
    <w:lvl w:ilvl="3">
      <w:start w:val="1"/>
      <w:numFmt w:val="decimal"/>
      <w:isLgl w:val="false"/>
      <w:suff w:val="tab"/>
      <w:lvlText w:val="%1.%2.%3.%4."/>
      <w:lvlJc w:val="left"/>
      <w:pPr>
        <w:pStyle w:val="921"/>
        <w:ind w:left="851" w:hanging="851"/>
        <w:tabs>
          <w:tab w:val="num" w:pos="851" w:leader="none"/>
        </w:tabs>
      </w:pPr>
      <w:rPr>
        <w:rFonts w:hint="eastAsia"/>
      </w:rPr>
    </w:lvl>
    <w:lvl w:ilvl="4">
      <w:start w:val="1"/>
      <w:numFmt w:val="decimal"/>
      <w:isLgl w:val="false"/>
      <w:suff w:val="tab"/>
      <w:lvlText w:val="%1.%2.%3.%4.%5."/>
      <w:lvlJc w:val="left"/>
      <w:pPr>
        <w:pStyle w:val="921"/>
        <w:ind w:left="992" w:hanging="992"/>
        <w:tabs>
          <w:tab w:val="num" w:pos="992" w:leader="none"/>
        </w:tabs>
      </w:pPr>
      <w:rPr>
        <w:rFonts w:hint="eastAsia"/>
      </w:rPr>
    </w:lvl>
    <w:lvl w:ilvl="5">
      <w:start w:val="1"/>
      <w:numFmt w:val="decimal"/>
      <w:isLgl w:val="false"/>
      <w:suff w:val="tab"/>
      <w:lvlText w:val="%1.%2.%3.%4.%5.%6."/>
      <w:lvlJc w:val="left"/>
      <w:pPr>
        <w:pStyle w:val="921"/>
        <w:ind w:left="1134" w:hanging="1134"/>
        <w:tabs>
          <w:tab w:val="num" w:pos="1134" w:leader="none"/>
        </w:tabs>
      </w:pPr>
      <w:rPr>
        <w:rFonts w:hint="eastAsia"/>
      </w:rPr>
    </w:lvl>
    <w:lvl w:ilvl="6">
      <w:start w:val="1"/>
      <w:numFmt w:val="decimal"/>
      <w:isLgl w:val="false"/>
      <w:suff w:val="tab"/>
      <w:lvlText w:val="%1.%2.%3.%4.%5.%6.%7."/>
      <w:lvlJc w:val="left"/>
      <w:pPr>
        <w:pStyle w:val="921"/>
        <w:ind w:left="1276" w:hanging="1276"/>
        <w:tabs>
          <w:tab w:val="num" w:pos="1276" w:leader="none"/>
        </w:tabs>
      </w:pPr>
      <w:rPr>
        <w:rFonts w:hint="eastAsia"/>
      </w:rPr>
    </w:lvl>
    <w:lvl w:ilvl="7">
      <w:start w:val="1"/>
      <w:numFmt w:val="decimal"/>
      <w:isLgl w:val="false"/>
      <w:suff w:val="tab"/>
      <w:lvlText w:val="%1.%2.%3.%4.%5.%6.%7.%8."/>
      <w:lvlJc w:val="left"/>
      <w:pPr>
        <w:pStyle w:val="921"/>
        <w:ind w:left="1418" w:hanging="1418"/>
        <w:tabs>
          <w:tab w:val="num" w:pos="1418" w:leader="none"/>
        </w:tabs>
      </w:pPr>
      <w:rPr>
        <w:rFonts w:hint="eastAsia"/>
      </w:rPr>
    </w:lvl>
    <w:lvl w:ilvl="8">
      <w:start w:val="1"/>
      <w:numFmt w:val="decimal"/>
      <w:isLgl w:val="false"/>
      <w:suff w:val="tab"/>
      <w:lvlText w:val="%1.%2.%3.%4.%5.%6.%7.%8.%9."/>
      <w:lvlJc w:val="left"/>
      <w:pPr>
        <w:pStyle w:val="92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1"/>
        <w:ind w:left="0" w:firstLine="0"/>
      </w:pPr>
      <w:rPr>
        <w:rFonts w:hint="eastAsia"/>
      </w:rPr>
    </w:lvl>
    <w:lvl w:ilvl="1">
      <w:start w:val="1"/>
      <w:numFmt w:val="decimal"/>
      <w:isLgl w:val="false"/>
      <w:suff w:val="nothing"/>
      <w:lvlText w:val="%2、"/>
      <w:lvlJc w:val="left"/>
      <w:pPr>
        <w:pStyle w:val="921"/>
        <w:ind w:left="0" w:firstLine="0"/>
      </w:pPr>
      <w:rPr>
        <w:rFonts w:hint="eastAsia"/>
      </w:rPr>
    </w:lvl>
    <w:lvl w:ilvl="2">
      <w:start w:val="1"/>
      <w:numFmt w:val="decimal"/>
      <w:isLgl w:val="false"/>
      <w:suff w:val="nothing"/>
      <w:lvlText w:val="%2.%3 "/>
      <w:lvlJc w:val="left"/>
      <w:pPr>
        <w:pStyle w:val="921"/>
        <w:ind w:left="0" w:firstLine="0"/>
      </w:pPr>
      <w:rPr>
        <w:rFonts w:hint="eastAsia"/>
      </w:rPr>
    </w:lvl>
    <w:lvl w:ilvl="3">
      <w:start w:val="1"/>
      <w:numFmt w:val="decimal"/>
      <w:isLgl w:val="false"/>
      <w:suff w:val="nothing"/>
      <w:lvlText w:val="%2.%3.%4 "/>
      <w:lvlJc w:val="left"/>
      <w:pPr>
        <w:pStyle w:val="921"/>
        <w:ind w:left="0" w:firstLine="0"/>
      </w:pPr>
      <w:rPr>
        <w:rFonts w:hint="eastAsia"/>
      </w:rPr>
    </w:lvl>
    <w:lvl w:ilvl="4">
      <w:start w:val="1"/>
      <w:numFmt w:val="decimal"/>
      <w:isLgl w:val="false"/>
      <w:suff w:val="nothing"/>
      <w:lvlText w:val="%2.%3.%4.%5 "/>
      <w:lvlJc w:val="left"/>
      <w:pPr>
        <w:pStyle w:val="921"/>
        <w:ind w:left="0" w:firstLine="0"/>
      </w:pPr>
      <w:rPr>
        <w:rFonts w:hint="eastAsia"/>
      </w:rPr>
    </w:lvl>
    <w:lvl w:ilvl="5">
      <w:start w:val="1"/>
      <w:numFmt w:val="decimal"/>
      <w:pStyle w:val="927"/>
      <w:isLgl w:val="false"/>
      <w:suff w:val="nothing"/>
      <w:lvlText w:val=""/>
      <w:lvlJc w:val="left"/>
      <w:pPr>
        <w:pStyle w:val="921"/>
        <w:ind w:left="0" w:firstLine="0"/>
      </w:pPr>
      <w:rPr>
        <w:rFonts w:hint="eastAsia"/>
      </w:rPr>
    </w:lvl>
    <w:lvl w:ilvl="6">
      <w:start w:val="1"/>
      <w:numFmt w:val="decimal"/>
      <w:pStyle w:val="928"/>
      <w:isLgl w:val="false"/>
      <w:suff w:val="nothing"/>
      <w:lvlText w:val=""/>
      <w:lvlJc w:val="left"/>
      <w:pPr>
        <w:pStyle w:val="921"/>
        <w:ind w:left="0" w:firstLine="0"/>
      </w:pPr>
      <w:rPr>
        <w:rFonts w:hint="eastAsia"/>
      </w:rPr>
    </w:lvl>
    <w:lvl w:ilvl="7">
      <w:start w:val="1"/>
      <w:numFmt w:val="decimal"/>
      <w:pStyle w:val="929"/>
      <w:isLgl w:val="false"/>
      <w:suff w:val="nothing"/>
      <w:lvlText w:val=""/>
      <w:lvlJc w:val="left"/>
      <w:pPr>
        <w:pStyle w:val="921"/>
        <w:ind w:left="0" w:firstLine="0"/>
      </w:pPr>
      <w:rPr>
        <w:rFonts w:hint="eastAsia"/>
      </w:rPr>
    </w:lvl>
    <w:lvl w:ilvl="8">
      <w:start w:val="1"/>
      <w:numFmt w:val="decimal"/>
      <w:pStyle w:val="930"/>
      <w:isLgl w:val="false"/>
      <w:suff w:val="nothing"/>
      <w:lvlText w:val=""/>
      <w:lvlJc w:val="left"/>
      <w:pPr>
        <w:pStyle w:val="921"/>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1"/>
    <w:next w:val="921"/>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1"/>
    <w:next w:val="921"/>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1"/>
    <w:next w:val="921"/>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1"/>
    <w:next w:val="921"/>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1"/>
    <w:next w:val="921"/>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1"/>
    <w:next w:val="921"/>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1"/>
    <w:next w:val="921"/>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1"/>
    <w:next w:val="921"/>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1"/>
    <w:next w:val="921"/>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21"/>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21"/>
    <w:next w:val="921"/>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21"/>
    <w:next w:val="921"/>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21"/>
    <w:next w:val="921"/>
    <w:link w:val="768"/>
    <w:uiPriority w:val="29"/>
    <w:qFormat/>
    <w:pPr>
      <w:ind w:left="720" w:right="720"/>
    </w:pPr>
    <w:rPr>
      <w:i/>
    </w:rPr>
  </w:style>
  <w:style w:type="character" w:styleId="768">
    <w:name w:val="Quote Char"/>
    <w:link w:val="767"/>
    <w:uiPriority w:val="29"/>
    <w:rPr>
      <w:i/>
    </w:rPr>
  </w:style>
  <w:style w:type="paragraph" w:styleId="769">
    <w:name w:val="Intense Quote"/>
    <w:basedOn w:val="921"/>
    <w:next w:val="921"/>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21"/>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21"/>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21"/>
    <w:next w:val="921"/>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21"/>
    <w:link w:val="921"/>
    <w:qFormat/>
    <w:pPr>
      <w:jc w:val="both"/>
      <w:widowControl w:val="off"/>
    </w:pPr>
    <w:rPr>
      <w:sz w:val="21"/>
      <w:szCs w:val="22"/>
      <w:lang w:val="en-US" w:eastAsia="zh-CN" w:bidi="ar-SA"/>
    </w:rPr>
  </w:style>
  <w:style w:type="paragraph" w:styleId="922">
    <w:name w:val="标题 1"/>
    <w:basedOn w:val="921"/>
    <w:next w:val="921"/>
    <w:link w:val="933"/>
    <w:qFormat/>
    <w:pPr>
      <w:jc w:val="center"/>
      <w:keepNext/>
      <w:outlineLvl w:val="0"/>
    </w:pPr>
    <w:rPr>
      <w:rFonts w:ascii="楷体_GB2312" w:hAnsi="Times New Roman" w:eastAsia="楷体_GB2312" w:cs="Times New Roman"/>
      <w:sz w:val="28"/>
      <w:szCs w:val="28"/>
    </w:rPr>
  </w:style>
  <w:style w:type="paragraph" w:styleId="923">
    <w:name w:val="标题 2"/>
    <w:basedOn w:val="921"/>
    <w:next w:val="921"/>
    <w:link w:val="934"/>
    <w:qFormat/>
    <w:pPr>
      <w:jc w:val="center"/>
      <w:keepLines/>
      <w:keepNext/>
      <w:spacing w:before="260" w:after="260" w:line="416" w:lineRule="auto"/>
      <w:outlineLvl w:val="1"/>
    </w:pPr>
    <w:rPr>
      <w:rFonts w:ascii="Arial" w:hAnsi="Arial" w:eastAsia="幼圆" w:cs="Arial"/>
      <w:b/>
      <w:bCs/>
      <w:sz w:val="44"/>
      <w:szCs w:val="44"/>
    </w:rPr>
  </w:style>
  <w:style w:type="paragraph" w:styleId="924">
    <w:name w:val="标题 3"/>
    <w:basedOn w:val="921"/>
    <w:next w:val="921"/>
    <w:link w:val="93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5">
    <w:name w:val="标题 4"/>
    <w:basedOn w:val="921"/>
    <w:next w:val="937"/>
    <w:link w:val="936"/>
    <w:qFormat/>
    <w:pPr>
      <w:keepLines/>
      <w:keepNext/>
      <w:spacing w:before="280" w:after="290" w:line="376" w:lineRule="auto"/>
      <w:outlineLvl w:val="3"/>
    </w:pPr>
    <w:rPr>
      <w:rFonts w:ascii="Arial" w:hAnsi="Arial" w:eastAsia="黑体" w:cs="Arial"/>
      <w:b/>
      <w:bCs/>
      <w:sz w:val="28"/>
      <w:szCs w:val="28"/>
    </w:rPr>
  </w:style>
  <w:style w:type="paragraph" w:styleId="926">
    <w:name w:val="标题 5"/>
    <w:basedOn w:val="921"/>
    <w:next w:val="937"/>
    <w:link w:val="939"/>
    <w:qFormat/>
    <w:pPr>
      <w:keepNext/>
      <w:outlineLvl w:val="4"/>
    </w:pPr>
    <w:rPr>
      <w:rFonts w:ascii="宋体" w:hAnsi="Times New Roman" w:eastAsia="宋体" w:cs="Times New Roman"/>
      <w:color w:val="000000"/>
      <w:sz w:val="28"/>
      <w:szCs w:val="28"/>
    </w:rPr>
  </w:style>
  <w:style w:type="paragraph" w:styleId="927">
    <w:name w:val="标题 6"/>
    <w:basedOn w:val="921"/>
    <w:next w:val="921"/>
    <w:link w:val="94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8">
    <w:name w:val="标题 7"/>
    <w:basedOn w:val="921"/>
    <w:next w:val="921"/>
    <w:link w:val="94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9">
    <w:name w:val="标题 8"/>
    <w:basedOn w:val="921"/>
    <w:next w:val="921"/>
    <w:link w:val="94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0">
    <w:name w:val="标题 9"/>
    <w:basedOn w:val="921"/>
    <w:next w:val="921"/>
    <w:link w:val="943"/>
    <w:qFormat/>
    <w:pPr>
      <w:numPr>
        <w:ilvl w:val="8"/>
        <w:numId w:val="1"/>
      </w:numPr>
      <w:keepLines/>
      <w:keepNext/>
      <w:spacing w:before="240" w:after="64" w:line="320" w:lineRule="auto"/>
      <w:outlineLvl w:val="8"/>
    </w:pPr>
    <w:rPr>
      <w:rFonts w:ascii="Arial" w:hAnsi="Arial" w:eastAsia="黑体" w:cs="Times New Roman"/>
      <w:szCs w:val="21"/>
    </w:rPr>
  </w:style>
  <w:style w:type="character" w:styleId="931">
    <w:name w:val="默认段落字体"/>
    <w:next w:val="931"/>
    <w:link w:val="921"/>
    <w:uiPriority w:val="1"/>
    <w:unhideWhenUsed/>
  </w:style>
  <w:style w:type="table" w:styleId="932">
    <w:name w:val="普通表格"/>
    <w:next w:val="932"/>
    <w:link w:val="921"/>
    <w:uiPriority w:val="99"/>
    <w:unhideWhenUsed/>
    <w:tblPr/>
  </w:style>
  <w:style w:type="character" w:styleId="933">
    <w:name w:val="标题 1 字符"/>
    <w:next w:val="933"/>
    <w:link w:val="922"/>
    <w:rPr>
      <w:rFonts w:ascii="楷体_GB2312" w:hAnsi="Times New Roman" w:eastAsia="楷体_GB2312" w:cs="Times New Roman"/>
      <w:sz w:val="28"/>
      <w:szCs w:val="28"/>
    </w:rPr>
  </w:style>
  <w:style w:type="character" w:styleId="934">
    <w:name w:val="标题 2 字符1"/>
    <w:next w:val="934"/>
    <w:link w:val="923"/>
    <w:rPr>
      <w:rFonts w:ascii="Arial" w:hAnsi="Arial" w:eastAsia="幼圆" w:cs="Arial"/>
      <w:b/>
      <w:bCs/>
      <w:sz w:val="44"/>
      <w:szCs w:val="44"/>
    </w:rPr>
  </w:style>
  <w:style w:type="character" w:styleId="935">
    <w:name w:val="标题 3 字符"/>
    <w:next w:val="935"/>
    <w:link w:val="924"/>
    <w:rPr>
      <w:rFonts w:ascii="Times New Roman" w:hAnsi="Times New Roman" w:eastAsia="宋体" w:cs="Times New Roman"/>
      <w:b/>
      <w:bCs/>
      <w:sz w:val="32"/>
      <w:szCs w:val="32"/>
    </w:rPr>
  </w:style>
  <w:style w:type="character" w:styleId="936">
    <w:name w:val="标题 4 字符1"/>
    <w:next w:val="936"/>
    <w:link w:val="925"/>
    <w:rPr>
      <w:rFonts w:ascii="Arial" w:hAnsi="Arial" w:eastAsia="黑体" w:cs="Arial"/>
      <w:b/>
      <w:bCs/>
      <w:sz w:val="28"/>
      <w:szCs w:val="28"/>
    </w:rPr>
  </w:style>
  <w:style w:type="paragraph" w:styleId="937">
    <w:name w:val="正文缩进"/>
    <w:basedOn w:val="921"/>
    <w:next w:val="937"/>
    <w:link w:val="938"/>
    <w:pPr>
      <w:ind w:firstLine="420"/>
    </w:pPr>
    <w:rPr>
      <w:szCs w:val="21"/>
    </w:rPr>
  </w:style>
  <w:style w:type="character" w:styleId="938">
    <w:name w:val="正文缩进 字符"/>
    <w:next w:val="938"/>
    <w:link w:val="937"/>
    <w:rPr>
      <w:szCs w:val="21"/>
    </w:rPr>
  </w:style>
  <w:style w:type="character" w:styleId="939">
    <w:name w:val="标题 5 字符"/>
    <w:next w:val="939"/>
    <w:link w:val="926"/>
    <w:rPr>
      <w:rFonts w:ascii="宋体" w:hAnsi="Times New Roman" w:eastAsia="宋体" w:cs="Times New Roman"/>
      <w:color w:val="000000"/>
      <w:sz w:val="28"/>
      <w:szCs w:val="28"/>
    </w:rPr>
  </w:style>
  <w:style w:type="character" w:styleId="940">
    <w:name w:val="标题 6 字符"/>
    <w:next w:val="940"/>
    <w:link w:val="927"/>
    <w:rPr>
      <w:rFonts w:ascii="Arial" w:hAnsi="Arial" w:eastAsia="黑体" w:cs="Times New Roman"/>
      <w:b/>
      <w:bCs/>
      <w:sz w:val="24"/>
      <w:szCs w:val="24"/>
    </w:rPr>
  </w:style>
  <w:style w:type="character" w:styleId="941">
    <w:name w:val="标题 7 字符"/>
    <w:next w:val="941"/>
    <w:link w:val="928"/>
    <w:rPr>
      <w:rFonts w:ascii="Times New Roman" w:hAnsi="Times New Roman" w:eastAsia="宋体" w:cs="Times New Roman"/>
      <w:b/>
      <w:bCs/>
      <w:sz w:val="24"/>
      <w:szCs w:val="24"/>
    </w:rPr>
  </w:style>
  <w:style w:type="character" w:styleId="942">
    <w:name w:val="标题 8 字符"/>
    <w:next w:val="942"/>
    <w:link w:val="929"/>
    <w:rPr>
      <w:rFonts w:ascii="Arial" w:hAnsi="Arial" w:eastAsia="黑体" w:cs="Times New Roman"/>
      <w:sz w:val="24"/>
      <w:szCs w:val="24"/>
    </w:rPr>
  </w:style>
  <w:style w:type="character" w:styleId="943">
    <w:name w:val="标题 9 字符"/>
    <w:next w:val="943"/>
    <w:link w:val="930"/>
    <w:rPr>
      <w:rFonts w:ascii="Arial" w:hAnsi="Arial" w:eastAsia="黑体" w:cs="Times New Roman"/>
      <w:szCs w:val="21"/>
    </w:rPr>
  </w:style>
  <w:style w:type="paragraph" w:styleId="944">
    <w:name w:val="列表 3"/>
    <w:basedOn w:val="921"/>
    <w:next w:val="944"/>
    <w:link w:val="921"/>
    <w:pPr>
      <w:ind w:left="100" w:hanging="200"/>
    </w:pPr>
    <w:rPr>
      <w:rFonts w:ascii="Times New Roman" w:hAnsi="Times New Roman" w:eastAsia="宋体" w:cs="Times New Roman"/>
      <w:szCs w:val="21"/>
    </w:rPr>
  </w:style>
  <w:style w:type="paragraph" w:styleId="945">
    <w:name w:val="目录 7"/>
    <w:basedOn w:val="921"/>
    <w:next w:val="921"/>
    <w:link w:val="921"/>
    <w:semiHidden/>
    <w:pPr>
      <w:ind w:left="1260"/>
      <w:jc w:val="left"/>
    </w:pPr>
    <w:rPr>
      <w:rFonts w:ascii="Times New Roman" w:hAnsi="Times New Roman" w:eastAsia="宋体" w:cs="Times New Roman"/>
      <w:szCs w:val="21"/>
    </w:rPr>
  </w:style>
  <w:style w:type="paragraph" w:styleId="946">
    <w:name w:val="索引 5"/>
    <w:basedOn w:val="921"/>
    <w:next w:val="921"/>
    <w:link w:val="921"/>
    <w:qFormat/>
    <w:pPr>
      <w:ind w:left="800"/>
    </w:pPr>
  </w:style>
  <w:style w:type="paragraph" w:styleId="947">
    <w:name w:val="文档结构图"/>
    <w:basedOn w:val="921"/>
    <w:next w:val="947"/>
    <w:link w:val="948"/>
    <w:semiHidden/>
    <w:pPr>
      <w:shd w:val="clear" w:color="auto" w:fill="000080"/>
    </w:pPr>
    <w:rPr>
      <w:rFonts w:ascii="Times New Roman" w:hAnsi="Times New Roman" w:eastAsia="宋体" w:cs="Times New Roman"/>
      <w:szCs w:val="21"/>
    </w:rPr>
  </w:style>
  <w:style w:type="character" w:styleId="948">
    <w:name w:val="文档结构图 字符"/>
    <w:next w:val="948"/>
    <w:link w:val="947"/>
    <w:semiHidden/>
    <w:rPr>
      <w:rFonts w:ascii="Times New Roman" w:hAnsi="Times New Roman" w:eastAsia="宋体" w:cs="Times New Roman"/>
      <w:szCs w:val="21"/>
      <w:shd w:val="clear" w:color="auto" w:fill="000080"/>
    </w:rPr>
  </w:style>
  <w:style w:type="paragraph" w:styleId="949">
    <w:name w:val="批注文字"/>
    <w:basedOn w:val="921"/>
    <w:next w:val="949"/>
    <w:link w:val="950"/>
    <w:unhideWhenUsed/>
    <w:pPr>
      <w:jc w:val="left"/>
    </w:pPr>
  </w:style>
  <w:style w:type="character" w:styleId="950">
    <w:name w:val="批注文字 字符1"/>
    <w:next w:val="950"/>
    <w:link w:val="949"/>
    <w:uiPriority w:val="99"/>
    <w:semiHidden/>
  </w:style>
  <w:style w:type="paragraph" w:styleId="951">
    <w:name w:val="正文文本 3"/>
    <w:basedOn w:val="921"/>
    <w:next w:val="951"/>
    <w:link w:val="952"/>
    <w:rPr>
      <w:rFonts w:ascii="仿宋_GB2312" w:hAnsi="Arial" w:eastAsia="仿宋_GB2312" w:cs="Times New Roman"/>
      <w:sz w:val="32"/>
      <w:szCs w:val="32"/>
    </w:rPr>
  </w:style>
  <w:style w:type="character" w:styleId="952">
    <w:name w:val="正文文本 3 字符"/>
    <w:next w:val="952"/>
    <w:link w:val="951"/>
    <w:rPr>
      <w:rFonts w:ascii="仿宋_GB2312" w:hAnsi="Arial" w:eastAsia="仿宋_GB2312" w:cs="Times New Roman"/>
      <w:sz w:val="32"/>
      <w:szCs w:val="32"/>
    </w:rPr>
  </w:style>
  <w:style w:type="paragraph" w:styleId="953">
    <w:name w:val="正文文本"/>
    <w:basedOn w:val="921"/>
    <w:next w:val="953"/>
    <w:link w:val="954"/>
    <w:rPr>
      <w:rFonts w:ascii="楷体_GB2312" w:hAnsi="Arial" w:eastAsia="楷体_GB2312" w:cs="Times New Roman"/>
      <w:sz w:val="28"/>
      <w:szCs w:val="28"/>
    </w:rPr>
  </w:style>
  <w:style w:type="character" w:styleId="954">
    <w:name w:val="正文文本 字符"/>
    <w:next w:val="954"/>
    <w:link w:val="953"/>
    <w:rPr>
      <w:rFonts w:ascii="楷体_GB2312" w:hAnsi="Arial" w:eastAsia="楷体_GB2312" w:cs="Times New Roman"/>
      <w:sz w:val="28"/>
      <w:szCs w:val="28"/>
    </w:rPr>
  </w:style>
  <w:style w:type="paragraph" w:styleId="955">
    <w:name w:val="正文文本缩进"/>
    <w:basedOn w:val="921"/>
    <w:next w:val="955"/>
    <w:link w:val="956"/>
    <w:unhideWhenUsed/>
    <w:pPr>
      <w:ind w:left="420"/>
      <w:spacing w:after="120"/>
    </w:pPr>
  </w:style>
  <w:style w:type="character" w:styleId="956">
    <w:name w:val="正文文本缩进 字符"/>
    <w:next w:val="956"/>
    <w:link w:val="955"/>
    <w:uiPriority w:val="99"/>
    <w:semiHidden/>
  </w:style>
  <w:style w:type="paragraph" w:styleId="957">
    <w:name w:val="列表 2"/>
    <w:basedOn w:val="921"/>
    <w:next w:val="957"/>
    <w:link w:val="921"/>
    <w:pPr>
      <w:ind w:left="100" w:hanging="200"/>
    </w:pPr>
    <w:rPr>
      <w:rFonts w:ascii="Times New Roman" w:hAnsi="Times New Roman" w:eastAsia="宋体" w:cs="Times New Roman"/>
      <w:szCs w:val="21"/>
    </w:rPr>
  </w:style>
  <w:style w:type="paragraph" w:styleId="958">
    <w:name w:val="文本块"/>
    <w:basedOn w:val="921"/>
    <w:next w:val="958"/>
    <w:link w:val="921"/>
    <w:pPr>
      <w:ind w:left="420" w:right="33"/>
      <w:jc w:val="left"/>
    </w:pPr>
    <w:rPr>
      <w:sz w:val="24"/>
      <w:szCs w:val="20"/>
    </w:rPr>
  </w:style>
  <w:style w:type="paragraph" w:styleId="959">
    <w:name w:val="目录 5"/>
    <w:basedOn w:val="921"/>
    <w:next w:val="921"/>
    <w:link w:val="921"/>
    <w:semiHidden/>
    <w:pPr>
      <w:ind w:left="840"/>
      <w:jc w:val="left"/>
    </w:pPr>
    <w:rPr>
      <w:rFonts w:ascii="Times New Roman" w:hAnsi="Times New Roman" w:eastAsia="宋体" w:cs="Times New Roman"/>
      <w:szCs w:val="21"/>
    </w:rPr>
  </w:style>
  <w:style w:type="paragraph" w:styleId="960">
    <w:name w:val="目录 3"/>
    <w:basedOn w:val="921"/>
    <w:next w:val="921"/>
    <w:link w:val="921"/>
    <w:semiHidden/>
    <w:pPr>
      <w:ind w:left="420"/>
      <w:jc w:val="left"/>
    </w:pPr>
    <w:rPr>
      <w:rFonts w:ascii="Times New Roman" w:hAnsi="Times New Roman" w:eastAsia="宋体" w:cs="Times New Roman"/>
      <w:i/>
      <w:iCs/>
      <w:szCs w:val="24"/>
    </w:rPr>
  </w:style>
  <w:style w:type="paragraph" w:styleId="961">
    <w:name w:val="纯文本"/>
    <w:basedOn w:val="921"/>
    <w:next w:val="961"/>
    <w:link w:val="962"/>
    <w:rPr>
      <w:rFonts w:ascii="宋体" w:hAnsi="Courier New" w:eastAsia="宋体" w:cs="Courier New"/>
      <w:szCs w:val="21"/>
    </w:rPr>
  </w:style>
  <w:style w:type="character" w:styleId="962">
    <w:name w:val="纯文本 字符"/>
    <w:next w:val="962"/>
    <w:link w:val="961"/>
    <w:rPr>
      <w:rFonts w:ascii="宋体" w:hAnsi="Courier New" w:eastAsia="宋体" w:cs="Courier New"/>
      <w:szCs w:val="21"/>
    </w:rPr>
  </w:style>
  <w:style w:type="paragraph" w:styleId="963">
    <w:name w:val="目录 8"/>
    <w:basedOn w:val="921"/>
    <w:next w:val="921"/>
    <w:link w:val="921"/>
    <w:semiHidden/>
    <w:pPr>
      <w:ind w:left="1470"/>
      <w:jc w:val="left"/>
    </w:pPr>
    <w:rPr>
      <w:rFonts w:ascii="Times New Roman" w:hAnsi="Times New Roman" w:eastAsia="宋体" w:cs="Times New Roman"/>
      <w:szCs w:val="21"/>
    </w:rPr>
  </w:style>
  <w:style w:type="paragraph" w:styleId="964">
    <w:name w:val="日期"/>
    <w:basedOn w:val="921"/>
    <w:next w:val="921"/>
    <w:link w:val="965"/>
    <w:rPr>
      <w:rFonts w:ascii="Times New Roman" w:hAnsi="Times New Roman" w:eastAsia="宋体" w:cs="Times New Roman"/>
      <w:sz w:val="24"/>
      <w:szCs w:val="24"/>
    </w:rPr>
  </w:style>
  <w:style w:type="character" w:styleId="965">
    <w:name w:val="日期 字符"/>
    <w:next w:val="965"/>
    <w:link w:val="964"/>
    <w:rPr>
      <w:rFonts w:ascii="Times New Roman" w:hAnsi="Times New Roman" w:eastAsia="宋体" w:cs="Times New Roman"/>
      <w:sz w:val="24"/>
      <w:szCs w:val="24"/>
    </w:rPr>
  </w:style>
  <w:style w:type="paragraph" w:styleId="966">
    <w:name w:val="正文文本缩进 2"/>
    <w:basedOn w:val="921"/>
    <w:next w:val="966"/>
    <w:link w:val="967"/>
    <w:pPr>
      <w:ind w:left="630" w:firstLine="645"/>
    </w:pPr>
    <w:rPr>
      <w:rFonts w:ascii="Arial" w:hAnsi="Arial" w:eastAsia="仿宋_GB2312" w:cs="Arial"/>
      <w:sz w:val="32"/>
      <w:szCs w:val="32"/>
    </w:rPr>
  </w:style>
  <w:style w:type="character" w:styleId="967">
    <w:name w:val="正文文本缩进 2 字符"/>
    <w:next w:val="967"/>
    <w:link w:val="966"/>
    <w:rPr>
      <w:rFonts w:ascii="Arial" w:hAnsi="Arial" w:eastAsia="仿宋_GB2312" w:cs="Arial"/>
      <w:sz w:val="32"/>
      <w:szCs w:val="32"/>
    </w:rPr>
  </w:style>
  <w:style w:type="paragraph" w:styleId="968">
    <w:name w:val="批注框文本"/>
    <w:basedOn w:val="921"/>
    <w:next w:val="968"/>
    <w:link w:val="969"/>
    <w:semiHidden/>
    <w:rPr>
      <w:rFonts w:ascii="Times New Roman" w:hAnsi="Times New Roman" w:eastAsia="宋体" w:cs="Times New Roman"/>
      <w:sz w:val="18"/>
      <w:szCs w:val="18"/>
    </w:rPr>
  </w:style>
  <w:style w:type="character" w:styleId="969">
    <w:name w:val="批注框文本 字符"/>
    <w:next w:val="969"/>
    <w:link w:val="968"/>
    <w:semiHidden/>
    <w:rPr>
      <w:rFonts w:ascii="Times New Roman" w:hAnsi="Times New Roman" w:eastAsia="宋体" w:cs="Times New Roman"/>
      <w:sz w:val="18"/>
      <w:szCs w:val="18"/>
    </w:rPr>
  </w:style>
  <w:style w:type="paragraph" w:styleId="970">
    <w:name w:val="页脚"/>
    <w:basedOn w:val="921"/>
    <w:next w:val="970"/>
    <w:link w:val="971"/>
    <w:pPr>
      <w:jc w:val="left"/>
      <w:tabs>
        <w:tab w:val="center" w:pos="4153" w:leader="none"/>
        <w:tab w:val="right" w:pos="8306" w:leader="none"/>
      </w:tabs>
    </w:pPr>
    <w:rPr>
      <w:rFonts w:ascii="Times New Roman" w:hAnsi="Times New Roman" w:eastAsia="宋体" w:cs="Times New Roman"/>
      <w:sz w:val="18"/>
      <w:szCs w:val="18"/>
    </w:rPr>
  </w:style>
  <w:style w:type="character" w:styleId="971">
    <w:name w:val="页脚 字符"/>
    <w:next w:val="971"/>
    <w:link w:val="970"/>
    <w:rPr>
      <w:rFonts w:ascii="Times New Roman" w:hAnsi="Times New Roman" w:eastAsia="宋体" w:cs="Times New Roman"/>
      <w:sz w:val="18"/>
      <w:szCs w:val="18"/>
    </w:rPr>
  </w:style>
  <w:style w:type="paragraph" w:styleId="972">
    <w:name w:val="寄信人地址"/>
    <w:basedOn w:val="921"/>
    <w:next w:val="972"/>
    <w:link w:val="921"/>
    <w:uiPriority w:val="99"/>
    <w:unhideWhenUsed/>
    <w:qFormat/>
    <w:rPr>
      <w:rFonts w:ascii="Arial" w:hAnsi="Arial"/>
      <w:szCs w:val="20"/>
    </w:rPr>
  </w:style>
  <w:style w:type="paragraph" w:styleId="973">
    <w:name w:val="页眉"/>
    <w:basedOn w:val="921"/>
    <w:next w:val="973"/>
    <w:link w:val="97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4">
    <w:name w:val="页眉 字符"/>
    <w:next w:val="974"/>
    <w:link w:val="973"/>
    <w:rPr>
      <w:rFonts w:ascii="Times New Roman" w:hAnsi="Times New Roman" w:eastAsia="宋体" w:cs="Times New Roman"/>
      <w:sz w:val="18"/>
      <w:szCs w:val="18"/>
    </w:rPr>
  </w:style>
  <w:style w:type="paragraph" w:styleId="975">
    <w:name w:val="目录 1"/>
    <w:basedOn w:val="921"/>
    <w:next w:val="921"/>
    <w:link w:val="92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6">
    <w:name w:val="目录 4"/>
    <w:basedOn w:val="921"/>
    <w:next w:val="921"/>
    <w:link w:val="921"/>
    <w:semiHidden/>
    <w:pPr>
      <w:ind w:left="630"/>
      <w:jc w:val="left"/>
    </w:pPr>
    <w:rPr>
      <w:rFonts w:ascii="Times New Roman" w:hAnsi="Times New Roman" w:eastAsia="宋体" w:cs="Times New Roman"/>
      <w:szCs w:val="21"/>
    </w:rPr>
  </w:style>
  <w:style w:type="paragraph" w:styleId="977">
    <w:name w:val="列表"/>
    <w:basedOn w:val="921"/>
    <w:next w:val="977"/>
    <w:link w:val="921"/>
    <w:pPr>
      <w:ind w:left="200" w:hanging="200"/>
    </w:pPr>
    <w:rPr>
      <w:rFonts w:ascii="Times New Roman" w:hAnsi="Times New Roman" w:eastAsia="宋体" w:cs="Times New Roman"/>
      <w:szCs w:val="21"/>
    </w:rPr>
  </w:style>
  <w:style w:type="paragraph" w:styleId="978">
    <w:name w:val="脚注文本"/>
    <w:basedOn w:val="921"/>
    <w:next w:val="946"/>
    <w:link w:val="921"/>
    <w:qFormat/>
    <w:pPr>
      <w:jc w:val="left"/>
      <w:spacing w:line="312" w:lineRule="atLeast"/>
    </w:pPr>
    <w:rPr>
      <w:sz w:val="18"/>
      <w:szCs w:val="22"/>
    </w:rPr>
  </w:style>
  <w:style w:type="paragraph" w:styleId="979">
    <w:name w:val="目录 6"/>
    <w:basedOn w:val="921"/>
    <w:next w:val="921"/>
    <w:link w:val="921"/>
    <w:semiHidden/>
    <w:pPr>
      <w:ind w:left="1050"/>
      <w:jc w:val="left"/>
    </w:pPr>
    <w:rPr>
      <w:rFonts w:ascii="Times New Roman" w:hAnsi="Times New Roman" w:eastAsia="宋体" w:cs="Times New Roman"/>
      <w:szCs w:val="21"/>
    </w:rPr>
  </w:style>
  <w:style w:type="paragraph" w:styleId="980">
    <w:name w:val="正文文本缩进 3"/>
    <w:basedOn w:val="921"/>
    <w:next w:val="980"/>
    <w:link w:val="981"/>
    <w:pPr>
      <w:ind w:left="645" w:firstLine="645"/>
    </w:pPr>
    <w:rPr>
      <w:rFonts w:ascii="Arial" w:hAnsi="Arial" w:eastAsia="仿宋_GB2312" w:cs="Arial"/>
      <w:color w:val="ffff00"/>
      <w:sz w:val="32"/>
      <w:szCs w:val="32"/>
    </w:rPr>
  </w:style>
  <w:style w:type="character" w:styleId="981">
    <w:name w:val="正文文本缩进 3 字符"/>
    <w:next w:val="981"/>
    <w:link w:val="980"/>
    <w:rPr>
      <w:rFonts w:ascii="Arial" w:hAnsi="Arial" w:eastAsia="仿宋_GB2312" w:cs="Arial"/>
      <w:color w:val="ffff00"/>
      <w:sz w:val="32"/>
      <w:szCs w:val="32"/>
    </w:rPr>
  </w:style>
  <w:style w:type="paragraph" w:styleId="982">
    <w:name w:val="图表目录"/>
    <w:basedOn w:val="983"/>
    <w:next w:val="983"/>
    <w:link w:val="921"/>
    <w:semiHidden/>
    <w:pPr>
      <w:ind w:left="840" w:hanging="420"/>
    </w:pPr>
    <w:rPr>
      <w:rFonts w:ascii="Times New Roman" w:hAnsi="Times New Roman" w:eastAsia="宋体" w:cs="Times New Roman"/>
      <w:szCs w:val="21"/>
    </w:rPr>
  </w:style>
  <w:style w:type="paragraph" w:styleId="983">
    <w:name w:val="Normal_19"/>
    <w:basedOn w:val="984"/>
    <w:next w:val="988"/>
    <w:link w:val="921"/>
    <w:qFormat/>
    <w:pPr>
      <w:jc w:val="both"/>
      <w:widowControl w:val="off"/>
    </w:pPr>
    <w:rPr>
      <w:rFonts w:ascii="Calibri" w:hAnsi="Calibri" w:eastAsia="宋体" w:cs="Times New Roman"/>
      <w:sz w:val="21"/>
      <w:szCs w:val="22"/>
      <w:lang w:val="en-US" w:eastAsia="zh-CN" w:bidi="ar-SA"/>
    </w:rPr>
  </w:style>
  <w:style w:type="paragraph" w:styleId="984">
    <w:name w:val="正文_2"/>
    <w:basedOn w:val="985"/>
    <w:next w:val="986"/>
    <w:link w:val="921"/>
    <w:qFormat/>
    <w:rPr>
      <w:rFonts w:ascii="Calibri" w:hAnsi="Calibri" w:cs="宋体"/>
      <w:szCs w:val="21"/>
    </w:rPr>
  </w:style>
  <w:style w:type="paragraph" w:styleId="985">
    <w:name w:val="正文_16"/>
    <w:next w:val="985"/>
    <w:link w:val="921"/>
    <w:qFormat/>
    <w:pPr>
      <w:jc w:val="both"/>
      <w:widowControl w:val="off"/>
    </w:pPr>
    <w:rPr>
      <w:sz w:val="21"/>
      <w:szCs w:val="22"/>
      <w:lang w:val="en-US" w:eastAsia="zh-CN" w:bidi="ar-SA"/>
    </w:rPr>
  </w:style>
  <w:style w:type="paragraph" w:styleId="986">
    <w:name w:val="正文文本_0"/>
    <w:basedOn w:val="987"/>
    <w:next w:val="984"/>
    <w:link w:val="921"/>
    <w:unhideWhenUsed/>
    <w:qFormat/>
    <w:pPr>
      <w:ind w:left="72" w:right="30"/>
      <w:jc w:val="center"/>
      <w:spacing w:after="60" w:line="360" w:lineRule="atLeast"/>
      <w:widowControl w:val="off"/>
    </w:pPr>
    <w:rPr>
      <w:rFonts w:ascii="Calibri" w:hAnsi="Calibri" w:eastAsia="宋体" w:cs="Times New Roman"/>
      <w:sz w:val="21"/>
      <w:szCs w:val="22"/>
      <w:lang w:val="en-US" w:eastAsia="zh-CN" w:bidi="ar-SA"/>
    </w:rPr>
  </w:style>
  <w:style w:type="paragraph" w:styleId="987">
    <w:name w:val="正文_4_0"/>
    <w:next w:val="987"/>
    <w:link w:val="921"/>
    <w:qFormat/>
    <w:pPr>
      <w:jc w:val="both"/>
      <w:widowControl w:val="off"/>
    </w:pPr>
    <w:rPr>
      <w:rFonts w:ascii="Arial" w:hAnsi="Arial" w:eastAsia="Arial" w:cs="Times New Roman"/>
      <w:sz w:val="21"/>
      <w:szCs w:val="22"/>
      <w:lang w:val="en-US" w:eastAsia="zh-CN" w:bidi="ar-SA"/>
    </w:rPr>
  </w:style>
  <w:style w:type="paragraph" w:styleId="988">
    <w:name w:val="Normal11"/>
    <w:next w:val="989"/>
    <w:link w:val="921"/>
    <w:qFormat/>
    <w:pPr>
      <w:jc w:val="both"/>
      <w:widowControl w:val="off"/>
    </w:pPr>
    <w:rPr>
      <w:rFonts w:ascii="Times New Roman" w:hAnsi="Times New Roman" w:eastAsia="宋体" w:cs="Times New Roman"/>
      <w:szCs w:val="21"/>
      <w:lang w:val="en-US" w:eastAsia="zh-CN" w:bidi="ar-SA"/>
    </w:rPr>
  </w:style>
  <w:style w:type="paragraph" w:styleId="989">
    <w:name w:val="Body Text First Indent1"/>
    <w:basedOn w:val="990"/>
    <w:next w:val="989"/>
    <w:link w:val="921"/>
    <w:uiPriority w:val="99"/>
    <w:unhideWhenUsed/>
    <w:qFormat/>
    <w:pPr>
      <w:ind w:firstLine="420"/>
    </w:pPr>
  </w:style>
  <w:style w:type="paragraph" w:styleId="990">
    <w:name w:val="Body Text1"/>
    <w:basedOn w:val="988"/>
    <w:next w:val="990"/>
    <w:link w:val="921"/>
    <w:uiPriority w:val="99"/>
    <w:unhideWhenUsed/>
    <w:qFormat/>
    <w:pPr>
      <w:spacing w:after="120"/>
    </w:pPr>
  </w:style>
  <w:style w:type="paragraph" w:styleId="991">
    <w:name w:val="目录 2"/>
    <w:basedOn w:val="921"/>
    <w:next w:val="921"/>
    <w:link w:val="921"/>
    <w:semiHidden/>
    <w:pPr>
      <w:ind w:left="210"/>
      <w:jc w:val="left"/>
    </w:pPr>
    <w:rPr>
      <w:rFonts w:ascii="Times New Roman" w:hAnsi="Times New Roman" w:eastAsia="宋体" w:cs="Times New Roman"/>
      <w:smallCaps/>
      <w:szCs w:val="24"/>
    </w:rPr>
  </w:style>
  <w:style w:type="paragraph" w:styleId="992">
    <w:name w:val="目录 9"/>
    <w:basedOn w:val="921"/>
    <w:next w:val="921"/>
    <w:link w:val="921"/>
    <w:semiHidden/>
    <w:pPr>
      <w:ind w:left="1680"/>
      <w:jc w:val="left"/>
    </w:pPr>
    <w:rPr>
      <w:rFonts w:ascii="Times New Roman" w:hAnsi="Times New Roman" w:eastAsia="宋体" w:cs="Times New Roman"/>
      <w:szCs w:val="21"/>
    </w:rPr>
  </w:style>
  <w:style w:type="paragraph" w:styleId="993">
    <w:name w:val="正文文本 2"/>
    <w:basedOn w:val="921"/>
    <w:next w:val="993"/>
    <w:link w:val="994"/>
    <w:pPr>
      <w:jc w:val="center"/>
      <w:widowControl/>
    </w:pPr>
    <w:rPr>
      <w:rFonts w:ascii="楷体_GB2312" w:hAnsi="Times New Roman" w:eastAsia="楷体_GB2312" w:cs="Times New Roman"/>
      <w:sz w:val="28"/>
      <w:szCs w:val="28"/>
    </w:rPr>
  </w:style>
  <w:style w:type="character" w:styleId="994">
    <w:name w:val="正文文本 2 字符"/>
    <w:next w:val="994"/>
    <w:link w:val="993"/>
    <w:rPr>
      <w:rFonts w:ascii="楷体_GB2312" w:hAnsi="Times New Roman" w:eastAsia="楷体_GB2312" w:cs="Times New Roman"/>
      <w:sz w:val="28"/>
      <w:szCs w:val="28"/>
    </w:rPr>
  </w:style>
  <w:style w:type="paragraph" w:styleId="995">
    <w:name w:val="普通(网站)"/>
    <w:basedOn w:val="921"/>
    <w:next w:val="995"/>
    <w:link w:val="921"/>
    <w:uiPriority w:val="99"/>
    <w:pPr>
      <w:jc w:val="left"/>
      <w:spacing w:before="100" w:beforeAutospacing="1" w:after="100" w:afterAutospacing="1"/>
      <w:widowControl/>
    </w:pPr>
    <w:rPr>
      <w:rFonts w:ascii="宋体" w:hAnsi="宋体" w:eastAsia="宋体" w:cs="宋体"/>
      <w:sz w:val="24"/>
      <w:szCs w:val="24"/>
    </w:rPr>
  </w:style>
  <w:style w:type="paragraph" w:styleId="996">
    <w:name w:val="索引 1"/>
    <w:basedOn w:val="921"/>
    <w:next w:val="921"/>
    <w:link w:val="921"/>
    <w:semiHidden/>
    <w:pPr>
      <w:spacing w:line="240" w:lineRule="atLeast"/>
    </w:pPr>
    <w:rPr>
      <w:rFonts w:ascii="Times New Roman" w:hAnsi="Times New Roman" w:eastAsia="宋体" w:cs="Times New Roman"/>
      <w:b/>
      <w:bCs/>
      <w:szCs w:val="21"/>
    </w:rPr>
  </w:style>
  <w:style w:type="paragraph" w:styleId="997">
    <w:name w:val="标题"/>
    <w:basedOn w:val="921"/>
    <w:next w:val="997"/>
    <w:link w:val="921"/>
    <w:uiPriority w:val="10"/>
    <w:qFormat/>
    <w:pPr>
      <w:contextualSpacing/>
      <w:spacing w:before="300" w:after="200"/>
    </w:pPr>
    <w:rPr>
      <w:sz w:val="48"/>
      <w:szCs w:val="48"/>
    </w:rPr>
  </w:style>
  <w:style w:type="paragraph" w:styleId="998">
    <w:name w:val="批注主题"/>
    <w:basedOn w:val="949"/>
    <w:next w:val="949"/>
    <w:link w:val="999"/>
    <w:semiHidden/>
    <w:rPr>
      <w:rFonts w:ascii="Times New Roman" w:hAnsi="Times New Roman" w:eastAsia="宋体" w:cs="Times New Roman"/>
      <w:b/>
      <w:bCs/>
      <w:szCs w:val="21"/>
    </w:rPr>
  </w:style>
  <w:style w:type="character" w:styleId="999">
    <w:name w:val="批注主题 字符"/>
    <w:next w:val="999"/>
    <w:link w:val="998"/>
    <w:semiHidden/>
    <w:rPr>
      <w:rFonts w:ascii="Times New Roman" w:hAnsi="Times New Roman" w:eastAsia="宋体" w:cs="Times New Roman"/>
      <w:b/>
      <w:bCs/>
      <w:szCs w:val="21"/>
    </w:rPr>
  </w:style>
  <w:style w:type="paragraph" w:styleId="1000">
    <w:name w:val="正文首行缩进"/>
    <w:basedOn w:val="953"/>
    <w:next w:val="1000"/>
    <w:link w:val="1001"/>
    <w:pPr>
      <w:ind w:firstLine="200"/>
      <w:spacing w:line="360" w:lineRule="auto"/>
    </w:pPr>
    <w:rPr>
      <w:rFonts w:ascii="仿宋_GB2312" w:hAnsi="Times New Roman" w:eastAsia="仿宋_GB2312" w:cs="Times New Roman"/>
      <w:sz w:val="30"/>
      <w:szCs w:val="30"/>
    </w:rPr>
  </w:style>
  <w:style w:type="character" w:styleId="1001">
    <w:name w:val="正文文本首行缩进 字符"/>
    <w:next w:val="1001"/>
    <w:link w:val="1000"/>
    <w:rPr>
      <w:rFonts w:ascii="仿宋_GB2312" w:hAnsi="Times New Roman" w:eastAsia="仿宋_GB2312" w:cs="Times New Roman"/>
      <w:sz w:val="30"/>
      <w:szCs w:val="30"/>
    </w:rPr>
  </w:style>
  <w:style w:type="paragraph" w:styleId="1002">
    <w:name w:val="正文首行缩进 2"/>
    <w:basedOn w:val="955"/>
    <w:next w:val="1002"/>
    <w:link w:val="1003"/>
    <w:pPr>
      <w:ind w:left="0" w:firstLine="420"/>
      <w:spacing w:after="0" w:line="360" w:lineRule="auto"/>
    </w:pPr>
    <w:rPr>
      <w:rFonts w:ascii="宋体" w:hAnsi="宋体" w:eastAsia="宋体" w:cs="Times New Roman"/>
      <w:szCs w:val="20"/>
    </w:rPr>
  </w:style>
  <w:style w:type="character" w:styleId="1003">
    <w:name w:val="正文文本首行缩进 2 字符"/>
    <w:next w:val="1003"/>
    <w:link w:val="1002"/>
    <w:rPr>
      <w:rFonts w:ascii="宋体" w:hAnsi="宋体" w:eastAsia="宋体" w:cs="Times New Roman"/>
      <w:szCs w:val="20"/>
    </w:rPr>
  </w:style>
  <w:style w:type="table" w:styleId="1004">
    <w:name w:val="网格型"/>
    <w:basedOn w:val="932"/>
    <w:next w:val="1004"/>
    <w:link w:val="921"/>
    <w:pPr>
      <w:jc w:val="both"/>
      <w:widowControl w:val="off"/>
    </w:pPr>
    <w:rPr>
      <w:rFonts w:ascii="Times New Roman" w:hAnsi="Times New Roman" w:eastAsia="宋体" w:cs="Times New Roman"/>
      <w:sz w:val="20"/>
      <w:szCs w:val="20"/>
    </w:rPr>
    <w:tblPr/>
  </w:style>
  <w:style w:type="character" w:styleId="1005">
    <w:name w:val="要点"/>
    <w:next w:val="1005"/>
    <w:link w:val="921"/>
    <w:qFormat/>
    <w:rPr>
      <w:b/>
      <w:bCs/>
    </w:rPr>
  </w:style>
  <w:style w:type="character" w:styleId="1006">
    <w:name w:val="页码"/>
    <w:next w:val="1006"/>
    <w:link w:val="921"/>
  </w:style>
  <w:style w:type="character" w:styleId="1007">
    <w:name w:val="已访问的超链接"/>
    <w:next w:val="1007"/>
    <w:link w:val="921"/>
    <w:rPr>
      <w:color w:val="800080"/>
      <w:u w:val="single"/>
    </w:rPr>
  </w:style>
  <w:style w:type="character" w:styleId="1008">
    <w:name w:val="超链接"/>
    <w:next w:val="1008"/>
    <w:link w:val="921"/>
    <w:rPr>
      <w:color w:val="0000ff"/>
      <w:u w:val="single"/>
    </w:rPr>
  </w:style>
  <w:style w:type="character" w:styleId="1009">
    <w:name w:val="批注引用"/>
    <w:next w:val="1009"/>
    <w:link w:val="921"/>
    <w:semiHidden/>
    <w:rPr>
      <w:sz w:val="21"/>
      <w:szCs w:val="21"/>
    </w:rPr>
  </w:style>
  <w:style w:type="paragraph" w:styleId="1010">
    <w:name w:val="正文文本 21"/>
    <w:basedOn w:val="921"/>
    <w:next w:val="1010"/>
    <w:link w:val="921"/>
    <w:qFormat/>
    <w:pPr>
      <w:jc w:val="center"/>
      <w:widowControl/>
    </w:pPr>
    <w:rPr>
      <w:rFonts w:ascii="楷体_GB2312" w:eastAsia="楷体_GB2312"/>
      <w:sz w:val="28"/>
      <w:szCs w:val="28"/>
    </w:rPr>
  </w:style>
  <w:style w:type="character" w:styleId="1011">
    <w:name w:val="默认段落字体1"/>
    <w:next w:val="1011"/>
    <w:link w:val="921"/>
    <w:uiPriority w:val="1"/>
    <w:unhideWhenUsed/>
    <w:qFormat/>
    <w:rPr>
      <w:sz w:val="21"/>
      <w:szCs w:val="22"/>
      <w:lang w:val="en-US" w:eastAsia="zh-CN" w:bidi="ar-SA"/>
    </w:rPr>
  </w:style>
  <w:style w:type="paragraph" w:styleId="1012">
    <w:name w:val="标题 211"/>
    <w:basedOn w:val="921"/>
    <w:next w:val="921"/>
    <w:link w:val="921"/>
    <w:qFormat/>
    <w:pPr>
      <w:jc w:val="center"/>
      <w:keepLines/>
      <w:keepNext/>
      <w:spacing w:before="260" w:after="260" w:line="416" w:lineRule="auto"/>
      <w:outlineLvl w:val="1"/>
    </w:pPr>
    <w:rPr>
      <w:rFonts w:ascii="Arial" w:hAnsi="Arial" w:eastAsia="幼圆" w:cs="Arial"/>
      <w:b/>
      <w:bCs/>
      <w:sz w:val="44"/>
      <w:szCs w:val="44"/>
    </w:rPr>
  </w:style>
  <w:style w:type="character" w:styleId="1013">
    <w:name w:val="页码1"/>
    <w:next w:val="1013"/>
    <w:link w:val="921"/>
    <w:qFormat/>
    <w:rPr>
      <w:sz w:val="21"/>
      <w:szCs w:val="22"/>
      <w:lang w:val="en-US" w:eastAsia="zh-CN" w:bidi="ar-SA"/>
    </w:rPr>
  </w:style>
  <w:style w:type="character" w:styleId="1014">
    <w:name w:val="font5 Char"/>
    <w:next w:val="1014"/>
    <w:link w:val="921"/>
    <w:rPr>
      <w:rFonts w:ascii="宋体" w:hAnsi="宋体" w:eastAsia="宋体"/>
      <w:sz w:val="28"/>
      <w:szCs w:val="28"/>
      <w:lang w:val="en-US" w:eastAsia="zh-CN" w:bidi="ar-SA"/>
    </w:rPr>
  </w:style>
  <w:style w:type="character" w:styleId="1015">
    <w:name w:val="二级目录 Char"/>
    <w:next w:val="1015"/>
    <w:link w:val="1016"/>
    <w:rPr>
      <w:b/>
      <w:sz w:val="30"/>
      <w:szCs w:val="28"/>
    </w:rPr>
  </w:style>
  <w:style w:type="paragraph" w:styleId="1016">
    <w:name w:val="二级目录"/>
    <w:next w:val="921"/>
    <w:link w:val="1015"/>
    <w:pPr>
      <w:numPr>
        <w:ilvl w:val="0"/>
        <w:numId w:val="2"/>
      </w:numPr>
      <w:tabs>
        <w:tab w:val="left" w:pos="907" w:leader="none"/>
        <w:tab w:val="left" w:pos="1145" w:leader="none"/>
      </w:tabs>
      <w:outlineLvl w:val="1"/>
    </w:pPr>
    <w:rPr>
      <w:b/>
      <w:sz w:val="30"/>
      <w:szCs w:val="28"/>
      <w:lang w:val="en-US" w:eastAsia="zh-CN" w:bidi="ar-SA"/>
    </w:rPr>
  </w:style>
  <w:style w:type="character" w:styleId="1017">
    <w:name w:val="列出段落 Char,Bullet List Char,numbered Char,FooterText Char,List Paragraph1 Char,Paragraphe de liste1 Char"/>
    <w:next w:val="1017"/>
    <w:link w:val="1018"/>
    <w:rPr>
      <w:rFonts w:ascii="Calibri" w:hAnsi="Calibri"/>
      <w:sz w:val="24"/>
      <w:szCs w:val="24"/>
      <w:lang w:eastAsia="en-US" w:bidi="en-US"/>
    </w:rPr>
  </w:style>
  <w:style w:type="paragraph" w:styleId="1018">
    <w:name w:val="列出段落1"/>
    <w:basedOn w:val="921"/>
    <w:next w:val="1018"/>
    <w:link w:val="1017"/>
    <w:qFormat/>
    <w:pPr>
      <w:contextualSpacing/>
      <w:ind w:left="720"/>
      <w:jc w:val="left"/>
      <w:widowControl/>
    </w:pPr>
    <w:rPr>
      <w:rFonts w:ascii="Calibri" w:hAnsi="Calibri"/>
      <w:sz w:val="24"/>
      <w:szCs w:val="24"/>
      <w:lang w:eastAsia="en-US" w:bidi="en-US"/>
    </w:rPr>
  </w:style>
  <w:style w:type="paragraph" w:styleId="1019">
    <w:name w:val="Body Text(ch)"/>
    <w:basedOn w:val="921"/>
    <w:next w:val="953"/>
    <w:link w:val="921"/>
    <w:pPr>
      <w:spacing w:after="120"/>
    </w:pPr>
    <w:rPr>
      <w:rFonts w:ascii="宋体" w:hAnsi="Arial" w:eastAsia="宋体" w:cs="Times New Roman"/>
      <w:bCs/>
      <w:iCs/>
      <w:szCs w:val="24"/>
    </w:rPr>
  </w:style>
  <w:style w:type="paragraph" w:styleId="1020">
    <w:name w:val="xl27"/>
    <w:basedOn w:val="921"/>
    <w:next w:val="1020"/>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1">
    <w:name w:val="xl26"/>
    <w:basedOn w:val="921"/>
    <w:next w:val="1021"/>
    <w:link w:val="9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2">
    <w:name w:val="Char"/>
    <w:basedOn w:val="921"/>
    <w:next w:val="1022"/>
    <w:link w:val="921"/>
    <w:pPr>
      <w:ind w:firstLine="200"/>
      <w:tabs>
        <w:tab w:val="left" w:pos="360" w:leader="none"/>
      </w:tabs>
    </w:pPr>
    <w:rPr>
      <w:rFonts w:ascii="Times New Roman" w:hAnsi="Times New Roman" w:eastAsia="宋体" w:cs="Times New Roman"/>
      <w:sz w:val="28"/>
      <w:szCs w:val="30"/>
    </w:rPr>
  </w:style>
  <w:style w:type="paragraph" w:styleId="1023">
    <w:name w:val=" Char"/>
    <w:basedOn w:val="947"/>
    <w:next w:val="1023"/>
    <w:link w:val="921"/>
    <w:rPr>
      <w:rFonts w:ascii="Tahoma" w:hAnsi="Tahoma"/>
      <w:sz w:val="24"/>
      <w:szCs w:val="24"/>
    </w:rPr>
  </w:style>
  <w:style w:type="paragraph" w:styleId="1024">
    <w:name w:val="普通正文"/>
    <w:basedOn w:val="921"/>
    <w:next w:val="1024"/>
    <w:link w:val="921"/>
    <w:pPr>
      <w:ind w:firstLine="480"/>
      <w:jc w:val="left"/>
      <w:spacing w:before="120" w:after="120" w:line="360" w:lineRule="auto"/>
    </w:pPr>
    <w:rPr>
      <w:rFonts w:ascii="Arial" w:hAnsi="Arial" w:eastAsia="宋体" w:cs="Times New Roman"/>
      <w:sz w:val="24"/>
      <w:szCs w:val="24"/>
    </w:rPr>
  </w:style>
  <w:style w:type="paragraph" w:styleId="1025">
    <w:name w:val="table_lines"/>
    <w:basedOn w:val="921"/>
    <w:next w:val="1025"/>
    <w:link w:val="921"/>
    <w:pPr>
      <w:jc w:val="left"/>
      <w:widowControl/>
    </w:pPr>
    <w:rPr>
      <w:rFonts w:ascii="Times New Roman" w:hAnsi="Times New Roman" w:eastAsia="宋体" w:cs="Times New Roman"/>
      <w:sz w:val="20"/>
      <w:szCs w:val="20"/>
      <w:lang w:val="de-DE" w:eastAsia="de-DE"/>
    </w:rPr>
  </w:style>
  <w:style w:type="paragraph" w:styleId="1026">
    <w:name w:val="附录1"/>
    <w:next w:val="1026"/>
    <w:link w:val="921"/>
    <w:pPr>
      <w:numPr>
        <w:ilvl w:val="0"/>
        <w:numId w:val="2"/>
      </w:numPr>
      <w:spacing w:before="240" w:line="600" w:lineRule="atLeast"/>
      <w:tabs>
        <w:tab w:val="left" w:pos="907" w:leader="none"/>
      </w:tabs>
    </w:pPr>
    <w:rPr>
      <w:b/>
      <w:i/>
      <w:sz w:val="28"/>
      <w:lang w:val="en-US" w:eastAsia="zh-CN" w:bidi="ar-SA"/>
    </w:rPr>
  </w:style>
  <w:style w:type="paragraph" w:styleId="1027">
    <w:name w:val="font7"/>
    <w:basedOn w:val="921"/>
    <w:next w:val="1027"/>
    <w:link w:val="921"/>
    <w:pPr>
      <w:jc w:val="left"/>
      <w:spacing w:before="100" w:beforeAutospacing="1" w:after="100" w:afterAutospacing="1"/>
      <w:widowControl/>
    </w:pPr>
    <w:rPr>
      <w:rFonts w:hint="eastAsia" w:ascii="宋体" w:hAnsi="宋体" w:eastAsia="宋体" w:cs="Times New Roman"/>
      <w:sz w:val="18"/>
      <w:szCs w:val="18"/>
    </w:rPr>
  </w:style>
  <w:style w:type="paragraph" w:styleId="1028">
    <w:name w:val=" Char Char Char Char"/>
    <w:basedOn w:val="947"/>
    <w:next w:val="1028"/>
    <w:link w:val="921"/>
    <w:pPr>
      <w:spacing w:line="360" w:lineRule="auto"/>
    </w:pPr>
    <w:rPr>
      <w:rFonts w:ascii="Tahoma" w:hAnsi="Tahoma"/>
      <w:sz w:val="24"/>
      <w:szCs w:val="24"/>
    </w:rPr>
  </w:style>
  <w:style w:type="paragraph" w:styleId="1029">
    <w:name w:val="列表段落"/>
    <w:basedOn w:val="921"/>
    <w:next w:val="1029"/>
    <w:link w:val="921"/>
    <w:qFormat/>
    <w:pPr>
      <w:contextualSpacing/>
      <w:ind w:left="720"/>
      <w:jc w:val="left"/>
      <w:widowControl/>
    </w:pPr>
    <w:rPr>
      <w:rFonts w:ascii="Calibri" w:hAnsi="Calibri" w:eastAsia="宋体" w:cs="Times New Roman"/>
      <w:sz w:val="24"/>
      <w:szCs w:val="24"/>
      <w:lang w:eastAsia="en-US" w:bidi="en-US"/>
    </w:rPr>
  </w:style>
  <w:style w:type="paragraph" w:styleId="1030">
    <w:name w:val="4"/>
    <w:basedOn w:val="921"/>
    <w:next w:val="980"/>
    <w:link w:val="921"/>
    <w:pPr>
      <w:ind w:firstLine="420"/>
      <w:spacing w:line="360" w:lineRule="auto"/>
    </w:pPr>
    <w:rPr>
      <w:rFonts w:ascii="Times New Roman" w:hAnsi="Times New Roman" w:eastAsia="宋体" w:cs="Times New Roman"/>
      <w:color w:val="ff0000"/>
      <w:sz w:val="24"/>
      <w:szCs w:val="24"/>
    </w:rPr>
  </w:style>
  <w:style w:type="paragraph" w:styleId="1031">
    <w:name w:val="普通 (Web)"/>
    <w:basedOn w:val="921"/>
    <w:next w:val="1031"/>
    <w:link w:val="921"/>
    <w:pPr>
      <w:jc w:val="left"/>
      <w:spacing w:before="100" w:beforeAutospacing="1" w:after="100" w:afterAutospacing="1"/>
      <w:widowControl/>
    </w:pPr>
    <w:rPr>
      <w:rFonts w:ascii="宋体" w:hAnsi="宋体" w:eastAsia="宋体" w:cs="Times New Roman"/>
      <w:sz w:val="24"/>
      <w:szCs w:val="24"/>
    </w:rPr>
  </w:style>
  <w:style w:type="paragraph" w:styleId="1032">
    <w:name w:val=" Char Char Char Char Char Char Char Char Char Char"/>
    <w:basedOn w:val="921"/>
    <w:next w:val="1032"/>
    <w:link w:val="921"/>
    <w:pPr>
      <w:spacing w:line="360" w:lineRule="auto"/>
    </w:pPr>
    <w:rPr>
      <w:rFonts w:ascii="Times New Roman" w:hAnsi="Times New Roman" w:eastAsia="宋体" w:cs="Times New Roman"/>
      <w:sz w:val="24"/>
      <w:szCs w:val="20"/>
    </w:rPr>
  </w:style>
  <w:style w:type="paragraph" w:styleId="1033">
    <w:name w:val="样式1"/>
    <w:basedOn w:val="921"/>
    <w:next w:val="1033"/>
    <w:link w:val="921"/>
    <w:pPr>
      <w:numPr>
        <w:ilvl w:val="0"/>
        <w:numId w:val="3"/>
      </w:numPr>
      <w:tabs>
        <w:tab w:val="left" w:pos="709" w:leader="none"/>
      </w:tabs>
    </w:pPr>
    <w:rPr>
      <w:rFonts w:ascii="宋体" w:hAnsi="宋体" w:eastAsia="宋体" w:cs="Times New Roman"/>
      <w:szCs w:val="21"/>
    </w:rPr>
  </w:style>
  <w:style w:type="paragraph" w:styleId="1034">
    <w:name w:val="font6"/>
    <w:basedOn w:val="921"/>
    <w:next w:val="1034"/>
    <w:link w:val="921"/>
    <w:pPr>
      <w:jc w:val="left"/>
      <w:spacing w:before="100" w:beforeAutospacing="1" w:after="100" w:afterAutospacing="1"/>
      <w:widowControl/>
    </w:pPr>
    <w:rPr>
      <w:rFonts w:hint="eastAsia" w:ascii="宋体" w:hAnsi="宋体" w:eastAsia="宋体" w:cs="Times New Roman"/>
      <w:sz w:val="28"/>
      <w:szCs w:val="28"/>
      <w:u w:val="single"/>
    </w:rPr>
  </w:style>
  <w:style w:type="paragraph" w:styleId="1035">
    <w:name w:val="xl25"/>
    <w:basedOn w:val="921"/>
    <w:next w:val="1035"/>
    <w:link w:val="9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6">
    <w:name w:val="图标"/>
    <w:basedOn w:val="921"/>
    <w:next w:val="921"/>
    <w:link w:val="92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7">
    <w:name w:val="标题3"/>
    <w:basedOn w:val="921"/>
    <w:next w:val="921"/>
    <w:link w:val="921"/>
    <w:pPr>
      <w:ind w:firstLine="624"/>
      <w:spacing w:line="590" w:lineRule="atLeast"/>
    </w:pPr>
    <w:rPr>
      <w:rFonts w:ascii="方正黑体_GBK" w:hAnsi="Times New Roman" w:eastAsia="方正黑体_GBK" w:cs="Times New Roman"/>
      <w:sz w:val="32"/>
      <w:szCs w:val="32"/>
    </w:rPr>
  </w:style>
  <w:style w:type="paragraph" w:styleId="1038">
    <w:name w:val="xl24"/>
    <w:basedOn w:val="921"/>
    <w:next w:val="1038"/>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9">
    <w:name w:val="xl29"/>
    <w:basedOn w:val="921"/>
    <w:next w:val="1039"/>
    <w:link w:val="92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0">
    <w:name w:val="Char Char Char Char Char Char Char Char"/>
    <w:basedOn w:val="921"/>
    <w:next w:val="1040"/>
    <w:link w:val="921"/>
    <w:pPr>
      <w:jc w:val="left"/>
      <w:spacing w:after="160" w:line="240" w:lineRule="exact"/>
      <w:widowControl/>
    </w:pPr>
    <w:rPr>
      <w:rFonts w:ascii="Verdana" w:hAnsi="Verdana" w:eastAsia="宋体" w:cs="Times New Roman"/>
      <w:sz w:val="20"/>
      <w:szCs w:val="20"/>
      <w:lang w:eastAsia="en-US"/>
    </w:rPr>
  </w:style>
  <w:style w:type="paragraph" w:styleId="1041">
    <w:name w:val="xl28"/>
    <w:basedOn w:val="921"/>
    <w:next w:val="1041"/>
    <w:link w:val="9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2">
    <w:name w:val=" Char Char Char Char Char Char Char Char"/>
    <w:basedOn w:val="921"/>
    <w:next w:val="1042"/>
    <w:link w:val="921"/>
    <w:pPr>
      <w:jc w:val="left"/>
      <w:spacing w:after="160" w:line="240" w:lineRule="exact"/>
      <w:widowControl/>
    </w:pPr>
    <w:rPr>
      <w:rFonts w:ascii="Verdana" w:hAnsi="Verdana" w:eastAsia="宋体" w:cs="Times New Roman"/>
      <w:sz w:val="20"/>
      <w:szCs w:val="20"/>
      <w:lang w:eastAsia="en-US"/>
    </w:rPr>
  </w:style>
  <w:style w:type="paragraph" w:styleId="1043">
    <w:name w:val="xl30"/>
    <w:basedOn w:val="921"/>
    <w:next w:val="1043"/>
    <w:link w:val="921"/>
    <w:pPr>
      <w:jc w:val="center"/>
      <w:spacing w:before="100" w:beforeAutospacing="1" w:after="100" w:afterAutospacing="1"/>
      <w:widowControl/>
    </w:pPr>
    <w:rPr>
      <w:rFonts w:ascii="宋体" w:hAnsi="宋体" w:eastAsia="宋体" w:cs="Times New Roman"/>
      <w:b/>
      <w:bCs/>
      <w:sz w:val="36"/>
      <w:szCs w:val="36"/>
    </w:rPr>
  </w:style>
  <w:style w:type="paragraph" w:styleId="1044">
    <w:name w:val="Char Char Char Char"/>
    <w:basedOn w:val="947"/>
    <w:next w:val="1044"/>
    <w:link w:val="921"/>
    <w:pPr>
      <w:spacing w:line="360" w:lineRule="auto"/>
    </w:pPr>
    <w:rPr>
      <w:rFonts w:ascii="Tahoma" w:hAnsi="Tahoma"/>
      <w:sz w:val="24"/>
      <w:szCs w:val="24"/>
    </w:rPr>
  </w:style>
  <w:style w:type="paragraph" w:styleId="1045">
    <w:name w:val="table_1stline"/>
    <w:basedOn w:val="921"/>
    <w:next w:val="1045"/>
    <w:link w:val="921"/>
    <w:pPr>
      <w:jc w:val="left"/>
      <w:spacing w:before="120"/>
      <w:widowControl/>
    </w:pPr>
    <w:rPr>
      <w:rFonts w:ascii="Times New Roman" w:hAnsi="Times New Roman" w:eastAsia="宋体" w:cs="Times New Roman"/>
      <w:bCs/>
      <w:sz w:val="20"/>
      <w:szCs w:val="20"/>
      <w:lang w:val="de-DE" w:eastAsia="de-DE"/>
    </w:rPr>
  </w:style>
  <w:style w:type="paragraph" w:styleId="1046">
    <w:name w:val="font5"/>
    <w:basedOn w:val="921"/>
    <w:next w:val="1046"/>
    <w:link w:val="921"/>
    <w:pPr>
      <w:jc w:val="left"/>
      <w:spacing w:before="100" w:beforeAutospacing="1" w:after="100" w:afterAutospacing="1"/>
      <w:widowControl/>
    </w:pPr>
    <w:rPr>
      <w:rFonts w:hint="eastAsia" w:ascii="宋体" w:hAnsi="宋体" w:eastAsia="宋体" w:cs="Times New Roman"/>
      <w:sz w:val="28"/>
      <w:szCs w:val="28"/>
    </w:rPr>
  </w:style>
  <w:style w:type="paragraph" w:styleId="1047">
    <w:name w:val="标题1"/>
    <w:basedOn w:val="921"/>
    <w:next w:val="921"/>
    <w:link w:val="92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8">
    <w:name w:val="修订"/>
    <w:next w:val="1048"/>
    <w:link w:val="921"/>
    <w:uiPriority w:val="99"/>
    <w:semiHidden/>
    <w:rPr>
      <w:sz w:val="21"/>
      <w:szCs w:val="21"/>
      <w:lang w:val="en-US" w:eastAsia="zh-CN" w:bidi="ar-SA"/>
    </w:rPr>
  </w:style>
  <w:style w:type="paragraph" w:styleId="1049">
    <w:name w:val="无间隔"/>
    <w:next w:val="1049"/>
    <w:link w:val="921"/>
    <w:uiPriority w:val="99"/>
    <w:qFormat/>
    <w:pPr>
      <w:jc w:val="both"/>
      <w:widowControl w:val="off"/>
    </w:pPr>
    <w:rPr>
      <w:sz w:val="21"/>
      <w:szCs w:val="21"/>
      <w:lang w:val="en-US" w:eastAsia="zh-CN" w:bidi="ar-SA"/>
    </w:rPr>
  </w:style>
  <w:style w:type="paragraph" w:styleId="1050">
    <w:name w:val="标题 21"/>
    <w:basedOn w:val="921"/>
    <w:next w:val="921"/>
    <w:link w:val="1051"/>
    <w:qFormat/>
    <w:pPr>
      <w:keepLines/>
      <w:keepNext/>
      <w:spacing w:before="260" w:after="260" w:line="413" w:lineRule="auto"/>
      <w:outlineLvl w:val="1"/>
    </w:pPr>
    <w:rPr>
      <w:rFonts w:ascii="Arial" w:hAnsi="Arial" w:eastAsia="黑体"/>
      <w:b/>
      <w:sz w:val="32"/>
      <w:szCs w:val="20"/>
    </w:rPr>
  </w:style>
  <w:style w:type="character" w:styleId="1051">
    <w:name w:val="标题 2 字符"/>
    <w:next w:val="1051"/>
    <w:link w:val="1050"/>
    <w:qFormat/>
    <w:rPr>
      <w:rFonts w:ascii="Arial" w:hAnsi="Arial" w:eastAsia="黑体"/>
      <w:b/>
      <w:sz w:val="32"/>
    </w:rPr>
  </w:style>
  <w:style w:type="paragraph" w:styleId="1052">
    <w:name w:val="批注文字1"/>
    <w:basedOn w:val="921"/>
    <w:next w:val="1052"/>
    <w:link w:val="1053"/>
    <w:uiPriority w:val="99"/>
    <w:qFormat/>
    <w:pPr>
      <w:jc w:val="left"/>
    </w:pPr>
    <w:rPr>
      <w:szCs w:val="20"/>
    </w:rPr>
  </w:style>
  <w:style w:type="character" w:styleId="1053">
    <w:name w:val="批注文字 字符"/>
    <w:next w:val="1053"/>
    <w:link w:val="1052"/>
    <w:uiPriority w:val="99"/>
    <w:qFormat/>
    <w:rPr>
      <w:sz w:val="21"/>
    </w:rPr>
  </w:style>
  <w:style w:type="paragraph" w:styleId="1054">
    <w:name w:val="Normal_0_1"/>
    <w:next w:val="1055"/>
    <w:link w:val="921"/>
    <w:qFormat/>
    <w:rPr>
      <w:rFonts w:ascii="黑体" w:hAnsi="黑体" w:eastAsia="黑体"/>
      <w:b/>
      <w:sz w:val="32"/>
      <w:szCs w:val="24"/>
      <w:lang w:val="en-US" w:eastAsia="zh-CN" w:bidi="ar-SA"/>
    </w:rPr>
  </w:style>
  <w:style w:type="paragraph" w:styleId="1055">
    <w:name w:val="Body Text First Indent_0"/>
    <w:basedOn w:val="1056"/>
    <w:next w:val="1055"/>
    <w:link w:val="921"/>
    <w:uiPriority w:val="99"/>
    <w:unhideWhenUsed/>
    <w:qFormat/>
    <w:pPr>
      <w:ind w:firstLine="420"/>
      <w:spacing w:after="120"/>
    </w:pPr>
    <w:rPr>
      <w:rFonts w:eastAsia="Times New Roman"/>
    </w:rPr>
  </w:style>
  <w:style w:type="paragraph" w:styleId="1056">
    <w:name w:val="正文3"/>
    <w:next w:val="1057"/>
    <w:link w:val="921"/>
    <w:qFormat/>
    <w:rPr>
      <w:rFonts w:ascii="Times New Roman" w:hAnsi="Times New Roman" w:eastAsia="Times New Roman" w:cs="Times New Roman"/>
      <w:sz w:val="24"/>
      <w:szCs w:val="24"/>
      <w:lang w:val="en-US" w:eastAsia="zh-CN" w:bidi="ar-SA"/>
    </w:rPr>
  </w:style>
  <w:style w:type="paragraph" w:styleId="1057">
    <w:name w:val="正文首行缩进3"/>
    <w:basedOn w:val="1058"/>
    <w:next w:val="1057"/>
    <w:link w:val="921"/>
    <w:uiPriority w:val="99"/>
    <w:unhideWhenUsed/>
    <w:qFormat/>
    <w:pPr>
      <w:ind w:firstLine="420"/>
      <w:spacing w:after="120"/>
    </w:pPr>
    <w:rPr>
      <w:sz w:val="20"/>
    </w:rPr>
  </w:style>
  <w:style w:type="paragraph" w:styleId="1058">
    <w:name w:val="正文1"/>
    <w:next w:val="1059"/>
    <w:link w:val="921"/>
    <w:qFormat/>
    <w:rPr>
      <w:rFonts w:ascii="Times New Roman" w:hAnsi="Times New Roman" w:eastAsia="Times New Roman" w:cs="Times New Roman"/>
      <w:sz w:val="24"/>
      <w:szCs w:val="24"/>
      <w:lang w:val="en-US" w:eastAsia="zh-CN" w:bidi="ar-SA"/>
    </w:rPr>
  </w:style>
  <w:style w:type="paragraph" w:styleId="1059">
    <w:name w:val="脚注文本1"/>
    <w:basedOn w:val="1058"/>
    <w:next w:val="1060"/>
    <w:link w:val="921"/>
    <w:qFormat/>
    <w:pPr>
      <w:jc w:val="left"/>
    </w:pPr>
    <w:rPr>
      <w:rFonts w:ascii="宋体" w:eastAsia="Times New Roman"/>
      <w:sz w:val="18"/>
      <w:szCs w:val="18"/>
    </w:rPr>
  </w:style>
  <w:style w:type="paragraph" w:styleId="1060">
    <w:name w:val="索引 51"/>
    <w:basedOn w:val="1058"/>
    <w:next w:val="1058"/>
    <w:link w:val="921"/>
    <w:qFormat/>
    <w:pPr>
      <w:ind w:left="798"/>
      <w:jc w:val="left"/>
    </w:pPr>
    <w:rPr>
      <w:rFonts w:ascii="Calibri" w:hAnsi="Calibri"/>
    </w:rPr>
  </w:style>
  <w:style w:type="paragraph" w:styleId="1061">
    <w:name w:val="Normal_1_1"/>
    <w:next w:val="1061"/>
    <w:link w:val="921"/>
    <w:qFormat/>
    <w:pPr>
      <w:jc w:val="both"/>
      <w:widowControl w:val="off"/>
    </w:pPr>
    <w:rPr>
      <w:sz w:val="21"/>
      <w:szCs w:val="22"/>
      <w:lang w:val="en-US" w:eastAsia="zh-CN" w:bidi="ar-SA"/>
    </w:rPr>
  </w:style>
  <w:style w:type="paragraph" w:styleId="1062">
    <w:name w:val="正文空2字"/>
    <w:basedOn w:val="1063"/>
    <w:next w:val="1062"/>
    <w:link w:val="921"/>
    <w:uiPriority w:val="99"/>
    <w:qFormat/>
    <w:pPr>
      <w:ind w:firstLine="640"/>
      <w:jc w:val="left"/>
      <w:spacing w:line="560" w:lineRule="exact"/>
    </w:pPr>
    <w:rPr>
      <w:rFonts w:ascii="仿宋_GB2312" w:hAnsi="仿宋_GB2312" w:eastAsia="仿宋_GB2312" w:cs="仿宋_GB2312"/>
      <w:sz w:val="32"/>
      <w:szCs w:val="32"/>
      <w:lang w:val="zh-TW"/>
    </w:rPr>
  </w:style>
  <w:style w:type="paragraph" w:styleId="1063">
    <w:name w:val="左对齐正文"/>
    <w:next w:val="1063"/>
    <w:link w:val="921"/>
    <w:uiPriority w:val="99"/>
    <w:qFormat/>
    <w:rPr>
      <w:rFonts w:ascii="Calibri" w:hAnsi="Calibri" w:eastAsia="仿宋_GB2312" w:cs="Calibri"/>
      <w:sz w:val="32"/>
      <w:szCs w:val="32"/>
      <w:lang w:val="en-US" w:eastAsia="zh-CN" w:bidi="ar-SA"/>
    </w:rPr>
  </w:style>
  <w:style w:type="character" w:styleId="1064">
    <w:name w:val="标题 4 字符"/>
    <w:next w:val="1064"/>
    <w:link w:val="921"/>
    <w:rPr>
      <w:rFonts w:ascii="Arial" w:hAnsi="Arial" w:eastAsia="黑体" w:cs="Arial"/>
      <w:b/>
      <w:bCs/>
      <w:sz w:val="28"/>
      <w:szCs w:val="28"/>
    </w:rPr>
  </w:style>
  <w:style w:type="paragraph" w:styleId="1065">
    <w:name w:val="Normal_20"/>
    <w:next w:val="1065"/>
    <w:link w:val="921"/>
    <w:qFormat/>
    <w:rPr>
      <w:rFonts w:ascii="黑体" w:hAnsi="黑体" w:eastAsia="黑体" w:cs="黑体"/>
      <w:b/>
      <w:sz w:val="32"/>
      <w:szCs w:val="24"/>
      <w:lang w:val="en-US" w:eastAsia="zh-CN" w:bidi="ar-SA"/>
    </w:rPr>
  </w:style>
  <w:style w:type="paragraph" w:styleId="1066">
    <w:name w:val="正文_15_0"/>
    <w:next w:val="1066"/>
    <w:link w:val="921"/>
    <w:qFormat/>
    <w:pPr>
      <w:jc w:val="both"/>
      <w:widowControl w:val="off"/>
    </w:pPr>
    <w:rPr>
      <w:rFonts w:ascii="Calibri" w:hAnsi="Calibri"/>
      <w:sz w:val="21"/>
      <w:szCs w:val="22"/>
      <w:lang w:val="en-US" w:eastAsia="zh-CN" w:bidi="ar-SA"/>
    </w:rPr>
  </w:style>
  <w:style w:type="paragraph" w:styleId="1067">
    <w:name w:val="Normal_18_0"/>
    <w:next w:val="1067"/>
    <w:link w:val="921"/>
    <w:qFormat/>
    <w:rPr>
      <w:rFonts w:ascii="黑体" w:hAnsi="黑体" w:eastAsia="黑体" w:cs="黑体"/>
      <w:b/>
      <w:sz w:val="32"/>
      <w:szCs w:val="24"/>
      <w:lang w:val="en-US" w:eastAsia="zh-CN" w:bidi="ar-SA"/>
    </w:rPr>
  </w:style>
  <w:style w:type="paragraph" w:styleId="1068">
    <w:name w:val="正文_12_0_0_0_0"/>
    <w:basedOn w:val="921"/>
    <w:next w:val="1068"/>
    <w:link w:val="921"/>
    <w:qFormat/>
    <w:rPr>
      <w:rFonts w:ascii="Times New Roman" w:hAnsi="Times New Roman"/>
      <w:szCs w:val="24"/>
    </w:rPr>
  </w:style>
  <w:style w:type="paragraph" w:styleId="1069">
    <w:name w:val="正文_12_0_0_0"/>
    <w:next w:val="1069"/>
    <w:link w:val="921"/>
    <w:qFormat/>
    <w:pPr>
      <w:jc w:val="both"/>
      <w:widowControl w:val="off"/>
    </w:pPr>
    <w:rPr>
      <w:sz w:val="21"/>
      <w:szCs w:val="24"/>
      <w:lang w:val="en-US" w:eastAsia="zh-CN" w:bidi="ar-SA"/>
    </w:rPr>
  </w:style>
  <w:style w:type="paragraph" w:styleId="1070">
    <w:name w:val="正文_14_0"/>
    <w:next w:val="1070"/>
    <w:link w:val="921"/>
    <w:qFormat/>
    <w:pPr>
      <w:jc w:val="both"/>
      <w:widowControl w:val="off"/>
    </w:pPr>
    <w:rPr>
      <w:rFonts w:ascii="Calibri" w:hAnsi="Calibri"/>
      <w:sz w:val="21"/>
      <w:szCs w:val="22"/>
      <w:lang w:val="en-US" w:eastAsia="zh-CN" w:bidi="ar-SA"/>
    </w:rPr>
  </w:style>
  <w:style w:type="paragraph" w:styleId="1071">
    <w:name w:val="正文_14_0_0"/>
    <w:next w:val="1071"/>
    <w:link w:val="921"/>
    <w:qFormat/>
    <w:pPr>
      <w:jc w:val="both"/>
      <w:widowControl w:val="off"/>
    </w:pPr>
    <w:rPr>
      <w:sz w:val="21"/>
      <w:szCs w:val="24"/>
      <w:lang w:val="en-US" w:eastAsia="zh-CN" w:bidi="ar-SA"/>
    </w:rPr>
  </w:style>
  <w:style w:type="paragraph" w:styleId="1072">
    <w:name w:val="正文1_0"/>
    <w:next w:val="1072"/>
    <w:link w:val="921"/>
    <w:qFormat/>
    <w:pPr>
      <w:jc w:val="both"/>
      <w:widowControl w:val="off"/>
    </w:pPr>
    <w:rPr>
      <w:szCs w:val="24"/>
      <w:lang w:val="en-US" w:eastAsia="zh-CN" w:bidi="ar-SA"/>
    </w:rPr>
  </w:style>
  <w:style w:type="paragraph" w:styleId="1073">
    <w:name w:val="正文_16_0_0"/>
    <w:next w:val="1072"/>
    <w:link w:val="921"/>
    <w:qFormat/>
    <w:pPr>
      <w:jc w:val="both"/>
      <w:widowControl w:val="off"/>
    </w:pPr>
    <w:rPr>
      <w:rFonts w:ascii="Calibri" w:hAnsi="Calibri"/>
      <w:sz w:val="21"/>
      <w:szCs w:val="22"/>
      <w:lang w:val="en-US" w:eastAsia="zh-CN" w:bidi="ar-SA"/>
    </w:rPr>
  </w:style>
  <w:style w:type="paragraph" w:styleId="1074">
    <w:name w:val="Normal_3_0"/>
    <w:next w:val="1074"/>
    <w:link w:val="921"/>
    <w:qFormat/>
    <w:rPr>
      <w:rFonts w:ascii="黑体" w:hAnsi="黑体" w:eastAsia="黑体"/>
      <w:b/>
      <w:sz w:val="32"/>
      <w:szCs w:val="24"/>
      <w:lang w:val="en-US" w:eastAsia="zh-CN" w:bidi="ar-SA"/>
    </w:rPr>
  </w:style>
  <w:style w:type="paragraph" w:styleId="1075">
    <w:name w:val="Normal_4_0"/>
    <w:next w:val="1075"/>
    <w:link w:val="921"/>
    <w:qFormat/>
    <w:pPr>
      <w:jc w:val="both"/>
      <w:widowControl w:val="off"/>
    </w:pPr>
    <w:rPr>
      <w:rFonts w:ascii="Calibri" w:hAnsi="Calibri"/>
      <w:sz w:val="21"/>
      <w:szCs w:val="22"/>
      <w:lang w:val="en-US" w:eastAsia="zh-CN" w:bidi="ar-SA"/>
    </w:rPr>
  </w:style>
  <w:style w:type="paragraph" w:styleId="1076">
    <w:name w:val="图表目录1"/>
    <w:basedOn w:val="921"/>
    <w:next w:val="921"/>
    <w:link w:val="921"/>
    <w:semiHidden/>
    <w:qFormat/>
    <w:pPr>
      <w:ind w:left="840" w:hanging="420"/>
    </w:pPr>
    <w:rPr>
      <w:rFonts w:ascii="Times New Roman" w:hAnsi="Times New Roman" w:eastAsia="宋体" w:cs="Times New Roman"/>
      <w:szCs w:val="21"/>
    </w:rPr>
  </w:style>
  <w:style w:type="paragraph" w:styleId="1077">
    <w:name w:val="正文_2_0"/>
    <w:next w:val="1077"/>
    <w:link w:val="921"/>
    <w:qFormat/>
    <w:pPr>
      <w:jc w:val="both"/>
      <w:widowControl w:val="off"/>
    </w:pPr>
    <w:rPr>
      <w:rFonts w:ascii="Calibri" w:hAnsi="Calibri"/>
      <w:sz w:val="21"/>
      <w:szCs w:val="22"/>
      <w:lang w:val="en-US" w:eastAsia="zh-CN" w:bidi="ar-SA"/>
    </w:rPr>
  </w:style>
  <w:style w:type="paragraph" w:styleId="1078">
    <w:name w:val="正文_2_0_0_0"/>
    <w:next w:val="1078"/>
    <w:link w:val="921"/>
    <w:qFormat/>
    <w:pPr>
      <w:jc w:val="both"/>
      <w:widowControl w:val="off"/>
    </w:pPr>
    <w:rPr>
      <w:rFonts w:ascii="Calibri" w:hAnsi="Calibri"/>
      <w:sz w:val="21"/>
      <w:szCs w:val="22"/>
      <w:lang w:val="en-US" w:eastAsia="zh-CN" w:bidi="ar-SA"/>
    </w:rPr>
  </w:style>
  <w:style w:type="paragraph" w:styleId="1079">
    <w:name w:val="正文_16_0"/>
    <w:basedOn w:val="1080"/>
    <w:next w:val="1081"/>
    <w:link w:val="921"/>
    <w:rPr>
      <w:rFonts w:ascii="Calibri" w:hAnsi="Calibri" w:cs="宋体"/>
      <w:szCs w:val="21"/>
    </w:rPr>
  </w:style>
  <w:style w:type="paragraph" w:styleId="1080">
    <w:name w:val="正文_17"/>
    <w:next w:val="1080"/>
    <w:link w:val="921"/>
    <w:qFormat/>
    <w:pPr>
      <w:jc w:val="both"/>
      <w:widowControl w:val="off"/>
    </w:pPr>
    <w:rPr>
      <w:sz w:val="21"/>
      <w:szCs w:val="22"/>
      <w:lang w:val="en-US" w:eastAsia="zh-CN" w:bidi="ar-SA"/>
    </w:rPr>
  </w:style>
  <w:style w:type="paragraph" w:styleId="1081">
    <w:name w:val="正文缩进_2"/>
    <w:basedOn w:val="1079"/>
    <w:next w:val="1081"/>
    <w:link w:val="921"/>
    <w:unhideWhenUsed/>
    <w:qFormat/>
    <w:pPr>
      <w:ind w:firstLine="420"/>
      <w:jc w:val="left"/>
      <w:widowControl/>
    </w:pPr>
    <w:rPr>
      <w:sz w:val="20"/>
    </w:rPr>
  </w:style>
  <w:style w:type="paragraph" w:styleId="1082">
    <w:name w:val="Normal_9_0"/>
    <w:next w:val="1082"/>
    <w:link w:val="921"/>
    <w:qFormat/>
    <w:rPr>
      <w:rFonts w:eastAsia="Times New Roman"/>
      <w:sz w:val="24"/>
      <w:szCs w:val="24"/>
      <w:lang w:val="en-US" w:eastAsia="zh-CN" w:bidi="ar-SA"/>
    </w:rPr>
  </w:style>
  <w:style w:type="paragraph" w:styleId="1083">
    <w:name w:val="Normal_7_0"/>
    <w:next w:val="1083"/>
    <w:link w:val="921"/>
    <w:qFormat/>
    <w:pPr>
      <w:jc w:val="both"/>
      <w:widowControl w:val="off"/>
    </w:pPr>
    <w:rPr>
      <w:rFonts w:ascii="Calibri" w:hAnsi="Calibri"/>
      <w:sz w:val="21"/>
      <w:szCs w:val="22"/>
      <w:lang w:val="en-US" w:eastAsia="zh-CN" w:bidi="ar-SA"/>
    </w:rPr>
  </w:style>
  <w:style w:type="paragraph" w:styleId="1084">
    <w:name w:val="Normal_11_0"/>
    <w:next w:val="1084"/>
    <w:link w:val="921"/>
    <w:qFormat/>
    <w:rPr>
      <w:rFonts w:ascii="黑体" w:hAnsi="黑体" w:eastAsia="黑体"/>
      <w:b/>
      <w:sz w:val="32"/>
      <w:szCs w:val="24"/>
      <w:lang w:val="en-US" w:eastAsia="zh-CN" w:bidi="ar-SA"/>
    </w:rPr>
  </w:style>
  <w:style w:type="paragraph" w:styleId="1085">
    <w:name w:val="Normal_23"/>
    <w:next w:val="1085"/>
    <w:link w:val="921"/>
    <w:qFormat/>
    <w:rPr>
      <w:rFonts w:ascii="黑体" w:hAnsi="黑体" w:eastAsia="黑体"/>
      <w:b/>
      <w:sz w:val="32"/>
      <w:szCs w:val="24"/>
      <w:lang w:val="en-US" w:eastAsia="zh-CN" w:bidi="ar-SA"/>
    </w:rPr>
  </w:style>
  <w:style w:type="paragraph" w:styleId="1086">
    <w:name w:val="正文_1_1"/>
    <w:next w:val="1086"/>
    <w:link w:val="921"/>
    <w:qFormat/>
    <w:pPr>
      <w:jc w:val="both"/>
      <w:widowControl w:val="off"/>
    </w:pPr>
    <w:rPr>
      <w:rFonts w:ascii="Calibri" w:hAnsi="Calibri"/>
      <w:sz w:val="21"/>
      <w:szCs w:val="22"/>
      <w:lang w:val="en-US" w:eastAsia="zh-CN" w:bidi="ar-SA"/>
    </w:rPr>
  </w:style>
  <w:style w:type="paragraph" w:styleId="1087">
    <w:name w:val="样式 标题 1 + 四号 加粗"/>
    <w:basedOn w:val="1088"/>
    <w:next w:val="1087"/>
    <w:link w:val="921"/>
    <w:qFormat/>
    <w:pPr>
      <w:numPr>
        <w:ilvl w:val="0"/>
        <w:numId w:val="0"/>
      </w:numPr>
      <w:tabs>
        <w:tab w:val="left" w:pos="432" w:leader="none"/>
      </w:tabs>
    </w:pPr>
    <w:rPr>
      <w:rFonts w:eastAsia="黑体"/>
      <w:lang w:val="en-US"/>
    </w:rPr>
  </w:style>
  <w:style w:type="paragraph" w:styleId="1088">
    <w:name w:val="标题 11"/>
    <w:basedOn w:val="921"/>
    <w:next w:val="921"/>
    <w:link w:val="921"/>
    <w:qFormat/>
    <w:pPr>
      <w:keepLines/>
      <w:keepNext/>
      <w:spacing w:before="340" w:after="330" w:line="578" w:lineRule="auto"/>
      <w:outlineLvl w:val="0"/>
    </w:pPr>
    <w:rPr>
      <w:rFonts w:ascii="Calibri" w:hAnsi="Calibri"/>
      <w:b/>
      <w:bCs/>
      <w:sz w:val="44"/>
      <w:szCs w:val="44"/>
    </w:rPr>
  </w:style>
  <w:style w:type="paragraph" w:styleId="1089">
    <w:name w:val="列表项目符号 21"/>
    <w:basedOn w:val="921"/>
    <w:next w:val="1089"/>
    <w:link w:val="921"/>
    <w:uiPriority w:val="99"/>
    <w:unhideWhenUsed/>
    <w:qFormat/>
    <w:pPr>
      <w:numPr>
        <w:ilvl w:val="0"/>
        <w:numId w:val="4"/>
      </w:numPr>
      <w:tabs>
        <w:tab w:val="left" w:pos="780" w:leader="none"/>
      </w:tabs>
    </w:pPr>
  </w:style>
  <w:style w:type="paragraph" w:styleId="1090">
    <w:name w:val="正文首行缩进1"/>
    <w:basedOn w:val="1091"/>
    <w:next w:val="1090"/>
    <w:link w:val="921"/>
    <w:qFormat/>
    <w:pPr>
      <w:ind w:firstLine="200"/>
      <w:spacing w:line="360" w:lineRule="auto"/>
    </w:pPr>
    <w:rPr>
      <w:rFonts w:ascii="仿宋_GB2312" w:hAnsi="Times New Roman" w:eastAsia="仿宋_GB2312" w:cs="Times New Roman"/>
      <w:sz w:val="30"/>
      <w:szCs w:val="30"/>
    </w:rPr>
  </w:style>
  <w:style w:type="paragraph" w:styleId="1091">
    <w:name w:val="正文文本1"/>
    <w:basedOn w:val="921"/>
    <w:next w:val="921"/>
    <w:link w:val="921"/>
    <w:qFormat/>
    <w:rPr>
      <w:rFonts w:ascii="楷体_GB2312" w:hAnsi="Arial" w:eastAsia="楷体_GB2312" w:cs="Times New Roman"/>
      <w:sz w:val="28"/>
      <w:szCs w:val="28"/>
    </w:rPr>
  </w:style>
  <w:style w:type="paragraph" w:styleId="1092">
    <w:name w:val="正文_3_0_0"/>
    <w:next w:val="1092"/>
    <w:link w:val="921"/>
    <w:qFormat/>
    <w:pPr>
      <w:jc w:val="both"/>
      <w:widowControl w:val="off"/>
    </w:pPr>
    <w:rPr>
      <w:lang w:val="en-US" w:eastAsia="zh-CN" w:bidi="ar-SA"/>
    </w:rPr>
  </w:style>
  <w:style w:type="paragraph" w:styleId="1093">
    <w:name w:val="正文文本首行缩进 21"/>
    <w:basedOn w:val="1094"/>
    <w:next w:val="1093"/>
    <w:link w:val="921"/>
    <w:qFormat/>
    <w:pPr>
      <w:ind w:left="0" w:firstLine="420"/>
      <w:spacing w:after="0" w:line="360" w:lineRule="auto"/>
    </w:pPr>
    <w:rPr>
      <w:rFonts w:ascii="宋体" w:hAnsi="宋体"/>
      <w:szCs w:val="20"/>
    </w:rPr>
  </w:style>
  <w:style w:type="paragraph" w:styleId="1094">
    <w:name w:val="正文文本缩进11"/>
    <w:basedOn w:val="921"/>
    <w:next w:val="1094"/>
    <w:link w:val="921"/>
    <w:uiPriority w:val="99"/>
    <w:unhideWhenUsed/>
    <w:qFormat/>
    <w:pPr>
      <w:ind w:left="420"/>
      <w:spacing w:after="120"/>
    </w:pPr>
  </w:style>
  <w:style w:type="paragraph" w:styleId="1095">
    <w:name w:val="正文_3_0"/>
    <w:next w:val="1095"/>
    <w:link w:val="921"/>
    <w:qFormat/>
    <w:pPr>
      <w:jc w:val="both"/>
      <w:widowControl w:val="off"/>
    </w:pPr>
    <w:rPr>
      <w:rFonts w:ascii="Calibri" w:hAnsi="Calibri"/>
      <w:sz w:val="21"/>
      <w:szCs w:val="22"/>
      <w:lang w:val="en-US" w:eastAsia="zh-CN" w:bidi="ar-SA"/>
    </w:rPr>
  </w:style>
  <w:style w:type="paragraph" w:styleId="1096">
    <w:name w:val="WPSOffice手动目录 1"/>
    <w:next w:val="1096"/>
    <w:link w:val="921"/>
    <w:rPr>
      <w:lang w:val="en-US" w:eastAsia="zh-CN" w:bidi="ar-SA"/>
    </w:rPr>
  </w:style>
  <w:style w:type="paragraph" w:styleId="1097">
    <w:name w:val="正文_1_1_0"/>
    <w:next w:val="1097"/>
    <w:link w:val="921"/>
    <w:qFormat/>
    <w:pPr>
      <w:jc w:val="both"/>
      <w:widowControl w:val="off"/>
    </w:pPr>
    <w:rPr>
      <w:rFonts w:ascii="Calibri" w:hAnsi="Calibri"/>
      <w:sz w:val="21"/>
      <w:lang w:val="en-US" w:eastAsia="zh-CN" w:bidi="ar-SA"/>
    </w:rPr>
  </w:style>
  <w:style w:type="paragraph" w:styleId="1098">
    <w:name w:val="纯文本1"/>
    <w:basedOn w:val="921"/>
    <w:next w:val="1098"/>
    <w:link w:val="921"/>
    <w:qFormat/>
    <w:rPr>
      <w:rFonts w:ascii="宋体" w:hAnsi="Courier New" w:eastAsia="宋体" w:cs="Courier New"/>
      <w:szCs w:val="21"/>
    </w:rPr>
  </w:style>
  <w:style w:type="paragraph" w:styleId="1099">
    <w:name w:val="文档结构图1"/>
    <w:basedOn w:val="921"/>
    <w:next w:val="921"/>
    <w:link w:val="921"/>
    <w:qFormat/>
    <w:pPr>
      <w:shd w:val="clear" w:color="auto" w:fill="000080"/>
    </w:pPr>
  </w:style>
  <w:style w:type="paragraph" w:styleId="1100">
    <w:name w:val="页眉1"/>
    <w:basedOn w:val="921"/>
    <w:next w:val="1100"/>
    <w:link w:val="921"/>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01">
    <w:name w:val="页脚1"/>
    <w:basedOn w:val="921"/>
    <w:next w:val="1101"/>
    <w:link w:val="921"/>
    <w:qFormat/>
    <w:pPr>
      <w:jc w:val="left"/>
      <w:tabs>
        <w:tab w:val="center" w:pos="4153" w:leader="none"/>
        <w:tab w:val="right" w:pos="8306" w:leader="none"/>
      </w:tabs>
    </w:pPr>
    <w:rPr>
      <w:rFonts w:ascii="Times New Roman" w:hAnsi="Times New Roman" w:eastAsia="宋体" w:cs="Times New Roman"/>
      <w:sz w:val="18"/>
      <w:szCs w:val="18"/>
    </w:rPr>
  </w:style>
  <w:style w:type="paragraph" w:styleId="1102">
    <w:name w:val="标题 31"/>
    <w:basedOn w:val="921"/>
    <w:next w:val="921"/>
    <w:link w:val="921"/>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103">
    <w:name w:val="Normal_0_2_0"/>
    <w:next w:val="1103"/>
    <w:link w:val="921"/>
    <w:qFormat/>
    <w:rPr>
      <w:rFonts w:ascii="黑体" w:hAnsi="黑体" w:eastAsia="黑体"/>
      <w:b/>
      <w:sz w:val="32"/>
      <w:szCs w:val="24"/>
      <w:lang w:val="en-US" w:eastAsia="zh-CN" w:bidi="ar-SA"/>
    </w:rPr>
  </w:style>
  <w:style w:type="paragraph" w:styleId="1104">
    <w:name w:val="正文_2_0_0"/>
    <w:next w:val="1105"/>
    <w:link w:val="921"/>
    <w:qFormat/>
    <w:pPr>
      <w:jc w:val="both"/>
      <w:widowControl w:val="off"/>
    </w:pPr>
    <w:rPr>
      <w:rFonts w:ascii="Calibri" w:hAnsi="Calibri" w:eastAsia="宋体" w:cs="Times New Roman"/>
      <w:sz w:val="21"/>
      <w:szCs w:val="22"/>
      <w:lang w:val="en-US" w:eastAsia="zh-CN" w:bidi="ar-SA"/>
    </w:rPr>
  </w:style>
  <w:style w:type="paragraph" w:styleId="1105">
    <w:name w:val="列表接续 2_0"/>
    <w:basedOn w:val="1070"/>
    <w:next w:val="1104"/>
    <w:link w:val="921"/>
    <w:qFormat/>
    <w:pPr>
      <w:ind w:left="840"/>
      <w:jc w:val="both"/>
      <w:spacing w:after="120"/>
      <w:widowControl w:val="off"/>
    </w:pPr>
    <w:rPr>
      <w:rFonts w:ascii="Times New Roman" w:hAnsi="Times New Roman" w:eastAsia="宋体" w:cs="Times New Roman"/>
      <w:sz w:val="21"/>
      <w:szCs w:val="24"/>
      <w:lang w:val="en-US" w:eastAsia="zh-CN" w:bidi="ar-SA"/>
    </w:rPr>
  </w:style>
  <w:style w:type="paragraph" w:styleId="1106">
    <w:name w:val="Normal_0_2"/>
    <w:next w:val="1107"/>
    <w:link w:val="921"/>
    <w:qFormat/>
    <w:rPr>
      <w:rFonts w:ascii="黑体" w:hAnsi="黑体" w:eastAsia="黑体" w:cs="黑体"/>
      <w:b/>
      <w:sz w:val="32"/>
      <w:szCs w:val="24"/>
      <w:lang w:val="en-US" w:eastAsia="zh-CN" w:bidi="ar-SA"/>
    </w:rPr>
  </w:style>
  <w:style w:type="paragraph" w:styleId="1107">
    <w:name w:val="Body Text First Indent_1"/>
    <w:basedOn w:val="988"/>
    <w:next w:val="1107"/>
    <w:link w:val="921"/>
    <w:uiPriority w:val="99"/>
    <w:unhideWhenUsed/>
    <w:qFormat/>
    <w:pPr>
      <w:ind w:firstLine="420"/>
      <w:spacing w:after="120"/>
    </w:pPr>
    <w:rPr>
      <w:rFonts w:eastAsia="Times New Roman"/>
      <w:sz w:val="20"/>
    </w:rPr>
  </w:style>
  <w:style w:type="paragraph" w:styleId="1108">
    <w:name w:val="目录 11"/>
    <w:basedOn w:val="921"/>
    <w:next w:val="921"/>
    <w:link w:val="921"/>
    <w:qFormat/>
    <w:pPr>
      <w:jc w:val="left"/>
      <w:spacing w:before="120" w:after="120"/>
    </w:pPr>
    <w:rPr>
      <w:rFonts w:cs="Calibri"/>
      <w:b/>
      <w:bCs/>
      <w:caps/>
      <w:sz w:val="20"/>
      <w:szCs w:val="20"/>
    </w:rPr>
  </w:style>
  <w:style w:type="paragraph" w:styleId="1109">
    <w:name w:val="Normal_10_0"/>
    <w:next w:val="1109"/>
    <w:link w:val="921"/>
    <w:qFormat/>
    <w:rPr>
      <w:rFonts w:ascii="黑体" w:hAnsi="黑体" w:eastAsia="黑体" w:cs="黑体"/>
      <w:b/>
      <w:sz w:val="32"/>
      <w:szCs w:val="24"/>
      <w:lang w:val="en-US" w:eastAsia="zh-CN" w:bidi="ar-SA"/>
    </w:rPr>
  </w:style>
  <w:style w:type="paragraph" w:styleId="1110">
    <w:name w:val="p17_0_0"/>
    <w:basedOn w:val="1111"/>
    <w:next w:val="1110"/>
    <w:link w:val="921"/>
    <w:qFormat/>
    <w:pPr>
      <w:jc w:val="left"/>
      <w:spacing w:before="100" w:beforeAutospacing="1" w:after="100" w:afterAutospacing="1"/>
      <w:widowControl/>
    </w:pPr>
    <w:rPr>
      <w:rFonts w:ascii="宋体" w:hAnsi="宋体" w:eastAsia="Times New Roman" w:cs="宋体"/>
      <w:sz w:val="24"/>
      <w:szCs w:val="24"/>
    </w:rPr>
  </w:style>
  <w:style w:type="paragraph" w:styleId="1111">
    <w:name w:val="Normal_19_0"/>
    <w:basedOn w:val="1112"/>
    <w:next w:val="1111"/>
    <w:link w:val="921"/>
    <w:qFormat/>
    <w:rPr>
      <w:szCs w:val="24"/>
    </w:rPr>
  </w:style>
  <w:style w:type="paragraph" w:styleId="1112">
    <w:name w:val="Normal1"/>
    <w:next w:val="1113"/>
    <w:link w:val="921"/>
    <w:qFormat/>
    <w:pPr>
      <w:jc w:val="both"/>
      <w:widowControl w:val="off"/>
    </w:pPr>
    <w:rPr>
      <w:rFonts w:ascii="Calibri" w:hAnsi="Calibri" w:eastAsia="宋体" w:cs="Times New Roman"/>
      <w:sz w:val="21"/>
      <w:szCs w:val="22"/>
      <w:lang w:val="en-US" w:eastAsia="zh-CN" w:bidi="ar-SA"/>
    </w:rPr>
  </w:style>
  <w:style w:type="paragraph" w:styleId="1113">
    <w:name w:val="标题 311"/>
    <w:basedOn w:val="1112"/>
    <w:next w:val="983"/>
    <w:link w:val="921"/>
    <w:qFormat/>
    <w:pPr>
      <w:keepLines/>
      <w:keepNext/>
      <w:spacing w:before="320" w:after="200"/>
      <w:outlineLvl w:val="2"/>
    </w:pPr>
    <w:rPr>
      <w:rFonts w:ascii="Arial" w:hAnsi="Arial" w:eastAsia="Arial" w:cs="Arial"/>
      <w:sz w:val="30"/>
      <w:szCs w:val="30"/>
    </w:rPr>
  </w:style>
  <w:style w:type="paragraph" w:styleId="1114">
    <w:name w:val="Normal_16_0_0"/>
    <w:next w:val="1114"/>
    <w:link w:val="921"/>
    <w:qFormat/>
    <w:pPr>
      <w:jc w:val="both"/>
      <w:widowControl w:val="off"/>
    </w:pPr>
    <w:rPr>
      <w:rFonts w:ascii="Calibri" w:hAnsi="Calibri" w:eastAsia="宋体" w:cs="Times New Roman"/>
      <w:lang w:val="en-US" w:eastAsia="zh-CN" w:bidi="ar-SA"/>
    </w:rPr>
  </w:style>
  <w:style w:type="paragraph" w:styleId="1115">
    <w:name w:val="Normal_22_0"/>
    <w:next w:val="1115"/>
    <w:link w:val="921"/>
    <w:qFormat/>
    <w:pPr>
      <w:jc w:val="both"/>
      <w:widowControl w:val="off"/>
    </w:pPr>
    <w:rPr>
      <w:rFonts w:ascii="Calibri" w:hAnsi="Calibri" w:eastAsia="宋体" w:cs="Times New Roman"/>
      <w:szCs w:val="24"/>
      <w:lang w:val="en-US" w:eastAsia="zh-CN" w:bidi="ar-SA"/>
    </w:rPr>
  </w:style>
  <w:style w:type="paragraph" w:styleId="1116">
    <w:name w:val="Normal_5_0"/>
    <w:next w:val="1116"/>
    <w:link w:val="921"/>
    <w:qFormat/>
    <w:pPr>
      <w:jc w:val="both"/>
      <w:widowControl w:val="off"/>
    </w:pPr>
    <w:rPr>
      <w:rFonts w:ascii="Calibri" w:hAnsi="Calibri" w:eastAsia="宋体" w:cs="Times New Roman"/>
      <w:sz w:val="21"/>
      <w:szCs w:val="22"/>
      <w:lang w:val="en-US" w:eastAsia="zh-CN" w:bidi="ar-SA"/>
    </w:rPr>
  </w:style>
  <w:style w:type="paragraph" w:styleId="1117">
    <w:name w:val="正文首行缩进 21"/>
    <w:basedOn w:val="1118"/>
    <w:next w:val="1117"/>
    <w:link w:val="921"/>
    <w:qFormat/>
    <w:pPr>
      <w:ind w:firstLine="420"/>
      <w:spacing w:line="360" w:lineRule="auto"/>
    </w:pPr>
    <w:rPr>
      <w:rFonts w:ascii="宋体" w:hAnsi="宋体" w:eastAsia="宋体"/>
      <w:sz w:val="21"/>
      <w:szCs w:val="20"/>
    </w:rPr>
  </w:style>
  <w:style w:type="paragraph" w:styleId="1118">
    <w:name w:val="正文文本缩进1"/>
    <w:basedOn w:val="921"/>
    <w:next w:val="1118"/>
    <w:link w:val="921"/>
    <w:qFormat/>
    <w:pPr>
      <w:ind w:firstLine="645"/>
    </w:pPr>
    <w:rPr>
      <w:rFonts w:ascii="楷体_GB2312" w:eastAsia="楷体_GB2312"/>
      <w:sz w:val="32"/>
      <w:szCs w:val="32"/>
    </w:rPr>
  </w:style>
  <w:style w:type="paragraph" w:styleId="1119">
    <w:name w:val="Normal_6"/>
    <w:next w:val="1119"/>
    <w:link w:val="921"/>
    <w:qFormat/>
    <w:rPr>
      <w:rFonts w:ascii="Times New Roman" w:hAnsi="Times New Roman" w:eastAsia="Times New Roman" w:cs="Times New Roman"/>
      <w:sz w:val="24"/>
      <w:szCs w:val="24"/>
      <w:lang w:val="en-US" w:eastAsia="zh-CN" w:bidi="ar-SA"/>
    </w:rPr>
  </w:style>
  <w:style w:type="paragraph" w:styleId="1120">
    <w:name w:val="Table Text"/>
    <w:basedOn w:val="921"/>
    <w:next w:val="1120"/>
    <w:link w:val="921"/>
    <w:qFormat/>
    <w:pPr>
      <w:jc w:val="left"/>
      <w:spacing w:before="80" w:after="80" w:line="240" w:lineRule="atLeast"/>
    </w:pPr>
    <w:rPr>
      <w:rFonts w:ascii="Times New Roman" w:hAnsi="Times New Roman" w:eastAsia="宋体" w:cs="Times New Roman"/>
      <w:sz w:val="20"/>
      <w:szCs w:val="21"/>
      <w:lang w:eastAsia="en-US"/>
    </w:rPr>
  </w:style>
  <w:style w:type="character" w:styleId="1121" w:default="1">
    <w:name w:val="Default Paragraph Font"/>
    <w:uiPriority w:val="1"/>
    <w:semiHidden/>
    <w:unhideWhenUsed/>
  </w:style>
  <w:style w:type="numbering" w:styleId="1122" w:default="1">
    <w:name w:val="No List"/>
    <w:uiPriority w:val="99"/>
    <w:semiHidden/>
    <w:unhideWhenUsed/>
  </w:style>
  <w:style w:type="table" w:styleId="11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张钰</cp:lastModifiedBy>
  <cp:revision>5</cp:revision>
  <dcterms:created xsi:type="dcterms:W3CDTF">2025-04-07T03:15:00Z</dcterms:created>
  <dcterms:modified xsi:type="dcterms:W3CDTF">2026-04-03T06:26:32Z</dcterms:modified>
</cp:coreProperties>
</file>