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A0F7A">
      <w:pPr>
        <w:pStyle w:val="243"/>
        <w:ind w:firstLine="0"/>
        <w:rPr>
          <w:rFonts w:ascii="Times New Roman" w:hAnsi="Times New Roman" w:eastAsia="黑体"/>
          <w:b/>
          <w:bCs/>
          <w:sz w:val="84"/>
        </w:rPr>
      </w:pPr>
    </w:p>
    <w:p w14:paraId="43FC77C7">
      <w:pPr>
        <w:pStyle w:val="243"/>
        <w:ind w:firstLine="0"/>
        <w:rPr>
          <w:rFonts w:ascii="Times New Roman" w:hAnsi="Times New Roman" w:eastAsia="黑体"/>
          <w:b/>
          <w:bCs/>
          <w:sz w:val="84"/>
        </w:rPr>
      </w:pPr>
    </w:p>
    <w:p w14:paraId="74FD5BCE">
      <w:pPr>
        <w:pStyle w:val="243"/>
        <w:ind w:firstLine="0"/>
        <w:jc w:val="center"/>
        <w:rPr>
          <w:rFonts w:ascii="Times New Roman" w:hAnsi="Times New Roman" w:eastAsia="黑体"/>
          <w:b/>
          <w:bCs/>
          <w:sz w:val="84"/>
        </w:rPr>
      </w:pPr>
      <w:r>
        <w:rPr>
          <w:rFonts w:hint="eastAsia" w:ascii="Times New Roman" w:hAnsi="Times New Roman" w:eastAsia="黑体"/>
          <w:b/>
          <w:bCs/>
          <w:sz w:val="84"/>
        </w:rPr>
        <w:t>招 标 文 件</w:t>
      </w:r>
    </w:p>
    <w:p w14:paraId="110910DF">
      <w:pPr>
        <w:spacing w:before="120" w:after="120" w:line="360" w:lineRule="auto"/>
        <w:jc w:val="center"/>
        <w:rPr>
          <w:rFonts w:eastAsia="黑体"/>
          <w:b/>
          <w:bCs/>
          <w:sz w:val="84"/>
          <w:szCs w:val="24"/>
        </w:rPr>
      </w:pPr>
    </w:p>
    <w:p w14:paraId="76B3DA89">
      <w:pPr>
        <w:spacing w:before="120" w:after="120" w:line="360" w:lineRule="auto"/>
        <w:jc w:val="center"/>
        <w:rPr>
          <w:rFonts w:hint="eastAsia" w:ascii="黑体" w:hAnsi="黑体" w:eastAsia="黑体"/>
          <w:b/>
          <w:bCs/>
          <w:sz w:val="32"/>
          <w:szCs w:val="32"/>
          <w:lang w:eastAsia="zh-CN"/>
        </w:rPr>
      </w:pPr>
      <w:r>
        <w:rPr>
          <w:rFonts w:hint="eastAsia" w:ascii="黑体" w:hAnsi="黑体" w:eastAsia="黑体"/>
          <w:b/>
          <w:bCs/>
          <w:sz w:val="32"/>
          <w:szCs w:val="32"/>
        </w:rPr>
        <w:t xml:space="preserve">    项目名称：</w:t>
      </w:r>
      <w:r>
        <w:rPr>
          <w:rFonts w:hint="eastAsia" w:ascii="黑体" w:hAnsi="黑体" w:eastAsia="黑体"/>
          <w:b/>
          <w:sz w:val="32"/>
          <w:szCs w:val="32"/>
          <w:lang w:eastAsia="zh-CN"/>
        </w:rPr>
        <w:t>血站服务能力提升项目（第一批）</w:t>
      </w:r>
    </w:p>
    <w:p w14:paraId="01341FFF">
      <w:pPr>
        <w:spacing w:before="120" w:after="120" w:line="360" w:lineRule="auto"/>
        <w:ind w:firstLine="1606" w:firstLineChars="500"/>
        <w:rPr>
          <w:rFonts w:hint="eastAsia" w:ascii="黑体" w:hAnsi="黑体" w:eastAsia="黑体"/>
          <w:b/>
          <w:bCs/>
          <w:sz w:val="32"/>
          <w:szCs w:val="32"/>
          <w:lang w:eastAsia="zh-CN"/>
        </w:rPr>
      </w:pPr>
      <w:r>
        <w:rPr>
          <w:rFonts w:hint="eastAsia" w:ascii="黑体" w:hAnsi="黑体" w:eastAsia="黑体"/>
          <w:b/>
          <w:bCs/>
          <w:sz w:val="32"/>
          <w:szCs w:val="32"/>
        </w:rPr>
        <w:t>项目编号：</w:t>
      </w:r>
      <w:r>
        <w:rPr>
          <w:rFonts w:hint="eastAsia" w:ascii="黑体" w:hAnsi="黑体" w:eastAsia="黑体"/>
          <w:b/>
          <w:bCs/>
          <w:sz w:val="32"/>
          <w:szCs w:val="32"/>
          <w:lang w:eastAsia="zh-CN"/>
        </w:rPr>
        <w:t>JSZC-321300-JXXM-G2026-0004</w:t>
      </w:r>
    </w:p>
    <w:p w14:paraId="43B5E235">
      <w:pPr>
        <w:pStyle w:val="243"/>
        <w:spacing w:before="0" w:after="0"/>
        <w:ind w:firstLine="0"/>
        <w:jc w:val="center"/>
        <w:rPr>
          <w:rFonts w:ascii="Times New Roman" w:hAnsi="Times New Roman"/>
        </w:rPr>
      </w:pPr>
      <w:r>
        <w:rPr>
          <w:rFonts w:hint="eastAsia" w:ascii="黑体" w:hAnsi="黑体" w:eastAsia="黑体"/>
          <w:b/>
          <w:bCs/>
          <w:sz w:val="32"/>
          <w:szCs w:val="32"/>
          <w:highlight w:val="none"/>
          <w:lang w:val="en-US" w:eastAsia="zh-CN"/>
        </w:rPr>
        <w:t xml:space="preserve">     </w:t>
      </w:r>
      <w:r>
        <w:rPr>
          <w:rFonts w:hint="eastAsia" w:ascii="黑体" w:hAnsi="黑体" w:eastAsia="黑体"/>
          <w:b/>
          <w:bCs/>
          <w:sz w:val="32"/>
          <w:szCs w:val="32"/>
          <w:highlight w:val="none"/>
        </w:rPr>
        <w:t>（</w:t>
      </w:r>
      <w:r>
        <w:rPr>
          <w:rFonts w:hint="eastAsia" w:ascii="黑体" w:hAnsi="黑体" w:eastAsia="黑体"/>
          <w:b/>
          <w:bCs/>
          <w:sz w:val="32"/>
          <w:szCs w:val="32"/>
          <w:highlight w:val="none"/>
          <w:u w:val="single"/>
        </w:rPr>
        <w:t>货物</w:t>
      </w:r>
      <w:r>
        <w:rPr>
          <w:rFonts w:hint="eastAsia" w:ascii="黑体" w:hAnsi="黑体" w:eastAsia="黑体"/>
          <w:b/>
          <w:bCs/>
          <w:sz w:val="32"/>
          <w:szCs w:val="32"/>
          <w:highlight w:val="none"/>
        </w:rPr>
        <w:t>类项目，本项目</w:t>
      </w:r>
      <w:r>
        <w:rPr>
          <w:rFonts w:hint="eastAsia" w:ascii="黑体" w:hAnsi="黑体" w:eastAsia="黑体"/>
          <w:b/>
          <w:bCs/>
          <w:sz w:val="32"/>
          <w:szCs w:val="32"/>
          <w:highlight w:val="none"/>
          <w:u w:val="single"/>
          <w:lang w:val="en-US" w:eastAsia="zh-CN"/>
        </w:rPr>
        <w:t>不</w:t>
      </w:r>
      <w:r>
        <w:rPr>
          <w:rFonts w:hint="eastAsia" w:ascii="黑体" w:hAnsi="黑体" w:eastAsia="黑体"/>
          <w:b/>
          <w:bCs/>
          <w:sz w:val="32"/>
          <w:szCs w:val="32"/>
          <w:highlight w:val="none"/>
          <w:u w:val="single"/>
        </w:rPr>
        <w:t>专门</w:t>
      </w:r>
      <w:r>
        <w:rPr>
          <w:rFonts w:hint="eastAsia" w:ascii="黑体" w:hAnsi="黑体" w:eastAsia="黑体"/>
          <w:b/>
          <w:bCs/>
          <w:sz w:val="32"/>
          <w:szCs w:val="32"/>
          <w:highlight w:val="none"/>
        </w:rPr>
        <w:t>面向中小企业）</w:t>
      </w:r>
    </w:p>
    <w:p w14:paraId="7E875003">
      <w:pPr>
        <w:pStyle w:val="243"/>
        <w:spacing w:before="0" w:after="0"/>
        <w:ind w:firstLine="0"/>
        <w:rPr>
          <w:rFonts w:ascii="Times New Roman" w:hAnsi="Times New Roman"/>
        </w:rPr>
      </w:pPr>
    </w:p>
    <w:p w14:paraId="709BBD11">
      <w:pPr>
        <w:pStyle w:val="243"/>
        <w:spacing w:before="0" w:after="0"/>
        <w:ind w:firstLine="0"/>
        <w:jc w:val="center"/>
        <w:rPr>
          <w:rFonts w:ascii="Times New Roman" w:hAnsi="Times New Roman"/>
        </w:rPr>
      </w:pPr>
      <w:r>
        <w:rPr>
          <w:rFonts w:hint="eastAsia" w:ascii="黑体" w:hAnsi="黑体" w:eastAsia="黑体"/>
          <w:b/>
          <w:bCs/>
          <w:sz w:val="32"/>
          <w:szCs w:val="32"/>
          <w:highlight w:val="none"/>
        </w:rPr>
        <w:t>（</w:t>
      </w:r>
      <w:r>
        <w:rPr>
          <w:rFonts w:hint="eastAsia" w:ascii="黑体" w:hAnsi="黑体" w:eastAsia="黑体"/>
          <w:b/>
          <w:bCs/>
          <w:sz w:val="32"/>
          <w:szCs w:val="32"/>
          <w:highlight w:val="none"/>
          <w:u w:val="single"/>
          <w:lang w:val="en-US" w:eastAsia="zh-CN"/>
        </w:rPr>
        <w:t>征求意见稿</w:t>
      </w:r>
      <w:r>
        <w:rPr>
          <w:rFonts w:hint="eastAsia" w:ascii="黑体" w:hAnsi="黑体" w:eastAsia="黑体"/>
          <w:b/>
          <w:bCs/>
          <w:sz w:val="32"/>
          <w:szCs w:val="32"/>
          <w:highlight w:val="none"/>
        </w:rPr>
        <w:t>）</w:t>
      </w:r>
    </w:p>
    <w:p w14:paraId="1FC41D81">
      <w:pPr>
        <w:pStyle w:val="243"/>
        <w:spacing w:before="0" w:after="0"/>
        <w:ind w:firstLine="0"/>
        <w:rPr>
          <w:rFonts w:ascii="Times New Roman" w:hAnsi="Times New Roman"/>
        </w:rPr>
      </w:pPr>
    </w:p>
    <w:p w14:paraId="3FC1BE12">
      <w:pPr>
        <w:pStyle w:val="243"/>
        <w:spacing w:before="0" w:after="0"/>
        <w:ind w:firstLine="0"/>
        <w:rPr>
          <w:rFonts w:ascii="Times New Roman" w:hAnsi="Times New Roman"/>
        </w:rPr>
      </w:pPr>
    </w:p>
    <w:p w14:paraId="1DC4CAE3">
      <w:pPr>
        <w:pStyle w:val="243"/>
        <w:spacing w:before="0" w:after="0"/>
        <w:ind w:firstLine="0"/>
        <w:rPr>
          <w:rFonts w:ascii="Times New Roman" w:hAnsi="Times New Roman"/>
        </w:rPr>
      </w:pPr>
    </w:p>
    <w:p w14:paraId="0C7FA5F3">
      <w:pPr>
        <w:pStyle w:val="243"/>
        <w:spacing w:before="0" w:after="0"/>
        <w:ind w:firstLine="0"/>
        <w:rPr>
          <w:rFonts w:ascii="Times New Roman" w:hAnsi="Times New Roman"/>
        </w:rPr>
      </w:pPr>
    </w:p>
    <w:p w14:paraId="7080C6F7">
      <w:pPr>
        <w:pStyle w:val="243"/>
        <w:ind w:firstLine="1690"/>
        <w:jc w:val="both"/>
        <w:rPr>
          <w:rFonts w:hint="eastAsia" w:ascii="黑体" w:hAnsi="黑体" w:eastAsia="黑体"/>
          <w:b/>
          <w:bCs/>
          <w:sz w:val="32"/>
          <w:u w:val="single"/>
          <w:lang w:eastAsia="zh-CN"/>
        </w:rPr>
      </w:pPr>
      <w:r>
        <w:rPr>
          <w:rFonts w:hint="eastAsia" w:ascii="黑体" w:hAnsi="黑体" w:eastAsia="黑体"/>
          <w:b/>
          <w:bCs/>
          <w:sz w:val="32"/>
        </w:rPr>
        <w:t>采购人：</w:t>
      </w:r>
      <w:r>
        <w:rPr>
          <w:rFonts w:hint="eastAsia" w:ascii="黑体" w:hAnsi="黑体" w:eastAsia="黑体"/>
          <w:b/>
          <w:sz w:val="30"/>
          <w:szCs w:val="30"/>
          <w:u w:val="single"/>
          <w:lang w:eastAsia="zh-CN"/>
        </w:rPr>
        <w:t>宿迁市中心血站</w:t>
      </w:r>
    </w:p>
    <w:p w14:paraId="442FC6C9">
      <w:pPr>
        <w:pStyle w:val="243"/>
        <w:ind w:firstLine="1606"/>
        <w:jc w:val="both"/>
        <w:rPr>
          <w:rFonts w:ascii="黑体" w:hAnsi="黑体" w:eastAsia="黑体"/>
          <w:b/>
          <w:bCs/>
          <w:sz w:val="32"/>
          <w:u w:val="single"/>
        </w:rPr>
      </w:pPr>
      <w:r>
        <w:rPr>
          <w:rFonts w:hint="eastAsia" w:ascii="黑体" w:hAnsi="黑体" w:eastAsia="黑体"/>
          <w:b/>
          <w:bCs/>
          <w:sz w:val="32"/>
        </w:rPr>
        <w:t>采购代理机构：</w:t>
      </w:r>
      <w:r>
        <w:rPr>
          <w:rFonts w:hint="eastAsia" w:ascii="黑体" w:hAnsi="黑体" w:eastAsia="黑体"/>
          <w:b/>
          <w:sz w:val="30"/>
          <w:szCs w:val="30"/>
          <w:u w:val="single"/>
        </w:rPr>
        <w:t>江苏佳兴项目管理有限公司</w:t>
      </w:r>
    </w:p>
    <w:p w14:paraId="668150EA">
      <w:pPr>
        <w:pStyle w:val="243"/>
        <w:ind w:firstLine="0"/>
        <w:jc w:val="center"/>
        <w:rPr>
          <w:rFonts w:ascii="黑体" w:hAnsi="黑体" w:eastAsia="黑体"/>
          <w:b/>
          <w:bCs/>
          <w:sz w:val="32"/>
          <w:u w:val="single"/>
        </w:rPr>
      </w:pPr>
      <w:r>
        <w:rPr>
          <w:rFonts w:hint="eastAsia" w:ascii="黑体" w:hAnsi="黑体" w:eastAsia="黑体"/>
          <w:b/>
          <w:bCs/>
          <w:sz w:val="32"/>
          <w:u w:val="single"/>
        </w:rPr>
        <w:t>2026</w:t>
      </w:r>
      <w:r>
        <w:rPr>
          <w:rFonts w:hint="eastAsia" w:ascii="黑体" w:hAnsi="黑体" w:eastAsia="黑体"/>
          <w:b/>
          <w:bCs/>
          <w:sz w:val="32"/>
        </w:rPr>
        <w:t>年</w:t>
      </w:r>
      <w:r>
        <w:rPr>
          <w:rFonts w:hint="eastAsia" w:ascii="黑体" w:hAnsi="黑体" w:eastAsia="黑体"/>
          <w:b/>
          <w:bCs/>
          <w:sz w:val="32"/>
          <w:u w:val="single"/>
          <w:lang w:val="en-US" w:eastAsia="zh-CN"/>
        </w:rPr>
        <w:t>5</w:t>
      </w:r>
      <w:r>
        <w:rPr>
          <w:rFonts w:hint="eastAsia" w:ascii="黑体" w:hAnsi="黑体" w:eastAsia="黑体"/>
          <w:b/>
          <w:bCs/>
          <w:sz w:val="32"/>
        </w:rPr>
        <w:t>月</w:t>
      </w:r>
      <w:r>
        <w:rPr>
          <w:rFonts w:hint="eastAsia" w:ascii="黑体" w:hAnsi="黑体" w:eastAsia="黑体"/>
          <w:b/>
          <w:bCs/>
          <w:sz w:val="32"/>
          <w:u w:val="single"/>
          <w:lang w:val="en-US" w:eastAsia="zh-CN"/>
        </w:rPr>
        <w:t>9</w:t>
      </w:r>
      <w:r>
        <w:rPr>
          <w:rFonts w:hint="eastAsia" w:ascii="黑体" w:hAnsi="黑体" w:eastAsia="黑体"/>
          <w:b/>
          <w:bCs/>
          <w:sz w:val="32"/>
        </w:rPr>
        <w:t>日</w:t>
      </w:r>
    </w:p>
    <w:p w14:paraId="576CE595">
      <w:pPr>
        <w:pStyle w:val="243"/>
        <w:ind w:firstLine="0"/>
        <w:rPr>
          <w:rFonts w:ascii="Times New Roman" w:hAnsi="Times New Roman"/>
          <w:u w:val="single"/>
        </w:rPr>
      </w:pPr>
      <w:r>
        <w:rPr>
          <w:rFonts w:hint="eastAsia" w:ascii="Times New Roman" w:hAnsi="Times New Roman"/>
        </w:rPr>
        <w:t xml:space="preserve">                        </w:t>
      </w:r>
    </w:p>
    <w:p w14:paraId="465325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eastAsia="仿宋_GB2312"/>
          <w:b/>
          <w:sz w:val="28"/>
        </w:rPr>
      </w:pPr>
      <w:bookmarkStart w:id="0" w:name="_Toc24509"/>
      <w:bookmarkStart w:id="1" w:name="_Toc29660"/>
      <w:bookmarkStart w:id="2" w:name="_Toc29728"/>
      <w:r>
        <w:rPr>
          <w:rFonts w:hint="eastAsia" w:eastAsia="黑体"/>
          <w:b/>
          <w:sz w:val="44"/>
        </w:rPr>
        <w:t>目  录</w:t>
      </w:r>
      <w:bookmarkEnd w:id="0"/>
      <w:bookmarkEnd w:id="1"/>
      <w:bookmarkEnd w:id="2"/>
    </w:p>
    <w:sdt>
      <w:sdtPr>
        <w:rPr>
          <w:rFonts w:ascii="宋体" w:hAnsi="宋体" w:eastAsia="宋体" w:cs="Times New Roman"/>
          <w:sz w:val="21"/>
          <w:szCs w:val="21"/>
          <w:lang w:val="en-US" w:eastAsia="zh-CN" w:bidi="ar-SA"/>
        </w:rPr>
        <w:id w:val="147477741"/>
        <w15:color w:val="DBDBDB"/>
        <w:docPartObj>
          <w:docPartGallery w:val="Table of Contents"/>
          <w:docPartUnique/>
        </w:docPartObj>
      </w:sdtPr>
      <w:sdtEndPr>
        <w:rPr>
          <w:rFonts w:ascii="Times New Roman" w:hAnsi="Times New Roman" w:eastAsia="宋体" w:cs="Times New Roman"/>
          <w:sz w:val="21"/>
          <w:szCs w:val="21"/>
          <w:lang w:val="en-US" w:eastAsia="zh-CN" w:bidi="ar-SA"/>
        </w:rPr>
      </w:sdtEndPr>
      <w:sdtContent>
        <w:p w14:paraId="62875B62">
          <w:pPr>
            <w:spacing w:before="0" w:beforeLines="0" w:after="0" w:afterLines="0" w:line="240" w:lineRule="auto"/>
            <w:ind w:left="0" w:leftChars="0" w:right="0" w:rightChars="0" w:firstLine="0" w:firstLineChars="0"/>
            <w:jc w:val="center"/>
          </w:pPr>
          <w:r>
            <w:fldChar w:fldCharType="begin"/>
          </w:r>
          <w:r>
            <w:instrText xml:space="preserve">TOC \o "1-2" \h \u </w:instrText>
          </w:r>
          <w:r>
            <w:fldChar w:fldCharType="separate"/>
          </w:r>
        </w:p>
        <w:p w14:paraId="65D9AAEE">
          <w:pPr>
            <w:pStyle w:val="32"/>
            <w:tabs>
              <w:tab w:val="right" w:leader="dot" w:pos="8953"/>
              <w:tab w:val="clear" w:pos="8720"/>
            </w:tabs>
          </w:pPr>
          <w:r>
            <w:fldChar w:fldCharType="begin"/>
          </w:r>
          <w:r>
            <w:instrText xml:space="preserve"> HYPERLINK \l _Toc25642 </w:instrText>
          </w:r>
          <w:r>
            <w:fldChar w:fldCharType="separate"/>
          </w:r>
          <w:r>
            <w:rPr>
              <w:rFonts w:hint="eastAsia" w:ascii="Times New Roman" w:eastAsia="黑体"/>
              <w:szCs w:val="44"/>
            </w:rPr>
            <w:t>第一章  投标邀请</w:t>
          </w:r>
          <w:r>
            <w:tab/>
          </w:r>
          <w:r>
            <w:fldChar w:fldCharType="begin"/>
          </w:r>
          <w:r>
            <w:instrText xml:space="preserve"> PAGEREF _Toc25642 \h </w:instrText>
          </w:r>
          <w:r>
            <w:fldChar w:fldCharType="separate"/>
          </w:r>
          <w:r>
            <w:t>3</w:t>
          </w:r>
          <w:r>
            <w:fldChar w:fldCharType="end"/>
          </w:r>
          <w:r>
            <w:fldChar w:fldCharType="end"/>
          </w:r>
        </w:p>
        <w:p w14:paraId="6CB5510C">
          <w:pPr>
            <w:pStyle w:val="32"/>
            <w:tabs>
              <w:tab w:val="right" w:leader="dot" w:pos="8953"/>
              <w:tab w:val="clear" w:pos="8720"/>
            </w:tabs>
          </w:pPr>
          <w:r>
            <w:fldChar w:fldCharType="begin"/>
          </w:r>
          <w:r>
            <w:instrText xml:space="preserve"> HYPERLINK \l _Toc24496 </w:instrText>
          </w:r>
          <w:r>
            <w:fldChar w:fldCharType="separate"/>
          </w:r>
          <w:r>
            <w:rPr>
              <w:rFonts w:hint="eastAsia" w:ascii="Times New Roman" w:eastAsia="黑体"/>
              <w:szCs w:val="44"/>
            </w:rPr>
            <w:t>第二章  投标人须知</w:t>
          </w:r>
          <w:r>
            <w:tab/>
          </w:r>
          <w:r>
            <w:fldChar w:fldCharType="begin"/>
          </w:r>
          <w:r>
            <w:instrText xml:space="preserve"> PAGEREF _Toc24496 \h </w:instrText>
          </w:r>
          <w:r>
            <w:fldChar w:fldCharType="separate"/>
          </w:r>
          <w:r>
            <w:t>7</w:t>
          </w:r>
          <w:r>
            <w:fldChar w:fldCharType="end"/>
          </w:r>
          <w:r>
            <w:fldChar w:fldCharType="end"/>
          </w:r>
        </w:p>
        <w:p w14:paraId="2C377B85">
          <w:pPr>
            <w:pStyle w:val="40"/>
            <w:tabs>
              <w:tab w:val="right" w:leader="dot" w:pos="8953"/>
            </w:tabs>
          </w:pPr>
          <w:r>
            <w:fldChar w:fldCharType="begin"/>
          </w:r>
          <w:r>
            <w:instrText xml:space="preserve"> HYPERLINK \l _Toc18987 </w:instrText>
          </w:r>
          <w:r>
            <w:fldChar w:fldCharType="separate"/>
          </w:r>
          <w:r>
            <w:rPr>
              <w:rFonts w:hint="eastAsia" w:ascii="Arial" w:hAnsi="Arial" w:cs="Arial"/>
              <w:bCs/>
              <w:szCs w:val="22"/>
            </w:rPr>
            <w:t>投标人须知前附表：</w:t>
          </w:r>
          <w:r>
            <w:tab/>
          </w:r>
          <w:r>
            <w:fldChar w:fldCharType="begin"/>
          </w:r>
          <w:r>
            <w:instrText xml:space="preserve"> PAGEREF _Toc18987 \h </w:instrText>
          </w:r>
          <w:r>
            <w:fldChar w:fldCharType="separate"/>
          </w:r>
          <w:r>
            <w:t>7</w:t>
          </w:r>
          <w:r>
            <w:fldChar w:fldCharType="end"/>
          </w:r>
          <w:r>
            <w:fldChar w:fldCharType="end"/>
          </w:r>
        </w:p>
        <w:p w14:paraId="09B397B4">
          <w:pPr>
            <w:pStyle w:val="40"/>
            <w:tabs>
              <w:tab w:val="right" w:leader="dot" w:pos="8953"/>
            </w:tabs>
          </w:pPr>
          <w:r>
            <w:fldChar w:fldCharType="begin"/>
          </w:r>
          <w:r>
            <w:instrText xml:space="preserve"> HYPERLINK \l _Toc1715 </w:instrText>
          </w:r>
          <w:r>
            <w:fldChar w:fldCharType="separate"/>
          </w:r>
          <w:r>
            <w:rPr>
              <w:rFonts w:hint="eastAsia" w:ascii="宋体" w:hAnsi="宋体" w:eastAsia="宋体" w:cs="宋体"/>
              <w:szCs w:val="32"/>
            </w:rPr>
            <w:t>一、总则</w:t>
          </w:r>
          <w:r>
            <w:tab/>
          </w:r>
          <w:r>
            <w:fldChar w:fldCharType="begin"/>
          </w:r>
          <w:r>
            <w:instrText xml:space="preserve"> PAGEREF _Toc1715 \h </w:instrText>
          </w:r>
          <w:r>
            <w:fldChar w:fldCharType="separate"/>
          </w:r>
          <w:r>
            <w:t>8</w:t>
          </w:r>
          <w:r>
            <w:fldChar w:fldCharType="end"/>
          </w:r>
          <w:r>
            <w:fldChar w:fldCharType="end"/>
          </w:r>
        </w:p>
        <w:p w14:paraId="6FA80B1D">
          <w:pPr>
            <w:pStyle w:val="40"/>
            <w:tabs>
              <w:tab w:val="right" w:leader="dot" w:pos="8953"/>
            </w:tabs>
          </w:pPr>
          <w:r>
            <w:fldChar w:fldCharType="begin"/>
          </w:r>
          <w:r>
            <w:instrText xml:space="preserve"> HYPERLINK \l _Toc16352 </w:instrText>
          </w:r>
          <w:r>
            <w:fldChar w:fldCharType="separate"/>
          </w:r>
          <w:r>
            <w:rPr>
              <w:rFonts w:hint="eastAsia" w:ascii="宋体" w:hAnsi="宋体" w:eastAsia="宋体" w:cs="宋体"/>
              <w:szCs w:val="32"/>
            </w:rPr>
            <w:t>二、招标文件</w:t>
          </w:r>
          <w:r>
            <w:tab/>
          </w:r>
          <w:r>
            <w:fldChar w:fldCharType="begin"/>
          </w:r>
          <w:r>
            <w:instrText xml:space="preserve"> PAGEREF _Toc16352 \h </w:instrText>
          </w:r>
          <w:r>
            <w:fldChar w:fldCharType="separate"/>
          </w:r>
          <w:r>
            <w:t>8</w:t>
          </w:r>
          <w:r>
            <w:fldChar w:fldCharType="end"/>
          </w:r>
          <w:r>
            <w:fldChar w:fldCharType="end"/>
          </w:r>
        </w:p>
        <w:p w14:paraId="3A22AF5D">
          <w:pPr>
            <w:pStyle w:val="40"/>
            <w:tabs>
              <w:tab w:val="right" w:leader="dot" w:pos="8953"/>
            </w:tabs>
          </w:pPr>
          <w:r>
            <w:fldChar w:fldCharType="begin"/>
          </w:r>
          <w:r>
            <w:instrText xml:space="preserve"> HYPERLINK \l _Toc24570 </w:instrText>
          </w:r>
          <w:r>
            <w:fldChar w:fldCharType="separate"/>
          </w:r>
          <w:r>
            <w:rPr>
              <w:rFonts w:hint="eastAsia" w:ascii="宋体" w:hAnsi="宋体" w:eastAsia="宋体" w:cs="宋体"/>
              <w:szCs w:val="32"/>
            </w:rPr>
            <w:t>三、投标文件的编制</w:t>
          </w:r>
          <w:r>
            <w:tab/>
          </w:r>
          <w:r>
            <w:fldChar w:fldCharType="begin"/>
          </w:r>
          <w:r>
            <w:instrText xml:space="preserve"> PAGEREF _Toc24570 \h </w:instrText>
          </w:r>
          <w:r>
            <w:fldChar w:fldCharType="separate"/>
          </w:r>
          <w:r>
            <w:t>12</w:t>
          </w:r>
          <w:r>
            <w:fldChar w:fldCharType="end"/>
          </w:r>
          <w:r>
            <w:fldChar w:fldCharType="end"/>
          </w:r>
        </w:p>
        <w:p w14:paraId="2F195BA8">
          <w:pPr>
            <w:pStyle w:val="40"/>
            <w:tabs>
              <w:tab w:val="right" w:leader="dot" w:pos="8953"/>
            </w:tabs>
          </w:pPr>
          <w:r>
            <w:fldChar w:fldCharType="begin"/>
          </w:r>
          <w:r>
            <w:instrText xml:space="preserve"> HYPERLINK \l _Toc5372 </w:instrText>
          </w:r>
          <w:r>
            <w:fldChar w:fldCharType="separate"/>
          </w:r>
          <w:r>
            <w:rPr>
              <w:rFonts w:hint="eastAsia" w:ascii="宋体" w:hAnsi="宋体" w:eastAsia="宋体" w:cs="宋体"/>
              <w:szCs w:val="32"/>
            </w:rPr>
            <w:t>四、投标文件的提交</w:t>
          </w:r>
          <w:r>
            <w:tab/>
          </w:r>
          <w:r>
            <w:fldChar w:fldCharType="begin"/>
          </w:r>
          <w:r>
            <w:instrText xml:space="preserve"> PAGEREF _Toc5372 \h </w:instrText>
          </w:r>
          <w:r>
            <w:fldChar w:fldCharType="separate"/>
          </w:r>
          <w:r>
            <w:t>13</w:t>
          </w:r>
          <w:r>
            <w:fldChar w:fldCharType="end"/>
          </w:r>
          <w:r>
            <w:fldChar w:fldCharType="end"/>
          </w:r>
        </w:p>
        <w:p w14:paraId="0CB0C59C">
          <w:pPr>
            <w:pStyle w:val="40"/>
            <w:tabs>
              <w:tab w:val="right" w:leader="dot" w:pos="8953"/>
            </w:tabs>
          </w:pPr>
          <w:r>
            <w:fldChar w:fldCharType="begin"/>
          </w:r>
          <w:r>
            <w:instrText xml:space="preserve"> HYPERLINK \l _Toc3447 </w:instrText>
          </w:r>
          <w:r>
            <w:fldChar w:fldCharType="separate"/>
          </w:r>
          <w:r>
            <w:rPr>
              <w:rFonts w:hint="eastAsia" w:ascii="宋体" w:hAnsi="宋体" w:eastAsia="宋体" w:cs="宋体"/>
              <w:szCs w:val="32"/>
            </w:rPr>
            <w:t>五、开标、评标程序</w:t>
          </w:r>
          <w:r>
            <w:tab/>
          </w:r>
          <w:r>
            <w:fldChar w:fldCharType="begin"/>
          </w:r>
          <w:r>
            <w:instrText xml:space="preserve"> PAGEREF _Toc3447 \h </w:instrText>
          </w:r>
          <w:r>
            <w:fldChar w:fldCharType="separate"/>
          </w:r>
          <w:r>
            <w:t>13</w:t>
          </w:r>
          <w:r>
            <w:fldChar w:fldCharType="end"/>
          </w:r>
          <w:r>
            <w:fldChar w:fldCharType="end"/>
          </w:r>
        </w:p>
        <w:p w14:paraId="61670698">
          <w:pPr>
            <w:pStyle w:val="40"/>
            <w:tabs>
              <w:tab w:val="right" w:leader="dot" w:pos="8953"/>
            </w:tabs>
          </w:pPr>
          <w:r>
            <w:fldChar w:fldCharType="begin"/>
          </w:r>
          <w:r>
            <w:instrText xml:space="preserve"> HYPERLINK \l _Toc5936 </w:instrText>
          </w:r>
          <w:r>
            <w:fldChar w:fldCharType="separate"/>
          </w:r>
          <w:r>
            <w:rPr>
              <w:rFonts w:hint="eastAsia" w:ascii="宋体" w:hAnsi="宋体" w:eastAsia="宋体" w:cs="宋体"/>
              <w:szCs w:val="32"/>
            </w:rPr>
            <w:t>六、无效投标、废标、串通投标及取消中标候选人资格情形</w:t>
          </w:r>
          <w:r>
            <w:tab/>
          </w:r>
          <w:r>
            <w:fldChar w:fldCharType="begin"/>
          </w:r>
          <w:r>
            <w:instrText xml:space="preserve"> PAGEREF _Toc5936 \h </w:instrText>
          </w:r>
          <w:r>
            <w:fldChar w:fldCharType="separate"/>
          </w:r>
          <w:r>
            <w:t>16</w:t>
          </w:r>
          <w:r>
            <w:fldChar w:fldCharType="end"/>
          </w:r>
          <w:r>
            <w:fldChar w:fldCharType="end"/>
          </w:r>
        </w:p>
        <w:p w14:paraId="1524FB12">
          <w:pPr>
            <w:pStyle w:val="40"/>
            <w:tabs>
              <w:tab w:val="right" w:leader="dot" w:pos="8953"/>
            </w:tabs>
          </w:pPr>
          <w:r>
            <w:fldChar w:fldCharType="begin"/>
          </w:r>
          <w:r>
            <w:instrText xml:space="preserve"> HYPERLINK \l _Toc13181 </w:instrText>
          </w:r>
          <w:r>
            <w:fldChar w:fldCharType="separate"/>
          </w:r>
          <w:r>
            <w:rPr>
              <w:rFonts w:hint="eastAsia" w:ascii="宋体" w:hAnsi="宋体" w:eastAsia="宋体" w:cs="宋体"/>
              <w:szCs w:val="32"/>
            </w:rPr>
            <w:t>七、中标及合同签订</w:t>
          </w:r>
          <w:r>
            <w:tab/>
          </w:r>
          <w:r>
            <w:fldChar w:fldCharType="begin"/>
          </w:r>
          <w:r>
            <w:instrText xml:space="preserve"> PAGEREF _Toc13181 \h </w:instrText>
          </w:r>
          <w:r>
            <w:fldChar w:fldCharType="separate"/>
          </w:r>
          <w:r>
            <w:t>18</w:t>
          </w:r>
          <w:r>
            <w:fldChar w:fldCharType="end"/>
          </w:r>
          <w:r>
            <w:fldChar w:fldCharType="end"/>
          </w:r>
        </w:p>
        <w:p w14:paraId="6A761294">
          <w:pPr>
            <w:pStyle w:val="40"/>
            <w:tabs>
              <w:tab w:val="right" w:leader="dot" w:pos="8953"/>
            </w:tabs>
          </w:pPr>
          <w:r>
            <w:fldChar w:fldCharType="begin"/>
          </w:r>
          <w:r>
            <w:instrText xml:space="preserve"> HYPERLINK \l _Toc14686 </w:instrText>
          </w:r>
          <w:r>
            <w:fldChar w:fldCharType="separate"/>
          </w:r>
          <w:r>
            <w:rPr>
              <w:rFonts w:hint="eastAsia" w:ascii="Arial" w:hAnsi="Arial" w:cs="Arial"/>
              <w:bCs/>
              <w:szCs w:val="22"/>
              <w:lang w:val="en-US" w:eastAsia="zh-CN"/>
            </w:rPr>
            <w:t>八</w:t>
          </w:r>
          <w:r>
            <w:rPr>
              <w:rFonts w:hint="eastAsia" w:ascii="Arial" w:hAnsi="Arial" w:cs="Arial"/>
              <w:bCs/>
              <w:szCs w:val="22"/>
            </w:rPr>
            <w:t>、质疑与投诉</w:t>
          </w:r>
          <w:r>
            <w:tab/>
          </w:r>
          <w:r>
            <w:fldChar w:fldCharType="begin"/>
          </w:r>
          <w:r>
            <w:instrText xml:space="preserve"> PAGEREF _Toc14686 \h </w:instrText>
          </w:r>
          <w:r>
            <w:fldChar w:fldCharType="separate"/>
          </w:r>
          <w:r>
            <w:t>20</w:t>
          </w:r>
          <w:r>
            <w:fldChar w:fldCharType="end"/>
          </w:r>
          <w:r>
            <w:fldChar w:fldCharType="end"/>
          </w:r>
        </w:p>
        <w:p w14:paraId="77BFA666">
          <w:pPr>
            <w:pStyle w:val="32"/>
            <w:tabs>
              <w:tab w:val="right" w:leader="dot" w:pos="8953"/>
              <w:tab w:val="clear" w:pos="8720"/>
            </w:tabs>
          </w:pPr>
          <w:r>
            <w:fldChar w:fldCharType="begin"/>
          </w:r>
          <w:r>
            <w:instrText xml:space="preserve"> HYPERLINK \l _Toc16851 </w:instrText>
          </w:r>
          <w:r>
            <w:fldChar w:fldCharType="separate"/>
          </w:r>
          <w:r>
            <w:rPr>
              <w:rFonts w:hint="eastAsia" w:eastAsia="黑体" w:cs="Arial"/>
              <w:bCs/>
              <w:szCs w:val="44"/>
            </w:rPr>
            <w:t>第三章 资格审查及评标方法</w:t>
          </w:r>
          <w:r>
            <w:tab/>
          </w:r>
          <w:r>
            <w:fldChar w:fldCharType="begin"/>
          </w:r>
          <w:r>
            <w:instrText xml:space="preserve"> PAGEREF _Toc16851 \h </w:instrText>
          </w:r>
          <w:r>
            <w:fldChar w:fldCharType="separate"/>
          </w:r>
          <w:r>
            <w:t>22</w:t>
          </w:r>
          <w:r>
            <w:fldChar w:fldCharType="end"/>
          </w:r>
          <w:r>
            <w:fldChar w:fldCharType="end"/>
          </w:r>
        </w:p>
        <w:p w14:paraId="75D6B5FC">
          <w:pPr>
            <w:pStyle w:val="32"/>
            <w:tabs>
              <w:tab w:val="right" w:leader="dot" w:pos="8953"/>
              <w:tab w:val="clear" w:pos="8720"/>
            </w:tabs>
          </w:pPr>
          <w:r>
            <w:fldChar w:fldCharType="begin"/>
          </w:r>
          <w:r>
            <w:instrText xml:space="preserve"> HYPERLINK \l _Toc6873 </w:instrText>
          </w:r>
          <w:r>
            <w:fldChar w:fldCharType="separate"/>
          </w:r>
          <w:r>
            <w:rPr>
              <w:rFonts w:hint="eastAsia" w:eastAsia="黑体"/>
              <w:szCs w:val="44"/>
            </w:rPr>
            <w:t>第四章 采购需求</w:t>
          </w:r>
          <w:r>
            <w:tab/>
          </w:r>
          <w:r>
            <w:fldChar w:fldCharType="begin"/>
          </w:r>
          <w:r>
            <w:instrText xml:space="preserve"> PAGEREF _Toc6873 \h </w:instrText>
          </w:r>
          <w:r>
            <w:fldChar w:fldCharType="separate"/>
          </w:r>
          <w:r>
            <w:t>26</w:t>
          </w:r>
          <w:r>
            <w:fldChar w:fldCharType="end"/>
          </w:r>
          <w:r>
            <w:fldChar w:fldCharType="end"/>
          </w:r>
        </w:p>
        <w:p w14:paraId="57015D69">
          <w:pPr>
            <w:pStyle w:val="40"/>
            <w:tabs>
              <w:tab w:val="right" w:leader="dot" w:pos="8953"/>
            </w:tabs>
          </w:pPr>
          <w:r>
            <w:fldChar w:fldCharType="begin"/>
          </w:r>
          <w:r>
            <w:instrText xml:space="preserve"> HYPERLINK \l _Toc13955 </w:instrText>
          </w:r>
          <w:r>
            <w:fldChar w:fldCharType="separate"/>
          </w:r>
          <w:r>
            <w:rPr>
              <w:rFonts w:hint="eastAsia" w:ascii="宋体" w:hAnsi="宋体" w:cs="宋体"/>
              <w:bCs/>
              <w:szCs w:val="24"/>
            </w:rPr>
            <w:t>一、采购标的清单</w:t>
          </w:r>
          <w:r>
            <w:tab/>
          </w:r>
          <w:r>
            <w:fldChar w:fldCharType="begin"/>
          </w:r>
          <w:r>
            <w:instrText xml:space="preserve"> PAGEREF _Toc13955 \h </w:instrText>
          </w:r>
          <w:r>
            <w:fldChar w:fldCharType="separate"/>
          </w:r>
          <w:r>
            <w:t>26</w:t>
          </w:r>
          <w:r>
            <w:fldChar w:fldCharType="end"/>
          </w:r>
          <w:r>
            <w:fldChar w:fldCharType="end"/>
          </w:r>
        </w:p>
        <w:p w14:paraId="3318A205">
          <w:pPr>
            <w:pStyle w:val="40"/>
            <w:tabs>
              <w:tab w:val="right" w:leader="dot" w:pos="8953"/>
            </w:tabs>
          </w:pPr>
          <w:r>
            <w:fldChar w:fldCharType="begin"/>
          </w:r>
          <w:r>
            <w:instrText xml:space="preserve"> HYPERLINK \l _Toc13698 </w:instrText>
          </w:r>
          <w:r>
            <w:fldChar w:fldCharType="separate"/>
          </w:r>
          <w:r>
            <w:rPr>
              <w:rFonts w:hint="eastAsia" w:ascii="宋体" w:hAnsi="宋体" w:cs="宋体"/>
              <w:bCs/>
              <w:szCs w:val="24"/>
              <w:lang w:val="en-US" w:eastAsia="zh-CN" w:bidi="ar"/>
            </w:rPr>
            <w:t>二</w:t>
          </w:r>
          <w:r>
            <w:rPr>
              <w:rFonts w:hint="eastAsia" w:ascii="宋体" w:hAnsi="宋体" w:cs="宋体"/>
              <w:bCs/>
              <w:szCs w:val="24"/>
              <w:lang w:bidi="ar"/>
            </w:rPr>
            <w:t>、项目概况</w:t>
          </w:r>
          <w:r>
            <w:tab/>
          </w:r>
          <w:r>
            <w:fldChar w:fldCharType="begin"/>
          </w:r>
          <w:r>
            <w:instrText xml:space="preserve"> PAGEREF _Toc13698 \h </w:instrText>
          </w:r>
          <w:r>
            <w:fldChar w:fldCharType="separate"/>
          </w:r>
          <w:r>
            <w:t>26</w:t>
          </w:r>
          <w:r>
            <w:fldChar w:fldCharType="end"/>
          </w:r>
          <w:r>
            <w:fldChar w:fldCharType="end"/>
          </w:r>
        </w:p>
        <w:p w14:paraId="7D8E4700">
          <w:pPr>
            <w:pStyle w:val="40"/>
            <w:tabs>
              <w:tab w:val="right" w:leader="dot" w:pos="8953"/>
            </w:tabs>
          </w:pPr>
          <w:r>
            <w:fldChar w:fldCharType="begin"/>
          </w:r>
          <w:r>
            <w:instrText xml:space="preserve"> HYPERLINK \l _Toc12286 </w:instrText>
          </w:r>
          <w:r>
            <w:fldChar w:fldCharType="separate"/>
          </w:r>
          <w:r>
            <w:rPr>
              <w:rFonts w:hint="eastAsia" w:ascii="宋体" w:hAnsi="宋体" w:cs="宋体"/>
              <w:bCs/>
              <w:szCs w:val="24"/>
              <w:lang w:val="en-US" w:eastAsia="zh-CN" w:bidi="ar"/>
            </w:rPr>
            <w:t>三、商务要求</w:t>
          </w:r>
          <w:r>
            <w:tab/>
          </w:r>
          <w:r>
            <w:fldChar w:fldCharType="begin"/>
          </w:r>
          <w:r>
            <w:instrText xml:space="preserve"> PAGEREF _Toc12286 \h </w:instrText>
          </w:r>
          <w:r>
            <w:fldChar w:fldCharType="separate"/>
          </w:r>
          <w:r>
            <w:t>26</w:t>
          </w:r>
          <w:r>
            <w:fldChar w:fldCharType="end"/>
          </w:r>
          <w:r>
            <w:fldChar w:fldCharType="end"/>
          </w:r>
        </w:p>
        <w:p w14:paraId="0DBFB2B6">
          <w:pPr>
            <w:pStyle w:val="40"/>
            <w:tabs>
              <w:tab w:val="right" w:leader="dot" w:pos="8953"/>
            </w:tabs>
          </w:pPr>
          <w:r>
            <w:fldChar w:fldCharType="begin"/>
          </w:r>
          <w:r>
            <w:instrText xml:space="preserve"> HYPERLINK \l _Toc20940 </w:instrText>
          </w:r>
          <w:r>
            <w:fldChar w:fldCharType="separate"/>
          </w:r>
          <w:r>
            <w:rPr>
              <w:rFonts w:hint="eastAsia" w:ascii="宋体" w:hAnsi="宋体" w:cs="宋体"/>
              <w:bCs/>
              <w:szCs w:val="24"/>
              <w:lang w:val="en-US" w:eastAsia="zh-CN" w:bidi="ar"/>
            </w:rPr>
            <w:t>四、采购产品参数要求</w:t>
          </w:r>
          <w:r>
            <w:tab/>
          </w:r>
          <w:r>
            <w:fldChar w:fldCharType="begin"/>
          </w:r>
          <w:r>
            <w:instrText xml:space="preserve"> PAGEREF _Toc20940 \h </w:instrText>
          </w:r>
          <w:r>
            <w:fldChar w:fldCharType="separate"/>
          </w:r>
          <w:r>
            <w:t>27</w:t>
          </w:r>
          <w:r>
            <w:fldChar w:fldCharType="end"/>
          </w:r>
          <w:r>
            <w:fldChar w:fldCharType="end"/>
          </w:r>
        </w:p>
        <w:p w14:paraId="5B0CAF7B">
          <w:pPr>
            <w:pStyle w:val="40"/>
            <w:tabs>
              <w:tab w:val="right" w:leader="dot" w:pos="8953"/>
            </w:tabs>
          </w:pPr>
          <w:r>
            <w:fldChar w:fldCharType="begin"/>
          </w:r>
          <w:r>
            <w:instrText xml:space="preserve"> HYPERLINK \l _Toc4495 </w:instrText>
          </w:r>
          <w:r>
            <w:fldChar w:fldCharType="separate"/>
          </w:r>
          <w:r>
            <w:rPr>
              <w:rFonts w:hint="eastAsia" w:ascii="宋体" w:hAnsi="宋体" w:cs="宋体"/>
              <w:bCs/>
              <w:szCs w:val="24"/>
              <w:lang w:val="en-US" w:eastAsia="zh-CN"/>
            </w:rPr>
            <w:t>分包1：全自动酶联免疫分析仪</w:t>
          </w:r>
          <w:r>
            <w:tab/>
          </w:r>
          <w:r>
            <w:fldChar w:fldCharType="begin"/>
          </w:r>
          <w:r>
            <w:instrText xml:space="preserve"> PAGEREF _Toc4495 \h </w:instrText>
          </w:r>
          <w:r>
            <w:fldChar w:fldCharType="separate"/>
          </w:r>
          <w:r>
            <w:t>27</w:t>
          </w:r>
          <w:r>
            <w:fldChar w:fldCharType="end"/>
          </w:r>
          <w:r>
            <w:fldChar w:fldCharType="end"/>
          </w:r>
        </w:p>
        <w:p w14:paraId="71A213E5">
          <w:pPr>
            <w:pStyle w:val="40"/>
            <w:tabs>
              <w:tab w:val="right" w:leader="dot" w:pos="8953"/>
            </w:tabs>
          </w:pPr>
          <w:r>
            <w:fldChar w:fldCharType="begin"/>
          </w:r>
          <w:r>
            <w:instrText xml:space="preserve"> HYPERLINK \l _Toc6130 </w:instrText>
          </w:r>
          <w:r>
            <w:fldChar w:fldCharType="separate"/>
          </w:r>
          <w:r>
            <w:rPr>
              <w:rFonts w:hint="eastAsia" w:ascii="宋体" w:hAnsi="宋体" w:cs="宋体"/>
              <w:bCs/>
              <w:szCs w:val="24"/>
              <w:lang w:val="en-US" w:eastAsia="zh-CN"/>
            </w:rPr>
            <w:t>分包2：全自动生化分析仪</w:t>
          </w:r>
          <w:r>
            <w:tab/>
          </w:r>
          <w:r>
            <w:fldChar w:fldCharType="begin"/>
          </w:r>
          <w:r>
            <w:instrText xml:space="preserve"> PAGEREF _Toc6130 \h </w:instrText>
          </w:r>
          <w:r>
            <w:fldChar w:fldCharType="separate"/>
          </w:r>
          <w:r>
            <w:t>29</w:t>
          </w:r>
          <w:r>
            <w:fldChar w:fldCharType="end"/>
          </w:r>
          <w:r>
            <w:fldChar w:fldCharType="end"/>
          </w:r>
        </w:p>
        <w:p w14:paraId="07604840">
          <w:pPr>
            <w:pStyle w:val="40"/>
            <w:tabs>
              <w:tab w:val="right" w:leader="dot" w:pos="8953"/>
            </w:tabs>
          </w:pPr>
          <w:r>
            <w:fldChar w:fldCharType="begin"/>
          </w:r>
          <w:r>
            <w:instrText xml:space="preserve"> HYPERLINK \l _Toc21553 </w:instrText>
          </w:r>
          <w:r>
            <w:fldChar w:fldCharType="separate"/>
          </w:r>
          <w:r>
            <w:rPr>
              <w:rFonts w:hint="eastAsia" w:ascii="宋体" w:hAnsi="宋体" w:cs="宋体"/>
              <w:bCs/>
              <w:szCs w:val="24"/>
              <w:lang w:val="en-US" w:eastAsia="zh-CN"/>
            </w:rPr>
            <w:t>分包3：核酸气溶胶清除仪</w:t>
          </w:r>
          <w:r>
            <w:tab/>
          </w:r>
          <w:r>
            <w:fldChar w:fldCharType="begin"/>
          </w:r>
          <w:r>
            <w:instrText xml:space="preserve"> PAGEREF _Toc21553 \h </w:instrText>
          </w:r>
          <w:r>
            <w:fldChar w:fldCharType="separate"/>
          </w:r>
          <w:r>
            <w:t>31</w:t>
          </w:r>
          <w:r>
            <w:fldChar w:fldCharType="end"/>
          </w:r>
          <w:r>
            <w:fldChar w:fldCharType="end"/>
          </w:r>
        </w:p>
        <w:p w14:paraId="23C850D6">
          <w:pPr>
            <w:pStyle w:val="40"/>
            <w:tabs>
              <w:tab w:val="right" w:leader="dot" w:pos="8953"/>
            </w:tabs>
          </w:pPr>
          <w:r>
            <w:fldChar w:fldCharType="begin"/>
          </w:r>
          <w:r>
            <w:instrText xml:space="preserve"> HYPERLINK \l _Toc4077 </w:instrText>
          </w:r>
          <w:r>
            <w:fldChar w:fldCharType="separate"/>
          </w:r>
          <w:r>
            <w:rPr>
              <w:rFonts w:hint="default" w:ascii="宋体" w:hAnsi="宋体" w:eastAsia="宋体" w:cs="宋体"/>
              <w:highlight w:val="none"/>
            </w:rPr>
            <w:t>五、其他</w:t>
          </w:r>
          <w:r>
            <w:tab/>
          </w:r>
          <w:r>
            <w:fldChar w:fldCharType="begin"/>
          </w:r>
          <w:r>
            <w:instrText xml:space="preserve"> PAGEREF _Toc4077 \h </w:instrText>
          </w:r>
          <w:r>
            <w:fldChar w:fldCharType="separate"/>
          </w:r>
          <w:r>
            <w:t>31</w:t>
          </w:r>
          <w:r>
            <w:fldChar w:fldCharType="end"/>
          </w:r>
          <w:r>
            <w:fldChar w:fldCharType="end"/>
          </w:r>
        </w:p>
        <w:p w14:paraId="5115674D">
          <w:pPr>
            <w:pStyle w:val="40"/>
            <w:tabs>
              <w:tab w:val="right" w:leader="dot" w:pos="8953"/>
            </w:tabs>
          </w:pPr>
          <w:r>
            <w:fldChar w:fldCharType="begin"/>
          </w:r>
          <w:r>
            <w:instrText xml:space="preserve"> HYPERLINK \l _Toc12097 </w:instrText>
          </w:r>
          <w:r>
            <w:fldChar w:fldCharType="separate"/>
          </w:r>
          <w:r>
            <w:rPr>
              <w:rFonts w:hint="eastAsia" w:ascii="Times New Roman" w:hAnsi="Times New Roman" w:eastAsia="宋体" w:cs="Times New Roman"/>
              <w:bCs/>
              <w:highlight w:val="none"/>
              <w:lang w:val="en-US" w:eastAsia="zh-CN"/>
            </w:rPr>
            <w:t>六、</w:t>
          </w:r>
          <w:r>
            <w:rPr>
              <w:rFonts w:hint="eastAsia" w:ascii="宋体" w:hAnsi="宋体" w:eastAsia="宋体" w:cs="宋体"/>
              <w:bCs/>
              <w:highlight w:val="none"/>
              <w:lang w:val="en-US" w:eastAsia="zh-CN"/>
            </w:rPr>
            <w:t>供货要求</w:t>
          </w:r>
          <w:r>
            <w:tab/>
          </w:r>
          <w:r>
            <w:fldChar w:fldCharType="begin"/>
          </w:r>
          <w:r>
            <w:instrText xml:space="preserve"> PAGEREF _Toc12097 \h </w:instrText>
          </w:r>
          <w:r>
            <w:fldChar w:fldCharType="separate"/>
          </w:r>
          <w:r>
            <w:t>32</w:t>
          </w:r>
          <w:r>
            <w:fldChar w:fldCharType="end"/>
          </w:r>
          <w:r>
            <w:fldChar w:fldCharType="end"/>
          </w:r>
        </w:p>
        <w:p w14:paraId="74B05A58">
          <w:pPr>
            <w:pStyle w:val="40"/>
            <w:tabs>
              <w:tab w:val="right" w:leader="dot" w:pos="8953"/>
            </w:tabs>
          </w:pPr>
          <w:r>
            <w:fldChar w:fldCharType="begin"/>
          </w:r>
          <w:r>
            <w:instrText xml:space="preserve"> HYPERLINK \l _Toc11741 </w:instrText>
          </w:r>
          <w:r>
            <w:fldChar w:fldCharType="separate"/>
          </w:r>
          <w:r>
            <w:rPr>
              <w:rFonts w:hint="eastAsia" w:ascii="宋体" w:hAnsi="宋体" w:eastAsia="宋体" w:cs="宋体"/>
              <w:bCs/>
              <w:szCs w:val="21"/>
              <w:lang w:val="en-US" w:eastAsia="zh-CN" w:bidi="ar-SA"/>
            </w:rPr>
            <w:t>七、</w:t>
          </w:r>
          <w:r>
            <w:rPr>
              <w:rFonts w:hint="eastAsia" w:ascii="宋体" w:hAnsi="宋体" w:eastAsia="宋体" w:cs="宋体"/>
              <w:bCs/>
              <w:highlight w:val="none"/>
              <w:lang w:val="en-US" w:eastAsia="zh-CN"/>
            </w:rPr>
            <w:t>安装调试</w:t>
          </w:r>
          <w:r>
            <w:tab/>
          </w:r>
          <w:r>
            <w:fldChar w:fldCharType="begin"/>
          </w:r>
          <w:r>
            <w:instrText xml:space="preserve"> PAGEREF _Toc11741 \h </w:instrText>
          </w:r>
          <w:r>
            <w:fldChar w:fldCharType="separate"/>
          </w:r>
          <w:r>
            <w:t>32</w:t>
          </w:r>
          <w:r>
            <w:fldChar w:fldCharType="end"/>
          </w:r>
          <w:r>
            <w:fldChar w:fldCharType="end"/>
          </w:r>
        </w:p>
        <w:p w14:paraId="009F4C4C">
          <w:pPr>
            <w:pStyle w:val="40"/>
            <w:tabs>
              <w:tab w:val="right" w:leader="dot" w:pos="8953"/>
            </w:tabs>
          </w:pPr>
          <w:r>
            <w:fldChar w:fldCharType="begin"/>
          </w:r>
          <w:r>
            <w:instrText xml:space="preserve"> HYPERLINK \l _Toc24492 </w:instrText>
          </w:r>
          <w:r>
            <w:fldChar w:fldCharType="separate"/>
          </w:r>
          <w:r>
            <w:rPr>
              <w:rFonts w:hint="eastAsia" w:ascii="宋体" w:hAnsi="宋体" w:eastAsia="宋体" w:cs="宋体"/>
              <w:bCs/>
              <w:szCs w:val="21"/>
              <w:lang w:val="en-US" w:eastAsia="zh-CN" w:bidi="ar-SA"/>
            </w:rPr>
            <w:t>八、</w:t>
          </w:r>
          <w:r>
            <w:rPr>
              <w:rFonts w:hint="default" w:ascii="宋体" w:hAnsi="宋体" w:eastAsia="宋体" w:cs="宋体"/>
              <w:bCs/>
              <w:highlight w:val="none"/>
            </w:rPr>
            <w:t>培训</w:t>
          </w:r>
          <w:r>
            <w:rPr>
              <w:rFonts w:hint="eastAsia" w:ascii="宋体" w:hAnsi="宋体" w:eastAsia="宋体" w:cs="宋体"/>
              <w:bCs/>
              <w:highlight w:val="none"/>
              <w:lang w:val="en-US" w:eastAsia="zh-CN"/>
            </w:rPr>
            <w:t>要求</w:t>
          </w:r>
          <w:r>
            <w:tab/>
          </w:r>
          <w:r>
            <w:fldChar w:fldCharType="begin"/>
          </w:r>
          <w:r>
            <w:instrText xml:space="preserve"> PAGEREF _Toc24492 \h </w:instrText>
          </w:r>
          <w:r>
            <w:fldChar w:fldCharType="separate"/>
          </w:r>
          <w:r>
            <w:t>32</w:t>
          </w:r>
          <w:r>
            <w:fldChar w:fldCharType="end"/>
          </w:r>
          <w:r>
            <w:fldChar w:fldCharType="end"/>
          </w:r>
        </w:p>
        <w:p w14:paraId="47C23CFA">
          <w:pPr>
            <w:pStyle w:val="40"/>
            <w:tabs>
              <w:tab w:val="right" w:leader="dot" w:pos="8953"/>
            </w:tabs>
          </w:pPr>
          <w:r>
            <w:fldChar w:fldCharType="begin"/>
          </w:r>
          <w:r>
            <w:instrText xml:space="preserve"> HYPERLINK \l _Toc14091 </w:instrText>
          </w:r>
          <w:r>
            <w:fldChar w:fldCharType="separate"/>
          </w:r>
          <w:r>
            <w:rPr>
              <w:rFonts w:hint="eastAsia" w:ascii="宋体" w:hAnsi="宋体" w:eastAsia="宋体" w:cs="宋体"/>
              <w:bCs/>
              <w:szCs w:val="21"/>
              <w:lang w:val="en-US" w:eastAsia="zh-CN" w:bidi="ar-SA"/>
            </w:rPr>
            <w:t>九、</w:t>
          </w:r>
          <w:r>
            <w:rPr>
              <w:rFonts w:hint="default" w:ascii="宋体" w:hAnsi="宋体" w:eastAsia="宋体" w:cs="宋体"/>
              <w:bCs/>
              <w:highlight w:val="none"/>
            </w:rPr>
            <w:t>售后服务</w:t>
          </w:r>
          <w:r>
            <w:tab/>
          </w:r>
          <w:r>
            <w:fldChar w:fldCharType="begin"/>
          </w:r>
          <w:r>
            <w:instrText xml:space="preserve"> PAGEREF _Toc14091 \h </w:instrText>
          </w:r>
          <w:r>
            <w:fldChar w:fldCharType="separate"/>
          </w:r>
          <w:r>
            <w:t>32</w:t>
          </w:r>
          <w:r>
            <w:fldChar w:fldCharType="end"/>
          </w:r>
          <w:r>
            <w:fldChar w:fldCharType="end"/>
          </w:r>
        </w:p>
        <w:p w14:paraId="7615ACB7">
          <w:pPr>
            <w:pStyle w:val="32"/>
            <w:tabs>
              <w:tab w:val="right" w:leader="dot" w:pos="8953"/>
              <w:tab w:val="clear" w:pos="8720"/>
            </w:tabs>
          </w:pPr>
          <w:r>
            <w:fldChar w:fldCharType="begin"/>
          </w:r>
          <w:r>
            <w:instrText xml:space="preserve"> HYPERLINK \l _Toc18811 </w:instrText>
          </w:r>
          <w:r>
            <w:fldChar w:fldCharType="separate"/>
          </w:r>
          <w:r>
            <w:rPr>
              <w:rFonts w:hint="eastAsia" w:eastAsia="黑体"/>
              <w:bCs/>
            </w:rPr>
            <w:t>第五章 合同文本</w:t>
          </w:r>
          <w:r>
            <w:tab/>
          </w:r>
          <w:r>
            <w:fldChar w:fldCharType="begin"/>
          </w:r>
          <w:r>
            <w:instrText xml:space="preserve"> PAGEREF _Toc18811 \h </w:instrText>
          </w:r>
          <w:r>
            <w:fldChar w:fldCharType="separate"/>
          </w:r>
          <w:r>
            <w:t>34</w:t>
          </w:r>
          <w:r>
            <w:fldChar w:fldCharType="end"/>
          </w:r>
          <w:r>
            <w:fldChar w:fldCharType="end"/>
          </w:r>
        </w:p>
        <w:p w14:paraId="4B424D74">
          <w:pPr>
            <w:pStyle w:val="32"/>
            <w:tabs>
              <w:tab w:val="right" w:leader="dot" w:pos="8953"/>
              <w:tab w:val="clear" w:pos="8720"/>
            </w:tabs>
          </w:pPr>
          <w:r>
            <w:fldChar w:fldCharType="begin"/>
          </w:r>
          <w:r>
            <w:instrText xml:space="preserve"> HYPERLINK \l _Toc27567 </w:instrText>
          </w:r>
          <w:r>
            <w:fldChar w:fldCharType="separate"/>
          </w:r>
          <w:r>
            <w:rPr>
              <w:rFonts w:hint="eastAsia" w:ascii="Times New Roman" w:eastAsia="黑体"/>
              <w:bCs/>
            </w:rPr>
            <w:t>第六章 投标文件格式</w:t>
          </w:r>
          <w:r>
            <w:tab/>
          </w:r>
          <w:r>
            <w:fldChar w:fldCharType="begin"/>
          </w:r>
          <w:r>
            <w:instrText xml:space="preserve"> PAGEREF _Toc27567 \h </w:instrText>
          </w:r>
          <w:r>
            <w:fldChar w:fldCharType="separate"/>
          </w:r>
          <w:r>
            <w:t>40</w:t>
          </w:r>
          <w:r>
            <w:fldChar w:fldCharType="end"/>
          </w:r>
          <w:r>
            <w:fldChar w:fldCharType="end"/>
          </w:r>
        </w:p>
        <w:p w14:paraId="6BD6956D">
          <w:pPr>
            <w:pStyle w:val="40"/>
            <w:tabs>
              <w:tab w:val="right" w:leader="dot" w:pos="8953"/>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_Toc20217 </w:instrText>
          </w:r>
          <w:r>
            <w:rPr>
              <w:rFonts w:hint="eastAsia" w:ascii="宋体" w:hAnsi="宋体" w:eastAsia="宋体" w:cs="宋体"/>
              <w:b w:val="0"/>
              <w:bCs w:val="0"/>
            </w:rPr>
            <w:fldChar w:fldCharType="separate"/>
          </w:r>
          <w:r>
            <w:rPr>
              <w:rFonts w:hint="eastAsia" w:ascii="宋体" w:hAnsi="宋体" w:eastAsia="宋体" w:cs="宋体"/>
              <w:b w:val="0"/>
              <w:bCs w:val="0"/>
              <w:szCs w:val="32"/>
            </w:rPr>
            <w:t>一、投标函</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_Toc20217 \h </w:instrText>
          </w:r>
          <w:r>
            <w:rPr>
              <w:rFonts w:hint="eastAsia" w:ascii="宋体" w:hAnsi="宋体" w:eastAsia="宋体" w:cs="宋体"/>
              <w:b w:val="0"/>
              <w:bCs w:val="0"/>
            </w:rPr>
            <w:fldChar w:fldCharType="separate"/>
          </w:r>
          <w:r>
            <w:rPr>
              <w:rFonts w:hint="eastAsia" w:ascii="宋体" w:hAnsi="宋体" w:eastAsia="宋体" w:cs="宋体"/>
              <w:b w:val="0"/>
              <w:bCs w:val="0"/>
            </w:rPr>
            <w:t>42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776C2DCC">
          <w:pPr>
            <w:pStyle w:val="40"/>
            <w:tabs>
              <w:tab w:val="right" w:leader="dot" w:pos="8953"/>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_Toc1046 </w:instrText>
          </w:r>
          <w:r>
            <w:rPr>
              <w:rFonts w:hint="eastAsia" w:ascii="宋体" w:hAnsi="宋体" w:eastAsia="宋体" w:cs="宋体"/>
              <w:b w:val="0"/>
              <w:bCs w:val="0"/>
            </w:rPr>
            <w:fldChar w:fldCharType="separate"/>
          </w:r>
          <w:r>
            <w:rPr>
              <w:rFonts w:hint="eastAsia" w:ascii="宋体" w:hAnsi="宋体" w:eastAsia="宋体" w:cs="宋体"/>
              <w:b w:val="0"/>
              <w:bCs w:val="0"/>
              <w:szCs w:val="32"/>
            </w:rPr>
            <w:t>二、法人授权书</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_Toc1046 \h </w:instrText>
          </w:r>
          <w:r>
            <w:rPr>
              <w:rFonts w:hint="eastAsia" w:ascii="宋体" w:hAnsi="宋体" w:eastAsia="宋体" w:cs="宋体"/>
              <w:b w:val="0"/>
              <w:bCs w:val="0"/>
            </w:rPr>
            <w:fldChar w:fldCharType="separate"/>
          </w:r>
          <w:r>
            <w:rPr>
              <w:rFonts w:hint="eastAsia" w:ascii="宋体" w:hAnsi="宋体" w:eastAsia="宋体" w:cs="宋体"/>
              <w:b w:val="0"/>
              <w:bCs w:val="0"/>
            </w:rPr>
            <w:t>43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6E704B71">
          <w:pPr>
            <w:pStyle w:val="40"/>
            <w:tabs>
              <w:tab w:val="right" w:leader="dot" w:pos="8953"/>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_Toc20930 </w:instrText>
          </w:r>
          <w:r>
            <w:rPr>
              <w:rFonts w:hint="eastAsia" w:ascii="宋体" w:hAnsi="宋体" w:eastAsia="宋体" w:cs="宋体"/>
              <w:b w:val="0"/>
              <w:bCs w:val="0"/>
            </w:rPr>
            <w:fldChar w:fldCharType="separate"/>
          </w:r>
          <w:r>
            <w:rPr>
              <w:rFonts w:hint="eastAsia" w:ascii="宋体" w:hAnsi="宋体" w:eastAsia="宋体" w:cs="宋体"/>
              <w:b w:val="0"/>
              <w:bCs w:val="0"/>
              <w:iCs/>
              <w:szCs w:val="32"/>
            </w:rPr>
            <w:t>三、开标一览表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_Toc20930 \h </w:instrText>
          </w:r>
          <w:r>
            <w:rPr>
              <w:rFonts w:hint="eastAsia" w:ascii="宋体" w:hAnsi="宋体" w:eastAsia="宋体" w:cs="宋体"/>
              <w:b w:val="0"/>
              <w:bCs w:val="0"/>
            </w:rPr>
            <w:fldChar w:fldCharType="separate"/>
          </w:r>
          <w:r>
            <w:rPr>
              <w:rFonts w:hint="eastAsia" w:ascii="宋体" w:hAnsi="宋体" w:eastAsia="宋体" w:cs="宋体"/>
              <w:b w:val="0"/>
              <w:bCs w:val="0"/>
            </w:rPr>
            <w:t>44</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ABC77D8">
          <w:pPr>
            <w:pStyle w:val="40"/>
            <w:tabs>
              <w:tab w:val="right" w:leader="dot" w:pos="8953"/>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_Toc17381 </w:instrText>
          </w:r>
          <w:r>
            <w:rPr>
              <w:rFonts w:hint="eastAsia" w:ascii="宋体" w:hAnsi="宋体" w:eastAsia="宋体" w:cs="宋体"/>
              <w:b w:val="0"/>
              <w:bCs w:val="0"/>
            </w:rPr>
            <w:fldChar w:fldCharType="separate"/>
          </w:r>
          <w:r>
            <w:rPr>
              <w:rFonts w:hint="eastAsia" w:ascii="宋体" w:hAnsi="宋体" w:eastAsia="宋体" w:cs="宋体"/>
              <w:b w:val="0"/>
              <w:bCs w:val="0"/>
              <w:szCs w:val="32"/>
            </w:rPr>
            <w:t>四、分项报价表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_Toc17381 \h </w:instrText>
          </w:r>
          <w:r>
            <w:rPr>
              <w:rFonts w:hint="eastAsia" w:ascii="宋体" w:hAnsi="宋体" w:eastAsia="宋体" w:cs="宋体"/>
              <w:b w:val="0"/>
              <w:bCs w:val="0"/>
            </w:rPr>
            <w:fldChar w:fldCharType="separate"/>
          </w:r>
          <w:r>
            <w:rPr>
              <w:rFonts w:hint="eastAsia" w:ascii="宋体" w:hAnsi="宋体" w:eastAsia="宋体" w:cs="宋体"/>
              <w:b w:val="0"/>
              <w:bCs w:val="0"/>
            </w:rPr>
            <w:t>45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7A3C7E9F">
          <w:pPr>
            <w:pStyle w:val="40"/>
            <w:tabs>
              <w:tab w:val="right" w:leader="dot" w:pos="8953"/>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_Toc13684 </w:instrText>
          </w:r>
          <w:r>
            <w:rPr>
              <w:rFonts w:hint="eastAsia" w:ascii="宋体" w:hAnsi="宋体" w:eastAsia="宋体" w:cs="宋体"/>
              <w:b w:val="0"/>
              <w:bCs w:val="0"/>
            </w:rPr>
            <w:fldChar w:fldCharType="separate"/>
          </w:r>
          <w:r>
            <w:rPr>
              <w:rFonts w:hint="eastAsia" w:ascii="宋体" w:hAnsi="宋体" w:eastAsia="宋体" w:cs="宋体"/>
              <w:b w:val="0"/>
              <w:bCs w:val="0"/>
              <w:szCs w:val="32"/>
            </w:rPr>
            <w:t>五、中小企业或残疾人福利性单位声明函</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_Toc13684 \h </w:instrText>
          </w:r>
          <w:r>
            <w:rPr>
              <w:rFonts w:hint="eastAsia" w:ascii="宋体" w:hAnsi="宋体" w:eastAsia="宋体" w:cs="宋体"/>
              <w:b w:val="0"/>
              <w:bCs w:val="0"/>
            </w:rPr>
            <w:fldChar w:fldCharType="separate"/>
          </w:r>
          <w:r>
            <w:rPr>
              <w:rFonts w:hint="eastAsia" w:ascii="宋体" w:hAnsi="宋体" w:eastAsia="宋体" w:cs="宋体"/>
              <w:b w:val="0"/>
              <w:bCs w:val="0"/>
            </w:rPr>
            <w:t>46</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79B57DEC">
          <w:pPr>
            <w:pStyle w:val="40"/>
            <w:tabs>
              <w:tab w:val="right" w:leader="dot" w:pos="8953"/>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_Toc15500 </w:instrText>
          </w:r>
          <w:r>
            <w:rPr>
              <w:rFonts w:hint="eastAsia" w:ascii="宋体" w:hAnsi="宋体" w:eastAsia="宋体" w:cs="宋体"/>
              <w:b w:val="0"/>
              <w:bCs w:val="0"/>
            </w:rPr>
            <w:fldChar w:fldCharType="separate"/>
          </w:r>
          <w:r>
            <w:rPr>
              <w:rFonts w:hint="eastAsia" w:ascii="宋体" w:hAnsi="宋体" w:eastAsia="宋体" w:cs="宋体"/>
              <w:b w:val="0"/>
              <w:bCs w:val="0"/>
            </w:rPr>
            <w:t>六、关于符合本国产品标准的声明函</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_Toc15500 \h </w:instrText>
          </w:r>
          <w:r>
            <w:rPr>
              <w:rFonts w:hint="eastAsia" w:ascii="宋体" w:hAnsi="宋体" w:eastAsia="宋体" w:cs="宋体"/>
              <w:b w:val="0"/>
              <w:bCs w:val="0"/>
            </w:rPr>
            <w:fldChar w:fldCharType="separate"/>
          </w:r>
          <w:r>
            <w:rPr>
              <w:rFonts w:hint="eastAsia" w:ascii="宋体" w:hAnsi="宋体" w:eastAsia="宋体" w:cs="宋体"/>
              <w:b w:val="0"/>
              <w:bCs w:val="0"/>
            </w:rPr>
            <w:t>48</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36DDC37C">
          <w:pPr>
            <w:pStyle w:val="40"/>
            <w:tabs>
              <w:tab w:val="right" w:leader="dot" w:pos="8953"/>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_Toc14567 </w:instrText>
          </w:r>
          <w:r>
            <w:rPr>
              <w:rFonts w:hint="eastAsia" w:ascii="宋体" w:hAnsi="宋体" w:eastAsia="宋体" w:cs="宋体"/>
              <w:b w:val="0"/>
              <w:bCs w:val="0"/>
            </w:rPr>
            <w:fldChar w:fldCharType="separate"/>
          </w:r>
          <w:r>
            <w:rPr>
              <w:rFonts w:hint="eastAsia" w:ascii="宋体" w:hAnsi="宋体" w:eastAsia="宋体" w:cs="宋体"/>
              <w:b w:val="0"/>
              <w:bCs w:val="0"/>
            </w:rPr>
            <w:t>七、技术响应偏离表（技术参数响应）</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_Toc14567 \h </w:instrText>
          </w:r>
          <w:r>
            <w:rPr>
              <w:rFonts w:hint="eastAsia" w:ascii="宋体" w:hAnsi="宋体" w:eastAsia="宋体" w:cs="宋体"/>
              <w:b w:val="0"/>
              <w:bCs w:val="0"/>
            </w:rPr>
            <w:fldChar w:fldCharType="separate"/>
          </w:r>
          <w:r>
            <w:rPr>
              <w:rFonts w:hint="eastAsia" w:ascii="宋体" w:hAnsi="宋体" w:eastAsia="宋体" w:cs="宋体"/>
              <w:b w:val="0"/>
              <w:bCs w:val="0"/>
            </w:rPr>
            <w:t>49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527E8C67">
          <w:pPr>
            <w:pStyle w:val="40"/>
            <w:tabs>
              <w:tab w:val="right" w:leader="dot" w:pos="8953"/>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_Toc24608 </w:instrText>
          </w:r>
          <w:r>
            <w:rPr>
              <w:rFonts w:hint="eastAsia" w:ascii="宋体" w:hAnsi="宋体" w:eastAsia="宋体" w:cs="宋体"/>
              <w:b w:val="0"/>
              <w:bCs w:val="0"/>
            </w:rPr>
            <w:fldChar w:fldCharType="separate"/>
          </w:r>
          <w:r>
            <w:rPr>
              <w:rFonts w:hint="eastAsia" w:ascii="宋体" w:hAnsi="宋体" w:eastAsia="宋体" w:cs="宋体"/>
              <w:b w:val="0"/>
              <w:bCs w:val="0"/>
            </w:rPr>
            <w:t>八、项目组人员</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_Toc24608 \h </w:instrText>
          </w:r>
          <w:r>
            <w:rPr>
              <w:rFonts w:hint="eastAsia" w:ascii="宋体" w:hAnsi="宋体" w:eastAsia="宋体" w:cs="宋体"/>
              <w:b w:val="0"/>
              <w:bCs w:val="0"/>
            </w:rPr>
            <w:fldChar w:fldCharType="separate"/>
          </w:r>
          <w:r>
            <w:rPr>
              <w:rFonts w:hint="eastAsia" w:ascii="宋体" w:hAnsi="宋体" w:eastAsia="宋体" w:cs="宋体"/>
              <w:b w:val="0"/>
              <w:bCs w:val="0"/>
            </w:rPr>
            <w:t>50</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0B39F182">
          <w:pPr>
            <w:pStyle w:val="40"/>
            <w:tabs>
              <w:tab w:val="right" w:leader="dot" w:pos="8953"/>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_Toc25099 </w:instrText>
          </w:r>
          <w:r>
            <w:rPr>
              <w:rFonts w:hint="eastAsia" w:ascii="宋体" w:hAnsi="宋体" w:eastAsia="宋体" w:cs="宋体"/>
              <w:b w:val="0"/>
              <w:bCs w:val="0"/>
            </w:rPr>
            <w:fldChar w:fldCharType="separate"/>
          </w:r>
          <w:r>
            <w:rPr>
              <w:rFonts w:hint="eastAsia" w:ascii="宋体" w:hAnsi="宋体" w:eastAsia="宋体" w:cs="宋体"/>
              <w:b w:val="0"/>
              <w:bCs w:val="0"/>
            </w:rPr>
            <w:t>九、企业业绩</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_Toc25099 \h </w:instrText>
          </w:r>
          <w:r>
            <w:rPr>
              <w:rFonts w:hint="eastAsia" w:ascii="宋体" w:hAnsi="宋体" w:eastAsia="宋体" w:cs="宋体"/>
              <w:b w:val="0"/>
              <w:bCs w:val="0"/>
            </w:rPr>
            <w:fldChar w:fldCharType="separate"/>
          </w:r>
          <w:r>
            <w:rPr>
              <w:rFonts w:hint="eastAsia" w:ascii="宋体" w:hAnsi="宋体" w:eastAsia="宋体" w:cs="宋体"/>
              <w:b w:val="0"/>
              <w:bCs w:val="0"/>
            </w:rPr>
            <w:t>51</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255E0E8C">
          <w:pPr>
            <w:pStyle w:val="40"/>
            <w:tabs>
              <w:tab w:val="right" w:leader="dot" w:pos="8953"/>
            </w:tabs>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_Toc20533 </w:instrText>
          </w:r>
          <w:r>
            <w:rPr>
              <w:rFonts w:hint="eastAsia" w:ascii="宋体" w:hAnsi="宋体" w:eastAsia="宋体" w:cs="宋体"/>
              <w:b w:val="0"/>
              <w:bCs w:val="0"/>
            </w:rPr>
            <w:fldChar w:fldCharType="separate"/>
          </w:r>
          <w:r>
            <w:rPr>
              <w:rFonts w:hint="eastAsia" w:ascii="宋体" w:hAnsi="宋体" w:eastAsia="宋体" w:cs="宋体"/>
              <w:b w:val="0"/>
              <w:bCs w:val="0"/>
            </w:rPr>
            <w:t>十、投标所需其他材料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_Toc20533 \h </w:instrText>
          </w:r>
          <w:r>
            <w:rPr>
              <w:rFonts w:hint="eastAsia" w:ascii="宋体" w:hAnsi="宋体" w:eastAsia="宋体" w:cs="宋体"/>
              <w:b w:val="0"/>
              <w:bCs w:val="0"/>
            </w:rPr>
            <w:fldChar w:fldCharType="separate"/>
          </w:r>
          <w:r>
            <w:rPr>
              <w:rFonts w:hint="eastAsia" w:ascii="宋体" w:hAnsi="宋体" w:eastAsia="宋体" w:cs="宋体"/>
              <w:b w:val="0"/>
              <w:bCs w:val="0"/>
            </w:rPr>
            <w:t>52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14:paraId="786EEE52">
          <w:pPr>
            <w:rPr>
              <w:rFonts w:ascii="Times New Roman" w:hAnsi="Times New Roman" w:eastAsia="宋体" w:cs="Times New Roman"/>
              <w:sz w:val="21"/>
              <w:szCs w:val="21"/>
              <w:lang w:val="en-US" w:eastAsia="zh-CN" w:bidi="ar-SA"/>
            </w:rPr>
          </w:pPr>
          <w:r>
            <w:fldChar w:fldCharType="end"/>
          </w:r>
        </w:p>
      </w:sdtContent>
    </w:sdt>
    <w:p w14:paraId="6C48D695">
      <w:pPr>
        <w:rPr>
          <w:rFonts w:ascii="Times New Roman" w:hAnsi="Times New Roman" w:eastAsia="宋体" w:cs="Times New Roman"/>
          <w:sz w:val="21"/>
          <w:szCs w:val="21"/>
          <w:lang w:val="en-US" w:eastAsia="zh-CN" w:bidi="ar-SA"/>
        </w:rPr>
      </w:pPr>
    </w:p>
    <w:p w14:paraId="0D71A7C8"/>
    <w:p w14:paraId="78C4CFFF"/>
    <w:p w14:paraId="6DEDA78D">
      <w:pPr>
        <w:pStyle w:val="3"/>
        <w:rPr>
          <w:rFonts w:ascii="Times New Roman" w:eastAsia="黑体"/>
          <w:bCs/>
          <w:sz w:val="44"/>
          <w:szCs w:val="44"/>
        </w:rPr>
      </w:pPr>
      <w:bookmarkStart w:id="3" w:name="_Toc25642"/>
      <w:r>
        <w:rPr>
          <w:rFonts w:hint="eastAsia" w:ascii="Times New Roman" w:eastAsia="黑体"/>
          <w:sz w:val="44"/>
          <w:szCs w:val="44"/>
        </w:rPr>
        <w:t>第一章  投标邀请</w:t>
      </w:r>
      <w:bookmarkEnd w:id="3"/>
    </w:p>
    <w:p w14:paraId="3F775E03">
      <w:pPr>
        <w:spacing w:line="560" w:lineRule="exact"/>
        <w:ind w:firstLine="480"/>
        <w:rPr>
          <w:sz w:val="24"/>
          <w:szCs w:val="24"/>
        </w:rPr>
      </w:pPr>
      <w:r>
        <w:rPr>
          <w:rFonts w:hint="eastAsia"/>
          <w:sz w:val="24"/>
          <w:szCs w:val="24"/>
        </w:rPr>
        <w:t>受</w:t>
      </w:r>
      <w:r>
        <w:rPr>
          <w:rFonts w:hint="eastAsia"/>
          <w:sz w:val="24"/>
          <w:szCs w:val="24"/>
          <w:u w:val="single"/>
          <w:lang w:eastAsia="zh-CN"/>
        </w:rPr>
        <w:t>宿迁市中心血站</w:t>
      </w:r>
      <w:r>
        <w:rPr>
          <w:rFonts w:hint="eastAsia"/>
          <w:sz w:val="24"/>
          <w:szCs w:val="24"/>
        </w:rPr>
        <w:t>的委托，</w:t>
      </w:r>
      <w:r>
        <w:rPr>
          <w:rFonts w:hint="eastAsia"/>
          <w:sz w:val="24"/>
          <w:szCs w:val="24"/>
          <w:u w:val="single"/>
        </w:rPr>
        <w:t>江苏佳兴项目管理有限公司</w:t>
      </w:r>
      <w:r>
        <w:rPr>
          <w:rFonts w:hint="eastAsia"/>
          <w:sz w:val="24"/>
          <w:szCs w:val="24"/>
        </w:rPr>
        <w:t>就</w:t>
      </w:r>
      <w:r>
        <w:rPr>
          <w:rFonts w:hint="eastAsia"/>
          <w:sz w:val="24"/>
          <w:szCs w:val="24"/>
          <w:u w:val="single"/>
          <w:lang w:eastAsia="zh-CN"/>
        </w:rPr>
        <w:t>血站服务能力提升项目（第一批）</w:t>
      </w:r>
      <w:r>
        <w:rPr>
          <w:rFonts w:hint="eastAsia"/>
          <w:sz w:val="24"/>
          <w:szCs w:val="24"/>
          <w:u w:val="single"/>
        </w:rPr>
        <w:t>(</w:t>
      </w:r>
      <w:r>
        <w:rPr>
          <w:rFonts w:hint="eastAsia"/>
          <w:sz w:val="24"/>
          <w:szCs w:val="24"/>
          <w:u w:val="single"/>
          <w:lang w:eastAsia="zh-CN"/>
        </w:rPr>
        <w:t>JSZC-321300-JXXM-G2026-0004</w:t>
      </w:r>
      <w:r>
        <w:rPr>
          <w:rFonts w:hint="eastAsia"/>
          <w:sz w:val="24"/>
          <w:szCs w:val="24"/>
          <w:u w:val="single"/>
        </w:rPr>
        <w:t>)</w:t>
      </w:r>
      <w:r>
        <w:rPr>
          <w:rFonts w:hint="eastAsia"/>
          <w:sz w:val="24"/>
          <w:szCs w:val="24"/>
        </w:rPr>
        <w:t>项目进行公开招标采购，欢迎符合条件的投标人投标。</w:t>
      </w:r>
    </w:p>
    <w:p w14:paraId="29902427">
      <w:pPr>
        <w:pBdr>
          <w:top w:val="single" w:color="000000" w:sz="4" w:space="1"/>
          <w:left w:val="single" w:color="000000" w:sz="4" w:space="4"/>
          <w:bottom w:val="single" w:color="000000" w:sz="4" w:space="1"/>
          <w:right w:val="single" w:color="000000" w:sz="4" w:space="4"/>
        </w:pBdr>
        <w:spacing w:line="560" w:lineRule="exact"/>
        <w:ind w:firstLine="480"/>
        <w:rPr>
          <w:sz w:val="24"/>
          <w:szCs w:val="24"/>
        </w:rPr>
      </w:pPr>
      <w:r>
        <w:rPr>
          <w:rFonts w:hint="eastAsia"/>
          <w:sz w:val="24"/>
          <w:szCs w:val="24"/>
        </w:rPr>
        <w:t>项目概况</w:t>
      </w:r>
    </w:p>
    <w:p w14:paraId="10A9ABC8">
      <w:pPr>
        <w:pBdr>
          <w:top w:val="single" w:color="000000" w:sz="4" w:space="1"/>
          <w:left w:val="single" w:color="000000" w:sz="4" w:space="4"/>
          <w:bottom w:val="single" w:color="000000" w:sz="4" w:space="1"/>
          <w:right w:val="single" w:color="000000" w:sz="4" w:space="4"/>
        </w:pBdr>
        <w:spacing w:line="560" w:lineRule="exact"/>
        <w:ind w:firstLine="480"/>
        <w:rPr>
          <w:sz w:val="24"/>
          <w:szCs w:val="24"/>
        </w:rPr>
      </w:pPr>
      <w:r>
        <w:rPr>
          <w:rFonts w:hint="eastAsia"/>
          <w:sz w:val="24"/>
          <w:szCs w:val="24"/>
          <w:u w:val="single"/>
        </w:rPr>
        <w:t xml:space="preserve"> </w:t>
      </w:r>
      <w:r>
        <w:rPr>
          <w:rFonts w:hint="eastAsia"/>
          <w:sz w:val="24"/>
          <w:szCs w:val="24"/>
          <w:u w:val="single"/>
          <w:lang w:eastAsia="zh-CN"/>
        </w:rPr>
        <w:t>血站服务能力提升项目（第一批）</w:t>
      </w:r>
      <w:r>
        <w:rPr>
          <w:rFonts w:hint="eastAsia"/>
          <w:sz w:val="24"/>
          <w:szCs w:val="24"/>
        </w:rPr>
        <w:t>招标项目的潜在投标人可在</w:t>
      </w:r>
      <w:r>
        <w:rPr>
          <w:rFonts w:hint="eastAsia"/>
          <w:sz w:val="24"/>
          <w:szCs w:val="24"/>
          <w:u w:val="single"/>
        </w:rPr>
        <w:t>“江苏政府采购网”、“宿迁市政府采购网”自行免费获取</w:t>
      </w:r>
      <w:r>
        <w:rPr>
          <w:rFonts w:hint="eastAsia"/>
          <w:sz w:val="24"/>
          <w:szCs w:val="24"/>
        </w:rPr>
        <w:t>招标文件，并于</w:t>
      </w:r>
      <w:r>
        <w:rPr>
          <w:rFonts w:hint="eastAsia"/>
          <w:sz w:val="24"/>
          <w:szCs w:val="24"/>
          <w:u w:val="single"/>
        </w:rPr>
        <w:t>2026</w:t>
      </w:r>
      <w:r>
        <w:rPr>
          <w:rFonts w:hint="eastAsia"/>
          <w:bCs/>
          <w:sz w:val="24"/>
          <w:szCs w:val="24"/>
          <w:u w:val="single"/>
        </w:rPr>
        <w:t>年</w:t>
      </w:r>
      <w:r>
        <w:rPr>
          <w:rFonts w:hint="eastAsia"/>
          <w:bCs/>
          <w:sz w:val="24"/>
          <w:szCs w:val="24"/>
          <w:u w:val="single"/>
          <w:lang w:val="en-US" w:eastAsia="zh-CN"/>
        </w:rPr>
        <w:t>5</w:t>
      </w:r>
      <w:r>
        <w:rPr>
          <w:rFonts w:hint="eastAsia"/>
          <w:bCs/>
          <w:sz w:val="24"/>
          <w:szCs w:val="24"/>
          <w:u w:val="single"/>
        </w:rPr>
        <w:t>月</w:t>
      </w:r>
      <w:r>
        <w:rPr>
          <w:rFonts w:hint="eastAsia"/>
          <w:bCs/>
          <w:sz w:val="24"/>
          <w:szCs w:val="24"/>
          <w:u w:val="single"/>
          <w:lang w:val="en-US" w:eastAsia="zh-CN"/>
        </w:rPr>
        <w:t xml:space="preserve"> </w:t>
      </w:r>
      <w:r>
        <w:rPr>
          <w:rFonts w:hint="eastAsia"/>
          <w:bCs/>
          <w:sz w:val="24"/>
          <w:szCs w:val="24"/>
          <w:u w:val="single"/>
        </w:rPr>
        <w:t>日9点30分（</w:t>
      </w:r>
      <w:r>
        <w:rPr>
          <w:rFonts w:hint="eastAsia"/>
          <w:bCs/>
          <w:sz w:val="24"/>
          <w:szCs w:val="24"/>
        </w:rPr>
        <w:t>北京时间）前递交投标</w:t>
      </w:r>
      <w:r>
        <w:rPr>
          <w:bCs/>
          <w:sz w:val="24"/>
          <w:szCs w:val="24"/>
        </w:rPr>
        <w:t>文件</w:t>
      </w:r>
      <w:r>
        <w:rPr>
          <w:rFonts w:hint="eastAsia"/>
          <w:sz w:val="24"/>
          <w:szCs w:val="24"/>
        </w:rPr>
        <w:t>。</w:t>
      </w:r>
    </w:p>
    <w:p w14:paraId="4C15526D">
      <w:pPr>
        <w:pStyle w:val="4"/>
        <w:spacing w:before="145" w:after="145" w:line="240" w:lineRule="auto"/>
        <w:ind w:firstLine="499"/>
        <w:jc w:val="left"/>
        <w:rPr>
          <w:rFonts w:ascii="宋体" w:hAnsi="宋体" w:eastAsia="宋体" w:cs="宋体"/>
          <w:sz w:val="32"/>
          <w:szCs w:val="32"/>
        </w:rPr>
      </w:pPr>
      <w:bookmarkStart w:id="4" w:name="_Toc38985263"/>
      <w:bookmarkStart w:id="5" w:name="_Toc15320"/>
      <w:bookmarkStart w:id="6" w:name="_Toc28359002"/>
      <w:bookmarkStart w:id="7" w:name="_Toc35393790"/>
      <w:bookmarkStart w:id="8" w:name="_Toc28359079"/>
      <w:bookmarkStart w:id="9" w:name="_Toc35393621"/>
      <w:bookmarkStart w:id="10" w:name="_Hlk24379207"/>
      <w:r>
        <w:rPr>
          <w:rFonts w:hint="eastAsia" w:ascii="宋体" w:hAnsi="宋体" w:eastAsia="宋体" w:cs="宋体"/>
          <w:sz w:val="32"/>
          <w:szCs w:val="32"/>
        </w:rPr>
        <w:t>一、项目基本情况</w:t>
      </w:r>
      <w:bookmarkEnd w:id="4"/>
      <w:bookmarkEnd w:id="5"/>
      <w:bookmarkEnd w:id="6"/>
      <w:bookmarkEnd w:id="7"/>
      <w:bookmarkEnd w:id="8"/>
      <w:bookmarkEnd w:id="9"/>
    </w:p>
    <w:p w14:paraId="09CBD1E7">
      <w:pPr>
        <w:spacing w:line="560" w:lineRule="exact"/>
        <w:ind w:firstLine="480"/>
        <w:rPr>
          <w:rFonts w:hint="eastAsia" w:eastAsia="宋体"/>
          <w:sz w:val="24"/>
          <w:szCs w:val="24"/>
          <w:lang w:eastAsia="zh-CN"/>
        </w:rPr>
      </w:pPr>
      <w:r>
        <w:rPr>
          <w:rFonts w:hint="eastAsia"/>
          <w:sz w:val="24"/>
          <w:szCs w:val="24"/>
        </w:rPr>
        <w:t>1.项目编号：</w:t>
      </w:r>
      <w:r>
        <w:rPr>
          <w:rFonts w:hint="eastAsia" w:ascii="Segoe UI" w:hAnsi="Segoe UI" w:cs="Segoe UI"/>
          <w:shd w:val="clear" w:color="auto" w:fill="FFFFFF"/>
          <w:lang w:eastAsia="zh-CN"/>
        </w:rPr>
        <w:t>JSZC-321300-JXXM-G2026-0004</w:t>
      </w:r>
    </w:p>
    <w:p w14:paraId="7930B78C">
      <w:pPr>
        <w:spacing w:line="560" w:lineRule="exact"/>
        <w:ind w:firstLine="480"/>
        <w:rPr>
          <w:rFonts w:hint="eastAsia" w:eastAsia="宋体"/>
          <w:sz w:val="24"/>
          <w:szCs w:val="24"/>
          <w:lang w:eastAsia="zh-CN"/>
        </w:rPr>
      </w:pPr>
      <w:r>
        <w:rPr>
          <w:rFonts w:hint="eastAsia"/>
          <w:sz w:val="24"/>
          <w:szCs w:val="24"/>
        </w:rPr>
        <w:t>2.项目名称：</w:t>
      </w:r>
      <w:r>
        <w:rPr>
          <w:rFonts w:hint="eastAsia"/>
          <w:sz w:val="24"/>
          <w:szCs w:val="24"/>
          <w:lang w:eastAsia="zh-CN"/>
        </w:rPr>
        <w:t>血站服务能力提升项目（第一批）</w:t>
      </w:r>
    </w:p>
    <w:bookmarkEnd w:id="10"/>
    <w:p w14:paraId="1EB6D5E0">
      <w:pPr>
        <w:spacing w:line="560" w:lineRule="exact"/>
        <w:ind w:firstLine="480" w:firstLineChars="200"/>
        <w:rPr>
          <w:sz w:val="24"/>
          <w:szCs w:val="24"/>
        </w:rPr>
      </w:pPr>
      <w:r>
        <w:rPr>
          <w:rFonts w:hint="eastAsia"/>
          <w:sz w:val="24"/>
          <w:szCs w:val="24"/>
        </w:rPr>
        <w:t>3.预算金额：</w:t>
      </w:r>
      <w:r>
        <w:rPr>
          <w:rFonts w:hint="eastAsia"/>
          <w:sz w:val="24"/>
          <w:szCs w:val="24"/>
          <w:lang w:val="en-US" w:eastAsia="zh-CN"/>
        </w:rPr>
        <w:t>288</w:t>
      </w:r>
      <w:r>
        <w:rPr>
          <w:rFonts w:hint="eastAsia"/>
          <w:sz w:val="24"/>
          <w:szCs w:val="24"/>
        </w:rPr>
        <w:t>万元</w:t>
      </w:r>
      <w:r>
        <w:rPr>
          <w:rFonts w:hint="eastAsia" w:ascii="Times New Roman" w:hAnsi="Times New Roman" w:eastAsia="宋体" w:cs="Times New Roman"/>
          <w:kern w:val="2"/>
          <w:sz w:val="24"/>
          <w:szCs w:val="24"/>
          <w:highlight w:val="none"/>
        </w:rPr>
        <w:t>（</w:t>
      </w:r>
      <w:r>
        <w:rPr>
          <w:rFonts w:hint="eastAsia" w:ascii="Times New Roman" w:hAnsi="Times New Roman" w:eastAsia="宋体" w:cs="Times New Roman"/>
          <w:kern w:val="2"/>
          <w:sz w:val="24"/>
          <w:szCs w:val="24"/>
          <w:highlight w:val="none"/>
          <w:lang w:val="en-US" w:eastAsia="zh-CN"/>
        </w:rPr>
        <w:t>分包1</w:t>
      </w:r>
      <w:r>
        <w:rPr>
          <w:rFonts w:hint="eastAsia" w:ascii="Times New Roman" w:hAnsi="Times New Roman" w:eastAsia="宋体" w:cs="Times New Roman"/>
          <w:kern w:val="2"/>
          <w:sz w:val="24"/>
          <w:szCs w:val="24"/>
          <w:highlight w:val="none"/>
        </w:rPr>
        <w:t>：</w:t>
      </w:r>
      <w:r>
        <w:rPr>
          <w:rFonts w:hint="eastAsia" w:ascii="Times New Roman" w:hAnsi="Times New Roman" w:eastAsia="宋体" w:cs="Times New Roman"/>
          <w:kern w:val="2"/>
          <w:sz w:val="24"/>
          <w:szCs w:val="24"/>
          <w:highlight w:val="none"/>
          <w:lang w:val="en-US" w:eastAsia="zh-CN"/>
        </w:rPr>
        <w:t>200</w:t>
      </w:r>
      <w:r>
        <w:rPr>
          <w:rFonts w:hint="eastAsia" w:ascii="Times New Roman" w:hAnsi="Times New Roman" w:eastAsia="宋体" w:cs="Times New Roman"/>
          <w:kern w:val="2"/>
          <w:sz w:val="24"/>
          <w:szCs w:val="24"/>
          <w:highlight w:val="none"/>
        </w:rPr>
        <w:t>万元；</w:t>
      </w:r>
      <w:r>
        <w:rPr>
          <w:rFonts w:hint="eastAsia" w:ascii="Times New Roman" w:hAnsi="Times New Roman" w:eastAsia="宋体" w:cs="Times New Roman"/>
          <w:kern w:val="2"/>
          <w:sz w:val="24"/>
          <w:szCs w:val="24"/>
          <w:highlight w:val="none"/>
          <w:lang w:val="en-US" w:eastAsia="zh-CN"/>
        </w:rPr>
        <w:t>分包2</w:t>
      </w:r>
      <w:r>
        <w:rPr>
          <w:rFonts w:hint="eastAsia" w:cs="Times New Roman"/>
          <w:kern w:val="2"/>
          <w:sz w:val="24"/>
          <w:szCs w:val="24"/>
          <w:highlight w:val="none"/>
          <w:lang w:val="en-US" w:eastAsia="zh-CN"/>
        </w:rPr>
        <w:t>：</w:t>
      </w:r>
      <w:r>
        <w:rPr>
          <w:rFonts w:hint="eastAsia" w:ascii="Times New Roman" w:hAnsi="Times New Roman" w:eastAsia="宋体" w:cs="Times New Roman"/>
          <w:kern w:val="2"/>
          <w:sz w:val="24"/>
          <w:szCs w:val="24"/>
          <w:highlight w:val="none"/>
          <w:lang w:val="en-US" w:eastAsia="zh-CN"/>
        </w:rPr>
        <w:t>60万元；分包3</w:t>
      </w:r>
      <w:r>
        <w:rPr>
          <w:rFonts w:hint="eastAsia" w:cs="Times New Roman"/>
          <w:kern w:val="2"/>
          <w:sz w:val="24"/>
          <w:szCs w:val="24"/>
          <w:highlight w:val="none"/>
          <w:lang w:val="en-US" w:eastAsia="zh-CN"/>
        </w:rPr>
        <w:t>：</w:t>
      </w:r>
      <w:r>
        <w:rPr>
          <w:rFonts w:hint="eastAsia" w:ascii="Times New Roman" w:hAnsi="Times New Roman" w:eastAsia="宋体" w:cs="Times New Roman"/>
          <w:kern w:val="2"/>
          <w:sz w:val="24"/>
          <w:szCs w:val="24"/>
          <w:highlight w:val="none"/>
          <w:lang w:val="en-US" w:eastAsia="zh-CN"/>
        </w:rPr>
        <w:t>28万元</w:t>
      </w:r>
      <w:r>
        <w:rPr>
          <w:rFonts w:hint="eastAsia" w:ascii="Times New Roman" w:hAnsi="Times New Roman" w:eastAsia="宋体" w:cs="Times New Roman"/>
          <w:kern w:val="2"/>
          <w:sz w:val="24"/>
          <w:szCs w:val="24"/>
          <w:highlight w:val="none"/>
        </w:rPr>
        <w:t>）</w:t>
      </w:r>
    </w:p>
    <w:p w14:paraId="0CC430F8">
      <w:pPr>
        <w:spacing w:line="560" w:lineRule="exact"/>
        <w:ind w:firstLine="480" w:firstLineChars="200"/>
        <w:rPr>
          <w:rFonts w:hint="eastAsia" w:ascii="Times New Roman" w:hAnsi="Times New Roman" w:eastAsia="宋体" w:cs="Times New Roman"/>
          <w:kern w:val="2"/>
          <w:sz w:val="24"/>
          <w:szCs w:val="24"/>
          <w:highlight w:val="none"/>
          <w:lang w:eastAsia="zh-CN"/>
        </w:rPr>
      </w:pPr>
      <w:r>
        <w:rPr>
          <w:rFonts w:hint="eastAsia"/>
          <w:sz w:val="24"/>
          <w:szCs w:val="24"/>
        </w:rPr>
        <w:t>4.本项目</w:t>
      </w:r>
      <w:r>
        <w:rPr>
          <w:rFonts w:hint="eastAsia"/>
          <w:sz w:val="24"/>
          <w:szCs w:val="24"/>
          <w:u w:val="single"/>
        </w:rPr>
        <w:t>设定</w:t>
      </w:r>
      <w:r>
        <w:rPr>
          <w:rFonts w:hint="eastAsia"/>
          <w:sz w:val="24"/>
          <w:szCs w:val="24"/>
        </w:rPr>
        <w:t>最高限价，</w:t>
      </w:r>
      <w:r>
        <w:rPr>
          <w:rFonts w:hint="eastAsia" w:ascii="Times New Roman" w:hAnsi="Times New Roman" w:eastAsia="宋体" w:cs="Times New Roman"/>
          <w:kern w:val="2"/>
          <w:sz w:val="24"/>
          <w:szCs w:val="24"/>
          <w:highlight w:val="none"/>
          <w:lang w:val="en-US" w:eastAsia="zh-CN"/>
        </w:rPr>
        <w:t>分包1</w:t>
      </w:r>
      <w:r>
        <w:rPr>
          <w:rFonts w:hint="eastAsia" w:ascii="Times New Roman" w:hAnsi="Times New Roman" w:eastAsia="宋体" w:cs="Times New Roman"/>
          <w:kern w:val="2"/>
          <w:sz w:val="24"/>
          <w:szCs w:val="24"/>
          <w:highlight w:val="none"/>
        </w:rPr>
        <w:t>最高限价为</w:t>
      </w:r>
      <w:r>
        <w:rPr>
          <w:rFonts w:hint="eastAsia" w:ascii="Times New Roman" w:hAnsi="Times New Roman" w:eastAsia="宋体" w:cs="Times New Roman"/>
          <w:kern w:val="2"/>
          <w:sz w:val="24"/>
          <w:szCs w:val="24"/>
          <w:highlight w:val="none"/>
          <w:lang w:val="en-US" w:eastAsia="zh-CN"/>
        </w:rPr>
        <w:t>200万元</w:t>
      </w:r>
      <w:r>
        <w:rPr>
          <w:rFonts w:hint="eastAsia" w:ascii="Times New Roman" w:hAnsi="Times New Roman" w:eastAsia="宋体" w:cs="Times New Roman"/>
          <w:kern w:val="2"/>
          <w:sz w:val="24"/>
          <w:szCs w:val="24"/>
          <w:highlight w:val="none"/>
        </w:rPr>
        <w:t>；</w:t>
      </w:r>
      <w:r>
        <w:rPr>
          <w:rFonts w:hint="eastAsia" w:ascii="Times New Roman" w:hAnsi="Times New Roman" w:eastAsia="宋体" w:cs="Times New Roman"/>
          <w:kern w:val="2"/>
          <w:sz w:val="24"/>
          <w:szCs w:val="24"/>
          <w:highlight w:val="none"/>
          <w:lang w:val="en-US" w:eastAsia="zh-CN"/>
        </w:rPr>
        <w:t>分包2</w:t>
      </w:r>
      <w:r>
        <w:rPr>
          <w:rFonts w:hint="eastAsia" w:ascii="Times New Roman" w:hAnsi="Times New Roman" w:eastAsia="宋体" w:cs="Times New Roman"/>
          <w:kern w:val="2"/>
          <w:sz w:val="24"/>
          <w:szCs w:val="24"/>
          <w:highlight w:val="none"/>
        </w:rPr>
        <w:t>最高限价为</w:t>
      </w:r>
      <w:r>
        <w:rPr>
          <w:rFonts w:hint="eastAsia" w:ascii="Times New Roman" w:hAnsi="Times New Roman" w:eastAsia="宋体" w:cs="Times New Roman"/>
          <w:kern w:val="2"/>
          <w:sz w:val="24"/>
          <w:szCs w:val="24"/>
          <w:highlight w:val="none"/>
          <w:lang w:val="en-US" w:eastAsia="zh-CN"/>
        </w:rPr>
        <w:t>60万元</w:t>
      </w:r>
      <w:r>
        <w:rPr>
          <w:rFonts w:hint="eastAsia" w:ascii="Times New Roman" w:hAnsi="Times New Roman" w:eastAsia="宋体" w:cs="Times New Roman"/>
          <w:kern w:val="2"/>
          <w:sz w:val="24"/>
          <w:szCs w:val="24"/>
          <w:highlight w:val="none"/>
        </w:rPr>
        <w:t>头份</w:t>
      </w:r>
      <w:r>
        <w:rPr>
          <w:rFonts w:hint="eastAsia" w:ascii="Times New Roman" w:hAnsi="Times New Roman" w:eastAsia="宋体" w:cs="Times New Roman"/>
          <w:kern w:val="2"/>
          <w:sz w:val="24"/>
          <w:szCs w:val="24"/>
          <w:highlight w:val="none"/>
          <w:lang w:eastAsia="zh-CN"/>
        </w:rPr>
        <w:t>；</w:t>
      </w:r>
      <w:r>
        <w:rPr>
          <w:rFonts w:hint="eastAsia" w:ascii="Times New Roman" w:hAnsi="Times New Roman" w:eastAsia="宋体" w:cs="Times New Roman"/>
          <w:kern w:val="2"/>
          <w:sz w:val="24"/>
          <w:szCs w:val="24"/>
          <w:highlight w:val="none"/>
          <w:lang w:val="en-US" w:eastAsia="zh-CN"/>
        </w:rPr>
        <w:t>分包3最高限价为28万元</w:t>
      </w:r>
      <w:r>
        <w:rPr>
          <w:rFonts w:hint="eastAsia" w:ascii="Times New Roman" w:hAnsi="Times New Roman" w:eastAsia="宋体" w:cs="Times New Roman"/>
          <w:kern w:val="2"/>
          <w:sz w:val="24"/>
          <w:szCs w:val="24"/>
          <w:highlight w:val="none"/>
        </w:rPr>
        <w:t>（超过</w:t>
      </w:r>
      <w:r>
        <w:rPr>
          <w:rFonts w:hint="eastAsia" w:ascii="Times New Roman" w:hAnsi="Times New Roman" w:eastAsia="宋体" w:cs="Times New Roman"/>
          <w:kern w:val="2"/>
          <w:sz w:val="24"/>
          <w:szCs w:val="24"/>
          <w:highlight w:val="none"/>
          <w:lang w:val="en-US" w:eastAsia="zh-CN"/>
        </w:rPr>
        <w:t>此</w:t>
      </w:r>
      <w:r>
        <w:rPr>
          <w:rFonts w:hint="eastAsia" w:ascii="Times New Roman" w:hAnsi="Times New Roman" w:eastAsia="宋体" w:cs="Times New Roman"/>
          <w:kern w:val="2"/>
          <w:sz w:val="24"/>
          <w:szCs w:val="24"/>
          <w:highlight w:val="none"/>
        </w:rPr>
        <w:t>最高限价</w:t>
      </w:r>
      <w:r>
        <w:rPr>
          <w:rFonts w:hint="eastAsia" w:ascii="Times New Roman" w:hAnsi="Times New Roman" w:eastAsia="宋体" w:cs="Times New Roman"/>
          <w:kern w:val="2"/>
          <w:sz w:val="24"/>
          <w:szCs w:val="24"/>
          <w:highlight w:val="none"/>
          <w:lang w:val="en-US" w:eastAsia="zh-CN"/>
        </w:rPr>
        <w:t>的</w:t>
      </w:r>
      <w:r>
        <w:rPr>
          <w:rFonts w:hint="eastAsia" w:ascii="Times New Roman" w:hAnsi="Times New Roman" w:eastAsia="宋体" w:cs="Times New Roman"/>
          <w:kern w:val="2"/>
          <w:sz w:val="24"/>
          <w:szCs w:val="24"/>
          <w:highlight w:val="none"/>
        </w:rPr>
        <w:t>为无效响应）</w:t>
      </w:r>
      <w:r>
        <w:rPr>
          <w:rFonts w:hint="eastAsia" w:ascii="Times New Roman" w:hAnsi="Times New Roman" w:eastAsia="宋体" w:cs="Times New Roman"/>
          <w:kern w:val="2"/>
          <w:sz w:val="24"/>
          <w:szCs w:val="24"/>
          <w:highlight w:val="none"/>
          <w:lang w:eastAsia="zh-CN"/>
        </w:rPr>
        <w:t>。</w:t>
      </w:r>
    </w:p>
    <w:p w14:paraId="426A842D">
      <w:pPr>
        <w:spacing w:line="560" w:lineRule="exact"/>
        <w:ind w:firstLine="480"/>
        <w:rPr>
          <w:rFonts w:hint="eastAsia"/>
          <w:sz w:val="24"/>
          <w:szCs w:val="24"/>
        </w:rPr>
      </w:pPr>
      <w:r>
        <w:rPr>
          <w:rFonts w:hint="eastAsia"/>
          <w:sz w:val="24"/>
          <w:szCs w:val="24"/>
        </w:rPr>
        <w:t>5.采购需求（简介）：血站服务能力提升项目（第一批），详细内容见采购需求部分。</w:t>
      </w:r>
    </w:p>
    <w:p w14:paraId="3A46FE2A">
      <w:pPr>
        <w:spacing w:line="560" w:lineRule="exact"/>
        <w:ind w:firstLine="480"/>
        <w:rPr>
          <w:rFonts w:hint="eastAsia"/>
          <w:sz w:val="24"/>
          <w:szCs w:val="24"/>
          <w:lang w:val="en-US" w:eastAsia="zh-CN"/>
        </w:rPr>
      </w:pPr>
      <w:r>
        <w:rPr>
          <w:rFonts w:hint="eastAsia"/>
          <w:sz w:val="24"/>
          <w:szCs w:val="24"/>
          <w:lang w:val="en-US" w:eastAsia="zh-CN"/>
        </w:rPr>
        <w:t>分包1采购内容：全自动酶联免疫分析仪</w:t>
      </w:r>
    </w:p>
    <w:p w14:paraId="662B043B">
      <w:pPr>
        <w:spacing w:line="560" w:lineRule="exact"/>
        <w:ind w:firstLine="480"/>
        <w:rPr>
          <w:rFonts w:hint="eastAsia"/>
          <w:sz w:val="24"/>
          <w:szCs w:val="24"/>
          <w:lang w:val="en-US" w:eastAsia="zh-CN"/>
        </w:rPr>
      </w:pPr>
      <w:r>
        <w:rPr>
          <w:rFonts w:hint="eastAsia"/>
          <w:sz w:val="24"/>
          <w:szCs w:val="24"/>
          <w:lang w:val="en-US" w:eastAsia="zh-CN"/>
        </w:rPr>
        <w:t>分包2采购内容：全自动生化分析仪</w:t>
      </w:r>
    </w:p>
    <w:p w14:paraId="5ED81629">
      <w:pPr>
        <w:spacing w:line="560" w:lineRule="exact"/>
        <w:ind w:firstLine="480"/>
        <w:rPr>
          <w:rFonts w:hint="default"/>
          <w:sz w:val="24"/>
          <w:szCs w:val="24"/>
          <w:lang w:val="en-US" w:eastAsia="zh-CN"/>
        </w:rPr>
      </w:pPr>
      <w:r>
        <w:rPr>
          <w:rFonts w:hint="eastAsia"/>
          <w:sz w:val="24"/>
          <w:szCs w:val="24"/>
          <w:lang w:val="en-US" w:eastAsia="zh-CN"/>
        </w:rPr>
        <w:t>分包3采购内容：核酸气溶胶清除仪</w:t>
      </w:r>
    </w:p>
    <w:p w14:paraId="38C5D9AD">
      <w:pPr>
        <w:spacing w:line="560" w:lineRule="exact"/>
        <w:ind w:firstLine="480"/>
        <w:rPr>
          <w:rFonts w:hint="eastAsia"/>
          <w:color w:val="auto"/>
          <w:sz w:val="24"/>
          <w:szCs w:val="24"/>
        </w:rPr>
      </w:pPr>
      <w:r>
        <w:rPr>
          <w:rFonts w:hint="eastAsia"/>
          <w:sz w:val="24"/>
          <w:szCs w:val="24"/>
        </w:rPr>
        <w:t>本次采购共分为</w:t>
      </w:r>
      <w:r>
        <w:rPr>
          <w:rFonts w:hint="eastAsia"/>
          <w:sz w:val="24"/>
          <w:szCs w:val="24"/>
          <w:lang w:val="en-US" w:eastAsia="zh-CN"/>
        </w:rPr>
        <w:t>三</w:t>
      </w:r>
      <w:r>
        <w:rPr>
          <w:rFonts w:hint="eastAsia"/>
          <w:sz w:val="24"/>
          <w:szCs w:val="24"/>
        </w:rPr>
        <w:t>个分包，按分包1至分包</w:t>
      </w:r>
      <w:r>
        <w:rPr>
          <w:rFonts w:hint="eastAsia"/>
          <w:sz w:val="24"/>
          <w:szCs w:val="24"/>
          <w:lang w:val="en-US" w:eastAsia="zh-CN"/>
        </w:rPr>
        <w:t>3</w:t>
      </w:r>
      <w:r>
        <w:rPr>
          <w:rFonts w:hint="eastAsia"/>
          <w:sz w:val="24"/>
          <w:szCs w:val="24"/>
        </w:rPr>
        <w:t>的顺序开标、评标、中标，</w:t>
      </w:r>
      <w:r>
        <w:rPr>
          <w:rFonts w:hint="eastAsia"/>
          <w:color w:val="auto"/>
          <w:sz w:val="24"/>
          <w:szCs w:val="24"/>
        </w:rPr>
        <w:t>兼投兼中，即投标人可参与任意分包或全部分包的投标，需对拟参与分包分别进行制作投标文件，已在前一个分包被推荐为第一中标候选人的，可以参与其他分包的评审，</w:t>
      </w:r>
      <w:r>
        <w:rPr>
          <w:rFonts w:hint="eastAsia"/>
          <w:color w:val="auto"/>
          <w:sz w:val="24"/>
          <w:szCs w:val="24"/>
          <w:lang w:val="en-US" w:eastAsia="zh-CN"/>
        </w:rPr>
        <w:t>且再</w:t>
      </w:r>
      <w:r>
        <w:rPr>
          <w:rFonts w:hint="eastAsia"/>
          <w:color w:val="auto"/>
          <w:sz w:val="24"/>
          <w:szCs w:val="24"/>
        </w:rPr>
        <w:t>被推荐为其他分包的中标候选人。评审结束后，若其中一个分包受到质疑投诉等原因，导致该分包评审结果改变，但不影响其他分包的评审结果。</w:t>
      </w:r>
    </w:p>
    <w:p w14:paraId="0DE81BE1">
      <w:pPr>
        <w:spacing w:line="560" w:lineRule="exact"/>
        <w:ind w:firstLine="480"/>
        <w:rPr>
          <w:sz w:val="24"/>
          <w:szCs w:val="24"/>
          <w:highlight w:val="yellow"/>
        </w:rPr>
      </w:pPr>
      <w:r>
        <w:rPr>
          <w:rFonts w:hint="eastAsia"/>
          <w:sz w:val="24"/>
          <w:szCs w:val="24"/>
          <w:highlight w:val="none"/>
        </w:rPr>
        <w:t>6.合同履行期限：接采购人通知后30日历天内供货安装调试结束并经验收合格</w:t>
      </w:r>
      <w:r>
        <w:rPr>
          <w:rFonts w:hint="eastAsia"/>
          <w:sz w:val="24"/>
          <w:szCs w:val="24"/>
          <w:highlight w:val="none"/>
          <w:lang w:eastAsia="zh-CN"/>
        </w:rPr>
        <w:t>。</w:t>
      </w:r>
    </w:p>
    <w:p w14:paraId="038DB815">
      <w:pPr>
        <w:spacing w:line="560" w:lineRule="exact"/>
        <w:ind w:firstLine="480"/>
        <w:rPr>
          <w:sz w:val="24"/>
          <w:szCs w:val="24"/>
        </w:rPr>
      </w:pPr>
      <w:r>
        <w:rPr>
          <w:rFonts w:hint="eastAsia"/>
          <w:sz w:val="24"/>
          <w:szCs w:val="24"/>
        </w:rPr>
        <w:t>7.本项目</w:t>
      </w:r>
      <w:r>
        <w:rPr>
          <w:rFonts w:hint="eastAsia"/>
          <w:sz w:val="24"/>
          <w:szCs w:val="24"/>
          <w:u w:val="single"/>
        </w:rPr>
        <w:t>不接受</w:t>
      </w:r>
      <w:r>
        <w:rPr>
          <w:rFonts w:hint="eastAsia"/>
          <w:sz w:val="24"/>
          <w:szCs w:val="24"/>
        </w:rPr>
        <w:t>联合体投标。</w:t>
      </w:r>
    </w:p>
    <w:p w14:paraId="4007C2B7">
      <w:pPr>
        <w:pStyle w:val="4"/>
        <w:spacing w:before="145" w:after="145" w:line="240" w:lineRule="auto"/>
        <w:ind w:firstLine="499"/>
        <w:jc w:val="left"/>
      </w:pPr>
      <w:bookmarkStart w:id="11" w:name="_Toc35393791"/>
      <w:bookmarkStart w:id="12" w:name="_Toc35393622"/>
      <w:bookmarkStart w:id="13" w:name="_Toc28359003"/>
      <w:bookmarkStart w:id="14" w:name="_Toc38985264"/>
      <w:bookmarkStart w:id="15" w:name="_Toc28359080"/>
      <w:bookmarkStart w:id="16" w:name="_Toc15321"/>
      <w:r>
        <w:rPr>
          <w:rFonts w:hint="eastAsia" w:ascii="宋体" w:hAnsi="宋体" w:eastAsia="宋体" w:cs="宋体"/>
          <w:sz w:val="32"/>
          <w:szCs w:val="32"/>
        </w:rPr>
        <w:t>二、申请人的资格要求</w:t>
      </w:r>
      <w:r>
        <w:rPr>
          <w:rFonts w:hint="eastAsia"/>
        </w:rPr>
        <w:t>：</w:t>
      </w:r>
      <w:bookmarkEnd w:id="11"/>
      <w:bookmarkEnd w:id="12"/>
      <w:bookmarkEnd w:id="13"/>
      <w:bookmarkEnd w:id="14"/>
      <w:bookmarkEnd w:id="15"/>
      <w:bookmarkEnd w:id="16"/>
    </w:p>
    <w:p w14:paraId="62966800">
      <w:pPr>
        <w:spacing w:line="560" w:lineRule="exact"/>
        <w:ind w:firstLine="480"/>
        <w:rPr>
          <w:sz w:val="24"/>
          <w:szCs w:val="24"/>
        </w:rPr>
      </w:pPr>
      <w:bookmarkStart w:id="17" w:name="_Toc35393623"/>
      <w:bookmarkStart w:id="18" w:name="_Toc28359004"/>
      <w:bookmarkStart w:id="19" w:name="_Toc35393792"/>
      <w:bookmarkStart w:id="20" w:name="_Toc38985265"/>
      <w:bookmarkStart w:id="21" w:name="_Toc28359081"/>
      <w:r>
        <w:rPr>
          <w:rFonts w:hint="eastAsia"/>
          <w:sz w:val="24"/>
          <w:szCs w:val="24"/>
        </w:rPr>
        <w:t>（一</w:t>
      </w:r>
      <w:r>
        <w:rPr>
          <w:sz w:val="24"/>
          <w:szCs w:val="24"/>
        </w:rPr>
        <w:t>）</w:t>
      </w:r>
      <w:r>
        <w:rPr>
          <w:rFonts w:hint="eastAsia"/>
          <w:sz w:val="24"/>
          <w:szCs w:val="24"/>
        </w:rPr>
        <w:t>通用</w:t>
      </w:r>
      <w:r>
        <w:rPr>
          <w:sz w:val="24"/>
          <w:szCs w:val="24"/>
        </w:rPr>
        <w:t>资格要求</w:t>
      </w:r>
    </w:p>
    <w:p w14:paraId="6A8B4A25">
      <w:pPr>
        <w:spacing w:line="560" w:lineRule="exact"/>
        <w:ind w:firstLine="480" w:firstLineChars="200"/>
        <w:rPr>
          <w:sz w:val="24"/>
          <w:szCs w:val="24"/>
        </w:rPr>
      </w:pPr>
      <w:r>
        <w:rPr>
          <w:rFonts w:hint="eastAsia"/>
          <w:sz w:val="24"/>
          <w:szCs w:val="24"/>
        </w:rPr>
        <w:t>1.具备《中华人民共和国政府采购法》第二十二条第一款规定的6项条件（按要求提供投标函）。</w:t>
      </w:r>
    </w:p>
    <w:p w14:paraId="4778654E">
      <w:pPr>
        <w:spacing w:line="560" w:lineRule="exact"/>
        <w:ind w:firstLine="480" w:firstLineChars="200"/>
        <w:rPr>
          <w:sz w:val="24"/>
          <w:szCs w:val="24"/>
        </w:rPr>
      </w:pPr>
      <w:r>
        <w:rPr>
          <w:rFonts w:hint="eastAsia"/>
          <w:sz w:val="24"/>
          <w:szCs w:val="24"/>
        </w:rPr>
        <w:t>2.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553B7E66">
      <w:pPr>
        <w:spacing w:line="560" w:lineRule="exact"/>
        <w:ind w:firstLine="480" w:firstLineChars="200"/>
        <w:rPr>
          <w:rFonts w:cs="宋体"/>
          <w:sz w:val="24"/>
          <w:szCs w:val="24"/>
        </w:rPr>
      </w:pPr>
      <w:r>
        <w:rPr>
          <w:rFonts w:hint="eastAsia"/>
          <w:sz w:val="24"/>
          <w:szCs w:val="24"/>
        </w:rPr>
        <w:t>3.落实政府采购政策需满足的资格要求：无。</w:t>
      </w:r>
    </w:p>
    <w:p w14:paraId="7896BE0D">
      <w:pPr>
        <w:spacing w:line="560" w:lineRule="exact"/>
        <w:ind w:firstLine="480"/>
        <w:rPr>
          <w:rFonts w:hint="eastAsia"/>
          <w:sz w:val="24"/>
          <w:szCs w:val="24"/>
          <w:highlight w:val="none"/>
        </w:rPr>
      </w:pPr>
      <w:r>
        <w:rPr>
          <w:rFonts w:hint="eastAsia"/>
          <w:sz w:val="24"/>
          <w:szCs w:val="24"/>
          <w:highlight w:val="none"/>
        </w:rPr>
        <w:t>（二）本项目的特定资格要求：</w:t>
      </w:r>
    </w:p>
    <w:p w14:paraId="765ED90A">
      <w:pPr>
        <w:spacing w:line="560" w:lineRule="exact"/>
        <w:ind w:firstLine="480"/>
        <w:rPr>
          <w:rFonts w:hint="default" w:eastAsia="宋体"/>
          <w:sz w:val="24"/>
          <w:szCs w:val="24"/>
          <w:highlight w:val="none"/>
          <w:lang w:val="en-US" w:eastAsia="zh-CN"/>
        </w:rPr>
      </w:pPr>
      <w:r>
        <w:rPr>
          <w:rFonts w:hint="eastAsia"/>
          <w:sz w:val="24"/>
          <w:szCs w:val="24"/>
          <w:highlight w:val="none"/>
          <w:lang w:val="en-US" w:eastAsia="zh-CN"/>
        </w:rPr>
        <w:t>分包1：</w:t>
      </w:r>
    </w:p>
    <w:p w14:paraId="3A1ED668">
      <w:pPr>
        <w:spacing w:line="560" w:lineRule="exact"/>
        <w:ind w:firstLine="480"/>
        <w:rPr>
          <w:rFonts w:hint="eastAsia"/>
          <w:sz w:val="24"/>
          <w:szCs w:val="24"/>
          <w:highlight w:val="none"/>
        </w:rPr>
      </w:pPr>
      <w:r>
        <w:rPr>
          <w:rFonts w:hint="eastAsia"/>
          <w:sz w:val="24"/>
          <w:szCs w:val="24"/>
          <w:highlight w:val="none"/>
        </w:rPr>
        <w:t>1.投标人须提供投标产品的《医疗器械注册证》。</w:t>
      </w:r>
    </w:p>
    <w:p w14:paraId="5206A625">
      <w:pPr>
        <w:spacing w:line="560" w:lineRule="exact"/>
        <w:ind w:firstLine="480"/>
        <w:rPr>
          <w:rFonts w:hint="eastAsia" w:eastAsia="宋体"/>
          <w:sz w:val="24"/>
          <w:szCs w:val="24"/>
          <w:highlight w:val="none"/>
          <w:lang w:eastAsia="zh-CN"/>
        </w:rPr>
      </w:pPr>
      <w:r>
        <w:rPr>
          <w:rFonts w:hint="eastAsia"/>
          <w:sz w:val="24"/>
          <w:szCs w:val="24"/>
          <w:highlight w:val="none"/>
          <w:lang w:val="en-US" w:eastAsia="zh-CN"/>
        </w:rPr>
        <w:t>2.</w:t>
      </w:r>
      <w:r>
        <w:rPr>
          <w:rFonts w:hint="eastAsia"/>
          <w:sz w:val="24"/>
          <w:szCs w:val="24"/>
          <w:highlight w:val="none"/>
        </w:rPr>
        <w:t>投标人为医疗器械生产企业的，</w:t>
      </w:r>
      <w:r>
        <w:rPr>
          <w:rFonts w:hint="eastAsia"/>
          <w:sz w:val="24"/>
          <w:szCs w:val="24"/>
          <w:highlight w:val="none"/>
          <w:lang w:val="en-US" w:eastAsia="zh-CN"/>
        </w:rPr>
        <w:t>投标人须</w:t>
      </w:r>
      <w:r>
        <w:rPr>
          <w:rFonts w:hint="eastAsia"/>
          <w:sz w:val="24"/>
          <w:szCs w:val="24"/>
          <w:highlight w:val="none"/>
        </w:rPr>
        <w:t>提供</w:t>
      </w:r>
      <w:r>
        <w:rPr>
          <w:rFonts w:hint="eastAsia"/>
          <w:sz w:val="24"/>
          <w:szCs w:val="24"/>
          <w:highlight w:val="none"/>
          <w:lang w:val="en-US" w:eastAsia="zh-CN"/>
        </w:rPr>
        <w:t>有效期内</w:t>
      </w:r>
      <w:r>
        <w:rPr>
          <w:rFonts w:hint="eastAsia"/>
          <w:sz w:val="24"/>
          <w:szCs w:val="24"/>
          <w:highlight w:val="none"/>
        </w:rPr>
        <w:t>的《医疗器械生产许可证》</w:t>
      </w:r>
      <w:r>
        <w:rPr>
          <w:rFonts w:hint="eastAsia"/>
          <w:sz w:val="24"/>
          <w:szCs w:val="24"/>
          <w:highlight w:val="none"/>
          <w:lang w:eastAsia="zh-CN"/>
        </w:rPr>
        <w:t>。</w:t>
      </w:r>
    </w:p>
    <w:p w14:paraId="248D1354">
      <w:pPr>
        <w:spacing w:line="560" w:lineRule="exact"/>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.投标人为医疗器械经营企业的，</w:t>
      </w:r>
      <w:r>
        <w:rPr>
          <w:rFonts w:hint="eastAsia"/>
          <w:sz w:val="24"/>
          <w:szCs w:val="24"/>
          <w:highlight w:val="none"/>
          <w:lang w:val="en-US" w:eastAsia="zh-CN"/>
        </w:rPr>
        <w:t>投标人</w:t>
      </w:r>
      <w:r>
        <w:rPr>
          <w:rFonts w:hint="eastAsia"/>
          <w:sz w:val="24"/>
          <w:szCs w:val="24"/>
          <w:highlight w:val="none"/>
        </w:rPr>
        <w:t>须</w:t>
      </w:r>
      <w:r>
        <w:rPr>
          <w:rFonts w:hint="eastAsia"/>
          <w:color w:val="auto"/>
          <w:sz w:val="24"/>
          <w:szCs w:val="24"/>
          <w:highlight w:val="none"/>
        </w:rPr>
        <w:t>提供《医疗器械经营备案凭证》</w:t>
      </w:r>
      <w:r>
        <w:rPr>
          <w:rFonts w:hint="eastAsia"/>
          <w:sz w:val="24"/>
          <w:szCs w:val="24"/>
          <w:highlight w:val="none"/>
        </w:rPr>
        <w:t>。</w:t>
      </w:r>
    </w:p>
    <w:p w14:paraId="2248D081">
      <w:pPr>
        <w:spacing w:line="560" w:lineRule="exact"/>
        <w:ind w:firstLine="480"/>
        <w:rPr>
          <w:rFonts w:hint="eastAsia"/>
          <w:sz w:val="24"/>
          <w:szCs w:val="24"/>
          <w:highlight w:val="none"/>
          <w:lang w:val="en-US" w:eastAsia="zh-CN"/>
        </w:rPr>
      </w:pPr>
      <w:r>
        <w:rPr>
          <w:rFonts w:hint="eastAsia"/>
          <w:sz w:val="24"/>
          <w:szCs w:val="24"/>
          <w:highlight w:val="none"/>
          <w:lang w:val="en-US" w:eastAsia="zh-CN"/>
        </w:rPr>
        <w:t>分包2：</w:t>
      </w:r>
    </w:p>
    <w:p w14:paraId="44EDBB6B">
      <w:pPr>
        <w:spacing w:line="560" w:lineRule="exact"/>
        <w:ind w:firstLine="480"/>
        <w:rPr>
          <w:rFonts w:hint="eastAsia"/>
          <w:sz w:val="24"/>
          <w:szCs w:val="24"/>
          <w:highlight w:val="none"/>
        </w:rPr>
      </w:pPr>
      <w:r>
        <w:rPr>
          <w:rFonts w:hint="eastAsia"/>
          <w:sz w:val="24"/>
          <w:szCs w:val="24"/>
          <w:highlight w:val="none"/>
        </w:rPr>
        <w:t>1.投标人须提供投标产品的《医疗器械注册证》。</w:t>
      </w:r>
    </w:p>
    <w:p w14:paraId="069C7219">
      <w:pPr>
        <w:spacing w:line="560" w:lineRule="exact"/>
        <w:ind w:firstLine="480"/>
        <w:rPr>
          <w:rFonts w:hint="eastAsia" w:eastAsia="宋体"/>
          <w:sz w:val="24"/>
          <w:szCs w:val="24"/>
          <w:highlight w:val="none"/>
          <w:lang w:eastAsia="zh-CN"/>
        </w:rPr>
      </w:pPr>
      <w:r>
        <w:rPr>
          <w:rFonts w:hint="eastAsia" w:ascii="Times New Roman" w:eastAsia="宋体"/>
          <w:sz w:val="24"/>
          <w:szCs w:val="24"/>
          <w:highlight w:val="none"/>
          <w:lang w:val="en-US" w:eastAsia="zh-CN"/>
        </w:rPr>
        <w:t>2.</w:t>
      </w:r>
      <w:r>
        <w:rPr>
          <w:rFonts w:hint="eastAsia"/>
          <w:sz w:val="24"/>
          <w:szCs w:val="24"/>
          <w:highlight w:val="none"/>
        </w:rPr>
        <w:t>投标人为医疗器械生产企业的，</w:t>
      </w:r>
      <w:r>
        <w:rPr>
          <w:rFonts w:hint="eastAsia" w:ascii="Times New Roman" w:eastAsia="宋体"/>
          <w:sz w:val="24"/>
          <w:szCs w:val="24"/>
          <w:highlight w:val="none"/>
          <w:lang w:val="en-US" w:eastAsia="zh-CN"/>
        </w:rPr>
        <w:t>投标人须</w:t>
      </w:r>
      <w:r>
        <w:rPr>
          <w:rFonts w:hint="eastAsia"/>
          <w:sz w:val="24"/>
          <w:szCs w:val="24"/>
          <w:highlight w:val="none"/>
        </w:rPr>
        <w:t>提供</w:t>
      </w:r>
      <w:r>
        <w:rPr>
          <w:rFonts w:hint="eastAsia" w:ascii="Times New Roman" w:eastAsia="宋体"/>
          <w:sz w:val="24"/>
          <w:szCs w:val="24"/>
          <w:highlight w:val="none"/>
          <w:lang w:val="en-US" w:eastAsia="zh-CN"/>
        </w:rPr>
        <w:t>有效期内</w:t>
      </w:r>
      <w:r>
        <w:rPr>
          <w:rFonts w:hint="eastAsia"/>
          <w:sz w:val="24"/>
          <w:szCs w:val="24"/>
          <w:highlight w:val="none"/>
        </w:rPr>
        <w:t>的《医疗器械生产许可证》</w:t>
      </w:r>
      <w:r>
        <w:rPr>
          <w:rFonts w:hint="eastAsia" w:eastAsia="宋体"/>
          <w:sz w:val="24"/>
          <w:szCs w:val="24"/>
          <w:highlight w:val="none"/>
          <w:lang w:eastAsia="zh-CN"/>
        </w:rPr>
        <w:t>。</w:t>
      </w:r>
    </w:p>
    <w:p w14:paraId="3F50BB6E">
      <w:pPr>
        <w:spacing w:line="560" w:lineRule="exact"/>
        <w:ind w:firstLine="480"/>
        <w:rPr>
          <w:rFonts w:hint="eastAsia"/>
          <w:sz w:val="24"/>
          <w:szCs w:val="24"/>
          <w:highlight w:val="none"/>
          <w:lang w:val="en-US" w:eastAsia="zh-CN"/>
        </w:rPr>
      </w:pPr>
      <w:r>
        <w:rPr>
          <w:rFonts w:hint="eastAsia" w:ascii="Times New Roman" w:eastAsia="宋体"/>
          <w:sz w:val="24"/>
          <w:szCs w:val="24"/>
          <w:highlight w:val="none"/>
          <w:lang w:val="en-US" w:eastAsia="zh-CN"/>
        </w:rPr>
        <w:t>3</w:t>
      </w:r>
      <w:r>
        <w:rPr>
          <w:rFonts w:hint="eastAsia"/>
          <w:sz w:val="24"/>
          <w:szCs w:val="24"/>
          <w:highlight w:val="none"/>
        </w:rPr>
        <w:t>.投标人为医疗器械经营企业的，</w:t>
      </w:r>
      <w:r>
        <w:rPr>
          <w:rFonts w:hint="eastAsia" w:ascii="Times New Roman" w:eastAsia="宋体"/>
          <w:sz w:val="24"/>
          <w:szCs w:val="24"/>
          <w:highlight w:val="none"/>
          <w:lang w:val="en-US" w:eastAsia="zh-CN"/>
        </w:rPr>
        <w:t>投标人</w:t>
      </w:r>
      <w:r>
        <w:rPr>
          <w:rFonts w:hint="eastAsia"/>
          <w:sz w:val="24"/>
          <w:szCs w:val="24"/>
          <w:highlight w:val="none"/>
        </w:rPr>
        <w:t>须</w:t>
      </w:r>
      <w:r>
        <w:rPr>
          <w:rFonts w:hint="eastAsia"/>
          <w:color w:val="auto"/>
          <w:sz w:val="24"/>
          <w:szCs w:val="24"/>
          <w:highlight w:val="none"/>
        </w:rPr>
        <w:t>提供《医疗器械经营备案凭证》</w:t>
      </w:r>
      <w:r>
        <w:rPr>
          <w:rFonts w:hint="eastAsia"/>
          <w:sz w:val="24"/>
          <w:szCs w:val="24"/>
          <w:highlight w:val="none"/>
        </w:rPr>
        <w:t>。</w:t>
      </w:r>
    </w:p>
    <w:p w14:paraId="555C5F4C">
      <w:pPr>
        <w:spacing w:line="560" w:lineRule="exact"/>
        <w:ind w:firstLine="480"/>
        <w:rPr>
          <w:rFonts w:hint="default"/>
          <w:sz w:val="24"/>
          <w:szCs w:val="24"/>
          <w:highlight w:val="none"/>
          <w:lang w:val="en-US" w:eastAsia="zh-CN"/>
        </w:rPr>
      </w:pPr>
      <w:r>
        <w:rPr>
          <w:rFonts w:hint="eastAsia"/>
          <w:sz w:val="24"/>
          <w:szCs w:val="24"/>
          <w:highlight w:val="none"/>
          <w:lang w:val="en-US" w:eastAsia="zh-CN"/>
        </w:rPr>
        <w:t>分包3：无。</w:t>
      </w:r>
    </w:p>
    <w:p w14:paraId="1004B916">
      <w:pPr>
        <w:pStyle w:val="4"/>
        <w:spacing w:line="480" w:lineRule="exact"/>
        <w:jc w:val="left"/>
        <w:rPr>
          <w:rFonts w:ascii="宋体" w:hAnsi="宋体" w:eastAsia="宋体" w:cs="宋体"/>
          <w:sz w:val="32"/>
          <w:szCs w:val="32"/>
        </w:rPr>
      </w:pPr>
      <w:bookmarkStart w:id="22" w:name="_Toc27498"/>
      <w:r>
        <w:rPr>
          <w:rFonts w:hint="eastAsia" w:ascii="宋体" w:hAnsi="宋体" w:eastAsia="宋体" w:cs="宋体"/>
          <w:sz w:val="32"/>
          <w:szCs w:val="32"/>
        </w:rPr>
        <w:t>三、获取招标文件</w:t>
      </w:r>
      <w:bookmarkEnd w:id="17"/>
      <w:bookmarkEnd w:id="18"/>
      <w:bookmarkEnd w:id="19"/>
      <w:bookmarkEnd w:id="20"/>
      <w:bookmarkEnd w:id="21"/>
      <w:bookmarkEnd w:id="22"/>
    </w:p>
    <w:p w14:paraId="38281DF7">
      <w:pPr>
        <w:spacing w:line="480" w:lineRule="exact"/>
        <w:ind w:firstLine="480"/>
        <w:rPr>
          <w:rFonts w:cs="宋体"/>
          <w:sz w:val="24"/>
          <w:szCs w:val="24"/>
        </w:rPr>
      </w:pPr>
      <w:bookmarkStart w:id="23" w:name="_Toc28359082"/>
      <w:bookmarkStart w:id="24" w:name="_Toc28359005"/>
      <w:bookmarkStart w:id="25" w:name="_Toc38985266"/>
      <w:bookmarkStart w:id="26" w:name="_Toc35393793"/>
      <w:bookmarkStart w:id="27" w:name="_Toc35393624"/>
      <w:r>
        <w:rPr>
          <w:rFonts w:hint="eastAsia" w:cs="宋体"/>
          <w:sz w:val="24"/>
          <w:szCs w:val="24"/>
        </w:rPr>
        <w:t>1.时间：2026年</w:t>
      </w:r>
      <w:r>
        <w:rPr>
          <w:rFonts w:hint="eastAsia" w:cs="宋体"/>
          <w:sz w:val="24"/>
          <w:szCs w:val="24"/>
          <w:lang w:val="en-US" w:eastAsia="zh-CN"/>
        </w:rPr>
        <w:t>5</w:t>
      </w:r>
      <w:r>
        <w:rPr>
          <w:rFonts w:hint="eastAsia" w:cs="宋体"/>
          <w:sz w:val="24"/>
          <w:szCs w:val="24"/>
        </w:rPr>
        <w:t>月 日9:00至2026年</w:t>
      </w:r>
      <w:r>
        <w:rPr>
          <w:rFonts w:hint="eastAsia" w:cs="宋体"/>
          <w:sz w:val="24"/>
          <w:szCs w:val="24"/>
          <w:lang w:val="en-US" w:eastAsia="zh-CN"/>
        </w:rPr>
        <w:t>5</w:t>
      </w:r>
      <w:r>
        <w:rPr>
          <w:rFonts w:hint="eastAsia" w:cs="宋体"/>
          <w:sz w:val="24"/>
          <w:szCs w:val="24"/>
        </w:rPr>
        <w:t>月 日17:30。</w:t>
      </w:r>
    </w:p>
    <w:p w14:paraId="7060BD2B">
      <w:pPr>
        <w:spacing w:line="560" w:lineRule="exact"/>
        <w:ind w:firstLine="480"/>
        <w:rPr>
          <w:rFonts w:cs="宋体"/>
          <w:sz w:val="24"/>
          <w:szCs w:val="24"/>
        </w:rPr>
      </w:pPr>
      <w:r>
        <w:rPr>
          <w:rFonts w:hint="eastAsia" w:cs="宋体"/>
          <w:sz w:val="24"/>
          <w:szCs w:val="24"/>
        </w:rPr>
        <w:t>2.方式：投标人应在招标文件提供的时间内，通过“苏采云”系统（网址：http://jszfcg.jsczt.cn/），使用CA锁登录系统后，找到本项目获取招标文件（后缀名为“.kedt”）。</w:t>
      </w:r>
    </w:p>
    <w:p w14:paraId="0544EFF0">
      <w:pPr>
        <w:spacing w:line="560" w:lineRule="exact"/>
        <w:ind w:firstLine="480"/>
        <w:rPr>
          <w:rFonts w:cs="宋体"/>
          <w:sz w:val="24"/>
          <w:szCs w:val="24"/>
        </w:rPr>
      </w:pPr>
      <w:bookmarkStart w:id="28" w:name="EB0c44ff4da61f4af989d119fe214be450"/>
      <w:r>
        <w:rPr>
          <w:rFonts w:hint="eastAsia" w:cs="宋体"/>
          <w:sz w:val="24"/>
          <w:szCs w:val="24"/>
        </w:rPr>
        <w:t>3.本项目共分</w:t>
      </w:r>
      <w:r>
        <w:rPr>
          <w:rFonts w:hint="eastAsia" w:cs="宋体"/>
          <w:sz w:val="24"/>
          <w:szCs w:val="24"/>
          <w:lang w:val="en-US" w:eastAsia="zh-CN"/>
        </w:rPr>
        <w:t>三</w:t>
      </w:r>
      <w:r>
        <w:rPr>
          <w:rFonts w:hint="eastAsia" w:cs="宋体"/>
          <w:sz w:val="24"/>
          <w:szCs w:val="24"/>
        </w:rPr>
        <w:t>个采购包。</w:t>
      </w:r>
      <w:bookmarkEnd w:id="28"/>
      <w:r>
        <w:rPr>
          <w:rFonts w:hint="eastAsia" w:cs="宋体"/>
          <w:sz w:val="24"/>
          <w:szCs w:val="24"/>
        </w:rPr>
        <w:t>投标人参与多个采购包投标的，应按采购包分别上传对应投标文件。否则，后果自负。</w:t>
      </w:r>
    </w:p>
    <w:p w14:paraId="053AF67A">
      <w:pPr>
        <w:pStyle w:val="4"/>
        <w:spacing w:before="145" w:after="145" w:line="240" w:lineRule="auto"/>
        <w:ind w:firstLine="499"/>
        <w:jc w:val="left"/>
      </w:pPr>
      <w:bookmarkStart w:id="29" w:name="_Toc16364"/>
      <w:r>
        <w:rPr>
          <w:rFonts w:hint="eastAsia" w:ascii="宋体" w:hAnsi="宋体" w:eastAsia="宋体" w:cs="宋体"/>
          <w:sz w:val="32"/>
          <w:szCs w:val="32"/>
        </w:rPr>
        <w:t>四、提交投标文件</w:t>
      </w:r>
      <w:bookmarkEnd w:id="23"/>
      <w:bookmarkEnd w:id="24"/>
      <w:r>
        <w:rPr>
          <w:rFonts w:hint="eastAsia" w:ascii="宋体" w:hAnsi="宋体" w:eastAsia="宋体" w:cs="宋体"/>
          <w:sz w:val="32"/>
          <w:szCs w:val="32"/>
        </w:rPr>
        <w:t>截止时间、开标时间和地点</w:t>
      </w:r>
      <w:bookmarkEnd w:id="25"/>
      <w:bookmarkEnd w:id="26"/>
      <w:bookmarkEnd w:id="27"/>
      <w:bookmarkEnd w:id="29"/>
    </w:p>
    <w:p w14:paraId="297A475D">
      <w:pPr>
        <w:spacing w:line="560" w:lineRule="exact"/>
        <w:ind w:firstLine="480"/>
        <w:rPr>
          <w:bCs/>
          <w:sz w:val="24"/>
          <w:szCs w:val="24"/>
          <w:u w:val="single"/>
        </w:rPr>
      </w:pPr>
      <w:r>
        <w:rPr>
          <w:rFonts w:hint="eastAsia"/>
          <w:bCs/>
          <w:sz w:val="24"/>
          <w:szCs w:val="24"/>
        </w:rPr>
        <w:t>1.</w:t>
      </w:r>
      <w:r>
        <w:rPr>
          <w:rFonts w:hint="eastAsia" w:cs="宋体"/>
          <w:sz w:val="24"/>
          <w:szCs w:val="24"/>
        </w:rPr>
        <w:t>提交投标文件截止时间、开标时间：</w:t>
      </w:r>
      <w:r>
        <w:rPr>
          <w:rFonts w:hint="eastAsia"/>
          <w:sz w:val="24"/>
          <w:szCs w:val="24"/>
          <w:u w:val="single"/>
        </w:rPr>
        <w:t>2026</w:t>
      </w:r>
      <w:r>
        <w:rPr>
          <w:rFonts w:hint="eastAsia"/>
          <w:bCs/>
          <w:sz w:val="24"/>
          <w:szCs w:val="24"/>
          <w:u w:val="single"/>
        </w:rPr>
        <w:t>年</w:t>
      </w:r>
      <w:r>
        <w:rPr>
          <w:rFonts w:hint="eastAsia"/>
          <w:bCs/>
          <w:sz w:val="24"/>
          <w:szCs w:val="24"/>
          <w:u w:val="single"/>
          <w:lang w:val="en-US" w:eastAsia="zh-CN"/>
        </w:rPr>
        <w:t>5</w:t>
      </w:r>
      <w:r>
        <w:rPr>
          <w:rFonts w:hint="eastAsia"/>
          <w:bCs/>
          <w:sz w:val="24"/>
          <w:szCs w:val="24"/>
          <w:u w:val="single"/>
        </w:rPr>
        <w:t>月 日9点30分</w:t>
      </w:r>
      <w:r>
        <w:rPr>
          <w:rFonts w:hint="eastAsia"/>
          <w:bCs/>
          <w:sz w:val="24"/>
          <w:szCs w:val="24"/>
        </w:rPr>
        <w:t>（北京时间）</w:t>
      </w:r>
    </w:p>
    <w:p w14:paraId="0B270545">
      <w:pPr>
        <w:spacing w:line="560" w:lineRule="exact"/>
        <w:ind w:firstLine="480"/>
        <w:rPr>
          <w:rFonts w:cs="宋体"/>
          <w:sz w:val="24"/>
          <w:szCs w:val="24"/>
        </w:rPr>
      </w:pPr>
      <w:r>
        <w:rPr>
          <w:rFonts w:hint="eastAsia" w:cs="宋体"/>
          <w:sz w:val="24"/>
          <w:szCs w:val="24"/>
        </w:rPr>
        <w:t>2.地点：“苏采云”政府采购交易系统网上开标大厅。</w:t>
      </w:r>
    </w:p>
    <w:p w14:paraId="0C853D0B">
      <w:pPr>
        <w:pStyle w:val="4"/>
        <w:spacing w:before="145" w:after="145" w:line="240" w:lineRule="auto"/>
        <w:ind w:firstLine="499"/>
        <w:jc w:val="left"/>
        <w:rPr>
          <w:rFonts w:ascii="宋体" w:hAnsi="宋体" w:eastAsia="宋体" w:cs="宋体"/>
          <w:sz w:val="32"/>
          <w:szCs w:val="32"/>
        </w:rPr>
      </w:pPr>
      <w:bookmarkStart w:id="30" w:name="_Toc38985267"/>
      <w:bookmarkStart w:id="31" w:name="_Toc35393625"/>
      <w:bookmarkStart w:id="32" w:name="_Toc759"/>
      <w:bookmarkStart w:id="33" w:name="_Toc28359007"/>
      <w:bookmarkStart w:id="34" w:name="_Toc35393794"/>
      <w:bookmarkStart w:id="35" w:name="_Toc28359084"/>
      <w:r>
        <w:rPr>
          <w:rFonts w:hint="eastAsia" w:ascii="宋体" w:hAnsi="宋体" w:eastAsia="宋体" w:cs="宋体"/>
          <w:sz w:val="32"/>
          <w:szCs w:val="32"/>
        </w:rPr>
        <w:t>五、公告期限</w:t>
      </w:r>
      <w:bookmarkEnd w:id="30"/>
      <w:bookmarkEnd w:id="31"/>
      <w:bookmarkEnd w:id="32"/>
      <w:bookmarkEnd w:id="33"/>
      <w:bookmarkEnd w:id="34"/>
      <w:bookmarkEnd w:id="35"/>
    </w:p>
    <w:p w14:paraId="72F14EB1">
      <w:pPr>
        <w:spacing w:line="560" w:lineRule="exact"/>
        <w:ind w:firstLine="482"/>
        <w:rPr>
          <w:rFonts w:cs="宋体"/>
          <w:sz w:val="24"/>
          <w:szCs w:val="24"/>
        </w:rPr>
      </w:pPr>
      <w:bookmarkStart w:id="36" w:name="_Toc35393626"/>
      <w:bookmarkStart w:id="37" w:name="_Toc38985268"/>
      <w:bookmarkStart w:id="38" w:name="_Toc35393795"/>
      <w:r>
        <w:rPr>
          <w:rFonts w:hint="eastAsia" w:cs="宋体"/>
          <w:sz w:val="24"/>
          <w:szCs w:val="24"/>
        </w:rPr>
        <w:t>招标公告及招标文件公告期限为自本公告发布之日起5个工作日。</w:t>
      </w:r>
    </w:p>
    <w:p w14:paraId="7CE6B3AA">
      <w:pPr>
        <w:pStyle w:val="4"/>
        <w:spacing w:before="145" w:after="145" w:line="240" w:lineRule="auto"/>
        <w:ind w:firstLine="499"/>
        <w:jc w:val="left"/>
      </w:pPr>
      <w:bookmarkStart w:id="39" w:name="_Toc31122"/>
      <w:r>
        <w:rPr>
          <w:rFonts w:hint="eastAsia" w:ascii="宋体" w:hAnsi="宋体" w:eastAsia="宋体" w:cs="宋体"/>
          <w:sz w:val="32"/>
          <w:szCs w:val="32"/>
        </w:rPr>
        <w:t>六、其他补充事宜</w:t>
      </w:r>
      <w:bookmarkEnd w:id="36"/>
      <w:bookmarkEnd w:id="37"/>
      <w:bookmarkEnd w:id="38"/>
      <w:bookmarkEnd w:id="39"/>
    </w:p>
    <w:p w14:paraId="30F920A9">
      <w:pPr>
        <w:spacing w:line="560" w:lineRule="exact"/>
        <w:ind w:firstLine="480"/>
        <w:rPr>
          <w:sz w:val="24"/>
        </w:rPr>
      </w:pPr>
      <w:bookmarkStart w:id="40" w:name="EB64e1f522fd8c43fcb4d3ba471386b3e7"/>
      <w:bookmarkStart w:id="41" w:name="_Toc28359008"/>
      <w:bookmarkStart w:id="42" w:name="_Toc35393796"/>
      <w:bookmarkStart w:id="43" w:name="_Toc28359085"/>
      <w:bookmarkStart w:id="44" w:name="_Toc38985269"/>
      <w:bookmarkStart w:id="45" w:name="_Toc35393627"/>
      <w:r>
        <w:rPr>
          <w:rFonts w:hint="eastAsia"/>
          <w:sz w:val="24"/>
        </w:rPr>
        <w:t>1.财政部门监督电话：0527-</w:t>
      </w:r>
      <w:r>
        <w:rPr>
          <w:rFonts w:hint="eastAsia"/>
          <w:sz w:val="24"/>
          <w:lang w:val="en-US" w:eastAsia="zh-CN"/>
        </w:rPr>
        <w:t>84363063</w:t>
      </w:r>
      <w:r>
        <w:rPr>
          <w:rFonts w:hint="eastAsia"/>
          <w:sz w:val="24"/>
        </w:rPr>
        <w:t>。</w:t>
      </w:r>
    </w:p>
    <w:p w14:paraId="4B304D22">
      <w:pPr>
        <w:spacing w:line="560" w:lineRule="exact"/>
        <w:ind w:firstLine="480"/>
        <w:rPr>
          <w:sz w:val="24"/>
          <w:highlight w:val="yellow"/>
        </w:rPr>
      </w:pPr>
      <w:r>
        <w:rPr>
          <w:rFonts w:hint="eastAsia"/>
          <w:sz w:val="24"/>
        </w:rPr>
        <w:t>2.“CA”数字证书办理：“苏采云”系统目前仅支持“苏采云”系统下的意源CA。省内各地区办理的“苏采云”系统下的意源CA全省通用。宿迁地区CA数字证书办理联系方式</w:t>
      </w:r>
      <w:r>
        <w:rPr>
          <w:rFonts w:hint="eastAsia"/>
          <w:sz w:val="24"/>
          <w:highlight w:val="none"/>
        </w:rPr>
        <w:t>：</w:t>
      </w:r>
      <w:r>
        <w:rPr>
          <w:rFonts w:hint="eastAsia"/>
          <w:sz w:val="24"/>
          <w:highlight w:val="none"/>
          <w:lang w:val="en-US" w:eastAsia="zh-CN"/>
        </w:rPr>
        <w:t>18351098172</w:t>
      </w:r>
      <w:r>
        <w:rPr>
          <w:rFonts w:hint="eastAsia"/>
          <w:sz w:val="24"/>
          <w:highlight w:val="none"/>
        </w:rPr>
        <w:t>。</w:t>
      </w:r>
    </w:p>
    <w:p w14:paraId="5137437F">
      <w:pPr>
        <w:pStyle w:val="238"/>
        <w:ind w:firstLine="480"/>
        <w:rPr>
          <w:rFonts w:ascii="Times New Roman" w:hAnsi="Times New Roman" w:eastAsia="宋体" w:cs="Times New Roman"/>
          <w:sz w:val="24"/>
          <w:szCs w:val="21"/>
          <w:lang w:val="en-US"/>
        </w:rPr>
      </w:pPr>
      <w:r>
        <w:rPr>
          <w:rFonts w:hint="eastAsia" w:ascii="Times New Roman" w:hAnsi="Times New Roman" w:eastAsia="宋体" w:cs="Times New Roman"/>
          <w:sz w:val="24"/>
          <w:szCs w:val="21"/>
          <w:lang w:val="en-US"/>
        </w:rPr>
        <w:t>3.宿迁地区“苏采云”技术支持客服电话：0527-84363067、0519-86722806。</w:t>
      </w:r>
    </w:p>
    <w:p w14:paraId="27EDFCA6">
      <w:pPr>
        <w:pStyle w:val="238"/>
        <w:ind w:firstLine="480"/>
        <w:rPr>
          <w:rFonts w:ascii="Times New Roman" w:hAnsi="Times New Roman" w:eastAsia="宋体" w:cs="Times New Roman"/>
          <w:sz w:val="24"/>
          <w:szCs w:val="21"/>
          <w:lang w:val="en-US"/>
        </w:rPr>
      </w:pPr>
      <w:r>
        <w:rPr>
          <w:rFonts w:hint="eastAsia" w:ascii="Times New Roman" w:hAnsi="Times New Roman" w:eastAsia="宋体" w:cs="Times New Roman"/>
          <w:sz w:val="24"/>
          <w:szCs w:val="21"/>
          <w:lang w:val="en-US"/>
        </w:rPr>
        <w:t>4.招标公告发布媒体：江苏政府采购网、宿迁市政府采购网等。</w:t>
      </w:r>
    </w:p>
    <w:bookmarkEnd w:id="40"/>
    <w:p w14:paraId="4A9FB254">
      <w:pPr>
        <w:pStyle w:val="4"/>
        <w:spacing w:before="145" w:after="145" w:line="240" w:lineRule="auto"/>
        <w:ind w:firstLine="499"/>
        <w:jc w:val="left"/>
        <w:rPr>
          <w:rFonts w:ascii="宋体" w:hAnsi="宋体" w:eastAsia="宋体" w:cs="宋体"/>
          <w:sz w:val="32"/>
          <w:szCs w:val="32"/>
        </w:rPr>
      </w:pPr>
      <w:bookmarkStart w:id="46" w:name="_Toc4670"/>
      <w:r>
        <w:rPr>
          <w:rFonts w:hint="eastAsia" w:ascii="宋体" w:hAnsi="宋体" w:eastAsia="宋体" w:cs="宋体"/>
          <w:sz w:val="32"/>
          <w:szCs w:val="32"/>
        </w:rPr>
        <w:t>七、本次招标联系方式</w:t>
      </w:r>
      <w:bookmarkEnd w:id="41"/>
      <w:bookmarkEnd w:id="42"/>
      <w:bookmarkEnd w:id="43"/>
      <w:bookmarkEnd w:id="44"/>
      <w:bookmarkEnd w:id="45"/>
      <w:bookmarkEnd w:id="46"/>
    </w:p>
    <w:p w14:paraId="184EDA65">
      <w:pPr>
        <w:widowControl/>
        <w:spacing w:line="560" w:lineRule="exact"/>
        <w:jc w:val="left"/>
        <w:rPr>
          <w:sz w:val="24"/>
          <w:szCs w:val="24"/>
        </w:rPr>
      </w:pPr>
      <w:r>
        <w:rPr>
          <w:rFonts w:hint="eastAsia" w:eastAsia="仿宋" w:cs="宋体"/>
          <w:sz w:val="28"/>
          <w:szCs w:val="28"/>
        </w:rPr>
        <w:t>　　</w:t>
      </w:r>
      <w:r>
        <w:rPr>
          <w:rFonts w:hint="eastAsia" w:cs="宋体"/>
          <w:sz w:val="24"/>
          <w:szCs w:val="24"/>
        </w:rPr>
        <w:t>1.采购人信息</w:t>
      </w:r>
    </w:p>
    <w:p w14:paraId="3CEA5C89">
      <w:pPr>
        <w:spacing w:line="560" w:lineRule="exact"/>
        <w:ind w:left="479" w:firstLine="180"/>
        <w:jc w:val="left"/>
        <w:rPr>
          <w:rFonts w:hint="eastAsia" w:eastAsia="宋体"/>
          <w:sz w:val="24"/>
          <w:szCs w:val="24"/>
          <w:lang w:eastAsia="zh-CN"/>
        </w:rPr>
      </w:pPr>
      <w:r>
        <w:rPr>
          <w:rFonts w:hint="eastAsia"/>
          <w:sz w:val="24"/>
          <w:szCs w:val="24"/>
        </w:rPr>
        <w:t>名 称：</w:t>
      </w:r>
      <w:r>
        <w:rPr>
          <w:rFonts w:hint="eastAsia"/>
          <w:sz w:val="24"/>
          <w:szCs w:val="24"/>
          <w:u w:val="single"/>
          <w:lang w:eastAsia="zh-CN"/>
        </w:rPr>
        <w:t>宿迁市中心血站</w:t>
      </w:r>
    </w:p>
    <w:p w14:paraId="7AE382B6">
      <w:pPr>
        <w:spacing w:line="560" w:lineRule="exact"/>
        <w:ind w:left="479" w:firstLine="180"/>
        <w:jc w:val="left"/>
        <w:rPr>
          <w:rFonts w:hint="eastAsia" w:eastAsia="宋体"/>
          <w:sz w:val="24"/>
          <w:szCs w:val="24"/>
          <w:u w:val="single"/>
          <w:lang w:eastAsia="zh-CN"/>
        </w:rPr>
      </w:pPr>
      <w:r>
        <w:rPr>
          <w:rFonts w:hint="eastAsia"/>
          <w:sz w:val="24"/>
          <w:szCs w:val="24"/>
        </w:rPr>
        <w:t>地 址：</w:t>
      </w:r>
      <w:r>
        <w:rPr>
          <w:rFonts w:hint="eastAsia"/>
          <w:sz w:val="24"/>
          <w:szCs w:val="24"/>
          <w:u w:val="single"/>
          <w:lang w:eastAsia="zh-CN"/>
        </w:rPr>
        <w:t>宿迁市宿城区人民大道8号</w:t>
      </w:r>
    </w:p>
    <w:p w14:paraId="471F4A34">
      <w:pPr>
        <w:spacing w:line="560" w:lineRule="exact"/>
        <w:ind w:left="479" w:firstLine="180"/>
        <w:jc w:val="left"/>
        <w:rPr>
          <w:sz w:val="24"/>
          <w:szCs w:val="24"/>
        </w:rPr>
      </w:pPr>
      <w:r>
        <w:rPr>
          <w:rFonts w:hint="eastAsia"/>
          <w:sz w:val="24"/>
          <w:szCs w:val="24"/>
        </w:rPr>
        <w:t>联系人：</w:t>
      </w:r>
      <w:r>
        <w:rPr>
          <w:rFonts w:hint="eastAsia"/>
          <w:sz w:val="24"/>
          <w:szCs w:val="24"/>
          <w:u w:val="single"/>
        </w:rPr>
        <w:t>孙少伟</w:t>
      </w:r>
    </w:p>
    <w:p w14:paraId="34D16962">
      <w:pPr>
        <w:spacing w:line="560" w:lineRule="exact"/>
        <w:ind w:left="479" w:firstLine="180"/>
        <w:jc w:val="left"/>
        <w:rPr>
          <w:sz w:val="24"/>
          <w:szCs w:val="24"/>
          <w:u w:val="single"/>
        </w:rPr>
      </w:pPr>
      <w:r>
        <w:rPr>
          <w:rFonts w:hint="eastAsia"/>
          <w:sz w:val="24"/>
          <w:szCs w:val="24"/>
        </w:rPr>
        <w:t>联系方式：</w:t>
      </w:r>
      <w:bookmarkStart w:id="47" w:name="_Toc28359086"/>
      <w:bookmarkStart w:id="48" w:name="_Toc28359009"/>
      <w:r>
        <w:rPr>
          <w:rFonts w:hint="eastAsia"/>
          <w:sz w:val="24"/>
          <w:szCs w:val="24"/>
          <w:u w:val="single"/>
        </w:rPr>
        <w:t>0527</w:t>
      </w:r>
      <w:r>
        <w:rPr>
          <w:rFonts w:hint="eastAsia"/>
          <w:sz w:val="24"/>
          <w:szCs w:val="24"/>
          <w:u w:val="single"/>
          <w:lang w:val="en-US" w:eastAsia="zh-CN"/>
        </w:rPr>
        <w:t>-</w:t>
      </w:r>
      <w:r>
        <w:rPr>
          <w:rFonts w:hint="eastAsia"/>
          <w:sz w:val="24"/>
          <w:szCs w:val="24"/>
          <w:u w:val="single"/>
        </w:rPr>
        <w:t>84385252</w:t>
      </w:r>
    </w:p>
    <w:p w14:paraId="650545E7">
      <w:pPr>
        <w:widowControl/>
        <w:spacing w:line="560" w:lineRule="exact"/>
        <w:ind w:firstLine="480"/>
        <w:jc w:val="left"/>
        <w:rPr>
          <w:sz w:val="24"/>
          <w:szCs w:val="24"/>
        </w:rPr>
      </w:pPr>
      <w:r>
        <w:rPr>
          <w:rFonts w:hint="eastAsia" w:cs="宋体"/>
          <w:sz w:val="24"/>
          <w:szCs w:val="24"/>
        </w:rPr>
        <w:t>2.</w:t>
      </w:r>
      <w:bookmarkEnd w:id="47"/>
      <w:bookmarkEnd w:id="48"/>
      <w:r>
        <w:rPr>
          <w:rFonts w:hint="eastAsia" w:cs="宋体"/>
          <w:sz w:val="24"/>
          <w:szCs w:val="24"/>
        </w:rPr>
        <w:t>采购代理机构信息</w:t>
      </w:r>
    </w:p>
    <w:p w14:paraId="4872F272">
      <w:pPr>
        <w:spacing w:line="560" w:lineRule="exact"/>
        <w:ind w:left="479" w:firstLine="180"/>
        <w:jc w:val="left"/>
        <w:rPr>
          <w:sz w:val="24"/>
          <w:szCs w:val="24"/>
        </w:rPr>
      </w:pPr>
      <w:r>
        <w:rPr>
          <w:rFonts w:hint="eastAsia"/>
          <w:sz w:val="24"/>
          <w:szCs w:val="24"/>
        </w:rPr>
        <w:t>名 称：</w:t>
      </w:r>
      <w:r>
        <w:rPr>
          <w:rFonts w:hint="eastAsia"/>
          <w:sz w:val="24"/>
          <w:szCs w:val="24"/>
          <w:u w:val="single"/>
        </w:rPr>
        <w:t>江苏佳兴项目管理有限公司</w:t>
      </w:r>
    </w:p>
    <w:p w14:paraId="3FB7618D">
      <w:pPr>
        <w:spacing w:line="560" w:lineRule="exact"/>
        <w:ind w:firstLine="720"/>
        <w:rPr>
          <w:sz w:val="24"/>
          <w:szCs w:val="24"/>
        </w:rPr>
      </w:pPr>
      <w:r>
        <w:rPr>
          <w:rFonts w:hint="eastAsia"/>
          <w:sz w:val="24"/>
          <w:szCs w:val="24"/>
        </w:rPr>
        <w:t>地 址：</w:t>
      </w:r>
      <w:r>
        <w:rPr>
          <w:rFonts w:hint="eastAsia"/>
          <w:sz w:val="24"/>
          <w:szCs w:val="24"/>
          <w:u w:val="single"/>
        </w:rPr>
        <w:t>宿迁经济技术开发区世纪大道299号</w:t>
      </w:r>
    </w:p>
    <w:p w14:paraId="7845733D">
      <w:pPr>
        <w:spacing w:line="560" w:lineRule="exact"/>
        <w:ind w:firstLine="720"/>
        <w:rPr>
          <w:sz w:val="24"/>
          <w:szCs w:val="24"/>
          <w:u w:val="single"/>
        </w:rPr>
      </w:pPr>
      <w:r>
        <w:rPr>
          <w:rFonts w:hint="eastAsia"/>
          <w:sz w:val="24"/>
          <w:szCs w:val="24"/>
        </w:rPr>
        <w:t>联系人：</w:t>
      </w:r>
      <w:r>
        <w:rPr>
          <w:rFonts w:hint="eastAsia"/>
          <w:sz w:val="24"/>
          <w:szCs w:val="24"/>
          <w:u w:val="single"/>
        </w:rPr>
        <w:t>周璐</w:t>
      </w:r>
    </w:p>
    <w:p w14:paraId="2900BDA5">
      <w:pPr>
        <w:spacing w:line="560" w:lineRule="exact"/>
        <w:ind w:firstLine="720"/>
        <w:rPr>
          <w:sz w:val="24"/>
          <w:szCs w:val="24"/>
        </w:rPr>
      </w:pPr>
      <w:r>
        <w:rPr>
          <w:rFonts w:hint="eastAsia"/>
          <w:sz w:val="24"/>
          <w:szCs w:val="24"/>
        </w:rPr>
        <w:t>联系方式：</w:t>
      </w:r>
      <w:bookmarkStart w:id="49" w:name="_Toc28359010"/>
      <w:bookmarkStart w:id="50" w:name="_Toc28359087"/>
      <w:r>
        <w:rPr>
          <w:sz w:val="24"/>
          <w:szCs w:val="24"/>
          <w:u w:val="single"/>
        </w:rPr>
        <w:t>0527-88858115</w:t>
      </w:r>
    </w:p>
    <w:bookmarkEnd w:id="49"/>
    <w:bookmarkEnd w:id="50"/>
    <w:p w14:paraId="319B1FC1">
      <w:pPr>
        <w:ind w:right="840"/>
        <w:rPr>
          <w:sz w:val="24"/>
          <w:szCs w:val="24"/>
        </w:rPr>
      </w:pPr>
    </w:p>
    <w:p w14:paraId="2430655E">
      <w:pPr>
        <w:ind w:right="840"/>
        <w:rPr>
          <w:sz w:val="24"/>
          <w:szCs w:val="24"/>
        </w:rPr>
      </w:pPr>
    </w:p>
    <w:p w14:paraId="41AD673C">
      <w:pPr>
        <w:ind w:right="840"/>
        <w:rPr>
          <w:sz w:val="24"/>
          <w:szCs w:val="24"/>
        </w:rPr>
      </w:pPr>
    </w:p>
    <w:p w14:paraId="5E9463DA">
      <w:pPr>
        <w:ind w:right="840"/>
        <w:rPr>
          <w:sz w:val="24"/>
          <w:szCs w:val="24"/>
        </w:rPr>
      </w:pPr>
    </w:p>
    <w:p w14:paraId="4C909CF2">
      <w:pPr>
        <w:ind w:right="840"/>
        <w:rPr>
          <w:sz w:val="24"/>
          <w:szCs w:val="24"/>
        </w:rPr>
      </w:pPr>
    </w:p>
    <w:p w14:paraId="66EBC0DA">
      <w:pPr>
        <w:ind w:right="840"/>
        <w:rPr>
          <w:sz w:val="24"/>
          <w:szCs w:val="24"/>
        </w:rPr>
      </w:pPr>
    </w:p>
    <w:p w14:paraId="6225825F">
      <w:pPr>
        <w:ind w:right="840"/>
        <w:rPr>
          <w:sz w:val="24"/>
          <w:szCs w:val="24"/>
        </w:rPr>
      </w:pPr>
    </w:p>
    <w:p w14:paraId="28183639">
      <w:pPr>
        <w:ind w:right="840"/>
        <w:rPr>
          <w:sz w:val="24"/>
          <w:szCs w:val="24"/>
        </w:rPr>
      </w:pPr>
    </w:p>
    <w:p w14:paraId="4D52A5C0">
      <w:pPr>
        <w:ind w:right="840"/>
        <w:rPr>
          <w:sz w:val="24"/>
          <w:szCs w:val="24"/>
        </w:rPr>
      </w:pPr>
    </w:p>
    <w:p w14:paraId="5C096047">
      <w:pPr>
        <w:ind w:right="840"/>
        <w:rPr>
          <w:sz w:val="24"/>
          <w:szCs w:val="24"/>
        </w:rPr>
      </w:pPr>
    </w:p>
    <w:p w14:paraId="43567EFE">
      <w:pPr>
        <w:ind w:right="840"/>
        <w:rPr>
          <w:sz w:val="24"/>
          <w:szCs w:val="24"/>
        </w:rPr>
      </w:pPr>
    </w:p>
    <w:p w14:paraId="1B5D306A">
      <w:pPr>
        <w:ind w:right="840"/>
        <w:rPr>
          <w:sz w:val="24"/>
          <w:szCs w:val="24"/>
        </w:rPr>
      </w:pPr>
    </w:p>
    <w:p w14:paraId="56A4D652">
      <w:pPr>
        <w:ind w:right="840"/>
        <w:rPr>
          <w:sz w:val="24"/>
          <w:szCs w:val="24"/>
        </w:rPr>
      </w:pPr>
    </w:p>
    <w:p w14:paraId="382C4F24">
      <w:pPr>
        <w:ind w:right="840"/>
        <w:rPr>
          <w:sz w:val="24"/>
          <w:szCs w:val="24"/>
        </w:rPr>
      </w:pPr>
    </w:p>
    <w:p w14:paraId="4F5AB559">
      <w:pPr>
        <w:ind w:right="840"/>
        <w:rPr>
          <w:sz w:val="24"/>
          <w:szCs w:val="24"/>
        </w:rPr>
      </w:pPr>
    </w:p>
    <w:p w14:paraId="62B781A8">
      <w:pPr>
        <w:ind w:right="840"/>
        <w:rPr>
          <w:sz w:val="24"/>
          <w:szCs w:val="24"/>
        </w:rPr>
      </w:pPr>
    </w:p>
    <w:p w14:paraId="7BBC7F50">
      <w:pPr>
        <w:ind w:right="840"/>
        <w:rPr>
          <w:sz w:val="24"/>
          <w:szCs w:val="24"/>
        </w:rPr>
      </w:pPr>
    </w:p>
    <w:p w14:paraId="0DF9CD9F">
      <w:pPr>
        <w:ind w:right="840"/>
        <w:rPr>
          <w:sz w:val="24"/>
          <w:szCs w:val="24"/>
        </w:rPr>
      </w:pPr>
    </w:p>
    <w:p w14:paraId="430D566C">
      <w:pPr>
        <w:ind w:right="840"/>
        <w:rPr>
          <w:sz w:val="24"/>
          <w:szCs w:val="24"/>
        </w:rPr>
      </w:pPr>
    </w:p>
    <w:p w14:paraId="00D74885">
      <w:pPr>
        <w:ind w:right="840"/>
        <w:rPr>
          <w:sz w:val="24"/>
          <w:szCs w:val="24"/>
        </w:rPr>
      </w:pPr>
    </w:p>
    <w:p w14:paraId="63CF86BD">
      <w:pPr>
        <w:ind w:right="840"/>
        <w:rPr>
          <w:sz w:val="24"/>
          <w:szCs w:val="24"/>
        </w:rPr>
      </w:pPr>
    </w:p>
    <w:p w14:paraId="111D4546">
      <w:pPr>
        <w:ind w:right="840"/>
        <w:rPr>
          <w:sz w:val="24"/>
          <w:szCs w:val="24"/>
        </w:rPr>
      </w:pPr>
    </w:p>
    <w:p w14:paraId="71E3539E">
      <w:pPr>
        <w:ind w:right="840"/>
        <w:rPr>
          <w:sz w:val="24"/>
          <w:szCs w:val="24"/>
        </w:rPr>
      </w:pPr>
    </w:p>
    <w:p w14:paraId="59CB2DA7">
      <w:pPr>
        <w:ind w:right="840"/>
        <w:rPr>
          <w:sz w:val="24"/>
          <w:szCs w:val="24"/>
        </w:rPr>
      </w:pPr>
    </w:p>
    <w:p w14:paraId="0B86996B">
      <w:pPr>
        <w:ind w:right="840"/>
        <w:rPr>
          <w:sz w:val="24"/>
          <w:szCs w:val="24"/>
        </w:rPr>
      </w:pPr>
    </w:p>
    <w:p w14:paraId="49F10332">
      <w:pPr>
        <w:ind w:right="840"/>
        <w:rPr>
          <w:sz w:val="24"/>
          <w:szCs w:val="24"/>
        </w:rPr>
      </w:pPr>
    </w:p>
    <w:p w14:paraId="4483D88E">
      <w:pPr>
        <w:ind w:right="840"/>
        <w:rPr>
          <w:sz w:val="24"/>
          <w:szCs w:val="24"/>
        </w:rPr>
      </w:pPr>
    </w:p>
    <w:p w14:paraId="4B1D32B8">
      <w:pPr>
        <w:ind w:right="840"/>
        <w:rPr>
          <w:sz w:val="24"/>
          <w:szCs w:val="24"/>
        </w:rPr>
      </w:pPr>
    </w:p>
    <w:p w14:paraId="10F905CF">
      <w:pPr>
        <w:ind w:right="840"/>
        <w:rPr>
          <w:sz w:val="24"/>
          <w:szCs w:val="24"/>
        </w:rPr>
      </w:pPr>
    </w:p>
    <w:p w14:paraId="12A359FD">
      <w:pPr>
        <w:ind w:right="840"/>
        <w:rPr>
          <w:sz w:val="24"/>
          <w:szCs w:val="24"/>
        </w:rPr>
      </w:pPr>
    </w:p>
    <w:p w14:paraId="09AFAA26">
      <w:pPr>
        <w:ind w:right="840"/>
        <w:rPr>
          <w:sz w:val="24"/>
          <w:szCs w:val="24"/>
        </w:rPr>
      </w:pPr>
    </w:p>
    <w:p w14:paraId="6E1D7075">
      <w:pPr>
        <w:ind w:right="840"/>
        <w:rPr>
          <w:sz w:val="24"/>
          <w:szCs w:val="24"/>
        </w:rPr>
      </w:pPr>
    </w:p>
    <w:p w14:paraId="52B71B12">
      <w:pPr>
        <w:ind w:right="840"/>
        <w:rPr>
          <w:sz w:val="24"/>
          <w:szCs w:val="24"/>
        </w:rPr>
      </w:pPr>
    </w:p>
    <w:p w14:paraId="56998B30">
      <w:pPr>
        <w:ind w:right="840"/>
        <w:rPr>
          <w:sz w:val="24"/>
          <w:szCs w:val="24"/>
        </w:rPr>
      </w:pPr>
    </w:p>
    <w:p w14:paraId="4BAB8C80">
      <w:pPr>
        <w:ind w:right="840"/>
        <w:rPr>
          <w:sz w:val="24"/>
          <w:szCs w:val="24"/>
        </w:rPr>
      </w:pPr>
    </w:p>
    <w:p w14:paraId="149FD5F3">
      <w:pPr>
        <w:ind w:right="840"/>
        <w:rPr>
          <w:sz w:val="24"/>
          <w:szCs w:val="24"/>
        </w:rPr>
      </w:pPr>
    </w:p>
    <w:p w14:paraId="507169A8">
      <w:pPr>
        <w:ind w:right="840"/>
        <w:rPr>
          <w:sz w:val="24"/>
          <w:szCs w:val="24"/>
        </w:rPr>
      </w:pPr>
    </w:p>
    <w:p w14:paraId="1E67114F">
      <w:pPr>
        <w:ind w:right="840"/>
        <w:rPr>
          <w:sz w:val="24"/>
          <w:szCs w:val="24"/>
        </w:rPr>
      </w:pPr>
    </w:p>
    <w:p w14:paraId="68D81328">
      <w:bookmarkStart w:id="51" w:name="_Toc120614211"/>
    </w:p>
    <w:p w14:paraId="57EFAAC9"/>
    <w:p w14:paraId="152EACCA">
      <w:pPr>
        <w:pStyle w:val="3"/>
        <w:ind w:firstLine="2429"/>
        <w:jc w:val="both"/>
      </w:pPr>
      <w:bookmarkStart w:id="52" w:name="_Toc24496"/>
      <w:r>
        <w:rPr>
          <w:rFonts w:hint="eastAsia" w:ascii="Times New Roman" w:eastAsia="黑体"/>
          <w:sz w:val="44"/>
          <w:szCs w:val="44"/>
        </w:rPr>
        <w:t xml:space="preserve">第二章  </w:t>
      </w:r>
      <w:bookmarkEnd w:id="51"/>
      <w:bookmarkStart w:id="53" w:name="_Toc513029202"/>
      <w:bookmarkStart w:id="54" w:name="_Toc20823274"/>
      <w:bookmarkStart w:id="55" w:name="_Toc16938518"/>
      <w:bookmarkStart w:id="56" w:name="_Toc120614213"/>
      <w:r>
        <w:rPr>
          <w:rFonts w:hint="eastAsia" w:ascii="Times New Roman" w:eastAsia="黑体"/>
          <w:sz w:val="44"/>
          <w:szCs w:val="44"/>
        </w:rPr>
        <w:t>投标人须知</w:t>
      </w:r>
      <w:bookmarkEnd w:id="52"/>
      <w:bookmarkEnd w:id="53"/>
      <w:bookmarkEnd w:id="54"/>
      <w:bookmarkEnd w:id="55"/>
      <w:bookmarkEnd w:id="56"/>
      <w:bookmarkStart w:id="57" w:name="_Toc16938519"/>
      <w:bookmarkStart w:id="58" w:name="_Toc20823275"/>
      <w:bookmarkStart w:id="59" w:name="_Toc120614214"/>
      <w:bookmarkStart w:id="60" w:name="_Toc513029203"/>
    </w:p>
    <w:p w14:paraId="52DDC708">
      <w:pPr>
        <w:keepNext/>
        <w:keepLines/>
        <w:spacing w:after="120" w:line="520" w:lineRule="exact"/>
        <w:outlineLvl w:val="1"/>
        <w:rPr>
          <w:rFonts w:ascii="Arial" w:hAnsi="Arial" w:cs="Arial"/>
          <w:b/>
          <w:bCs/>
          <w:sz w:val="32"/>
          <w:szCs w:val="22"/>
        </w:rPr>
      </w:pPr>
      <w:bookmarkStart w:id="61" w:name="_Toc4529"/>
      <w:bookmarkStart w:id="62" w:name="_Toc18987"/>
      <w:r>
        <w:rPr>
          <w:rFonts w:hint="eastAsia" w:ascii="Arial" w:hAnsi="Arial" w:cs="Arial"/>
          <w:b/>
          <w:bCs/>
          <w:sz w:val="32"/>
          <w:szCs w:val="22"/>
        </w:rPr>
        <w:t>投标人须知前附表：</w:t>
      </w:r>
      <w:bookmarkEnd w:id="61"/>
      <w:bookmarkEnd w:id="62"/>
    </w:p>
    <w:tbl>
      <w:tblPr>
        <w:tblStyle w:val="49"/>
        <w:tblpPr w:leftFromText="180" w:rightFromText="180" w:vertAnchor="text" w:horzAnchor="page" w:tblpX="1530" w:tblpY="22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772"/>
        <w:gridCol w:w="6579"/>
      </w:tblGrid>
      <w:tr w14:paraId="1666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8" w:type="dxa"/>
            <w:tcBorders>
              <w:top w:val="single" w:color="auto" w:sz="4" w:space="0"/>
              <w:left w:val="single" w:color="auto" w:sz="4" w:space="0"/>
              <w:bottom w:val="single" w:color="auto" w:sz="4" w:space="0"/>
              <w:right w:val="single" w:color="auto" w:sz="4" w:space="0"/>
            </w:tcBorders>
            <w:vAlign w:val="center"/>
          </w:tcPr>
          <w:p w14:paraId="25E3A5C3">
            <w:pPr>
              <w:jc w:val="center"/>
              <w:rPr>
                <w:rFonts w:ascii="仿宋_GB2312" w:hAnsi="仿宋"/>
                <w:b/>
                <w:sz w:val="24"/>
                <w:szCs w:val="24"/>
              </w:rPr>
            </w:pPr>
            <w:bookmarkStart w:id="63" w:name="_Toc81575191"/>
            <w:bookmarkStart w:id="64" w:name="_Toc29262"/>
            <w:bookmarkStart w:id="65" w:name="_Toc81575154"/>
            <w:r>
              <w:rPr>
                <w:rFonts w:hint="eastAsia" w:ascii="仿宋_GB2312" w:hAnsi="仿宋"/>
                <w:b/>
                <w:sz w:val="24"/>
                <w:szCs w:val="24"/>
              </w:rPr>
              <w:t>序号</w:t>
            </w:r>
          </w:p>
        </w:tc>
        <w:tc>
          <w:tcPr>
            <w:tcW w:w="1772" w:type="dxa"/>
            <w:tcBorders>
              <w:top w:val="single" w:color="auto" w:sz="4" w:space="0"/>
              <w:left w:val="nil"/>
              <w:bottom w:val="single" w:color="auto" w:sz="4" w:space="0"/>
              <w:right w:val="single" w:color="auto" w:sz="4" w:space="0"/>
            </w:tcBorders>
            <w:vAlign w:val="center"/>
          </w:tcPr>
          <w:p w14:paraId="32612BA3">
            <w:pPr>
              <w:jc w:val="center"/>
              <w:rPr>
                <w:rFonts w:ascii="仿宋_GB2312" w:hAnsi="仿宋"/>
                <w:b/>
                <w:sz w:val="24"/>
                <w:szCs w:val="24"/>
              </w:rPr>
            </w:pPr>
            <w:r>
              <w:rPr>
                <w:rFonts w:hint="eastAsia" w:ascii="仿宋_GB2312" w:hAnsi="仿宋"/>
                <w:b/>
                <w:sz w:val="24"/>
                <w:szCs w:val="24"/>
              </w:rPr>
              <w:t>内容</w:t>
            </w:r>
          </w:p>
        </w:tc>
        <w:tc>
          <w:tcPr>
            <w:tcW w:w="6579" w:type="dxa"/>
            <w:tcBorders>
              <w:top w:val="single" w:color="auto" w:sz="4" w:space="0"/>
              <w:left w:val="nil"/>
              <w:bottom w:val="single" w:color="auto" w:sz="4" w:space="0"/>
              <w:right w:val="single" w:color="auto" w:sz="4" w:space="0"/>
            </w:tcBorders>
            <w:vAlign w:val="center"/>
          </w:tcPr>
          <w:p w14:paraId="10F25062">
            <w:pPr>
              <w:jc w:val="center"/>
              <w:rPr>
                <w:rFonts w:ascii="仿宋_GB2312" w:hAnsi="仿宋"/>
                <w:b/>
                <w:sz w:val="24"/>
                <w:szCs w:val="24"/>
              </w:rPr>
            </w:pPr>
            <w:r>
              <w:rPr>
                <w:rFonts w:hint="eastAsia" w:ascii="仿宋_GB2312" w:hAnsi="仿宋"/>
                <w:b/>
                <w:sz w:val="24"/>
                <w:szCs w:val="24"/>
              </w:rPr>
              <w:t>说明及要求</w:t>
            </w:r>
          </w:p>
        </w:tc>
      </w:tr>
      <w:tr w14:paraId="6A3C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14:paraId="1E8656E4">
            <w:pPr>
              <w:spacing w:line="400" w:lineRule="exact"/>
              <w:jc w:val="center"/>
              <w:rPr>
                <w:rFonts w:cs="仿宋"/>
                <w:sz w:val="24"/>
                <w:szCs w:val="24"/>
              </w:rPr>
            </w:pPr>
            <w:r>
              <w:rPr>
                <w:rFonts w:hint="eastAsia" w:cs="仿宋"/>
                <w:sz w:val="24"/>
                <w:szCs w:val="24"/>
              </w:rPr>
              <w:t>1</w:t>
            </w:r>
          </w:p>
        </w:tc>
        <w:tc>
          <w:tcPr>
            <w:tcW w:w="1772" w:type="dxa"/>
            <w:tcBorders>
              <w:top w:val="single" w:color="auto" w:sz="4" w:space="0"/>
              <w:left w:val="nil"/>
              <w:bottom w:val="single" w:color="auto" w:sz="4" w:space="0"/>
              <w:right w:val="single" w:color="auto" w:sz="4" w:space="0"/>
            </w:tcBorders>
            <w:vAlign w:val="center"/>
          </w:tcPr>
          <w:p w14:paraId="3C02311D">
            <w:pPr>
              <w:spacing w:line="400" w:lineRule="exact"/>
              <w:jc w:val="center"/>
              <w:rPr>
                <w:rFonts w:cs="仿宋"/>
                <w:sz w:val="24"/>
                <w:szCs w:val="24"/>
              </w:rPr>
            </w:pPr>
            <w:r>
              <w:rPr>
                <w:rFonts w:hint="eastAsia" w:cs="仿宋"/>
                <w:sz w:val="24"/>
                <w:szCs w:val="24"/>
              </w:rPr>
              <w:t>项目属性</w:t>
            </w:r>
          </w:p>
        </w:tc>
        <w:tc>
          <w:tcPr>
            <w:tcW w:w="6579" w:type="dxa"/>
            <w:tcBorders>
              <w:top w:val="single" w:color="auto" w:sz="4" w:space="0"/>
              <w:left w:val="nil"/>
              <w:bottom w:val="single" w:color="auto" w:sz="4" w:space="0"/>
              <w:right w:val="single" w:color="auto" w:sz="4" w:space="0"/>
            </w:tcBorders>
            <w:vAlign w:val="center"/>
          </w:tcPr>
          <w:p w14:paraId="6578DFCC">
            <w:pPr>
              <w:spacing w:line="400" w:lineRule="exact"/>
              <w:jc w:val="left"/>
              <w:rPr>
                <w:rFonts w:cs="仿宋"/>
                <w:sz w:val="24"/>
                <w:szCs w:val="24"/>
              </w:rPr>
            </w:pPr>
            <w:r>
              <w:rPr>
                <w:rFonts w:hint="eastAsia" w:cs="仿宋"/>
                <w:sz w:val="24"/>
                <w:szCs w:val="24"/>
              </w:rPr>
              <w:t>本项目</w:t>
            </w:r>
            <w:bookmarkStart w:id="66" w:name="EB9a5853ee094f4f0ea6ec3169265f6f2c"/>
            <w:r>
              <w:rPr>
                <w:rFonts w:hint="eastAsia" w:cs="仿宋"/>
                <w:sz w:val="24"/>
                <w:szCs w:val="24"/>
              </w:rPr>
              <w:t>属性按以下第</w:t>
            </w:r>
            <w:bookmarkEnd w:id="66"/>
            <w:r>
              <w:rPr>
                <w:rFonts w:hint="eastAsia" w:cs="仿宋"/>
                <w:sz w:val="24"/>
                <w:szCs w:val="24"/>
                <w:u w:val="single"/>
                <w:lang w:val="en-US" w:eastAsia="zh-CN"/>
              </w:rPr>
              <w:t>1</w:t>
            </w:r>
            <w:r>
              <w:rPr>
                <w:rFonts w:hint="eastAsia" w:cs="仿宋"/>
                <w:sz w:val="24"/>
                <w:szCs w:val="24"/>
              </w:rPr>
              <w:t>种确定：</w:t>
            </w:r>
          </w:p>
          <w:p w14:paraId="7959C93C">
            <w:pPr>
              <w:spacing w:line="400" w:lineRule="exact"/>
              <w:jc w:val="left"/>
              <w:rPr>
                <w:rFonts w:cs="仿宋"/>
                <w:sz w:val="24"/>
                <w:szCs w:val="24"/>
              </w:rPr>
            </w:pPr>
            <w:r>
              <w:rPr>
                <w:rFonts w:hint="eastAsia" w:cs="仿宋"/>
                <w:sz w:val="24"/>
                <w:szCs w:val="24"/>
              </w:rPr>
              <w:t>1.货物</w:t>
            </w:r>
            <w:bookmarkStart w:id="67" w:name="EBd5c6c026f9674c39b21b31ecd0c1e7fa"/>
            <w:r>
              <w:rPr>
                <w:rFonts w:hint="eastAsia" w:cs="仿宋"/>
                <w:sz w:val="24"/>
                <w:szCs w:val="24"/>
              </w:rPr>
              <w:t>采购；2.</w:t>
            </w:r>
            <w:bookmarkEnd w:id="67"/>
            <w:r>
              <w:rPr>
                <w:rFonts w:hint="eastAsia" w:cs="仿宋"/>
                <w:sz w:val="24"/>
                <w:szCs w:val="24"/>
              </w:rPr>
              <w:t>服务</w:t>
            </w:r>
            <w:bookmarkStart w:id="68" w:name="EBf7d2a4f44ecb4166a93ea852e73be69f"/>
            <w:r>
              <w:rPr>
                <w:rFonts w:hint="eastAsia" w:cs="仿宋"/>
                <w:sz w:val="24"/>
                <w:szCs w:val="24"/>
              </w:rPr>
              <w:t>采购；3.</w:t>
            </w:r>
            <w:bookmarkEnd w:id="68"/>
            <w:r>
              <w:rPr>
                <w:rFonts w:hint="eastAsia" w:cs="仿宋"/>
                <w:sz w:val="24"/>
                <w:szCs w:val="24"/>
              </w:rPr>
              <w:t>工程采购。</w:t>
            </w:r>
          </w:p>
        </w:tc>
      </w:tr>
      <w:tr w14:paraId="5F0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14:paraId="50F14428">
            <w:pPr>
              <w:spacing w:line="400" w:lineRule="exact"/>
              <w:jc w:val="center"/>
              <w:rPr>
                <w:rFonts w:cs="仿宋"/>
                <w:sz w:val="24"/>
                <w:szCs w:val="24"/>
              </w:rPr>
            </w:pPr>
            <w:r>
              <w:rPr>
                <w:rFonts w:hint="eastAsia" w:cs="仿宋"/>
                <w:sz w:val="24"/>
                <w:szCs w:val="24"/>
              </w:rPr>
              <w:t>2</w:t>
            </w:r>
          </w:p>
        </w:tc>
        <w:tc>
          <w:tcPr>
            <w:tcW w:w="1772" w:type="dxa"/>
            <w:tcBorders>
              <w:top w:val="single" w:color="auto" w:sz="4" w:space="0"/>
              <w:left w:val="nil"/>
              <w:bottom w:val="single" w:color="auto" w:sz="4" w:space="0"/>
              <w:right w:val="single" w:color="auto" w:sz="4" w:space="0"/>
            </w:tcBorders>
            <w:vAlign w:val="center"/>
          </w:tcPr>
          <w:p w14:paraId="5CBE795A">
            <w:pPr>
              <w:spacing w:line="400" w:lineRule="exact"/>
              <w:jc w:val="center"/>
              <w:rPr>
                <w:rFonts w:cs="仿宋"/>
                <w:sz w:val="24"/>
                <w:szCs w:val="24"/>
              </w:rPr>
            </w:pPr>
            <w:r>
              <w:rPr>
                <w:rFonts w:hint="eastAsia" w:cs="仿宋"/>
                <w:sz w:val="24"/>
                <w:szCs w:val="24"/>
              </w:rPr>
              <w:t>投标有效期</w:t>
            </w:r>
          </w:p>
        </w:tc>
        <w:tc>
          <w:tcPr>
            <w:tcW w:w="6579" w:type="dxa"/>
            <w:tcBorders>
              <w:top w:val="single" w:color="auto" w:sz="4" w:space="0"/>
              <w:left w:val="nil"/>
              <w:bottom w:val="single" w:color="auto" w:sz="4" w:space="0"/>
              <w:right w:val="single" w:color="auto" w:sz="4" w:space="0"/>
            </w:tcBorders>
            <w:vAlign w:val="center"/>
          </w:tcPr>
          <w:p w14:paraId="0CA983F2">
            <w:pPr>
              <w:spacing w:line="400" w:lineRule="exact"/>
              <w:jc w:val="left"/>
              <w:rPr>
                <w:rFonts w:cs="仿宋"/>
                <w:sz w:val="24"/>
                <w:szCs w:val="24"/>
              </w:rPr>
            </w:pPr>
            <w:bookmarkStart w:id="69" w:name="EBd40b5fb42f2944a3b45e579ce3941f02"/>
            <w:bookmarkEnd w:id="69"/>
            <w:r>
              <w:rPr>
                <w:rFonts w:hint="eastAsia" w:cs="仿宋"/>
                <w:sz w:val="24"/>
                <w:szCs w:val="24"/>
              </w:rPr>
              <w:t>60日（从提交投标文件截止之日起算）</w:t>
            </w:r>
          </w:p>
        </w:tc>
      </w:tr>
      <w:tr w14:paraId="06D1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14:paraId="27829AD3">
            <w:pPr>
              <w:spacing w:line="400" w:lineRule="exact"/>
              <w:jc w:val="center"/>
              <w:rPr>
                <w:rFonts w:cs="仿宋"/>
                <w:sz w:val="24"/>
                <w:szCs w:val="24"/>
              </w:rPr>
            </w:pPr>
            <w:r>
              <w:rPr>
                <w:rFonts w:hint="eastAsia" w:cs="仿宋"/>
                <w:sz w:val="24"/>
                <w:szCs w:val="24"/>
              </w:rPr>
              <w:t>3</w:t>
            </w:r>
          </w:p>
        </w:tc>
        <w:tc>
          <w:tcPr>
            <w:tcW w:w="1772" w:type="dxa"/>
            <w:tcBorders>
              <w:top w:val="single" w:color="auto" w:sz="4" w:space="0"/>
              <w:left w:val="nil"/>
              <w:bottom w:val="single" w:color="auto" w:sz="4" w:space="0"/>
              <w:right w:val="single" w:color="auto" w:sz="4" w:space="0"/>
            </w:tcBorders>
            <w:vAlign w:val="center"/>
          </w:tcPr>
          <w:p w14:paraId="05501FCE">
            <w:pPr>
              <w:spacing w:line="400" w:lineRule="exact"/>
              <w:jc w:val="center"/>
              <w:rPr>
                <w:rFonts w:cs="仿宋"/>
                <w:sz w:val="24"/>
                <w:szCs w:val="24"/>
              </w:rPr>
            </w:pPr>
            <w:r>
              <w:rPr>
                <w:rFonts w:hint="eastAsia" w:cs="仿宋"/>
                <w:sz w:val="24"/>
                <w:szCs w:val="24"/>
              </w:rPr>
              <w:t>投标文件份数</w:t>
            </w:r>
          </w:p>
        </w:tc>
        <w:tc>
          <w:tcPr>
            <w:tcW w:w="6579" w:type="dxa"/>
            <w:tcBorders>
              <w:top w:val="single" w:color="auto" w:sz="4" w:space="0"/>
              <w:left w:val="nil"/>
              <w:bottom w:val="single" w:color="auto" w:sz="4" w:space="0"/>
              <w:right w:val="single" w:color="auto" w:sz="4" w:space="0"/>
            </w:tcBorders>
            <w:vAlign w:val="center"/>
          </w:tcPr>
          <w:p w14:paraId="6CCAE673">
            <w:pPr>
              <w:spacing w:line="400" w:lineRule="exact"/>
              <w:jc w:val="left"/>
              <w:rPr>
                <w:rFonts w:cs="仿宋"/>
                <w:sz w:val="24"/>
                <w:szCs w:val="24"/>
              </w:rPr>
            </w:pPr>
            <w:r>
              <w:rPr>
                <w:rFonts w:hint="eastAsia" w:cs="仿宋"/>
                <w:sz w:val="24"/>
                <w:szCs w:val="24"/>
              </w:rPr>
              <w:t>提交加密电子投标文件</w:t>
            </w:r>
            <w:r>
              <w:rPr>
                <w:rFonts w:hint="eastAsia" w:cs="仿宋"/>
                <w:sz w:val="24"/>
                <w:szCs w:val="24"/>
                <w:u w:val="single"/>
              </w:rPr>
              <w:t>1</w:t>
            </w:r>
            <w:r>
              <w:rPr>
                <w:rFonts w:hint="eastAsia" w:cs="仿宋"/>
                <w:sz w:val="24"/>
                <w:szCs w:val="24"/>
              </w:rPr>
              <w:t>份。</w:t>
            </w:r>
          </w:p>
        </w:tc>
      </w:tr>
      <w:tr w14:paraId="2841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14:paraId="79AC7579">
            <w:pPr>
              <w:spacing w:line="400" w:lineRule="exact"/>
              <w:jc w:val="center"/>
              <w:rPr>
                <w:rFonts w:cs="仿宋"/>
                <w:sz w:val="24"/>
                <w:szCs w:val="24"/>
              </w:rPr>
            </w:pPr>
            <w:r>
              <w:rPr>
                <w:rFonts w:hint="eastAsia" w:cs="仿宋"/>
                <w:sz w:val="24"/>
                <w:szCs w:val="24"/>
              </w:rPr>
              <w:t>4</w:t>
            </w:r>
          </w:p>
        </w:tc>
        <w:tc>
          <w:tcPr>
            <w:tcW w:w="1772" w:type="dxa"/>
            <w:tcBorders>
              <w:top w:val="single" w:color="auto" w:sz="4" w:space="0"/>
              <w:left w:val="nil"/>
              <w:bottom w:val="single" w:color="auto" w:sz="4" w:space="0"/>
              <w:right w:val="single" w:color="auto" w:sz="4" w:space="0"/>
            </w:tcBorders>
            <w:vAlign w:val="center"/>
          </w:tcPr>
          <w:p w14:paraId="1463473E">
            <w:pPr>
              <w:spacing w:line="400" w:lineRule="exact"/>
              <w:jc w:val="center"/>
              <w:rPr>
                <w:rFonts w:cs="仿宋"/>
                <w:sz w:val="24"/>
                <w:szCs w:val="24"/>
              </w:rPr>
            </w:pPr>
            <w:r>
              <w:rPr>
                <w:rFonts w:hint="eastAsia" w:cs="仿宋"/>
                <w:sz w:val="24"/>
                <w:szCs w:val="24"/>
              </w:rPr>
              <w:t>开标</w:t>
            </w:r>
          </w:p>
        </w:tc>
        <w:tc>
          <w:tcPr>
            <w:tcW w:w="6579" w:type="dxa"/>
            <w:tcBorders>
              <w:top w:val="single" w:color="auto" w:sz="4" w:space="0"/>
              <w:left w:val="nil"/>
              <w:bottom w:val="single" w:color="auto" w:sz="4" w:space="0"/>
              <w:right w:val="single" w:color="auto" w:sz="4" w:space="0"/>
            </w:tcBorders>
            <w:vAlign w:val="center"/>
          </w:tcPr>
          <w:p w14:paraId="2867C369">
            <w:pPr>
              <w:spacing w:line="400" w:lineRule="exact"/>
              <w:jc w:val="left"/>
              <w:rPr>
                <w:rFonts w:cs="仿宋"/>
                <w:sz w:val="24"/>
                <w:szCs w:val="24"/>
              </w:rPr>
            </w:pPr>
            <w:r>
              <w:rPr>
                <w:rFonts w:hint="eastAsia" w:cs="仿宋"/>
                <w:sz w:val="24"/>
                <w:szCs w:val="24"/>
              </w:rPr>
              <w:t>“苏采云”政府采购交易系统网上开标大厅进行不见面开标。</w:t>
            </w:r>
          </w:p>
        </w:tc>
      </w:tr>
      <w:tr w14:paraId="16EA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 w:type="dxa"/>
            <w:tcBorders>
              <w:top w:val="single" w:color="auto" w:sz="4" w:space="0"/>
              <w:left w:val="single" w:color="auto" w:sz="4" w:space="0"/>
              <w:bottom w:val="single" w:color="auto" w:sz="4" w:space="0"/>
              <w:right w:val="single" w:color="auto" w:sz="4" w:space="0"/>
            </w:tcBorders>
            <w:vAlign w:val="center"/>
          </w:tcPr>
          <w:p w14:paraId="0883DA9E">
            <w:pPr>
              <w:spacing w:line="400" w:lineRule="exact"/>
              <w:jc w:val="center"/>
              <w:rPr>
                <w:rFonts w:cs="仿宋"/>
                <w:sz w:val="24"/>
                <w:szCs w:val="24"/>
              </w:rPr>
            </w:pPr>
            <w:r>
              <w:rPr>
                <w:rFonts w:hint="eastAsia" w:cs="仿宋"/>
                <w:sz w:val="24"/>
                <w:szCs w:val="24"/>
              </w:rPr>
              <w:t>5</w:t>
            </w:r>
          </w:p>
        </w:tc>
        <w:tc>
          <w:tcPr>
            <w:tcW w:w="1772" w:type="dxa"/>
            <w:tcBorders>
              <w:top w:val="single" w:color="auto" w:sz="4" w:space="0"/>
              <w:left w:val="nil"/>
              <w:bottom w:val="single" w:color="auto" w:sz="4" w:space="0"/>
              <w:right w:val="single" w:color="auto" w:sz="4" w:space="0"/>
            </w:tcBorders>
            <w:vAlign w:val="center"/>
          </w:tcPr>
          <w:p w14:paraId="5D3FCF33">
            <w:pPr>
              <w:spacing w:line="400" w:lineRule="exact"/>
              <w:jc w:val="center"/>
              <w:rPr>
                <w:rFonts w:cs="仿宋"/>
                <w:sz w:val="24"/>
                <w:szCs w:val="24"/>
              </w:rPr>
            </w:pPr>
            <w:r>
              <w:rPr>
                <w:rFonts w:hint="eastAsia" w:cs="仿宋"/>
                <w:sz w:val="24"/>
                <w:szCs w:val="24"/>
              </w:rPr>
              <w:t>进口产品</w:t>
            </w:r>
          </w:p>
        </w:tc>
        <w:tc>
          <w:tcPr>
            <w:tcW w:w="6579" w:type="dxa"/>
            <w:tcBorders>
              <w:top w:val="single" w:color="auto" w:sz="4" w:space="0"/>
              <w:left w:val="nil"/>
              <w:bottom w:val="single" w:color="auto" w:sz="4" w:space="0"/>
              <w:right w:val="single" w:color="auto" w:sz="4" w:space="0"/>
            </w:tcBorders>
            <w:vAlign w:val="center"/>
          </w:tcPr>
          <w:p w14:paraId="3DA2B479">
            <w:pPr>
              <w:spacing w:line="400" w:lineRule="exact"/>
              <w:jc w:val="left"/>
              <w:rPr>
                <w:rFonts w:cs="仿宋"/>
                <w:sz w:val="24"/>
                <w:szCs w:val="24"/>
              </w:rPr>
            </w:pPr>
            <w:r>
              <w:rPr>
                <w:rFonts w:hint="eastAsia" w:cs="仿宋"/>
                <w:sz w:val="24"/>
                <w:szCs w:val="24"/>
              </w:rPr>
              <w:t>按以下第</w:t>
            </w:r>
            <w:r>
              <w:rPr>
                <w:rFonts w:hint="eastAsia" w:cs="仿宋"/>
                <w:sz w:val="24"/>
                <w:szCs w:val="24"/>
                <w:u w:val="single"/>
              </w:rPr>
              <w:t>2</w:t>
            </w:r>
            <w:r>
              <w:rPr>
                <w:rFonts w:hint="eastAsia" w:cs="仿宋"/>
                <w:sz w:val="24"/>
                <w:szCs w:val="24"/>
              </w:rPr>
              <w:t>种方式确定：</w:t>
            </w:r>
          </w:p>
          <w:p w14:paraId="46F2AB18">
            <w:pPr>
              <w:widowControl/>
              <w:spacing w:line="360" w:lineRule="exact"/>
              <w:jc w:val="left"/>
              <w:rPr>
                <w:rFonts w:cs="仿宋"/>
                <w:sz w:val="24"/>
                <w:szCs w:val="24"/>
              </w:rPr>
            </w:pPr>
            <w:r>
              <w:rPr>
                <w:rFonts w:hint="eastAsia" w:cs="仿宋"/>
                <w:sz w:val="24"/>
                <w:szCs w:val="24"/>
              </w:rPr>
              <w:t>1.接受进口产品。</w:t>
            </w:r>
            <w:r>
              <w:rPr>
                <w:rFonts w:hint="eastAsia" w:cs="仿宋"/>
                <w:sz w:val="24"/>
                <w:szCs w:val="22"/>
              </w:rPr>
              <w:t>应当符合《政府采购进口产品管理办法》（财库〔2007〕119号）、《关于政府采购进口产品管理有关问题的通知》（财办库〔2008〕248号）等相关规定</w:t>
            </w:r>
            <w:r>
              <w:rPr>
                <w:rFonts w:hint="eastAsia" w:cs="仿宋"/>
                <w:sz w:val="24"/>
                <w:szCs w:val="24"/>
              </w:rPr>
              <w:t>；</w:t>
            </w:r>
          </w:p>
          <w:p w14:paraId="5B23E173">
            <w:pPr>
              <w:spacing w:line="400" w:lineRule="exact"/>
              <w:jc w:val="left"/>
              <w:rPr>
                <w:rFonts w:cs="仿宋"/>
                <w:sz w:val="24"/>
                <w:szCs w:val="24"/>
              </w:rPr>
            </w:pPr>
            <w:r>
              <w:rPr>
                <w:rFonts w:hint="eastAsia" w:cs="仿宋"/>
                <w:sz w:val="24"/>
                <w:szCs w:val="24"/>
              </w:rPr>
              <w:t>2.不接受进口产品。</w:t>
            </w:r>
          </w:p>
        </w:tc>
      </w:tr>
      <w:tr w14:paraId="00DF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14:paraId="000983AD">
            <w:pPr>
              <w:spacing w:line="400" w:lineRule="exact"/>
              <w:jc w:val="center"/>
              <w:rPr>
                <w:rFonts w:cs="仿宋"/>
                <w:sz w:val="24"/>
                <w:szCs w:val="24"/>
              </w:rPr>
            </w:pPr>
            <w:r>
              <w:rPr>
                <w:rFonts w:hint="eastAsia" w:cs="仿宋"/>
                <w:sz w:val="24"/>
                <w:szCs w:val="24"/>
              </w:rPr>
              <w:t>6</w:t>
            </w:r>
          </w:p>
        </w:tc>
        <w:tc>
          <w:tcPr>
            <w:tcW w:w="1772" w:type="dxa"/>
            <w:tcBorders>
              <w:top w:val="single" w:color="auto" w:sz="4" w:space="0"/>
              <w:left w:val="nil"/>
              <w:bottom w:val="single" w:color="auto" w:sz="4" w:space="0"/>
              <w:right w:val="single" w:color="auto" w:sz="4" w:space="0"/>
            </w:tcBorders>
            <w:vAlign w:val="center"/>
          </w:tcPr>
          <w:p w14:paraId="694EC37D">
            <w:pPr>
              <w:spacing w:line="400" w:lineRule="exact"/>
              <w:jc w:val="center"/>
              <w:rPr>
                <w:rFonts w:cs="仿宋"/>
                <w:sz w:val="24"/>
                <w:szCs w:val="24"/>
              </w:rPr>
            </w:pPr>
            <w:r>
              <w:rPr>
                <w:rFonts w:hint="eastAsia" w:cs="仿宋"/>
                <w:sz w:val="24"/>
                <w:szCs w:val="24"/>
              </w:rPr>
              <w:t>评标办法</w:t>
            </w:r>
          </w:p>
        </w:tc>
        <w:tc>
          <w:tcPr>
            <w:tcW w:w="6579" w:type="dxa"/>
            <w:tcBorders>
              <w:top w:val="single" w:color="auto" w:sz="4" w:space="0"/>
              <w:left w:val="nil"/>
              <w:bottom w:val="single" w:color="auto" w:sz="4" w:space="0"/>
              <w:right w:val="single" w:color="auto" w:sz="4" w:space="0"/>
            </w:tcBorders>
            <w:vAlign w:val="center"/>
          </w:tcPr>
          <w:p w14:paraId="555AAFE7">
            <w:pPr>
              <w:spacing w:line="400" w:lineRule="exact"/>
              <w:jc w:val="left"/>
              <w:rPr>
                <w:rFonts w:cs="仿宋"/>
                <w:sz w:val="24"/>
                <w:szCs w:val="24"/>
              </w:rPr>
            </w:pPr>
            <w:r>
              <w:rPr>
                <w:rFonts w:hint="eastAsia" w:cs="仿宋"/>
                <w:sz w:val="24"/>
                <w:szCs w:val="24"/>
              </w:rPr>
              <w:t>具体评标办法详见招标文件第三章。</w:t>
            </w:r>
          </w:p>
          <w:p w14:paraId="3F212D16">
            <w:pPr>
              <w:spacing w:line="400" w:lineRule="exact"/>
              <w:jc w:val="left"/>
              <w:rPr>
                <w:rFonts w:cs="仿宋"/>
                <w:sz w:val="24"/>
                <w:szCs w:val="24"/>
              </w:rPr>
            </w:pPr>
            <w:r>
              <w:rPr>
                <w:rFonts w:hint="eastAsia" w:cs="仿宋"/>
                <w:sz w:val="24"/>
                <w:szCs w:val="24"/>
              </w:rPr>
              <w:t>评标委员会依据招标文件规定的评标办法和标准推荐</w:t>
            </w:r>
            <w:r>
              <w:rPr>
                <w:rFonts w:hint="eastAsia" w:cs="仿宋"/>
                <w:sz w:val="24"/>
                <w:szCs w:val="24"/>
                <w:u w:val="single"/>
              </w:rPr>
              <w:t>3</w:t>
            </w:r>
            <w:r>
              <w:rPr>
                <w:rFonts w:hint="eastAsia" w:cs="仿宋"/>
                <w:sz w:val="24"/>
                <w:szCs w:val="24"/>
              </w:rPr>
              <w:t>名中标候选人。</w:t>
            </w:r>
          </w:p>
        </w:tc>
      </w:tr>
      <w:tr w14:paraId="19FA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14:paraId="4A10B4D6">
            <w:pPr>
              <w:spacing w:line="400" w:lineRule="exact"/>
              <w:jc w:val="center"/>
              <w:rPr>
                <w:rFonts w:cs="仿宋"/>
                <w:sz w:val="24"/>
                <w:szCs w:val="24"/>
              </w:rPr>
            </w:pPr>
            <w:r>
              <w:rPr>
                <w:rFonts w:hint="eastAsia" w:cs="仿宋"/>
                <w:sz w:val="24"/>
                <w:szCs w:val="24"/>
              </w:rPr>
              <w:t>7</w:t>
            </w:r>
          </w:p>
        </w:tc>
        <w:tc>
          <w:tcPr>
            <w:tcW w:w="1772" w:type="dxa"/>
            <w:tcBorders>
              <w:top w:val="single" w:color="auto" w:sz="4" w:space="0"/>
              <w:left w:val="nil"/>
              <w:bottom w:val="single" w:color="auto" w:sz="4" w:space="0"/>
              <w:right w:val="single" w:color="auto" w:sz="4" w:space="0"/>
            </w:tcBorders>
            <w:vAlign w:val="center"/>
          </w:tcPr>
          <w:p w14:paraId="71E0D59E">
            <w:pPr>
              <w:spacing w:line="400" w:lineRule="exact"/>
              <w:jc w:val="center"/>
              <w:rPr>
                <w:rFonts w:cs="仿宋"/>
                <w:sz w:val="24"/>
                <w:szCs w:val="24"/>
              </w:rPr>
            </w:pPr>
            <w:r>
              <w:rPr>
                <w:rFonts w:hint="eastAsia" w:cs="仿宋"/>
                <w:sz w:val="24"/>
                <w:szCs w:val="24"/>
              </w:rPr>
              <w:t>确定中标人</w:t>
            </w:r>
          </w:p>
        </w:tc>
        <w:tc>
          <w:tcPr>
            <w:tcW w:w="6579" w:type="dxa"/>
            <w:tcBorders>
              <w:top w:val="single" w:color="auto" w:sz="4" w:space="0"/>
              <w:left w:val="nil"/>
              <w:bottom w:val="single" w:color="auto" w:sz="4" w:space="0"/>
              <w:right w:val="single" w:color="auto" w:sz="4" w:space="0"/>
            </w:tcBorders>
            <w:vAlign w:val="center"/>
          </w:tcPr>
          <w:p w14:paraId="1D740719">
            <w:pPr>
              <w:spacing w:line="400" w:lineRule="exact"/>
              <w:jc w:val="left"/>
              <w:rPr>
                <w:rFonts w:cs="仿宋"/>
                <w:sz w:val="24"/>
                <w:szCs w:val="24"/>
              </w:rPr>
            </w:pPr>
            <w:r>
              <w:rPr>
                <w:rFonts w:hint="eastAsia" w:cs="仿宋"/>
                <w:sz w:val="24"/>
                <w:szCs w:val="24"/>
              </w:rPr>
              <w:t>采购人按规定在评标委员会推荐的中标候选人中确定中标人。</w:t>
            </w:r>
          </w:p>
        </w:tc>
      </w:tr>
      <w:tr w14:paraId="6597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14:paraId="2F0CD1E0">
            <w:pPr>
              <w:spacing w:line="400" w:lineRule="exact"/>
              <w:jc w:val="center"/>
              <w:rPr>
                <w:rFonts w:cs="仿宋"/>
                <w:sz w:val="24"/>
                <w:szCs w:val="24"/>
              </w:rPr>
            </w:pPr>
            <w:r>
              <w:rPr>
                <w:rFonts w:hint="eastAsia" w:cs="仿宋"/>
                <w:sz w:val="24"/>
                <w:szCs w:val="24"/>
              </w:rPr>
              <w:t>8</w:t>
            </w:r>
          </w:p>
        </w:tc>
        <w:tc>
          <w:tcPr>
            <w:tcW w:w="1772" w:type="dxa"/>
            <w:tcBorders>
              <w:top w:val="single" w:color="auto" w:sz="4" w:space="0"/>
              <w:left w:val="nil"/>
              <w:bottom w:val="single" w:color="auto" w:sz="4" w:space="0"/>
              <w:right w:val="single" w:color="auto" w:sz="4" w:space="0"/>
            </w:tcBorders>
            <w:vAlign w:val="center"/>
          </w:tcPr>
          <w:p w14:paraId="13DEF6FE">
            <w:pPr>
              <w:spacing w:line="400" w:lineRule="exact"/>
              <w:jc w:val="center"/>
              <w:rPr>
                <w:rFonts w:cs="仿宋"/>
                <w:sz w:val="24"/>
                <w:szCs w:val="24"/>
              </w:rPr>
            </w:pPr>
            <w:r>
              <w:rPr>
                <w:rFonts w:hint="eastAsia" w:cs="仿宋"/>
                <w:sz w:val="24"/>
                <w:szCs w:val="24"/>
              </w:rPr>
              <w:t>分包要求</w:t>
            </w:r>
          </w:p>
        </w:tc>
        <w:tc>
          <w:tcPr>
            <w:tcW w:w="6579" w:type="dxa"/>
            <w:tcBorders>
              <w:top w:val="single" w:color="auto" w:sz="4" w:space="0"/>
              <w:left w:val="nil"/>
              <w:bottom w:val="single" w:color="auto" w:sz="4" w:space="0"/>
              <w:right w:val="single" w:color="auto" w:sz="4" w:space="0"/>
            </w:tcBorders>
            <w:vAlign w:val="center"/>
          </w:tcPr>
          <w:p w14:paraId="1918A5E7">
            <w:pPr>
              <w:spacing w:line="400" w:lineRule="exact"/>
              <w:jc w:val="left"/>
              <w:rPr>
                <w:rFonts w:cs="仿宋"/>
                <w:sz w:val="24"/>
                <w:szCs w:val="24"/>
              </w:rPr>
            </w:pPr>
            <w:bookmarkStart w:id="70" w:name="EBebac1462c5d9459fbda8a75065c2455d"/>
            <w:r>
              <w:rPr>
                <w:rFonts w:hint="eastAsia" w:cs="仿宋"/>
                <w:sz w:val="24"/>
                <w:szCs w:val="24"/>
              </w:rPr>
              <w:t>本项目的非主体、非关键性工作是否允许分包</w:t>
            </w:r>
            <w:bookmarkEnd w:id="70"/>
            <w:r>
              <w:rPr>
                <w:rFonts w:hint="eastAsia" w:cs="仿宋"/>
                <w:sz w:val="24"/>
                <w:szCs w:val="24"/>
              </w:rPr>
              <w:t>按以下第</w:t>
            </w:r>
            <w:r>
              <w:rPr>
                <w:rFonts w:hint="eastAsia" w:cs="仿宋"/>
                <w:sz w:val="24"/>
                <w:szCs w:val="24"/>
                <w:u w:val="single"/>
              </w:rPr>
              <w:t>2</w:t>
            </w:r>
            <w:r>
              <w:rPr>
                <w:rFonts w:hint="eastAsia" w:cs="仿宋"/>
                <w:sz w:val="24"/>
                <w:szCs w:val="24"/>
              </w:rPr>
              <w:t>种方式确定：</w:t>
            </w:r>
          </w:p>
          <w:p w14:paraId="1AFDC517">
            <w:pPr>
              <w:spacing w:line="400" w:lineRule="exact"/>
              <w:jc w:val="left"/>
              <w:rPr>
                <w:rFonts w:cs="仿宋"/>
                <w:sz w:val="24"/>
                <w:szCs w:val="24"/>
              </w:rPr>
            </w:pPr>
            <w:r>
              <w:rPr>
                <w:rFonts w:hint="eastAsia" w:cs="仿宋"/>
                <w:sz w:val="24"/>
                <w:szCs w:val="24"/>
              </w:rPr>
              <w:t>1.允许分包，</w:t>
            </w:r>
            <w:bookmarkStart w:id="71" w:name="EB512ba06683724173802e2aae54a26079"/>
            <w:r>
              <w:rPr>
                <w:rFonts w:hint="eastAsia" w:cs="仿宋"/>
                <w:sz w:val="24"/>
                <w:szCs w:val="24"/>
              </w:rPr>
              <w:t>允许大中型企业向一家或者多家小微企业分包，分包具体内容、金额或比例：</w:t>
            </w:r>
            <w:bookmarkEnd w:id="71"/>
            <w:r>
              <w:rPr>
                <w:rFonts w:hint="eastAsia" w:cs="仿宋"/>
                <w:sz w:val="24"/>
                <w:szCs w:val="24"/>
              </w:rPr>
              <w:t>无</w:t>
            </w:r>
          </w:p>
          <w:p w14:paraId="0892F3F8">
            <w:pPr>
              <w:spacing w:line="400" w:lineRule="exact"/>
              <w:jc w:val="left"/>
              <w:rPr>
                <w:rFonts w:cs="仿宋"/>
                <w:sz w:val="24"/>
                <w:szCs w:val="24"/>
              </w:rPr>
            </w:pPr>
            <w:r>
              <w:rPr>
                <w:rFonts w:hint="eastAsia" w:cs="仿宋"/>
                <w:sz w:val="24"/>
                <w:szCs w:val="24"/>
              </w:rPr>
              <w:t>2.不允许分包。</w:t>
            </w:r>
          </w:p>
        </w:tc>
      </w:tr>
      <w:tr w14:paraId="7338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14:paraId="788DAB45">
            <w:pPr>
              <w:spacing w:line="400" w:lineRule="exact"/>
              <w:jc w:val="center"/>
              <w:rPr>
                <w:rFonts w:cs="仿宋"/>
                <w:sz w:val="24"/>
                <w:szCs w:val="24"/>
              </w:rPr>
            </w:pPr>
            <w:r>
              <w:rPr>
                <w:rFonts w:hint="eastAsia" w:cs="仿宋"/>
                <w:sz w:val="24"/>
                <w:szCs w:val="24"/>
              </w:rPr>
              <w:t>9</w:t>
            </w:r>
          </w:p>
        </w:tc>
        <w:tc>
          <w:tcPr>
            <w:tcW w:w="1772" w:type="dxa"/>
            <w:tcBorders>
              <w:top w:val="single" w:color="auto" w:sz="4" w:space="0"/>
              <w:left w:val="nil"/>
              <w:bottom w:val="single" w:color="auto" w:sz="4" w:space="0"/>
              <w:right w:val="single" w:color="auto" w:sz="4" w:space="0"/>
            </w:tcBorders>
            <w:vAlign w:val="center"/>
          </w:tcPr>
          <w:p w14:paraId="13568678">
            <w:pPr>
              <w:spacing w:line="400" w:lineRule="exact"/>
              <w:jc w:val="center"/>
              <w:rPr>
                <w:rFonts w:cs="仿宋"/>
                <w:sz w:val="24"/>
                <w:szCs w:val="24"/>
              </w:rPr>
            </w:pPr>
            <w:r>
              <w:rPr>
                <w:rFonts w:hint="eastAsia" w:cs="仿宋"/>
                <w:sz w:val="24"/>
                <w:szCs w:val="24"/>
              </w:rPr>
              <w:t>代理费用收取方式及标准</w:t>
            </w:r>
          </w:p>
        </w:tc>
        <w:tc>
          <w:tcPr>
            <w:tcW w:w="6579" w:type="dxa"/>
            <w:tcBorders>
              <w:top w:val="single" w:color="auto" w:sz="4" w:space="0"/>
              <w:left w:val="nil"/>
              <w:bottom w:val="single" w:color="auto" w:sz="4" w:space="0"/>
              <w:right w:val="single" w:color="auto" w:sz="4" w:space="0"/>
            </w:tcBorders>
            <w:vAlign w:val="center"/>
          </w:tcPr>
          <w:p w14:paraId="58232C7E">
            <w:pPr>
              <w:spacing w:line="400" w:lineRule="exact"/>
              <w:jc w:val="left"/>
              <w:rPr>
                <w:rFonts w:cs="仿宋"/>
                <w:sz w:val="24"/>
                <w:szCs w:val="24"/>
              </w:rPr>
            </w:pPr>
            <w:bookmarkStart w:id="72" w:name="EBfe735bb6fc4d4e5e9e350f940db98c5f"/>
            <w:bookmarkEnd w:id="72"/>
            <w:r>
              <w:rPr>
                <w:rFonts w:hint="eastAsia" w:cs="仿宋"/>
                <w:sz w:val="24"/>
                <w:szCs w:val="24"/>
              </w:rPr>
              <w:t>参照国家计委计价格〔2002〕1980号文件标准</w:t>
            </w:r>
            <w:r>
              <w:rPr>
                <w:rFonts w:hint="eastAsia" w:cs="仿宋"/>
                <w:sz w:val="24"/>
                <w:szCs w:val="24"/>
                <w:highlight w:val="none"/>
                <w:lang w:val="en-US" w:eastAsia="zh-CN"/>
              </w:rPr>
              <w:t>*23%</w:t>
            </w:r>
            <w:r>
              <w:rPr>
                <w:rFonts w:hint="eastAsia" w:cs="仿宋"/>
                <w:sz w:val="24"/>
                <w:szCs w:val="24"/>
                <w:highlight w:val="none"/>
              </w:rPr>
              <w:t>向</w:t>
            </w:r>
            <w:r>
              <w:rPr>
                <w:rFonts w:hint="eastAsia" w:cs="仿宋"/>
                <w:sz w:val="24"/>
                <w:szCs w:val="24"/>
              </w:rPr>
              <w:t>代理单位支付代理服务费。支付方式可以通过转账或数字人民币等方式。</w:t>
            </w:r>
          </w:p>
        </w:tc>
      </w:tr>
      <w:tr w14:paraId="15C5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14:paraId="2CDBB293">
            <w:pPr>
              <w:spacing w:line="400" w:lineRule="exact"/>
              <w:jc w:val="center"/>
              <w:rPr>
                <w:rFonts w:cs="仿宋"/>
                <w:sz w:val="24"/>
                <w:szCs w:val="24"/>
              </w:rPr>
            </w:pPr>
            <w:r>
              <w:rPr>
                <w:rFonts w:hint="eastAsia" w:cs="仿宋"/>
                <w:sz w:val="24"/>
                <w:szCs w:val="24"/>
              </w:rPr>
              <w:t>10</w:t>
            </w:r>
          </w:p>
        </w:tc>
        <w:tc>
          <w:tcPr>
            <w:tcW w:w="1772" w:type="dxa"/>
            <w:tcBorders>
              <w:top w:val="single" w:color="auto" w:sz="4" w:space="0"/>
              <w:left w:val="nil"/>
              <w:bottom w:val="single" w:color="auto" w:sz="4" w:space="0"/>
              <w:right w:val="single" w:color="auto" w:sz="4" w:space="0"/>
            </w:tcBorders>
            <w:vAlign w:val="center"/>
          </w:tcPr>
          <w:p w14:paraId="0F4B6081">
            <w:pPr>
              <w:spacing w:line="400" w:lineRule="exact"/>
              <w:jc w:val="center"/>
              <w:rPr>
                <w:rFonts w:cs="仿宋"/>
                <w:sz w:val="24"/>
                <w:szCs w:val="24"/>
              </w:rPr>
            </w:pPr>
            <w:r>
              <w:rPr>
                <w:rFonts w:hint="eastAsia" w:cs="仿宋"/>
                <w:sz w:val="24"/>
                <w:szCs w:val="24"/>
              </w:rPr>
              <w:t>其他</w:t>
            </w:r>
            <w:bookmarkEnd w:id="63"/>
            <w:bookmarkEnd w:id="64"/>
            <w:bookmarkEnd w:id="65"/>
          </w:p>
        </w:tc>
        <w:tc>
          <w:tcPr>
            <w:tcW w:w="6579" w:type="dxa"/>
            <w:tcBorders>
              <w:top w:val="single" w:color="auto" w:sz="4" w:space="0"/>
              <w:left w:val="nil"/>
              <w:bottom w:val="single" w:color="auto" w:sz="4" w:space="0"/>
              <w:right w:val="single" w:color="auto" w:sz="4" w:space="0"/>
            </w:tcBorders>
            <w:vAlign w:val="center"/>
          </w:tcPr>
          <w:p w14:paraId="2E8ACAB6">
            <w:pPr>
              <w:numPr>
                <w:ilvl w:val="0"/>
                <w:numId w:val="4"/>
              </w:numPr>
              <w:spacing w:line="400" w:lineRule="exact"/>
              <w:jc w:val="left"/>
              <w:rPr>
                <w:rFonts w:cs="仿宋"/>
                <w:sz w:val="24"/>
                <w:szCs w:val="24"/>
              </w:rPr>
            </w:pPr>
            <w:r>
              <w:rPr>
                <w:rFonts w:hint="eastAsia" w:cs="仿宋"/>
                <w:sz w:val="24"/>
                <w:szCs w:val="24"/>
              </w:rPr>
              <w:t>信用信息查询截止时间：资格审查结束前。由采购人在资格审查现场查询信用信息，网页截屏打印，查询结果留存并归档。</w:t>
            </w:r>
          </w:p>
          <w:p w14:paraId="78D348F7">
            <w:pPr>
              <w:numPr>
                <w:ilvl w:val="0"/>
                <w:numId w:val="4"/>
              </w:numPr>
              <w:spacing w:line="400" w:lineRule="exact"/>
              <w:jc w:val="left"/>
              <w:rPr>
                <w:rFonts w:cs="仿宋"/>
                <w:sz w:val="24"/>
                <w:szCs w:val="24"/>
              </w:rPr>
            </w:pPr>
            <w:r>
              <w:rPr>
                <w:rFonts w:hint="eastAsia" w:cs="仿宋"/>
                <w:sz w:val="24"/>
                <w:szCs w:val="24"/>
              </w:rPr>
              <w:t>现场勘察及答疑：本项目不组织集中勘察及答疑，投标人如对采购需求有疑问，请咨询采购单位联系人。</w:t>
            </w:r>
          </w:p>
        </w:tc>
      </w:tr>
    </w:tbl>
    <w:p w14:paraId="0F3BB628">
      <w:pPr>
        <w:spacing w:line="560" w:lineRule="exact"/>
        <w:ind w:firstLine="498"/>
      </w:pPr>
    </w:p>
    <w:p w14:paraId="62BB3A2C">
      <w:pPr>
        <w:pStyle w:val="4"/>
        <w:spacing w:before="0" w:after="0" w:line="560" w:lineRule="exact"/>
        <w:ind w:firstLine="498"/>
        <w:jc w:val="left"/>
      </w:pPr>
      <w:bookmarkStart w:id="73" w:name="_Toc1715"/>
      <w:r>
        <w:rPr>
          <w:rFonts w:hint="eastAsia" w:ascii="宋体" w:hAnsi="宋体" w:eastAsia="宋体" w:cs="宋体"/>
          <w:sz w:val="32"/>
          <w:szCs w:val="32"/>
        </w:rPr>
        <w:t>一、总则</w:t>
      </w:r>
      <w:bookmarkEnd w:id="57"/>
      <w:bookmarkEnd w:id="58"/>
      <w:bookmarkEnd w:id="59"/>
      <w:bookmarkEnd w:id="60"/>
      <w:bookmarkEnd w:id="73"/>
    </w:p>
    <w:p w14:paraId="4EFEBE7C">
      <w:pPr>
        <w:spacing w:line="480" w:lineRule="exact"/>
        <w:ind w:firstLine="482" w:firstLineChars="200"/>
        <w:rPr>
          <w:rFonts w:cs="仿宋"/>
          <w:b/>
          <w:sz w:val="24"/>
          <w:szCs w:val="22"/>
        </w:rPr>
      </w:pPr>
      <w:bookmarkStart w:id="74" w:name="_Hlt16619475"/>
      <w:bookmarkEnd w:id="74"/>
      <w:r>
        <w:rPr>
          <w:rFonts w:hint="eastAsia" w:cs="仿宋"/>
          <w:b/>
          <w:sz w:val="24"/>
          <w:szCs w:val="22"/>
        </w:rPr>
        <w:t>1、招标方式</w:t>
      </w:r>
    </w:p>
    <w:p w14:paraId="5A0E9473">
      <w:pPr>
        <w:spacing w:line="480" w:lineRule="exact"/>
        <w:ind w:firstLine="480" w:firstLineChars="200"/>
        <w:rPr>
          <w:rFonts w:cs="仿宋"/>
          <w:sz w:val="24"/>
          <w:szCs w:val="22"/>
        </w:rPr>
      </w:pPr>
      <w:r>
        <w:rPr>
          <w:rFonts w:hint="eastAsia" w:cs="仿宋"/>
          <w:sz w:val="24"/>
          <w:szCs w:val="22"/>
        </w:rPr>
        <w:t>本次采购采取公开招标方式。</w:t>
      </w:r>
    </w:p>
    <w:p w14:paraId="0A681F66">
      <w:pPr>
        <w:spacing w:line="480" w:lineRule="exact"/>
        <w:ind w:firstLine="482" w:firstLineChars="200"/>
        <w:rPr>
          <w:rFonts w:cs="仿宋"/>
          <w:b/>
          <w:sz w:val="24"/>
          <w:szCs w:val="22"/>
        </w:rPr>
      </w:pPr>
      <w:r>
        <w:rPr>
          <w:rFonts w:hint="eastAsia" w:cs="仿宋"/>
          <w:b/>
          <w:sz w:val="24"/>
          <w:szCs w:val="22"/>
        </w:rPr>
        <w:t>2、合格的投标人</w:t>
      </w:r>
    </w:p>
    <w:p w14:paraId="19A089E8">
      <w:pPr>
        <w:spacing w:line="480" w:lineRule="exact"/>
        <w:ind w:firstLine="480" w:firstLineChars="200"/>
        <w:rPr>
          <w:rFonts w:cs="仿宋"/>
          <w:sz w:val="24"/>
          <w:szCs w:val="22"/>
        </w:rPr>
      </w:pPr>
      <w:r>
        <w:rPr>
          <w:rFonts w:hint="eastAsia" w:cs="仿宋"/>
          <w:sz w:val="24"/>
          <w:szCs w:val="22"/>
        </w:rPr>
        <w:t>2.1合格的投标人必须符合招标文件第一章《投标邀请》第二条及投标人须知前附表相关规定，且具备完成本项目的能力，中标后不允许转包。</w:t>
      </w:r>
    </w:p>
    <w:p w14:paraId="572AEA0A">
      <w:pPr>
        <w:spacing w:line="480" w:lineRule="exact"/>
        <w:ind w:firstLine="480" w:firstLineChars="200"/>
        <w:rPr>
          <w:rFonts w:cs="仿宋"/>
          <w:sz w:val="24"/>
          <w:szCs w:val="22"/>
        </w:rPr>
      </w:pPr>
      <w:r>
        <w:rPr>
          <w:rFonts w:hint="eastAsia" w:cs="仿宋"/>
          <w:sz w:val="24"/>
          <w:szCs w:val="22"/>
        </w:rPr>
        <w:t>2.2满足本文件实质性要求的规定。</w:t>
      </w:r>
    </w:p>
    <w:p w14:paraId="16E1FB88">
      <w:pPr>
        <w:spacing w:line="480" w:lineRule="exact"/>
        <w:ind w:firstLine="482" w:firstLineChars="200"/>
        <w:rPr>
          <w:rFonts w:cs="仿宋"/>
          <w:b/>
          <w:sz w:val="24"/>
          <w:szCs w:val="22"/>
        </w:rPr>
      </w:pPr>
      <w:r>
        <w:rPr>
          <w:rFonts w:hint="eastAsia" w:cs="仿宋"/>
          <w:b/>
          <w:sz w:val="24"/>
          <w:szCs w:val="22"/>
        </w:rPr>
        <w:t>3、适用法律和标准</w:t>
      </w:r>
    </w:p>
    <w:p w14:paraId="02B3342C">
      <w:pPr>
        <w:spacing w:line="480" w:lineRule="exact"/>
        <w:ind w:firstLine="480" w:firstLineChars="200"/>
        <w:rPr>
          <w:rFonts w:cs="仿宋"/>
          <w:sz w:val="24"/>
          <w:szCs w:val="22"/>
        </w:rPr>
      </w:pPr>
      <w:r>
        <w:rPr>
          <w:rFonts w:hint="eastAsia" w:cs="仿宋"/>
          <w:sz w:val="24"/>
          <w:szCs w:val="22"/>
        </w:rPr>
        <w:t>3.1本次招标及由招标产生的合同受中华人民共和国的相关法律、法规制约和保护。</w:t>
      </w:r>
    </w:p>
    <w:p w14:paraId="6A4CB3A2">
      <w:pPr>
        <w:spacing w:line="480" w:lineRule="exact"/>
        <w:ind w:firstLine="480" w:firstLineChars="200"/>
        <w:rPr>
          <w:rFonts w:cs="仿宋"/>
          <w:sz w:val="24"/>
          <w:szCs w:val="22"/>
        </w:rPr>
      </w:pPr>
      <w:r>
        <w:rPr>
          <w:rFonts w:hint="eastAsia" w:cs="仿宋"/>
          <w:sz w:val="24"/>
          <w:szCs w:val="22"/>
        </w:rPr>
        <w:t>3.2 在本项目政府采购活动过程中，如果所执行的标准有更新的，按照最新标准执行。</w:t>
      </w:r>
    </w:p>
    <w:p w14:paraId="2362931A">
      <w:pPr>
        <w:spacing w:line="480" w:lineRule="exact"/>
        <w:ind w:firstLine="482" w:firstLineChars="200"/>
        <w:rPr>
          <w:rFonts w:cs="仿宋"/>
          <w:b/>
          <w:sz w:val="24"/>
          <w:szCs w:val="22"/>
        </w:rPr>
      </w:pPr>
      <w:r>
        <w:rPr>
          <w:rFonts w:hint="eastAsia" w:cs="仿宋"/>
          <w:b/>
          <w:sz w:val="24"/>
          <w:szCs w:val="22"/>
        </w:rPr>
        <w:t>4、投标费用</w:t>
      </w:r>
    </w:p>
    <w:p w14:paraId="04CFF802">
      <w:pPr>
        <w:spacing w:line="560" w:lineRule="exact"/>
        <w:ind w:firstLine="480"/>
        <w:rPr>
          <w:sz w:val="24"/>
          <w:szCs w:val="24"/>
        </w:rPr>
      </w:pPr>
      <w:r>
        <w:rPr>
          <w:rFonts w:hint="eastAsia" w:cs="仿宋"/>
          <w:sz w:val="24"/>
          <w:szCs w:val="22"/>
        </w:rPr>
        <w:t>投标人应自行承担所有参加投标有关的费用。</w:t>
      </w:r>
    </w:p>
    <w:p w14:paraId="5D61D436">
      <w:pPr>
        <w:pStyle w:val="4"/>
        <w:spacing w:before="0" w:after="0" w:line="560" w:lineRule="exact"/>
        <w:ind w:firstLine="321"/>
        <w:jc w:val="left"/>
        <w:rPr>
          <w:rFonts w:ascii="宋体" w:hAnsi="宋体" w:eastAsia="宋体" w:cs="宋体"/>
          <w:sz w:val="32"/>
          <w:szCs w:val="32"/>
        </w:rPr>
      </w:pPr>
      <w:bookmarkStart w:id="75" w:name="_Toc20823281"/>
      <w:bookmarkStart w:id="76" w:name="_Toc16352"/>
      <w:bookmarkStart w:id="77" w:name="_Toc513029209"/>
      <w:bookmarkStart w:id="78" w:name="_Toc120614215"/>
      <w:bookmarkStart w:id="79" w:name="_Toc16938525"/>
      <w:r>
        <w:rPr>
          <w:rFonts w:hint="eastAsia" w:ascii="宋体" w:hAnsi="宋体" w:eastAsia="宋体" w:cs="宋体"/>
          <w:sz w:val="32"/>
          <w:szCs w:val="32"/>
        </w:rPr>
        <w:t>二、招标文件</w:t>
      </w:r>
      <w:bookmarkEnd w:id="75"/>
      <w:bookmarkEnd w:id="76"/>
      <w:bookmarkEnd w:id="77"/>
      <w:bookmarkEnd w:id="78"/>
      <w:bookmarkEnd w:id="79"/>
    </w:p>
    <w:p w14:paraId="5DA1C8A2">
      <w:pPr>
        <w:spacing w:line="480" w:lineRule="exact"/>
        <w:ind w:firstLine="482" w:firstLineChars="200"/>
        <w:rPr>
          <w:rFonts w:cs="仿宋"/>
          <w:b/>
          <w:sz w:val="24"/>
          <w:szCs w:val="22"/>
        </w:rPr>
      </w:pPr>
      <w:r>
        <w:rPr>
          <w:rFonts w:hint="eastAsia" w:cs="仿宋"/>
          <w:b/>
          <w:sz w:val="24"/>
          <w:szCs w:val="22"/>
        </w:rPr>
        <w:t>5、招标文件构成</w:t>
      </w:r>
    </w:p>
    <w:p w14:paraId="414CAE0A">
      <w:pPr>
        <w:spacing w:line="480" w:lineRule="exact"/>
        <w:ind w:firstLine="480" w:firstLineChars="200"/>
        <w:rPr>
          <w:rFonts w:cs="仿宋"/>
          <w:sz w:val="24"/>
          <w:szCs w:val="22"/>
        </w:rPr>
      </w:pPr>
      <w:r>
        <w:rPr>
          <w:rFonts w:hint="eastAsia" w:cs="仿宋"/>
          <w:sz w:val="24"/>
          <w:szCs w:val="22"/>
        </w:rPr>
        <w:t>5.1招标文件由以下部分组成：</w:t>
      </w:r>
    </w:p>
    <w:p w14:paraId="29CA7265">
      <w:pPr>
        <w:spacing w:line="480" w:lineRule="exact"/>
        <w:ind w:firstLine="480" w:firstLineChars="200"/>
        <w:rPr>
          <w:rFonts w:cs="仿宋"/>
          <w:sz w:val="24"/>
          <w:szCs w:val="22"/>
        </w:rPr>
      </w:pPr>
      <w:r>
        <w:rPr>
          <w:rFonts w:hint="eastAsia" w:cs="仿宋"/>
          <w:sz w:val="24"/>
          <w:szCs w:val="22"/>
        </w:rPr>
        <w:t>第一章：投标邀请；</w:t>
      </w:r>
    </w:p>
    <w:p w14:paraId="00AA954B">
      <w:pPr>
        <w:spacing w:line="480" w:lineRule="exact"/>
        <w:ind w:firstLine="480" w:firstLineChars="200"/>
        <w:rPr>
          <w:rFonts w:cs="仿宋"/>
          <w:sz w:val="24"/>
          <w:szCs w:val="22"/>
        </w:rPr>
      </w:pPr>
      <w:r>
        <w:rPr>
          <w:rFonts w:hint="eastAsia" w:cs="仿宋"/>
          <w:sz w:val="24"/>
          <w:szCs w:val="22"/>
        </w:rPr>
        <w:t>第二章：投标人须知；</w:t>
      </w:r>
    </w:p>
    <w:p w14:paraId="49858EBD">
      <w:pPr>
        <w:spacing w:line="480" w:lineRule="exact"/>
        <w:ind w:firstLine="480" w:firstLineChars="200"/>
        <w:rPr>
          <w:rFonts w:cs="仿宋"/>
          <w:sz w:val="24"/>
          <w:szCs w:val="22"/>
        </w:rPr>
      </w:pPr>
      <w:r>
        <w:rPr>
          <w:rFonts w:hint="eastAsia" w:cs="仿宋"/>
          <w:sz w:val="24"/>
          <w:szCs w:val="22"/>
        </w:rPr>
        <w:t>第三章：资格审查及评标办法；</w:t>
      </w:r>
    </w:p>
    <w:p w14:paraId="60050A75">
      <w:pPr>
        <w:spacing w:line="480" w:lineRule="exact"/>
        <w:ind w:firstLine="480" w:firstLineChars="200"/>
        <w:rPr>
          <w:rFonts w:cs="仿宋"/>
          <w:sz w:val="24"/>
          <w:szCs w:val="22"/>
        </w:rPr>
      </w:pPr>
      <w:r>
        <w:rPr>
          <w:rFonts w:hint="eastAsia" w:cs="仿宋"/>
          <w:sz w:val="24"/>
          <w:szCs w:val="22"/>
        </w:rPr>
        <w:t>第四章：采购需求；</w:t>
      </w:r>
    </w:p>
    <w:p w14:paraId="52188812">
      <w:pPr>
        <w:spacing w:line="480" w:lineRule="exact"/>
        <w:ind w:firstLine="480" w:firstLineChars="200"/>
        <w:rPr>
          <w:rFonts w:cs="仿宋"/>
          <w:sz w:val="24"/>
          <w:szCs w:val="22"/>
        </w:rPr>
      </w:pPr>
      <w:r>
        <w:rPr>
          <w:rFonts w:hint="eastAsia" w:cs="仿宋"/>
          <w:sz w:val="24"/>
          <w:szCs w:val="22"/>
        </w:rPr>
        <w:t>第五章：合同文本；</w:t>
      </w:r>
    </w:p>
    <w:p w14:paraId="3B4C073B">
      <w:pPr>
        <w:spacing w:line="480" w:lineRule="exact"/>
        <w:ind w:firstLine="480" w:firstLineChars="200"/>
        <w:rPr>
          <w:rFonts w:cs="仿宋"/>
          <w:sz w:val="24"/>
          <w:szCs w:val="22"/>
        </w:rPr>
      </w:pPr>
      <w:r>
        <w:rPr>
          <w:rFonts w:hint="eastAsia" w:cs="仿宋"/>
          <w:sz w:val="24"/>
          <w:szCs w:val="22"/>
        </w:rPr>
        <w:t>第六章：投标文件格式。</w:t>
      </w:r>
    </w:p>
    <w:p w14:paraId="6B3F6513">
      <w:pPr>
        <w:spacing w:line="480" w:lineRule="exact"/>
        <w:ind w:firstLine="480" w:firstLineChars="200"/>
        <w:rPr>
          <w:rFonts w:cs="仿宋"/>
          <w:sz w:val="24"/>
          <w:szCs w:val="22"/>
        </w:rPr>
      </w:pPr>
      <w:r>
        <w:rPr>
          <w:rFonts w:hint="eastAsia" w:cs="仿宋"/>
          <w:sz w:val="24"/>
          <w:szCs w:val="22"/>
        </w:rPr>
        <w:t>请仔细检查招标文件是否齐全，如有缺漏请立即与代理机构联系解决。</w:t>
      </w:r>
    </w:p>
    <w:p w14:paraId="0D5745F8">
      <w:pPr>
        <w:spacing w:line="480" w:lineRule="exact"/>
        <w:ind w:firstLine="480" w:firstLineChars="200"/>
        <w:rPr>
          <w:rFonts w:cs="仿宋"/>
          <w:sz w:val="24"/>
          <w:szCs w:val="22"/>
        </w:rPr>
      </w:pPr>
      <w:r>
        <w:rPr>
          <w:rFonts w:hint="eastAsia" w:cs="仿宋"/>
          <w:sz w:val="24"/>
          <w:szCs w:val="22"/>
        </w:rPr>
        <w:t>5.2投标人应认真阅读招标文件中所有的事项、格式、条款和规范等要求，按招标文件要求和规定编制投标文件。</w:t>
      </w:r>
    </w:p>
    <w:p w14:paraId="13D7B262">
      <w:pPr>
        <w:spacing w:line="480" w:lineRule="exact"/>
        <w:ind w:firstLine="482" w:firstLineChars="200"/>
        <w:rPr>
          <w:rFonts w:cs="仿宋"/>
          <w:b/>
          <w:sz w:val="24"/>
          <w:szCs w:val="22"/>
        </w:rPr>
      </w:pPr>
      <w:r>
        <w:rPr>
          <w:rFonts w:hint="eastAsia" w:cs="仿宋"/>
          <w:b/>
          <w:sz w:val="24"/>
          <w:szCs w:val="22"/>
        </w:rPr>
        <w:t>6、政府采购政策功能落实</w:t>
      </w:r>
    </w:p>
    <w:p w14:paraId="2BE9797C">
      <w:pPr>
        <w:spacing w:line="480" w:lineRule="exact"/>
        <w:ind w:firstLine="482" w:firstLineChars="200"/>
        <w:rPr>
          <w:rFonts w:cs="仿宋"/>
          <w:b/>
          <w:bCs/>
          <w:sz w:val="24"/>
          <w:szCs w:val="22"/>
          <w:highlight w:val="none"/>
          <w:u w:val="single"/>
        </w:rPr>
      </w:pPr>
      <w:r>
        <w:rPr>
          <w:rFonts w:hint="eastAsia" w:cs="仿宋"/>
          <w:b/>
          <w:bCs/>
          <w:sz w:val="24"/>
          <w:szCs w:val="22"/>
        </w:rPr>
        <w:t>本项目落实的政府采购政策对应序号为</w:t>
      </w:r>
      <w:r>
        <w:rPr>
          <w:rFonts w:hint="eastAsia" w:cs="仿宋"/>
          <w:b/>
          <w:bCs/>
          <w:sz w:val="24"/>
          <w:szCs w:val="22"/>
          <w:highlight w:val="none"/>
          <w:u w:val="single"/>
        </w:rPr>
        <w:t>6.1、6.2、6.4.1</w:t>
      </w:r>
    </w:p>
    <w:p w14:paraId="753C74A6">
      <w:pPr>
        <w:spacing w:line="480" w:lineRule="exact"/>
        <w:ind w:firstLine="480" w:firstLineChars="200"/>
        <w:rPr>
          <w:rFonts w:cs="仿宋"/>
          <w:sz w:val="24"/>
          <w:szCs w:val="22"/>
          <w:highlight w:val="none"/>
        </w:rPr>
      </w:pPr>
      <w:r>
        <w:rPr>
          <w:rFonts w:hint="eastAsia" w:cs="仿宋"/>
          <w:sz w:val="24"/>
          <w:szCs w:val="22"/>
          <w:highlight w:val="none"/>
        </w:rPr>
        <w:t>6.1中小企业政策</w:t>
      </w:r>
    </w:p>
    <w:p w14:paraId="2607D7C6">
      <w:pPr>
        <w:spacing w:line="480" w:lineRule="exact"/>
        <w:ind w:firstLine="480" w:firstLineChars="200"/>
        <w:rPr>
          <w:rFonts w:cs="仿宋"/>
          <w:sz w:val="24"/>
          <w:szCs w:val="22"/>
        </w:rPr>
      </w:pPr>
      <w:r>
        <w:rPr>
          <w:rFonts w:hint="eastAsia" w:cs="仿宋"/>
          <w:sz w:val="24"/>
          <w:szCs w:val="22"/>
        </w:rPr>
        <w:t>本项目按第</w:t>
      </w:r>
      <w:r>
        <w:rPr>
          <w:rFonts w:hint="eastAsia" w:cs="仿宋"/>
          <w:sz w:val="24"/>
          <w:szCs w:val="22"/>
          <w:u w:val="single"/>
        </w:rPr>
        <w:t>（2）</w:t>
      </w:r>
      <w:r>
        <w:rPr>
          <w:rFonts w:hint="eastAsia" w:cs="仿宋"/>
          <w:sz w:val="24"/>
          <w:szCs w:val="22"/>
        </w:rPr>
        <w:t>种政策落实：</w:t>
      </w:r>
    </w:p>
    <w:p w14:paraId="3C9AA5F3">
      <w:pPr>
        <w:spacing w:line="480" w:lineRule="exact"/>
        <w:ind w:firstLine="480" w:firstLineChars="200"/>
        <w:rPr>
          <w:rFonts w:cs="仿宋"/>
          <w:sz w:val="24"/>
          <w:szCs w:val="22"/>
          <w:highlight w:val="none"/>
        </w:rPr>
      </w:pPr>
      <w:r>
        <w:rPr>
          <w:rFonts w:hint="eastAsia" w:cs="仿宋"/>
          <w:sz w:val="24"/>
          <w:szCs w:val="22"/>
        </w:rPr>
        <w:t>（1）本项目专门面向中小企业（含监</w:t>
      </w:r>
      <w:r>
        <w:rPr>
          <w:rFonts w:hint="eastAsia" w:cs="仿宋"/>
          <w:sz w:val="24"/>
          <w:szCs w:val="22"/>
          <w:highlight w:val="none"/>
        </w:rPr>
        <w:t>狱与戒毒企业、残疾人福利企业）采购。</w:t>
      </w:r>
    </w:p>
    <w:p w14:paraId="4BD4BB18">
      <w:pPr>
        <w:spacing w:line="480" w:lineRule="exact"/>
        <w:ind w:firstLine="480" w:firstLineChars="200"/>
        <w:rPr>
          <w:rFonts w:cs="仿宋"/>
          <w:sz w:val="24"/>
          <w:szCs w:val="22"/>
        </w:rPr>
      </w:pPr>
      <w:r>
        <w:rPr>
          <w:rFonts w:hint="eastAsia" w:cs="仿宋"/>
          <w:sz w:val="24"/>
          <w:szCs w:val="22"/>
          <w:highlight w:val="none"/>
        </w:rPr>
        <w:t>（2）对符合规定情形的小微企业报价给予</w:t>
      </w:r>
      <w:r>
        <w:rPr>
          <w:rFonts w:hint="eastAsia" w:cs="仿宋"/>
          <w:sz w:val="24"/>
          <w:szCs w:val="22"/>
          <w:highlight w:val="none"/>
          <w:u w:val="single"/>
        </w:rPr>
        <w:t>10%</w:t>
      </w:r>
      <w:r>
        <w:rPr>
          <w:rFonts w:hint="eastAsia" w:cs="仿宋"/>
          <w:sz w:val="24"/>
          <w:szCs w:val="22"/>
          <w:highlight w:val="none"/>
        </w:rPr>
        <w:t>扣除，用扣除后</w:t>
      </w:r>
      <w:r>
        <w:rPr>
          <w:rFonts w:hint="eastAsia" w:cs="仿宋"/>
          <w:sz w:val="24"/>
          <w:szCs w:val="22"/>
        </w:rPr>
        <w:t>的价格参加评审。</w:t>
      </w:r>
    </w:p>
    <w:p w14:paraId="2FB710D4">
      <w:pPr>
        <w:spacing w:line="480" w:lineRule="exact"/>
        <w:ind w:firstLine="480" w:firstLineChars="200"/>
        <w:rPr>
          <w:rFonts w:cs="仿宋"/>
          <w:sz w:val="24"/>
          <w:szCs w:val="22"/>
        </w:rPr>
      </w:pPr>
      <w:r>
        <w:rPr>
          <w:rFonts w:hint="eastAsia" w:cs="仿宋"/>
          <w:sz w:val="24"/>
          <w:szCs w:val="22"/>
        </w:rPr>
        <w:t>在货物采购项目中，货物由中小企业制造，即货物由中小企业生产且使用该中小企业商号或者注册商标。</w:t>
      </w:r>
    </w:p>
    <w:p w14:paraId="3CB3C45C">
      <w:pPr>
        <w:spacing w:line="480" w:lineRule="exact"/>
        <w:ind w:firstLine="480" w:firstLineChars="200"/>
        <w:rPr>
          <w:rFonts w:cs="仿宋"/>
          <w:sz w:val="24"/>
          <w:szCs w:val="22"/>
        </w:rPr>
      </w:pPr>
      <w:r>
        <w:rPr>
          <w:rFonts w:hint="eastAsia" w:cs="仿宋"/>
          <w:sz w:val="24"/>
          <w:szCs w:val="22"/>
        </w:rPr>
        <w:t>注：①参加投标的中小企业，应当按照《政府采购促进中小企业发展管理办法》（财库〔2020〕46号）规定，出具《中小企业声明函》，中小企业划型依据《关于印发中小企业划型标准规定的通知》（工信部联企业〔2011〕300号）。</w:t>
      </w:r>
    </w:p>
    <w:p w14:paraId="1982306D">
      <w:pPr>
        <w:spacing w:line="480" w:lineRule="exact"/>
        <w:ind w:firstLine="480" w:firstLineChars="200"/>
        <w:rPr>
          <w:rFonts w:cs="仿宋"/>
          <w:sz w:val="24"/>
          <w:szCs w:val="22"/>
        </w:rPr>
      </w:pPr>
      <w:r>
        <w:rPr>
          <w:rFonts w:hint="eastAsia" w:cs="仿宋"/>
          <w:sz w:val="24"/>
          <w:szCs w:val="22"/>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1D6DDE52">
      <w:pPr>
        <w:spacing w:line="480" w:lineRule="exact"/>
        <w:ind w:firstLine="480" w:firstLineChars="200"/>
        <w:rPr>
          <w:rFonts w:cs="仿宋"/>
          <w:sz w:val="24"/>
          <w:szCs w:val="22"/>
        </w:rPr>
      </w:pPr>
      <w:r>
        <w:rPr>
          <w:rFonts w:hint="eastAsia" w:cs="仿宋"/>
          <w:sz w:val="24"/>
          <w:szCs w:val="22"/>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09BE35AF">
      <w:pPr>
        <w:spacing w:line="480" w:lineRule="exact"/>
        <w:ind w:firstLine="480" w:firstLineChars="200"/>
        <w:rPr>
          <w:rFonts w:cs="仿宋"/>
          <w:sz w:val="24"/>
          <w:szCs w:val="22"/>
        </w:rPr>
      </w:pPr>
      <w:r>
        <w:rPr>
          <w:rFonts w:hint="eastAsia" w:cs="仿宋"/>
          <w:sz w:val="24"/>
          <w:szCs w:val="22"/>
        </w:rPr>
        <w:t>6.2采购本国产品的支持政策</w:t>
      </w:r>
    </w:p>
    <w:p w14:paraId="48DC6634">
      <w:pPr>
        <w:spacing w:line="480" w:lineRule="exact"/>
        <w:ind w:firstLine="480" w:firstLineChars="200"/>
        <w:rPr>
          <w:rFonts w:cs="仿宋"/>
          <w:color w:val="FF0000"/>
          <w:sz w:val="24"/>
          <w:szCs w:val="22"/>
        </w:rPr>
      </w:pPr>
      <w:r>
        <w:rPr>
          <w:rFonts w:hint="eastAsia" w:cs="仿宋"/>
          <w:sz w:val="24"/>
          <w:szCs w:val="22"/>
        </w:rPr>
        <w:t>6.2.1</w:t>
      </w:r>
      <w:r>
        <w:rPr>
          <w:rFonts w:hint="eastAsia" w:ascii="宋体" w:hAnsi="宋体"/>
          <w:bCs/>
          <w:sz w:val="24"/>
          <w:szCs w:val="24"/>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AB76A6A">
      <w:pPr>
        <w:spacing w:line="480" w:lineRule="exact"/>
        <w:ind w:firstLine="480" w:firstLineChars="200"/>
        <w:rPr>
          <w:rFonts w:cs="仿宋"/>
          <w:color w:val="FF0000"/>
          <w:sz w:val="24"/>
          <w:szCs w:val="22"/>
        </w:rPr>
      </w:pPr>
      <w:r>
        <w:rPr>
          <w:rFonts w:hint="eastAsia" w:ascii="宋体" w:hAnsi="宋体"/>
          <w:bCs/>
          <w:sz w:val="24"/>
          <w:szCs w:val="24"/>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B947ADA">
      <w:pPr>
        <w:spacing w:line="480" w:lineRule="exact"/>
        <w:ind w:firstLine="480" w:firstLineChars="200"/>
        <w:rPr>
          <w:rFonts w:cs="仿宋"/>
          <w:color w:val="FF0000"/>
          <w:sz w:val="24"/>
          <w:szCs w:val="22"/>
        </w:rPr>
      </w:pPr>
      <w:r>
        <w:rPr>
          <w:rFonts w:hint="eastAsia" w:cs="仿宋"/>
          <w:sz w:val="24"/>
          <w:szCs w:val="22"/>
        </w:rPr>
        <w:t>6.2.2本项目政府采购活动中既有本国产品又有非本国产品参与竞争的，</w:t>
      </w:r>
      <w:bookmarkStart w:id="80" w:name="OLE_LINK7"/>
      <w:r>
        <w:rPr>
          <w:rFonts w:hint="eastAsia" w:cs="仿宋"/>
          <w:sz w:val="24"/>
          <w:szCs w:val="22"/>
        </w:rPr>
        <w:t>依法对本国产品给予价格评审优惠，对本国产品的报价给予</w:t>
      </w:r>
      <w:r>
        <w:rPr>
          <w:rFonts w:hint="eastAsia" w:cs="仿宋"/>
          <w:b/>
          <w:bCs/>
          <w:sz w:val="24"/>
          <w:szCs w:val="22"/>
          <w:u w:val="single"/>
        </w:rPr>
        <w:t>20%</w:t>
      </w:r>
      <w:r>
        <w:rPr>
          <w:rFonts w:hint="eastAsia" w:cs="仿宋"/>
          <w:sz w:val="24"/>
          <w:szCs w:val="22"/>
        </w:rPr>
        <w:t>的价格扣除，用扣除后的价格参与评审。</w:t>
      </w:r>
    </w:p>
    <w:bookmarkEnd w:id="80"/>
    <w:p w14:paraId="4A21CCC4">
      <w:pPr>
        <w:spacing w:line="480" w:lineRule="exact"/>
        <w:ind w:firstLine="480" w:firstLineChars="200"/>
        <w:rPr>
          <w:rFonts w:cs="仿宋"/>
          <w:sz w:val="24"/>
          <w:szCs w:val="22"/>
        </w:rPr>
      </w:pPr>
      <w:r>
        <w:rPr>
          <w:rFonts w:hint="eastAsia" w:cs="仿宋"/>
          <w:sz w:val="24"/>
          <w:szCs w:val="22"/>
        </w:rPr>
        <w:t>6.2.3当采购项目或者采购包中含有多种产品，投标人为该采购项目或者采购包提供的符合本国产品标准的产品成本之和占该投标人提供的全部产品成本之和的比例达到</w:t>
      </w:r>
      <w:r>
        <w:rPr>
          <w:rFonts w:hint="eastAsia" w:cs="仿宋"/>
          <w:b/>
          <w:bCs/>
          <w:sz w:val="24"/>
          <w:szCs w:val="22"/>
        </w:rPr>
        <w:t>80%以上</w:t>
      </w:r>
      <w:r>
        <w:rPr>
          <w:rFonts w:hint="eastAsia" w:cs="仿宋"/>
          <w:sz w:val="24"/>
          <w:szCs w:val="22"/>
        </w:rPr>
        <w:t>时（投标人需在“第六章 投标文件格式”的“分项报价表”中填写比例数值），依法对该投标人提供的全部产品给予价格评审优惠，即对该投标人提供的全部产品的总报价给予20%的价格扣除，用扣除后的价格参与评审。投标人未填写比例数值，或比例数值未达到80%的，将不享受本国产品价格评审优惠。</w:t>
      </w:r>
    </w:p>
    <w:p w14:paraId="0A46C73A">
      <w:pPr>
        <w:spacing w:line="480" w:lineRule="exact"/>
        <w:ind w:firstLine="480" w:firstLineChars="200"/>
        <w:rPr>
          <w:rFonts w:cs="仿宋"/>
          <w:sz w:val="24"/>
          <w:szCs w:val="22"/>
        </w:rPr>
      </w:pPr>
      <w:r>
        <w:rPr>
          <w:rFonts w:hint="eastAsia" w:cs="仿宋"/>
          <w:sz w:val="24"/>
          <w:szCs w:val="22"/>
        </w:rPr>
        <w:t>6.2.4投标人需按照招标文件的要求提供《关于符合本国产品标准的声明函》，如不提供将不享受本国产品价格评审优惠。</w:t>
      </w:r>
    </w:p>
    <w:p w14:paraId="24C5F706">
      <w:pPr>
        <w:spacing w:line="480" w:lineRule="exact"/>
        <w:ind w:firstLine="480" w:firstLineChars="200"/>
        <w:rPr>
          <w:rFonts w:cs="仿宋"/>
          <w:sz w:val="24"/>
          <w:szCs w:val="22"/>
        </w:rPr>
      </w:pPr>
      <w:r>
        <w:rPr>
          <w:rFonts w:hint="eastAsia" w:cs="仿宋"/>
          <w:sz w:val="24"/>
          <w:szCs w:val="22"/>
        </w:rPr>
        <w:t>6.2.5投标人需在《关于符合本国产品标准的声明函》中逐一、准确填写产品名称、厂名、生产厂址三项信息（用斜线划除的地方无需填写），三项信息中任意一项未填写的视为该项产品不符合本国产品标准，不享受本国产品价格评审优惠。</w:t>
      </w:r>
    </w:p>
    <w:p w14:paraId="68F64692">
      <w:pPr>
        <w:spacing w:line="480" w:lineRule="exact"/>
        <w:ind w:firstLine="480" w:firstLineChars="200"/>
        <w:rPr>
          <w:rFonts w:cs="仿宋"/>
          <w:sz w:val="24"/>
          <w:szCs w:val="22"/>
        </w:rPr>
      </w:pPr>
      <w:r>
        <w:rPr>
          <w:rFonts w:hint="eastAsia" w:cs="仿宋"/>
          <w:sz w:val="24"/>
          <w:szCs w:val="22"/>
        </w:rPr>
        <w:t>6.2.6评标过程中，如发现投标人在《关于符合本国产品标准的声明函》内容含义不明确、同类事项与投标文件表述不一致或者有明显文字错误等情况的，评标委员会应当以书面形式要求投标人作出必要的澄清、说明或者补正。经澄清、说明或者补正的仍然不符合《国务院办公厅关于在政府采购中实施本国产品标准及相关政策的通知》（国办发〔2025〕34号）和招标文件规定的，投标人提供的相关产品视为不符合本国产品标准。</w:t>
      </w:r>
    </w:p>
    <w:p w14:paraId="0F22DB9C">
      <w:pPr>
        <w:spacing w:line="480" w:lineRule="exact"/>
        <w:ind w:firstLine="480" w:firstLineChars="200"/>
        <w:rPr>
          <w:rFonts w:cs="仿宋"/>
          <w:sz w:val="24"/>
          <w:szCs w:val="22"/>
          <w:highlight w:val="none"/>
        </w:rPr>
      </w:pPr>
      <w:r>
        <w:rPr>
          <w:rFonts w:hint="eastAsia" w:cs="仿宋"/>
          <w:sz w:val="24"/>
          <w:szCs w:val="22"/>
          <w:highlight w:val="none"/>
        </w:rPr>
        <w:t>6.3节能产品、环境标志产品</w:t>
      </w:r>
    </w:p>
    <w:p w14:paraId="7C0F8F52">
      <w:pPr>
        <w:spacing w:line="480" w:lineRule="exact"/>
        <w:ind w:firstLine="480" w:firstLineChars="200"/>
        <w:rPr>
          <w:rFonts w:cs="仿宋"/>
          <w:sz w:val="24"/>
          <w:szCs w:val="22"/>
          <w:highlight w:val="none"/>
        </w:rPr>
      </w:pPr>
      <w:r>
        <w:rPr>
          <w:rFonts w:hint="eastAsia" w:cs="仿宋"/>
          <w:sz w:val="24"/>
          <w:szCs w:val="22"/>
          <w:highlight w:val="none"/>
        </w:rPr>
        <w:t>拟采购的产品属于品目清单范围的，采购人将依据国家确定的认证机构出具的、处于有效期之内的节能产品、环境标志产品认证证书，对获得证书的产品实施政府优先采购或强制采购。</w:t>
      </w:r>
    </w:p>
    <w:p w14:paraId="0892D6BC">
      <w:pPr>
        <w:spacing w:line="480" w:lineRule="exact"/>
        <w:ind w:firstLine="480" w:firstLineChars="200"/>
        <w:rPr>
          <w:rFonts w:cs="仿宋"/>
          <w:sz w:val="24"/>
          <w:szCs w:val="22"/>
          <w:highlight w:val="none"/>
        </w:rPr>
      </w:pPr>
      <w:r>
        <w:rPr>
          <w:rFonts w:hint="eastAsia" w:cs="仿宋"/>
          <w:sz w:val="24"/>
          <w:szCs w:val="22"/>
          <w:highlight w:val="none"/>
        </w:rPr>
        <w:t>6.3.1拟采购的产品属于政府强制采购的节能产品品目清单范围的，投标人须提供国家确定的认证机构出具的、处于有效期之内的节能产品认证证书，否则其投标文件作无效标处理。</w:t>
      </w:r>
    </w:p>
    <w:p w14:paraId="46C277CF">
      <w:pPr>
        <w:spacing w:line="480" w:lineRule="exact"/>
        <w:ind w:firstLine="480" w:firstLineChars="200"/>
        <w:rPr>
          <w:rFonts w:cs="仿宋"/>
          <w:sz w:val="24"/>
          <w:szCs w:val="22"/>
          <w:highlight w:val="none"/>
        </w:rPr>
      </w:pPr>
      <w:r>
        <w:rPr>
          <w:rFonts w:hint="eastAsia" w:cs="仿宋"/>
          <w:sz w:val="24"/>
          <w:szCs w:val="22"/>
          <w:highlight w:val="none"/>
        </w:rPr>
        <w:t>6.3.2采购人拟采购的产品属于优先采购的节能产品、环境标志产品清单范围的，按以下条件优先采购：</w:t>
      </w:r>
    </w:p>
    <w:p w14:paraId="044574B0">
      <w:pPr>
        <w:spacing w:line="480" w:lineRule="exact"/>
        <w:ind w:firstLine="480"/>
        <w:rPr>
          <w:rFonts w:cs="仿宋"/>
          <w:sz w:val="24"/>
          <w:szCs w:val="22"/>
          <w:highlight w:val="none"/>
        </w:rPr>
      </w:pPr>
      <w:r>
        <w:rPr>
          <w:rFonts w:hint="eastAsia" w:cs="仿宋"/>
          <w:sz w:val="24"/>
          <w:szCs w:val="22"/>
          <w:highlight w:val="none"/>
        </w:rPr>
        <w:t>采用综合评分法的项目，对提供有效节能产品、环境标志证书产品的投标人加分。</w:t>
      </w:r>
    </w:p>
    <w:p w14:paraId="0B599607">
      <w:pPr>
        <w:spacing w:line="480" w:lineRule="exact"/>
        <w:ind w:firstLine="480" w:firstLineChars="200"/>
        <w:rPr>
          <w:rFonts w:cs="仿宋"/>
          <w:sz w:val="24"/>
          <w:szCs w:val="22"/>
          <w:highlight w:val="none"/>
        </w:rPr>
      </w:pPr>
      <w:r>
        <w:rPr>
          <w:rFonts w:hint="eastAsia" w:cs="仿宋"/>
          <w:sz w:val="24"/>
          <w:szCs w:val="22"/>
          <w:highlight w:val="none"/>
        </w:rPr>
        <w:t>6.4政府采购需求标准</w:t>
      </w:r>
    </w:p>
    <w:p w14:paraId="1D97DCB3">
      <w:pPr>
        <w:spacing w:line="480" w:lineRule="exact"/>
        <w:ind w:firstLine="480" w:firstLineChars="200"/>
        <w:rPr>
          <w:rFonts w:cs="仿宋"/>
          <w:sz w:val="24"/>
          <w:szCs w:val="22"/>
          <w:highlight w:val="none"/>
        </w:rPr>
      </w:pPr>
      <w:r>
        <w:rPr>
          <w:rFonts w:hint="eastAsia" w:cs="仿宋"/>
          <w:sz w:val="24"/>
          <w:szCs w:val="22"/>
          <w:highlight w:val="none"/>
        </w:rPr>
        <w:t>6.4.1商品包装、快递包装政府采购需求标准（试行）</w:t>
      </w:r>
    </w:p>
    <w:p w14:paraId="47A24CE5">
      <w:pPr>
        <w:spacing w:line="480" w:lineRule="exact"/>
        <w:ind w:firstLine="480" w:firstLineChars="200"/>
        <w:rPr>
          <w:rFonts w:cs="仿宋"/>
          <w:sz w:val="24"/>
          <w:szCs w:val="22"/>
          <w:highlight w:val="none"/>
        </w:rPr>
      </w:pPr>
      <w:r>
        <w:rPr>
          <w:rFonts w:hint="eastAsia" w:cs="仿宋"/>
          <w:sz w:val="24"/>
          <w:szCs w:val="22"/>
          <w:highlight w:val="none"/>
        </w:rPr>
        <w:t>按照财政部印发的《商品包装政府采购需求标准（试行）》《快递包装政府采购需求标准（试行）》要求执行，本项目商品包装和快递包装的具体需求详见第四章采购需求。</w:t>
      </w:r>
    </w:p>
    <w:p w14:paraId="5BD71D22">
      <w:pPr>
        <w:spacing w:line="480" w:lineRule="exact"/>
        <w:ind w:firstLine="480" w:firstLineChars="200"/>
        <w:rPr>
          <w:rFonts w:cs="仿宋"/>
          <w:sz w:val="24"/>
          <w:szCs w:val="22"/>
          <w:highlight w:val="none"/>
        </w:rPr>
      </w:pPr>
      <w:r>
        <w:rPr>
          <w:rFonts w:hint="eastAsia" w:cs="仿宋"/>
          <w:sz w:val="24"/>
          <w:szCs w:val="22"/>
          <w:highlight w:val="none"/>
        </w:rPr>
        <w:t>6.4.2绿色数据中心政府采购需求标准（试行）</w:t>
      </w:r>
    </w:p>
    <w:p w14:paraId="4953990E">
      <w:pPr>
        <w:spacing w:line="480" w:lineRule="exact"/>
        <w:ind w:firstLine="480" w:firstLineChars="200"/>
        <w:rPr>
          <w:rFonts w:cs="仿宋"/>
          <w:sz w:val="24"/>
          <w:szCs w:val="22"/>
          <w:highlight w:val="none"/>
        </w:rPr>
      </w:pPr>
      <w:r>
        <w:rPr>
          <w:rFonts w:hint="eastAsia" w:cs="仿宋"/>
          <w:sz w:val="24"/>
          <w:szCs w:val="22"/>
          <w:highlight w:val="none"/>
        </w:rPr>
        <w:t>按照财政部 生态环境部 工业和信息化部关于印发《绿色数据中心政府采购需求标准（试行）》的通知）要求执行，本项目绿色数据中心的具体需求详见第四章采购需求。</w:t>
      </w:r>
    </w:p>
    <w:p w14:paraId="4377332D">
      <w:pPr>
        <w:spacing w:line="480" w:lineRule="exact"/>
        <w:ind w:firstLine="480" w:firstLineChars="200"/>
        <w:rPr>
          <w:rFonts w:cs="仿宋"/>
          <w:sz w:val="24"/>
          <w:szCs w:val="22"/>
          <w:highlight w:val="none"/>
        </w:rPr>
      </w:pPr>
      <w:r>
        <w:rPr>
          <w:rFonts w:hint="eastAsia" w:cs="仿宋"/>
          <w:sz w:val="24"/>
          <w:szCs w:val="22"/>
          <w:highlight w:val="none"/>
        </w:rPr>
        <w:t>6.4.3绿色建材政府采购需求标准</w:t>
      </w:r>
    </w:p>
    <w:p w14:paraId="27E60BDD">
      <w:pPr>
        <w:spacing w:line="480" w:lineRule="exact"/>
        <w:ind w:firstLine="480" w:firstLineChars="200"/>
        <w:rPr>
          <w:rFonts w:cs="仿宋"/>
          <w:sz w:val="24"/>
          <w:szCs w:val="22"/>
          <w:highlight w:val="none"/>
        </w:rPr>
      </w:pPr>
      <w:r>
        <w:rPr>
          <w:rFonts w:hint="eastAsia" w:cs="仿宋"/>
          <w:sz w:val="24"/>
          <w:szCs w:val="22"/>
          <w:highlight w:val="none"/>
        </w:rPr>
        <w:t>按照财政部 住房和城乡建设部 工业和信息化部关于印发《关于扩大政府采购支持绿色建材促进建筑品质提升政策实施范围的通知》要求执行，本项目绿色建材的具体需求详见第四章采购需求。</w:t>
      </w:r>
    </w:p>
    <w:p w14:paraId="57C6A74C">
      <w:pPr>
        <w:spacing w:line="480" w:lineRule="exact"/>
        <w:ind w:firstLine="480" w:firstLineChars="200"/>
        <w:rPr>
          <w:rFonts w:cs="仿宋"/>
          <w:sz w:val="24"/>
          <w:szCs w:val="22"/>
          <w:highlight w:val="none"/>
        </w:rPr>
      </w:pPr>
      <w:r>
        <w:rPr>
          <w:rFonts w:hint="eastAsia" w:cs="仿宋"/>
          <w:sz w:val="24"/>
          <w:szCs w:val="22"/>
          <w:highlight w:val="none"/>
        </w:rPr>
        <w:t>6.5采购产品中涉及涂料、胶黏剂、油墨、清洗剂等挥发性有机物产品的，属于强制性标准的，投标人应当提供符合国家和江苏省相关VOCs含量限制标准的产品。采购产品中涉及通用类货物、家具的，投标人应当优先使用低挥发性原辅材料，采购人将使用低VOCs含量的涂料、胶黏剂等纳入政府采购合同条款的，投标人必须严格执行。</w:t>
      </w:r>
    </w:p>
    <w:p w14:paraId="1A2EC203">
      <w:pPr>
        <w:spacing w:line="480" w:lineRule="exact"/>
        <w:ind w:firstLine="482" w:firstLineChars="200"/>
        <w:rPr>
          <w:rFonts w:cs="仿宋"/>
          <w:b/>
          <w:sz w:val="24"/>
          <w:szCs w:val="22"/>
        </w:rPr>
      </w:pPr>
      <w:r>
        <w:rPr>
          <w:rFonts w:hint="eastAsia" w:cs="仿宋"/>
          <w:b/>
          <w:sz w:val="24"/>
          <w:szCs w:val="22"/>
        </w:rPr>
        <w:t>7、招标文件的澄清或修改</w:t>
      </w:r>
    </w:p>
    <w:p w14:paraId="427113AE">
      <w:pPr>
        <w:spacing w:line="480" w:lineRule="exact"/>
        <w:ind w:firstLine="480" w:firstLineChars="200"/>
        <w:rPr>
          <w:rFonts w:cs="仿宋"/>
          <w:sz w:val="24"/>
          <w:szCs w:val="22"/>
        </w:rPr>
      </w:pPr>
      <w:r>
        <w:rPr>
          <w:rFonts w:hint="eastAsia" w:cs="仿宋"/>
          <w:sz w:val="24"/>
          <w:szCs w:val="22"/>
        </w:rPr>
        <w:t>7.1采购人或者采购代理机构可以以更正公告的形式，对已发出的招标文件进行必要的澄清或者修改。澄清或者修改的内容可能影响投标文件编制的，采购人或者采购代理机构应当在投标截止时间15日前发出；不足15日的，采购人、采购代理机构应当顺延提交投标文件的截止时间。</w:t>
      </w:r>
    </w:p>
    <w:p w14:paraId="477003B3">
      <w:pPr>
        <w:spacing w:line="480" w:lineRule="exact"/>
        <w:ind w:firstLine="480" w:firstLineChars="200"/>
        <w:rPr>
          <w:rFonts w:cs="仿宋"/>
          <w:sz w:val="24"/>
          <w:szCs w:val="22"/>
        </w:rPr>
      </w:pPr>
      <w:r>
        <w:rPr>
          <w:rFonts w:hint="eastAsia" w:cs="仿宋"/>
          <w:sz w:val="24"/>
          <w:szCs w:val="22"/>
        </w:rPr>
        <w:t>7.2招标文件的澄清、修改将在原公告媒体上发布更正公告，澄清、修改文件均作为招标文件的组成部分，并对投标人具有约束力。</w:t>
      </w:r>
    </w:p>
    <w:p w14:paraId="63B29C5E">
      <w:pPr>
        <w:spacing w:line="480" w:lineRule="exact"/>
        <w:ind w:firstLine="480" w:firstLineChars="200"/>
        <w:rPr>
          <w:bCs/>
          <w:sz w:val="24"/>
        </w:rPr>
      </w:pPr>
      <w:r>
        <w:rPr>
          <w:rFonts w:hint="eastAsia" w:cs="仿宋"/>
          <w:sz w:val="24"/>
          <w:szCs w:val="22"/>
        </w:rPr>
        <w:t>7.3投标人应及时登录“苏采云”系统获取、查看澄清答疑文件（修改后的招标文件），否则造成的相关责任由投标人承担。</w:t>
      </w:r>
      <w:r>
        <w:rPr>
          <w:rFonts w:hint="eastAsia"/>
          <w:bCs/>
          <w:sz w:val="24"/>
        </w:rPr>
        <w:t xml:space="preserve"> </w:t>
      </w:r>
    </w:p>
    <w:p w14:paraId="25DDFDF8">
      <w:pPr>
        <w:pStyle w:val="4"/>
        <w:spacing w:before="0" w:after="0" w:line="560" w:lineRule="exact"/>
        <w:ind w:firstLine="482"/>
        <w:jc w:val="left"/>
      </w:pPr>
      <w:bookmarkStart w:id="81" w:name="_Toc120614216"/>
      <w:bookmarkStart w:id="82" w:name="_Toc16938529"/>
      <w:bookmarkStart w:id="83" w:name="_Toc513029213"/>
      <w:bookmarkStart w:id="84" w:name="_Toc20823285"/>
      <w:bookmarkStart w:id="85" w:name="_Toc462564072"/>
      <w:bookmarkStart w:id="86" w:name="_Toc24570"/>
      <w:r>
        <w:rPr>
          <w:rFonts w:hint="eastAsia" w:ascii="宋体" w:hAnsi="宋体" w:eastAsia="宋体" w:cs="宋体"/>
          <w:sz w:val="32"/>
          <w:szCs w:val="32"/>
        </w:rPr>
        <w:t>三、投标文件的编制</w:t>
      </w:r>
      <w:bookmarkEnd w:id="81"/>
      <w:bookmarkEnd w:id="82"/>
      <w:bookmarkEnd w:id="83"/>
      <w:bookmarkEnd w:id="84"/>
      <w:bookmarkEnd w:id="85"/>
      <w:bookmarkEnd w:id="86"/>
    </w:p>
    <w:p w14:paraId="7705D023">
      <w:pPr>
        <w:spacing w:line="480" w:lineRule="exact"/>
        <w:ind w:firstLine="482" w:firstLineChars="200"/>
        <w:rPr>
          <w:rFonts w:cs="仿宋"/>
          <w:b/>
          <w:sz w:val="24"/>
          <w:szCs w:val="22"/>
        </w:rPr>
      </w:pPr>
      <w:r>
        <w:rPr>
          <w:rFonts w:hint="eastAsia" w:cs="仿宋"/>
          <w:b/>
          <w:sz w:val="24"/>
          <w:szCs w:val="22"/>
        </w:rPr>
        <w:t>8、投标文件的编制要求</w:t>
      </w:r>
    </w:p>
    <w:p w14:paraId="0020C5F3">
      <w:pPr>
        <w:spacing w:line="480" w:lineRule="exact"/>
        <w:ind w:firstLine="480" w:firstLineChars="200"/>
        <w:rPr>
          <w:rFonts w:cs="仿宋"/>
          <w:sz w:val="24"/>
          <w:szCs w:val="22"/>
        </w:rPr>
      </w:pPr>
      <w:r>
        <w:rPr>
          <w:rFonts w:hint="eastAsia" w:cs="仿宋"/>
          <w:sz w:val="24"/>
          <w:szCs w:val="22"/>
        </w:rPr>
        <w:t>8.1投标人应仔细阅读“招标文件”的所有内容，保证所提供的全部资料的真实性、完整性及有效性，以使其投标对“招标文件”作出实质性响应。</w:t>
      </w:r>
    </w:p>
    <w:p w14:paraId="6FF6C516">
      <w:pPr>
        <w:spacing w:line="480" w:lineRule="exact"/>
        <w:ind w:firstLine="480" w:firstLineChars="200"/>
        <w:rPr>
          <w:rFonts w:cs="仿宋"/>
          <w:sz w:val="24"/>
          <w:szCs w:val="22"/>
        </w:rPr>
      </w:pPr>
      <w:r>
        <w:rPr>
          <w:rFonts w:hint="eastAsia" w:cs="仿宋"/>
          <w:sz w:val="24"/>
          <w:szCs w:val="22"/>
        </w:rPr>
        <w:t>8.2投标文件要求加盖电子签章之处，应按要求加盖投标人数字证书的电子签章。</w:t>
      </w:r>
    </w:p>
    <w:p w14:paraId="673DC402">
      <w:pPr>
        <w:spacing w:line="480" w:lineRule="exact"/>
        <w:ind w:firstLine="480" w:firstLineChars="200"/>
        <w:rPr>
          <w:rFonts w:cs="仿宋"/>
          <w:sz w:val="24"/>
          <w:szCs w:val="22"/>
        </w:rPr>
      </w:pPr>
      <w:r>
        <w:rPr>
          <w:rFonts w:hint="eastAsia" w:cs="仿宋"/>
          <w:sz w:val="24"/>
          <w:szCs w:val="22"/>
        </w:rPr>
        <w:t>8.3本项目通过“苏采云”系统进行电子投标，投标人使用政府采购客户端工具制作并通过“苏采云”系统提交投标文件，如投标文件制作工具内容与“江苏政府采购网”“宿迁市政府采购网”发布的招标文件不一致的，以“江苏政府采购网”“宿迁市政府采购网”发布的招标文件为准。</w:t>
      </w:r>
    </w:p>
    <w:p w14:paraId="4236E27F">
      <w:pPr>
        <w:spacing w:line="480" w:lineRule="exact"/>
        <w:ind w:firstLine="482" w:firstLineChars="200"/>
        <w:rPr>
          <w:rFonts w:cs="仿宋"/>
          <w:b/>
          <w:sz w:val="24"/>
          <w:szCs w:val="22"/>
        </w:rPr>
      </w:pPr>
      <w:r>
        <w:rPr>
          <w:rFonts w:hint="eastAsia" w:cs="仿宋"/>
          <w:b/>
          <w:sz w:val="24"/>
          <w:szCs w:val="22"/>
        </w:rPr>
        <w:t>9、投标文件构成</w:t>
      </w:r>
    </w:p>
    <w:p w14:paraId="40FD6F63">
      <w:pPr>
        <w:spacing w:line="480" w:lineRule="exact"/>
        <w:ind w:firstLine="480" w:firstLineChars="200"/>
        <w:rPr>
          <w:rFonts w:cs="仿宋"/>
          <w:bCs/>
          <w:sz w:val="24"/>
          <w:szCs w:val="22"/>
        </w:rPr>
      </w:pPr>
      <w:r>
        <w:rPr>
          <w:rFonts w:hint="eastAsia" w:cs="仿宋"/>
          <w:sz w:val="24"/>
          <w:szCs w:val="22"/>
        </w:rPr>
        <w:t>9.1投标文件包括投标函、开标一览表、分项报价表、响应及偏离表等部分。投标文件</w:t>
      </w:r>
      <w:r>
        <w:rPr>
          <w:rFonts w:hint="eastAsia" w:cs="仿宋"/>
          <w:bCs/>
          <w:sz w:val="24"/>
          <w:szCs w:val="22"/>
        </w:rPr>
        <w:t>构成资料为非中文时应提供中文译版。</w:t>
      </w:r>
      <w:bookmarkStart w:id="87" w:name="EBc50e2bb832bb43068403b10c1cce6141"/>
    </w:p>
    <w:p w14:paraId="2F3FAD88">
      <w:pPr>
        <w:spacing w:line="480" w:lineRule="exact"/>
        <w:ind w:firstLine="482" w:firstLineChars="200"/>
        <w:rPr>
          <w:rFonts w:cs="仿宋"/>
          <w:bCs/>
          <w:sz w:val="24"/>
          <w:szCs w:val="22"/>
        </w:rPr>
      </w:pPr>
      <w:r>
        <w:rPr>
          <w:rFonts w:hint="eastAsia" w:cs="仿宋"/>
          <w:b/>
          <w:sz w:val="24"/>
          <w:szCs w:val="22"/>
        </w:rPr>
        <w:t>9.2招标文件要求提供证书证件等原件电子件的，投标人提供的电子件应是对证书证件等原件通过扫描、拍照等方式进行数字化的可被“苏采云”系统识别的数字文件，否则评标委员会可以视其未提供。无论何种原因，即使投标人开标时携带了证书证明资料的原件，但电子投标文件中未包含相关资料电子件的，评标委员会可以视同其未提供。</w:t>
      </w:r>
      <w:bookmarkEnd w:id="87"/>
    </w:p>
    <w:p w14:paraId="4F6AAFF7">
      <w:pPr>
        <w:spacing w:line="480" w:lineRule="exact"/>
        <w:ind w:firstLine="482" w:firstLineChars="200"/>
        <w:rPr>
          <w:rFonts w:cs="仿宋"/>
          <w:b/>
          <w:sz w:val="24"/>
          <w:szCs w:val="22"/>
        </w:rPr>
      </w:pPr>
      <w:r>
        <w:rPr>
          <w:rFonts w:hint="eastAsia" w:cs="仿宋"/>
          <w:b/>
          <w:sz w:val="24"/>
          <w:szCs w:val="22"/>
        </w:rPr>
        <w:t>10、投标报价</w:t>
      </w:r>
    </w:p>
    <w:p w14:paraId="55BCFACE">
      <w:pPr>
        <w:spacing w:line="480" w:lineRule="exact"/>
        <w:ind w:firstLine="480" w:firstLineChars="200"/>
        <w:rPr>
          <w:rFonts w:cs="仿宋"/>
          <w:sz w:val="24"/>
          <w:szCs w:val="22"/>
        </w:rPr>
      </w:pPr>
      <w:r>
        <w:rPr>
          <w:rFonts w:hint="eastAsia" w:cs="仿宋"/>
          <w:sz w:val="24"/>
          <w:szCs w:val="22"/>
        </w:rPr>
        <w:t>10.1报价为一次报价，本项目不接受备选的投标方案或有选择的报价，只允许有一个报价。投标报价内容包括：货款、标准附件、备品备件（如有）、专用工具（如有）、测试验收费、培训费、包装、运输、装卸、保险、税金等完成本项目所涉及到的一切相关费用。</w:t>
      </w:r>
    </w:p>
    <w:p w14:paraId="06982158">
      <w:pPr>
        <w:spacing w:line="480" w:lineRule="exact"/>
        <w:ind w:firstLine="480" w:firstLineChars="200"/>
        <w:rPr>
          <w:rFonts w:cs="仿宋"/>
          <w:sz w:val="24"/>
          <w:szCs w:val="22"/>
        </w:rPr>
      </w:pPr>
      <w:r>
        <w:rPr>
          <w:rFonts w:hint="eastAsia" w:cs="仿宋"/>
          <w:sz w:val="24"/>
          <w:szCs w:val="22"/>
        </w:rPr>
        <w:t>10.2报价注意事项：投标价格一律以人民币计算，以元为单位标注，最多保留至小数点后</w:t>
      </w:r>
      <w:r>
        <w:rPr>
          <w:rFonts w:hint="eastAsia" w:cs="仿宋"/>
          <w:sz w:val="24"/>
          <w:szCs w:val="22"/>
          <w:lang w:val="en-US" w:eastAsia="zh-CN"/>
        </w:rPr>
        <w:t>两</w:t>
      </w:r>
      <w:r>
        <w:rPr>
          <w:rFonts w:hint="eastAsia" w:cs="仿宋"/>
          <w:sz w:val="24"/>
          <w:szCs w:val="22"/>
        </w:rPr>
        <w:t>位，招标文件有规定的按招标文件执行。</w:t>
      </w:r>
    </w:p>
    <w:p w14:paraId="409DFB6F">
      <w:pPr>
        <w:spacing w:line="480" w:lineRule="exact"/>
        <w:ind w:firstLine="482" w:firstLineChars="200"/>
        <w:rPr>
          <w:rFonts w:cs="仿宋"/>
          <w:b/>
          <w:sz w:val="24"/>
          <w:szCs w:val="22"/>
        </w:rPr>
      </w:pPr>
      <w:r>
        <w:rPr>
          <w:rFonts w:hint="eastAsia" w:cs="仿宋"/>
          <w:b/>
          <w:sz w:val="24"/>
          <w:szCs w:val="22"/>
        </w:rPr>
        <w:t>11、投标保证金</w:t>
      </w:r>
      <w:bookmarkStart w:id="88" w:name="EB183a0bf075204c54a4ff090f1aecaaa7"/>
    </w:p>
    <w:p w14:paraId="65962843">
      <w:pPr>
        <w:spacing w:line="480" w:lineRule="exact"/>
        <w:ind w:firstLine="480" w:firstLineChars="200"/>
        <w:rPr>
          <w:rFonts w:cs="仿宋"/>
          <w:sz w:val="24"/>
          <w:szCs w:val="22"/>
        </w:rPr>
      </w:pPr>
      <w:r>
        <w:rPr>
          <w:rFonts w:hint="eastAsia" w:cs="仿宋"/>
          <w:sz w:val="24"/>
          <w:szCs w:val="22"/>
        </w:rPr>
        <w:t>本项目不收取投标保证金。</w:t>
      </w:r>
      <w:bookmarkEnd w:id="88"/>
    </w:p>
    <w:p w14:paraId="6B4AEF04">
      <w:pPr>
        <w:spacing w:line="480" w:lineRule="exact"/>
        <w:ind w:firstLine="482" w:firstLineChars="200"/>
        <w:rPr>
          <w:rFonts w:cs="仿宋"/>
          <w:b/>
          <w:sz w:val="24"/>
          <w:szCs w:val="22"/>
        </w:rPr>
      </w:pPr>
      <w:r>
        <w:rPr>
          <w:rFonts w:hint="eastAsia" w:cs="仿宋"/>
          <w:b/>
          <w:sz w:val="24"/>
          <w:szCs w:val="22"/>
        </w:rPr>
        <w:t>12、投标有效期</w:t>
      </w:r>
    </w:p>
    <w:p w14:paraId="3D92ACB5">
      <w:pPr>
        <w:spacing w:line="480" w:lineRule="exact"/>
        <w:ind w:firstLine="480" w:firstLineChars="200"/>
        <w:rPr>
          <w:rFonts w:cs="仿宋"/>
          <w:sz w:val="24"/>
          <w:szCs w:val="22"/>
        </w:rPr>
      </w:pPr>
      <w:r>
        <w:rPr>
          <w:rFonts w:hint="eastAsia" w:cs="仿宋"/>
          <w:sz w:val="24"/>
          <w:szCs w:val="22"/>
        </w:rPr>
        <w:t>12.1在投标人须知前附表规定的投标有效期内，投标有效期从提交投标文件的截止之日起算。投标有效期比规定短的将被视为未实质性响应招标文件。</w:t>
      </w:r>
    </w:p>
    <w:p w14:paraId="7D20D26B">
      <w:pPr>
        <w:spacing w:line="560" w:lineRule="exact"/>
        <w:ind w:firstLine="480"/>
        <w:rPr>
          <w:sz w:val="24"/>
        </w:rPr>
      </w:pPr>
      <w:r>
        <w:rPr>
          <w:rFonts w:hint="eastAsia" w:cs="仿宋"/>
          <w:sz w:val="24"/>
          <w:szCs w:val="22"/>
        </w:rPr>
        <w:t>12.2特殊情况需延长投标有效期的，采购代理机构可于投标有效期届满之前，要求投标人同意延长有效期，可向投标人提出延长投标有效期的要求，采购代理机构的要求与投标人的答复均应为书面形式（如信件、传真或电报等），投标人拒绝延长的，其投标在原投标有效期届满后将不再有效；投标人同意延长的，不得修改或撤回投标文件。</w:t>
      </w:r>
    </w:p>
    <w:p w14:paraId="0964DB86">
      <w:pPr>
        <w:pStyle w:val="4"/>
        <w:spacing w:before="0" w:after="0" w:line="560" w:lineRule="exact"/>
        <w:ind w:firstLine="482"/>
        <w:jc w:val="left"/>
        <w:rPr>
          <w:rFonts w:ascii="宋体" w:hAnsi="宋体" w:eastAsia="宋体" w:cs="宋体"/>
          <w:sz w:val="32"/>
          <w:szCs w:val="32"/>
        </w:rPr>
      </w:pPr>
      <w:bookmarkStart w:id="89" w:name="_Hlt26954852"/>
      <w:bookmarkEnd w:id="89"/>
      <w:bookmarkStart w:id="90" w:name="_Hlt26954739"/>
      <w:bookmarkEnd w:id="90"/>
      <w:bookmarkStart w:id="91" w:name="_Toc16938540"/>
      <w:bookmarkStart w:id="92" w:name="_Toc5372"/>
      <w:bookmarkStart w:id="93" w:name="_Toc513029224"/>
      <w:bookmarkStart w:id="94" w:name="_Toc120614217"/>
      <w:bookmarkStart w:id="95" w:name="_Toc20823296"/>
      <w:r>
        <w:rPr>
          <w:rFonts w:hint="eastAsia" w:ascii="宋体" w:hAnsi="宋体" w:eastAsia="宋体" w:cs="宋体"/>
          <w:sz w:val="32"/>
          <w:szCs w:val="32"/>
        </w:rPr>
        <w:t>四、投标文件的提交</w:t>
      </w:r>
      <w:bookmarkEnd w:id="91"/>
      <w:bookmarkEnd w:id="92"/>
      <w:bookmarkEnd w:id="93"/>
      <w:bookmarkEnd w:id="94"/>
      <w:bookmarkEnd w:id="95"/>
    </w:p>
    <w:p w14:paraId="2AC118E0">
      <w:pPr>
        <w:spacing w:line="480" w:lineRule="exact"/>
        <w:ind w:firstLine="482" w:firstLineChars="200"/>
        <w:rPr>
          <w:rFonts w:cs="仿宋"/>
          <w:b/>
          <w:sz w:val="24"/>
          <w:szCs w:val="22"/>
        </w:rPr>
      </w:pPr>
      <w:bookmarkStart w:id="96" w:name="_Toc513029229"/>
      <w:bookmarkStart w:id="97" w:name="_Toc120614218"/>
      <w:bookmarkStart w:id="98" w:name="_Toc16938545"/>
      <w:bookmarkStart w:id="99" w:name="_Toc20823301"/>
      <w:r>
        <w:rPr>
          <w:rFonts w:hint="eastAsia" w:cs="仿宋"/>
          <w:b/>
          <w:sz w:val="24"/>
          <w:szCs w:val="22"/>
        </w:rPr>
        <w:t>13、投标文件的提交</w:t>
      </w:r>
    </w:p>
    <w:p w14:paraId="09267989">
      <w:pPr>
        <w:spacing w:line="480" w:lineRule="exact"/>
        <w:ind w:firstLine="480" w:firstLineChars="200"/>
        <w:rPr>
          <w:rFonts w:cs="仿宋"/>
          <w:sz w:val="24"/>
          <w:szCs w:val="22"/>
        </w:rPr>
      </w:pPr>
      <w:r>
        <w:rPr>
          <w:rFonts w:hint="eastAsia" w:cs="仿宋"/>
          <w:sz w:val="24"/>
          <w:szCs w:val="22"/>
        </w:rPr>
        <w:t>13.1投标人应在招标文件规定的投标截止时间前提交投标文件并将电子投标文件上传至“苏采云”系统对应的本次开标采购包中。除招标文件另有规定外，投标人所提交的投标文件不予退还。</w:t>
      </w:r>
    </w:p>
    <w:p w14:paraId="70524905">
      <w:pPr>
        <w:spacing w:line="480" w:lineRule="exact"/>
        <w:ind w:firstLine="480" w:firstLineChars="200"/>
        <w:rPr>
          <w:rFonts w:cs="仿宋"/>
          <w:sz w:val="24"/>
          <w:szCs w:val="22"/>
        </w:rPr>
      </w:pPr>
      <w:r>
        <w:rPr>
          <w:rFonts w:hint="eastAsia" w:cs="仿宋"/>
          <w:sz w:val="24"/>
          <w:szCs w:val="22"/>
        </w:rPr>
        <w:t>13.2投标文件的修改和撤回：在投标截止时间前，投标人可以撤回或重新提交投标文件。投标文件以最终完成上传的为准。</w:t>
      </w:r>
    </w:p>
    <w:p w14:paraId="3C008CEC">
      <w:pPr>
        <w:spacing w:line="480" w:lineRule="exact"/>
        <w:ind w:firstLine="480" w:firstLineChars="200"/>
        <w:rPr>
          <w:rFonts w:cs="仿宋"/>
          <w:sz w:val="24"/>
          <w:szCs w:val="22"/>
        </w:rPr>
      </w:pPr>
      <w:r>
        <w:rPr>
          <w:rFonts w:hint="eastAsia" w:cs="仿宋"/>
          <w:sz w:val="24"/>
          <w:szCs w:val="22"/>
        </w:rPr>
        <w:t>13.3采购人、采购代理机构可以通过修改招标文件酌情延长投标文件接收截止日期，在此情况下，投标人的所有权利和义务以及投标人受制约的截止日期均应以延长后新的截止日期为准。</w:t>
      </w:r>
    </w:p>
    <w:p w14:paraId="7A5BDECD">
      <w:pPr>
        <w:spacing w:line="480" w:lineRule="exact"/>
        <w:ind w:firstLine="482" w:firstLineChars="200"/>
        <w:rPr>
          <w:rFonts w:cs="仿宋"/>
          <w:b/>
          <w:sz w:val="24"/>
          <w:szCs w:val="22"/>
        </w:rPr>
      </w:pPr>
      <w:r>
        <w:rPr>
          <w:rFonts w:hint="eastAsia" w:cs="仿宋"/>
          <w:b/>
          <w:sz w:val="24"/>
          <w:szCs w:val="22"/>
        </w:rPr>
        <w:t>14、投标文件被拒绝接收的情形</w:t>
      </w:r>
    </w:p>
    <w:p w14:paraId="49835E19">
      <w:pPr>
        <w:spacing w:line="480" w:lineRule="exact"/>
        <w:ind w:firstLine="480" w:firstLineChars="200"/>
        <w:rPr>
          <w:bCs/>
          <w:sz w:val="24"/>
        </w:rPr>
      </w:pPr>
      <w:r>
        <w:rPr>
          <w:rFonts w:hint="eastAsia" w:cs="仿宋"/>
          <w:sz w:val="24"/>
          <w:szCs w:val="22"/>
        </w:rPr>
        <w:t>在招标文件规定的投标截止时间后上传的投标文件或对投标报价或其他实质性内容修正的文件。</w:t>
      </w:r>
    </w:p>
    <w:p w14:paraId="7967C24A">
      <w:pPr>
        <w:pStyle w:val="4"/>
        <w:spacing w:before="0" w:after="0" w:line="560" w:lineRule="exact"/>
        <w:ind w:firstLine="482"/>
        <w:jc w:val="left"/>
        <w:rPr>
          <w:rFonts w:ascii="宋体" w:hAnsi="宋体" w:eastAsia="宋体" w:cs="宋体"/>
          <w:sz w:val="32"/>
          <w:szCs w:val="32"/>
        </w:rPr>
      </w:pPr>
      <w:bookmarkStart w:id="100" w:name="_Toc3447"/>
      <w:r>
        <w:rPr>
          <w:rFonts w:hint="eastAsia" w:ascii="宋体" w:hAnsi="宋体" w:eastAsia="宋体" w:cs="宋体"/>
          <w:sz w:val="32"/>
          <w:szCs w:val="32"/>
        </w:rPr>
        <w:t>五、</w:t>
      </w:r>
      <w:bookmarkEnd w:id="96"/>
      <w:bookmarkEnd w:id="97"/>
      <w:bookmarkEnd w:id="98"/>
      <w:bookmarkEnd w:id="99"/>
      <w:r>
        <w:rPr>
          <w:rFonts w:hint="eastAsia" w:ascii="宋体" w:hAnsi="宋体" w:eastAsia="宋体" w:cs="宋体"/>
          <w:sz w:val="32"/>
          <w:szCs w:val="32"/>
        </w:rPr>
        <w:t>开标、评标程序</w:t>
      </w:r>
      <w:bookmarkEnd w:id="100"/>
    </w:p>
    <w:p w14:paraId="2F670B9B">
      <w:pPr>
        <w:spacing w:line="480" w:lineRule="exact"/>
        <w:ind w:firstLine="482" w:firstLineChars="200"/>
        <w:rPr>
          <w:rFonts w:cs="仿宋"/>
          <w:b/>
          <w:sz w:val="24"/>
          <w:szCs w:val="22"/>
        </w:rPr>
      </w:pPr>
      <w:bookmarkStart w:id="101" w:name="_Toc513029235"/>
      <w:bookmarkStart w:id="102" w:name="_Toc120614219"/>
      <w:bookmarkStart w:id="103" w:name="_Toc20823307"/>
      <w:bookmarkStart w:id="104" w:name="_Toc16938551"/>
      <w:r>
        <w:rPr>
          <w:rFonts w:hint="eastAsia" w:cs="仿宋"/>
          <w:b/>
          <w:sz w:val="24"/>
          <w:szCs w:val="22"/>
        </w:rPr>
        <w:t>15、开标</w:t>
      </w:r>
    </w:p>
    <w:p w14:paraId="0044DFC0">
      <w:pPr>
        <w:spacing w:line="480" w:lineRule="exact"/>
        <w:ind w:firstLine="480" w:firstLineChars="200"/>
        <w:rPr>
          <w:rFonts w:cs="仿宋"/>
          <w:sz w:val="24"/>
          <w:szCs w:val="22"/>
        </w:rPr>
      </w:pPr>
      <w:r>
        <w:rPr>
          <w:rFonts w:hint="eastAsia" w:cs="仿宋"/>
          <w:sz w:val="24"/>
          <w:szCs w:val="22"/>
        </w:rPr>
        <w:t>15.1采购代理机构将在招标公告中规定的时间和地点组织公开开标。投标人应当按照规定参加开标活动，在“苏采云”系统规定的时间内对投标文件解密。</w:t>
      </w:r>
    </w:p>
    <w:p w14:paraId="446767D0">
      <w:pPr>
        <w:spacing w:line="480" w:lineRule="exact"/>
        <w:ind w:firstLine="480" w:firstLineChars="200"/>
        <w:rPr>
          <w:rFonts w:cs="仿宋"/>
          <w:sz w:val="24"/>
          <w:szCs w:val="22"/>
        </w:rPr>
      </w:pPr>
      <w:r>
        <w:rPr>
          <w:rFonts w:hint="eastAsia" w:cs="仿宋"/>
          <w:sz w:val="24"/>
          <w:szCs w:val="22"/>
        </w:rPr>
        <w:t>15.2开标仪式由采购代理机构组织。“苏采云”系统将自动对项目进行开标，并宣布各投标人名称和投标价格。</w:t>
      </w:r>
    </w:p>
    <w:p w14:paraId="637EDDA4">
      <w:pPr>
        <w:spacing w:line="480" w:lineRule="exact"/>
        <w:ind w:firstLine="482" w:firstLineChars="200"/>
        <w:rPr>
          <w:rFonts w:cs="仿宋"/>
          <w:b/>
          <w:bCs/>
          <w:sz w:val="24"/>
          <w:szCs w:val="22"/>
        </w:rPr>
      </w:pPr>
      <w:r>
        <w:rPr>
          <w:rFonts w:hint="eastAsia" w:cs="仿宋"/>
          <w:b/>
          <w:bCs/>
          <w:sz w:val="24"/>
          <w:szCs w:val="22"/>
        </w:rPr>
        <w:t>15.3投标人用于解密的CA证书应为该投标文件生成加密、上传的同一把CA证书。投标人应登录“苏采云”系统进入“开标大厅”，在系统约定时间内使用CA证书解密，未成功解密的视为放弃投标。</w:t>
      </w:r>
    </w:p>
    <w:p w14:paraId="3CEEBAD1">
      <w:pPr>
        <w:spacing w:line="480" w:lineRule="exact"/>
        <w:ind w:firstLine="480" w:firstLineChars="200"/>
        <w:rPr>
          <w:rFonts w:cs="仿宋"/>
          <w:sz w:val="24"/>
          <w:szCs w:val="22"/>
        </w:rPr>
      </w:pPr>
      <w:r>
        <w:rPr>
          <w:rFonts w:hint="eastAsia" w:cs="仿宋"/>
          <w:sz w:val="24"/>
          <w:szCs w:val="22"/>
        </w:rPr>
        <w:t>15.4投标人如果对开标过程和开标记录有疑义，应当按规定提出。如“苏采云”系统中《开标记录表》宣布后5分钟内未提出的，视同认可开标结果。</w:t>
      </w:r>
    </w:p>
    <w:p w14:paraId="3F9F3C6E">
      <w:pPr>
        <w:spacing w:line="480" w:lineRule="exact"/>
        <w:ind w:firstLine="480" w:firstLineChars="200"/>
        <w:rPr>
          <w:rFonts w:cs="仿宋"/>
          <w:sz w:val="24"/>
          <w:szCs w:val="22"/>
        </w:rPr>
      </w:pPr>
      <w:r>
        <w:rPr>
          <w:rFonts w:hint="eastAsia" w:cs="仿宋"/>
          <w:sz w:val="24"/>
          <w:szCs w:val="22"/>
        </w:rPr>
        <w:t>15.5投标人在开、评标全过程中应保持通讯畅通，及时登录“苏采云”系统查阅、答复相关信息。</w:t>
      </w:r>
    </w:p>
    <w:p w14:paraId="1495A63E">
      <w:pPr>
        <w:spacing w:line="480" w:lineRule="exact"/>
        <w:ind w:firstLine="482" w:firstLineChars="200"/>
        <w:rPr>
          <w:rFonts w:cs="仿宋"/>
          <w:b/>
          <w:sz w:val="24"/>
          <w:szCs w:val="22"/>
        </w:rPr>
      </w:pPr>
      <w:r>
        <w:rPr>
          <w:rFonts w:hint="eastAsia" w:cs="仿宋"/>
          <w:b/>
          <w:sz w:val="24"/>
          <w:szCs w:val="22"/>
        </w:rPr>
        <w:t>16、评标委员会</w:t>
      </w:r>
    </w:p>
    <w:p w14:paraId="546BF5FD">
      <w:pPr>
        <w:spacing w:line="480" w:lineRule="exact"/>
        <w:ind w:firstLine="480" w:firstLineChars="200"/>
        <w:rPr>
          <w:rFonts w:cs="仿宋"/>
          <w:sz w:val="24"/>
          <w:szCs w:val="22"/>
        </w:rPr>
      </w:pPr>
      <w:r>
        <w:rPr>
          <w:rFonts w:hint="eastAsia" w:cs="仿宋"/>
          <w:sz w:val="24"/>
          <w:szCs w:val="22"/>
        </w:rPr>
        <w:t>采购人应根据本项目的特点依法组建评标委员会，评标委员会由采购人代表和评审专家等组成，且人员构成符合政府采购有关规定。评标委员会负责具体评标事务，按公平、公正、客观、择优的原则独立履行相关职责。</w:t>
      </w:r>
    </w:p>
    <w:p w14:paraId="64410F6A">
      <w:pPr>
        <w:spacing w:line="480" w:lineRule="exact"/>
        <w:ind w:firstLine="482" w:firstLineChars="200"/>
        <w:rPr>
          <w:rFonts w:cs="仿宋"/>
          <w:b/>
          <w:sz w:val="24"/>
          <w:szCs w:val="22"/>
        </w:rPr>
      </w:pPr>
      <w:r>
        <w:rPr>
          <w:rFonts w:hint="eastAsia" w:cs="仿宋"/>
          <w:b/>
          <w:sz w:val="24"/>
          <w:szCs w:val="22"/>
        </w:rPr>
        <w:t>17、评标程序</w:t>
      </w:r>
    </w:p>
    <w:p w14:paraId="0731E191">
      <w:pPr>
        <w:spacing w:line="480" w:lineRule="exact"/>
        <w:ind w:firstLine="480" w:firstLineChars="200"/>
        <w:rPr>
          <w:rFonts w:cs="仿宋"/>
          <w:sz w:val="24"/>
          <w:szCs w:val="22"/>
        </w:rPr>
      </w:pPr>
      <w:r>
        <w:rPr>
          <w:rFonts w:hint="eastAsia" w:cs="仿宋"/>
          <w:sz w:val="24"/>
          <w:szCs w:val="22"/>
        </w:rPr>
        <w:t>17.1资格审查</w:t>
      </w:r>
      <w:bookmarkStart w:id="105" w:name="EBa9c0a2c9e523494487594c65b2a92370"/>
    </w:p>
    <w:p w14:paraId="6423F142">
      <w:pPr>
        <w:spacing w:line="480" w:lineRule="exact"/>
        <w:ind w:firstLine="480" w:firstLineChars="200"/>
        <w:rPr>
          <w:rFonts w:cs="仿宋"/>
          <w:sz w:val="24"/>
          <w:szCs w:val="22"/>
        </w:rPr>
      </w:pPr>
      <w:r>
        <w:rPr>
          <w:rFonts w:hint="eastAsia" w:cs="仿宋"/>
          <w:sz w:val="24"/>
          <w:szCs w:val="22"/>
        </w:rPr>
        <w:t>开标结束后，采购人依法根据招标文件的规定对投标人的资格证明文件等进行审查。</w:t>
      </w:r>
      <w:bookmarkEnd w:id="105"/>
    </w:p>
    <w:p w14:paraId="04AD8E9D">
      <w:pPr>
        <w:spacing w:line="480" w:lineRule="exact"/>
        <w:ind w:firstLine="480" w:firstLineChars="200"/>
        <w:rPr>
          <w:rFonts w:cs="仿宋"/>
          <w:sz w:val="24"/>
          <w:szCs w:val="22"/>
        </w:rPr>
      </w:pPr>
      <w:r>
        <w:rPr>
          <w:rFonts w:hint="eastAsia" w:cs="仿宋"/>
          <w:sz w:val="24"/>
          <w:szCs w:val="22"/>
        </w:rPr>
        <w:t>17.2符合性检查</w:t>
      </w:r>
    </w:p>
    <w:p w14:paraId="0F838873">
      <w:pPr>
        <w:spacing w:line="480" w:lineRule="exact"/>
        <w:ind w:firstLine="480" w:firstLineChars="200"/>
        <w:rPr>
          <w:rFonts w:cs="仿宋"/>
          <w:sz w:val="24"/>
          <w:szCs w:val="22"/>
        </w:rPr>
      </w:pPr>
      <w:r>
        <w:rPr>
          <w:rFonts w:hint="eastAsia" w:cs="仿宋"/>
          <w:sz w:val="24"/>
          <w:szCs w:val="22"/>
        </w:rPr>
        <w:t>依据招标文件的规定，由评标委员会从投标文件的有效性、完整性和对招标文件的响应程度进行审查，以确定是否对招标文件的实质性要求作出响应。实质性响应的投标应是与招标文件要求的全部条款、条件和规格相符，没有重大偏离的投标。</w:t>
      </w:r>
      <w:bookmarkStart w:id="106" w:name="EB1499356fad43416eb16398733accabf7"/>
      <w:r>
        <w:rPr>
          <w:rFonts w:hint="eastAsia" w:cs="仿宋"/>
          <w:sz w:val="24"/>
          <w:szCs w:val="22"/>
        </w:rPr>
        <w:t>所谓重大偏离是指投标人投标文件中所述设备质量、技术规格、数量、交货期、服务等明显不能满足招标文件要求。</w:t>
      </w:r>
      <w:bookmarkEnd w:id="106"/>
      <w:r>
        <w:rPr>
          <w:rFonts w:hint="eastAsia" w:cs="仿宋"/>
          <w:sz w:val="24"/>
          <w:szCs w:val="22"/>
        </w:rPr>
        <w:t>重大偏离的认定需经过评标委员会以少数服从多数的原则作出结论。</w:t>
      </w:r>
    </w:p>
    <w:p w14:paraId="49474AD8">
      <w:pPr>
        <w:spacing w:line="480" w:lineRule="exact"/>
        <w:ind w:firstLine="480" w:firstLineChars="200"/>
        <w:rPr>
          <w:rFonts w:cs="仿宋"/>
          <w:sz w:val="24"/>
          <w:szCs w:val="22"/>
        </w:rPr>
      </w:pPr>
      <w:r>
        <w:rPr>
          <w:rFonts w:hint="eastAsia" w:cs="仿宋"/>
          <w:sz w:val="24"/>
          <w:szCs w:val="22"/>
        </w:rPr>
        <w:t>17.3未通过资格审查或符合性审查的投标人，采购代理机构将在“苏采云”系统中告知未通过资格审查或符合性审查的原因</w:t>
      </w:r>
      <w:r>
        <w:rPr>
          <w:rFonts w:hint="eastAsia" w:cs="仿宋"/>
          <w:color w:val="auto"/>
          <w:sz w:val="24"/>
          <w:szCs w:val="22"/>
        </w:rPr>
        <w:t>。</w:t>
      </w:r>
      <w:r>
        <w:rPr>
          <w:rFonts w:hint="eastAsia" w:cs="仿宋"/>
          <w:sz w:val="24"/>
          <w:szCs w:val="22"/>
        </w:rPr>
        <w:t>评标结束后，采购代理机构将不再告知未通过资格审查或符合性审查的原因。</w:t>
      </w:r>
    </w:p>
    <w:p w14:paraId="10D1E2DC">
      <w:pPr>
        <w:spacing w:line="480" w:lineRule="exact"/>
        <w:ind w:firstLine="480" w:firstLineChars="200"/>
        <w:rPr>
          <w:rFonts w:cs="仿宋"/>
          <w:sz w:val="24"/>
          <w:szCs w:val="22"/>
        </w:rPr>
      </w:pPr>
      <w:r>
        <w:rPr>
          <w:rFonts w:hint="eastAsia" w:cs="仿宋"/>
          <w:sz w:val="24"/>
          <w:szCs w:val="22"/>
        </w:rPr>
        <w:t>17.4评标委员会判断投标文件的响应性，仅基于投标文件本身而不靠外部证据。对非实质性响应的投标文件，投标人不能通过修正或撤销不符之处，而使其成为实质性响应。</w:t>
      </w:r>
    </w:p>
    <w:p w14:paraId="0FA23D29">
      <w:pPr>
        <w:spacing w:line="480" w:lineRule="exact"/>
        <w:ind w:firstLine="480" w:firstLineChars="200"/>
        <w:rPr>
          <w:rFonts w:cs="仿宋"/>
          <w:bCs/>
          <w:sz w:val="24"/>
          <w:szCs w:val="22"/>
        </w:rPr>
      </w:pPr>
      <w:r>
        <w:rPr>
          <w:rFonts w:hint="eastAsia" w:cs="仿宋"/>
          <w:bCs/>
          <w:sz w:val="24"/>
          <w:szCs w:val="22"/>
        </w:rPr>
        <w:t>17.5有关问题的澄清</w:t>
      </w:r>
    </w:p>
    <w:p w14:paraId="6BFD12A2">
      <w:pPr>
        <w:spacing w:line="480" w:lineRule="exact"/>
        <w:ind w:firstLine="480" w:firstLineChars="200"/>
        <w:rPr>
          <w:rFonts w:cs="仿宋"/>
          <w:sz w:val="24"/>
          <w:szCs w:val="22"/>
        </w:rPr>
      </w:pPr>
      <w:r>
        <w:rPr>
          <w:rFonts w:hint="eastAsia" w:cs="仿宋"/>
          <w:sz w:val="24"/>
          <w:szCs w:val="22"/>
        </w:rPr>
        <w:t>17.5.1对投标文件中含义不明确、同类问题表述不一致或者有明显文字和计算错误的内容，评标委员会通过“苏采云”系统向投标人发出“澄清要求函”，要求投标人作出必要的澄清、说明或者补正。投标人的澄清、说明或者补正应当采用书面形式且不得超出投标文件的范围或者改变投标文件的实质性内容。投标人的澄清、说明或者补正应加盖电子公章，或者由法定代表人或其授权的代表签章（或签字）。澄清、说明和补正的内容作为投标文件的补充部分。</w:t>
      </w:r>
    </w:p>
    <w:p w14:paraId="71EBCA64">
      <w:pPr>
        <w:spacing w:line="480" w:lineRule="exact"/>
        <w:ind w:firstLine="480" w:firstLineChars="200"/>
        <w:rPr>
          <w:rFonts w:cs="仿宋"/>
          <w:sz w:val="24"/>
          <w:szCs w:val="22"/>
        </w:rPr>
      </w:pPr>
      <w:r>
        <w:rPr>
          <w:rFonts w:hint="eastAsia" w:cs="仿宋"/>
          <w:sz w:val="24"/>
          <w:szCs w:val="22"/>
        </w:rPr>
        <w:t>17.5.2投标文件报价出现前后不一致的，除招标文件另有规定外，按照下列规定修正：</w:t>
      </w:r>
    </w:p>
    <w:p w14:paraId="59C4FA24">
      <w:pPr>
        <w:spacing w:line="480" w:lineRule="exact"/>
        <w:ind w:firstLine="480" w:firstLineChars="200"/>
        <w:rPr>
          <w:rFonts w:cs="仿宋"/>
          <w:sz w:val="24"/>
          <w:szCs w:val="22"/>
        </w:rPr>
      </w:pPr>
      <w:r>
        <w:rPr>
          <w:rFonts w:hint="eastAsia" w:cs="仿宋"/>
          <w:sz w:val="24"/>
          <w:szCs w:val="22"/>
        </w:rPr>
        <w:t>①投标文件中开标一览表（报价表）内容与投标文件中相应内容不一致的，以开标一览表（报价表）为准；</w:t>
      </w:r>
    </w:p>
    <w:p w14:paraId="549B7867">
      <w:pPr>
        <w:spacing w:line="480" w:lineRule="exact"/>
        <w:ind w:firstLine="480" w:firstLineChars="200"/>
        <w:rPr>
          <w:rFonts w:cs="仿宋"/>
          <w:sz w:val="24"/>
          <w:szCs w:val="22"/>
        </w:rPr>
      </w:pPr>
      <w:r>
        <w:rPr>
          <w:rFonts w:hint="eastAsia" w:cs="仿宋"/>
          <w:sz w:val="24"/>
          <w:szCs w:val="22"/>
        </w:rPr>
        <w:t>②大写金额和小写金额不一致的，以大写金额为准；</w:t>
      </w:r>
    </w:p>
    <w:p w14:paraId="3F10C841">
      <w:pPr>
        <w:spacing w:line="480" w:lineRule="exact"/>
        <w:ind w:firstLine="480" w:firstLineChars="200"/>
        <w:rPr>
          <w:rFonts w:cs="仿宋"/>
          <w:sz w:val="24"/>
          <w:szCs w:val="22"/>
        </w:rPr>
      </w:pPr>
      <w:r>
        <w:rPr>
          <w:rFonts w:hint="eastAsia" w:cs="仿宋"/>
          <w:sz w:val="24"/>
          <w:szCs w:val="22"/>
        </w:rPr>
        <w:t>③单价金额小数点或者百分比有明显错位的，以开标一览表的总价为准，并修改单价；</w:t>
      </w:r>
    </w:p>
    <w:p w14:paraId="0AFE0196">
      <w:pPr>
        <w:spacing w:line="480" w:lineRule="exact"/>
        <w:ind w:firstLine="480" w:firstLineChars="200"/>
        <w:rPr>
          <w:rFonts w:cs="仿宋"/>
          <w:sz w:val="24"/>
          <w:szCs w:val="22"/>
        </w:rPr>
      </w:pPr>
      <w:r>
        <w:rPr>
          <w:rFonts w:hint="eastAsia" w:cs="仿宋"/>
          <w:sz w:val="24"/>
          <w:szCs w:val="22"/>
        </w:rPr>
        <w:t>④总价金额与单价汇总金额不一致的，以单价金额计算结果为准。</w:t>
      </w:r>
    </w:p>
    <w:p w14:paraId="17092512">
      <w:pPr>
        <w:spacing w:line="480" w:lineRule="exact"/>
        <w:ind w:firstLine="480" w:firstLineChars="200"/>
        <w:rPr>
          <w:rFonts w:cs="仿宋"/>
          <w:sz w:val="24"/>
          <w:szCs w:val="22"/>
        </w:rPr>
      </w:pPr>
      <w:r>
        <w:rPr>
          <w:rFonts w:hint="eastAsia" w:cs="仿宋"/>
          <w:sz w:val="24"/>
          <w:szCs w:val="22"/>
        </w:rPr>
        <w:t>同时出现两种以上不一致的，按照前款规定的顺序修正。</w:t>
      </w:r>
    </w:p>
    <w:p w14:paraId="15A30942">
      <w:pPr>
        <w:spacing w:line="480" w:lineRule="exact"/>
        <w:ind w:firstLine="480" w:firstLineChars="200"/>
        <w:rPr>
          <w:rFonts w:cs="仿宋"/>
          <w:sz w:val="24"/>
          <w:szCs w:val="22"/>
        </w:rPr>
      </w:pPr>
      <w:r>
        <w:rPr>
          <w:rFonts w:hint="eastAsia" w:cs="仿宋"/>
          <w:sz w:val="24"/>
          <w:szCs w:val="22"/>
        </w:rPr>
        <w:t>17.5.3评标委员会将按上述修正错误的方法调整投标文件中的投标报价，并通过“苏采云”系统告知投标人，调整后的价格应对投标人具有约束力。投标人不接受修正后的价格，其投标将被拒绝。</w:t>
      </w:r>
    </w:p>
    <w:p w14:paraId="626933AF">
      <w:pPr>
        <w:spacing w:line="480" w:lineRule="exact"/>
        <w:ind w:firstLine="480" w:firstLineChars="200"/>
        <w:rPr>
          <w:rFonts w:cs="仿宋"/>
          <w:sz w:val="24"/>
          <w:szCs w:val="22"/>
        </w:rPr>
      </w:pPr>
      <w:r>
        <w:rPr>
          <w:rFonts w:hint="eastAsia" w:cs="仿宋"/>
          <w:sz w:val="24"/>
          <w:szCs w:val="22"/>
        </w:rPr>
        <w:t>评标过程中，不得去掉报价中的最高报价和最低报价。</w:t>
      </w:r>
    </w:p>
    <w:p w14:paraId="702142C1">
      <w:pPr>
        <w:spacing w:line="480" w:lineRule="exact"/>
        <w:ind w:firstLine="480" w:firstLineChars="200"/>
        <w:rPr>
          <w:rFonts w:cs="仿宋"/>
          <w:sz w:val="24"/>
          <w:szCs w:val="22"/>
        </w:rPr>
      </w:pPr>
      <w:r>
        <w:rPr>
          <w:rFonts w:hint="eastAsia" w:cs="仿宋"/>
          <w:sz w:val="24"/>
          <w:szCs w:val="22"/>
        </w:rPr>
        <w:t>17.6 异常低价投标审查</w:t>
      </w:r>
    </w:p>
    <w:p w14:paraId="46FE1C2D">
      <w:pPr>
        <w:spacing w:line="480" w:lineRule="exact"/>
        <w:ind w:firstLine="480" w:firstLineChars="200"/>
        <w:rPr>
          <w:rFonts w:cs="仿宋"/>
          <w:sz w:val="24"/>
          <w:szCs w:val="22"/>
        </w:rPr>
      </w:pPr>
      <w:r>
        <w:rPr>
          <w:rFonts w:hint="eastAsia" w:cs="仿宋"/>
          <w:sz w:val="24"/>
          <w:szCs w:val="22"/>
        </w:rPr>
        <w:t>17.6.1 评标过程中出现下列情形之一的，评标委员会应当启动异常低价投标审查程序：</w:t>
      </w:r>
    </w:p>
    <w:p w14:paraId="5EA3E4B6">
      <w:pPr>
        <w:spacing w:line="480" w:lineRule="exact"/>
        <w:ind w:firstLine="480" w:firstLineChars="200"/>
        <w:rPr>
          <w:rFonts w:cs="仿宋"/>
          <w:sz w:val="24"/>
          <w:szCs w:val="22"/>
        </w:rPr>
      </w:pPr>
      <w:r>
        <w:rPr>
          <w:rFonts w:hint="eastAsia" w:cs="仿宋"/>
          <w:sz w:val="24"/>
          <w:szCs w:val="22"/>
        </w:rPr>
        <w:t>（1）投标报价低于全部通过符合性审查供应商投标报价平均值50%的，即投标报价&lt;全部通过符合性审查供应商投标报价平均值×50%；</w:t>
      </w:r>
    </w:p>
    <w:p w14:paraId="6A2E5BDD">
      <w:pPr>
        <w:spacing w:line="480" w:lineRule="exact"/>
        <w:ind w:firstLine="480" w:firstLineChars="200"/>
        <w:rPr>
          <w:rFonts w:cs="仿宋"/>
          <w:sz w:val="24"/>
          <w:szCs w:val="22"/>
        </w:rPr>
      </w:pPr>
      <w:r>
        <w:rPr>
          <w:rFonts w:hint="eastAsia" w:cs="仿宋"/>
          <w:sz w:val="24"/>
          <w:szCs w:val="22"/>
        </w:rPr>
        <w:t>（2）投标报价低于通过符合性审查的次低报价供应商投标报价50%的，即投标报价&lt;通过符合性审查的次低报价供应商投标报价×50%；</w:t>
      </w:r>
    </w:p>
    <w:p w14:paraId="6327E84D">
      <w:pPr>
        <w:spacing w:line="480" w:lineRule="exact"/>
        <w:ind w:firstLine="480" w:firstLineChars="200"/>
        <w:rPr>
          <w:rFonts w:cs="仿宋"/>
          <w:sz w:val="24"/>
          <w:szCs w:val="22"/>
        </w:rPr>
      </w:pPr>
      <w:r>
        <w:rPr>
          <w:rFonts w:hint="eastAsia" w:cs="仿宋"/>
          <w:sz w:val="24"/>
          <w:szCs w:val="22"/>
        </w:rPr>
        <w:t>（3）投标报价低于采购项目最高限价45%的，即投标报价&lt;采购项目最高限价×45%；</w:t>
      </w:r>
    </w:p>
    <w:p w14:paraId="509D0045">
      <w:pPr>
        <w:spacing w:line="480" w:lineRule="exact"/>
        <w:ind w:firstLine="480" w:firstLineChars="200"/>
        <w:rPr>
          <w:rFonts w:cs="仿宋"/>
          <w:sz w:val="24"/>
          <w:szCs w:val="22"/>
        </w:rPr>
      </w:pPr>
      <w:r>
        <w:rPr>
          <w:rFonts w:hint="eastAsia" w:cs="仿宋"/>
          <w:sz w:val="24"/>
          <w:szCs w:val="22"/>
        </w:rPr>
        <w:t>（4）评标委员会基于专业判断，认为供应商报价过低，有可能影响产品质量或者不能诚信履约的其他情形。</w:t>
      </w:r>
    </w:p>
    <w:p w14:paraId="74F7D778">
      <w:pPr>
        <w:spacing w:line="480" w:lineRule="exact"/>
        <w:ind w:firstLine="480" w:firstLineChars="200"/>
        <w:rPr>
          <w:rFonts w:cs="仿宋"/>
          <w:sz w:val="24"/>
          <w:szCs w:val="22"/>
        </w:rPr>
      </w:pPr>
      <w:r>
        <w:rPr>
          <w:rFonts w:hint="eastAsia" w:cs="仿宋"/>
          <w:sz w:val="24"/>
          <w:szCs w:val="22"/>
        </w:rPr>
        <w:t>17.6.2 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标现场可不再重复提交。</w:t>
      </w:r>
    </w:p>
    <w:p w14:paraId="0B605612">
      <w:pPr>
        <w:spacing w:line="480" w:lineRule="exact"/>
        <w:ind w:firstLine="480" w:firstLineChars="200"/>
        <w:rPr>
          <w:rFonts w:cs="仿宋"/>
          <w:sz w:val="24"/>
          <w:szCs w:val="22"/>
        </w:rPr>
      </w:pPr>
      <w:r>
        <w:rPr>
          <w:rFonts w:hint="eastAsia" w:cs="仿宋"/>
          <w:sz w:val="24"/>
          <w:szCs w:val="22"/>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27EE0611">
      <w:pPr>
        <w:spacing w:line="480" w:lineRule="exact"/>
        <w:ind w:firstLine="480" w:firstLineChars="200"/>
        <w:rPr>
          <w:rFonts w:cs="仿宋"/>
          <w:bCs/>
          <w:color w:val="000000"/>
          <w:sz w:val="24"/>
          <w:szCs w:val="22"/>
        </w:rPr>
      </w:pPr>
      <w:r>
        <w:rPr>
          <w:rFonts w:hint="eastAsia" w:cs="仿宋"/>
          <w:bCs/>
          <w:color w:val="000000"/>
          <w:sz w:val="24"/>
          <w:szCs w:val="22"/>
        </w:rPr>
        <w:t>17.7比较</w:t>
      </w:r>
    </w:p>
    <w:p w14:paraId="68AC8D0C">
      <w:pPr>
        <w:spacing w:line="480" w:lineRule="exact"/>
        <w:ind w:firstLine="480" w:firstLineChars="200"/>
        <w:rPr>
          <w:rFonts w:cs="仿宋"/>
          <w:color w:val="000000"/>
          <w:sz w:val="24"/>
          <w:szCs w:val="22"/>
        </w:rPr>
      </w:pPr>
      <w:r>
        <w:rPr>
          <w:rFonts w:hint="eastAsia" w:cs="仿宋"/>
          <w:color w:val="000000"/>
          <w:sz w:val="24"/>
          <w:szCs w:val="22"/>
        </w:rPr>
        <w:t>评标委员会将按招标文件中规定的评标方法和标准，对符合性检查合格的投标文件进行商务和技术评比。</w:t>
      </w:r>
    </w:p>
    <w:p w14:paraId="18B49186">
      <w:pPr>
        <w:spacing w:line="480" w:lineRule="exact"/>
        <w:ind w:firstLine="480" w:firstLineChars="200"/>
        <w:rPr>
          <w:rFonts w:cs="仿宋"/>
          <w:bCs/>
          <w:color w:val="000000"/>
          <w:sz w:val="24"/>
          <w:szCs w:val="22"/>
        </w:rPr>
      </w:pPr>
      <w:r>
        <w:rPr>
          <w:rFonts w:hint="eastAsia" w:cs="仿宋"/>
          <w:bCs/>
          <w:color w:val="000000"/>
          <w:sz w:val="24"/>
          <w:szCs w:val="22"/>
        </w:rPr>
        <w:t>17.8推荐中标候选人</w:t>
      </w:r>
    </w:p>
    <w:p w14:paraId="542F72CD">
      <w:pPr>
        <w:spacing w:line="480" w:lineRule="exact"/>
        <w:ind w:firstLine="480" w:firstLineChars="200"/>
        <w:rPr>
          <w:rFonts w:cs="仿宋"/>
          <w:color w:val="000000"/>
          <w:sz w:val="24"/>
          <w:szCs w:val="22"/>
        </w:rPr>
      </w:pPr>
      <w:r>
        <w:rPr>
          <w:rFonts w:hint="eastAsia" w:cs="仿宋"/>
          <w:color w:val="000000"/>
          <w:sz w:val="24"/>
          <w:szCs w:val="22"/>
        </w:rPr>
        <w:t>评标委员会按照招标文件中规定的评标方法和标准推荐中标候选人。</w:t>
      </w:r>
    </w:p>
    <w:p w14:paraId="7FE68E82">
      <w:pPr>
        <w:pStyle w:val="4"/>
        <w:spacing w:before="0" w:after="0" w:line="560" w:lineRule="exact"/>
        <w:ind w:firstLine="482"/>
      </w:pPr>
      <w:bookmarkStart w:id="107" w:name="_Toc5936"/>
      <w:r>
        <w:rPr>
          <w:rFonts w:hint="eastAsia" w:ascii="宋体" w:hAnsi="宋体" w:eastAsia="宋体" w:cs="宋体"/>
          <w:sz w:val="32"/>
          <w:szCs w:val="32"/>
        </w:rPr>
        <w:t>六、</w:t>
      </w:r>
      <w:bookmarkEnd w:id="101"/>
      <w:bookmarkEnd w:id="102"/>
      <w:bookmarkEnd w:id="103"/>
      <w:bookmarkEnd w:id="104"/>
      <w:r>
        <w:rPr>
          <w:rFonts w:hint="eastAsia" w:ascii="宋体" w:hAnsi="宋体" w:eastAsia="宋体" w:cs="宋体"/>
          <w:sz w:val="32"/>
          <w:szCs w:val="32"/>
        </w:rPr>
        <w:t>无效投标、废标、串通投标及取消中标候选人资格情形</w:t>
      </w:r>
      <w:bookmarkEnd w:id="107"/>
    </w:p>
    <w:p w14:paraId="74587B23">
      <w:pPr>
        <w:spacing w:line="480" w:lineRule="exact"/>
        <w:ind w:firstLine="482"/>
        <w:rPr>
          <w:rFonts w:cs="仿宋"/>
          <w:b/>
          <w:color w:val="000000"/>
          <w:sz w:val="24"/>
          <w:szCs w:val="22"/>
        </w:rPr>
      </w:pPr>
      <w:bookmarkStart w:id="108" w:name="_Toc120614220"/>
      <w:bookmarkStart w:id="109" w:name="_Toc16938552"/>
      <w:bookmarkStart w:id="110" w:name="_Toc513029236"/>
      <w:bookmarkStart w:id="111" w:name="_Toc20823308"/>
      <w:r>
        <w:rPr>
          <w:rFonts w:hint="eastAsia" w:cs="仿宋"/>
          <w:b/>
          <w:color w:val="000000"/>
          <w:sz w:val="24"/>
          <w:szCs w:val="22"/>
        </w:rPr>
        <w:t>18、无效投标情形</w:t>
      </w:r>
    </w:p>
    <w:p w14:paraId="0CF4587B">
      <w:pPr>
        <w:spacing w:line="480" w:lineRule="exact"/>
        <w:ind w:firstLine="480" w:firstLineChars="200"/>
        <w:rPr>
          <w:rFonts w:cs="仿宋"/>
          <w:strike/>
          <w:color w:val="000000"/>
          <w:sz w:val="24"/>
          <w:szCs w:val="22"/>
        </w:rPr>
      </w:pPr>
      <w:r>
        <w:rPr>
          <w:rFonts w:hint="eastAsia" w:cs="仿宋"/>
          <w:color w:val="000000"/>
          <w:sz w:val="24"/>
          <w:szCs w:val="22"/>
        </w:rPr>
        <w:t>18.1投标人同一采购包提交两个（含两个）以上不同的投标报价的。</w:t>
      </w:r>
    </w:p>
    <w:p w14:paraId="734F8729">
      <w:pPr>
        <w:spacing w:line="480" w:lineRule="exact"/>
        <w:ind w:firstLine="480" w:firstLineChars="200"/>
        <w:rPr>
          <w:rFonts w:cs="仿宋"/>
          <w:color w:val="000000"/>
          <w:sz w:val="24"/>
          <w:szCs w:val="22"/>
        </w:rPr>
      </w:pPr>
      <w:r>
        <w:rPr>
          <w:rFonts w:hint="eastAsia" w:cs="仿宋"/>
          <w:color w:val="000000"/>
          <w:sz w:val="24"/>
          <w:szCs w:val="22"/>
        </w:rPr>
        <w:t>18.2投标人不符合招标文件规定资格要求的或未按规定提交资质证件的。</w:t>
      </w:r>
    </w:p>
    <w:p w14:paraId="134408AF">
      <w:pPr>
        <w:spacing w:line="480" w:lineRule="exact"/>
        <w:ind w:firstLine="480" w:firstLineChars="200"/>
        <w:rPr>
          <w:rFonts w:cs="仿宋"/>
          <w:color w:val="000000"/>
          <w:sz w:val="24"/>
          <w:szCs w:val="22"/>
        </w:rPr>
      </w:pPr>
      <w:r>
        <w:rPr>
          <w:rFonts w:hint="eastAsia" w:cs="仿宋"/>
          <w:color w:val="000000"/>
          <w:sz w:val="24"/>
          <w:szCs w:val="22"/>
        </w:rPr>
        <w:t>18.3投标人的报价超过了采购预算或最高限价的。</w:t>
      </w:r>
    </w:p>
    <w:p w14:paraId="0A3BDECE">
      <w:pPr>
        <w:spacing w:line="480" w:lineRule="exact"/>
        <w:ind w:firstLine="480" w:firstLineChars="200"/>
        <w:rPr>
          <w:rFonts w:cs="仿宋"/>
          <w:color w:val="000000"/>
          <w:sz w:val="24"/>
          <w:szCs w:val="22"/>
        </w:rPr>
      </w:pPr>
      <w:r>
        <w:rPr>
          <w:rFonts w:hint="eastAsia" w:cs="仿宋"/>
          <w:color w:val="000000"/>
          <w:sz w:val="24"/>
          <w:szCs w:val="22"/>
        </w:rPr>
        <w:t>18.4投标文件未通过符合性审查的。</w:t>
      </w:r>
    </w:p>
    <w:p w14:paraId="263BBA97">
      <w:pPr>
        <w:spacing w:line="480" w:lineRule="exact"/>
        <w:ind w:firstLine="480" w:firstLineChars="200"/>
        <w:rPr>
          <w:rFonts w:cs="仿宋"/>
          <w:sz w:val="24"/>
          <w:szCs w:val="22"/>
        </w:rPr>
      </w:pPr>
      <w:r>
        <w:rPr>
          <w:rFonts w:hint="eastAsia" w:cs="仿宋"/>
          <w:color w:val="000000"/>
          <w:sz w:val="24"/>
          <w:szCs w:val="22"/>
        </w:rPr>
        <w:t>18.5</w:t>
      </w:r>
      <w:r>
        <w:rPr>
          <w:rFonts w:hint="eastAsia" w:cs="仿宋"/>
          <w:sz w:val="24"/>
          <w:szCs w:val="22"/>
        </w:rPr>
        <w:t>投标文件出现重大偏离，不符合招标文件中规定的实质性要求的（★部分为实质性要求）。</w:t>
      </w:r>
    </w:p>
    <w:p w14:paraId="70F7FB74">
      <w:pPr>
        <w:spacing w:line="480" w:lineRule="exact"/>
        <w:ind w:firstLine="480" w:firstLineChars="200"/>
        <w:rPr>
          <w:rFonts w:cs="仿宋"/>
          <w:sz w:val="24"/>
          <w:szCs w:val="22"/>
        </w:rPr>
      </w:pPr>
      <w:r>
        <w:rPr>
          <w:rFonts w:hint="eastAsia" w:cs="仿宋"/>
          <w:sz w:val="24"/>
          <w:szCs w:val="22"/>
        </w:rPr>
        <w:t>18.6评标委员会启动异常低价投标审查后，投标人不能提供书面说明、证明材料，或者评标委员会认为投标人提供的书面说明、证明材料不能证明其报价合理性的。</w:t>
      </w:r>
    </w:p>
    <w:p w14:paraId="74A80650">
      <w:pPr>
        <w:spacing w:line="480" w:lineRule="exact"/>
        <w:ind w:firstLine="480" w:firstLineChars="200"/>
        <w:rPr>
          <w:rFonts w:cs="仿宋"/>
          <w:color w:val="000000"/>
          <w:sz w:val="24"/>
          <w:szCs w:val="22"/>
        </w:rPr>
      </w:pPr>
      <w:r>
        <w:rPr>
          <w:rFonts w:hint="eastAsia" w:cs="仿宋"/>
          <w:color w:val="000000"/>
          <w:sz w:val="24"/>
          <w:szCs w:val="22"/>
        </w:rPr>
        <w:t>18.7投标文件未按照招标文件要求加盖CA电子公章的。</w:t>
      </w:r>
    </w:p>
    <w:p w14:paraId="2C134805">
      <w:pPr>
        <w:spacing w:line="480" w:lineRule="exact"/>
        <w:ind w:firstLine="480" w:firstLineChars="200"/>
        <w:rPr>
          <w:rFonts w:cs="仿宋"/>
          <w:color w:val="000000"/>
          <w:sz w:val="24"/>
          <w:szCs w:val="22"/>
        </w:rPr>
      </w:pPr>
      <w:r>
        <w:rPr>
          <w:rFonts w:hint="eastAsia" w:cs="仿宋"/>
          <w:color w:val="000000"/>
          <w:sz w:val="24"/>
          <w:szCs w:val="22"/>
        </w:rPr>
        <w:t>18.8投标人有本招标文件规定的恶意串通投标情形的。</w:t>
      </w:r>
    </w:p>
    <w:p w14:paraId="2E28632F">
      <w:pPr>
        <w:spacing w:line="480" w:lineRule="exact"/>
        <w:ind w:firstLine="480" w:firstLineChars="200"/>
        <w:rPr>
          <w:rFonts w:cs="仿宋"/>
          <w:sz w:val="24"/>
          <w:szCs w:val="22"/>
        </w:rPr>
      </w:pPr>
      <w:r>
        <w:rPr>
          <w:rFonts w:hint="eastAsia" w:cs="仿宋"/>
          <w:sz w:val="24"/>
          <w:szCs w:val="22"/>
        </w:rPr>
        <w:t>18.9投标文件含有采购人不能接受的附加条件的。</w:t>
      </w:r>
    </w:p>
    <w:p w14:paraId="6292AF42">
      <w:pPr>
        <w:spacing w:line="480" w:lineRule="exact"/>
        <w:ind w:firstLine="480" w:firstLineChars="200"/>
        <w:rPr>
          <w:rFonts w:cs="仿宋"/>
          <w:sz w:val="24"/>
          <w:szCs w:val="22"/>
        </w:rPr>
      </w:pPr>
      <w:r>
        <w:rPr>
          <w:rFonts w:hint="eastAsia" w:cs="仿宋"/>
          <w:sz w:val="24"/>
          <w:szCs w:val="22"/>
        </w:rPr>
        <w:t>18.10其他法律、法规及本招标文件规定的属无效投标的情形。</w:t>
      </w:r>
    </w:p>
    <w:p w14:paraId="220B9A6B">
      <w:pPr>
        <w:spacing w:line="480" w:lineRule="exact"/>
        <w:ind w:firstLine="482"/>
        <w:rPr>
          <w:rFonts w:cs="仿宋"/>
          <w:b/>
          <w:sz w:val="24"/>
          <w:szCs w:val="22"/>
        </w:rPr>
      </w:pPr>
      <w:r>
        <w:rPr>
          <w:rFonts w:hint="eastAsia" w:cs="仿宋"/>
          <w:b/>
          <w:sz w:val="24"/>
          <w:szCs w:val="22"/>
        </w:rPr>
        <w:t>19、废标情形</w:t>
      </w:r>
    </w:p>
    <w:p w14:paraId="5643A072">
      <w:pPr>
        <w:spacing w:line="480" w:lineRule="exact"/>
        <w:ind w:firstLine="480"/>
        <w:rPr>
          <w:rFonts w:cs="仿宋"/>
          <w:sz w:val="24"/>
          <w:szCs w:val="22"/>
        </w:rPr>
      </w:pPr>
      <w:r>
        <w:rPr>
          <w:rFonts w:hint="eastAsia" w:cs="仿宋"/>
          <w:sz w:val="24"/>
          <w:szCs w:val="22"/>
        </w:rPr>
        <w:t>19.1符合专业条件的投标人或者对招标文件作实质响应的投标人不足三家的。</w:t>
      </w:r>
    </w:p>
    <w:p w14:paraId="6AE343A4">
      <w:pPr>
        <w:spacing w:line="480" w:lineRule="exact"/>
        <w:ind w:firstLine="480"/>
        <w:rPr>
          <w:rFonts w:cs="仿宋"/>
          <w:sz w:val="24"/>
          <w:szCs w:val="22"/>
        </w:rPr>
      </w:pPr>
      <w:r>
        <w:rPr>
          <w:rFonts w:hint="eastAsia" w:cs="仿宋"/>
          <w:sz w:val="24"/>
          <w:szCs w:val="22"/>
        </w:rPr>
        <w:t>19.2出现影响采购公正的违法、违规行为的。</w:t>
      </w:r>
    </w:p>
    <w:p w14:paraId="7EE21ADD">
      <w:pPr>
        <w:spacing w:line="480" w:lineRule="exact"/>
        <w:ind w:firstLine="480"/>
        <w:rPr>
          <w:rFonts w:cs="仿宋"/>
          <w:sz w:val="24"/>
          <w:szCs w:val="22"/>
        </w:rPr>
      </w:pPr>
      <w:r>
        <w:rPr>
          <w:rFonts w:hint="eastAsia" w:cs="仿宋"/>
          <w:sz w:val="24"/>
          <w:szCs w:val="22"/>
        </w:rPr>
        <w:t>19.3因重大变故，采购任务取消的。</w:t>
      </w:r>
    </w:p>
    <w:p w14:paraId="3070A2AE">
      <w:pPr>
        <w:spacing w:line="480" w:lineRule="exact"/>
        <w:ind w:firstLine="480"/>
        <w:rPr>
          <w:rFonts w:cs="仿宋"/>
          <w:sz w:val="24"/>
          <w:szCs w:val="22"/>
        </w:rPr>
      </w:pPr>
      <w:r>
        <w:rPr>
          <w:rFonts w:hint="eastAsia" w:cs="仿宋"/>
          <w:sz w:val="24"/>
          <w:szCs w:val="22"/>
        </w:rPr>
        <w:t>19.4评标委员会认定招标文件存在歧义、重大缺陷导致评审工作无法进行的。</w:t>
      </w:r>
    </w:p>
    <w:p w14:paraId="64C13D11">
      <w:pPr>
        <w:spacing w:line="480" w:lineRule="exact"/>
        <w:ind w:firstLine="480"/>
        <w:rPr>
          <w:rFonts w:cs="仿宋"/>
          <w:sz w:val="24"/>
          <w:szCs w:val="22"/>
        </w:rPr>
      </w:pPr>
      <w:r>
        <w:rPr>
          <w:rFonts w:hint="eastAsia" w:cs="仿宋"/>
          <w:sz w:val="24"/>
          <w:szCs w:val="22"/>
        </w:rPr>
        <w:t>19.5在“苏采云”系统规定时间内成功解密电子投标文件的投标人不足三家的。</w:t>
      </w:r>
    </w:p>
    <w:p w14:paraId="09EA09DE">
      <w:pPr>
        <w:spacing w:line="480" w:lineRule="exact"/>
        <w:ind w:firstLine="482"/>
        <w:rPr>
          <w:rFonts w:cs="仿宋"/>
          <w:b/>
          <w:sz w:val="24"/>
          <w:szCs w:val="22"/>
        </w:rPr>
      </w:pPr>
      <w:r>
        <w:rPr>
          <w:rFonts w:hint="eastAsia" w:cs="仿宋"/>
          <w:b/>
          <w:sz w:val="24"/>
          <w:szCs w:val="22"/>
        </w:rPr>
        <w:t>20、投标人不足三家情形处理</w:t>
      </w:r>
    </w:p>
    <w:p w14:paraId="0B1F0F6E">
      <w:pPr>
        <w:spacing w:line="480" w:lineRule="exact"/>
        <w:ind w:firstLine="480"/>
        <w:rPr>
          <w:rFonts w:cs="仿宋"/>
          <w:sz w:val="24"/>
          <w:szCs w:val="22"/>
        </w:rPr>
      </w:pPr>
      <w:r>
        <w:rPr>
          <w:rFonts w:hint="eastAsia" w:cs="仿宋"/>
          <w:sz w:val="24"/>
          <w:szCs w:val="22"/>
        </w:rPr>
        <w:t>投标截止后投标人不足三家或者通过资格审查或符合性审查的投标人不足三家的，除采购任务取消情形外，按财政部令第87号第四十三条条款进行处理。</w:t>
      </w:r>
    </w:p>
    <w:p w14:paraId="244FF89C">
      <w:pPr>
        <w:spacing w:line="480" w:lineRule="exact"/>
        <w:ind w:firstLine="482"/>
        <w:rPr>
          <w:rFonts w:cs="仿宋"/>
          <w:b/>
          <w:sz w:val="24"/>
          <w:szCs w:val="22"/>
        </w:rPr>
      </w:pPr>
      <w:r>
        <w:rPr>
          <w:rFonts w:hint="eastAsia" w:cs="仿宋"/>
          <w:b/>
          <w:sz w:val="24"/>
          <w:szCs w:val="22"/>
        </w:rPr>
        <w:t>21、串通投标情形</w:t>
      </w:r>
    </w:p>
    <w:p w14:paraId="453A34AA">
      <w:pPr>
        <w:spacing w:line="500" w:lineRule="exact"/>
        <w:ind w:firstLine="480"/>
        <w:rPr>
          <w:rFonts w:ascii="黑体" w:hAnsi="黑体" w:eastAsia="黑体"/>
          <w:sz w:val="24"/>
          <w:szCs w:val="22"/>
        </w:rPr>
      </w:pPr>
      <w:r>
        <w:rPr>
          <w:rFonts w:hint="eastAsia" w:ascii="黑体" w:hAnsi="黑体" w:eastAsia="黑体"/>
          <w:sz w:val="24"/>
          <w:szCs w:val="22"/>
        </w:rPr>
        <w:t>有下列情形之一的，属于恶意串通投标，其投标无效：</w:t>
      </w:r>
    </w:p>
    <w:p w14:paraId="2B05174D">
      <w:pPr>
        <w:spacing w:line="480" w:lineRule="exact"/>
        <w:ind w:firstLine="480"/>
        <w:rPr>
          <w:rFonts w:cs="仿宋"/>
          <w:sz w:val="24"/>
          <w:szCs w:val="22"/>
        </w:rPr>
      </w:pPr>
      <w:r>
        <w:rPr>
          <w:rFonts w:hint="eastAsia" w:cs="仿宋"/>
          <w:sz w:val="24"/>
          <w:szCs w:val="22"/>
        </w:rPr>
        <w:t>21.1投标人直接或间接从采购人或采购代理机构处获得其他投标人的投标情况，并修改其投标文件；</w:t>
      </w:r>
    </w:p>
    <w:p w14:paraId="30EC6580">
      <w:pPr>
        <w:spacing w:line="480" w:lineRule="exact"/>
        <w:ind w:firstLine="480"/>
        <w:rPr>
          <w:rFonts w:cs="仿宋"/>
          <w:sz w:val="24"/>
          <w:szCs w:val="22"/>
        </w:rPr>
      </w:pPr>
      <w:r>
        <w:rPr>
          <w:rFonts w:hint="eastAsia" w:cs="仿宋"/>
          <w:sz w:val="24"/>
          <w:szCs w:val="22"/>
        </w:rPr>
        <w:t>21.2评审活动开始前投标人直接或间接从采购人或采购代理机构处获得评标委员会组成人员情况；</w:t>
      </w:r>
    </w:p>
    <w:p w14:paraId="0FD4A42C">
      <w:pPr>
        <w:spacing w:line="480" w:lineRule="exact"/>
        <w:ind w:firstLine="480"/>
        <w:rPr>
          <w:rFonts w:cs="仿宋"/>
          <w:sz w:val="24"/>
          <w:szCs w:val="22"/>
        </w:rPr>
      </w:pPr>
      <w:r>
        <w:rPr>
          <w:rFonts w:hint="eastAsia" w:cs="仿宋"/>
          <w:sz w:val="24"/>
          <w:szCs w:val="22"/>
        </w:rPr>
        <w:t>21.3投标人接受采购人或采购代理机构授意撤换、修改投标文件；</w:t>
      </w:r>
    </w:p>
    <w:p w14:paraId="4CC49B7F">
      <w:pPr>
        <w:spacing w:line="480" w:lineRule="exact"/>
        <w:ind w:firstLine="480"/>
        <w:rPr>
          <w:rFonts w:cs="仿宋"/>
          <w:sz w:val="24"/>
          <w:szCs w:val="22"/>
        </w:rPr>
      </w:pPr>
      <w:r>
        <w:rPr>
          <w:rFonts w:hint="eastAsia" w:cs="仿宋"/>
          <w:sz w:val="24"/>
          <w:szCs w:val="22"/>
        </w:rPr>
        <w:t>21.4投标人之间协商投标报价、技术方案等投标文件实质性内容；</w:t>
      </w:r>
    </w:p>
    <w:p w14:paraId="1D62E006">
      <w:pPr>
        <w:spacing w:line="480" w:lineRule="exact"/>
        <w:ind w:firstLine="480"/>
        <w:rPr>
          <w:rFonts w:cs="仿宋"/>
          <w:sz w:val="24"/>
          <w:szCs w:val="22"/>
        </w:rPr>
      </w:pPr>
      <w:r>
        <w:rPr>
          <w:rFonts w:hint="eastAsia" w:cs="仿宋"/>
          <w:sz w:val="24"/>
          <w:szCs w:val="22"/>
        </w:rPr>
        <w:t>21.5属于同一集团、协会、商会等组织成员的投标人按照该组织要求协同投标；</w:t>
      </w:r>
    </w:p>
    <w:p w14:paraId="3BC09CE0">
      <w:pPr>
        <w:spacing w:line="480" w:lineRule="exact"/>
        <w:ind w:firstLine="480"/>
        <w:rPr>
          <w:rFonts w:cs="仿宋"/>
          <w:sz w:val="24"/>
          <w:szCs w:val="22"/>
        </w:rPr>
      </w:pPr>
      <w:r>
        <w:rPr>
          <w:rFonts w:hint="eastAsia" w:cs="仿宋"/>
          <w:sz w:val="24"/>
          <w:szCs w:val="22"/>
        </w:rPr>
        <w:t>21.6投标人之间事先约定由某一特定投标人中标、成交；</w:t>
      </w:r>
    </w:p>
    <w:p w14:paraId="6CBEC7A9">
      <w:pPr>
        <w:spacing w:line="480" w:lineRule="exact"/>
        <w:ind w:firstLine="480"/>
        <w:rPr>
          <w:rFonts w:cs="仿宋"/>
          <w:sz w:val="24"/>
          <w:szCs w:val="22"/>
        </w:rPr>
      </w:pPr>
      <w:r>
        <w:rPr>
          <w:rFonts w:hint="eastAsia" w:cs="仿宋"/>
          <w:sz w:val="24"/>
          <w:szCs w:val="22"/>
        </w:rPr>
        <w:t>21.7投标人之间商定部分投标人放弃投标或者放弃中标、成交；</w:t>
      </w:r>
    </w:p>
    <w:p w14:paraId="2338DB09">
      <w:pPr>
        <w:spacing w:line="480" w:lineRule="exact"/>
        <w:ind w:firstLine="480"/>
        <w:rPr>
          <w:rFonts w:cs="仿宋"/>
          <w:sz w:val="24"/>
          <w:szCs w:val="22"/>
        </w:rPr>
      </w:pPr>
      <w:r>
        <w:rPr>
          <w:rFonts w:hint="eastAsia" w:cs="仿宋"/>
          <w:sz w:val="24"/>
          <w:szCs w:val="22"/>
        </w:rPr>
        <w:t>21.8投标人与采购人或采购代理机构之间、投标人相互之间为谋求特定投标人中标成交或者排斥其他投标人的其他串通行为；</w:t>
      </w:r>
    </w:p>
    <w:p w14:paraId="73CD61D8">
      <w:pPr>
        <w:spacing w:line="500" w:lineRule="exact"/>
        <w:ind w:firstLine="482"/>
        <w:rPr>
          <w:rFonts w:ascii="黑体" w:hAnsi="黑体" w:eastAsia="黑体"/>
          <w:sz w:val="24"/>
          <w:szCs w:val="22"/>
        </w:rPr>
      </w:pPr>
      <w:r>
        <w:rPr>
          <w:rFonts w:hint="eastAsia" w:ascii="黑体" w:hAnsi="黑体" w:eastAsia="黑体"/>
          <w:sz w:val="24"/>
          <w:szCs w:val="22"/>
        </w:rPr>
        <w:t>有下列情形之一的，视为投标人串通投标，其投标无效：</w:t>
      </w:r>
    </w:p>
    <w:p w14:paraId="640CD0B3">
      <w:pPr>
        <w:spacing w:line="480" w:lineRule="exact"/>
        <w:ind w:firstLine="480"/>
        <w:rPr>
          <w:rFonts w:cs="仿宋"/>
          <w:sz w:val="24"/>
          <w:szCs w:val="22"/>
        </w:rPr>
      </w:pPr>
      <w:r>
        <w:rPr>
          <w:rFonts w:hint="eastAsia" w:cs="仿宋"/>
          <w:sz w:val="24"/>
          <w:szCs w:val="22"/>
        </w:rPr>
        <w:t>21.9 不同投标人的投标文件由同一单位或者个人编制；</w:t>
      </w:r>
    </w:p>
    <w:p w14:paraId="2F4B56F9">
      <w:pPr>
        <w:spacing w:line="480" w:lineRule="exact"/>
        <w:ind w:firstLine="480"/>
        <w:rPr>
          <w:rFonts w:cs="仿宋"/>
          <w:sz w:val="24"/>
          <w:szCs w:val="22"/>
        </w:rPr>
      </w:pPr>
      <w:r>
        <w:rPr>
          <w:rFonts w:hint="eastAsia" w:cs="仿宋"/>
          <w:sz w:val="24"/>
          <w:szCs w:val="22"/>
        </w:rPr>
        <w:t>21.10不同投标人的电子投标文件由同一台电子设备编制、打包、加密或者上传；</w:t>
      </w:r>
    </w:p>
    <w:p w14:paraId="36731709">
      <w:pPr>
        <w:spacing w:line="480" w:lineRule="exact"/>
        <w:ind w:firstLine="480"/>
        <w:rPr>
          <w:rFonts w:cs="仿宋"/>
          <w:sz w:val="24"/>
          <w:szCs w:val="22"/>
        </w:rPr>
      </w:pPr>
      <w:r>
        <w:rPr>
          <w:rFonts w:hint="eastAsia" w:cs="仿宋"/>
          <w:sz w:val="24"/>
          <w:szCs w:val="22"/>
        </w:rPr>
        <w:t>21.11不同投标人委托同一单位或者个人办理投标事宜；</w:t>
      </w:r>
    </w:p>
    <w:p w14:paraId="15B01220">
      <w:pPr>
        <w:spacing w:line="480" w:lineRule="exact"/>
        <w:ind w:firstLine="480"/>
        <w:rPr>
          <w:rFonts w:cs="仿宋"/>
          <w:sz w:val="24"/>
          <w:szCs w:val="22"/>
        </w:rPr>
      </w:pPr>
      <w:r>
        <w:rPr>
          <w:rFonts w:hint="eastAsia" w:cs="仿宋"/>
          <w:sz w:val="24"/>
          <w:szCs w:val="22"/>
        </w:rPr>
        <w:t>21.12不同投标人的投标文件载明的项目管理成员或者联系人员为同一人；</w:t>
      </w:r>
    </w:p>
    <w:p w14:paraId="27720507">
      <w:pPr>
        <w:spacing w:line="480" w:lineRule="exact"/>
        <w:ind w:firstLine="480"/>
        <w:rPr>
          <w:rFonts w:cs="仿宋"/>
          <w:sz w:val="24"/>
          <w:szCs w:val="22"/>
        </w:rPr>
      </w:pPr>
      <w:r>
        <w:rPr>
          <w:rFonts w:hint="eastAsia" w:cs="仿宋"/>
          <w:sz w:val="24"/>
          <w:szCs w:val="22"/>
        </w:rPr>
        <w:t>21.13不同投标人的投标文件异常一致或者投标报价呈规律性差异；</w:t>
      </w:r>
    </w:p>
    <w:p w14:paraId="0B3323B3">
      <w:pPr>
        <w:spacing w:line="480" w:lineRule="exact"/>
        <w:ind w:firstLine="480"/>
        <w:rPr>
          <w:rFonts w:cs="仿宋"/>
          <w:sz w:val="24"/>
          <w:szCs w:val="22"/>
        </w:rPr>
      </w:pPr>
      <w:r>
        <w:rPr>
          <w:rFonts w:hint="eastAsia" w:cs="仿宋"/>
          <w:sz w:val="24"/>
          <w:szCs w:val="22"/>
        </w:rPr>
        <w:t>21.14不同投标人的投标文件相互混装；</w:t>
      </w:r>
    </w:p>
    <w:p w14:paraId="0B96213E">
      <w:pPr>
        <w:spacing w:line="480" w:lineRule="exact"/>
        <w:ind w:firstLine="480"/>
        <w:rPr>
          <w:rFonts w:cs="仿宋"/>
          <w:sz w:val="24"/>
          <w:szCs w:val="22"/>
        </w:rPr>
      </w:pPr>
      <w:r>
        <w:rPr>
          <w:rFonts w:hint="eastAsia" w:cs="仿宋"/>
          <w:sz w:val="24"/>
          <w:szCs w:val="22"/>
        </w:rPr>
        <w:t>21.15不同投标人的投标保证金从同一单位或者个人的账户转出。</w:t>
      </w:r>
    </w:p>
    <w:p w14:paraId="63605281">
      <w:pPr>
        <w:spacing w:line="480" w:lineRule="exact"/>
        <w:ind w:firstLine="482"/>
        <w:rPr>
          <w:rFonts w:cs="仿宋"/>
          <w:b/>
          <w:sz w:val="24"/>
          <w:szCs w:val="22"/>
        </w:rPr>
      </w:pPr>
      <w:r>
        <w:rPr>
          <w:rFonts w:hint="eastAsia" w:cs="仿宋"/>
          <w:b/>
          <w:sz w:val="24"/>
          <w:szCs w:val="22"/>
        </w:rPr>
        <w:t>22、</w:t>
      </w:r>
      <w:bookmarkStart w:id="112" w:name="OLE_LINK4"/>
      <w:r>
        <w:rPr>
          <w:rFonts w:hint="eastAsia" w:cs="仿宋"/>
          <w:b/>
          <w:sz w:val="24"/>
          <w:szCs w:val="22"/>
        </w:rPr>
        <w:t>取消中标候选人资格情形</w:t>
      </w:r>
    </w:p>
    <w:bookmarkEnd w:id="112"/>
    <w:p w14:paraId="68A2E3FB">
      <w:pPr>
        <w:spacing w:line="480" w:lineRule="exact"/>
        <w:ind w:firstLine="480"/>
        <w:rPr>
          <w:rFonts w:cs="仿宋"/>
          <w:sz w:val="24"/>
          <w:szCs w:val="22"/>
        </w:rPr>
      </w:pPr>
      <w:r>
        <w:rPr>
          <w:rFonts w:hint="eastAsia" w:cs="仿宋"/>
          <w:sz w:val="24"/>
          <w:szCs w:val="22"/>
        </w:rPr>
        <w:t>22.1提供虚假材料谋取中标的；</w:t>
      </w:r>
    </w:p>
    <w:p w14:paraId="08116438">
      <w:pPr>
        <w:spacing w:line="480" w:lineRule="exact"/>
        <w:ind w:firstLine="480"/>
        <w:rPr>
          <w:rFonts w:cs="仿宋"/>
          <w:sz w:val="24"/>
          <w:szCs w:val="22"/>
        </w:rPr>
      </w:pPr>
      <w:r>
        <w:rPr>
          <w:rFonts w:hint="eastAsia" w:cs="仿宋"/>
          <w:sz w:val="24"/>
          <w:szCs w:val="22"/>
        </w:rPr>
        <w:t>22.2采取不正当手段诋毁、排挤其他投标人的；</w:t>
      </w:r>
    </w:p>
    <w:p w14:paraId="5E8117B8">
      <w:pPr>
        <w:spacing w:line="480" w:lineRule="exact"/>
        <w:ind w:firstLine="480"/>
        <w:rPr>
          <w:rFonts w:cs="仿宋"/>
          <w:sz w:val="24"/>
          <w:szCs w:val="22"/>
        </w:rPr>
      </w:pPr>
      <w:r>
        <w:rPr>
          <w:rFonts w:hint="eastAsia" w:cs="仿宋"/>
          <w:sz w:val="24"/>
          <w:szCs w:val="22"/>
        </w:rPr>
        <w:t>22.3与采购人、其他投标人或者采购代理机构恶意串通的；</w:t>
      </w:r>
    </w:p>
    <w:p w14:paraId="1829876E">
      <w:pPr>
        <w:spacing w:line="480" w:lineRule="exact"/>
        <w:ind w:firstLine="480"/>
        <w:rPr>
          <w:rFonts w:cs="仿宋"/>
          <w:sz w:val="24"/>
          <w:szCs w:val="22"/>
        </w:rPr>
      </w:pPr>
      <w:r>
        <w:rPr>
          <w:rFonts w:hint="eastAsia" w:cs="仿宋"/>
          <w:sz w:val="24"/>
          <w:szCs w:val="22"/>
        </w:rPr>
        <w:t>22.4向采购人、采购代理机构行贿或者提供其他不正当利益的；</w:t>
      </w:r>
    </w:p>
    <w:p w14:paraId="5066E43B">
      <w:pPr>
        <w:spacing w:line="480" w:lineRule="exact"/>
        <w:ind w:firstLine="480"/>
        <w:rPr>
          <w:rFonts w:cs="仿宋"/>
          <w:sz w:val="24"/>
          <w:szCs w:val="22"/>
        </w:rPr>
      </w:pPr>
      <w:r>
        <w:rPr>
          <w:rFonts w:hint="eastAsia" w:cs="仿宋"/>
          <w:sz w:val="24"/>
          <w:szCs w:val="22"/>
        </w:rPr>
        <w:t>22.5未在规定时间内与采购人签订采购合同的；</w:t>
      </w:r>
    </w:p>
    <w:p w14:paraId="679B2BAE">
      <w:pPr>
        <w:spacing w:line="480" w:lineRule="exact"/>
        <w:ind w:firstLine="480"/>
        <w:rPr>
          <w:sz w:val="24"/>
          <w:szCs w:val="24"/>
        </w:rPr>
      </w:pPr>
      <w:r>
        <w:rPr>
          <w:rFonts w:hint="eastAsia" w:cs="仿宋"/>
          <w:sz w:val="24"/>
          <w:szCs w:val="22"/>
        </w:rPr>
        <w:t>22.6法律、法规规定的其它情况。</w:t>
      </w:r>
    </w:p>
    <w:p w14:paraId="16059C10">
      <w:pPr>
        <w:pStyle w:val="4"/>
        <w:spacing w:before="0" w:after="0" w:line="560" w:lineRule="exact"/>
        <w:jc w:val="left"/>
      </w:pPr>
      <w:bookmarkStart w:id="113" w:name="_Toc13181"/>
      <w:r>
        <w:rPr>
          <w:rFonts w:hint="eastAsia" w:ascii="宋体" w:hAnsi="宋体" w:eastAsia="宋体" w:cs="宋体"/>
          <w:sz w:val="32"/>
          <w:szCs w:val="32"/>
        </w:rPr>
        <w:t>七、</w:t>
      </w:r>
      <w:bookmarkEnd w:id="108"/>
      <w:r>
        <w:rPr>
          <w:rFonts w:hint="eastAsia" w:ascii="宋体" w:hAnsi="宋体" w:eastAsia="宋体" w:cs="宋体"/>
          <w:sz w:val="32"/>
          <w:szCs w:val="32"/>
        </w:rPr>
        <w:t>中标及合同签订</w:t>
      </w:r>
      <w:bookmarkEnd w:id="113"/>
    </w:p>
    <w:bookmarkEnd w:id="109"/>
    <w:bookmarkEnd w:id="110"/>
    <w:bookmarkEnd w:id="111"/>
    <w:p w14:paraId="4237A0FB">
      <w:pPr>
        <w:spacing w:line="500" w:lineRule="exact"/>
        <w:ind w:firstLine="482" w:firstLineChars="200"/>
        <w:rPr>
          <w:rFonts w:cs="仿宋"/>
          <w:b/>
          <w:sz w:val="24"/>
          <w:szCs w:val="22"/>
        </w:rPr>
      </w:pPr>
      <w:bookmarkStart w:id="114" w:name="_Toc20823314"/>
      <w:bookmarkStart w:id="115" w:name="_Toc479757207"/>
      <w:bookmarkStart w:id="116" w:name="_Toc513029242"/>
      <w:bookmarkStart w:id="117" w:name="_Toc16938558"/>
      <w:bookmarkStart w:id="118" w:name="_Toc120614221"/>
      <w:r>
        <w:rPr>
          <w:rFonts w:hint="eastAsia" w:cs="仿宋"/>
          <w:b/>
          <w:sz w:val="24"/>
          <w:szCs w:val="22"/>
        </w:rPr>
        <w:t>23、确定中标人</w:t>
      </w:r>
    </w:p>
    <w:p w14:paraId="40229E17">
      <w:pPr>
        <w:spacing w:line="480" w:lineRule="exact"/>
        <w:ind w:firstLine="480"/>
        <w:rPr>
          <w:rFonts w:cs="仿宋"/>
          <w:sz w:val="24"/>
          <w:szCs w:val="22"/>
        </w:rPr>
      </w:pPr>
      <w:r>
        <w:rPr>
          <w:rFonts w:hint="eastAsia" w:cs="仿宋"/>
          <w:sz w:val="24"/>
          <w:szCs w:val="22"/>
        </w:rPr>
        <w:t>23.1采购人应当自收到评审报告之日起5个工作日内在评审报告推荐的中标候选人中按顺序确定中标人。</w:t>
      </w:r>
    </w:p>
    <w:p w14:paraId="09E88F0A">
      <w:pPr>
        <w:spacing w:line="480" w:lineRule="exact"/>
        <w:ind w:firstLine="480"/>
        <w:rPr>
          <w:rFonts w:cs="仿宋"/>
          <w:color w:val="FF0000"/>
          <w:sz w:val="24"/>
          <w:szCs w:val="22"/>
        </w:rPr>
      </w:pPr>
      <w:r>
        <w:rPr>
          <w:rFonts w:hint="eastAsia" w:cs="仿宋"/>
          <w:sz w:val="24"/>
          <w:szCs w:val="22"/>
        </w:rPr>
        <w:t>23.2中标人确定之日起2个工作日内，采购人、采购代理机构将在财政部门指定信息媒体上发布中标结果公告，公告的公告期限为1个工作日。</w:t>
      </w:r>
    </w:p>
    <w:p w14:paraId="30EDC96B">
      <w:pPr>
        <w:spacing w:line="480" w:lineRule="exact"/>
        <w:ind w:firstLine="480"/>
        <w:rPr>
          <w:rFonts w:cs="仿宋"/>
          <w:sz w:val="24"/>
          <w:szCs w:val="22"/>
        </w:rPr>
      </w:pPr>
      <w:r>
        <w:rPr>
          <w:rFonts w:hint="eastAsia" w:cs="仿宋"/>
          <w:sz w:val="24"/>
          <w:szCs w:val="22"/>
        </w:rPr>
        <w:t>23.3采购人确定正被列为失信被执行人的投标人为中标人的，中标结果无效。</w:t>
      </w:r>
    </w:p>
    <w:p w14:paraId="15419706">
      <w:pPr>
        <w:spacing w:line="500" w:lineRule="exact"/>
        <w:ind w:firstLine="482" w:firstLineChars="200"/>
        <w:rPr>
          <w:rFonts w:cs="仿宋"/>
          <w:b/>
          <w:sz w:val="24"/>
          <w:szCs w:val="22"/>
        </w:rPr>
      </w:pPr>
      <w:r>
        <w:rPr>
          <w:rFonts w:hint="eastAsia" w:cs="仿宋"/>
          <w:b/>
          <w:sz w:val="24"/>
          <w:szCs w:val="22"/>
        </w:rPr>
        <w:t>24、中标通知书</w:t>
      </w:r>
    </w:p>
    <w:p w14:paraId="030FBC13">
      <w:pPr>
        <w:spacing w:line="480" w:lineRule="exact"/>
        <w:ind w:firstLine="480"/>
        <w:rPr>
          <w:rFonts w:cs="仿宋"/>
          <w:sz w:val="24"/>
          <w:szCs w:val="22"/>
        </w:rPr>
      </w:pPr>
      <w:r>
        <w:rPr>
          <w:rFonts w:hint="eastAsia" w:cs="仿宋"/>
          <w:sz w:val="24"/>
          <w:szCs w:val="22"/>
        </w:rPr>
        <w:t>24.1在公告中标结果的同时，采购代理机构将向中标人发出中标通知书。中标人使用CA数字证书登录“苏采云”系统及时下载中标通知书。</w:t>
      </w:r>
    </w:p>
    <w:p w14:paraId="15E52172">
      <w:pPr>
        <w:spacing w:line="480" w:lineRule="exact"/>
        <w:ind w:firstLine="480"/>
        <w:rPr>
          <w:rFonts w:cs="仿宋"/>
          <w:sz w:val="24"/>
          <w:szCs w:val="22"/>
        </w:rPr>
      </w:pPr>
      <w:r>
        <w:rPr>
          <w:rFonts w:hint="eastAsia" w:cs="仿宋"/>
          <w:sz w:val="24"/>
          <w:szCs w:val="22"/>
        </w:rPr>
        <w:t>24.2中标通知书发出后，采购人改变中标结果的，或者中标人放弃中标项目的，应当依法承担法律责任。</w:t>
      </w:r>
    </w:p>
    <w:p w14:paraId="774FC0FE">
      <w:pPr>
        <w:spacing w:line="480" w:lineRule="exact"/>
        <w:ind w:firstLine="480"/>
        <w:rPr>
          <w:rFonts w:cs="仿宋"/>
          <w:sz w:val="24"/>
          <w:szCs w:val="22"/>
        </w:rPr>
      </w:pPr>
      <w:r>
        <w:rPr>
          <w:rFonts w:hint="eastAsia" w:cs="仿宋"/>
          <w:sz w:val="24"/>
          <w:szCs w:val="22"/>
        </w:rPr>
        <w:t>24.3采用综合评分法评审的，未中标人可于中标结果公告期限届满之日起通过“苏采云”系统查看</w:t>
      </w:r>
      <w:bookmarkStart w:id="119" w:name="OLE_LINK5"/>
      <w:r>
        <w:rPr>
          <w:rFonts w:hint="eastAsia" w:cs="仿宋"/>
          <w:sz w:val="24"/>
          <w:szCs w:val="22"/>
        </w:rPr>
        <w:t>自己的评审得分及排序情况。</w:t>
      </w:r>
    </w:p>
    <w:bookmarkEnd w:id="119"/>
    <w:p w14:paraId="3BE4C9E2">
      <w:pPr>
        <w:spacing w:line="500" w:lineRule="exact"/>
        <w:ind w:firstLine="482" w:firstLineChars="200"/>
        <w:rPr>
          <w:rFonts w:cs="仿宋"/>
          <w:b/>
          <w:sz w:val="24"/>
          <w:szCs w:val="22"/>
        </w:rPr>
      </w:pPr>
      <w:r>
        <w:rPr>
          <w:rFonts w:hint="eastAsia" w:cs="仿宋"/>
          <w:b/>
          <w:sz w:val="24"/>
          <w:szCs w:val="22"/>
        </w:rPr>
        <w:t>25、授予合同</w:t>
      </w:r>
    </w:p>
    <w:p w14:paraId="377E1877">
      <w:pPr>
        <w:spacing w:line="480" w:lineRule="exact"/>
        <w:ind w:firstLine="480"/>
        <w:rPr>
          <w:rFonts w:cs="仿宋"/>
          <w:sz w:val="24"/>
          <w:szCs w:val="22"/>
        </w:rPr>
      </w:pPr>
      <w:r>
        <w:rPr>
          <w:rFonts w:hint="eastAsia" w:cs="仿宋"/>
          <w:sz w:val="24"/>
          <w:szCs w:val="22"/>
        </w:rPr>
        <w:t>25.1采购人与中标人应当在中标通知书发出之日起30日内签订政府采购合同。招标文件、中标人的投标文件以及评标过程中有关澄清文件均作为合同附件。</w:t>
      </w:r>
    </w:p>
    <w:p w14:paraId="49EF0E66">
      <w:pPr>
        <w:spacing w:line="480" w:lineRule="exact"/>
        <w:ind w:firstLine="480"/>
        <w:rPr>
          <w:rFonts w:cs="仿宋"/>
          <w:sz w:val="24"/>
          <w:szCs w:val="22"/>
        </w:rPr>
      </w:pPr>
      <w:r>
        <w:rPr>
          <w:rFonts w:hint="eastAsia" w:cs="仿宋"/>
          <w:sz w:val="24"/>
          <w:szCs w:val="22"/>
        </w:rPr>
        <w:t>25.2采购人在自合同签订之日起2个工作日内，将合同在指定的媒体上公告。</w:t>
      </w:r>
    </w:p>
    <w:p w14:paraId="0D6E8119">
      <w:pPr>
        <w:spacing w:line="480" w:lineRule="exact"/>
        <w:ind w:firstLine="482" w:firstLineChars="200"/>
        <w:rPr>
          <w:rFonts w:cs="仿宋"/>
          <w:b/>
          <w:sz w:val="24"/>
          <w:szCs w:val="22"/>
        </w:rPr>
      </w:pPr>
      <w:r>
        <w:rPr>
          <w:rFonts w:hint="eastAsia" w:cs="仿宋"/>
          <w:b/>
          <w:sz w:val="24"/>
          <w:szCs w:val="22"/>
        </w:rPr>
        <w:t>26、履约保证金</w:t>
      </w:r>
    </w:p>
    <w:p w14:paraId="3453DF66">
      <w:pPr>
        <w:spacing w:line="480" w:lineRule="exact"/>
        <w:ind w:firstLine="480" w:firstLineChars="200"/>
        <w:rPr>
          <w:rFonts w:cs="仿宋"/>
          <w:sz w:val="24"/>
          <w:szCs w:val="22"/>
          <w:lang w:val="zh-CN"/>
        </w:rPr>
      </w:pPr>
      <w:r>
        <w:rPr>
          <w:rFonts w:hint="eastAsia" w:cs="仿宋"/>
          <w:sz w:val="24"/>
          <w:szCs w:val="22"/>
          <w:lang w:val="zh-CN"/>
        </w:rPr>
        <w:t>按照以下第</w:t>
      </w:r>
      <w:r>
        <w:rPr>
          <w:rFonts w:hint="eastAsia" w:cs="仿宋"/>
          <w:sz w:val="24"/>
          <w:szCs w:val="22"/>
          <w:u w:val="single"/>
        </w:rPr>
        <w:t>（</w:t>
      </w:r>
      <w:r>
        <w:rPr>
          <w:rFonts w:hint="eastAsia" w:cs="仿宋"/>
          <w:sz w:val="24"/>
          <w:szCs w:val="22"/>
          <w:u w:val="single"/>
          <w:lang w:val="en-US" w:eastAsia="zh-CN"/>
        </w:rPr>
        <w:t>1</w:t>
      </w:r>
      <w:r>
        <w:rPr>
          <w:rFonts w:hint="eastAsia" w:cs="仿宋"/>
          <w:sz w:val="24"/>
          <w:szCs w:val="22"/>
          <w:u w:val="single"/>
        </w:rPr>
        <w:t>）</w:t>
      </w:r>
      <w:r>
        <w:rPr>
          <w:rFonts w:hint="eastAsia" w:cs="仿宋"/>
          <w:sz w:val="24"/>
          <w:szCs w:val="22"/>
          <w:lang w:val="zh-CN"/>
        </w:rPr>
        <w:t>方式确定履约保证</w:t>
      </w:r>
      <w:r>
        <w:rPr>
          <w:rFonts w:hint="eastAsia" w:cs="仿宋"/>
          <w:sz w:val="24"/>
          <w:szCs w:val="22"/>
        </w:rPr>
        <w:t>金</w:t>
      </w:r>
      <w:r>
        <w:rPr>
          <w:rFonts w:hint="eastAsia" w:cs="仿宋"/>
          <w:sz w:val="24"/>
          <w:szCs w:val="22"/>
          <w:lang w:val="zh-CN"/>
        </w:rPr>
        <w:t>收取方式。</w:t>
      </w:r>
    </w:p>
    <w:p w14:paraId="33085837">
      <w:pPr>
        <w:spacing w:line="480" w:lineRule="exact"/>
        <w:ind w:firstLine="480" w:firstLineChars="200"/>
        <w:rPr>
          <w:rFonts w:cs="仿宋"/>
          <w:sz w:val="24"/>
          <w:szCs w:val="22"/>
        </w:rPr>
      </w:pPr>
      <w:r>
        <w:rPr>
          <w:rFonts w:hint="eastAsia" w:cs="仿宋"/>
          <w:sz w:val="24"/>
          <w:szCs w:val="22"/>
        </w:rPr>
        <w:t>（1）本项目不收取履约保证金。</w:t>
      </w:r>
    </w:p>
    <w:p w14:paraId="65D90A05">
      <w:pPr>
        <w:spacing w:line="480" w:lineRule="exact"/>
        <w:ind w:firstLine="480"/>
        <w:rPr>
          <w:rFonts w:cs="仿宋"/>
          <w:sz w:val="24"/>
          <w:szCs w:val="22"/>
        </w:rPr>
      </w:pPr>
      <w:r>
        <w:rPr>
          <w:rFonts w:hint="eastAsia" w:cs="仿宋"/>
          <w:sz w:val="24"/>
          <w:szCs w:val="22"/>
        </w:rPr>
        <w:t>（2）本项目收取履约保证金。</w:t>
      </w:r>
    </w:p>
    <w:p w14:paraId="2C036C8A">
      <w:pPr>
        <w:spacing w:line="480" w:lineRule="exact"/>
        <w:ind w:firstLine="480"/>
        <w:rPr>
          <w:rFonts w:cs="仿宋"/>
          <w:sz w:val="24"/>
          <w:szCs w:val="22"/>
        </w:rPr>
      </w:pPr>
      <w:r>
        <w:rPr>
          <w:rFonts w:hint="eastAsia" w:cs="仿宋"/>
          <w:sz w:val="24"/>
          <w:szCs w:val="22"/>
        </w:rPr>
        <w:t>26.1履约保证金提交形式</w:t>
      </w:r>
    </w:p>
    <w:p w14:paraId="436EB31F">
      <w:pPr>
        <w:spacing w:line="480" w:lineRule="exact"/>
        <w:ind w:firstLine="480"/>
        <w:rPr>
          <w:rFonts w:cs="仿宋"/>
          <w:sz w:val="24"/>
          <w:szCs w:val="22"/>
        </w:rPr>
      </w:pPr>
      <w:r>
        <w:rPr>
          <w:rFonts w:hint="eastAsia" w:cs="仿宋"/>
          <w:sz w:val="24"/>
          <w:szCs w:val="22"/>
        </w:rPr>
        <w:t>履约保证金应在采购合同签订前提交，除银行电汇、网上银行、数字人民币外，投标人还可选用银行保函、担保公司的保证担保或保险公司的保证保险等多种形式向采购人缴纳。</w:t>
      </w:r>
    </w:p>
    <w:p w14:paraId="27F2BE1B">
      <w:pPr>
        <w:spacing w:line="480" w:lineRule="exact"/>
        <w:ind w:firstLine="480"/>
        <w:rPr>
          <w:rFonts w:cs="仿宋"/>
          <w:sz w:val="24"/>
          <w:szCs w:val="22"/>
          <w:highlight w:val="none"/>
        </w:rPr>
      </w:pPr>
      <w:r>
        <w:rPr>
          <w:rFonts w:hint="eastAsia" w:cs="仿宋"/>
          <w:sz w:val="24"/>
          <w:szCs w:val="22"/>
          <w:highlight w:val="none"/>
        </w:rPr>
        <w:t>26.2履约保证金提交金额</w:t>
      </w:r>
    </w:p>
    <w:p w14:paraId="362E4AFE">
      <w:pPr>
        <w:spacing w:line="480" w:lineRule="exact"/>
        <w:ind w:firstLine="480"/>
        <w:rPr>
          <w:rFonts w:cs="仿宋"/>
          <w:sz w:val="24"/>
          <w:szCs w:val="22"/>
          <w:highlight w:val="none"/>
        </w:rPr>
      </w:pPr>
      <w:r>
        <w:rPr>
          <w:rFonts w:hint="eastAsia" w:cs="仿宋"/>
          <w:sz w:val="24"/>
          <w:szCs w:val="22"/>
          <w:highlight w:val="none"/>
        </w:rPr>
        <w:t>按采购合同总价的</w:t>
      </w:r>
      <w:r>
        <w:rPr>
          <w:rFonts w:hint="eastAsia" w:cs="仿宋"/>
          <w:sz w:val="24"/>
          <w:szCs w:val="22"/>
          <w:highlight w:val="none"/>
          <w:u w:val="single"/>
          <w:lang w:val="en-US" w:eastAsia="zh-CN"/>
        </w:rPr>
        <w:t>/</w:t>
      </w:r>
      <w:r>
        <w:rPr>
          <w:rFonts w:hint="eastAsia" w:cs="仿宋"/>
          <w:sz w:val="24"/>
          <w:szCs w:val="22"/>
          <w:highlight w:val="none"/>
        </w:rPr>
        <w:t>%提交。</w:t>
      </w:r>
    </w:p>
    <w:p w14:paraId="262BE560">
      <w:pPr>
        <w:spacing w:line="480" w:lineRule="exact"/>
        <w:ind w:firstLine="480"/>
        <w:rPr>
          <w:rFonts w:cs="仿宋"/>
          <w:sz w:val="24"/>
          <w:szCs w:val="22"/>
          <w:highlight w:val="none"/>
        </w:rPr>
      </w:pPr>
      <w:r>
        <w:rPr>
          <w:rFonts w:hint="eastAsia" w:cs="仿宋"/>
          <w:sz w:val="24"/>
          <w:szCs w:val="22"/>
          <w:highlight w:val="none"/>
        </w:rPr>
        <w:t>支持和鼓励投标人使用江苏政府采购电子履约保函（保险）代替缴纳履约保证金，投标人如使用江苏政府采购电子履约保函（保险）的，可按采购合同总价的</w:t>
      </w:r>
      <w:r>
        <w:rPr>
          <w:rFonts w:hint="eastAsia" w:cs="仿宋"/>
          <w:sz w:val="24"/>
          <w:szCs w:val="22"/>
          <w:highlight w:val="none"/>
          <w:u w:val="single"/>
          <w:lang w:val="en-US" w:eastAsia="zh-CN"/>
        </w:rPr>
        <w:t>/</w:t>
      </w:r>
      <w:r>
        <w:rPr>
          <w:rFonts w:hint="eastAsia" w:cs="仿宋"/>
          <w:sz w:val="24"/>
          <w:szCs w:val="22"/>
          <w:highlight w:val="none"/>
        </w:rPr>
        <w:t xml:space="preserve"> %（以履约保证金原提交金额的6折）提交。办理流程、偿付等内容见江苏政府采购网“保险保函”模块。</w:t>
      </w:r>
    </w:p>
    <w:p w14:paraId="4116A6DF">
      <w:pPr>
        <w:spacing w:line="480" w:lineRule="exact"/>
        <w:ind w:firstLine="480"/>
        <w:rPr>
          <w:rFonts w:cs="仿宋"/>
          <w:sz w:val="24"/>
          <w:szCs w:val="22"/>
        </w:rPr>
      </w:pPr>
      <w:r>
        <w:rPr>
          <w:rFonts w:hint="eastAsia" w:cs="仿宋"/>
          <w:sz w:val="24"/>
          <w:szCs w:val="22"/>
        </w:rPr>
        <w:t>26.3履约保证金退还方式</w:t>
      </w:r>
    </w:p>
    <w:p w14:paraId="34994CFF">
      <w:pPr>
        <w:spacing w:line="480" w:lineRule="exact"/>
        <w:ind w:firstLine="480"/>
        <w:rPr>
          <w:rFonts w:cs="仿宋"/>
          <w:sz w:val="24"/>
          <w:szCs w:val="22"/>
        </w:rPr>
      </w:pPr>
      <w:r>
        <w:rPr>
          <w:rFonts w:hint="eastAsia" w:cs="仿宋"/>
          <w:sz w:val="24"/>
          <w:szCs w:val="22"/>
        </w:rPr>
        <w:t>以银行电汇、网上银行、数字人民币形式缴纳履约保证金的，退回至投标人存款账户或数字人民币账户；以保函、担保、保险等形式缴纳履约保证金的，在保函、担保、保险约定的保证期限届满之日起自行失效。</w:t>
      </w:r>
    </w:p>
    <w:p w14:paraId="7713F1CA">
      <w:pPr>
        <w:spacing w:line="480" w:lineRule="exact"/>
        <w:ind w:firstLine="480"/>
        <w:rPr>
          <w:rFonts w:cs="仿宋"/>
          <w:sz w:val="24"/>
          <w:szCs w:val="22"/>
        </w:rPr>
      </w:pPr>
      <w:r>
        <w:rPr>
          <w:rFonts w:hint="eastAsia" w:cs="仿宋"/>
          <w:sz w:val="24"/>
          <w:szCs w:val="22"/>
        </w:rPr>
        <w:t>26.4履约保证金退还条件</w:t>
      </w:r>
    </w:p>
    <w:p w14:paraId="023434FC">
      <w:pPr>
        <w:spacing w:line="480" w:lineRule="exact"/>
        <w:ind w:firstLine="480"/>
        <w:rPr>
          <w:rFonts w:cs="仿宋"/>
          <w:sz w:val="24"/>
          <w:szCs w:val="22"/>
        </w:rPr>
      </w:pPr>
      <w:r>
        <w:rPr>
          <w:rFonts w:hint="eastAsia" w:cs="仿宋"/>
          <w:sz w:val="24"/>
          <w:szCs w:val="22"/>
        </w:rPr>
        <w:t>具有验收合格相关证明材料。</w:t>
      </w:r>
    </w:p>
    <w:p w14:paraId="61CE1FB6">
      <w:pPr>
        <w:spacing w:line="480" w:lineRule="exact"/>
        <w:ind w:firstLine="480"/>
        <w:rPr>
          <w:rFonts w:cs="仿宋"/>
          <w:sz w:val="24"/>
          <w:szCs w:val="22"/>
        </w:rPr>
      </w:pPr>
      <w:r>
        <w:rPr>
          <w:rFonts w:hint="eastAsia" w:cs="仿宋"/>
          <w:sz w:val="24"/>
          <w:szCs w:val="22"/>
        </w:rPr>
        <w:t>26.5履约保证金退还时间</w:t>
      </w:r>
    </w:p>
    <w:p w14:paraId="1BA6509A">
      <w:pPr>
        <w:spacing w:line="480" w:lineRule="exact"/>
        <w:ind w:firstLine="480"/>
        <w:rPr>
          <w:rFonts w:cs="仿宋"/>
          <w:sz w:val="24"/>
          <w:szCs w:val="22"/>
        </w:rPr>
      </w:pPr>
      <w:r>
        <w:rPr>
          <w:rFonts w:hint="eastAsia" w:cs="仿宋"/>
          <w:sz w:val="24"/>
          <w:szCs w:val="22"/>
        </w:rPr>
        <w:t>采购人收到投标人退付申请后5个工作日内退还。</w:t>
      </w:r>
    </w:p>
    <w:p w14:paraId="2945D3A2">
      <w:pPr>
        <w:spacing w:line="480" w:lineRule="exact"/>
        <w:ind w:firstLine="480"/>
        <w:rPr>
          <w:rFonts w:cs="仿宋"/>
          <w:sz w:val="24"/>
          <w:szCs w:val="22"/>
        </w:rPr>
      </w:pPr>
      <w:r>
        <w:rPr>
          <w:rFonts w:hint="eastAsia" w:cs="仿宋"/>
          <w:sz w:val="24"/>
          <w:szCs w:val="22"/>
        </w:rPr>
        <w:t>26.6履约保证金不予退还情形</w:t>
      </w:r>
    </w:p>
    <w:p w14:paraId="0CABCC9D">
      <w:pPr>
        <w:spacing w:line="480" w:lineRule="exact"/>
        <w:ind w:firstLine="480"/>
        <w:rPr>
          <w:rFonts w:cs="仿宋"/>
          <w:sz w:val="24"/>
          <w:szCs w:val="22"/>
        </w:rPr>
      </w:pPr>
      <w:r>
        <w:rPr>
          <w:rFonts w:hint="eastAsia" w:cs="仿宋"/>
          <w:sz w:val="24"/>
          <w:szCs w:val="22"/>
        </w:rPr>
        <w:t>除不可抗力外，中标人不履行与采购人订立的采购合同的，履约保证金不予退还，给采购人造成的损失超过履约保证金数额的，还应对超过部分予以赔偿。</w:t>
      </w:r>
    </w:p>
    <w:p w14:paraId="2269E61C">
      <w:pPr>
        <w:spacing w:line="480" w:lineRule="exact"/>
        <w:ind w:firstLine="480"/>
        <w:rPr>
          <w:rFonts w:cs="仿宋"/>
          <w:sz w:val="24"/>
          <w:szCs w:val="22"/>
        </w:rPr>
      </w:pPr>
      <w:r>
        <w:rPr>
          <w:rFonts w:hint="eastAsia" w:cs="仿宋"/>
          <w:sz w:val="24"/>
          <w:szCs w:val="22"/>
        </w:rPr>
        <w:t>26.7逾期退还履约保证金违约责任</w:t>
      </w:r>
    </w:p>
    <w:p w14:paraId="16184F15">
      <w:pPr>
        <w:spacing w:line="480" w:lineRule="exact"/>
        <w:ind w:firstLine="480"/>
        <w:rPr>
          <w:rFonts w:cs="仿宋"/>
          <w:sz w:val="24"/>
          <w:szCs w:val="22"/>
        </w:rPr>
      </w:pPr>
      <w:r>
        <w:rPr>
          <w:rFonts w:hint="eastAsia" w:cs="仿宋"/>
          <w:sz w:val="24"/>
          <w:szCs w:val="22"/>
        </w:rPr>
        <w:t>采购人逾期退还履约保证金的，除应退还履约保证金外，还应按中国人民银行同期贷款基准利率上浮20％后的利率支付超期资金占用费，但因投标人自身原因导致无法及时退还的除外。</w:t>
      </w:r>
    </w:p>
    <w:p w14:paraId="2AC276AA">
      <w:pPr>
        <w:spacing w:line="480" w:lineRule="exact"/>
        <w:ind w:firstLine="482" w:firstLineChars="200"/>
        <w:rPr>
          <w:rFonts w:cs="仿宋"/>
          <w:b/>
          <w:bCs/>
          <w:sz w:val="24"/>
          <w:szCs w:val="24"/>
        </w:rPr>
      </w:pPr>
      <w:r>
        <w:rPr>
          <w:rFonts w:hint="eastAsia" w:cs="仿宋"/>
          <w:b/>
          <w:sz w:val="24"/>
          <w:szCs w:val="22"/>
        </w:rPr>
        <w:t>27、线上融资</w:t>
      </w:r>
    </w:p>
    <w:p w14:paraId="65961E31">
      <w:pPr>
        <w:spacing w:line="480" w:lineRule="exact"/>
        <w:ind w:firstLine="480" w:firstLineChars="200"/>
        <w:rPr>
          <w:rFonts w:cs="仿宋"/>
          <w:b/>
          <w:bCs/>
          <w:sz w:val="24"/>
          <w:szCs w:val="24"/>
        </w:rPr>
      </w:pPr>
      <w:r>
        <w:rPr>
          <w:rFonts w:hint="eastAsia" w:ascii="宋体" w:hAnsi="宋体"/>
          <w:bCs/>
          <w:sz w:val="24"/>
          <w:szCs w:val="24"/>
        </w:rPr>
        <w:t>中标人可凭政府采购合同办理融资贷款，详情见江苏政府采购网“政采贷”专栏。</w:t>
      </w:r>
    </w:p>
    <w:p w14:paraId="53944FFC">
      <w:pPr>
        <w:spacing w:line="480" w:lineRule="exact"/>
        <w:ind w:firstLine="482" w:firstLineChars="200"/>
        <w:rPr>
          <w:rFonts w:cs="仿宋"/>
          <w:sz w:val="24"/>
          <w:szCs w:val="22"/>
        </w:rPr>
      </w:pPr>
      <w:r>
        <w:rPr>
          <w:rFonts w:hint="eastAsia" w:cs="仿宋"/>
          <w:b/>
          <w:sz w:val="24"/>
          <w:szCs w:val="22"/>
        </w:rPr>
        <w:t>28、合同履行</w:t>
      </w:r>
    </w:p>
    <w:p w14:paraId="32A10F84">
      <w:pPr>
        <w:spacing w:line="480" w:lineRule="exact"/>
        <w:ind w:firstLine="480"/>
        <w:rPr>
          <w:rFonts w:cs="仿宋"/>
          <w:sz w:val="24"/>
          <w:szCs w:val="22"/>
        </w:rPr>
      </w:pPr>
      <w:r>
        <w:rPr>
          <w:rFonts w:hint="eastAsia" w:cs="仿宋"/>
          <w:sz w:val="24"/>
          <w:szCs w:val="22"/>
        </w:rPr>
        <w:t>28.1政府采购合同订立后，合同各方不得擅自变更、中止或者终止合同。</w:t>
      </w:r>
    </w:p>
    <w:p w14:paraId="550BB877">
      <w:pPr>
        <w:spacing w:line="560" w:lineRule="exact"/>
        <w:ind w:firstLine="482"/>
        <w:rPr>
          <w:rFonts w:cs="仿宋"/>
          <w:sz w:val="24"/>
          <w:szCs w:val="22"/>
        </w:rPr>
      </w:pPr>
      <w:r>
        <w:rPr>
          <w:rFonts w:hint="eastAsia" w:cs="仿宋"/>
          <w:sz w:val="24"/>
          <w:szCs w:val="22"/>
        </w:rPr>
        <w:t>28.2政府采购合同履行中，采购人需追加与合同标的相同的货物、工程或者服务的，在不改变合同其他条款的前提下，可以与中标人签订补充合同，但所补充合同的采购金额不得超过原合同采购金额的百分之十。</w:t>
      </w:r>
    </w:p>
    <w:p w14:paraId="09781CAB">
      <w:pPr>
        <w:keepNext/>
        <w:keepLines/>
        <w:spacing w:line="520" w:lineRule="exact"/>
        <w:outlineLvl w:val="1"/>
        <w:rPr>
          <w:rFonts w:ascii="Arial" w:hAnsi="Arial" w:cs="Arial"/>
          <w:b/>
          <w:bCs/>
          <w:sz w:val="32"/>
          <w:szCs w:val="22"/>
        </w:rPr>
      </w:pPr>
      <w:bookmarkStart w:id="120" w:name="_Toc81575162"/>
      <w:bookmarkStart w:id="121" w:name="_Toc7550"/>
      <w:bookmarkStart w:id="122" w:name="_Toc22084"/>
      <w:bookmarkStart w:id="123" w:name="_Toc81575199"/>
      <w:bookmarkStart w:id="124" w:name="_Toc14686"/>
      <w:r>
        <w:rPr>
          <w:rFonts w:hint="eastAsia" w:ascii="Arial" w:hAnsi="Arial" w:cs="Arial"/>
          <w:b/>
          <w:bCs/>
          <w:sz w:val="32"/>
          <w:szCs w:val="22"/>
          <w:lang w:val="en-US" w:eastAsia="zh-CN"/>
        </w:rPr>
        <w:t>八</w:t>
      </w:r>
      <w:r>
        <w:rPr>
          <w:rFonts w:hint="eastAsia" w:ascii="Arial" w:hAnsi="Arial" w:cs="Arial"/>
          <w:b/>
          <w:bCs/>
          <w:sz w:val="32"/>
          <w:szCs w:val="22"/>
        </w:rPr>
        <w:t>、</w:t>
      </w:r>
      <w:bookmarkEnd w:id="120"/>
      <w:bookmarkEnd w:id="121"/>
      <w:bookmarkEnd w:id="122"/>
      <w:bookmarkEnd w:id="123"/>
      <w:bookmarkStart w:id="125" w:name="_Toc81575200"/>
      <w:bookmarkStart w:id="126" w:name="_Toc12263"/>
      <w:bookmarkStart w:id="127" w:name="_Toc81575163"/>
      <w:bookmarkStart w:id="128" w:name="_Toc31888"/>
      <w:r>
        <w:rPr>
          <w:rFonts w:hint="eastAsia" w:ascii="Arial" w:hAnsi="Arial" w:cs="Arial"/>
          <w:b/>
          <w:bCs/>
          <w:sz w:val="32"/>
          <w:szCs w:val="22"/>
        </w:rPr>
        <w:t>质疑与投诉</w:t>
      </w:r>
      <w:bookmarkEnd w:id="124"/>
      <w:bookmarkEnd w:id="125"/>
      <w:bookmarkEnd w:id="126"/>
      <w:bookmarkEnd w:id="127"/>
      <w:bookmarkEnd w:id="128"/>
    </w:p>
    <w:p w14:paraId="3DF9E988">
      <w:pPr>
        <w:spacing w:line="480" w:lineRule="exact"/>
        <w:ind w:firstLine="482" w:firstLineChars="200"/>
        <w:rPr>
          <w:rFonts w:cs="仿宋"/>
          <w:b/>
          <w:sz w:val="24"/>
          <w:szCs w:val="22"/>
        </w:rPr>
      </w:pPr>
      <w:r>
        <w:rPr>
          <w:rFonts w:hint="eastAsia" w:cs="仿宋"/>
          <w:b/>
          <w:sz w:val="24"/>
          <w:szCs w:val="22"/>
          <w:lang w:val="en-US" w:eastAsia="zh-CN"/>
        </w:rPr>
        <w:t>29</w:t>
      </w:r>
      <w:r>
        <w:rPr>
          <w:rFonts w:hint="eastAsia" w:cs="仿宋"/>
          <w:b/>
          <w:sz w:val="24"/>
          <w:szCs w:val="22"/>
        </w:rPr>
        <w:t>、质疑</w:t>
      </w:r>
    </w:p>
    <w:p w14:paraId="0C0F8964">
      <w:pPr>
        <w:spacing w:line="480" w:lineRule="exact"/>
        <w:ind w:firstLine="480" w:firstLineChars="200"/>
        <w:rPr>
          <w:rFonts w:cs="仿宋"/>
          <w:sz w:val="24"/>
          <w:szCs w:val="22"/>
        </w:rPr>
      </w:pPr>
      <w:r>
        <w:rPr>
          <w:rFonts w:hint="eastAsia" w:cs="仿宋"/>
          <w:sz w:val="24"/>
          <w:szCs w:val="22"/>
          <w:lang w:val="en-US" w:eastAsia="zh-CN"/>
        </w:rPr>
        <w:t>29</w:t>
      </w:r>
      <w:r>
        <w:rPr>
          <w:rFonts w:hint="eastAsia" w:cs="仿宋"/>
          <w:sz w:val="24"/>
          <w:szCs w:val="22"/>
        </w:rPr>
        <w:t>.1投标人认为采购文件、采购过程和中标结果使自己的权益受到损害的，可以在知道或者应知其权益受到损害之日起七个工作日内（具体起算时间见31.2），以书面形式向采购代理机构或采购人提出质疑。质疑超出采购机构代理范围的，投标人应当向采购人提出。</w:t>
      </w:r>
    </w:p>
    <w:p w14:paraId="5B2F4A44">
      <w:pPr>
        <w:spacing w:line="480" w:lineRule="exact"/>
        <w:ind w:firstLine="480" w:firstLineChars="200"/>
        <w:rPr>
          <w:rFonts w:cs="仿宋"/>
          <w:sz w:val="24"/>
          <w:szCs w:val="22"/>
        </w:rPr>
      </w:pPr>
      <w:r>
        <w:rPr>
          <w:rFonts w:hint="eastAsia" w:cs="仿宋"/>
          <w:sz w:val="24"/>
          <w:szCs w:val="22"/>
        </w:rPr>
        <w:t>本项目接收质疑函的方式：现场接收或邮寄接收。</w:t>
      </w:r>
    </w:p>
    <w:p w14:paraId="2006D5DF">
      <w:pPr>
        <w:spacing w:line="480" w:lineRule="exact"/>
        <w:ind w:firstLine="480" w:firstLineChars="200"/>
        <w:rPr>
          <w:rFonts w:cs="仿宋"/>
          <w:sz w:val="24"/>
          <w:szCs w:val="22"/>
        </w:rPr>
      </w:pPr>
      <w:r>
        <w:rPr>
          <w:rFonts w:hint="eastAsia" w:cs="仿宋"/>
          <w:sz w:val="24"/>
          <w:szCs w:val="22"/>
        </w:rPr>
        <w:t>联系部门：</w:t>
      </w:r>
      <w:r>
        <w:rPr>
          <w:rFonts w:hint="eastAsia" w:cs="仿宋"/>
          <w:sz w:val="24"/>
          <w:szCs w:val="22"/>
          <w:lang w:eastAsia="zh-CN"/>
        </w:rPr>
        <w:t>宿迁市中心血站</w:t>
      </w:r>
      <w:r>
        <w:rPr>
          <w:rFonts w:hint="eastAsia" w:cs="仿宋"/>
          <w:sz w:val="24"/>
          <w:szCs w:val="22"/>
        </w:rPr>
        <w:t>/江苏佳兴项目管理有限公司</w:t>
      </w:r>
    </w:p>
    <w:p w14:paraId="4AE50C2A">
      <w:pPr>
        <w:spacing w:line="480" w:lineRule="exact"/>
        <w:ind w:firstLine="480" w:firstLineChars="200"/>
        <w:rPr>
          <w:rFonts w:cs="仿宋"/>
          <w:sz w:val="24"/>
          <w:szCs w:val="22"/>
        </w:rPr>
      </w:pPr>
      <w:r>
        <w:rPr>
          <w:rFonts w:hint="eastAsia" w:cs="仿宋"/>
          <w:sz w:val="24"/>
          <w:szCs w:val="22"/>
        </w:rPr>
        <w:t>联系电话：0527-84352856/0527-88858115</w:t>
      </w:r>
    </w:p>
    <w:p w14:paraId="08A6B360">
      <w:pPr>
        <w:spacing w:line="480" w:lineRule="exact"/>
        <w:ind w:firstLine="480" w:firstLineChars="200"/>
        <w:rPr>
          <w:rFonts w:cs="仿宋"/>
          <w:sz w:val="24"/>
          <w:szCs w:val="22"/>
        </w:rPr>
      </w:pPr>
      <w:r>
        <w:rPr>
          <w:rFonts w:hint="eastAsia" w:cs="仿宋"/>
          <w:sz w:val="24"/>
          <w:szCs w:val="22"/>
        </w:rPr>
        <w:t>通讯地址：</w:t>
      </w:r>
      <w:r>
        <w:rPr>
          <w:rFonts w:hint="eastAsia" w:cs="仿宋"/>
          <w:sz w:val="24"/>
          <w:szCs w:val="22"/>
          <w:lang w:eastAsia="zh-CN"/>
        </w:rPr>
        <w:t>宿迁市宿城区人民大道8号</w:t>
      </w:r>
      <w:r>
        <w:rPr>
          <w:rFonts w:hint="eastAsia" w:cs="仿宋"/>
          <w:sz w:val="24"/>
          <w:szCs w:val="22"/>
        </w:rPr>
        <w:t>/宿迁经济技术开发区世纪大道299号</w:t>
      </w:r>
    </w:p>
    <w:p w14:paraId="5D4A0147">
      <w:pPr>
        <w:spacing w:line="480" w:lineRule="exact"/>
        <w:ind w:firstLine="480" w:firstLineChars="200"/>
        <w:rPr>
          <w:rFonts w:cs="仿宋"/>
          <w:sz w:val="24"/>
          <w:szCs w:val="22"/>
        </w:rPr>
      </w:pPr>
      <w:r>
        <w:rPr>
          <w:rFonts w:hint="eastAsia" w:cs="仿宋"/>
          <w:sz w:val="24"/>
          <w:szCs w:val="22"/>
          <w:lang w:val="en-US" w:eastAsia="zh-CN"/>
        </w:rPr>
        <w:t>29</w:t>
      </w:r>
      <w:r>
        <w:rPr>
          <w:rFonts w:hint="eastAsia" w:cs="仿宋"/>
          <w:sz w:val="24"/>
          <w:szCs w:val="22"/>
        </w:rPr>
        <w:t>.2投标人应知其权益受到损害之日，是指：</w:t>
      </w:r>
    </w:p>
    <w:p w14:paraId="6D6C4684">
      <w:pPr>
        <w:spacing w:line="480" w:lineRule="exact"/>
        <w:ind w:firstLine="480"/>
        <w:rPr>
          <w:rFonts w:cs="仿宋"/>
          <w:sz w:val="24"/>
          <w:szCs w:val="22"/>
        </w:rPr>
      </w:pPr>
      <w:r>
        <w:rPr>
          <w:rFonts w:hint="eastAsia" w:cs="仿宋"/>
          <w:sz w:val="24"/>
          <w:szCs w:val="22"/>
        </w:rPr>
        <w:t>（1）对本项目采购文件提出质疑的，为获取采购文件之日或者采购文件公告期限届满之日；</w:t>
      </w:r>
    </w:p>
    <w:p w14:paraId="02EA7BC0">
      <w:pPr>
        <w:spacing w:line="480" w:lineRule="exact"/>
        <w:ind w:firstLine="480"/>
        <w:rPr>
          <w:rFonts w:cs="仿宋"/>
          <w:sz w:val="24"/>
          <w:szCs w:val="22"/>
        </w:rPr>
      </w:pPr>
      <w:r>
        <w:rPr>
          <w:rFonts w:hint="eastAsia" w:cs="仿宋"/>
          <w:sz w:val="24"/>
          <w:szCs w:val="22"/>
        </w:rPr>
        <w:t>（2）对本项目采购过程提出质疑的，为各采购程序环节结束之日；</w:t>
      </w:r>
    </w:p>
    <w:p w14:paraId="75D07ECB">
      <w:pPr>
        <w:spacing w:line="480" w:lineRule="exact"/>
        <w:ind w:firstLine="480"/>
        <w:rPr>
          <w:rFonts w:cs="仿宋"/>
          <w:sz w:val="24"/>
          <w:szCs w:val="22"/>
        </w:rPr>
      </w:pPr>
      <w:r>
        <w:rPr>
          <w:rFonts w:hint="eastAsia" w:cs="仿宋"/>
          <w:sz w:val="24"/>
          <w:szCs w:val="22"/>
        </w:rPr>
        <w:t>（3）对本项目中标结果提出质疑的，为中标结果公告期限届满之日。</w:t>
      </w:r>
    </w:p>
    <w:p w14:paraId="2E476B6F">
      <w:pPr>
        <w:spacing w:line="480" w:lineRule="exact"/>
        <w:ind w:firstLine="480"/>
        <w:rPr>
          <w:rFonts w:cs="仿宋"/>
          <w:sz w:val="24"/>
          <w:szCs w:val="22"/>
        </w:rPr>
      </w:pPr>
      <w:r>
        <w:rPr>
          <w:rFonts w:hint="eastAsia" w:cs="仿宋"/>
          <w:sz w:val="24"/>
          <w:szCs w:val="22"/>
          <w:lang w:val="en-US" w:eastAsia="zh-CN"/>
        </w:rPr>
        <w:t>29</w:t>
      </w:r>
      <w:r>
        <w:rPr>
          <w:rFonts w:hint="eastAsia" w:cs="仿宋"/>
          <w:sz w:val="24"/>
          <w:szCs w:val="22"/>
        </w:rPr>
        <w:t>.3质疑投标人应当是参与所质疑项目采购活动的投标人。潜在投标人已依法获取其可质疑的采购文件的，方可对该文件提出质疑。投标人在法定质疑期内应一次性提出针对同一采购程序环节的质疑。</w:t>
      </w:r>
    </w:p>
    <w:p w14:paraId="11ECAF00">
      <w:pPr>
        <w:spacing w:line="480" w:lineRule="exact"/>
        <w:ind w:firstLine="480"/>
        <w:rPr>
          <w:rFonts w:cs="仿宋"/>
          <w:sz w:val="24"/>
          <w:szCs w:val="22"/>
        </w:rPr>
      </w:pPr>
      <w:r>
        <w:rPr>
          <w:rFonts w:hint="eastAsia" w:cs="仿宋"/>
          <w:sz w:val="24"/>
          <w:szCs w:val="22"/>
          <w:lang w:val="en-US" w:eastAsia="zh-CN"/>
        </w:rPr>
        <w:t>29</w:t>
      </w:r>
      <w:r>
        <w:rPr>
          <w:rFonts w:hint="eastAsia" w:cs="仿宋"/>
          <w:sz w:val="24"/>
          <w:szCs w:val="22"/>
        </w:rPr>
        <w:t>.4投标人提出质疑应当提交质疑函和必要的证明材料。质疑函的必备内容：</w:t>
      </w:r>
    </w:p>
    <w:p w14:paraId="29827B60">
      <w:pPr>
        <w:spacing w:line="480" w:lineRule="exact"/>
        <w:ind w:firstLine="480"/>
        <w:rPr>
          <w:rFonts w:cs="仿宋"/>
          <w:sz w:val="24"/>
          <w:szCs w:val="22"/>
        </w:rPr>
      </w:pPr>
      <w:r>
        <w:rPr>
          <w:rFonts w:hint="eastAsia" w:cs="仿宋"/>
          <w:sz w:val="24"/>
          <w:szCs w:val="22"/>
        </w:rPr>
        <w:t>（1）投标人的姓名或者名称、地址、邮编、联系人及联系电话；</w:t>
      </w:r>
    </w:p>
    <w:p w14:paraId="20691C1A">
      <w:pPr>
        <w:spacing w:line="480" w:lineRule="exact"/>
        <w:ind w:firstLine="480"/>
        <w:rPr>
          <w:rFonts w:cs="仿宋"/>
          <w:sz w:val="24"/>
          <w:szCs w:val="22"/>
        </w:rPr>
      </w:pPr>
      <w:r>
        <w:rPr>
          <w:rFonts w:hint="eastAsia" w:cs="仿宋"/>
          <w:sz w:val="24"/>
          <w:szCs w:val="22"/>
        </w:rPr>
        <w:t>（2）质疑项目的名称、编号；</w:t>
      </w:r>
    </w:p>
    <w:p w14:paraId="4CE9544E">
      <w:pPr>
        <w:spacing w:line="480" w:lineRule="exact"/>
        <w:ind w:firstLine="480"/>
        <w:rPr>
          <w:rFonts w:cs="仿宋"/>
          <w:sz w:val="24"/>
          <w:szCs w:val="22"/>
        </w:rPr>
      </w:pPr>
      <w:r>
        <w:rPr>
          <w:rFonts w:hint="eastAsia" w:cs="仿宋"/>
          <w:sz w:val="24"/>
          <w:szCs w:val="22"/>
        </w:rPr>
        <w:t>（3）获取采购文件的时间；</w:t>
      </w:r>
    </w:p>
    <w:p w14:paraId="00BD983B">
      <w:pPr>
        <w:spacing w:line="480" w:lineRule="exact"/>
        <w:ind w:firstLine="480"/>
        <w:rPr>
          <w:rFonts w:cs="仿宋"/>
          <w:sz w:val="24"/>
          <w:szCs w:val="22"/>
        </w:rPr>
      </w:pPr>
      <w:r>
        <w:rPr>
          <w:rFonts w:hint="eastAsia" w:cs="仿宋"/>
          <w:sz w:val="24"/>
          <w:szCs w:val="22"/>
        </w:rPr>
        <w:t>（4）具体、明确的质疑事项和质疑事项相关的请求；</w:t>
      </w:r>
    </w:p>
    <w:p w14:paraId="5DE7ABA7">
      <w:pPr>
        <w:spacing w:line="480" w:lineRule="exact"/>
        <w:ind w:firstLine="480"/>
        <w:rPr>
          <w:rFonts w:cs="仿宋"/>
          <w:sz w:val="24"/>
          <w:szCs w:val="22"/>
        </w:rPr>
      </w:pPr>
      <w:r>
        <w:rPr>
          <w:rFonts w:hint="eastAsia" w:cs="仿宋"/>
          <w:sz w:val="24"/>
          <w:szCs w:val="22"/>
        </w:rPr>
        <w:t>（5）事实依据；</w:t>
      </w:r>
    </w:p>
    <w:p w14:paraId="182DD14B">
      <w:pPr>
        <w:spacing w:line="480" w:lineRule="exact"/>
        <w:ind w:firstLine="480"/>
        <w:rPr>
          <w:rFonts w:cs="仿宋"/>
          <w:sz w:val="24"/>
          <w:szCs w:val="22"/>
        </w:rPr>
      </w:pPr>
      <w:r>
        <w:rPr>
          <w:rFonts w:hint="eastAsia" w:cs="仿宋"/>
          <w:sz w:val="24"/>
          <w:szCs w:val="22"/>
        </w:rPr>
        <w:t>（6）必要的法律依据；</w:t>
      </w:r>
    </w:p>
    <w:p w14:paraId="027B2EC6">
      <w:pPr>
        <w:spacing w:line="480" w:lineRule="exact"/>
        <w:ind w:firstLine="480"/>
        <w:rPr>
          <w:rFonts w:cs="仿宋"/>
          <w:sz w:val="24"/>
          <w:szCs w:val="22"/>
        </w:rPr>
      </w:pPr>
      <w:r>
        <w:rPr>
          <w:rFonts w:hint="eastAsia" w:cs="仿宋"/>
          <w:sz w:val="24"/>
          <w:szCs w:val="22"/>
        </w:rPr>
        <w:t>（7）提出质疑的日期；</w:t>
      </w:r>
    </w:p>
    <w:p w14:paraId="3E7D27E9">
      <w:pPr>
        <w:spacing w:line="480" w:lineRule="exact"/>
        <w:ind w:firstLine="480"/>
        <w:rPr>
          <w:rFonts w:cs="仿宋"/>
          <w:sz w:val="24"/>
          <w:szCs w:val="22"/>
        </w:rPr>
      </w:pPr>
      <w:r>
        <w:rPr>
          <w:rFonts w:hint="eastAsia" w:cs="仿宋"/>
          <w:sz w:val="24"/>
          <w:szCs w:val="22"/>
        </w:rPr>
        <w:t>（8）投标人为自然人的，由本人签字；投标人为法人或者其他组织的，应当由法定代表人、主要负责人，或者其授权代表签字或者盖章，并加盖公章；</w:t>
      </w:r>
    </w:p>
    <w:p w14:paraId="00044EB8">
      <w:pPr>
        <w:spacing w:line="480" w:lineRule="exact"/>
        <w:ind w:firstLine="480"/>
        <w:rPr>
          <w:rFonts w:cs="仿宋"/>
          <w:sz w:val="24"/>
          <w:szCs w:val="22"/>
        </w:rPr>
      </w:pPr>
      <w:r>
        <w:rPr>
          <w:rFonts w:hint="eastAsia" w:cs="仿宋"/>
          <w:sz w:val="24"/>
          <w:szCs w:val="22"/>
        </w:rPr>
        <w:t>（9）投标人委托代理人进行质疑的，代理人同时应当提交投标人签署的授权委托书。授权委托书载明代理人的姓名或者名称、代理事项、具体权限、期限和相关事项。投标人为自然人的，授权委托书应当由本人签字；投标人为法人或者其他组织的，授权委托书应当由法定代表人、主要负责人签字或者盖章，并加盖单位公章。</w:t>
      </w:r>
    </w:p>
    <w:p w14:paraId="47068DA9">
      <w:pPr>
        <w:spacing w:line="480" w:lineRule="exact"/>
        <w:ind w:firstLine="480"/>
        <w:rPr>
          <w:rFonts w:cs="仿宋"/>
          <w:sz w:val="24"/>
          <w:szCs w:val="22"/>
        </w:rPr>
      </w:pPr>
      <w:r>
        <w:rPr>
          <w:rFonts w:hint="eastAsia" w:cs="仿宋"/>
          <w:sz w:val="24"/>
          <w:szCs w:val="22"/>
          <w:lang w:val="en-US" w:eastAsia="zh-CN"/>
        </w:rPr>
        <w:t>29</w:t>
      </w:r>
      <w:r>
        <w:rPr>
          <w:rFonts w:hint="eastAsia" w:cs="仿宋"/>
          <w:sz w:val="24"/>
          <w:szCs w:val="22"/>
        </w:rPr>
        <w:t>.5采购人在收到质疑函后7个工作日内作出答复，并以书面形式通知质疑投标人和其他有关投标人，但质疑答复的内容不涉及商业秘密。</w:t>
      </w:r>
    </w:p>
    <w:p w14:paraId="632D184C">
      <w:pPr>
        <w:spacing w:line="480" w:lineRule="exact"/>
        <w:ind w:firstLine="482" w:firstLineChars="200"/>
        <w:rPr>
          <w:rFonts w:cs="仿宋"/>
          <w:b/>
          <w:sz w:val="24"/>
          <w:szCs w:val="22"/>
        </w:rPr>
      </w:pPr>
      <w:r>
        <w:rPr>
          <w:rFonts w:hint="eastAsia" w:cs="仿宋"/>
          <w:b/>
          <w:sz w:val="24"/>
          <w:szCs w:val="22"/>
          <w:lang w:val="en-US" w:eastAsia="zh-CN"/>
        </w:rPr>
        <w:t>30</w:t>
      </w:r>
      <w:r>
        <w:rPr>
          <w:rFonts w:hint="eastAsia" w:cs="仿宋"/>
          <w:b/>
          <w:sz w:val="24"/>
          <w:szCs w:val="22"/>
        </w:rPr>
        <w:t>、投诉</w:t>
      </w:r>
    </w:p>
    <w:p w14:paraId="4259EC27">
      <w:pPr>
        <w:spacing w:line="480" w:lineRule="exact"/>
        <w:ind w:firstLine="480"/>
        <w:rPr>
          <w:rFonts w:cs="仿宋"/>
          <w:sz w:val="24"/>
          <w:szCs w:val="22"/>
        </w:rPr>
      </w:pPr>
      <w:r>
        <w:rPr>
          <w:rFonts w:hint="eastAsia" w:cs="仿宋"/>
          <w:sz w:val="24"/>
          <w:szCs w:val="22"/>
        </w:rPr>
        <w:t>质疑投标人对答复不满意或采购人、采购代理机构未在规定时间内作出答复的，可在答复期满后15个工作日内向同级财政部门提起投诉。</w:t>
      </w:r>
    </w:p>
    <w:p w14:paraId="5CBA9A9A">
      <w:pPr>
        <w:spacing w:line="560" w:lineRule="exact"/>
        <w:ind w:firstLine="482"/>
        <w:rPr>
          <w:rFonts w:cs="仿宋"/>
          <w:sz w:val="24"/>
          <w:szCs w:val="22"/>
        </w:rPr>
      </w:pPr>
    </w:p>
    <w:p w14:paraId="7B1BB050">
      <w:pPr>
        <w:spacing w:line="560" w:lineRule="exact"/>
        <w:ind w:firstLine="482"/>
        <w:rPr>
          <w:b/>
          <w:sz w:val="24"/>
        </w:rPr>
      </w:pPr>
    </w:p>
    <w:p w14:paraId="27C1E427"/>
    <w:p w14:paraId="4ED6C465"/>
    <w:p w14:paraId="1B5B6C76"/>
    <w:p w14:paraId="7BE78352"/>
    <w:p w14:paraId="23778C11"/>
    <w:p w14:paraId="7D7AB05C"/>
    <w:p w14:paraId="52BB25E3"/>
    <w:p w14:paraId="38024072"/>
    <w:p w14:paraId="4ABDE636"/>
    <w:p w14:paraId="57CD2C09"/>
    <w:p w14:paraId="1139EBE1"/>
    <w:p w14:paraId="4414A9AA"/>
    <w:p w14:paraId="4F4D2CAA"/>
    <w:p w14:paraId="6D392B83"/>
    <w:p w14:paraId="124006E1"/>
    <w:p w14:paraId="7F51A24D"/>
    <w:p w14:paraId="6D5323B4"/>
    <w:p w14:paraId="2D1E6A0D"/>
    <w:p w14:paraId="3AA06BFB"/>
    <w:p w14:paraId="27D581DC"/>
    <w:p w14:paraId="04E50897"/>
    <w:p w14:paraId="66A549D9"/>
    <w:p w14:paraId="27C24525"/>
    <w:p w14:paraId="6212D2F4"/>
    <w:p w14:paraId="58339C80"/>
    <w:p w14:paraId="2ACB5040"/>
    <w:p w14:paraId="2E5858EE"/>
    <w:p w14:paraId="64AE2B8F"/>
    <w:p w14:paraId="3DFD3A89"/>
    <w:p w14:paraId="43CD543E"/>
    <w:p w14:paraId="33D0BAEC"/>
    <w:p w14:paraId="4C033C76"/>
    <w:p w14:paraId="092BC5EC"/>
    <w:bookmarkEnd w:id="114"/>
    <w:bookmarkEnd w:id="115"/>
    <w:bookmarkEnd w:id="116"/>
    <w:bookmarkEnd w:id="117"/>
    <w:bookmarkEnd w:id="118"/>
    <w:p w14:paraId="28977DFF">
      <w:pPr>
        <w:keepNext/>
        <w:keepLines/>
        <w:spacing w:before="200" w:after="200"/>
        <w:jc w:val="center"/>
        <w:outlineLvl w:val="0"/>
        <w:rPr>
          <w:rFonts w:ascii="Arial" w:hAnsi="Arial" w:eastAsia="Arial" w:cs="Arial"/>
          <w:sz w:val="40"/>
          <w:szCs w:val="40"/>
        </w:rPr>
      </w:pPr>
      <w:bookmarkStart w:id="129" w:name="_Toc17961"/>
      <w:bookmarkStart w:id="130" w:name="_Toc16851"/>
      <w:bookmarkStart w:id="131" w:name="_Toc118461986"/>
      <w:bookmarkStart w:id="132" w:name="_Toc104802328"/>
      <w:bookmarkStart w:id="133" w:name="_Toc155086566"/>
      <w:bookmarkStart w:id="134" w:name="_Toc20823346"/>
      <w:bookmarkStart w:id="135" w:name="_Hlt16619350"/>
      <w:bookmarkStart w:id="136" w:name="_Toc16938590"/>
      <w:bookmarkStart w:id="137" w:name="_Toc120614244"/>
      <w:bookmarkStart w:id="138" w:name="_Toc479757211"/>
      <w:bookmarkStart w:id="139" w:name="_Toc462564139"/>
      <w:r>
        <w:rPr>
          <w:rFonts w:hint="eastAsia" w:eastAsia="黑体" w:cs="Arial"/>
          <w:b/>
          <w:bCs/>
          <w:sz w:val="44"/>
          <w:szCs w:val="44"/>
        </w:rPr>
        <w:t>第三章 资格审查及评标方法</w:t>
      </w:r>
      <w:bookmarkEnd w:id="129"/>
      <w:bookmarkEnd w:id="130"/>
    </w:p>
    <w:p w14:paraId="5E00C453">
      <w:pPr>
        <w:spacing w:line="480" w:lineRule="exact"/>
        <w:ind w:firstLine="482" w:firstLineChars="200"/>
        <w:jc w:val="left"/>
        <w:rPr>
          <w:rFonts w:cs="仿宋"/>
          <w:b/>
          <w:bCs/>
          <w:sz w:val="24"/>
          <w:szCs w:val="22"/>
        </w:rPr>
      </w:pPr>
      <w:r>
        <w:rPr>
          <w:rFonts w:hint="eastAsia" w:cs="仿宋"/>
          <w:b/>
          <w:bCs/>
          <w:sz w:val="24"/>
          <w:szCs w:val="22"/>
        </w:rPr>
        <w:t>一、资格审查</w:t>
      </w:r>
    </w:p>
    <w:p w14:paraId="477422FA">
      <w:pPr>
        <w:spacing w:line="480" w:lineRule="exact"/>
        <w:ind w:firstLine="480" w:firstLineChars="200"/>
        <w:jc w:val="left"/>
        <w:rPr>
          <w:rFonts w:cs="仿宋"/>
          <w:sz w:val="24"/>
          <w:szCs w:val="22"/>
        </w:rPr>
      </w:pPr>
      <w:r>
        <w:rPr>
          <w:rFonts w:hint="eastAsia" w:ascii="Calibri" w:hAnsi="Calibri"/>
          <w:sz w:val="24"/>
          <w:szCs w:val="28"/>
        </w:rPr>
        <w:t>资格审查人员按照下列指标对各投标人的资格进行审查，未通过审查的为无效标，不参与评标。</w:t>
      </w:r>
    </w:p>
    <w:tbl>
      <w:tblPr>
        <w:tblStyle w:val="49"/>
        <w:tblW w:w="8668" w:type="dxa"/>
        <w:tblInd w:w="-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4422"/>
        <w:gridCol w:w="4246"/>
      </w:tblGrid>
      <w:tr w14:paraId="4643AE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422" w:type="dxa"/>
            <w:tcBorders>
              <w:top w:val="single" w:color="auto" w:sz="6" w:space="0"/>
              <w:left w:val="single" w:color="auto" w:sz="6" w:space="0"/>
              <w:bottom w:val="single" w:color="auto" w:sz="6" w:space="0"/>
              <w:right w:val="single" w:color="auto" w:sz="6" w:space="0"/>
            </w:tcBorders>
            <w:vAlign w:val="center"/>
          </w:tcPr>
          <w:p w14:paraId="33835A07">
            <w:pPr>
              <w:spacing w:line="480" w:lineRule="exact"/>
              <w:jc w:val="center"/>
              <w:rPr>
                <w:rFonts w:cs="仿宋"/>
                <w:b/>
                <w:bCs/>
                <w:szCs w:val="22"/>
              </w:rPr>
            </w:pPr>
            <w:r>
              <w:rPr>
                <w:rFonts w:hint="eastAsia" w:cs="仿宋"/>
                <w:b/>
                <w:bCs/>
                <w:szCs w:val="22"/>
              </w:rPr>
              <w:t>资格审查因素</w:t>
            </w:r>
          </w:p>
        </w:tc>
        <w:tc>
          <w:tcPr>
            <w:tcW w:w="4246" w:type="dxa"/>
            <w:tcBorders>
              <w:top w:val="single" w:color="auto" w:sz="6" w:space="0"/>
              <w:left w:val="single" w:color="auto" w:sz="6" w:space="0"/>
              <w:bottom w:val="single" w:color="auto" w:sz="6" w:space="0"/>
              <w:right w:val="single" w:color="auto" w:sz="6" w:space="0"/>
            </w:tcBorders>
            <w:vAlign w:val="center"/>
          </w:tcPr>
          <w:p w14:paraId="0D36994A">
            <w:pPr>
              <w:spacing w:line="480" w:lineRule="exact"/>
              <w:jc w:val="center"/>
              <w:rPr>
                <w:rFonts w:cs="仿宋"/>
                <w:b/>
                <w:bCs/>
                <w:szCs w:val="22"/>
              </w:rPr>
            </w:pPr>
            <w:r>
              <w:rPr>
                <w:rFonts w:hint="eastAsia" w:cs="仿宋"/>
                <w:b/>
                <w:bCs/>
                <w:szCs w:val="22"/>
              </w:rPr>
              <w:t>审查标准</w:t>
            </w:r>
          </w:p>
        </w:tc>
      </w:tr>
      <w:tr w14:paraId="31CE18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422" w:type="dxa"/>
            <w:tcBorders>
              <w:top w:val="single" w:color="auto" w:sz="6" w:space="0"/>
              <w:left w:val="single" w:color="auto" w:sz="6" w:space="0"/>
              <w:bottom w:val="single" w:color="auto" w:sz="6" w:space="0"/>
              <w:right w:val="single" w:color="auto" w:sz="6" w:space="0"/>
            </w:tcBorders>
            <w:vAlign w:val="center"/>
          </w:tcPr>
          <w:p w14:paraId="402BCFC0">
            <w:pPr>
              <w:spacing w:line="480" w:lineRule="exact"/>
              <w:jc w:val="center"/>
              <w:rPr>
                <w:rFonts w:cs="仿宋"/>
                <w:szCs w:val="22"/>
              </w:rPr>
            </w:pPr>
            <w:r>
              <w:rPr>
                <w:rFonts w:hint="eastAsia" w:cs="仿宋"/>
                <w:szCs w:val="22"/>
              </w:rPr>
              <w:t>投标函</w:t>
            </w:r>
          </w:p>
        </w:tc>
        <w:tc>
          <w:tcPr>
            <w:tcW w:w="4246" w:type="dxa"/>
            <w:tcBorders>
              <w:top w:val="single" w:color="auto" w:sz="6" w:space="0"/>
              <w:left w:val="single" w:color="auto" w:sz="6" w:space="0"/>
              <w:bottom w:val="single" w:color="auto" w:sz="6" w:space="0"/>
              <w:right w:val="single" w:color="auto" w:sz="6" w:space="0"/>
            </w:tcBorders>
            <w:vAlign w:val="center"/>
          </w:tcPr>
          <w:p w14:paraId="42DEB95E">
            <w:pPr>
              <w:spacing w:line="480" w:lineRule="exact"/>
              <w:jc w:val="center"/>
              <w:rPr>
                <w:rFonts w:cs="仿宋"/>
                <w:szCs w:val="22"/>
              </w:rPr>
            </w:pPr>
            <w:r>
              <w:rPr>
                <w:rFonts w:hint="eastAsia" w:cs="仿宋"/>
                <w:szCs w:val="22"/>
              </w:rPr>
              <w:t>符合招标文件要求</w:t>
            </w:r>
          </w:p>
        </w:tc>
      </w:tr>
      <w:tr w14:paraId="30792E4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422" w:type="dxa"/>
            <w:tcBorders>
              <w:top w:val="single" w:color="auto" w:sz="6" w:space="0"/>
              <w:left w:val="single" w:color="auto" w:sz="6" w:space="0"/>
              <w:bottom w:val="single" w:color="auto" w:sz="6" w:space="0"/>
              <w:right w:val="single" w:color="auto" w:sz="6" w:space="0"/>
            </w:tcBorders>
            <w:vAlign w:val="center"/>
          </w:tcPr>
          <w:p w14:paraId="5D4DCA9E">
            <w:pPr>
              <w:spacing w:line="480" w:lineRule="exact"/>
              <w:jc w:val="center"/>
              <w:rPr>
                <w:rFonts w:cs="仿宋"/>
                <w:szCs w:val="22"/>
              </w:rPr>
            </w:pPr>
            <w:r>
              <w:rPr>
                <w:rFonts w:hint="eastAsia" w:cs="仿宋"/>
                <w:szCs w:val="22"/>
              </w:rPr>
              <w:t>信用信息</w:t>
            </w:r>
          </w:p>
        </w:tc>
        <w:tc>
          <w:tcPr>
            <w:tcW w:w="4246" w:type="dxa"/>
            <w:tcBorders>
              <w:top w:val="single" w:color="auto" w:sz="6" w:space="0"/>
              <w:left w:val="single" w:color="auto" w:sz="6" w:space="0"/>
              <w:bottom w:val="single" w:color="auto" w:sz="6" w:space="0"/>
              <w:right w:val="single" w:color="auto" w:sz="6" w:space="0"/>
            </w:tcBorders>
            <w:vAlign w:val="center"/>
          </w:tcPr>
          <w:p w14:paraId="51756738">
            <w:pPr>
              <w:spacing w:line="480" w:lineRule="exact"/>
              <w:jc w:val="center"/>
              <w:rPr>
                <w:rFonts w:cs="仿宋"/>
                <w:szCs w:val="22"/>
              </w:rPr>
            </w:pPr>
            <w:r>
              <w:rPr>
                <w:rFonts w:hint="eastAsia" w:cs="仿宋"/>
                <w:szCs w:val="22"/>
              </w:rPr>
              <w:t>符合招标文件要求</w:t>
            </w:r>
          </w:p>
        </w:tc>
      </w:tr>
      <w:tr w14:paraId="2BAE4F2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422" w:type="dxa"/>
            <w:tcBorders>
              <w:top w:val="single" w:color="auto" w:sz="6" w:space="0"/>
              <w:left w:val="single" w:color="auto" w:sz="6" w:space="0"/>
              <w:bottom w:val="single" w:color="auto" w:sz="6" w:space="0"/>
              <w:right w:val="single" w:color="auto" w:sz="6" w:space="0"/>
            </w:tcBorders>
            <w:vAlign w:val="center"/>
          </w:tcPr>
          <w:p w14:paraId="54E83A0B">
            <w:pPr>
              <w:spacing w:line="480" w:lineRule="exact"/>
              <w:jc w:val="center"/>
              <w:rPr>
                <w:rFonts w:hint="eastAsia" w:eastAsia="宋体" w:cs="仿宋"/>
                <w:szCs w:val="22"/>
                <w:lang w:val="en-US" w:eastAsia="zh-CN"/>
              </w:rPr>
            </w:pPr>
            <w:r>
              <w:rPr>
                <w:rFonts w:hint="eastAsia" w:cs="仿宋"/>
                <w:szCs w:val="22"/>
                <w:lang w:val="en-US" w:eastAsia="zh-CN"/>
              </w:rPr>
              <w:t>特定资格要求</w:t>
            </w:r>
          </w:p>
        </w:tc>
        <w:tc>
          <w:tcPr>
            <w:tcW w:w="4246" w:type="dxa"/>
            <w:tcBorders>
              <w:top w:val="single" w:color="auto" w:sz="6" w:space="0"/>
              <w:left w:val="single" w:color="auto" w:sz="6" w:space="0"/>
              <w:bottom w:val="single" w:color="auto" w:sz="6" w:space="0"/>
              <w:right w:val="single" w:color="auto" w:sz="6" w:space="0"/>
            </w:tcBorders>
            <w:vAlign w:val="center"/>
          </w:tcPr>
          <w:p w14:paraId="0C766172">
            <w:pPr>
              <w:spacing w:line="480" w:lineRule="exact"/>
              <w:jc w:val="center"/>
              <w:rPr>
                <w:rFonts w:hint="eastAsia" w:cs="仿宋"/>
                <w:szCs w:val="22"/>
              </w:rPr>
            </w:pPr>
            <w:r>
              <w:rPr>
                <w:rFonts w:hint="eastAsia" w:cs="仿宋"/>
                <w:szCs w:val="22"/>
              </w:rPr>
              <w:t>符合招标文件要求</w:t>
            </w:r>
          </w:p>
        </w:tc>
      </w:tr>
    </w:tbl>
    <w:p w14:paraId="392554B0">
      <w:pPr>
        <w:spacing w:line="480" w:lineRule="exact"/>
        <w:ind w:firstLine="482" w:firstLineChars="200"/>
        <w:jc w:val="left"/>
        <w:rPr>
          <w:rFonts w:cs="仿宋"/>
          <w:b/>
          <w:bCs/>
          <w:sz w:val="24"/>
          <w:szCs w:val="22"/>
        </w:rPr>
      </w:pPr>
      <w:r>
        <w:rPr>
          <w:rFonts w:hint="eastAsia" w:cs="仿宋"/>
          <w:b/>
          <w:bCs/>
          <w:sz w:val="24"/>
          <w:szCs w:val="22"/>
        </w:rPr>
        <w:t>二、符合性审查</w:t>
      </w:r>
    </w:p>
    <w:p w14:paraId="28D18A31">
      <w:pPr>
        <w:spacing w:line="480" w:lineRule="exact"/>
        <w:ind w:firstLine="480" w:firstLineChars="200"/>
        <w:jc w:val="left"/>
        <w:rPr>
          <w:rFonts w:ascii="方正仿宋_GBK" w:hAnsi="Calibri" w:eastAsia="方正仿宋_GBK"/>
          <w:sz w:val="24"/>
          <w:szCs w:val="22"/>
        </w:rPr>
      </w:pPr>
      <w:r>
        <w:rPr>
          <w:rFonts w:hint="eastAsia" w:ascii="Calibri" w:hAnsi="Calibri"/>
          <w:sz w:val="24"/>
          <w:szCs w:val="28"/>
        </w:rPr>
        <w:t>评标委员会对符合资格的投标人的投标文件进行符合性审查，未通过审查的为无效标，不再参与评审。</w:t>
      </w:r>
    </w:p>
    <w:tbl>
      <w:tblPr>
        <w:tblStyle w:val="49"/>
        <w:tblW w:w="8668" w:type="dxa"/>
        <w:tblInd w:w="-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4364"/>
        <w:gridCol w:w="4304"/>
      </w:tblGrid>
      <w:tr w14:paraId="6DFAF7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364" w:type="dxa"/>
            <w:tcBorders>
              <w:top w:val="single" w:color="auto" w:sz="6" w:space="0"/>
              <w:left w:val="single" w:color="auto" w:sz="6" w:space="0"/>
              <w:bottom w:val="single" w:color="auto" w:sz="6" w:space="0"/>
              <w:right w:val="single" w:color="auto" w:sz="6" w:space="0"/>
            </w:tcBorders>
            <w:vAlign w:val="center"/>
          </w:tcPr>
          <w:p w14:paraId="3B7A4131">
            <w:pPr>
              <w:spacing w:line="480" w:lineRule="exact"/>
              <w:jc w:val="center"/>
              <w:rPr>
                <w:rFonts w:cs="仿宋"/>
                <w:b/>
                <w:bCs/>
                <w:szCs w:val="22"/>
              </w:rPr>
            </w:pPr>
            <w:r>
              <w:rPr>
                <w:rFonts w:hint="eastAsia" w:cs="仿宋"/>
                <w:b/>
                <w:bCs/>
                <w:szCs w:val="22"/>
              </w:rPr>
              <w:t>符合性审查因素</w:t>
            </w:r>
          </w:p>
        </w:tc>
        <w:tc>
          <w:tcPr>
            <w:tcW w:w="4304" w:type="dxa"/>
            <w:tcBorders>
              <w:top w:val="single" w:color="auto" w:sz="6" w:space="0"/>
              <w:left w:val="single" w:color="auto" w:sz="6" w:space="0"/>
              <w:bottom w:val="single" w:color="auto" w:sz="6" w:space="0"/>
              <w:right w:val="single" w:color="auto" w:sz="6" w:space="0"/>
            </w:tcBorders>
            <w:vAlign w:val="center"/>
          </w:tcPr>
          <w:p w14:paraId="2079D704">
            <w:pPr>
              <w:spacing w:line="480" w:lineRule="exact"/>
              <w:jc w:val="center"/>
              <w:rPr>
                <w:rFonts w:cs="仿宋"/>
                <w:b/>
                <w:bCs/>
                <w:szCs w:val="22"/>
              </w:rPr>
            </w:pPr>
            <w:r>
              <w:rPr>
                <w:rFonts w:hint="eastAsia" w:cs="仿宋"/>
                <w:b/>
                <w:bCs/>
                <w:szCs w:val="22"/>
              </w:rPr>
              <w:t>审查标准</w:t>
            </w:r>
          </w:p>
        </w:tc>
      </w:tr>
      <w:tr w14:paraId="5304BF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364" w:type="dxa"/>
            <w:tcBorders>
              <w:top w:val="single" w:color="auto" w:sz="6" w:space="0"/>
              <w:left w:val="single" w:color="auto" w:sz="6" w:space="0"/>
              <w:bottom w:val="single" w:color="auto" w:sz="6" w:space="0"/>
              <w:right w:val="single" w:color="auto" w:sz="6" w:space="0"/>
            </w:tcBorders>
            <w:vAlign w:val="center"/>
          </w:tcPr>
          <w:p w14:paraId="785F00E3">
            <w:pPr>
              <w:spacing w:line="480" w:lineRule="exact"/>
              <w:jc w:val="center"/>
              <w:rPr>
                <w:rFonts w:cs="仿宋"/>
                <w:szCs w:val="22"/>
              </w:rPr>
            </w:pPr>
            <w:r>
              <w:rPr>
                <w:rFonts w:hint="eastAsia" w:cs="仿宋"/>
                <w:szCs w:val="22"/>
              </w:rPr>
              <w:t>法人授权书</w:t>
            </w:r>
          </w:p>
        </w:tc>
        <w:tc>
          <w:tcPr>
            <w:tcW w:w="4304" w:type="dxa"/>
            <w:tcBorders>
              <w:top w:val="single" w:color="auto" w:sz="6" w:space="0"/>
              <w:left w:val="single" w:color="auto" w:sz="6" w:space="0"/>
              <w:bottom w:val="single" w:color="auto" w:sz="6" w:space="0"/>
              <w:right w:val="single" w:color="auto" w:sz="6" w:space="0"/>
            </w:tcBorders>
            <w:vAlign w:val="center"/>
          </w:tcPr>
          <w:p w14:paraId="31055736">
            <w:pPr>
              <w:spacing w:line="480" w:lineRule="exact"/>
              <w:jc w:val="center"/>
              <w:rPr>
                <w:rFonts w:cs="仿宋"/>
                <w:szCs w:val="22"/>
              </w:rPr>
            </w:pPr>
            <w:r>
              <w:rPr>
                <w:rFonts w:hint="eastAsia" w:cs="仿宋"/>
                <w:szCs w:val="22"/>
              </w:rPr>
              <w:t>符合招标文件要求</w:t>
            </w:r>
          </w:p>
        </w:tc>
      </w:tr>
      <w:tr w14:paraId="42EAB45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364" w:type="dxa"/>
            <w:tcBorders>
              <w:top w:val="single" w:color="auto" w:sz="6" w:space="0"/>
              <w:left w:val="single" w:color="auto" w:sz="6" w:space="0"/>
              <w:bottom w:val="single" w:color="auto" w:sz="6" w:space="0"/>
              <w:right w:val="single" w:color="auto" w:sz="6" w:space="0"/>
            </w:tcBorders>
            <w:vAlign w:val="center"/>
          </w:tcPr>
          <w:p w14:paraId="65EEE957">
            <w:pPr>
              <w:spacing w:line="480" w:lineRule="exact"/>
              <w:jc w:val="center"/>
              <w:rPr>
                <w:rFonts w:cs="仿宋"/>
                <w:szCs w:val="22"/>
              </w:rPr>
            </w:pPr>
            <w:r>
              <w:rPr>
                <w:rFonts w:ascii="Segoe UI" w:hAnsi="Segoe UI" w:eastAsia="Segoe UI" w:cs="Segoe UI"/>
                <w:shd w:val="clear" w:color="auto" w:fill="FAFAFA"/>
              </w:rPr>
              <w:t>开标一览表及投标报价</w:t>
            </w:r>
          </w:p>
        </w:tc>
        <w:tc>
          <w:tcPr>
            <w:tcW w:w="4304" w:type="dxa"/>
            <w:tcBorders>
              <w:top w:val="single" w:color="auto" w:sz="6" w:space="0"/>
              <w:left w:val="single" w:color="auto" w:sz="6" w:space="0"/>
              <w:bottom w:val="single" w:color="auto" w:sz="6" w:space="0"/>
              <w:right w:val="single" w:color="auto" w:sz="6" w:space="0"/>
            </w:tcBorders>
            <w:vAlign w:val="center"/>
          </w:tcPr>
          <w:p w14:paraId="1B9FCC45">
            <w:pPr>
              <w:spacing w:line="480" w:lineRule="exact"/>
              <w:jc w:val="center"/>
              <w:rPr>
                <w:rFonts w:cs="仿宋"/>
                <w:szCs w:val="22"/>
              </w:rPr>
            </w:pPr>
            <w:r>
              <w:rPr>
                <w:rFonts w:hint="eastAsia" w:cs="仿宋"/>
                <w:szCs w:val="22"/>
              </w:rPr>
              <w:t>符合招标文件要求</w:t>
            </w:r>
          </w:p>
        </w:tc>
      </w:tr>
      <w:tr w14:paraId="62FE0D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4364" w:type="dxa"/>
            <w:tcBorders>
              <w:top w:val="single" w:color="auto" w:sz="6" w:space="0"/>
              <w:left w:val="single" w:color="auto" w:sz="6" w:space="0"/>
              <w:bottom w:val="single" w:color="auto" w:sz="6" w:space="0"/>
              <w:right w:val="single" w:color="auto" w:sz="6" w:space="0"/>
            </w:tcBorders>
            <w:vAlign w:val="center"/>
          </w:tcPr>
          <w:p w14:paraId="4D13A31F">
            <w:pPr>
              <w:spacing w:line="480" w:lineRule="exact"/>
              <w:jc w:val="center"/>
              <w:rPr>
                <w:rFonts w:cs="仿宋"/>
                <w:szCs w:val="22"/>
              </w:rPr>
            </w:pPr>
            <w:r>
              <w:rPr>
                <w:rFonts w:hint="eastAsia" w:cs="仿宋"/>
                <w:szCs w:val="22"/>
              </w:rPr>
              <w:t>其他</w:t>
            </w:r>
          </w:p>
        </w:tc>
        <w:tc>
          <w:tcPr>
            <w:tcW w:w="4304" w:type="dxa"/>
            <w:tcBorders>
              <w:top w:val="single" w:color="auto" w:sz="6" w:space="0"/>
              <w:left w:val="single" w:color="auto" w:sz="6" w:space="0"/>
              <w:bottom w:val="single" w:color="auto" w:sz="6" w:space="0"/>
              <w:right w:val="single" w:color="auto" w:sz="6" w:space="0"/>
            </w:tcBorders>
            <w:vAlign w:val="center"/>
          </w:tcPr>
          <w:p w14:paraId="2775EE4F">
            <w:pPr>
              <w:spacing w:line="480" w:lineRule="exact"/>
              <w:jc w:val="center"/>
              <w:rPr>
                <w:rFonts w:cs="仿宋"/>
                <w:szCs w:val="22"/>
              </w:rPr>
            </w:pPr>
            <w:r>
              <w:rPr>
                <w:rFonts w:hint="eastAsia" w:cs="仿宋"/>
                <w:szCs w:val="22"/>
              </w:rPr>
              <w:t>符合招标文件要求</w:t>
            </w:r>
          </w:p>
        </w:tc>
      </w:tr>
    </w:tbl>
    <w:p w14:paraId="2382EE76">
      <w:pPr>
        <w:spacing w:line="480" w:lineRule="exact"/>
        <w:ind w:firstLine="482" w:firstLineChars="200"/>
        <w:jc w:val="left"/>
        <w:rPr>
          <w:rFonts w:cs="仿宋"/>
          <w:b/>
          <w:bCs/>
          <w:sz w:val="24"/>
          <w:szCs w:val="22"/>
        </w:rPr>
      </w:pPr>
      <w:r>
        <w:rPr>
          <w:rFonts w:hint="eastAsia" w:cs="仿宋"/>
          <w:b/>
          <w:bCs/>
          <w:sz w:val="24"/>
          <w:szCs w:val="22"/>
        </w:rPr>
        <w:t>三、评标方法</w:t>
      </w:r>
    </w:p>
    <w:p w14:paraId="2FABF324">
      <w:pPr>
        <w:spacing w:line="480" w:lineRule="exact"/>
        <w:ind w:firstLine="480" w:firstLineChars="200"/>
        <w:jc w:val="left"/>
        <w:rPr>
          <w:rFonts w:cs="仿宋"/>
          <w:sz w:val="24"/>
          <w:szCs w:val="22"/>
        </w:rPr>
      </w:pPr>
      <w:r>
        <w:rPr>
          <w:rFonts w:hint="eastAsia" w:ascii="Calibri" w:hAnsi="Calibri"/>
          <w:sz w:val="24"/>
          <w:szCs w:val="28"/>
        </w:rPr>
        <w:t>本项目采用综合评分法，评标结果按评审后得分由高到低顺序排列。得分相同的，按投标报价由低到高顺序排序。得分且投标报价相同的并列。</w:t>
      </w:r>
    </w:p>
    <w:p w14:paraId="7BB255A2">
      <w:pPr>
        <w:spacing w:line="480" w:lineRule="exact"/>
        <w:ind w:firstLine="480" w:firstLineChars="200"/>
        <w:jc w:val="left"/>
        <w:rPr>
          <w:rFonts w:cs="仿宋"/>
          <w:sz w:val="24"/>
          <w:szCs w:val="22"/>
        </w:rPr>
      </w:pPr>
      <w:r>
        <w:rPr>
          <w:rFonts w:hint="eastAsia" w:cs="仿宋"/>
          <w:sz w:val="24"/>
          <w:szCs w:val="22"/>
        </w:rPr>
        <w:t>综合评分保留至小数点后两位。</w:t>
      </w:r>
    </w:p>
    <w:p w14:paraId="23A43402">
      <w:pPr>
        <w:spacing w:line="480" w:lineRule="exact"/>
        <w:ind w:firstLine="480" w:firstLineChars="200"/>
        <w:jc w:val="left"/>
        <w:rPr>
          <w:rFonts w:cs="仿宋"/>
          <w:color w:val="FF0000"/>
          <w:sz w:val="24"/>
          <w:szCs w:val="22"/>
        </w:rPr>
      </w:pPr>
      <w:r>
        <w:rPr>
          <w:rFonts w:hint="eastAsia" w:cs="仿宋"/>
          <w:sz w:val="24"/>
          <w:szCs w:val="22"/>
        </w:rPr>
        <w:t>评标委员会根据评标后投标人排序推荐中标候选人，并形成评标报告。招标文件未规定的评标标准不得作为评标的依据。</w:t>
      </w:r>
    </w:p>
    <w:p w14:paraId="09F786C1">
      <w:pPr>
        <w:numPr>
          <w:ilvl w:val="0"/>
          <w:numId w:val="0"/>
        </w:numPr>
        <w:spacing w:line="480" w:lineRule="exact"/>
        <w:ind w:firstLine="482" w:firstLineChars="200"/>
        <w:jc w:val="left"/>
        <w:rPr>
          <w:rFonts w:hint="eastAsia" w:cs="仿宋"/>
          <w:b/>
          <w:bCs/>
          <w:sz w:val="24"/>
          <w:szCs w:val="22"/>
        </w:rPr>
      </w:pPr>
      <w:r>
        <w:rPr>
          <w:rFonts w:hint="eastAsia" w:ascii="Times New Roman" w:hAnsi="Times New Roman" w:eastAsia="宋体" w:cs="仿宋"/>
          <w:b/>
          <w:bCs/>
          <w:sz w:val="24"/>
          <w:szCs w:val="22"/>
          <w:lang w:val="en-US" w:eastAsia="zh-CN" w:bidi="ar-SA"/>
        </w:rPr>
        <w:t>四、</w:t>
      </w:r>
      <w:r>
        <w:rPr>
          <w:rFonts w:hint="eastAsia" w:cs="仿宋"/>
          <w:b/>
          <w:bCs/>
          <w:sz w:val="24"/>
          <w:szCs w:val="22"/>
        </w:rPr>
        <w:t>评标标准</w:t>
      </w:r>
    </w:p>
    <w:p w14:paraId="7FAF86C4">
      <w:pPr>
        <w:numPr>
          <w:ilvl w:val="0"/>
          <w:numId w:val="0"/>
        </w:numPr>
        <w:spacing w:line="480" w:lineRule="exact"/>
        <w:ind w:firstLine="482" w:firstLineChars="200"/>
        <w:jc w:val="left"/>
        <w:rPr>
          <w:rFonts w:hint="default" w:eastAsia="宋体" w:cs="仿宋"/>
          <w:b/>
          <w:bCs/>
          <w:sz w:val="24"/>
          <w:szCs w:val="22"/>
          <w:lang w:val="en-US" w:eastAsia="zh-CN"/>
        </w:rPr>
      </w:pPr>
      <w:r>
        <w:rPr>
          <w:rFonts w:hint="eastAsia" w:cs="仿宋"/>
          <w:b/>
          <w:bCs/>
          <w:sz w:val="24"/>
          <w:szCs w:val="22"/>
          <w:lang w:val="en-US" w:eastAsia="zh-CN"/>
        </w:rPr>
        <w:t>分包1</w:t>
      </w:r>
      <w:r>
        <w:rPr>
          <w:rFonts w:hint="eastAsia" w:cs="仿宋"/>
          <w:b/>
          <w:bCs/>
          <w:sz w:val="24"/>
          <w:szCs w:val="22"/>
        </w:rPr>
        <w:t>评标标准</w:t>
      </w:r>
      <w:r>
        <w:rPr>
          <w:rFonts w:hint="eastAsia" w:cs="仿宋"/>
          <w:b/>
          <w:bCs/>
          <w:sz w:val="24"/>
          <w:szCs w:val="22"/>
          <w:lang w:val="en-US"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450"/>
        <w:gridCol w:w="5493"/>
      </w:tblGrid>
      <w:tr w14:paraId="69BE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tcMar>
              <w:top w:w="0" w:type="dxa"/>
              <w:left w:w="0" w:type="dxa"/>
              <w:bottom w:w="0" w:type="dxa"/>
              <w:right w:w="0" w:type="dxa"/>
            </w:tcMar>
            <w:vAlign w:val="center"/>
          </w:tcPr>
          <w:p w14:paraId="6F7D6FF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评审因素</w:t>
            </w:r>
          </w:p>
        </w:tc>
        <w:tc>
          <w:tcPr>
            <w:tcW w:w="1450" w:type="dxa"/>
            <w:noWrap w:val="0"/>
            <w:tcMar>
              <w:top w:w="0" w:type="dxa"/>
              <w:left w:w="0" w:type="dxa"/>
              <w:bottom w:w="0" w:type="dxa"/>
              <w:right w:w="0" w:type="dxa"/>
            </w:tcMar>
            <w:vAlign w:val="center"/>
          </w:tcPr>
          <w:p w14:paraId="16E9ED6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分数</w:t>
            </w:r>
          </w:p>
        </w:tc>
        <w:tc>
          <w:tcPr>
            <w:tcW w:w="5493" w:type="dxa"/>
            <w:noWrap w:val="0"/>
            <w:tcMar>
              <w:top w:w="0" w:type="dxa"/>
              <w:left w:w="0" w:type="dxa"/>
              <w:bottom w:w="0" w:type="dxa"/>
              <w:right w:w="0" w:type="dxa"/>
            </w:tcMar>
            <w:vAlign w:val="center"/>
          </w:tcPr>
          <w:p w14:paraId="58512D1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评审标准</w:t>
            </w:r>
          </w:p>
        </w:tc>
      </w:tr>
      <w:tr w14:paraId="27A1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tcMar>
              <w:top w:w="0" w:type="dxa"/>
              <w:left w:w="0" w:type="dxa"/>
              <w:bottom w:w="0" w:type="dxa"/>
              <w:right w:w="0" w:type="dxa"/>
            </w:tcMar>
            <w:vAlign w:val="center"/>
          </w:tcPr>
          <w:p w14:paraId="0ACCDC8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投标报价</w:t>
            </w:r>
          </w:p>
        </w:tc>
        <w:tc>
          <w:tcPr>
            <w:tcW w:w="1450" w:type="dxa"/>
            <w:noWrap w:val="0"/>
            <w:tcMar>
              <w:top w:w="0" w:type="dxa"/>
              <w:left w:w="0" w:type="dxa"/>
              <w:bottom w:w="0" w:type="dxa"/>
              <w:right w:w="0" w:type="dxa"/>
            </w:tcMar>
            <w:vAlign w:val="center"/>
          </w:tcPr>
          <w:p w14:paraId="6A82820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Times New Roman" w:hAnsi="Times New Roman" w:eastAsia="Times New Roman" w:cs="Times New Roman"/>
                <w:color w:val="000000"/>
                <w:sz w:val="21"/>
              </w:rPr>
              <w:t>30.00</w:t>
            </w:r>
            <w:r>
              <w:rPr>
                <w:rFonts w:hint="default" w:ascii="宋体" w:hAnsi="宋体" w:eastAsia="宋体" w:cs="宋体"/>
                <w:color w:val="000000"/>
                <w:sz w:val="21"/>
              </w:rPr>
              <w:t>分</w:t>
            </w:r>
          </w:p>
        </w:tc>
        <w:tc>
          <w:tcPr>
            <w:tcW w:w="5493" w:type="dxa"/>
            <w:noWrap w:val="0"/>
            <w:tcMar>
              <w:top w:w="0" w:type="dxa"/>
              <w:left w:w="0" w:type="dxa"/>
              <w:bottom w:w="0" w:type="dxa"/>
              <w:right w:w="0" w:type="dxa"/>
            </w:tcMar>
            <w:vAlign w:val="center"/>
          </w:tcPr>
          <w:p w14:paraId="33B00532">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宋体" w:hAnsi="宋体" w:eastAsia="宋体" w:cs="宋体"/>
                <w:color w:val="000000"/>
                <w:sz w:val="21"/>
              </w:rPr>
            </w:pPr>
            <w:r>
              <w:rPr>
                <w:rFonts w:hint="default" w:ascii="宋体" w:hAnsi="宋体" w:eastAsia="宋体" w:cs="宋体"/>
                <w:color w:val="000000"/>
                <w:sz w:val="21"/>
              </w:rPr>
              <w:t>采用低价优先法计算，即满足招标文件要求且投标价格最低的投标报价为评标基准价，其价格分为满分。其他投标人投标报价得分＝（评标基准价</w:t>
            </w:r>
            <w:r>
              <w:rPr>
                <w:rFonts w:hint="default" w:ascii="Times New Roman" w:hAnsi="Times New Roman" w:eastAsia="Times New Roman" w:cs="Times New Roman"/>
                <w:color w:val="000000"/>
                <w:sz w:val="21"/>
              </w:rPr>
              <w:t>/</w:t>
            </w:r>
            <w:r>
              <w:rPr>
                <w:rFonts w:hint="default" w:ascii="宋体" w:hAnsi="宋体" w:eastAsia="宋体" w:cs="宋体"/>
                <w:color w:val="000000"/>
                <w:sz w:val="21"/>
              </w:rPr>
              <w:t>投标报价）</w:t>
            </w:r>
            <w:r>
              <w:rPr>
                <w:rFonts w:hint="default" w:ascii="Times New Roman" w:hAnsi="Times New Roman" w:eastAsia="Times New Roman" w:cs="Times New Roman"/>
                <w:color w:val="000000"/>
                <w:sz w:val="21"/>
              </w:rPr>
              <w:t>*30</w:t>
            </w:r>
            <w:r>
              <w:rPr>
                <w:rFonts w:hint="default" w:ascii="宋体" w:hAnsi="宋体" w:eastAsia="宋体" w:cs="宋体"/>
                <w:color w:val="000000"/>
                <w:sz w:val="21"/>
              </w:rPr>
              <w:t>。</w:t>
            </w:r>
          </w:p>
          <w:p w14:paraId="4F995D8E">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宋体" w:hAnsi="宋体" w:eastAsia="宋体" w:cs="宋体"/>
                <w:color w:val="000000"/>
                <w:sz w:val="21"/>
              </w:rPr>
            </w:pPr>
            <w:r>
              <w:rPr>
                <w:rFonts w:hint="default" w:ascii="宋体" w:hAnsi="宋体" w:eastAsia="宋体" w:cs="宋体"/>
                <w:color w:val="000000"/>
                <w:sz w:val="21"/>
              </w:rPr>
              <w:t>注：1.符合规定的小微企业（含监狱企业和残疾人福利单位）报价给予10%的扣除，用扣除后的价格参加评审。</w:t>
            </w:r>
          </w:p>
          <w:p w14:paraId="7B22094C">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default" w:ascii="宋体" w:hAnsi="宋体" w:eastAsia="宋体" w:cs="宋体"/>
                <w:color w:val="000000"/>
                <w:sz w:val="21"/>
              </w:rPr>
              <w:t>2.符合规定的本国产品的报价给予20%的价格扣除，用扣除后的价格参与评审。</w:t>
            </w:r>
          </w:p>
        </w:tc>
      </w:tr>
      <w:tr w14:paraId="3FF8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tcMar>
              <w:top w:w="0" w:type="dxa"/>
              <w:left w:w="0" w:type="dxa"/>
              <w:bottom w:w="0" w:type="dxa"/>
              <w:right w:w="0" w:type="dxa"/>
            </w:tcMar>
            <w:vAlign w:val="center"/>
          </w:tcPr>
          <w:p w14:paraId="4A0A191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技术参数响应</w:t>
            </w:r>
          </w:p>
        </w:tc>
        <w:tc>
          <w:tcPr>
            <w:tcW w:w="1450" w:type="dxa"/>
            <w:noWrap w:val="0"/>
            <w:tcMar>
              <w:top w:w="0" w:type="dxa"/>
              <w:left w:w="0" w:type="dxa"/>
              <w:bottom w:w="0" w:type="dxa"/>
              <w:right w:w="0" w:type="dxa"/>
            </w:tcMar>
            <w:vAlign w:val="center"/>
          </w:tcPr>
          <w:p w14:paraId="5197496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eastAsia" w:ascii="Times New Roman" w:hAnsi="Times New Roman" w:eastAsia="宋体" w:cs="Times New Roman"/>
                <w:color w:val="000000"/>
                <w:sz w:val="21"/>
                <w:lang w:val="en-US" w:eastAsia="zh-CN"/>
              </w:rPr>
              <w:t>21</w:t>
            </w:r>
            <w:r>
              <w:rPr>
                <w:rFonts w:hint="default" w:ascii="Times New Roman" w:hAnsi="Times New Roman" w:eastAsia="Times New Roman" w:cs="Times New Roman"/>
                <w:color w:val="000000"/>
                <w:sz w:val="21"/>
              </w:rPr>
              <w:t>.00</w:t>
            </w:r>
            <w:r>
              <w:rPr>
                <w:rFonts w:hint="default" w:ascii="宋体" w:hAnsi="宋体" w:eastAsia="宋体" w:cs="宋体"/>
                <w:color w:val="000000"/>
                <w:sz w:val="21"/>
              </w:rPr>
              <w:t>分</w:t>
            </w:r>
          </w:p>
        </w:tc>
        <w:tc>
          <w:tcPr>
            <w:tcW w:w="5493" w:type="dxa"/>
            <w:noWrap w:val="0"/>
            <w:tcMar>
              <w:top w:w="0" w:type="dxa"/>
              <w:left w:w="0" w:type="dxa"/>
              <w:bottom w:w="0" w:type="dxa"/>
              <w:right w:w="0" w:type="dxa"/>
            </w:tcMar>
            <w:vAlign w:val="center"/>
          </w:tcPr>
          <w:p w14:paraId="7415A6E4">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宋体" w:hAnsi="宋体" w:eastAsia="宋体" w:cs="宋体"/>
                <w:color w:val="000000"/>
                <w:sz w:val="21"/>
              </w:rPr>
            </w:pPr>
            <w:r>
              <w:rPr>
                <w:rFonts w:hint="default" w:ascii="宋体" w:hAnsi="宋体" w:eastAsia="宋体" w:cs="宋体"/>
                <w:color w:val="000000"/>
                <w:sz w:val="21"/>
              </w:rPr>
              <w:t>针对招标文件“第四</w:t>
            </w:r>
            <w:r>
              <w:rPr>
                <w:rFonts w:hint="eastAsia" w:ascii="宋体" w:hAnsi="宋体" w:eastAsia="宋体" w:cs="宋体"/>
                <w:color w:val="000000"/>
                <w:sz w:val="21"/>
                <w:lang w:val="en-US" w:eastAsia="zh-CN"/>
              </w:rPr>
              <w:t>章</w:t>
            </w:r>
            <w:r>
              <w:rPr>
                <w:rFonts w:hint="default" w:ascii="宋体" w:hAnsi="宋体" w:eastAsia="宋体" w:cs="宋体"/>
                <w:color w:val="000000"/>
                <w:sz w:val="21"/>
              </w:rPr>
              <w:t>、采购需求”的“四、采购</w:t>
            </w:r>
            <w:r>
              <w:rPr>
                <w:rFonts w:hint="eastAsia" w:ascii="宋体" w:hAnsi="宋体" w:eastAsia="宋体" w:cs="宋体"/>
                <w:color w:val="000000"/>
                <w:sz w:val="21"/>
                <w:lang w:val="en-US" w:eastAsia="zh-CN"/>
              </w:rPr>
              <w:t>产品参数要求</w:t>
            </w:r>
            <w:r>
              <w:rPr>
                <w:rFonts w:hint="default" w:ascii="宋体" w:hAnsi="宋体" w:eastAsia="宋体" w:cs="宋体"/>
                <w:color w:val="000000"/>
                <w:sz w:val="21"/>
              </w:rPr>
              <w:t>”中“分包1：</w:t>
            </w:r>
            <w:r>
              <w:rPr>
                <w:rFonts w:hint="eastAsia" w:ascii="宋体" w:hAnsi="宋体" w:cs="宋体"/>
                <w:color w:val="000000"/>
                <w:sz w:val="21"/>
                <w:lang w:eastAsia="zh-CN"/>
              </w:rPr>
              <w:t>全自动酶联免疫分析仪</w:t>
            </w:r>
            <w:r>
              <w:rPr>
                <w:rFonts w:hint="default" w:ascii="宋体" w:hAnsi="宋体" w:eastAsia="宋体" w:cs="宋体"/>
                <w:color w:val="000000"/>
                <w:sz w:val="21"/>
              </w:rPr>
              <w:t>”所列内容进行评分，所投产品技术参数完全满足或优于招标文件技术参数要求的得</w:t>
            </w:r>
            <w:r>
              <w:rPr>
                <w:rFonts w:hint="eastAsia" w:ascii="宋体" w:hAnsi="宋体" w:eastAsia="宋体" w:cs="宋体"/>
                <w:color w:val="000000"/>
                <w:sz w:val="21"/>
                <w:lang w:val="en-US" w:eastAsia="zh-CN"/>
              </w:rPr>
              <w:t>13</w:t>
            </w:r>
            <w:r>
              <w:rPr>
                <w:rFonts w:hint="default" w:ascii="宋体" w:hAnsi="宋体" w:eastAsia="宋体" w:cs="宋体"/>
                <w:color w:val="000000"/>
                <w:sz w:val="21"/>
              </w:rPr>
              <w:t>分</w:t>
            </w:r>
            <w:r>
              <w:rPr>
                <w:rFonts w:hint="eastAsia" w:ascii="宋体" w:hAnsi="宋体" w:eastAsia="宋体" w:cs="宋体"/>
                <w:color w:val="000000"/>
                <w:sz w:val="21"/>
                <w:lang w:eastAsia="zh-CN"/>
              </w:rPr>
              <w:t>。</w:t>
            </w:r>
            <w:r>
              <w:rPr>
                <w:rFonts w:hint="default" w:ascii="宋体" w:hAnsi="宋体" w:eastAsia="宋体" w:cs="宋体"/>
                <w:color w:val="000000"/>
                <w:sz w:val="21"/>
              </w:rPr>
              <w:t>“▲”为重点参数要求共计</w:t>
            </w:r>
            <w:r>
              <w:rPr>
                <w:rFonts w:hint="eastAsia" w:ascii="宋体" w:hAnsi="宋体" w:eastAsia="宋体" w:cs="宋体"/>
                <w:color w:val="000000"/>
                <w:sz w:val="21"/>
                <w:lang w:val="en-US" w:eastAsia="zh-CN"/>
              </w:rPr>
              <w:t>7</w:t>
            </w:r>
            <w:r>
              <w:rPr>
                <w:rFonts w:hint="default" w:ascii="宋体" w:hAnsi="宋体" w:eastAsia="宋体" w:cs="宋体"/>
                <w:color w:val="000000"/>
                <w:sz w:val="21"/>
              </w:rPr>
              <w:t>项，每有一项（一个句号的完整内容为一“项”）不满足的扣</w:t>
            </w:r>
            <w:r>
              <w:rPr>
                <w:rFonts w:hint="eastAsia" w:ascii="宋体" w:hAnsi="宋体" w:eastAsia="宋体" w:cs="宋体"/>
                <w:color w:val="000000"/>
                <w:sz w:val="21"/>
                <w:lang w:val="en-US" w:eastAsia="zh-CN"/>
              </w:rPr>
              <w:t>1</w:t>
            </w:r>
            <w:r>
              <w:rPr>
                <w:rFonts w:hint="default" w:ascii="宋体" w:hAnsi="宋体" w:eastAsia="宋体" w:cs="宋体"/>
                <w:color w:val="000000"/>
                <w:sz w:val="21"/>
              </w:rPr>
              <w:t>分；其余一般参数项共计</w:t>
            </w:r>
            <w:r>
              <w:rPr>
                <w:rFonts w:hint="eastAsia" w:ascii="宋体" w:hAnsi="宋体" w:eastAsia="宋体" w:cs="宋体"/>
                <w:color w:val="000000"/>
                <w:sz w:val="21"/>
                <w:lang w:val="en-US" w:eastAsia="zh-CN"/>
              </w:rPr>
              <w:t>28</w:t>
            </w:r>
            <w:r>
              <w:rPr>
                <w:rFonts w:hint="default" w:ascii="宋体" w:hAnsi="宋体" w:eastAsia="宋体" w:cs="宋体"/>
                <w:color w:val="000000"/>
                <w:sz w:val="21"/>
              </w:rPr>
              <w:t>项，每有一项（一个句号的完整内容为一“项”，“▲”项除外）负偏离扣</w:t>
            </w:r>
            <w:r>
              <w:rPr>
                <w:rFonts w:hint="eastAsia" w:ascii="宋体" w:hAnsi="宋体" w:eastAsia="宋体" w:cs="宋体"/>
                <w:color w:val="000000"/>
                <w:sz w:val="21"/>
                <w:lang w:val="en-US" w:eastAsia="zh-CN"/>
              </w:rPr>
              <w:t>0.5</w:t>
            </w:r>
            <w:r>
              <w:rPr>
                <w:rFonts w:hint="default" w:ascii="宋体" w:hAnsi="宋体" w:eastAsia="宋体" w:cs="宋体"/>
                <w:color w:val="000000"/>
                <w:sz w:val="21"/>
              </w:rPr>
              <w:t xml:space="preserve">分。 </w:t>
            </w:r>
          </w:p>
          <w:p w14:paraId="64E4F711">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default" w:ascii="宋体" w:hAnsi="宋体" w:eastAsia="宋体" w:cs="宋体"/>
                <w:color w:val="000000"/>
                <w:sz w:val="21"/>
              </w:rPr>
              <w:t>注：投标人针对本项评分内容在</w:t>
            </w:r>
            <w:r>
              <w:rPr>
                <w:rFonts w:hint="eastAsia" w:ascii="宋体" w:hAnsi="宋体" w:cs="宋体"/>
                <w:color w:val="000000"/>
                <w:sz w:val="21"/>
                <w:lang w:eastAsia="zh-CN"/>
              </w:rPr>
              <w:t>投标文件</w:t>
            </w:r>
            <w:r>
              <w:rPr>
                <w:rFonts w:hint="default" w:ascii="宋体" w:hAnsi="宋体" w:eastAsia="宋体" w:cs="宋体"/>
                <w:color w:val="000000"/>
                <w:sz w:val="21"/>
              </w:rPr>
              <w:t>《技术要求响应及偏离表》中逐条列出响应及偏离情况，采购需求中要求提供证明材料的，以证明材料为准；采购需求中未要求提供证明材料的，以《技术要求响应及偏离表》为准。未按要求提供证明材料或提供的证明材料不全或未在响应偏离表中列明偏离情况的对应项按负偏离进行扣分处理。</w:t>
            </w:r>
          </w:p>
        </w:tc>
      </w:tr>
      <w:tr w14:paraId="0699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tcMar>
              <w:top w:w="0" w:type="dxa"/>
              <w:left w:w="0" w:type="dxa"/>
              <w:bottom w:w="0" w:type="dxa"/>
              <w:right w:w="0" w:type="dxa"/>
            </w:tcMar>
            <w:vAlign w:val="center"/>
          </w:tcPr>
          <w:p w14:paraId="1C81F85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企业业绩</w:t>
            </w:r>
          </w:p>
        </w:tc>
        <w:tc>
          <w:tcPr>
            <w:tcW w:w="1450" w:type="dxa"/>
            <w:noWrap w:val="0"/>
            <w:tcMar>
              <w:top w:w="0" w:type="dxa"/>
              <w:left w:w="0" w:type="dxa"/>
              <w:bottom w:w="0" w:type="dxa"/>
              <w:right w:w="0" w:type="dxa"/>
            </w:tcMar>
            <w:vAlign w:val="center"/>
          </w:tcPr>
          <w:p w14:paraId="6CD0104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eastAsia" w:ascii="Times New Roman" w:hAnsi="Times New Roman" w:eastAsia="宋体" w:cs="Times New Roman"/>
                <w:color w:val="000000"/>
                <w:sz w:val="21"/>
                <w:lang w:val="en-US" w:eastAsia="zh-CN"/>
              </w:rPr>
              <w:t>9</w:t>
            </w:r>
            <w:r>
              <w:rPr>
                <w:rFonts w:hint="default" w:ascii="Times New Roman" w:hAnsi="Times New Roman" w:eastAsia="Times New Roman" w:cs="Times New Roman"/>
                <w:color w:val="000000"/>
                <w:sz w:val="21"/>
              </w:rPr>
              <w:t>.00</w:t>
            </w:r>
            <w:r>
              <w:rPr>
                <w:rFonts w:hint="default" w:ascii="宋体" w:hAnsi="宋体" w:eastAsia="宋体" w:cs="宋体"/>
                <w:color w:val="000000"/>
                <w:sz w:val="21"/>
              </w:rPr>
              <w:t>分</w:t>
            </w:r>
          </w:p>
        </w:tc>
        <w:tc>
          <w:tcPr>
            <w:tcW w:w="5493" w:type="dxa"/>
            <w:noWrap w:val="0"/>
            <w:tcMar>
              <w:top w:w="0" w:type="dxa"/>
              <w:left w:w="0" w:type="dxa"/>
              <w:bottom w:w="0" w:type="dxa"/>
              <w:right w:w="0" w:type="dxa"/>
            </w:tcMar>
            <w:vAlign w:val="center"/>
          </w:tcPr>
          <w:p w14:paraId="755CA321">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default" w:ascii="宋体" w:hAnsi="宋体" w:eastAsia="宋体" w:cs="宋体"/>
                <w:color w:val="000000"/>
                <w:sz w:val="21"/>
              </w:rPr>
              <w:t>投标人自202</w:t>
            </w:r>
            <w:r>
              <w:rPr>
                <w:rFonts w:hint="eastAsia" w:ascii="宋体" w:hAnsi="宋体" w:eastAsia="宋体" w:cs="宋体"/>
                <w:color w:val="000000"/>
                <w:sz w:val="21"/>
                <w:lang w:val="en-US" w:eastAsia="zh-CN"/>
              </w:rPr>
              <w:t>3</w:t>
            </w:r>
            <w:r>
              <w:rPr>
                <w:rFonts w:hint="default" w:ascii="宋体" w:hAnsi="宋体" w:eastAsia="宋体" w:cs="宋体"/>
                <w:color w:val="000000"/>
                <w:sz w:val="21"/>
              </w:rPr>
              <w:t>年1月1日以来（以合同签订时间为准）有类似项目业绩的，每提供一个得</w:t>
            </w:r>
            <w:r>
              <w:rPr>
                <w:rFonts w:hint="eastAsia" w:ascii="宋体" w:hAnsi="宋体" w:eastAsia="宋体" w:cs="宋体"/>
                <w:color w:val="000000"/>
                <w:sz w:val="21"/>
                <w:lang w:val="en-US" w:eastAsia="zh-CN"/>
              </w:rPr>
              <w:t>3</w:t>
            </w:r>
            <w:r>
              <w:rPr>
                <w:rFonts w:hint="default" w:ascii="宋体" w:hAnsi="宋体" w:eastAsia="宋体" w:cs="宋体"/>
                <w:color w:val="000000"/>
                <w:sz w:val="21"/>
              </w:rPr>
              <w:t>分，本项目最高得分为</w:t>
            </w:r>
            <w:r>
              <w:rPr>
                <w:rFonts w:hint="eastAsia" w:ascii="宋体" w:hAnsi="宋体" w:eastAsia="宋体" w:cs="宋体"/>
                <w:color w:val="000000"/>
                <w:sz w:val="21"/>
                <w:lang w:val="en-US" w:eastAsia="zh-CN"/>
              </w:rPr>
              <w:t>9</w:t>
            </w:r>
            <w:r>
              <w:rPr>
                <w:rFonts w:hint="default" w:ascii="宋体" w:hAnsi="宋体" w:eastAsia="宋体" w:cs="宋体"/>
                <w:color w:val="000000"/>
                <w:sz w:val="21"/>
              </w:rPr>
              <w:t xml:space="preserve">分。 </w:t>
            </w:r>
          </w:p>
          <w:p w14:paraId="0E2CB89B">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default" w:ascii="宋体" w:hAnsi="宋体" w:eastAsia="宋体" w:cs="宋体"/>
                <w:color w:val="000000"/>
                <w:sz w:val="21"/>
              </w:rPr>
              <w:t>注：投标文件中提供合同（主要内容、标的、签订时间清晰可见）证明和甲方出具的项目验收合格材料电子件，二者缺一不可，否则不得分。</w:t>
            </w:r>
          </w:p>
        </w:tc>
      </w:tr>
      <w:tr w14:paraId="08D3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tcMar>
              <w:top w:w="0" w:type="dxa"/>
              <w:left w:w="0" w:type="dxa"/>
              <w:bottom w:w="0" w:type="dxa"/>
              <w:right w:w="0" w:type="dxa"/>
            </w:tcMar>
            <w:vAlign w:val="center"/>
          </w:tcPr>
          <w:p w14:paraId="627272A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项目供货方案</w:t>
            </w:r>
          </w:p>
        </w:tc>
        <w:tc>
          <w:tcPr>
            <w:tcW w:w="1450" w:type="dxa"/>
            <w:noWrap w:val="0"/>
            <w:tcMar>
              <w:top w:w="0" w:type="dxa"/>
              <w:left w:w="0" w:type="dxa"/>
              <w:bottom w:w="0" w:type="dxa"/>
              <w:right w:w="0" w:type="dxa"/>
            </w:tcMar>
            <w:vAlign w:val="center"/>
          </w:tcPr>
          <w:p w14:paraId="05AFA5A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eastAsia" w:cs="Times New Roman"/>
                <w:color w:val="000000"/>
                <w:sz w:val="21"/>
                <w:lang w:val="en-US" w:eastAsia="zh-CN"/>
              </w:rPr>
              <w:t>9</w:t>
            </w:r>
            <w:r>
              <w:rPr>
                <w:rFonts w:hint="default" w:ascii="Times New Roman" w:hAnsi="Times New Roman" w:eastAsia="Times New Roman" w:cs="Times New Roman"/>
                <w:color w:val="000000"/>
                <w:sz w:val="21"/>
              </w:rPr>
              <w:t>.00</w:t>
            </w:r>
            <w:r>
              <w:rPr>
                <w:rFonts w:hint="default" w:ascii="宋体" w:hAnsi="宋体" w:eastAsia="宋体" w:cs="宋体"/>
                <w:color w:val="000000"/>
                <w:sz w:val="21"/>
              </w:rPr>
              <w:t>分</w:t>
            </w:r>
          </w:p>
        </w:tc>
        <w:tc>
          <w:tcPr>
            <w:tcW w:w="5493" w:type="dxa"/>
            <w:noWrap w:val="0"/>
            <w:tcMar>
              <w:top w:w="0" w:type="dxa"/>
              <w:left w:w="0" w:type="dxa"/>
              <w:bottom w:w="0" w:type="dxa"/>
              <w:right w:w="0" w:type="dxa"/>
            </w:tcMar>
            <w:vAlign w:val="center"/>
          </w:tcPr>
          <w:p w14:paraId="7BACEAB5">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default" w:ascii="Times New Roman" w:hAnsi="Times New Roman" w:eastAsia="宋体" w:cs="Times New Roman"/>
              </w:rPr>
            </w:pPr>
            <w:r>
              <w:rPr>
                <w:rFonts w:hint="eastAsia" w:ascii="Calibri" w:hAnsi="Calibri" w:eastAsia="宋体"/>
                <w:b w:val="0"/>
                <w:bCs w:val="0"/>
                <w:color w:val="000000"/>
                <w:sz w:val="21"/>
                <w:szCs w:val="22"/>
                <w:lang w:bidi="ar"/>
              </w:rPr>
              <w:t>针对采购文件“第四章 采购需求-</w:t>
            </w:r>
            <w:r>
              <w:rPr>
                <w:rFonts w:hint="eastAsia" w:ascii="Calibri" w:hAnsi="Calibri" w:eastAsia="宋体"/>
                <w:b w:val="0"/>
                <w:bCs w:val="0"/>
                <w:color w:val="000000"/>
                <w:sz w:val="21"/>
                <w:szCs w:val="22"/>
                <w:lang w:val="en-US" w:eastAsia="zh-CN" w:bidi="ar"/>
              </w:rPr>
              <w:t>六</w:t>
            </w:r>
            <w:r>
              <w:rPr>
                <w:rFonts w:hint="eastAsia" w:ascii="Calibri" w:hAnsi="Calibri" w:eastAsia="宋体"/>
                <w:b w:val="0"/>
                <w:bCs w:val="0"/>
                <w:color w:val="000000"/>
                <w:sz w:val="21"/>
                <w:szCs w:val="22"/>
                <w:lang w:bidi="ar"/>
              </w:rPr>
              <w:t>、</w:t>
            </w:r>
            <w:r>
              <w:rPr>
                <w:rFonts w:hint="eastAsia" w:ascii="Calibri" w:hAnsi="Calibri" w:eastAsia="宋体"/>
                <w:b w:val="0"/>
                <w:bCs w:val="0"/>
                <w:color w:val="000000"/>
                <w:sz w:val="21"/>
                <w:szCs w:val="22"/>
                <w:lang w:val="en-US" w:eastAsia="zh-CN" w:bidi="ar"/>
              </w:rPr>
              <w:t>供货要求</w:t>
            </w:r>
            <w:r>
              <w:rPr>
                <w:rFonts w:hint="eastAsia" w:ascii="Calibri" w:hAnsi="Calibri" w:eastAsia="宋体"/>
                <w:b w:val="0"/>
                <w:bCs w:val="0"/>
                <w:color w:val="000000"/>
                <w:sz w:val="21"/>
                <w:szCs w:val="22"/>
                <w:lang w:bidi="ar"/>
              </w:rPr>
              <w:t>”提供</w:t>
            </w:r>
            <w:r>
              <w:rPr>
                <w:rFonts w:hint="eastAsia" w:ascii="Calibri" w:hAnsi="Calibri" w:eastAsia="宋体"/>
                <w:b w:val="0"/>
                <w:bCs w:val="0"/>
                <w:color w:val="000000"/>
                <w:sz w:val="21"/>
                <w:szCs w:val="22"/>
                <w:lang w:val="en-US" w:eastAsia="zh-CN" w:bidi="ar"/>
              </w:rPr>
              <w:t>方案</w:t>
            </w:r>
            <w:r>
              <w:rPr>
                <w:rFonts w:hint="eastAsia" w:ascii="Calibri" w:hAnsi="Calibri" w:eastAsia="宋体"/>
                <w:b w:val="0"/>
                <w:bCs w:val="0"/>
                <w:color w:val="000000"/>
                <w:sz w:val="21"/>
                <w:szCs w:val="22"/>
                <w:lang w:bidi="ar"/>
              </w:rPr>
              <w:t>。优于采购需求的，得</w:t>
            </w:r>
            <w:r>
              <w:rPr>
                <w:rFonts w:hint="eastAsia" w:ascii="Calibri" w:hAnsi="Calibri"/>
                <w:b w:val="0"/>
                <w:bCs w:val="0"/>
                <w:color w:val="000000"/>
                <w:sz w:val="21"/>
                <w:szCs w:val="22"/>
                <w:lang w:val="en-US" w:eastAsia="zh-CN" w:bidi="ar"/>
              </w:rPr>
              <w:t>9</w:t>
            </w:r>
            <w:r>
              <w:rPr>
                <w:rFonts w:hint="eastAsia" w:ascii="Calibri" w:hAnsi="Calibri" w:eastAsia="宋体"/>
                <w:b w:val="0"/>
                <w:bCs w:val="0"/>
                <w:color w:val="000000"/>
                <w:sz w:val="21"/>
                <w:szCs w:val="22"/>
                <w:lang w:bidi="ar"/>
              </w:rPr>
              <w:t>分；满足采购需求的，得</w:t>
            </w:r>
            <w:r>
              <w:rPr>
                <w:rFonts w:hint="eastAsia" w:ascii="Calibri" w:hAnsi="Calibri"/>
                <w:b w:val="0"/>
                <w:bCs w:val="0"/>
                <w:color w:val="000000"/>
                <w:sz w:val="21"/>
                <w:szCs w:val="22"/>
                <w:lang w:val="en-US" w:eastAsia="zh-CN" w:bidi="ar"/>
              </w:rPr>
              <w:t>6</w:t>
            </w:r>
            <w:r>
              <w:rPr>
                <w:rFonts w:hint="eastAsia" w:ascii="Calibri" w:hAnsi="Calibri" w:eastAsia="宋体"/>
                <w:b w:val="0"/>
                <w:bCs w:val="0"/>
                <w:color w:val="000000"/>
                <w:sz w:val="21"/>
                <w:szCs w:val="22"/>
                <w:lang w:bidi="ar"/>
              </w:rPr>
              <w:t>分；方案内容笼统，没有针对本项目细化制定，通过后期优化调整能够实现采购需求的得</w:t>
            </w:r>
            <w:r>
              <w:rPr>
                <w:rFonts w:hint="eastAsia" w:ascii="Calibri" w:hAnsi="Calibri"/>
                <w:b w:val="0"/>
                <w:bCs w:val="0"/>
                <w:color w:val="000000"/>
                <w:sz w:val="21"/>
                <w:szCs w:val="22"/>
                <w:lang w:val="en-US" w:eastAsia="zh-CN" w:bidi="ar"/>
              </w:rPr>
              <w:t>3</w:t>
            </w:r>
            <w:r>
              <w:rPr>
                <w:rFonts w:hint="eastAsia" w:ascii="Calibri" w:hAnsi="Calibri" w:eastAsia="宋体"/>
                <w:b w:val="0"/>
                <w:bCs w:val="0"/>
                <w:color w:val="000000"/>
                <w:sz w:val="21"/>
                <w:szCs w:val="22"/>
                <w:lang w:bidi="ar"/>
              </w:rPr>
              <w:t>分；没有内容不得分。</w:t>
            </w:r>
          </w:p>
        </w:tc>
      </w:tr>
      <w:tr w14:paraId="06E1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27" w:type="dxa"/>
            <w:noWrap w:val="0"/>
            <w:vAlign w:val="center"/>
          </w:tcPr>
          <w:p w14:paraId="1B8C3E2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安装调试方案</w:t>
            </w:r>
          </w:p>
        </w:tc>
        <w:tc>
          <w:tcPr>
            <w:tcW w:w="1450" w:type="dxa"/>
            <w:noWrap w:val="0"/>
            <w:tcMar>
              <w:top w:w="0" w:type="dxa"/>
              <w:left w:w="0" w:type="dxa"/>
              <w:bottom w:w="0" w:type="dxa"/>
              <w:right w:w="0" w:type="dxa"/>
            </w:tcMar>
            <w:vAlign w:val="center"/>
          </w:tcPr>
          <w:p w14:paraId="46C2154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eastAsia" w:cs="Times New Roman"/>
                <w:color w:val="000000"/>
                <w:sz w:val="21"/>
                <w:lang w:val="en-US" w:eastAsia="zh-CN"/>
              </w:rPr>
              <w:t>9</w:t>
            </w:r>
            <w:r>
              <w:rPr>
                <w:rFonts w:hint="default" w:ascii="Times New Roman" w:hAnsi="Times New Roman" w:eastAsia="Times New Roman" w:cs="Times New Roman"/>
                <w:color w:val="000000"/>
                <w:sz w:val="21"/>
              </w:rPr>
              <w:t>.00</w:t>
            </w:r>
            <w:r>
              <w:rPr>
                <w:rFonts w:hint="default" w:ascii="宋体" w:hAnsi="宋体" w:eastAsia="宋体" w:cs="宋体"/>
                <w:color w:val="000000"/>
                <w:sz w:val="21"/>
              </w:rPr>
              <w:t>分</w:t>
            </w:r>
          </w:p>
        </w:tc>
        <w:tc>
          <w:tcPr>
            <w:tcW w:w="5493" w:type="dxa"/>
            <w:noWrap w:val="0"/>
            <w:tcMar>
              <w:top w:w="0" w:type="dxa"/>
              <w:left w:w="0" w:type="dxa"/>
              <w:bottom w:w="0" w:type="dxa"/>
              <w:right w:w="0" w:type="dxa"/>
            </w:tcMar>
            <w:vAlign w:val="center"/>
          </w:tcPr>
          <w:p w14:paraId="45B55A23">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default" w:ascii="Times New Roman" w:hAnsi="Times New Roman" w:eastAsia="宋体" w:cs="Times New Roman"/>
              </w:rPr>
            </w:pPr>
            <w:r>
              <w:rPr>
                <w:rFonts w:hint="eastAsia" w:ascii="Calibri" w:hAnsi="Calibri" w:eastAsia="宋体"/>
                <w:b w:val="0"/>
                <w:bCs w:val="0"/>
                <w:color w:val="000000"/>
                <w:sz w:val="21"/>
                <w:szCs w:val="22"/>
                <w:lang w:bidi="ar"/>
              </w:rPr>
              <w:t>针对采购文件“第四章 采购需求-</w:t>
            </w:r>
            <w:r>
              <w:rPr>
                <w:rFonts w:hint="eastAsia" w:ascii="Calibri" w:hAnsi="Calibri"/>
                <w:b w:val="0"/>
                <w:bCs w:val="0"/>
                <w:color w:val="000000"/>
                <w:sz w:val="21"/>
                <w:szCs w:val="22"/>
                <w:lang w:val="en-US" w:eastAsia="zh-CN" w:bidi="ar"/>
              </w:rPr>
              <w:t>七</w:t>
            </w:r>
            <w:r>
              <w:rPr>
                <w:rFonts w:hint="eastAsia" w:ascii="Calibri" w:hAnsi="Calibri" w:eastAsia="宋体"/>
                <w:b w:val="0"/>
                <w:bCs w:val="0"/>
                <w:color w:val="000000"/>
                <w:sz w:val="21"/>
                <w:szCs w:val="22"/>
                <w:lang w:bidi="ar"/>
              </w:rPr>
              <w:t>、</w:t>
            </w:r>
            <w:r>
              <w:rPr>
                <w:rFonts w:hint="eastAsia" w:ascii="Calibri" w:hAnsi="Calibri" w:eastAsia="宋体"/>
                <w:b w:val="0"/>
                <w:bCs w:val="0"/>
                <w:color w:val="000000"/>
                <w:sz w:val="21"/>
                <w:szCs w:val="22"/>
                <w:lang w:val="en-US" w:eastAsia="zh-CN" w:bidi="ar"/>
              </w:rPr>
              <w:t>安装调试</w:t>
            </w:r>
            <w:r>
              <w:rPr>
                <w:rFonts w:hint="eastAsia" w:ascii="Calibri" w:hAnsi="Calibri" w:eastAsia="宋体"/>
                <w:b w:val="0"/>
                <w:bCs w:val="0"/>
                <w:color w:val="000000"/>
                <w:sz w:val="21"/>
                <w:szCs w:val="22"/>
                <w:lang w:bidi="ar"/>
              </w:rPr>
              <w:t>”提供</w:t>
            </w:r>
            <w:r>
              <w:rPr>
                <w:rFonts w:hint="eastAsia" w:ascii="Calibri" w:hAnsi="Calibri" w:eastAsia="宋体"/>
                <w:b w:val="0"/>
                <w:bCs w:val="0"/>
                <w:color w:val="000000"/>
                <w:sz w:val="21"/>
                <w:szCs w:val="22"/>
                <w:lang w:val="en-US" w:eastAsia="zh-CN" w:bidi="ar"/>
              </w:rPr>
              <w:t>方案</w:t>
            </w:r>
            <w:r>
              <w:rPr>
                <w:rFonts w:hint="eastAsia" w:ascii="Calibri" w:hAnsi="Calibri" w:eastAsia="宋体"/>
                <w:b w:val="0"/>
                <w:bCs w:val="0"/>
                <w:color w:val="000000"/>
                <w:sz w:val="21"/>
                <w:szCs w:val="22"/>
                <w:lang w:bidi="ar"/>
              </w:rPr>
              <w:t>。优于采购需求的，得</w:t>
            </w:r>
            <w:r>
              <w:rPr>
                <w:rFonts w:hint="eastAsia" w:ascii="Calibri" w:hAnsi="Calibri"/>
                <w:b w:val="0"/>
                <w:bCs w:val="0"/>
                <w:color w:val="000000"/>
                <w:sz w:val="21"/>
                <w:szCs w:val="22"/>
                <w:lang w:val="en-US" w:eastAsia="zh-CN" w:bidi="ar"/>
              </w:rPr>
              <w:t>9</w:t>
            </w:r>
            <w:r>
              <w:rPr>
                <w:rFonts w:hint="eastAsia" w:ascii="Calibri" w:hAnsi="Calibri" w:eastAsia="宋体"/>
                <w:b w:val="0"/>
                <w:bCs w:val="0"/>
                <w:color w:val="000000"/>
                <w:sz w:val="21"/>
                <w:szCs w:val="22"/>
                <w:lang w:bidi="ar"/>
              </w:rPr>
              <w:t>分；满足采购需求的，得</w:t>
            </w:r>
            <w:r>
              <w:rPr>
                <w:rFonts w:hint="eastAsia" w:ascii="Calibri" w:hAnsi="Calibri"/>
                <w:b w:val="0"/>
                <w:bCs w:val="0"/>
                <w:color w:val="000000"/>
                <w:sz w:val="21"/>
                <w:szCs w:val="22"/>
                <w:lang w:val="en-US" w:eastAsia="zh-CN" w:bidi="ar"/>
              </w:rPr>
              <w:t>6</w:t>
            </w:r>
            <w:r>
              <w:rPr>
                <w:rFonts w:hint="eastAsia" w:ascii="Calibri" w:hAnsi="Calibri" w:eastAsia="宋体"/>
                <w:b w:val="0"/>
                <w:bCs w:val="0"/>
                <w:color w:val="000000"/>
                <w:sz w:val="21"/>
                <w:szCs w:val="22"/>
                <w:lang w:bidi="ar"/>
              </w:rPr>
              <w:t>分；方案内容笼统，没有针对本项目细化制定，通过后期优化调整能够实现采购需求的得</w:t>
            </w:r>
            <w:r>
              <w:rPr>
                <w:rFonts w:hint="eastAsia" w:ascii="Calibri" w:hAnsi="Calibri"/>
                <w:b w:val="0"/>
                <w:bCs w:val="0"/>
                <w:color w:val="000000"/>
                <w:sz w:val="21"/>
                <w:szCs w:val="22"/>
                <w:lang w:val="en-US" w:eastAsia="zh-CN" w:bidi="ar"/>
              </w:rPr>
              <w:t>3</w:t>
            </w:r>
            <w:r>
              <w:rPr>
                <w:rFonts w:hint="eastAsia" w:ascii="Calibri" w:hAnsi="Calibri" w:eastAsia="宋体"/>
                <w:b w:val="0"/>
                <w:bCs w:val="0"/>
                <w:color w:val="000000"/>
                <w:sz w:val="21"/>
                <w:szCs w:val="22"/>
                <w:lang w:bidi="ar"/>
              </w:rPr>
              <w:t>分；没有内容不得分。</w:t>
            </w:r>
          </w:p>
        </w:tc>
      </w:tr>
      <w:tr w14:paraId="7227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center"/>
          </w:tcPr>
          <w:p w14:paraId="3120EF6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培训方案</w:t>
            </w:r>
          </w:p>
        </w:tc>
        <w:tc>
          <w:tcPr>
            <w:tcW w:w="1450" w:type="dxa"/>
            <w:noWrap w:val="0"/>
            <w:tcMar>
              <w:top w:w="0" w:type="dxa"/>
              <w:left w:w="0" w:type="dxa"/>
              <w:bottom w:w="0" w:type="dxa"/>
              <w:right w:w="0" w:type="dxa"/>
            </w:tcMar>
            <w:vAlign w:val="center"/>
          </w:tcPr>
          <w:p w14:paraId="72C0501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eastAsia" w:cs="Times New Roman"/>
                <w:color w:val="000000"/>
                <w:sz w:val="21"/>
                <w:lang w:val="en-US" w:eastAsia="zh-CN"/>
              </w:rPr>
              <w:t>9</w:t>
            </w:r>
            <w:r>
              <w:rPr>
                <w:rFonts w:hint="default" w:ascii="Times New Roman" w:hAnsi="Times New Roman" w:eastAsia="Times New Roman" w:cs="Times New Roman"/>
                <w:color w:val="000000"/>
                <w:sz w:val="21"/>
              </w:rPr>
              <w:t>.00</w:t>
            </w:r>
            <w:r>
              <w:rPr>
                <w:rFonts w:hint="default" w:ascii="宋体" w:hAnsi="宋体" w:eastAsia="宋体" w:cs="宋体"/>
                <w:color w:val="000000"/>
                <w:sz w:val="21"/>
              </w:rPr>
              <w:t>分</w:t>
            </w:r>
          </w:p>
        </w:tc>
        <w:tc>
          <w:tcPr>
            <w:tcW w:w="5493" w:type="dxa"/>
            <w:noWrap w:val="0"/>
            <w:tcMar>
              <w:top w:w="0" w:type="dxa"/>
              <w:left w:w="0" w:type="dxa"/>
              <w:bottom w:w="0" w:type="dxa"/>
              <w:right w:w="0" w:type="dxa"/>
            </w:tcMar>
            <w:vAlign w:val="center"/>
          </w:tcPr>
          <w:p w14:paraId="0BD6CCA7">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eastAsia" w:ascii="Calibri" w:hAnsi="Calibri" w:eastAsia="宋体"/>
                <w:b w:val="0"/>
                <w:bCs w:val="0"/>
                <w:color w:val="000000"/>
                <w:sz w:val="21"/>
                <w:szCs w:val="22"/>
                <w:lang w:bidi="ar"/>
              </w:rPr>
              <w:t>针对采购文件“第四章 采购需求-</w:t>
            </w:r>
            <w:r>
              <w:rPr>
                <w:rFonts w:hint="eastAsia" w:ascii="Calibri" w:hAnsi="Calibri"/>
                <w:b w:val="0"/>
                <w:bCs w:val="0"/>
                <w:color w:val="000000"/>
                <w:sz w:val="21"/>
                <w:szCs w:val="22"/>
                <w:lang w:val="en-US" w:eastAsia="zh-CN" w:bidi="ar"/>
              </w:rPr>
              <w:t>八</w:t>
            </w:r>
            <w:r>
              <w:rPr>
                <w:rFonts w:hint="eastAsia" w:ascii="Calibri" w:hAnsi="Calibri" w:eastAsia="宋体"/>
                <w:b w:val="0"/>
                <w:bCs w:val="0"/>
                <w:color w:val="000000"/>
                <w:sz w:val="21"/>
                <w:szCs w:val="22"/>
                <w:lang w:bidi="ar"/>
              </w:rPr>
              <w:t>、</w:t>
            </w:r>
            <w:r>
              <w:rPr>
                <w:rFonts w:hint="eastAsia" w:ascii="Calibri" w:hAnsi="Calibri"/>
                <w:b w:val="0"/>
                <w:bCs w:val="0"/>
                <w:color w:val="000000"/>
                <w:sz w:val="21"/>
                <w:szCs w:val="22"/>
                <w:lang w:val="en-US" w:eastAsia="zh-CN" w:bidi="ar"/>
              </w:rPr>
              <w:t>培训要求</w:t>
            </w:r>
            <w:r>
              <w:rPr>
                <w:rFonts w:hint="eastAsia" w:ascii="Calibri" w:hAnsi="Calibri" w:eastAsia="宋体"/>
                <w:b w:val="0"/>
                <w:bCs w:val="0"/>
                <w:color w:val="000000"/>
                <w:sz w:val="21"/>
                <w:szCs w:val="22"/>
                <w:lang w:bidi="ar"/>
              </w:rPr>
              <w:t>”提供</w:t>
            </w:r>
            <w:r>
              <w:rPr>
                <w:rFonts w:hint="eastAsia" w:ascii="Calibri" w:hAnsi="Calibri" w:eastAsia="宋体"/>
                <w:b w:val="0"/>
                <w:bCs w:val="0"/>
                <w:color w:val="000000"/>
                <w:sz w:val="21"/>
                <w:szCs w:val="22"/>
                <w:lang w:val="en-US" w:eastAsia="zh-CN" w:bidi="ar"/>
              </w:rPr>
              <w:t>方案</w:t>
            </w:r>
            <w:r>
              <w:rPr>
                <w:rFonts w:hint="eastAsia" w:ascii="Calibri" w:hAnsi="Calibri" w:eastAsia="宋体"/>
                <w:b w:val="0"/>
                <w:bCs w:val="0"/>
                <w:color w:val="000000"/>
                <w:sz w:val="21"/>
                <w:szCs w:val="22"/>
                <w:lang w:bidi="ar"/>
              </w:rPr>
              <w:t>。优于采购需求的，得</w:t>
            </w:r>
            <w:r>
              <w:rPr>
                <w:rFonts w:hint="eastAsia" w:ascii="Calibri" w:hAnsi="Calibri"/>
                <w:b w:val="0"/>
                <w:bCs w:val="0"/>
                <w:color w:val="000000"/>
                <w:sz w:val="21"/>
                <w:szCs w:val="22"/>
                <w:lang w:val="en-US" w:eastAsia="zh-CN" w:bidi="ar"/>
              </w:rPr>
              <w:t>9</w:t>
            </w:r>
            <w:r>
              <w:rPr>
                <w:rFonts w:hint="eastAsia" w:ascii="Calibri" w:hAnsi="Calibri" w:eastAsia="宋体"/>
                <w:b w:val="0"/>
                <w:bCs w:val="0"/>
                <w:color w:val="000000"/>
                <w:sz w:val="21"/>
                <w:szCs w:val="22"/>
                <w:lang w:bidi="ar"/>
              </w:rPr>
              <w:t>分；满足采购需求的，得</w:t>
            </w:r>
            <w:r>
              <w:rPr>
                <w:rFonts w:hint="eastAsia" w:ascii="Calibri" w:hAnsi="Calibri"/>
                <w:b w:val="0"/>
                <w:bCs w:val="0"/>
                <w:color w:val="000000"/>
                <w:sz w:val="21"/>
                <w:szCs w:val="22"/>
                <w:lang w:val="en-US" w:eastAsia="zh-CN" w:bidi="ar"/>
              </w:rPr>
              <w:t>6</w:t>
            </w:r>
            <w:r>
              <w:rPr>
                <w:rFonts w:hint="eastAsia" w:ascii="Calibri" w:hAnsi="Calibri" w:eastAsia="宋体"/>
                <w:b w:val="0"/>
                <w:bCs w:val="0"/>
                <w:color w:val="000000"/>
                <w:sz w:val="21"/>
                <w:szCs w:val="22"/>
                <w:lang w:bidi="ar"/>
              </w:rPr>
              <w:t>分；方案内容笼统，没有针对本项目细化制定，通过后期优化调整能够实现采购需求的得</w:t>
            </w:r>
            <w:r>
              <w:rPr>
                <w:rFonts w:hint="eastAsia" w:ascii="Calibri" w:hAnsi="Calibri"/>
                <w:b w:val="0"/>
                <w:bCs w:val="0"/>
                <w:color w:val="000000"/>
                <w:sz w:val="21"/>
                <w:szCs w:val="22"/>
                <w:lang w:val="en-US" w:eastAsia="zh-CN" w:bidi="ar"/>
              </w:rPr>
              <w:t>3</w:t>
            </w:r>
            <w:r>
              <w:rPr>
                <w:rFonts w:hint="eastAsia" w:ascii="Calibri" w:hAnsi="Calibri" w:eastAsia="宋体"/>
                <w:b w:val="0"/>
                <w:bCs w:val="0"/>
                <w:color w:val="000000"/>
                <w:sz w:val="21"/>
                <w:szCs w:val="22"/>
                <w:lang w:bidi="ar"/>
              </w:rPr>
              <w:t>分；没有内容不得分。</w:t>
            </w:r>
          </w:p>
        </w:tc>
      </w:tr>
      <w:tr w14:paraId="0160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tcMar>
              <w:top w:w="0" w:type="dxa"/>
              <w:left w:w="0" w:type="dxa"/>
              <w:bottom w:w="0" w:type="dxa"/>
              <w:right w:w="0" w:type="dxa"/>
            </w:tcMar>
            <w:vAlign w:val="center"/>
          </w:tcPr>
          <w:p w14:paraId="68ACB38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售后服务</w:t>
            </w:r>
          </w:p>
        </w:tc>
        <w:tc>
          <w:tcPr>
            <w:tcW w:w="1450" w:type="dxa"/>
            <w:noWrap w:val="0"/>
            <w:tcMar>
              <w:top w:w="0" w:type="dxa"/>
              <w:left w:w="0" w:type="dxa"/>
              <w:bottom w:w="0" w:type="dxa"/>
              <w:right w:w="0" w:type="dxa"/>
            </w:tcMar>
            <w:vAlign w:val="center"/>
          </w:tcPr>
          <w:p w14:paraId="1CC8799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eastAsia" w:cs="Times New Roman"/>
                <w:color w:val="000000"/>
                <w:sz w:val="21"/>
                <w:lang w:val="en-US" w:eastAsia="zh-CN"/>
              </w:rPr>
              <w:t>10</w:t>
            </w:r>
            <w:r>
              <w:rPr>
                <w:rFonts w:hint="default" w:ascii="Times New Roman" w:hAnsi="Times New Roman" w:eastAsia="Times New Roman" w:cs="Times New Roman"/>
                <w:color w:val="000000"/>
                <w:sz w:val="21"/>
              </w:rPr>
              <w:t>.00</w:t>
            </w:r>
            <w:r>
              <w:rPr>
                <w:rFonts w:hint="default" w:ascii="宋体" w:hAnsi="宋体" w:eastAsia="宋体" w:cs="宋体"/>
                <w:color w:val="000000"/>
                <w:sz w:val="21"/>
              </w:rPr>
              <w:t>分</w:t>
            </w:r>
          </w:p>
        </w:tc>
        <w:tc>
          <w:tcPr>
            <w:tcW w:w="5493" w:type="dxa"/>
            <w:noWrap w:val="0"/>
            <w:tcMar>
              <w:top w:w="0" w:type="dxa"/>
              <w:left w:w="0" w:type="dxa"/>
              <w:bottom w:w="0" w:type="dxa"/>
              <w:right w:w="0" w:type="dxa"/>
            </w:tcMar>
            <w:vAlign w:val="center"/>
          </w:tcPr>
          <w:p w14:paraId="07DE95F5">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eastAsia" w:ascii="Calibri" w:hAnsi="Calibri" w:eastAsia="宋体"/>
                <w:b w:val="0"/>
                <w:bCs w:val="0"/>
                <w:color w:val="000000"/>
                <w:sz w:val="21"/>
                <w:szCs w:val="22"/>
                <w:lang w:bidi="ar"/>
              </w:rPr>
              <w:t>针对采购文件“第四章 采购需求-</w:t>
            </w:r>
            <w:r>
              <w:rPr>
                <w:rFonts w:hint="eastAsia" w:ascii="Calibri" w:hAnsi="Calibri"/>
                <w:b w:val="0"/>
                <w:bCs w:val="0"/>
                <w:color w:val="000000"/>
                <w:sz w:val="21"/>
                <w:szCs w:val="22"/>
                <w:lang w:val="en-US" w:eastAsia="zh-CN" w:bidi="ar"/>
              </w:rPr>
              <w:t>九</w:t>
            </w:r>
            <w:r>
              <w:rPr>
                <w:rFonts w:hint="eastAsia" w:ascii="Calibri" w:hAnsi="Calibri" w:eastAsia="宋体"/>
                <w:b w:val="0"/>
                <w:bCs w:val="0"/>
                <w:color w:val="000000"/>
                <w:sz w:val="21"/>
                <w:szCs w:val="22"/>
                <w:lang w:bidi="ar"/>
              </w:rPr>
              <w:t>、</w:t>
            </w:r>
            <w:r>
              <w:rPr>
                <w:rFonts w:hint="eastAsia" w:ascii="Calibri" w:hAnsi="Calibri"/>
                <w:b w:val="0"/>
                <w:bCs w:val="0"/>
                <w:color w:val="000000"/>
                <w:sz w:val="21"/>
                <w:szCs w:val="22"/>
                <w:lang w:val="en-US" w:eastAsia="zh-CN" w:bidi="ar"/>
              </w:rPr>
              <w:t>售后服务</w:t>
            </w:r>
            <w:r>
              <w:rPr>
                <w:rFonts w:hint="eastAsia" w:ascii="Calibri" w:hAnsi="Calibri" w:eastAsia="宋体"/>
                <w:b w:val="0"/>
                <w:bCs w:val="0"/>
                <w:color w:val="000000"/>
                <w:sz w:val="21"/>
                <w:szCs w:val="22"/>
                <w:lang w:bidi="ar"/>
              </w:rPr>
              <w:t>”提供</w:t>
            </w:r>
            <w:r>
              <w:rPr>
                <w:rFonts w:hint="eastAsia" w:ascii="Calibri" w:hAnsi="Calibri" w:eastAsia="宋体"/>
                <w:b w:val="0"/>
                <w:bCs w:val="0"/>
                <w:color w:val="000000"/>
                <w:sz w:val="21"/>
                <w:szCs w:val="22"/>
                <w:lang w:val="en-US" w:eastAsia="zh-CN" w:bidi="ar"/>
              </w:rPr>
              <w:t>方案</w:t>
            </w:r>
            <w:r>
              <w:rPr>
                <w:rFonts w:hint="eastAsia" w:ascii="Calibri" w:hAnsi="Calibri" w:eastAsia="宋体"/>
                <w:b w:val="0"/>
                <w:bCs w:val="0"/>
                <w:color w:val="000000"/>
                <w:sz w:val="21"/>
                <w:szCs w:val="22"/>
                <w:lang w:bidi="ar"/>
              </w:rPr>
              <w:t>。优于采购需求的，得</w:t>
            </w:r>
            <w:r>
              <w:rPr>
                <w:rFonts w:hint="eastAsia" w:ascii="Calibri" w:hAnsi="Calibri"/>
                <w:b w:val="0"/>
                <w:bCs w:val="0"/>
                <w:color w:val="000000"/>
                <w:sz w:val="21"/>
                <w:szCs w:val="22"/>
                <w:lang w:val="en-US" w:eastAsia="zh-CN" w:bidi="ar"/>
              </w:rPr>
              <w:t>10</w:t>
            </w:r>
            <w:r>
              <w:rPr>
                <w:rFonts w:hint="eastAsia" w:ascii="Calibri" w:hAnsi="Calibri" w:eastAsia="宋体"/>
                <w:b w:val="0"/>
                <w:bCs w:val="0"/>
                <w:color w:val="000000"/>
                <w:sz w:val="21"/>
                <w:szCs w:val="22"/>
                <w:lang w:bidi="ar"/>
              </w:rPr>
              <w:t>分；满足采购需求的，得</w:t>
            </w:r>
            <w:r>
              <w:rPr>
                <w:rFonts w:hint="eastAsia" w:ascii="Calibri" w:hAnsi="Calibri"/>
                <w:b w:val="0"/>
                <w:bCs w:val="0"/>
                <w:color w:val="000000"/>
                <w:sz w:val="21"/>
                <w:szCs w:val="22"/>
                <w:lang w:val="en-US" w:eastAsia="zh-CN" w:bidi="ar"/>
              </w:rPr>
              <w:t>7</w:t>
            </w:r>
            <w:r>
              <w:rPr>
                <w:rFonts w:hint="eastAsia" w:ascii="Calibri" w:hAnsi="Calibri" w:eastAsia="宋体"/>
                <w:b w:val="0"/>
                <w:bCs w:val="0"/>
                <w:color w:val="000000"/>
                <w:sz w:val="21"/>
                <w:szCs w:val="22"/>
                <w:lang w:bidi="ar"/>
              </w:rPr>
              <w:t>分；方案内容笼统，没有针对本项目细化制定，通过后期优化调整能够实现采购需求的得</w:t>
            </w:r>
            <w:r>
              <w:rPr>
                <w:rFonts w:hint="eastAsia" w:ascii="Calibri" w:hAnsi="Calibri"/>
                <w:b w:val="0"/>
                <w:bCs w:val="0"/>
                <w:color w:val="000000"/>
                <w:sz w:val="21"/>
                <w:szCs w:val="22"/>
                <w:lang w:val="en-US" w:eastAsia="zh-CN" w:bidi="ar"/>
              </w:rPr>
              <w:t>4</w:t>
            </w:r>
            <w:r>
              <w:rPr>
                <w:rFonts w:hint="eastAsia" w:ascii="Calibri" w:hAnsi="Calibri" w:eastAsia="宋体"/>
                <w:b w:val="0"/>
                <w:bCs w:val="0"/>
                <w:color w:val="000000"/>
                <w:sz w:val="21"/>
                <w:szCs w:val="22"/>
                <w:lang w:bidi="ar"/>
              </w:rPr>
              <w:t>分；没有内容不得分。</w:t>
            </w:r>
          </w:p>
        </w:tc>
      </w:tr>
      <w:tr w14:paraId="7EAF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tcMar>
              <w:top w:w="0" w:type="dxa"/>
              <w:left w:w="0" w:type="dxa"/>
              <w:bottom w:w="0" w:type="dxa"/>
              <w:right w:w="0" w:type="dxa"/>
            </w:tcMar>
            <w:vAlign w:val="center"/>
          </w:tcPr>
          <w:p w14:paraId="7F369058">
            <w:pPr>
              <w:jc w:val="center"/>
              <w:rPr>
                <w:rFonts w:hint="default" w:ascii="宋体" w:hAnsi="宋体" w:eastAsia="宋体" w:cs="宋体"/>
                <w:color w:val="000000"/>
                <w:sz w:val="21"/>
              </w:rPr>
            </w:pPr>
            <w:r>
              <w:rPr>
                <w:rFonts w:hint="eastAsia" w:ascii="宋体" w:hAnsi="宋体"/>
                <w:szCs w:val="22"/>
                <w:lang w:val="en-US" w:eastAsia="zh-CN"/>
              </w:rPr>
              <w:t>质保期</w:t>
            </w:r>
          </w:p>
        </w:tc>
        <w:tc>
          <w:tcPr>
            <w:tcW w:w="1450" w:type="dxa"/>
            <w:noWrap w:val="0"/>
            <w:tcMar>
              <w:top w:w="0" w:type="dxa"/>
              <w:left w:w="0" w:type="dxa"/>
              <w:bottom w:w="0" w:type="dxa"/>
              <w:right w:w="0" w:type="dxa"/>
            </w:tcMar>
            <w:vAlign w:val="center"/>
          </w:tcPr>
          <w:p w14:paraId="021B241C">
            <w:pPr>
              <w:jc w:val="center"/>
              <w:rPr>
                <w:rFonts w:hint="eastAsia" w:ascii="Times New Roman" w:hAnsi="Times New Roman" w:eastAsia="宋体" w:cs="Times New Roman"/>
                <w:color w:val="000000"/>
                <w:sz w:val="21"/>
                <w:lang w:val="en-US" w:eastAsia="zh-CN"/>
              </w:rPr>
            </w:pPr>
            <w:r>
              <w:rPr>
                <w:rFonts w:hint="eastAsia" w:cs="Times New Roman"/>
                <w:color w:val="000000"/>
                <w:sz w:val="21"/>
                <w:lang w:val="en-US" w:eastAsia="zh-CN"/>
              </w:rPr>
              <w:t>3</w:t>
            </w:r>
            <w:r>
              <w:rPr>
                <w:rFonts w:hint="eastAsia" w:ascii="Times New Roman" w:hAnsi="Times New Roman" w:eastAsia="宋体" w:cs="Times New Roman"/>
                <w:color w:val="000000"/>
                <w:sz w:val="21"/>
                <w:lang w:val="en-US" w:eastAsia="zh-CN"/>
              </w:rPr>
              <w:t>.00分</w:t>
            </w:r>
          </w:p>
        </w:tc>
        <w:tc>
          <w:tcPr>
            <w:tcW w:w="5493" w:type="dxa"/>
            <w:noWrap w:val="0"/>
            <w:tcMar>
              <w:top w:w="0" w:type="dxa"/>
              <w:left w:w="0" w:type="dxa"/>
              <w:bottom w:w="0" w:type="dxa"/>
              <w:right w:w="0" w:type="dxa"/>
            </w:tcMar>
            <w:vAlign w:val="center"/>
          </w:tcPr>
          <w:p w14:paraId="099DFBB6">
            <w:pPr>
              <w:jc w:val="left"/>
              <w:rPr>
                <w:rFonts w:hint="eastAsia" w:ascii="Calibri" w:hAnsi="Calibri" w:eastAsia="宋体"/>
                <w:b w:val="0"/>
                <w:bCs w:val="0"/>
                <w:color w:val="000000"/>
                <w:sz w:val="21"/>
                <w:szCs w:val="22"/>
                <w:lang w:bidi="ar"/>
              </w:rPr>
            </w:pPr>
            <w:r>
              <w:rPr>
                <w:rFonts w:hint="eastAsia" w:ascii="宋体" w:hAnsi="宋体"/>
                <w:lang w:val="en-US" w:eastAsia="zh-CN"/>
              </w:rPr>
              <w:t>在满足采购文件质保期的基础上，供应商承诺增加质保年限的，每增加一年得1分，最高得3分。注：投标文件中提供承诺函（格式自拟），未提供的不得分。</w:t>
            </w:r>
          </w:p>
        </w:tc>
      </w:tr>
    </w:tbl>
    <w:p w14:paraId="6E0F9EF3">
      <w:pPr>
        <w:numPr>
          <w:ilvl w:val="0"/>
          <w:numId w:val="0"/>
        </w:numPr>
        <w:spacing w:line="480" w:lineRule="exact"/>
        <w:ind w:firstLine="482" w:firstLineChars="200"/>
        <w:jc w:val="left"/>
        <w:rPr>
          <w:rFonts w:hint="default" w:eastAsia="宋体" w:cs="仿宋"/>
          <w:b/>
          <w:bCs/>
          <w:sz w:val="24"/>
          <w:szCs w:val="22"/>
          <w:lang w:val="en-US" w:eastAsia="zh-CN"/>
        </w:rPr>
      </w:pPr>
      <w:r>
        <w:rPr>
          <w:rFonts w:hint="eastAsia" w:cs="仿宋"/>
          <w:b/>
          <w:bCs/>
          <w:sz w:val="24"/>
          <w:szCs w:val="22"/>
          <w:lang w:val="en-US" w:eastAsia="zh-CN"/>
        </w:rPr>
        <w:t>分包2</w:t>
      </w:r>
      <w:r>
        <w:rPr>
          <w:rFonts w:hint="eastAsia" w:cs="仿宋"/>
          <w:b/>
          <w:bCs/>
          <w:sz w:val="24"/>
          <w:szCs w:val="22"/>
        </w:rPr>
        <w:t>评标标准</w:t>
      </w:r>
      <w:r>
        <w:rPr>
          <w:rFonts w:hint="eastAsia" w:cs="仿宋"/>
          <w:b/>
          <w:bCs/>
          <w:sz w:val="24"/>
          <w:szCs w:val="22"/>
          <w:lang w:val="en-US"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425"/>
        <w:gridCol w:w="5530"/>
      </w:tblGrid>
      <w:tr w14:paraId="5DC1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tcMar>
              <w:top w:w="0" w:type="dxa"/>
              <w:left w:w="0" w:type="dxa"/>
              <w:bottom w:w="0" w:type="dxa"/>
              <w:right w:w="0" w:type="dxa"/>
            </w:tcMar>
            <w:vAlign w:val="center"/>
          </w:tcPr>
          <w:p w14:paraId="41443F3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评审因素</w:t>
            </w:r>
          </w:p>
        </w:tc>
        <w:tc>
          <w:tcPr>
            <w:tcW w:w="1425" w:type="dxa"/>
            <w:noWrap w:val="0"/>
            <w:tcMar>
              <w:top w:w="0" w:type="dxa"/>
              <w:left w:w="0" w:type="dxa"/>
              <w:bottom w:w="0" w:type="dxa"/>
              <w:right w:w="0" w:type="dxa"/>
            </w:tcMar>
            <w:vAlign w:val="center"/>
          </w:tcPr>
          <w:p w14:paraId="389D7C7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分数</w:t>
            </w:r>
          </w:p>
        </w:tc>
        <w:tc>
          <w:tcPr>
            <w:tcW w:w="5530" w:type="dxa"/>
            <w:noWrap w:val="0"/>
            <w:tcMar>
              <w:top w:w="0" w:type="dxa"/>
              <w:left w:w="0" w:type="dxa"/>
              <w:bottom w:w="0" w:type="dxa"/>
              <w:right w:w="0" w:type="dxa"/>
            </w:tcMar>
            <w:vAlign w:val="center"/>
          </w:tcPr>
          <w:p w14:paraId="0EE1736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评审标准</w:t>
            </w:r>
          </w:p>
        </w:tc>
      </w:tr>
      <w:tr w14:paraId="1A96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tcMar>
              <w:top w:w="0" w:type="dxa"/>
              <w:left w:w="0" w:type="dxa"/>
              <w:bottom w:w="0" w:type="dxa"/>
              <w:right w:w="0" w:type="dxa"/>
            </w:tcMar>
            <w:vAlign w:val="center"/>
          </w:tcPr>
          <w:p w14:paraId="7AA3CD1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投标报价</w:t>
            </w:r>
          </w:p>
        </w:tc>
        <w:tc>
          <w:tcPr>
            <w:tcW w:w="1425" w:type="dxa"/>
            <w:noWrap w:val="0"/>
            <w:tcMar>
              <w:top w:w="0" w:type="dxa"/>
              <w:left w:w="0" w:type="dxa"/>
              <w:bottom w:w="0" w:type="dxa"/>
              <w:right w:w="0" w:type="dxa"/>
            </w:tcMar>
            <w:vAlign w:val="center"/>
          </w:tcPr>
          <w:p w14:paraId="36D4472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Times New Roman" w:hAnsi="Times New Roman" w:eastAsia="Times New Roman" w:cs="Times New Roman"/>
                <w:color w:val="000000"/>
                <w:sz w:val="21"/>
              </w:rPr>
              <w:t>30.00</w:t>
            </w:r>
            <w:r>
              <w:rPr>
                <w:rFonts w:hint="default" w:ascii="宋体" w:hAnsi="宋体" w:eastAsia="宋体" w:cs="宋体"/>
                <w:color w:val="000000"/>
                <w:sz w:val="21"/>
              </w:rPr>
              <w:t>分</w:t>
            </w:r>
          </w:p>
        </w:tc>
        <w:tc>
          <w:tcPr>
            <w:tcW w:w="5530" w:type="dxa"/>
            <w:noWrap w:val="0"/>
            <w:tcMar>
              <w:top w:w="0" w:type="dxa"/>
              <w:left w:w="0" w:type="dxa"/>
              <w:bottom w:w="0" w:type="dxa"/>
              <w:right w:w="0" w:type="dxa"/>
            </w:tcMar>
            <w:vAlign w:val="center"/>
          </w:tcPr>
          <w:p w14:paraId="723BDE3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宋体" w:hAnsi="宋体" w:eastAsia="宋体" w:cs="宋体"/>
                <w:color w:val="000000"/>
                <w:sz w:val="21"/>
              </w:rPr>
            </w:pPr>
            <w:r>
              <w:rPr>
                <w:rFonts w:hint="default" w:ascii="宋体" w:hAnsi="宋体" w:eastAsia="宋体" w:cs="宋体"/>
                <w:color w:val="000000"/>
                <w:sz w:val="21"/>
              </w:rPr>
              <w:t>采用低价优先法计算，即满足招标文件要求且投标价格最低的投标报价为评标基准价，其价格分为满分。其他投标人投标报价得分＝（评标基准价</w:t>
            </w:r>
            <w:r>
              <w:rPr>
                <w:rFonts w:hint="default" w:ascii="Times New Roman" w:hAnsi="Times New Roman" w:eastAsia="Times New Roman" w:cs="Times New Roman"/>
                <w:color w:val="000000"/>
                <w:sz w:val="21"/>
              </w:rPr>
              <w:t>/</w:t>
            </w:r>
            <w:r>
              <w:rPr>
                <w:rFonts w:hint="default" w:ascii="宋体" w:hAnsi="宋体" w:eastAsia="宋体" w:cs="宋体"/>
                <w:color w:val="000000"/>
                <w:sz w:val="21"/>
              </w:rPr>
              <w:t>投标报价）</w:t>
            </w:r>
            <w:r>
              <w:rPr>
                <w:rFonts w:hint="default" w:ascii="Times New Roman" w:hAnsi="Times New Roman" w:eastAsia="Times New Roman" w:cs="Times New Roman"/>
                <w:color w:val="000000"/>
                <w:sz w:val="21"/>
              </w:rPr>
              <w:t>*30</w:t>
            </w:r>
            <w:r>
              <w:rPr>
                <w:rFonts w:hint="default" w:ascii="宋体" w:hAnsi="宋体" w:eastAsia="宋体" w:cs="宋体"/>
                <w:color w:val="000000"/>
                <w:sz w:val="21"/>
              </w:rPr>
              <w:t>。</w:t>
            </w:r>
          </w:p>
          <w:p w14:paraId="4BDEE18A">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宋体" w:hAnsi="宋体" w:eastAsia="宋体" w:cs="宋体"/>
                <w:color w:val="000000"/>
                <w:sz w:val="21"/>
              </w:rPr>
            </w:pPr>
            <w:r>
              <w:rPr>
                <w:rFonts w:hint="default" w:ascii="宋体" w:hAnsi="宋体" w:eastAsia="宋体" w:cs="宋体"/>
                <w:color w:val="000000"/>
                <w:sz w:val="21"/>
              </w:rPr>
              <w:t>注：1.符合规定的小微企业（含监狱企业和残疾人福利单位）报价给予10%的扣除，用扣除后的价格参加评审。</w:t>
            </w:r>
          </w:p>
          <w:p w14:paraId="713F837B">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default" w:ascii="宋体" w:hAnsi="宋体" w:eastAsia="宋体" w:cs="宋体"/>
                <w:color w:val="000000"/>
                <w:sz w:val="21"/>
              </w:rPr>
              <w:t>2.符合规定的本国产品的报价给予20%的价格扣除，用扣除后的价格参与评审。</w:t>
            </w:r>
          </w:p>
        </w:tc>
      </w:tr>
      <w:tr w14:paraId="18DB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tcMar>
              <w:top w:w="0" w:type="dxa"/>
              <w:left w:w="0" w:type="dxa"/>
              <w:bottom w:w="0" w:type="dxa"/>
              <w:right w:w="0" w:type="dxa"/>
            </w:tcMar>
            <w:vAlign w:val="center"/>
          </w:tcPr>
          <w:p w14:paraId="494D651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技术参数响应</w:t>
            </w:r>
          </w:p>
        </w:tc>
        <w:tc>
          <w:tcPr>
            <w:tcW w:w="1425" w:type="dxa"/>
            <w:noWrap w:val="0"/>
            <w:tcMar>
              <w:top w:w="0" w:type="dxa"/>
              <w:left w:w="0" w:type="dxa"/>
              <w:bottom w:w="0" w:type="dxa"/>
              <w:right w:w="0" w:type="dxa"/>
            </w:tcMar>
            <w:vAlign w:val="center"/>
          </w:tcPr>
          <w:p w14:paraId="79514AD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color w:val="auto"/>
              </w:rPr>
            </w:pPr>
            <w:r>
              <w:rPr>
                <w:rFonts w:hint="eastAsia" w:cs="Times New Roman"/>
                <w:color w:val="auto"/>
                <w:sz w:val="21"/>
                <w:lang w:val="en-US" w:eastAsia="zh-CN"/>
              </w:rPr>
              <w:t>27</w:t>
            </w:r>
            <w:r>
              <w:rPr>
                <w:rFonts w:hint="default" w:ascii="Times New Roman" w:hAnsi="Times New Roman" w:eastAsia="Times New Roman" w:cs="Times New Roman"/>
                <w:color w:val="auto"/>
                <w:sz w:val="21"/>
              </w:rPr>
              <w:t>.00</w:t>
            </w:r>
            <w:r>
              <w:rPr>
                <w:rFonts w:hint="default" w:ascii="宋体" w:hAnsi="宋体" w:eastAsia="宋体" w:cs="宋体"/>
                <w:color w:val="auto"/>
                <w:sz w:val="21"/>
              </w:rPr>
              <w:t>分</w:t>
            </w:r>
          </w:p>
        </w:tc>
        <w:tc>
          <w:tcPr>
            <w:tcW w:w="5530" w:type="dxa"/>
            <w:noWrap w:val="0"/>
            <w:tcMar>
              <w:top w:w="0" w:type="dxa"/>
              <w:left w:w="0" w:type="dxa"/>
              <w:bottom w:w="0" w:type="dxa"/>
              <w:right w:w="0" w:type="dxa"/>
            </w:tcMar>
            <w:vAlign w:val="center"/>
          </w:tcPr>
          <w:p w14:paraId="7F95EE75">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宋体" w:hAnsi="宋体" w:eastAsia="宋体" w:cs="宋体"/>
                <w:color w:val="000000"/>
                <w:sz w:val="21"/>
              </w:rPr>
            </w:pPr>
            <w:r>
              <w:rPr>
                <w:rFonts w:hint="default" w:ascii="宋体" w:hAnsi="宋体" w:eastAsia="宋体" w:cs="宋体"/>
                <w:color w:val="000000"/>
                <w:sz w:val="21"/>
              </w:rPr>
              <w:t>针对招标文件“第四</w:t>
            </w:r>
            <w:r>
              <w:rPr>
                <w:rFonts w:hint="eastAsia" w:ascii="宋体" w:hAnsi="宋体" w:eastAsia="宋体" w:cs="宋体"/>
                <w:color w:val="000000"/>
                <w:sz w:val="21"/>
                <w:lang w:val="en-US" w:eastAsia="zh-CN"/>
              </w:rPr>
              <w:t>章</w:t>
            </w:r>
            <w:r>
              <w:rPr>
                <w:rFonts w:hint="default" w:ascii="宋体" w:hAnsi="宋体" w:eastAsia="宋体" w:cs="宋体"/>
                <w:color w:val="000000"/>
                <w:sz w:val="21"/>
              </w:rPr>
              <w:t>、采购需求”的“四、采购</w:t>
            </w:r>
            <w:r>
              <w:rPr>
                <w:rFonts w:hint="eastAsia" w:ascii="宋体" w:hAnsi="宋体" w:eastAsia="宋体" w:cs="宋体"/>
                <w:color w:val="000000"/>
                <w:sz w:val="21"/>
                <w:lang w:val="en-US" w:eastAsia="zh-CN"/>
              </w:rPr>
              <w:t>产品参数要求</w:t>
            </w:r>
            <w:r>
              <w:rPr>
                <w:rFonts w:hint="default" w:ascii="宋体" w:hAnsi="宋体" w:eastAsia="宋体" w:cs="宋体"/>
                <w:color w:val="000000"/>
                <w:sz w:val="21"/>
              </w:rPr>
              <w:t>”中“分包</w:t>
            </w:r>
            <w:r>
              <w:rPr>
                <w:rFonts w:hint="eastAsia" w:ascii="宋体" w:hAnsi="宋体" w:cs="宋体"/>
                <w:color w:val="000000"/>
                <w:sz w:val="21"/>
                <w:lang w:val="en-US" w:eastAsia="zh-CN"/>
              </w:rPr>
              <w:t>2</w:t>
            </w:r>
            <w:r>
              <w:rPr>
                <w:rFonts w:hint="default" w:ascii="宋体" w:hAnsi="宋体" w:eastAsia="宋体" w:cs="宋体"/>
                <w:color w:val="000000"/>
                <w:sz w:val="21"/>
              </w:rPr>
              <w:t>：全自动生化分析仪”所列内容进行评分，所投产品技术参数完全满足或优于招标文件技术参数要求的得</w:t>
            </w:r>
            <w:r>
              <w:rPr>
                <w:rFonts w:hint="eastAsia" w:ascii="宋体" w:hAnsi="宋体" w:cs="宋体"/>
                <w:color w:val="000000"/>
                <w:sz w:val="21"/>
                <w:lang w:val="en-US" w:eastAsia="zh-CN"/>
              </w:rPr>
              <w:t>27</w:t>
            </w:r>
            <w:r>
              <w:rPr>
                <w:rFonts w:hint="default" w:ascii="宋体" w:hAnsi="宋体" w:eastAsia="宋体" w:cs="宋体"/>
                <w:color w:val="000000"/>
                <w:sz w:val="21"/>
              </w:rPr>
              <w:t>分</w:t>
            </w:r>
            <w:r>
              <w:rPr>
                <w:rFonts w:hint="eastAsia" w:ascii="宋体" w:hAnsi="宋体" w:eastAsia="宋体" w:cs="宋体"/>
                <w:color w:val="000000"/>
                <w:sz w:val="21"/>
                <w:lang w:eastAsia="zh-CN"/>
              </w:rPr>
              <w:t>。</w:t>
            </w:r>
            <w:r>
              <w:rPr>
                <w:rFonts w:hint="default" w:ascii="宋体" w:hAnsi="宋体" w:eastAsia="宋体" w:cs="宋体"/>
                <w:color w:val="000000"/>
                <w:sz w:val="21"/>
              </w:rPr>
              <w:t>一般参数项共计</w:t>
            </w:r>
            <w:r>
              <w:rPr>
                <w:rFonts w:hint="eastAsia" w:ascii="宋体" w:hAnsi="宋体" w:cs="宋体"/>
                <w:color w:val="000000"/>
                <w:sz w:val="21"/>
                <w:lang w:val="en-US" w:eastAsia="zh-CN"/>
              </w:rPr>
              <w:t>27</w:t>
            </w:r>
            <w:r>
              <w:rPr>
                <w:rFonts w:hint="default" w:ascii="宋体" w:hAnsi="宋体" w:eastAsia="宋体" w:cs="宋体"/>
                <w:color w:val="000000"/>
                <w:sz w:val="21"/>
              </w:rPr>
              <w:t>项，每有一项（一个句号的完整内容为一“项”）负偏离扣</w:t>
            </w:r>
            <w:r>
              <w:rPr>
                <w:rFonts w:hint="eastAsia" w:ascii="宋体" w:hAnsi="宋体" w:cs="宋体"/>
                <w:color w:val="000000"/>
                <w:sz w:val="21"/>
                <w:lang w:val="en-US" w:eastAsia="zh-CN"/>
              </w:rPr>
              <w:t>1</w:t>
            </w:r>
            <w:r>
              <w:rPr>
                <w:rFonts w:hint="default" w:ascii="宋体" w:hAnsi="宋体" w:eastAsia="宋体" w:cs="宋体"/>
                <w:color w:val="000000"/>
                <w:sz w:val="21"/>
              </w:rPr>
              <w:t xml:space="preserve">分。 </w:t>
            </w:r>
          </w:p>
          <w:p w14:paraId="6BD9B8FB">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default" w:ascii="宋体" w:hAnsi="宋体" w:eastAsia="宋体" w:cs="宋体"/>
                <w:color w:val="000000"/>
                <w:sz w:val="21"/>
              </w:rPr>
              <w:t>注：投标人针对本项评分内容在</w:t>
            </w:r>
            <w:r>
              <w:rPr>
                <w:rFonts w:hint="eastAsia" w:ascii="宋体" w:hAnsi="宋体" w:cs="宋体"/>
                <w:color w:val="000000"/>
                <w:sz w:val="21"/>
                <w:lang w:eastAsia="zh-CN"/>
              </w:rPr>
              <w:t>投标文件</w:t>
            </w:r>
            <w:r>
              <w:rPr>
                <w:rFonts w:hint="default" w:ascii="宋体" w:hAnsi="宋体" w:eastAsia="宋体" w:cs="宋体"/>
                <w:color w:val="000000"/>
                <w:sz w:val="21"/>
              </w:rPr>
              <w:t>《技术要求响应及偏离表》中逐条列出响应及偏离情况，采购需求中要求提供证明材料的，以证明材料为准；采购需求中未要求提供证明材料的，以《技术要求响应及偏离表》为准。未按要求提供证明材料或提供的证明材料不全或未在响应偏离表中列明偏离情况的对应项按负偏离进行扣分处理。</w:t>
            </w:r>
          </w:p>
        </w:tc>
      </w:tr>
      <w:tr w14:paraId="0A1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tcMar>
              <w:top w:w="0" w:type="dxa"/>
              <w:left w:w="0" w:type="dxa"/>
              <w:bottom w:w="0" w:type="dxa"/>
              <w:right w:w="0" w:type="dxa"/>
            </w:tcMar>
            <w:vAlign w:val="center"/>
          </w:tcPr>
          <w:p w14:paraId="57ED17D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企业业绩</w:t>
            </w:r>
          </w:p>
        </w:tc>
        <w:tc>
          <w:tcPr>
            <w:tcW w:w="1425" w:type="dxa"/>
            <w:noWrap w:val="0"/>
            <w:tcMar>
              <w:top w:w="0" w:type="dxa"/>
              <w:left w:w="0" w:type="dxa"/>
              <w:bottom w:w="0" w:type="dxa"/>
              <w:right w:w="0" w:type="dxa"/>
            </w:tcMar>
            <w:vAlign w:val="center"/>
          </w:tcPr>
          <w:p w14:paraId="6989816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color w:val="auto"/>
              </w:rPr>
            </w:pPr>
            <w:r>
              <w:rPr>
                <w:rFonts w:hint="eastAsia" w:ascii="Times New Roman" w:hAnsi="Times New Roman" w:eastAsia="宋体" w:cs="Times New Roman"/>
                <w:color w:val="auto"/>
                <w:sz w:val="21"/>
                <w:lang w:val="en-US" w:eastAsia="zh-CN"/>
              </w:rPr>
              <w:t>9</w:t>
            </w:r>
            <w:r>
              <w:rPr>
                <w:rFonts w:hint="default" w:ascii="Times New Roman" w:hAnsi="Times New Roman" w:eastAsia="Times New Roman" w:cs="Times New Roman"/>
                <w:color w:val="auto"/>
                <w:sz w:val="21"/>
              </w:rPr>
              <w:t>.00</w:t>
            </w:r>
            <w:r>
              <w:rPr>
                <w:rFonts w:hint="default" w:ascii="宋体" w:hAnsi="宋体" w:eastAsia="宋体" w:cs="宋体"/>
                <w:color w:val="auto"/>
                <w:sz w:val="21"/>
              </w:rPr>
              <w:t>分</w:t>
            </w:r>
          </w:p>
        </w:tc>
        <w:tc>
          <w:tcPr>
            <w:tcW w:w="5530" w:type="dxa"/>
            <w:noWrap w:val="0"/>
            <w:tcMar>
              <w:top w:w="0" w:type="dxa"/>
              <w:left w:w="0" w:type="dxa"/>
              <w:bottom w:w="0" w:type="dxa"/>
              <w:right w:w="0" w:type="dxa"/>
            </w:tcMar>
            <w:vAlign w:val="center"/>
          </w:tcPr>
          <w:p w14:paraId="555624AB">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default" w:ascii="宋体" w:hAnsi="宋体" w:eastAsia="宋体" w:cs="宋体"/>
                <w:color w:val="000000"/>
                <w:sz w:val="21"/>
              </w:rPr>
              <w:t>投标人自202</w:t>
            </w:r>
            <w:r>
              <w:rPr>
                <w:rFonts w:hint="eastAsia" w:ascii="宋体" w:hAnsi="宋体" w:cs="宋体"/>
                <w:color w:val="000000"/>
                <w:sz w:val="21"/>
                <w:lang w:val="en-US" w:eastAsia="zh-CN"/>
              </w:rPr>
              <w:t>3</w:t>
            </w:r>
            <w:r>
              <w:rPr>
                <w:rFonts w:hint="default" w:ascii="宋体" w:hAnsi="宋体" w:eastAsia="宋体" w:cs="宋体"/>
                <w:color w:val="000000"/>
                <w:sz w:val="21"/>
              </w:rPr>
              <w:t>年1月1日以来（以合同签订时间为准）有类似项目业绩的，每提供一个得</w:t>
            </w:r>
            <w:r>
              <w:rPr>
                <w:rFonts w:hint="eastAsia" w:ascii="宋体" w:hAnsi="宋体" w:eastAsia="宋体" w:cs="宋体"/>
                <w:color w:val="000000"/>
                <w:sz w:val="21"/>
                <w:lang w:val="en-US" w:eastAsia="zh-CN"/>
              </w:rPr>
              <w:t>3</w:t>
            </w:r>
            <w:r>
              <w:rPr>
                <w:rFonts w:hint="default" w:ascii="宋体" w:hAnsi="宋体" w:eastAsia="宋体" w:cs="宋体"/>
                <w:color w:val="000000"/>
                <w:sz w:val="21"/>
              </w:rPr>
              <w:t>分，本项目最高得分为</w:t>
            </w:r>
            <w:r>
              <w:rPr>
                <w:rFonts w:hint="eastAsia" w:ascii="宋体" w:hAnsi="宋体" w:eastAsia="宋体" w:cs="宋体"/>
                <w:color w:val="000000"/>
                <w:sz w:val="21"/>
                <w:lang w:val="en-US" w:eastAsia="zh-CN"/>
              </w:rPr>
              <w:t>9</w:t>
            </w:r>
            <w:r>
              <w:rPr>
                <w:rFonts w:hint="default" w:ascii="宋体" w:hAnsi="宋体" w:eastAsia="宋体" w:cs="宋体"/>
                <w:color w:val="000000"/>
                <w:sz w:val="21"/>
              </w:rPr>
              <w:t xml:space="preserve">分。 </w:t>
            </w:r>
          </w:p>
          <w:p w14:paraId="585650E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default" w:ascii="宋体" w:hAnsi="宋体" w:eastAsia="宋体" w:cs="宋体"/>
                <w:color w:val="000000"/>
                <w:sz w:val="21"/>
              </w:rPr>
              <w:t>注：投标文件中提供合同（主要内容、标的、签订时间清晰可见）证明和甲方出具的项目验收合格材料电子件，二者缺一不可，否则不得分。</w:t>
            </w:r>
          </w:p>
        </w:tc>
      </w:tr>
      <w:tr w14:paraId="0194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tcMar>
              <w:top w:w="0" w:type="dxa"/>
              <w:left w:w="0" w:type="dxa"/>
              <w:bottom w:w="0" w:type="dxa"/>
              <w:right w:w="0" w:type="dxa"/>
            </w:tcMar>
            <w:vAlign w:val="center"/>
          </w:tcPr>
          <w:p w14:paraId="20092C2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项目供货方案</w:t>
            </w:r>
          </w:p>
        </w:tc>
        <w:tc>
          <w:tcPr>
            <w:tcW w:w="1425" w:type="dxa"/>
            <w:noWrap w:val="0"/>
            <w:tcMar>
              <w:top w:w="0" w:type="dxa"/>
              <w:left w:w="0" w:type="dxa"/>
              <w:bottom w:w="0" w:type="dxa"/>
              <w:right w:w="0" w:type="dxa"/>
            </w:tcMar>
            <w:vAlign w:val="center"/>
          </w:tcPr>
          <w:p w14:paraId="2020B62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color w:val="auto"/>
              </w:rPr>
            </w:pPr>
            <w:r>
              <w:rPr>
                <w:rFonts w:hint="eastAsia" w:cs="Times New Roman"/>
                <w:color w:val="auto"/>
                <w:sz w:val="21"/>
                <w:lang w:val="en-US" w:eastAsia="zh-CN"/>
              </w:rPr>
              <w:t>7</w:t>
            </w:r>
            <w:r>
              <w:rPr>
                <w:rFonts w:hint="default" w:ascii="Times New Roman" w:hAnsi="Times New Roman" w:eastAsia="Times New Roman" w:cs="Times New Roman"/>
                <w:color w:val="auto"/>
                <w:sz w:val="21"/>
              </w:rPr>
              <w:t>.00</w:t>
            </w:r>
            <w:r>
              <w:rPr>
                <w:rFonts w:hint="default" w:ascii="宋体" w:hAnsi="宋体" w:eastAsia="宋体" w:cs="宋体"/>
                <w:color w:val="auto"/>
                <w:sz w:val="21"/>
              </w:rPr>
              <w:t>分</w:t>
            </w:r>
          </w:p>
        </w:tc>
        <w:tc>
          <w:tcPr>
            <w:tcW w:w="5530" w:type="dxa"/>
            <w:noWrap w:val="0"/>
            <w:tcMar>
              <w:top w:w="0" w:type="dxa"/>
              <w:left w:w="0" w:type="dxa"/>
              <w:bottom w:w="0" w:type="dxa"/>
              <w:right w:w="0" w:type="dxa"/>
            </w:tcMar>
            <w:vAlign w:val="center"/>
          </w:tcPr>
          <w:p w14:paraId="4E083D0A">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default" w:ascii="Times New Roman" w:hAnsi="Times New Roman" w:eastAsia="宋体" w:cs="Times New Roman"/>
              </w:rPr>
            </w:pPr>
            <w:r>
              <w:rPr>
                <w:rFonts w:hint="eastAsia" w:ascii="Calibri" w:hAnsi="Calibri" w:eastAsia="宋体"/>
                <w:b w:val="0"/>
                <w:bCs w:val="0"/>
                <w:color w:val="000000"/>
                <w:sz w:val="21"/>
                <w:szCs w:val="22"/>
                <w:lang w:bidi="ar"/>
              </w:rPr>
              <w:t>针对采购文件“第四章 采购需求-</w:t>
            </w:r>
            <w:r>
              <w:rPr>
                <w:rFonts w:hint="eastAsia" w:ascii="Calibri" w:hAnsi="Calibri" w:eastAsia="宋体"/>
                <w:b w:val="0"/>
                <w:bCs w:val="0"/>
                <w:color w:val="000000"/>
                <w:sz w:val="21"/>
                <w:szCs w:val="22"/>
                <w:lang w:val="en-US" w:eastAsia="zh-CN" w:bidi="ar"/>
              </w:rPr>
              <w:t>六</w:t>
            </w:r>
            <w:r>
              <w:rPr>
                <w:rFonts w:hint="eastAsia" w:ascii="Calibri" w:hAnsi="Calibri" w:eastAsia="宋体"/>
                <w:b w:val="0"/>
                <w:bCs w:val="0"/>
                <w:color w:val="000000"/>
                <w:sz w:val="21"/>
                <w:szCs w:val="22"/>
                <w:lang w:bidi="ar"/>
              </w:rPr>
              <w:t>、</w:t>
            </w:r>
            <w:r>
              <w:rPr>
                <w:rFonts w:hint="eastAsia" w:ascii="Calibri" w:hAnsi="Calibri" w:eastAsia="宋体"/>
                <w:b w:val="0"/>
                <w:bCs w:val="0"/>
                <w:color w:val="000000"/>
                <w:sz w:val="21"/>
                <w:szCs w:val="22"/>
                <w:lang w:val="en-US" w:eastAsia="zh-CN" w:bidi="ar"/>
              </w:rPr>
              <w:t>供货要求</w:t>
            </w:r>
            <w:r>
              <w:rPr>
                <w:rFonts w:hint="eastAsia" w:ascii="Calibri" w:hAnsi="Calibri" w:eastAsia="宋体"/>
                <w:b w:val="0"/>
                <w:bCs w:val="0"/>
                <w:color w:val="000000"/>
                <w:sz w:val="21"/>
                <w:szCs w:val="22"/>
                <w:lang w:bidi="ar"/>
              </w:rPr>
              <w:t>”提供</w:t>
            </w:r>
            <w:r>
              <w:rPr>
                <w:rFonts w:hint="eastAsia" w:ascii="Calibri" w:hAnsi="Calibri" w:eastAsia="宋体"/>
                <w:b w:val="0"/>
                <w:bCs w:val="0"/>
                <w:color w:val="000000"/>
                <w:sz w:val="21"/>
                <w:szCs w:val="22"/>
                <w:lang w:val="en-US" w:eastAsia="zh-CN" w:bidi="ar"/>
              </w:rPr>
              <w:t>方案</w:t>
            </w:r>
            <w:r>
              <w:rPr>
                <w:rFonts w:hint="eastAsia" w:ascii="Calibri" w:hAnsi="Calibri" w:eastAsia="宋体"/>
                <w:b w:val="0"/>
                <w:bCs w:val="0"/>
                <w:color w:val="000000"/>
                <w:sz w:val="21"/>
                <w:szCs w:val="22"/>
                <w:lang w:bidi="ar"/>
              </w:rPr>
              <w:t>。优于采购需求的，得</w:t>
            </w:r>
            <w:r>
              <w:rPr>
                <w:rFonts w:hint="eastAsia" w:ascii="Calibri" w:hAnsi="Calibri"/>
                <w:b w:val="0"/>
                <w:bCs w:val="0"/>
                <w:color w:val="000000"/>
                <w:sz w:val="21"/>
                <w:szCs w:val="22"/>
                <w:lang w:val="en-US" w:eastAsia="zh-CN" w:bidi="ar"/>
              </w:rPr>
              <w:t>7</w:t>
            </w:r>
            <w:r>
              <w:rPr>
                <w:rFonts w:hint="eastAsia" w:ascii="Calibri" w:hAnsi="Calibri" w:eastAsia="宋体"/>
                <w:b w:val="0"/>
                <w:bCs w:val="0"/>
                <w:color w:val="000000"/>
                <w:sz w:val="21"/>
                <w:szCs w:val="22"/>
                <w:lang w:bidi="ar"/>
              </w:rPr>
              <w:t>分；满足采购需求的，得</w:t>
            </w:r>
            <w:r>
              <w:rPr>
                <w:rFonts w:hint="eastAsia" w:ascii="Calibri" w:hAnsi="Calibri"/>
                <w:b w:val="0"/>
                <w:bCs w:val="0"/>
                <w:color w:val="000000"/>
                <w:sz w:val="21"/>
                <w:szCs w:val="22"/>
                <w:lang w:val="en-US" w:eastAsia="zh-CN" w:bidi="ar"/>
              </w:rPr>
              <w:t>5</w:t>
            </w:r>
            <w:r>
              <w:rPr>
                <w:rFonts w:hint="eastAsia" w:ascii="Calibri" w:hAnsi="Calibri" w:eastAsia="宋体"/>
                <w:b w:val="0"/>
                <w:bCs w:val="0"/>
                <w:color w:val="000000"/>
                <w:sz w:val="21"/>
                <w:szCs w:val="22"/>
                <w:lang w:bidi="ar"/>
              </w:rPr>
              <w:t>分；方案内容笼统，没有针对本项目细化制定，通过后期优化调整能够实现采购需求的得</w:t>
            </w:r>
            <w:r>
              <w:rPr>
                <w:rFonts w:hint="eastAsia" w:ascii="Calibri" w:hAnsi="Calibri"/>
                <w:b w:val="0"/>
                <w:bCs w:val="0"/>
                <w:color w:val="000000"/>
                <w:sz w:val="21"/>
                <w:szCs w:val="22"/>
                <w:lang w:val="en-US" w:eastAsia="zh-CN" w:bidi="ar"/>
              </w:rPr>
              <w:t>2</w:t>
            </w:r>
            <w:r>
              <w:rPr>
                <w:rFonts w:hint="eastAsia" w:ascii="Calibri" w:hAnsi="Calibri" w:eastAsia="宋体"/>
                <w:b w:val="0"/>
                <w:bCs w:val="0"/>
                <w:color w:val="000000"/>
                <w:sz w:val="21"/>
                <w:szCs w:val="22"/>
                <w:lang w:bidi="ar"/>
              </w:rPr>
              <w:t>分；没有内容不得分。</w:t>
            </w:r>
          </w:p>
        </w:tc>
      </w:tr>
      <w:tr w14:paraId="4D6A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40" w:type="dxa"/>
            <w:noWrap w:val="0"/>
            <w:vAlign w:val="center"/>
          </w:tcPr>
          <w:p w14:paraId="3F983E9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安装调试方案</w:t>
            </w:r>
          </w:p>
        </w:tc>
        <w:tc>
          <w:tcPr>
            <w:tcW w:w="1425" w:type="dxa"/>
            <w:noWrap w:val="0"/>
            <w:tcMar>
              <w:top w:w="0" w:type="dxa"/>
              <w:left w:w="0" w:type="dxa"/>
              <w:bottom w:w="0" w:type="dxa"/>
              <w:right w:w="0" w:type="dxa"/>
            </w:tcMar>
            <w:vAlign w:val="center"/>
          </w:tcPr>
          <w:p w14:paraId="5712A46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color w:val="auto"/>
              </w:rPr>
            </w:pPr>
            <w:r>
              <w:rPr>
                <w:rFonts w:hint="eastAsia" w:cs="Times New Roman"/>
                <w:color w:val="auto"/>
                <w:sz w:val="21"/>
                <w:lang w:val="en-US" w:eastAsia="zh-CN"/>
              </w:rPr>
              <w:t>7</w:t>
            </w:r>
            <w:r>
              <w:rPr>
                <w:rFonts w:hint="default" w:ascii="Times New Roman" w:hAnsi="Times New Roman" w:eastAsia="Times New Roman" w:cs="Times New Roman"/>
                <w:color w:val="auto"/>
                <w:sz w:val="21"/>
              </w:rPr>
              <w:t>.00</w:t>
            </w:r>
            <w:r>
              <w:rPr>
                <w:rFonts w:hint="default" w:ascii="宋体" w:hAnsi="宋体" w:eastAsia="宋体" w:cs="宋体"/>
                <w:color w:val="auto"/>
                <w:sz w:val="21"/>
              </w:rPr>
              <w:t>分</w:t>
            </w:r>
          </w:p>
        </w:tc>
        <w:tc>
          <w:tcPr>
            <w:tcW w:w="5530" w:type="dxa"/>
            <w:noWrap w:val="0"/>
            <w:tcMar>
              <w:top w:w="0" w:type="dxa"/>
              <w:left w:w="0" w:type="dxa"/>
              <w:bottom w:w="0" w:type="dxa"/>
              <w:right w:w="0" w:type="dxa"/>
            </w:tcMar>
            <w:vAlign w:val="center"/>
          </w:tcPr>
          <w:p w14:paraId="1D6D3E8D">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default" w:ascii="Times New Roman" w:hAnsi="Times New Roman" w:eastAsia="宋体" w:cs="Times New Roman"/>
              </w:rPr>
            </w:pPr>
            <w:r>
              <w:rPr>
                <w:rFonts w:hint="eastAsia" w:ascii="Calibri" w:hAnsi="Calibri" w:eastAsia="宋体"/>
                <w:b w:val="0"/>
                <w:bCs w:val="0"/>
                <w:color w:val="000000"/>
                <w:sz w:val="21"/>
                <w:szCs w:val="22"/>
                <w:lang w:bidi="ar"/>
              </w:rPr>
              <w:t>针对采购文件“第四章 采购需求-</w:t>
            </w:r>
            <w:r>
              <w:rPr>
                <w:rFonts w:hint="eastAsia" w:ascii="Calibri" w:hAnsi="Calibri"/>
                <w:b w:val="0"/>
                <w:bCs w:val="0"/>
                <w:color w:val="000000"/>
                <w:sz w:val="21"/>
                <w:szCs w:val="22"/>
                <w:lang w:val="en-US" w:eastAsia="zh-CN" w:bidi="ar"/>
              </w:rPr>
              <w:t>七</w:t>
            </w:r>
            <w:r>
              <w:rPr>
                <w:rFonts w:hint="eastAsia" w:ascii="Calibri" w:hAnsi="Calibri" w:eastAsia="宋体"/>
                <w:b w:val="0"/>
                <w:bCs w:val="0"/>
                <w:color w:val="000000"/>
                <w:sz w:val="21"/>
                <w:szCs w:val="22"/>
                <w:lang w:bidi="ar"/>
              </w:rPr>
              <w:t>、</w:t>
            </w:r>
            <w:r>
              <w:rPr>
                <w:rFonts w:hint="eastAsia" w:ascii="Calibri" w:hAnsi="Calibri" w:eastAsia="宋体"/>
                <w:b w:val="0"/>
                <w:bCs w:val="0"/>
                <w:color w:val="000000"/>
                <w:sz w:val="21"/>
                <w:szCs w:val="22"/>
                <w:lang w:val="en-US" w:eastAsia="zh-CN" w:bidi="ar"/>
              </w:rPr>
              <w:t>安装调试</w:t>
            </w:r>
            <w:r>
              <w:rPr>
                <w:rFonts w:hint="eastAsia" w:ascii="Calibri" w:hAnsi="Calibri" w:eastAsia="宋体"/>
                <w:b w:val="0"/>
                <w:bCs w:val="0"/>
                <w:color w:val="000000"/>
                <w:sz w:val="21"/>
                <w:szCs w:val="22"/>
                <w:lang w:bidi="ar"/>
              </w:rPr>
              <w:t>”提供</w:t>
            </w:r>
            <w:r>
              <w:rPr>
                <w:rFonts w:hint="eastAsia" w:ascii="Calibri" w:hAnsi="Calibri" w:eastAsia="宋体"/>
                <w:b w:val="0"/>
                <w:bCs w:val="0"/>
                <w:color w:val="000000"/>
                <w:sz w:val="21"/>
                <w:szCs w:val="22"/>
                <w:lang w:val="en-US" w:eastAsia="zh-CN" w:bidi="ar"/>
              </w:rPr>
              <w:t>方案</w:t>
            </w:r>
            <w:r>
              <w:rPr>
                <w:rFonts w:hint="eastAsia" w:ascii="Calibri" w:hAnsi="Calibri" w:eastAsia="宋体"/>
                <w:b w:val="0"/>
                <w:bCs w:val="0"/>
                <w:color w:val="000000"/>
                <w:sz w:val="21"/>
                <w:szCs w:val="22"/>
                <w:lang w:bidi="ar"/>
              </w:rPr>
              <w:t>。优于采购需求的，得</w:t>
            </w:r>
            <w:r>
              <w:rPr>
                <w:rFonts w:hint="eastAsia" w:ascii="Calibri" w:hAnsi="Calibri"/>
                <w:b w:val="0"/>
                <w:bCs w:val="0"/>
                <w:color w:val="000000"/>
                <w:sz w:val="21"/>
                <w:szCs w:val="22"/>
                <w:lang w:val="en-US" w:eastAsia="zh-CN" w:bidi="ar"/>
              </w:rPr>
              <w:t>7</w:t>
            </w:r>
            <w:r>
              <w:rPr>
                <w:rFonts w:hint="eastAsia" w:ascii="Calibri" w:hAnsi="Calibri" w:eastAsia="宋体"/>
                <w:b w:val="0"/>
                <w:bCs w:val="0"/>
                <w:color w:val="000000"/>
                <w:sz w:val="21"/>
                <w:szCs w:val="22"/>
                <w:lang w:bidi="ar"/>
              </w:rPr>
              <w:t>分；满足采购需求的，得</w:t>
            </w:r>
            <w:r>
              <w:rPr>
                <w:rFonts w:hint="eastAsia" w:ascii="Calibri" w:hAnsi="Calibri"/>
                <w:b w:val="0"/>
                <w:bCs w:val="0"/>
                <w:color w:val="000000"/>
                <w:sz w:val="21"/>
                <w:szCs w:val="22"/>
                <w:lang w:val="en-US" w:eastAsia="zh-CN" w:bidi="ar"/>
              </w:rPr>
              <w:t>5</w:t>
            </w:r>
            <w:r>
              <w:rPr>
                <w:rFonts w:hint="eastAsia" w:ascii="Calibri" w:hAnsi="Calibri" w:eastAsia="宋体"/>
                <w:b w:val="0"/>
                <w:bCs w:val="0"/>
                <w:color w:val="000000"/>
                <w:sz w:val="21"/>
                <w:szCs w:val="22"/>
                <w:lang w:bidi="ar"/>
              </w:rPr>
              <w:t>分；方案内容笼统，没有针对本项目细化制定，通过后期优化调整能够实现采购需求的得2分；没有内容不得分。</w:t>
            </w:r>
          </w:p>
        </w:tc>
      </w:tr>
      <w:tr w14:paraId="237A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vAlign w:val="center"/>
          </w:tcPr>
          <w:p w14:paraId="229B85F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培训方案</w:t>
            </w:r>
          </w:p>
        </w:tc>
        <w:tc>
          <w:tcPr>
            <w:tcW w:w="1425" w:type="dxa"/>
            <w:noWrap w:val="0"/>
            <w:tcMar>
              <w:top w:w="0" w:type="dxa"/>
              <w:left w:w="0" w:type="dxa"/>
              <w:bottom w:w="0" w:type="dxa"/>
              <w:right w:w="0" w:type="dxa"/>
            </w:tcMar>
            <w:vAlign w:val="center"/>
          </w:tcPr>
          <w:p w14:paraId="2091BEF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color w:val="auto"/>
              </w:rPr>
            </w:pPr>
            <w:r>
              <w:rPr>
                <w:rFonts w:hint="eastAsia" w:cs="Times New Roman"/>
                <w:color w:val="auto"/>
                <w:sz w:val="21"/>
                <w:lang w:val="en-US" w:eastAsia="zh-CN"/>
              </w:rPr>
              <w:t>8</w:t>
            </w:r>
            <w:r>
              <w:rPr>
                <w:rFonts w:hint="default" w:ascii="Times New Roman" w:hAnsi="Times New Roman" w:eastAsia="Times New Roman" w:cs="Times New Roman"/>
                <w:color w:val="auto"/>
                <w:sz w:val="21"/>
              </w:rPr>
              <w:t>.00</w:t>
            </w:r>
            <w:r>
              <w:rPr>
                <w:rFonts w:hint="default" w:ascii="宋体" w:hAnsi="宋体" w:eastAsia="宋体" w:cs="宋体"/>
                <w:color w:val="auto"/>
                <w:sz w:val="21"/>
              </w:rPr>
              <w:t>分</w:t>
            </w:r>
          </w:p>
        </w:tc>
        <w:tc>
          <w:tcPr>
            <w:tcW w:w="5530" w:type="dxa"/>
            <w:noWrap w:val="0"/>
            <w:tcMar>
              <w:top w:w="0" w:type="dxa"/>
              <w:left w:w="0" w:type="dxa"/>
              <w:bottom w:w="0" w:type="dxa"/>
              <w:right w:w="0" w:type="dxa"/>
            </w:tcMar>
            <w:vAlign w:val="center"/>
          </w:tcPr>
          <w:p w14:paraId="51DBA9B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eastAsia" w:ascii="Calibri" w:hAnsi="Calibri" w:eastAsia="宋体"/>
                <w:b w:val="0"/>
                <w:bCs w:val="0"/>
                <w:color w:val="000000"/>
                <w:sz w:val="21"/>
                <w:szCs w:val="22"/>
                <w:lang w:bidi="ar"/>
              </w:rPr>
              <w:t>针对采购文件“第四章 采购需求-</w:t>
            </w:r>
            <w:r>
              <w:rPr>
                <w:rFonts w:hint="eastAsia" w:ascii="Calibri" w:hAnsi="Calibri"/>
                <w:b w:val="0"/>
                <w:bCs w:val="0"/>
                <w:color w:val="000000"/>
                <w:sz w:val="21"/>
                <w:szCs w:val="22"/>
                <w:lang w:val="en-US" w:eastAsia="zh-CN" w:bidi="ar"/>
              </w:rPr>
              <w:t>八</w:t>
            </w:r>
            <w:r>
              <w:rPr>
                <w:rFonts w:hint="eastAsia" w:ascii="Calibri" w:hAnsi="Calibri" w:eastAsia="宋体"/>
                <w:b w:val="0"/>
                <w:bCs w:val="0"/>
                <w:color w:val="000000"/>
                <w:sz w:val="21"/>
                <w:szCs w:val="22"/>
                <w:lang w:bidi="ar"/>
              </w:rPr>
              <w:t>、</w:t>
            </w:r>
            <w:r>
              <w:rPr>
                <w:rFonts w:hint="eastAsia" w:ascii="Calibri" w:hAnsi="Calibri"/>
                <w:b w:val="0"/>
                <w:bCs w:val="0"/>
                <w:color w:val="000000"/>
                <w:sz w:val="21"/>
                <w:szCs w:val="22"/>
                <w:lang w:val="en-US" w:eastAsia="zh-CN" w:bidi="ar"/>
              </w:rPr>
              <w:t>培训要求</w:t>
            </w:r>
            <w:r>
              <w:rPr>
                <w:rFonts w:hint="eastAsia" w:ascii="Calibri" w:hAnsi="Calibri" w:eastAsia="宋体"/>
                <w:b w:val="0"/>
                <w:bCs w:val="0"/>
                <w:color w:val="000000"/>
                <w:sz w:val="21"/>
                <w:szCs w:val="22"/>
                <w:lang w:bidi="ar"/>
              </w:rPr>
              <w:t>”提供</w:t>
            </w:r>
            <w:r>
              <w:rPr>
                <w:rFonts w:hint="eastAsia" w:ascii="Calibri" w:hAnsi="Calibri" w:eastAsia="宋体"/>
                <w:b w:val="0"/>
                <w:bCs w:val="0"/>
                <w:color w:val="000000"/>
                <w:sz w:val="21"/>
                <w:szCs w:val="22"/>
                <w:lang w:val="en-US" w:eastAsia="zh-CN" w:bidi="ar"/>
              </w:rPr>
              <w:t>方案</w:t>
            </w:r>
            <w:r>
              <w:rPr>
                <w:rFonts w:hint="eastAsia" w:ascii="Calibri" w:hAnsi="Calibri" w:eastAsia="宋体"/>
                <w:b w:val="0"/>
                <w:bCs w:val="0"/>
                <w:color w:val="000000"/>
                <w:sz w:val="21"/>
                <w:szCs w:val="22"/>
                <w:lang w:bidi="ar"/>
              </w:rPr>
              <w:t>。优于采购需求的，得</w:t>
            </w:r>
            <w:r>
              <w:rPr>
                <w:rFonts w:hint="eastAsia" w:ascii="Calibri" w:hAnsi="Calibri"/>
                <w:b w:val="0"/>
                <w:bCs w:val="0"/>
                <w:color w:val="000000"/>
                <w:sz w:val="21"/>
                <w:szCs w:val="22"/>
                <w:lang w:val="en-US" w:eastAsia="zh-CN" w:bidi="ar"/>
              </w:rPr>
              <w:t>8</w:t>
            </w:r>
            <w:r>
              <w:rPr>
                <w:rFonts w:hint="eastAsia" w:ascii="Calibri" w:hAnsi="Calibri" w:eastAsia="宋体"/>
                <w:b w:val="0"/>
                <w:bCs w:val="0"/>
                <w:color w:val="000000"/>
                <w:sz w:val="21"/>
                <w:szCs w:val="22"/>
                <w:lang w:bidi="ar"/>
              </w:rPr>
              <w:t>分；满足采购需求的，得</w:t>
            </w:r>
            <w:r>
              <w:rPr>
                <w:rFonts w:hint="eastAsia" w:ascii="Calibri" w:hAnsi="Calibri"/>
                <w:b w:val="0"/>
                <w:bCs w:val="0"/>
                <w:color w:val="000000"/>
                <w:sz w:val="21"/>
                <w:szCs w:val="22"/>
                <w:lang w:val="en-US" w:eastAsia="zh-CN" w:bidi="ar"/>
              </w:rPr>
              <w:t>5</w:t>
            </w:r>
            <w:r>
              <w:rPr>
                <w:rFonts w:hint="eastAsia" w:ascii="Calibri" w:hAnsi="Calibri" w:eastAsia="宋体"/>
                <w:b w:val="0"/>
                <w:bCs w:val="0"/>
                <w:color w:val="000000"/>
                <w:sz w:val="21"/>
                <w:szCs w:val="22"/>
                <w:lang w:bidi="ar"/>
              </w:rPr>
              <w:t>分；方案内容笼统，没有针对本项目细化制定，通过后期优化调整能够实现采购需求的得2分；没有内容不得分。</w:t>
            </w:r>
          </w:p>
        </w:tc>
      </w:tr>
      <w:tr w14:paraId="1CB6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tcMar>
              <w:top w:w="0" w:type="dxa"/>
              <w:left w:w="0" w:type="dxa"/>
              <w:bottom w:w="0" w:type="dxa"/>
              <w:right w:w="0" w:type="dxa"/>
            </w:tcMar>
            <w:vAlign w:val="center"/>
          </w:tcPr>
          <w:p w14:paraId="59BB281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售后服务</w:t>
            </w:r>
          </w:p>
        </w:tc>
        <w:tc>
          <w:tcPr>
            <w:tcW w:w="1425" w:type="dxa"/>
            <w:noWrap w:val="0"/>
            <w:tcMar>
              <w:top w:w="0" w:type="dxa"/>
              <w:left w:w="0" w:type="dxa"/>
              <w:bottom w:w="0" w:type="dxa"/>
              <w:right w:w="0" w:type="dxa"/>
            </w:tcMar>
            <w:vAlign w:val="center"/>
          </w:tcPr>
          <w:p w14:paraId="1228D0C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color w:val="auto"/>
              </w:rPr>
            </w:pPr>
            <w:r>
              <w:rPr>
                <w:rFonts w:hint="eastAsia" w:cs="Times New Roman"/>
                <w:color w:val="auto"/>
                <w:sz w:val="21"/>
                <w:lang w:val="en-US" w:eastAsia="zh-CN"/>
              </w:rPr>
              <w:t>9</w:t>
            </w:r>
            <w:r>
              <w:rPr>
                <w:rFonts w:hint="default" w:ascii="Times New Roman" w:hAnsi="Times New Roman" w:eastAsia="Times New Roman" w:cs="Times New Roman"/>
                <w:color w:val="auto"/>
                <w:sz w:val="21"/>
              </w:rPr>
              <w:t>.00</w:t>
            </w:r>
            <w:r>
              <w:rPr>
                <w:rFonts w:hint="default" w:ascii="宋体" w:hAnsi="宋体" w:eastAsia="宋体" w:cs="宋体"/>
                <w:color w:val="auto"/>
                <w:sz w:val="21"/>
              </w:rPr>
              <w:t>分</w:t>
            </w:r>
          </w:p>
        </w:tc>
        <w:tc>
          <w:tcPr>
            <w:tcW w:w="5530" w:type="dxa"/>
            <w:noWrap w:val="0"/>
            <w:tcMar>
              <w:top w:w="0" w:type="dxa"/>
              <w:left w:w="0" w:type="dxa"/>
              <w:bottom w:w="0" w:type="dxa"/>
              <w:right w:w="0" w:type="dxa"/>
            </w:tcMar>
            <w:vAlign w:val="center"/>
          </w:tcPr>
          <w:p w14:paraId="16704FA1">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default" w:ascii="Times New Roman" w:hAnsi="Times New Roman" w:eastAsia="宋体" w:cs="Times New Roman"/>
              </w:rPr>
            </w:pPr>
            <w:r>
              <w:rPr>
                <w:rFonts w:hint="eastAsia" w:ascii="Calibri" w:hAnsi="Calibri" w:eastAsia="宋体"/>
                <w:b w:val="0"/>
                <w:bCs w:val="0"/>
                <w:color w:val="000000"/>
                <w:sz w:val="21"/>
                <w:szCs w:val="22"/>
                <w:lang w:bidi="ar"/>
              </w:rPr>
              <w:t>针对采购文件“第四章 采购需求-</w:t>
            </w:r>
            <w:r>
              <w:rPr>
                <w:rFonts w:hint="eastAsia" w:ascii="Calibri" w:hAnsi="Calibri"/>
                <w:b w:val="0"/>
                <w:bCs w:val="0"/>
                <w:color w:val="000000"/>
                <w:sz w:val="21"/>
                <w:szCs w:val="22"/>
                <w:lang w:val="en-US" w:eastAsia="zh-CN" w:bidi="ar"/>
              </w:rPr>
              <w:t>九</w:t>
            </w:r>
            <w:r>
              <w:rPr>
                <w:rFonts w:hint="eastAsia" w:ascii="Calibri" w:hAnsi="Calibri" w:eastAsia="宋体"/>
                <w:b w:val="0"/>
                <w:bCs w:val="0"/>
                <w:color w:val="000000"/>
                <w:sz w:val="21"/>
                <w:szCs w:val="22"/>
                <w:lang w:bidi="ar"/>
              </w:rPr>
              <w:t>、</w:t>
            </w:r>
            <w:r>
              <w:rPr>
                <w:rFonts w:hint="eastAsia" w:ascii="Calibri" w:hAnsi="Calibri"/>
                <w:b w:val="0"/>
                <w:bCs w:val="0"/>
                <w:color w:val="000000"/>
                <w:sz w:val="21"/>
                <w:szCs w:val="22"/>
                <w:lang w:val="en-US" w:eastAsia="zh-CN" w:bidi="ar"/>
              </w:rPr>
              <w:t>售后服务</w:t>
            </w:r>
            <w:r>
              <w:rPr>
                <w:rFonts w:hint="eastAsia" w:ascii="Calibri" w:hAnsi="Calibri" w:eastAsia="宋体"/>
                <w:b w:val="0"/>
                <w:bCs w:val="0"/>
                <w:color w:val="000000"/>
                <w:sz w:val="21"/>
                <w:szCs w:val="22"/>
                <w:lang w:bidi="ar"/>
              </w:rPr>
              <w:t>”提供</w:t>
            </w:r>
            <w:r>
              <w:rPr>
                <w:rFonts w:hint="eastAsia" w:ascii="Calibri" w:hAnsi="Calibri" w:eastAsia="宋体"/>
                <w:b w:val="0"/>
                <w:bCs w:val="0"/>
                <w:color w:val="000000"/>
                <w:sz w:val="21"/>
                <w:szCs w:val="22"/>
                <w:lang w:val="en-US" w:eastAsia="zh-CN" w:bidi="ar"/>
              </w:rPr>
              <w:t>方案</w:t>
            </w:r>
            <w:r>
              <w:rPr>
                <w:rFonts w:hint="eastAsia" w:ascii="Calibri" w:hAnsi="Calibri" w:eastAsia="宋体"/>
                <w:b w:val="0"/>
                <w:bCs w:val="0"/>
                <w:color w:val="000000"/>
                <w:sz w:val="21"/>
                <w:szCs w:val="22"/>
                <w:lang w:bidi="ar"/>
              </w:rPr>
              <w:t>。优于采购需求的，得</w:t>
            </w:r>
            <w:r>
              <w:rPr>
                <w:rFonts w:hint="eastAsia" w:ascii="Calibri" w:hAnsi="Calibri"/>
                <w:b w:val="0"/>
                <w:bCs w:val="0"/>
                <w:color w:val="000000"/>
                <w:sz w:val="21"/>
                <w:szCs w:val="22"/>
                <w:lang w:val="en-US" w:eastAsia="zh-CN" w:bidi="ar"/>
              </w:rPr>
              <w:t>9</w:t>
            </w:r>
            <w:r>
              <w:rPr>
                <w:rFonts w:hint="eastAsia" w:ascii="Calibri" w:hAnsi="Calibri" w:eastAsia="宋体"/>
                <w:b w:val="0"/>
                <w:bCs w:val="0"/>
                <w:color w:val="000000"/>
                <w:sz w:val="21"/>
                <w:szCs w:val="22"/>
                <w:lang w:bidi="ar"/>
              </w:rPr>
              <w:t>分；满足采购需求的，得</w:t>
            </w:r>
            <w:r>
              <w:rPr>
                <w:rFonts w:hint="eastAsia" w:ascii="Calibri" w:hAnsi="Calibri"/>
                <w:b w:val="0"/>
                <w:bCs w:val="0"/>
                <w:color w:val="000000"/>
                <w:sz w:val="21"/>
                <w:szCs w:val="22"/>
                <w:lang w:val="en-US" w:eastAsia="zh-CN" w:bidi="ar"/>
              </w:rPr>
              <w:t>6</w:t>
            </w:r>
            <w:r>
              <w:rPr>
                <w:rFonts w:hint="eastAsia" w:ascii="Calibri" w:hAnsi="Calibri" w:eastAsia="宋体"/>
                <w:b w:val="0"/>
                <w:bCs w:val="0"/>
                <w:color w:val="000000"/>
                <w:sz w:val="21"/>
                <w:szCs w:val="22"/>
                <w:lang w:bidi="ar"/>
              </w:rPr>
              <w:t>分；方案内容笼统，没有针对本项目细化制定，通过后期优化调整能够实现采购需求的得</w:t>
            </w:r>
            <w:r>
              <w:rPr>
                <w:rFonts w:hint="eastAsia" w:ascii="Calibri" w:hAnsi="Calibri"/>
                <w:b w:val="0"/>
                <w:bCs w:val="0"/>
                <w:color w:val="000000"/>
                <w:sz w:val="21"/>
                <w:szCs w:val="22"/>
                <w:lang w:val="en-US" w:eastAsia="zh-CN" w:bidi="ar"/>
              </w:rPr>
              <w:t>3</w:t>
            </w:r>
            <w:r>
              <w:rPr>
                <w:rFonts w:hint="eastAsia" w:ascii="Calibri" w:hAnsi="Calibri" w:eastAsia="宋体"/>
                <w:b w:val="0"/>
                <w:bCs w:val="0"/>
                <w:color w:val="000000"/>
                <w:sz w:val="21"/>
                <w:szCs w:val="22"/>
                <w:lang w:bidi="ar"/>
              </w:rPr>
              <w:t>分；没有内容不得分。</w:t>
            </w:r>
          </w:p>
        </w:tc>
      </w:tr>
      <w:tr w14:paraId="19B6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tcMar>
              <w:top w:w="0" w:type="dxa"/>
              <w:left w:w="0" w:type="dxa"/>
              <w:bottom w:w="0" w:type="dxa"/>
              <w:right w:w="0" w:type="dxa"/>
            </w:tcMar>
            <w:vAlign w:val="center"/>
          </w:tcPr>
          <w:p w14:paraId="5FA5B20A">
            <w:pPr>
              <w:jc w:val="center"/>
              <w:rPr>
                <w:rFonts w:hint="default" w:ascii="宋体" w:hAnsi="宋体" w:eastAsia="宋体" w:cs="宋体"/>
                <w:color w:val="000000"/>
                <w:sz w:val="21"/>
              </w:rPr>
            </w:pPr>
            <w:r>
              <w:rPr>
                <w:rFonts w:hint="eastAsia" w:ascii="宋体" w:hAnsi="宋体"/>
                <w:szCs w:val="22"/>
                <w:lang w:val="en-US" w:eastAsia="zh-CN"/>
              </w:rPr>
              <w:t>质保期</w:t>
            </w:r>
          </w:p>
        </w:tc>
        <w:tc>
          <w:tcPr>
            <w:tcW w:w="1425" w:type="dxa"/>
            <w:noWrap w:val="0"/>
            <w:tcMar>
              <w:top w:w="0" w:type="dxa"/>
              <w:left w:w="0" w:type="dxa"/>
              <w:bottom w:w="0" w:type="dxa"/>
              <w:right w:w="0" w:type="dxa"/>
            </w:tcMar>
            <w:vAlign w:val="center"/>
          </w:tcPr>
          <w:p w14:paraId="095DA9F4">
            <w:pPr>
              <w:jc w:val="center"/>
              <w:rPr>
                <w:rFonts w:hint="eastAsia" w:eastAsia="宋体" w:cs="Times New Roman"/>
                <w:color w:val="auto"/>
                <w:sz w:val="21"/>
                <w:lang w:val="en-US" w:eastAsia="zh-CN"/>
              </w:rPr>
            </w:pPr>
            <w:r>
              <w:rPr>
                <w:rFonts w:hint="eastAsia" w:cs="Times New Roman"/>
                <w:color w:val="auto"/>
                <w:sz w:val="21"/>
                <w:lang w:val="en-US" w:eastAsia="zh-CN"/>
              </w:rPr>
              <w:t>3</w:t>
            </w:r>
            <w:r>
              <w:rPr>
                <w:rFonts w:hint="eastAsia" w:ascii="Times New Roman" w:hAnsi="Times New Roman" w:eastAsia="宋体" w:cs="Times New Roman"/>
                <w:color w:val="auto"/>
                <w:sz w:val="21"/>
                <w:lang w:val="en-US" w:eastAsia="zh-CN"/>
              </w:rPr>
              <w:t>.00分</w:t>
            </w:r>
          </w:p>
        </w:tc>
        <w:tc>
          <w:tcPr>
            <w:tcW w:w="5530" w:type="dxa"/>
            <w:noWrap w:val="0"/>
            <w:tcMar>
              <w:top w:w="0" w:type="dxa"/>
              <w:left w:w="0" w:type="dxa"/>
              <w:bottom w:w="0" w:type="dxa"/>
              <w:right w:w="0" w:type="dxa"/>
            </w:tcMar>
            <w:vAlign w:val="center"/>
          </w:tcPr>
          <w:p w14:paraId="245BF8E3">
            <w:pPr>
              <w:jc w:val="left"/>
              <w:rPr>
                <w:rFonts w:hint="eastAsia" w:ascii="Calibri" w:hAnsi="Calibri" w:eastAsia="宋体"/>
                <w:b w:val="0"/>
                <w:bCs w:val="0"/>
                <w:color w:val="000000"/>
                <w:sz w:val="21"/>
                <w:szCs w:val="22"/>
                <w:lang w:bidi="ar"/>
              </w:rPr>
            </w:pPr>
            <w:r>
              <w:rPr>
                <w:rFonts w:hint="eastAsia" w:ascii="宋体" w:hAnsi="宋体"/>
                <w:lang w:val="en-US" w:eastAsia="zh-CN"/>
              </w:rPr>
              <w:t>在满足采购文件质保期的基础上，供应商承诺增加质保年限的，每增加一年得1分，最高得3分。注：投标文件中提供承诺函（格式自拟），未提供的不得分。</w:t>
            </w:r>
          </w:p>
        </w:tc>
      </w:tr>
    </w:tbl>
    <w:p w14:paraId="6421043D">
      <w:pPr>
        <w:numPr>
          <w:ilvl w:val="0"/>
          <w:numId w:val="0"/>
        </w:numPr>
        <w:spacing w:line="480" w:lineRule="exact"/>
        <w:ind w:firstLine="482" w:firstLineChars="200"/>
        <w:jc w:val="left"/>
        <w:rPr>
          <w:rFonts w:hint="default" w:eastAsia="宋体" w:cs="仿宋"/>
          <w:b/>
          <w:bCs/>
          <w:sz w:val="24"/>
          <w:szCs w:val="22"/>
          <w:lang w:val="en-US" w:eastAsia="zh-CN"/>
        </w:rPr>
      </w:pPr>
      <w:r>
        <w:rPr>
          <w:rFonts w:hint="eastAsia" w:cs="仿宋"/>
          <w:b/>
          <w:bCs/>
          <w:sz w:val="24"/>
          <w:szCs w:val="22"/>
          <w:lang w:val="en-US" w:eastAsia="zh-CN"/>
        </w:rPr>
        <w:t>分包3</w:t>
      </w:r>
      <w:r>
        <w:rPr>
          <w:rFonts w:hint="eastAsia" w:cs="仿宋"/>
          <w:b/>
          <w:bCs/>
          <w:sz w:val="24"/>
          <w:szCs w:val="22"/>
        </w:rPr>
        <w:t>评标标准</w:t>
      </w:r>
      <w:r>
        <w:rPr>
          <w:rFonts w:hint="eastAsia" w:cs="仿宋"/>
          <w:b/>
          <w:bCs/>
          <w:sz w:val="24"/>
          <w:szCs w:val="22"/>
          <w:lang w:val="en-US"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425"/>
        <w:gridCol w:w="5543"/>
      </w:tblGrid>
      <w:tr w14:paraId="0BCA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noWrap w:val="0"/>
            <w:tcMar>
              <w:top w:w="0" w:type="dxa"/>
              <w:left w:w="0" w:type="dxa"/>
              <w:bottom w:w="0" w:type="dxa"/>
              <w:right w:w="0" w:type="dxa"/>
            </w:tcMar>
            <w:vAlign w:val="center"/>
          </w:tcPr>
          <w:p w14:paraId="0C3E1E9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评审因素</w:t>
            </w:r>
          </w:p>
        </w:tc>
        <w:tc>
          <w:tcPr>
            <w:tcW w:w="1425" w:type="dxa"/>
            <w:noWrap w:val="0"/>
            <w:tcMar>
              <w:top w:w="0" w:type="dxa"/>
              <w:left w:w="0" w:type="dxa"/>
              <w:bottom w:w="0" w:type="dxa"/>
              <w:right w:w="0" w:type="dxa"/>
            </w:tcMar>
            <w:vAlign w:val="center"/>
          </w:tcPr>
          <w:p w14:paraId="0797A0A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分数</w:t>
            </w:r>
          </w:p>
        </w:tc>
        <w:tc>
          <w:tcPr>
            <w:tcW w:w="5543" w:type="dxa"/>
            <w:noWrap w:val="0"/>
            <w:tcMar>
              <w:top w:w="0" w:type="dxa"/>
              <w:left w:w="0" w:type="dxa"/>
              <w:bottom w:w="0" w:type="dxa"/>
              <w:right w:w="0" w:type="dxa"/>
            </w:tcMar>
            <w:vAlign w:val="center"/>
          </w:tcPr>
          <w:p w14:paraId="314929A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评审标准</w:t>
            </w:r>
          </w:p>
        </w:tc>
      </w:tr>
      <w:tr w14:paraId="249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noWrap w:val="0"/>
            <w:tcMar>
              <w:top w:w="0" w:type="dxa"/>
              <w:left w:w="0" w:type="dxa"/>
              <w:bottom w:w="0" w:type="dxa"/>
              <w:right w:w="0" w:type="dxa"/>
            </w:tcMar>
            <w:vAlign w:val="center"/>
          </w:tcPr>
          <w:p w14:paraId="3FBDC98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投标报价</w:t>
            </w:r>
          </w:p>
        </w:tc>
        <w:tc>
          <w:tcPr>
            <w:tcW w:w="1425" w:type="dxa"/>
            <w:noWrap w:val="0"/>
            <w:tcMar>
              <w:top w:w="0" w:type="dxa"/>
              <w:left w:w="0" w:type="dxa"/>
              <w:bottom w:w="0" w:type="dxa"/>
              <w:right w:w="0" w:type="dxa"/>
            </w:tcMar>
            <w:vAlign w:val="center"/>
          </w:tcPr>
          <w:p w14:paraId="1853855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Times New Roman" w:hAnsi="Times New Roman" w:eastAsia="Times New Roman" w:cs="Times New Roman"/>
                <w:color w:val="000000"/>
                <w:sz w:val="21"/>
              </w:rPr>
              <w:t>30.00</w:t>
            </w:r>
            <w:r>
              <w:rPr>
                <w:rFonts w:hint="default" w:ascii="宋体" w:hAnsi="宋体" w:eastAsia="宋体" w:cs="宋体"/>
                <w:color w:val="000000"/>
                <w:sz w:val="21"/>
              </w:rPr>
              <w:t>分</w:t>
            </w:r>
          </w:p>
        </w:tc>
        <w:tc>
          <w:tcPr>
            <w:tcW w:w="5543" w:type="dxa"/>
            <w:noWrap w:val="0"/>
            <w:tcMar>
              <w:top w:w="0" w:type="dxa"/>
              <w:left w:w="0" w:type="dxa"/>
              <w:bottom w:w="0" w:type="dxa"/>
              <w:right w:w="0" w:type="dxa"/>
            </w:tcMar>
            <w:vAlign w:val="center"/>
          </w:tcPr>
          <w:p w14:paraId="482CFEEC">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宋体" w:hAnsi="宋体" w:eastAsia="宋体" w:cs="宋体"/>
                <w:color w:val="000000"/>
                <w:sz w:val="21"/>
              </w:rPr>
            </w:pPr>
            <w:r>
              <w:rPr>
                <w:rFonts w:hint="default" w:ascii="宋体" w:hAnsi="宋体" w:eastAsia="宋体" w:cs="宋体"/>
                <w:color w:val="000000"/>
                <w:sz w:val="21"/>
              </w:rPr>
              <w:t>采用低价优先法计算，即满足招标文件要求且投标价格最低的投标报价为评标基准价，其价格分为满分。其他投标人投标报价得分＝（评标基准价</w:t>
            </w:r>
            <w:r>
              <w:rPr>
                <w:rFonts w:hint="default" w:ascii="Times New Roman" w:hAnsi="Times New Roman" w:eastAsia="Times New Roman" w:cs="Times New Roman"/>
                <w:color w:val="000000"/>
                <w:sz w:val="21"/>
              </w:rPr>
              <w:t>/</w:t>
            </w:r>
            <w:r>
              <w:rPr>
                <w:rFonts w:hint="default" w:ascii="宋体" w:hAnsi="宋体" w:eastAsia="宋体" w:cs="宋体"/>
                <w:color w:val="000000"/>
                <w:sz w:val="21"/>
              </w:rPr>
              <w:t>投标报价）</w:t>
            </w:r>
            <w:r>
              <w:rPr>
                <w:rFonts w:hint="default" w:ascii="Times New Roman" w:hAnsi="Times New Roman" w:eastAsia="Times New Roman" w:cs="Times New Roman"/>
                <w:color w:val="000000"/>
                <w:sz w:val="21"/>
              </w:rPr>
              <w:t>*30</w:t>
            </w:r>
            <w:r>
              <w:rPr>
                <w:rFonts w:hint="default" w:ascii="宋体" w:hAnsi="宋体" w:eastAsia="宋体" w:cs="宋体"/>
                <w:color w:val="000000"/>
                <w:sz w:val="21"/>
              </w:rPr>
              <w:t>。</w:t>
            </w:r>
          </w:p>
          <w:p w14:paraId="7E568989">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宋体" w:hAnsi="宋体" w:eastAsia="宋体" w:cs="宋体"/>
                <w:color w:val="000000"/>
                <w:sz w:val="21"/>
              </w:rPr>
            </w:pPr>
            <w:r>
              <w:rPr>
                <w:rFonts w:hint="default" w:ascii="宋体" w:hAnsi="宋体" w:eastAsia="宋体" w:cs="宋体"/>
                <w:color w:val="000000"/>
                <w:sz w:val="21"/>
              </w:rPr>
              <w:t>注：1.符合规定的小微企业（含监狱企业和残疾人福利单位）报价给予10%的扣除，用扣除后的价格参加评审。</w:t>
            </w:r>
          </w:p>
          <w:p w14:paraId="1B985A32">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default" w:ascii="宋体" w:hAnsi="宋体" w:eastAsia="宋体" w:cs="宋体"/>
                <w:color w:val="000000"/>
                <w:sz w:val="21"/>
              </w:rPr>
              <w:t>2.符合规定的本国产品的报价给予20%的价格扣除，用扣除后的价格参与评审。</w:t>
            </w:r>
          </w:p>
        </w:tc>
      </w:tr>
      <w:tr w14:paraId="49A9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noWrap w:val="0"/>
            <w:tcMar>
              <w:top w:w="0" w:type="dxa"/>
              <w:left w:w="0" w:type="dxa"/>
              <w:bottom w:w="0" w:type="dxa"/>
              <w:right w:w="0" w:type="dxa"/>
            </w:tcMar>
            <w:vAlign w:val="center"/>
          </w:tcPr>
          <w:p w14:paraId="70903FC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技术参数响应</w:t>
            </w:r>
          </w:p>
        </w:tc>
        <w:tc>
          <w:tcPr>
            <w:tcW w:w="1425" w:type="dxa"/>
            <w:noWrap w:val="0"/>
            <w:tcMar>
              <w:top w:w="0" w:type="dxa"/>
              <w:left w:w="0" w:type="dxa"/>
              <w:bottom w:w="0" w:type="dxa"/>
              <w:right w:w="0" w:type="dxa"/>
            </w:tcMar>
            <w:vAlign w:val="center"/>
          </w:tcPr>
          <w:p w14:paraId="3E9BCA2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eastAsia" w:cs="Times New Roman"/>
                <w:color w:val="000000"/>
                <w:sz w:val="21"/>
                <w:lang w:val="en-US" w:eastAsia="zh-CN"/>
              </w:rPr>
              <w:t>1</w:t>
            </w:r>
            <w:r>
              <w:rPr>
                <w:rFonts w:hint="eastAsia" w:ascii="Times New Roman" w:hAnsi="Times New Roman" w:eastAsia="宋体" w:cs="Times New Roman"/>
                <w:color w:val="000000"/>
                <w:sz w:val="21"/>
                <w:lang w:val="en-US" w:eastAsia="zh-CN"/>
              </w:rPr>
              <w:t>1</w:t>
            </w:r>
            <w:r>
              <w:rPr>
                <w:rFonts w:hint="default" w:ascii="Times New Roman" w:hAnsi="Times New Roman" w:eastAsia="Times New Roman" w:cs="Times New Roman"/>
                <w:color w:val="000000"/>
                <w:sz w:val="21"/>
              </w:rPr>
              <w:t>.00</w:t>
            </w:r>
            <w:r>
              <w:rPr>
                <w:rFonts w:hint="default" w:ascii="宋体" w:hAnsi="宋体" w:eastAsia="宋体" w:cs="宋体"/>
                <w:color w:val="000000"/>
                <w:sz w:val="21"/>
              </w:rPr>
              <w:t>分</w:t>
            </w:r>
          </w:p>
        </w:tc>
        <w:tc>
          <w:tcPr>
            <w:tcW w:w="5543" w:type="dxa"/>
            <w:noWrap w:val="0"/>
            <w:tcMar>
              <w:top w:w="0" w:type="dxa"/>
              <w:left w:w="0" w:type="dxa"/>
              <w:bottom w:w="0" w:type="dxa"/>
              <w:right w:w="0" w:type="dxa"/>
            </w:tcMar>
            <w:vAlign w:val="center"/>
          </w:tcPr>
          <w:p w14:paraId="7E7A385C">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宋体" w:hAnsi="宋体" w:eastAsia="宋体" w:cs="宋体"/>
                <w:color w:val="000000"/>
                <w:sz w:val="21"/>
              </w:rPr>
            </w:pPr>
            <w:r>
              <w:rPr>
                <w:rFonts w:hint="default" w:ascii="宋体" w:hAnsi="宋体" w:eastAsia="宋体" w:cs="宋体"/>
                <w:color w:val="000000"/>
                <w:sz w:val="21"/>
              </w:rPr>
              <w:t>针对招标文件“第四</w:t>
            </w:r>
            <w:r>
              <w:rPr>
                <w:rFonts w:hint="eastAsia" w:ascii="宋体" w:hAnsi="宋体" w:eastAsia="宋体" w:cs="宋体"/>
                <w:color w:val="000000"/>
                <w:sz w:val="21"/>
                <w:lang w:val="en-US" w:eastAsia="zh-CN"/>
              </w:rPr>
              <w:t>章</w:t>
            </w:r>
            <w:r>
              <w:rPr>
                <w:rFonts w:hint="default" w:ascii="宋体" w:hAnsi="宋体" w:eastAsia="宋体" w:cs="宋体"/>
                <w:color w:val="000000"/>
                <w:sz w:val="21"/>
              </w:rPr>
              <w:t>、采购需求”的“四、采购</w:t>
            </w:r>
            <w:r>
              <w:rPr>
                <w:rFonts w:hint="eastAsia" w:ascii="宋体" w:hAnsi="宋体" w:eastAsia="宋体" w:cs="宋体"/>
                <w:color w:val="000000"/>
                <w:sz w:val="21"/>
                <w:lang w:val="en-US" w:eastAsia="zh-CN"/>
              </w:rPr>
              <w:t>产品参数要求</w:t>
            </w:r>
            <w:r>
              <w:rPr>
                <w:rFonts w:hint="default" w:ascii="宋体" w:hAnsi="宋体" w:eastAsia="宋体" w:cs="宋体"/>
                <w:color w:val="000000"/>
                <w:sz w:val="21"/>
              </w:rPr>
              <w:t>”中“分包</w:t>
            </w:r>
            <w:r>
              <w:rPr>
                <w:rFonts w:hint="eastAsia" w:ascii="宋体" w:hAnsi="宋体" w:cs="宋体"/>
                <w:color w:val="000000"/>
                <w:sz w:val="21"/>
                <w:lang w:val="en-US" w:eastAsia="zh-CN"/>
              </w:rPr>
              <w:t>3</w:t>
            </w:r>
            <w:r>
              <w:rPr>
                <w:rFonts w:hint="default" w:ascii="宋体" w:hAnsi="宋体" w:eastAsia="宋体" w:cs="宋体"/>
                <w:color w:val="000000"/>
                <w:sz w:val="21"/>
              </w:rPr>
              <w:t>：</w:t>
            </w:r>
            <w:r>
              <w:rPr>
                <w:rFonts w:hint="eastAsia" w:ascii="宋体" w:hAnsi="宋体" w:cs="宋体"/>
                <w:color w:val="000000"/>
                <w:sz w:val="21"/>
                <w:lang w:eastAsia="zh-CN"/>
              </w:rPr>
              <w:t>核酸气溶胶清除仪</w:t>
            </w:r>
            <w:r>
              <w:rPr>
                <w:rFonts w:hint="default" w:ascii="宋体" w:hAnsi="宋体" w:eastAsia="宋体" w:cs="宋体"/>
                <w:color w:val="000000"/>
                <w:sz w:val="21"/>
              </w:rPr>
              <w:t>”所列内容进行评分，所投产品技术参数完全满足或优于招标文件技术参数要求的得</w:t>
            </w:r>
            <w:r>
              <w:rPr>
                <w:rFonts w:hint="eastAsia" w:ascii="宋体" w:hAnsi="宋体" w:cs="宋体"/>
                <w:color w:val="000000"/>
                <w:sz w:val="21"/>
                <w:lang w:val="en-US" w:eastAsia="zh-CN"/>
              </w:rPr>
              <w:t>11</w:t>
            </w:r>
            <w:r>
              <w:rPr>
                <w:rFonts w:hint="default" w:ascii="宋体" w:hAnsi="宋体" w:eastAsia="宋体" w:cs="宋体"/>
                <w:color w:val="000000"/>
                <w:sz w:val="21"/>
              </w:rPr>
              <w:t>分</w:t>
            </w:r>
            <w:r>
              <w:rPr>
                <w:rFonts w:hint="eastAsia" w:ascii="宋体" w:hAnsi="宋体" w:eastAsia="宋体" w:cs="宋体"/>
                <w:color w:val="000000"/>
                <w:sz w:val="21"/>
                <w:lang w:eastAsia="zh-CN"/>
              </w:rPr>
              <w:t>。</w:t>
            </w:r>
            <w:r>
              <w:rPr>
                <w:rFonts w:hint="default" w:ascii="宋体" w:hAnsi="宋体" w:eastAsia="宋体" w:cs="宋体"/>
                <w:color w:val="000000"/>
                <w:sz w:val="21"/>
              </w:rPr>
              <w:t>一般参数项共计</w:t>
            </w:r>
            <w:r>
              <w:rPr>
                <w:rFonts w:hint="eastAsia" w:ascii="宋体" w:hAnsi="宋体" w:cs="宋体"/>
                <w:color w:val="000000"/>
                <w:sz w:val="21"/>
                <w:lang w:val="en-US" w:eastAsia="zh-CN"/>
              </w:rPr>
              <w:t>11</w:t>
            </w:r>
            <w:r>
              <w:rPr>
                <w:rFonts w:hint="default" w:ascii="宋体" w:hAnsi="宋体" w:eastAsia="宋体" w:cs="宋体"/>
                <w:color w:val="000000"/>
                <w:sz w:val="21"/>
              </w:rPr>
              <w:t>项，每有一项（一个句号的完整内容为一“项”）负偏离扣</w:t>
            </w:r>
            <w:r>
              <w:rPr>
                <w:rFonts w:hint="eastAsia" w:ascii="宋体" w:hAnsi="宋体" w:cs="宋体"/>
                <w:color w:val="000000"/>
                <w:sz w:val="21"/>
                <w:lang w:val="en-US" w:eastAsia="zh-CN"/>
              </w:rPr>
              <w:t>1</w:t>
            </w:r>
            <w:r>
              <w:rPr>
                <w:rFonts w:hint="default" w:ascii="宋体" w:hAnsi="宋体" w:eastAsia="宋体" w:cs="宋体"/>
                <w:color w:val="000000"/>
                <w:sz w:val="21"/>
              </w:rPr>
              <w:t xml:space="preserve">分。 </w:t>
            </w:r>
          </w:p>
          <w:p w14:paraId="526DE0F1">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default" w:ascii="宋体" w:hAnsi="宋体" w:eastAsia="宋体" w:cs="宋体"/>
                <w:color w:val="000000"/>
                <w:sz w:val="21"/>
              </w:rPr>
              <w:t>注：投标人针对本项评分内容在</w:t>
            </w:r>
            <w:r>
              <w:rPr>
                <w:rFonts w:hint="eastAsia" w:ascii="宋体" w:hAnsi="宋体" w:cs="宋体"/>
                <w:color w:val="000000"/>
                <w:sz w:val="21"/>
                <w:lang w:eastAsia="zh-CN"/>
              </w:rPr>
              <w:t>投标文件</w:t>
            </w:r>
            <w:r>
              <w:rPr>
                <w:rFonts w:hint="default" w:ascii="宋体" w:hAnsi="宋体" w:eastAsia="宋体" w:cs="宋体"/>
                <w:color w:val="000000"/>
                <w:sz w:val="21"/>
              </w:rPr>
              <w:t>《技术要求响应及偏离表》中逐条列出响应及偏离情况，采购需求中要求提供证明材料的，以证明材料为准；采购需求中未要求提供证明材料的，以《技术要求响应及偏离表》为准。未按要求提供证明材料或提供的证明材料不全或未在响应偏离表中列明偏离情况的对应项按负偏离进行扣分处理。</w:t>
            </w:r>
          </w:p>
        </w:tc>
      </w:tr>
      <w:tr w14:paraId="4950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noWrap w:val="0"/>
            <w:tcMar>
              <w:top w:w="0" w:type="dxa"/>
              <w:left w:w="0" w:type="dxa"/>
              <w:bottom w:w="0" w:type="dxa"/>
              <w:right w:w="0" w:type="dxa"/>
            </w:tcMar>
            <w:vAlign w:val="center"/>
          </w:tcPr>
          <w:p w14:paraId="2410E71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企业业绩</w:t>
            </w:r>
          </w:p>
        </w:tc>
        <w:tc>
          <w:tcPr>
            <w:tcW w:w="1425" w:type="dxa"/>
            <w:noWrap w:val="0"/>
            <w:tcMar>
              <w:top w:w="0" w:type="dxa"/>
              <w:left w:w="0" w:type="dxa"/>
              <w:bottom w:w="0" w:type="dxa"/>
              <w:right w:w="0" w:type="dxa"/>
            </w:tcMar>
            <w:vAlign w:val="center"/>
          </w:tcPr>
          <w:p w14:paraId="10185E1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eastAsia" w:ascii="Times New Roman" w:hAnsi="Times New Roman" w:eastAsia="宋体" w:cs="Times New Roman"/>
                <w:color w:val="000000"/>
                <w:sz w:val="21"/>
                <w:lang w:val="en-US" w:eastAsia="zh-CN"/>
              </w:rPr>
              <w:t>9</w:t>
            </w:r>
            <w:r>
              <w:rPr>
                <w:rFonts w:hint="default" w:ascii="Times New Roman" w:hAnsi="Times New Roman" w:eastAsia="Times New Roman" w:cs="Times New Roman"/>
                <w:color w:val="000000"/>
                <w:sz w:val="21"/>
              </w:rPr>
              <w:t>.00</w:t>
            </w:r>
            <w:r>
              <w:rPr>
                <w:rFonts w:hint="default" w:ascii="宋体" w:hAnsi="宋体" w:eastAsia="宋体" w:cs="宋体"/>
                <w:color w:val="000000"/>
                <w:sz w:val="21"/>
              </w:rPr>
              <w:t>分</w:t>
            </w:r>
          </w:p>
        </w:tc>
        <w:tc>
          <w:tcPr>
            <w:tcW w:w="5543" w:type="dxa"/>
            <w:noWrap w:val="0"/>
            <w:tcMar>
              <w:top w:w="0" w:type="dxa"/>
              <w:left w:w="0" w:type="dxa"/>
              <w:bottom w:w="0" w:type="dxa"/>
              <w:right w:w="0" w:type="dxa"/>
            </w:tcMar>
            <w:vAlign w:val="center"/>
          </w:tcPr>
          <w:p w14:paraId="0A03851B">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default" w:ascii="宋体" w:hAnsi="宋体" w:eastAsia="宋体" w:cs="宋体"/>
                <w:color w:val="000000"/>
                <w:sz w:val="21"/>
              </w:rPr>
              <w:t>投标人自202</w:t>
            </w:r>
            <w:r>
              <w:rPr>
                <w:rFonts w:hint="eastAsia" w:ascii="宋体" w:hAnsi="宋体" w:cs="宋体"/>
                <w:color w:val="000000"/>
                <w:sz w:val="21"/>
                <w:lang w:val="en-US" w:eastAsia="zh-CN"/>
              </w:rPr>
              <w:t>3</w:t>
            </w:r>
            <w:r>
              <w:rPr>
                <w:rFonts w:hint="default" w:ascii="宋体" w:hAnsi="宋体" w:eastAsia="宋体" w:cs="宋体"/>
                <w:color w:val="000000"/>
                <w:sz w:val="21"/>
              </w:rPr>
              <w:t>年1月1日以来（以合同签订时间为准）有类似项目业绩的，每提供一个得</w:t>
            </w:r>
            <w:r>
              <w:rPr>
                <w:rFonts w:hint="eastAsia" w:ascii="宋体" w:hAnsi="宋体" w:eastAsia="宋体" w:cs="宋体"/>
                <w:color w:val="000000"/>
                <w:sz w:val="21"/>
                <w:lang w:val="en-US" w:eastAsia="zh-CN"/>
              </w:rPr>
              <w:t>3</w:t>
            </w:r>
            <w:r>
              <w:rPr>
                <w:rFonts w:hint="default" w:ascii="宋体" w:hAnsi="宋体" w:eastAsia="宋体" w:cs="宋体"/>
                <w:color w:val="000000"/>
                <w:sz w:val="21"/>
              </w:rPr>
              <w:t>分，本项目最高得分为</w:t>
            </w:r>
            <w:r>
              <w:rPr>
                <w:rFonts w:hint="eastAsia" w:ascii="宋体" w:hAnsi="宋体" w:eastAsia="宋体" w:cs="宋体"/>
                <w:color w:val="000000"/>
                <w:sz w:val="21"/>
                <w:lang w:val="en-US" w:eastAsia="zh-CN"/>
              </w:rPr>
              <w:t>9</w:t>
            </w:r>
            <w:r>
              <w:rPr>
                <w:rFonts w:hint="default" w:ascii="宋体" w:hAnsi="宋体" w:eastAsia="宋体" w:cs="宋体"/>
                <w:color w:val="000000"/>
                <w:sz w:val="21"/>
              </w:rPr>
              <w:t xml:space="preserve">分。 </w:t>
            </w:r>
          </w:p>
          <w:p w14:paraId="332332FC">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default" w:ascii="宋体" w:hAnsi="宋体" w:eastAsia="宋体" w:cs="宋体"/>
                <w:color w:val="000000"/>
                <w:sz w:val="21"/>
              </w:rPr>
              <w:t>注：投标文件中提供合同（主要内容、标的、签订时间清晰可见）证明和甲方出具的项目验收合格材料电子件，二者缺一不可，否则不得分。</w:t>
            </w:r>
          </w:p>
        </w:tc>
      </w:tr>
      <w:tr w14:paraId="52F4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noWrap w:val="0"/>
            <w:tcMar>
              <w:top w:w="0" w:type="dxa"/>
              <w:left w:w="0" w:type="dxa"/>
              <w:bottom w:w="0" w:type="dxa"/>
              <w:right w:w="0" w:type="dxa"/>
            </w:tcMar>
            <w:vAlign w:val="center"/>
          </w:tcPr>
          <w:p w14:paraId="1AAD724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项目供货方案</w:t>
            </w:r>
          </w:p>
        </w:tc>
        <w:tc>
          <w:tcPr>
            <w:tcW w:w="1425" w:type="dxa"/>
            <w:noWrap w:val="0"/>
            <w:tcMar>
              <w:top w:w="0" w:type="dxa"/>
              <w:left w:w="0" w:type="dxa"/>
              <w:bottom w:w="0" w:type="dxa"/>
              <w:right w:w="0" w:type="dxa"/>
            </w:tcMar>
            <w:vAlign w:val="center"/>
          </w:tcPr>
          <w:p w14:paraId="570F1E5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eastAsia" w:eastAsia="宋体" w:cs="Times New Roman"/>
                <w:color w:val="000000"/>
                <w:sz w:val="21"/>
                <w:lang w:val="en-US" w:eastAsia="zh-CN"/>
              </w:rPr>
              <w:t>1</w:t>
            </w:r>
            <w:r>
              <w:rPr>
                <w:rFonts w:hint="eastAsia" w:cs="Times New Roman"/>
                <w:color w:val="000000"/>
                <w:sz w:val="21"/>
                <w:lang w:val="en-US" w:eastAsia="zh-CN"/>
              </w:rPr>
              <w:t>1</w:t>
            </w:r>
            <w:r>
              <w:rPr>
                <w:rFonts w:hint="default" w:ascii="Times New Roman" w:hAnsi="Times New Roman" w:eastAsia="Times New Roman" w:cs="Times New Roman"/>
                <w:color w:val="000000"/>
                <w:sz w:val="21"/>
              </w:rPr>
              <w:t>.00</w:t>
            </w:r>
            <w:r>
              <w:rPr>
                <w:rFonts w:hint="default" w:ascii="宋体" w:hAnsi="宋体" w:eastAsia="宋体" w:cs="宋体"/>
                <w:color w:val="000000"/>
                <w:sz w:val="21"/>
              </w:rPr>
              <w:t>分</w:t>
            </w:r>
          </w:p>
        </w:tc>
        <w:tc>
          <w:tcPr>
            <w:tcW w:w="5543" w:type="dxa"/>
            <w:noWrap w:val="0"/>
            <w:tcMar>
              <w:top w:w="0" w:type="dxa"/>
              <w:left w:w="0" w:type="dxa"/>
              <w:bottom w:w="0" w:type="dxa"/>
              <w:right w:w="0" w:type="dxa"/>
            </w:tcMar>
            <w:vAlign w:val="center"/>
          </w:tcPr>
          <w:p w14:paraId="350C6BA6">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default" w:ascii="Times New Roman" w:hAnsi="Times New Roman" w:eastAsia="宋体" w:cs="Times New Roman"/>
              </w:rPr>
            </w:pPr>
            <w:r>
              <w:rPr>
                <w:rFonts w:hint="eastAsia" w:ascii="Calibri" w:hAnsi="Calibri" w:eastAsia="宋体"/>
                <w:b w:val="0"/>
                <w:bCs w:val="0"/>
                <w:color w:val="000000"/>
                <w:sz w:val="21"/>
                <w:szCs w:val="22"/>
                <w:lang w:bidi="ar"/>
              </w:rPr>
              <w:t>针对采购文件“第四章 采购需求-</w:t>
            </w:r>
            <w:r>
              <w:rPr>
                <w:rFonts w:hint="eastAsia" w:ascii="Calibri" w:hAnsi="Calibri" w:eastAsia="宋体"/>
                <w:b w:val="0"/>
                <w:bCs w:val="0"/>
                <w:color w:val="000000"/>
                <w:sz w:val="21"/>
                <w:szCs w:val="22"/>
                <w:lang w:val="en-US" w:eastAsia="zh-CN" w:bidi="ar"/>
              </w:rPr>
              <w:t>六</w:t>
            </w:r>
            <w:r>
              <w:rPr>
                <w:rFonts w:hint="eastAsia" w:ascii="Calibri" w:hAnsi="Calibri" w:eastAsia="宋体"/>
                <w:b w:val="0"/>
                <w:bCs w:val="0"/>
                <w:color w:val="000000"/>
                <w:sz w:val="21"/>
                <w:szCs w:val="22"/>
                <w:lang w:bidi="ar"/>
              </w:rPr>
              <w:t>、</w:t>
            </w:r>
            <w:r>
              <w:rPr>
                <w:rFonts w:hint="eastAsia" w:ascii="Calibri" w:hAnsi="Calibri" w:eastAsia="宋体"/>
                <w:b w:val="0"/>
                <w:bCs w:val="0"/>
                <w:color w:val="000000"/>
                <w:sz w:val="21"/>
                <w:szCs w:val="22"/>
                <w:lang w:val="en-US" w:eastAsia="zh-CN" w:bidi="ar"/>
              </w:rPr>
              <w:t>供货要求</w:t>
            </w:r>
            <w:r>
              <w:rPr>
                <w:rFonts w:hint="eastAsia" w:ascii="Calibri" w:hAnsi="Calibri" w:eastAsia="宋体"/>
                <w:b w:val="0"/>
                <w:bCs w:val="0"/>
                <w:color w:val="000000"/>
                <w:sz w:val="21"/>
                <w:szCs w:val="22"/>
                <w:lang w:bidi="ar"/>
              </w:rPr>
              <w:t>”提供</w:t>
            </w:r>
            <w:r>
              <w:rPr>
                <w:rFonts w:hint="eastAsia" w:ascii="Calibri" w:hAnsi="Calibri" w:eastAsia="宋体"/>
                <w:b w:val="0"/>
                <w:bCs w:val="0"/>
                <w:color w:val="000000"/>
                <w:sz w:val="21"/>
                <w:szCs w:val="22"/>
                <w:lang w:val="en-US" w:eastAsia="zh-CN" w:bidi="ar"/>
              </w:rPr>
              <w:t>方案</w:t>
            </w:r>
            <w:r>
              <w:rPr>
                <w:rFonts w:hint="eastAsia" w:ascii="Calibri" w:hAnsi="Calibri" w:eastAsia="宋体"/>
                <w:b w:val="0"/>
                <w:bCs w:val="0"/>
                <w:color w:val="000000"/>
                <w:sz w:val="21"/>
                <w:szCs w:val="22"/>
                <w:lang w:bidi="ar"/>
              </w:rPr>
              <w:t>。优于采购需求的，得</w:t>
            </w:r>
            <w:r>
              <w:rPr>
                <w:rFonts w:hint="eastAsia" w:ascii="Calibri" w:hAnsi="Calibri"/>
                <w:b w:val="0"/>
                <w:bCs w:val="0"/>
                <w:color w:val="000000"/>
                <w:sz w:val="21"/>
                <w:szCs w:val="22"/>
                <w:lang w:val="en-US" w:eastAsia="zh-CN" w:bidi="ar"/>
              </w:rPr>
              <w:t>11</w:t>
            </w:r>
            <w:r>
              <w:rPr>
                <w:rFonts w:hint="eastAsia" w:ascii="Calibri" w:hAnsi="Calibri" w:eastAsia="宋体"/>
                <w:b w:val="0"/>
                <w:bCs w:val="0"/>
                <w:color w:val="000000"/>
                <w:sz w:val="21"/>
                <w:szCs w:val="22"/>
                <w:lang w:bidi="ar"/>
              </w:rPr>
              <w:t>分；满足采购需求的，得</w:t>
            </w:r>
            <w:r>
              <w:rPr>
                <w:rFonts w:hint="eastAsia" w:ascii="Calibri" w:hAnsi="Calibri"/>
                <w:b w:val="0"/>
                <w:bCs w:val="0"/>
                <w:color w:val="000000"/>
                <w:sz w:val="21"/>
                <w:szCs w:val="22"/>
                <w:lang w:val="en-US" w:eastAsia="zh-CN" w:bidi="ar"/>
              </w:rPr>
              <w:t>7</w:t>
            </w:r>
            <w:r>
              <w:rPr>
                <w:rFonts w:hint="eastAsia" w:ascii="Calibri" w:hAnsi="Calibri" w:eastAsia="宋体"/>
                <w:b w:val="0"/>
                <w:bCs w:val="0"/>
                <w:color w:val="000000"/>
                <w:sz w:val="21"/>
                <w:szCs w:val="22"/>
                <w:lang w:bidi="ar"/>
              </w:rPr>
              <w:t>分；方案内容笼统，没有针对本项目细化制定，通过后期优化调整能够实现采购需求的得</w:t>
            </w:r>
            <w:r>
              <w:rPr>
                <w:rFonts w:hint="eastAsia" w:ascii="Calibri" w:hAnsi="Calibri"/>
                <w:b w:val="0"/>
                <w:bCs w:val="0"/>
                <w:color w:val="000000"/>
                <w:sz w:val="21"/>
                <w:szCs w:val="22"/>
                <w:lang w:val="en-US" w:eastAsia="zh-CN" w:bidi="ar"/>
              </w:rPr>
              <w:t>3</w:t>
            </w:r>
            <w:r>
              <w:rPr>
                <w:rFonts w:hint="eastAsia" w:ascii="Calibri" w:hAnsi="Calibri" w:eastAsia="宋体"/>
                <w:b w:val="0"/>
                <w:bCs w:val="0"/>
                <w:color w:val="000000"/>
                <w:sz w:val="21"/>
                <w:szCs w:val="22"/>
                <w:lang w:bidi="ar"/>
              </w:rPr>
              <w:t>分；没有内容不得分。</w:t>
            </w:r>
          </w:p>
        </w:tc>
      </w:tr>
      <w:tr w14:paraId="5975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52" w:type="dxa"/>
            <w:noWrap w:val="0"/>
            <w:vAlign w:val="center"/>
          </w:tcPr>
          <w:p w14:paraId="6D6CD07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安装调试方案</w:t>
            </w:r>
          </w:p>
        </w:tc>
        <w:tc>
          <w:tcPr>
            <w:tcW w:w="1425" w:type="dxa"/>
            <w:noWrap w:val="0"/>
            <w:tcMar>
              <w:top w:w="0" w:type="dxa"/>
              <w:left w:w="0" w:type="dxa"/>
              <w:bottom w:w="0" w:type="dxa"/>
              <w:right w:w="0" w:type="dxa"/>
            </w:tcMar>
            <w:vAlign w:val="center"/>
          </w:tcPr>
          <w:p w14:paraId="3107FA2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eastAsia" w:cs="Times New Roman"/>
                <w:color w:val="000000"/>
                <w:sz w:val="21"/>
                <w:lang w:val="en-US" w:eastAsia="zh-CN"/>
              </w:rPr>
              <w:t>11</w:t>
            </w:r>
            <w:r>
              <w:rPr>
                <w:rFonts w:hint="default" w:ascii="Times New Roman" w:hAnsi="Times New Roman" w:eastAsia="Times New Roman" w:cs="Times New Roman"/>
                <w:color w:val="000000"/>
                <w:sz w:val="21"/>
              </w:rPr>
              <w:t>.00</w:t>
            </w:r>
            <w:r>
              <w:rPr>
                <w:rFonts w:hint="default" w:ascii="宋体" w:hAnsi="宋体" w:eastAsia="宋体" w:cs="宋体"/>
                <w:color w:val="000000"/>
                <w:sz w:val="21"/>
              </w:rPr>
              <w:t>分</w:t>
            </w:r>
          </w:p>
        </w:tc>
        <w:tc>
          <w:tcPr>
            <w:tcW w:w="5543" w:type="dxa"/>
            <w:noWrap w:val="0"/>
            <w:tcMar>
              <w:top w:w="0" w:type="dxa"/>
              <w:left w:w="0" w:type="dxa"/>
              <w:bottom w:w="0" w:type="dxa"/>
              <w:right w:w="0" w:type="dxa"/>
            </w:tcMar>
            <w:vAlign w:val="center"/>
          </w:tcPr>
          <w:p w14:paraId="07E2F390">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default" w:ascii="Times New Roman" w:hAnsi="Times New Roman" w:eastAsia="宋体" w:cs="Times New Roman"/>
              </w:rPr>
            </w:pPr>
            <w:r>
              <w:rPr>
                <w:rFonts w:hint="eastAsia" w:ascii="Calibri" w:hAnsi="Calibri" w:eastAsia="宋体"/>
                <w:b w:val="0"/>
                <w:bCs w:val="0"/>
                <w:color w:val="000000"/>
                <w:sz w:val="21"/>
                <w:szCs w:val="22"/>
                <w:lang w:bidi="ar"/>
              </w:rPr>
              <w:t>针对采购文件“第四章 采购需求-</w:t>
            </w:r>
            <w:r>
              <w:rPr>
                <w:rFonts w:hint="eastAsia" w:ascii="Calibri" w:hAnsi="Calibri"/>
                <w:b w:val="0"/>
                <w:bCs w:val="0"/>
                <w:color w:val="000000"/>
                <w:sz w:val="21"/>
                <w:szCs w:val="22"/>
                <w:lang w:val="en-US" w:eastAsia="zh-CN" w:bidi="ar"/>
              </w:rPr>
              <w:t>七</w:t>
            </w:r>
            <w:r>
              <w:rPr>
                <w:rFonts w:hint="eastAsia" w:ascii="Calibri" w:hAnsi="Calibri" w:eastAsia="宋体"/>
                <w:b w:val="0"/>
                <w:bCs w:val="0"/>
                <w:color w:val="000000"/>
                <w:sz w:val="21"/>
                <w:szCs w:val="22"/>
                <w:lang w:bidi="ar"/>
              </w:rPr>
              <w:t>、</w:t>
            </w:r>
            <w:r>
              <w:rPr>
                <w:rFonts w:hint="eastAsia" w:ascii="Calibri" w:hAnsi="Calibri" w:eastAsia="宋体"/>
                <w:b w:val="0"/>
                <w:bCs w:val="0"/>
                <w:color w:val="000000"/>
                <w:sz w:val="21"/>
                <w:szCs w:val="22"/>
                <w:lang w:val="en-US" w:eastAsia="zh-CN" w:bidi="ar"/>
              </w:rPr>
              <w:t>安装调试</w:t>
            </w:r>
            <w:r>
              <w:rPr>
                <w:rFonts w:hint="eastAsia" w:ascii="Calibri" w:hAnsi="Calibri" w:eastAsia="宋体"/>
                <w:b w:val="0"/>
                <w:bCs w:val="0"/>
                <w:color w:val="000000"/>
                <w:sz w:val="21"/>
                <w:szCs w:val="22"/>
                <w:lang w:bidi="ar"/>
              </w:rPr>
              <w:t>”提供</w:t>
            </w:r>
            <w:r>
              <w:rPr>
                <w:rFonts w:hint="eastAsia" w:ascii="Calibri" w:hAnsi="Calibri" w:eastAsia="宋体"/>
                <w:b w:val="0"/>
                <w:bCs w:val="0"/>
                <w:color w:val="000000"/>
                <w:sz w:val="21"/>
                <w:szCs w:val="22"/>
                <w:lang w:val="en-US" w:eastAsia="zh-CN" w:bidi="ar"/>
              </w:rPr>
              <w:t>方案</w:t>
            </w:r>
            <w:r>
              <w:rPr>
                <w:rFonts w:hint="eastAsia" w:ascii="Calibri" w:hAnsi="Calibri" w:eastAsia="宋体"/>
                <w:b w:val="0"/>
                <w:bCs w:val="0"/>
                <w:color w:val="000000"/>
                <w:sz w:val="21"/>
                <w:szCs w:val="22"/>
                <w:lang w:bidi="ar"/>
              </w:rPr>
              <w:t>。优于采购需求的，得</w:t>
            </w:r>
            <w:r>
              <w:rPr>
                <w:rFonts w:hint="eastAsia" w:ascii="Calibri" w:hAnsi="Calibri"/>
                <w:b w:val="0"/>
                <w:bCs w:val="0"/>
                <w:color w:val="000000"/>
                <w:sz w:val="21"/>
                <w:szCs w:val="22"/>
                <w:lang w:val="en-US" w:eastAsia="zh-CN" w:bidi="ar"/>
              </w:rPr>
              <w:t>11</w:t>
            </w:r>
            <w:r>
              <w:rPr>
                <w:rFonts w:hint="eastAsia" w:ascii="Calibri" w:hAnsi="Calibri" w:eastAsia="宋体"/>
                <w:b w:val="0"/>
                <w:bCs w:val="0"/>
                <w:color w:val="000000"/>
                <w:sz w:val="21"/>
                <w:szCs w:val="22"/>
                <w:lang w:bidi="ar"/>
              </w:rPr>
              <w:t>分；满足采购需求的，得</w:t>
            </w:r>
            <w:r>
              <w:rPr>
                <w:rFonts w:hint="eastAsia" w:ascii="Calibri" w:hAnsi="Calibri"/>
                <w:b w:val="0"/>
                <w:bCs w:val="0"/>
                <w:color w:val="000000"/>
                <w:sz w:val="21"/>
                <w:szCs w:val="22"/>
                <w:lang w:val="en-US" w:eastAsia="zh-CN" w:bidi="ar"/>
              </w:rPr>
              <w:t>7</w:t>
            </w:r>
            <w:r>
              <w:rPr>
                <w:rFonts w:hint="eastAsia" w:ascii="Calibri" w:hAnsi="Calibri" w:eastAsia="宋体"/>
                <w:b w:val="0"/>
                <w:bCs w:val="0"/>
                <w:color w:val="000000"/>
                <w:sz w:val="21"/>
                <w:szCs w:val="22"/>
                <w:lang w:bidi="ar"/>
              </w:rPr>
              <w:t>分；方案内容笼统，没有针对本项目细化制定，通过后期优化调整能够实现采购需求的得</w:t>
            </w:r>
            <w:r>
              <w:rPr>
                <w:rFonts w:hint="eastAsia" w:ascii="Calibri" w:hAnsi="Calibri"/>
                <w:b w:val="0"/>
                <w:bCs w:val="0"/>
                <w:color w:val="000000"/>
                <w:sz w:val="21"/>
                <w:szCs w:val="22"/>
                <w:lang w:val="en-US" w:eastAsia="zh-CN" w:bidi="ar"/>
              </w:rPr>
              <w:t>3</w:t>
            </w:r>
            <w:r>
              <w:rPr>
                <w:rFonts w:hint="eastAsia" w:ascii="Calibri" w:hAnsi="Calibri" w:eastAsia="宋体"/>
                <w:b w:val="0"/>
                <w:bCs w:val="0"/>
                <w:color w:val="000000"/>
                <w:sz w:val="21"/>
                <w:szCs w:val="22"/>
                <w:lang w:bidi="ar"/>
              </w:rPr>
              <w:t>分；没有内容不得分。</w:t>
            </w:r>
          </w:p>
        </w:tc>
      </w:tr>
      <w:tr w14:paraId="3525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noWrap w:val="0"/>
            <w:vAlign w:val="center"/>
          </w:tcPr>
          <w:p w14:paraId="4E5E83A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培训方案</w:t>
            </w:r>
          </w:p>
        </w:tc>
        <w:tc>
          <w:tcPr>
            <w:tcW w:w="1425" w:type="dxa"/>
            <w:noWrap w:val="0"/>
            <w:tcMar>
              <w:top w:w="0" w:type="dxa"/>
              <w:left w:w="0" w:type="dxa"/>
              <w:bottom w:w="0" w:type="dxa"/>
              <w:right w:w="0" w:type="dxa"/>
            </w:tcMar>
            <w:vAlign w:val="center"/>
          </w:tcPr>
          <w:p w14:paraId="2F0EF10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eastAsia" w:cs="Times New Roman"/>
                <w:color w:val="000000"/>
                <w:sz w:val="21"/>
                <w:lang w:val="en-US" w:eastAsia="zh-CN"/>
              </w:rPr>
              <w:t>12</w:t>
            </w:r>
            <w:r>
              <w:rPr>
                <w:rFonts w:hint="default" w:ascii="Times New Roman" w:hAnsi="Times New Roman" w:eastAsia="Times New Roman" w:cs="Times New Roman"/>
                <w:color w:val="000000"/>
                <w:sz w:val="21"/>
              </w:rPr>
              <w:t>.00</w:t>
            </w:r>
            <w:r>
              <w:rPr>
                <w:rFonts w:hint="default" w:ascii="宋体" w:hAnsi="宋体" w:eastAsia="宋体" w:cs="宋体"/>
                <w:color w:val="000000"/>
                <w:sz w:val="21"/>
              </w:rPr>
              <w:t>分</w:t>
            </w:r>
          </w:p>
        </w:tc>
        <w:tc>
          <w:tcPr>
            <w:tcW w:w="5543" w:type="dxa"/>
            <w:noWrap w:val="0"/>
            <w:tcMar>
              <w:top w:w="0" w:type="dxa"/>
              <w:left w:w="0" w:type="dxa"/>
              <w:bottom w:w="0" w:type="dxa"/>
              <w:right w:w="0" w:type="dxa"/>
            </w:tcMar>
            <w:vAlign w:val="center"/>
          </w:tcPr>
          <w:p w14:paraId="17713655">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default" w:ascii="Times New Roman" w:hAnsi="Times New Roman" w:eastAsia="宋体" w:cs="Times New Roman"/>
              </w:rPr>
            </w:pPr>
            <w:r>
              <w:rPr>
                <w:rFonts w:hint="eastAsia" w:ascii="Calibri" w:hAnsi="Calibri" w:eastAsia="宋体"/>
                <w:b w:val="0"/>
                <w:bCs w:val="0"/>
                <w:color w:val="000000"/>
                <w:sz w:val="21"/>
                <w:szCs w:val="22"/>
                <w:lang w:bidi="ar"/>
              </w:rPr>
              <w:t>针对采购文件“第四章 采购需求-</w:t>
            </w:r>
            <w:r>
              <w:rPr>
                <w:rFonts w:hint="eastAsia" w:ascii="Calibri" w:hAnsi="Calibri"/>
                <w:b w:val="0"/>
                <w:bCs w:val="0"/>
                <w:color w:val="000000"/>
                <w:sz w:val="21"/>
                <w:szCs w:val="22"/>
                <w:lang w:val="en-US" w:eastAsia="zh-CN" w:bidi="ar"/>
              </w:rPr>
              <w:t>八</w:t>
            </w:r>
            <w:r>
              <w:rPr>
                <w:rFonts w:hint="eastAsia" w:ascii="Calibri" w:hAnsi="Calibri" w:eastAsia="宋体"/>
                <w:b w:val="0"/>
                <w:bCs w:val="0"/>
                <w:color w:val="000000"/>
                <w:sz w:val="21"/>
                <w:szCs w:val="22"/>
                <w:lang w:bidi="ar"/>
              </w:rPr>
              <w:t>、</w:t>
            </w:r>
            <w:r>
              <w:rPr>
                <w:rFonts w:hint="eastAsia" w:ascii="Calibri" w:hAnsi="Calibri"/>
                <w:b w:val="0"/>
                <w:bCs w:val="0"/>
                <w:color w:val="000000"/>
                <w:sz w:val="21"/>
                <w:szCs w:val="22"/>
                <w:lang w:val="en-US" w:eastAsia="zh-CN" w:bidi="ar"/>
              </w:rPr>
              <w:t>培训要求</w:t>
            </w:r>
            <w:r>
              <w:rPr>
                <w:rFonts w:hint="eastAsia" w:ascii="Calibri" w:hAnsi="Calibri" w:eastAsia="宋体"/>
                <w:b w:val="0"/>
                <w:bCs w:val="0"/>
                <w:color w:val="000000"/>
                <w:sz w:val="21"/>
                <w:szCs w:val="22"/>
                <w:lang w:bidi="ar"/>
              </w:rPr>
              <w:t>”提供</w:t>
            </w:r>
            <w:r>
              <w:rPr>
                <w:rFonts w:hint="eastAsia" w:ascii="Calibri" w:hAnsi="Calibri" w:eastAsia="宋体"/>
                <w:b w:val="0"/>
                <w:bCs w:val="0"/>
                <w:color w:val="000000"/>
                <w:sz w:val="21"/>
                <w:szCs w:val="22"/>
                <w:lang w:val="en-US" w:eastAsia="zh-CN" w:bidi="ar"/>
              </w:rPr>
              <w:t>方案</w:t>
            </w:r>
            <w:r>
              <w:rPr>
                <w:rFonts w:hint="eastAsia" w:ascii="Calibri" w:hAnsi="Calibri" w:eastAsia="宋体"/>
                <w:b w:val="0"/>
                <w:bCs w:val="0"/>
                <w:color w:val="000000"/>
                <w:sz w:val="21"/>
                <w:szCs w:val="22"/>
                <w:lang w:bidi="ar"/>
              </w:rPr>
              <w:t>。优于采购需求的，得</w:t>
            </w:r>
            <w:r>
              <w:rPr>
                <w:rFonts w:hint="eastAsia" w:ascii="Calibri" w:hAnsi="Calibri"/>
                <w:b w:val="0"/>
                <w:bCs w:val="0"/>
                <w:color w:val="000000"/>
                <w:sz w:val="21"/>
                <w:szCs w:val="22"/>
                <w:lang w:val="en-US" w:eastAsia="zh-CN" w:bidi="ar"/>
              </w:rPr>
              <w:t>12</w:t>
            </w:r>
            <w:r>
              <w:rPr>
                <w:rFonts w:hint="eastAsia" w:ascii="Calibri" w:hAnsi="Calibri" w:eastAsia="宋体"/>
                <w:b w:val="0"/>
                <w:bCs w:val="0"/>
                <w:color w:val="000000"/>
                <w:sz w:val="21"/>
                <w:szCs w:val="22"/>
                <w:lang w:bidi="ar"/>
              </w:rPr>
              <w:t>分；满足采购需求的，得</w:t>
            </w:r>
            <w:r>
              <w:rPr>
                <w:rFonts w:hint="eastAsia" w:ascii="Calibri" w:hAnsi="Calibri"/>
                <w:b w:val="0"/>
                <w:bCs w:val="0"/>
                <w:color w:val="000000"/>
                <w:sz w:val="21"/>
                <w:szCs w:val="22"/>
                <w:lang w:val="en-US" w:eastAsia="zh-CN" w:bidi="ar"/>
              </w:rPr>
              <w:t>8</w:t>
            </w:r>
            <w:r>
              <w:rPr>
                <w:rFonts w:hint="eastAsia" w:ascii="Calibri" w:hAnsi="Calibri" w:eastAsia="宋体"/>
                <w:b w:val="0"/>
                <w:bCs w:val="0"/>
                <w:color w:val="000000"/>
                <w:sz w:val="21"/>
                <w:szCs w:val="22"/>
                <w:lang w:bidi="ar"/>
              </w:rPr>
              <w:t>分；方案内容笼统，没有针对本项目细化制定，通过后期优化调整能够实现采购需求的得</w:t>
            </w:r>
            <w:r>
              <w:rPr>
                <w:rFonts w:hint="eastAsia" w:ascii="Calibri" w:hAnsi="Calibri"/>
                <w:b w:val="0"/>
                <w:bCs w:val="0"/>
                <w:color w:val="000000"/>
                <w:sz w:val="21"/>
                <w:szCs w:val="22"/>
                <w:lang w:val="en-US" w:eastAsia="zh-CN" w:bidi="ar"/>
              </w:rPr>
              <w:t>4</w:t>
            </w:r>
            <w:r>
              <w:rPr>
                <w:rFonts w:hint="eastAsia" w:ascii="Calibri" w:hAnsi="Calibri" w:eastAsia="宋体"/>
                <w:b w:val="0"/>
                <w:bCs w:val="0"/>
                <w:color w:val="000000"/>
                <w:sz w:val="21"/>
                <w:szCs w:val="22"/>
                <w:lang w:bidi="ar"/>
              </w:rPr>
              <w:t>分；没有内容不得分。</w:t>
            </w:r>
          </w:p>
        </w:tc>
      </w:tr>
      <w:tr w14:paraId="13CB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noWrap w:val="0"/>
            <w:tcMar>
              <w:top w:w="0" w:type="dxa"/>
              <w:left w:w="0" w:type="dxa"/>
              <w:bottom w:w="0" w:type="dxa"/>
              <w:right w:w="0" w:type="dxa"/>
            </w:tcMar>
            <w:vAlign w:val="center"/>
          </w:tcPr>
          <w:p w14:paraId="4ACA6B1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default" w:ascii="宋体" w:hAnsi="宋体" w:eastAsia="宋体" w:cs="宋体"/>
                <w:color w:val="000000"/>
                <w:sz w:val="21"/>
              </w:rPr>
              <w:t>售后服务</w:t>
            </w:r>
          </w:p>
        </w:tc>
        <w:tc>
          <w:tcPr>
            <w:tcW w:w="1425" w:type="dxa"/>
            <w:noWrap w:val="0"/>
            <w:tcMar>
              <w:top w:w="0" w:type="dxa"/>
              <w:left w:w="0" w:type="dxa"/>
              <w:bottom w:w="0" w:type="dxa"/>
              <w:right w:w="0" w:type="dxa"/>
            </w:tcMar>
            <w:vAlign w:val="center"/>
          </w:tcPr>
          <w:p w14:paraId="33BA1AE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Times New Roman" w:hAnsi="Times New Roman" w:eastAsia="宋体" w:cs="Times New Roman"/>
              </w:rPr>
            </w:pPr>
            <w:r>
              <w:rPr>
                <w:rFonts w:hint="eastAsia" w:cs="Times New Roman"/>
                <w:color w:val="000000"/>
                <w:sz w:val="21"/>
                <w:lang w:val="en-US" w:eastAsia="zh-CN"/>
              </w:rPr>
              <w:t>13</w:t>
            </w:r>
            <w:r>
              <w:rPr>
                <w:rFonts w:hint="default" w:ascii="Times New Roman" w:hAnsi="Times New Roman" w:eastAsia="Times New Roman" w:cs="Times New Roman"/>
                <w:color w:val="000000"/>
                <w:sz w:val="21"/>
              </w:rPr>
              <w:t>.00</w:t>
            </w:r>
            <w:r>
              <w:rPr>
                <w:rFonts w:hint="default" w:ascii="宋体" w:hAnsi="宋体" w:eastAsia="宋体" w:cs="宋体"/>
                <w:color w:val="000000"/>
                <w:sz w:val="21"/>
              </w:rPr>
              <w:t>分</w:t>
            </w:r>
          </w:p>
        </w:tc>
        <w:tc>
          <w:tcPr>
            <w:tcW w:w="5543" w:type="dxa"/>
            <w:noWrap w:val="0"/>
            <w:tcMar>
              <w:top w:w="0" w:type="dxa"/>
              <w:left w:w="0" w:type="dxa"/>
              <w:bottom w:w="0" w:type="dxa"/>
              <w:right w:w="0" w:type="dxa"/>
            </w:tcMar>
            <w:vAlign w:val="center"/>
          </w:tcPr>
          <w:p w14:paraId="0D610937">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hint="default" w:ascii="Times New Roman" w:hAnsi="Times New Roman" w:eastAsia="宋体" w:cs="Times New Roman"/>
              </w:rPr>
            </w:pPr>
            <w:r>
              <w:rPr>
                <w:rFonts w:hint="eastAsia" w:ascii="Calibri" w:hAnsi="Calibri" w:eastAsia="宋体"/>
                <w:b w:val="0"/>
                <w:bCs w:val="0"/>
                <w:color w:val="000000"/>
                <w:sz w:val="21"/>
                <w:szCs w:val="22"/>
                <w:lang w:bidi="ar"/>
              </w:rPr>
              <w:t>针对采购文件“第四章 采购需求-</w:t>
            </w:r>
            <w:r>
              <w:rPr>
                <w:rFonts w:hint="eastAsia" w:ascii="Calibri" w:hAnsi="Calibri"/>
                <w:b w:val="0"/>
                <w:bCs w:val="0"/>
                <w:color w:val="000000"/>
                <w:sz w:val="21"/>
                <w:szCs w:val="22"/>
                <w:lang w:val="en-US" w:eastAsia="zh-CN" w:bidi="ar"/>
              </w:rPr>
              <w:t>九</w:t>
            </w:r>
            <w:r>
              <w:rPr>
                <w:rFonts w:hint="eastAsia" w:ascii="Calibri" w:hAnsi="Calibri" w:eastAsia="宋体"/>
                <w:b w:val="0"/>
                <w:bCs w:val="0"/>
                <w:color w:val="000000"/>
                <w:sz w:val="21"/>
                <w:szCs w:val="22"/>
                <w:lang w:bidi="ar"/>
              </w:rPr>
              <w:t>、</w:t>
            </w:r>
            <w:r>
              <w:rPr>
                <w:rFonts w:hint="eastAsia" w:ascii="Calibri" w:hAnsi="Calibri"/>
                <w:b w:val="0"/>
                <w:bCs w:val="0"/>
                <w:color w:val="000000"/>
                <w:sz w:val="21"/>
                <w:szCs w:val="22"/>
                <w:lang w:val="en-US" w:eastAsia="zh-CN" w:bidi="ar"/>
              </w:rPr>
              <w:t>售后服务</w:t>
            </w:r>
            <w:r>
              <w:rPr>
                <w:rFonts w:hint="eastAsia" w:ascii="Calibri" w:hAnsi="Calibri" w:eastAsia="宋体"/>
                <w:b w:val="0"/>
                <w:bCs w:val="0"/>
                <w:color w:val="000000"/>
                <w:sz w:val="21"/>
                <w:szCs w:val="22"/>
                <w:lang w:bidi="ar"/>
              </w:rPr>
              <w:t>”提供</w:t>
            </w:r>
            <w:r>
              <w:rPr>
                <w:rFonts w:hint="eastAsia" w:ascii="Calibri" w:hAnsi="Calibri" w:eastAsia="宋体"/>
                <w:b w:val="0"/>
                <w:bCs w:val="0"/>
                <w:color w:val="000000"/>
                <w:sz w:val="21"/>
                <w:szCs w:val="22"/>
                <w:lang w:val="en-US" w:eastAsia="zh-CN" w:bidi="ar"/>
              </w:rPr>
              <w:t>方案</w:t>
            </w:r>
            <w:r>
              <w:rPr>
                <w:rFonts w:hint="eastAsia" w:ascii="Calibri" w:hAnsi="Calibri" w:eastAsia="宋体"/>
                <w:b w:val="0"/>
                <w:bCs w:val="0"/>
                <w:color w:val="000000"/>
                <w:sz w:val="21"/>
                <w:szCs w:val="22"/>
                <w:lang w:bidi="ar"/>
              </w:rPr>
              <w:t>。优于采购需求的，得</w:t>
            </w:r>
            <w:r>
              <w:rPr>
                <w:rFonts w:hint="eastAsia" w:ascii="Calibri" w:hAnsi="Calibri"/>
                <w:b w:val="0"/>
                <w:bCs w:val="0"/>
                <w:color w:val="000000"/>
                <w:sz w:val="21"/>
                <w:szCs w:val="22"/>
                <w:lang w:val="en-US" w:eastAsia="zh-CN" w:bidi="ar"/>
              </w:rPr>
              <w:t>13</w:t>
            </w:r>
            <w:r>
              <w:rPr>
                <w:rFonts w:hint="eastAsia" w:ascii="Calibri" w:hAnsi="Calibri" w:eastAsia="宋体"/>
                <w:b w:val="0"/>
                <w:bCs w:val="0"/>
                <w:color w:val="000000"/>
                <w:sz w:val="21"/>
                <w:szCs w:val="22"/>
                <w:lang w:bidi="ar"/>
              </w:rPr>
              <w:t>分；满足采购需求的，得</w:t>
            </w:r>
            <w:r>
              <w:rPr>
                <w:rFonts w:hint="eastAsia" w:ascii="Calibri" w:hAnsi="Calibri"/>
                <w:b w:val="0"/>
                <w:bCs w:val="0"/>
                <w:color w:val="000000"/>
                <w:sz w:val="21"/>
                <w:szCs w:val="22"/>
                <w:lang w:val="en-US" w:eastAsia="zh-CN" w:bidi="ar"/>
              </w:rPr>
              <w:t>8</w:t>
            </w:r>
            <w:r>
              <w:rPr>
                <w:rFonts w:hint="eastAsia" w:ascii="Calibri" w:hAnsi="Calibri" w:eastAsia="宋体"/>
                <w:b w:val="0"/>
                <w:bCs w:val="0"/>
                <w:color w:val="000000"/>
                <w:sz w:val="21"/>
                <w:szCs w:val="22"/>
                <w:lang w:bidi="ar"/>
              </w:rPr>
              <w:t>分；方案内容笼统，没有针对本项目细化制定，通过后期优化调整能够实现采购需求的得</w:t>
            </w:r>
            <w:r>
              <w:rPr>
                <w:rFonts w:hint="eastAsia" w:ascii="Calibri" w:hAnsi="Calibri"/>
                <w:b w:val="0"/>
                <w:bCs w:val="0"/>
                <w:color w:val="000000"/>
                <w:sz w:val="21"/>
                <w:szCs w:val="22"/>
                <w:lang w:val="en-US" w:eastAsia="zh-CN" w:bidi="ar"/>
              </w:rPr>
              <w:t>4</w:t>
            </w:r>
            <w:r>
              <w:rPr>
                <w:rFonts w:hint="eastAsia" w:ascii="Calibri" w:hAnsi="Calibri" w:eastAsia="宋体"/>
                <w:b w:val="0"/>
                <w:bCs w:val="0"/>
                <w:color w:val="000000"/>
                <w:sz w:val="21"/>
                <w:szCs w:val="22"/>
                <w:lang w:bidi="ar"/>
              </w:rPr>
              <w:t>分；没有内容不得分。</w:t>
            </w:r>
          </w:p>
        </w:tc>
      </w:tr>
      <w:tr w14:paraId="6B8F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noWrap w:val="0"/>
            <w:tcMar>
              <w:top w:w="0" w:type="dxa"/>
              <w:left w:w="0" w:type="dxa"/>
              <w:bottom w:w="0" w:type="dxa"/>
              <w:right w:w="0" w:type="dxa"/>
            </w:tcMar>
            <w:vAlign w:val="center"/>
          </w:tcPr>
          <w:p w14:paraId="4CA833D9">
            <w:pPr>
              <w:jc w:val="center"/>
              <w:rPr>
                <w:rFonts w:hint="default" w:ascii="宋体" w:hAnsi="宋体" w:eastAsia="宋体" w:cs="宋体"/>
                <w:color w:val="000000"/>
                <w:sz w:val="21"/>
              </w:rPr>
            </w:pPr>
            <w:r>
              <w:rPr>
                <w:rFonts w:hint="eastAsia" w:ascii="宋体" w:hAnsi="宋体"/>
                <w:szCs w:val="22"/>
                <w:lang w:val="en-US" w:eastAsia="zh-CN"/>
              </w:rPr>
              <w:t>质保期</w:t>
            </w:r>
          </w:p>
        </w:tc>
        <w:tc>
          <w:tcPr>
            <w:tcW w:w="1425" w:type="dxa"/>
            <w:noWrap w:val="0"/>
            <w:tcMar>
              <w:top w:w="0" w:type="dxa"/>
              <w:left w:w="0" w:type="dxa"/>
              <w:bottom w:w="0" w:type="dxa"/>
              <w:right w:w="0" w:type="dxa"/>
            </w:tcMar>
            <w:vAlign w:val="center"/>
          </w:tcPr>
          <w:p w14:paraId="510A6DB5">
            <w:pPr>
              <w:jc w:val="center"/>
              <w:rPr>
                <w:rFonts w:hint="eastAsia" w:eastAsia="宋体" w:cs="Times New Roman"/>
                <w:color w:val="000000"/>
                <w:sz w:val="21"/>
                <w:lang w:val="en-US" w:eastAsia="zh-CN"/>
              </w:rPr>
            </w:pPr>
            <w:r>
              <w:rPr>
                <w:rFonts w:hint="eastAsia" w:cs="Times New Roman"/>
                <w:color w:val="auto"/>
                <w:sz w:val="21"/>
                <w:lang w:val="en-US" w:eastAsia="zh-CN"/>
              </w:rPr>
              <w:t>3</w:t>
            </w:r>
            <w:r>
              <w:rPr>
                <w:rFonts w:hint="eastAsia" w:ascii="Times New Roman" w:hAnsi="Times New Roman" w:eastAsia="宋体" w:cs="Times New Roman"/>
                <w:color w:val="auto"/>
                <w:sz w:val="21"/>
                <w:lang w:val="en-US" w:eastAsia="zh-CN"/>
              </w:rPr>
              <w:t>.00分</w:t>
            </w:r>
          </w:p>
        </w:tc>
        <w:tc>
          <w:tcPr>
            <w:tcW w:w="5543" w:type="dxa"/>
            <w:noWrap w:val="0"/>
            <w:tcMar>
              <w:top w:w="0" w:type="dxa"/>
              <w:left w:w="0" w:type="dxa"/>
              <w:bottom w:w="0" w:type="dxa"/>
              <w:right w:w="0" w:type="dxa"/>
            </w:tcMar>
            <w:vAlign w:val="center"/>
          </w:tcPr>
          <w:p w14:paraId="014935AD">
            <w:pPr>
              <w:jc w:val="left"/>
              <w:rPr>
                <w:rFonts w:hint="eastAsia" w:ascii="Calibri" w:hAnsi="Calibri" w:eastAsia="宋体"/>
                <w:b w:val="0"/>
                <w:bCs w:val="0"/>
                <w:color w:val="000000"/>
                <w:sz w:val="21"/>
                <w:szCs w:val="22"/>
                <w:lang w:bidi="ar"/>
              </w:rPr>
            </w:pPr>
            <w:r>
              <w:rPr>
                <w:rFonts w:hint="eastAsia" w:ascii="宋体" w:hAnsi="宋体"/>
                <w:lang w:val="en-US" w:eastAsia="zh-CN"/>
              </w:rPr>
              <w:t>在满足采购文件质保期的基础上，供应商承诺增加质保年限的，每增加一年得1分，最高得3分。注：投标文件中提供承诺函（格式自拟），未提供的不得分。</w:t>
            </w:r>
          </w:p>
        </w:tc>
      </w:tr>
    </w:tbl>
    <w:p w14:paraId="4F1FF2BF">
      <w:pPr>
        <w:spacing w:before="120" w:after="120" w:line="360" w:lineRule="auto"/>
        <w:ind w:firstLine="480"/>
        <w:rPr>
          <w:rFonts w:ascii="仿宋" w:hAnsi="仿宋" w:eastAsia="仿宋" w:cs="仿宋"/>
          <w:color w:val="000000"/>
          <w:sz w:val="24"/>
          <w:szCs w:val="24"/>
        </w:rPr>
      </w:pPr>
    </w:p>
    <w:p w14:paraId="5461A316">
      <w:pPr>
        <w:spacing w:before="120" w:after="120" w:line="360" w:lineRule="auto"/>
        <w:ind w:firstLine="480"/>
        <w:rPr>
          <w:rFonts w:ascii="仿宋" w:hAnsi="仿宋" w:eastAsia="仿宋" w:cs="仿宋"/>
          <w:color w:val="000000"/>
          <w:sz w:val="24"/>
          <w:szCs w:val="24"/>
        </w:rPr>
      </w:pPr>
    </w:p>
    <w:p w14:paraId="1932B261">
      <w:pPr>
        <w:spacing w:before="120" w:after="120" w:line="360" w:lineRule="auto"/>
        <w:ind w:firstLine="480"/>
        <w:rPr>
          <w:rFonts w:ascii="仿宋" w:hAnsi="仿宋" w:eastAsia="仿宋" w:cs="仿宋"/>
          <w:color w:val="000000"/>
          <w:sz w:val="24"/>
          <w:szCs w:val="24"/>
        </w:rPr>
      </w:pPr>
    </w:p>
    <w:p w14:paraId="27D064B6">
      <w:pPr>
        <w:spacing w:before="120" w:after="120" w:line="360" w:lineRule="auto"/>
        <w:ind w:firstLine="480"/>
        <w:rPr>
          <w:rFonts w:ascii="仿宋" w:hAnsi="仿宋" w:eastAsia="仿宋" w:cs="仿宋"/>
          <w:color w:val="000000"/>
          <w:sz w:val="24"/>
          <w:szCs w:val="24"/>
        </w:rPr>
      </w:pPr>
    </w:p>
    <w:p w14:paraId="4C16E860">
      <w:pPr>
        <w:spacing w:before="120" w:after="120" w:line="360" w:lineRule="auto"/>
        <w:ind w:firstLine="480"/>
        <w:rPr>
          <w:rFonts w:ascii="仿宋" w:hAnsi="仿宋" w:eastAsia="仿宋" w:cs="仿宋"/>
          <w:color w:val="000000"/>
          <w:sz w:val="24"/>
          <w:szCs w:val="24"/>
        </w:rPr>
      </w:pPr>
    </w:p>
    <w:p w14:paraId="350095FB">
      <w:pPr>
        <w:spacing w:before="120" w:after="120" w:line="360" w:lineRule="auto"/>
        <w:ind w:firstLine="480"/>
        <w:rPr>
          <w:rFonts w:ascii="仿宋" w:hAnsi="仿宋" w:eastAsia="仿宋" w:cs="仿宋"/>
          <w:color w:val="000000"/>
          <w:sz w:val="24"/>
          <w:szCs w:val="24"/>
        </w:rPr>
      </w:pPr>
    </w:p>
    <w:p w14:paraId="67CA54A2">
      <w:pPr>
        <w:spacing w:before="120" w:after="120" w:line="360" w:lineRule="auto"/>
        <w:ind w:firstLine="480"/>
        <w:rPr>
          <w:rFonts w:ascii="仿宋" w:hAnsi="仿宋" w:eastAsia="仿宋" w:cs="仿宋"/>
          <w:color w:val="000000"/>
          <w:sz w:val="24"/>
          <w:szCs w:val="24"/>
        </w:rPr>
      </w:pPr>
    </w:p>
    <w:p w14:paraId="72159AB2">
      <w:pPr>
        <w:spacing w:before="120" w:after="120" w:line="360" w:lineRule="auto"/>
        <w:ind w:firstLine="480"/>
        <w:rPr>
          <w:rFonts w:ascii="仿宋" w:hAnsi="仿宋" w:eastAsia="仿宋" w:cs="仿宋"/>
          <w:color w:val="000000"/>
          <w:sz w:val="24"/>
          <w:szCs w:val="24"/>
        </w:rPr>
      </w:pPr>
    </w:p>
    <w:p w14:paraId="5219723F">
      <w:pPr>
        <w:spacing w:before="120" w:after="120" w:line="360" w:lineRule="auto"/>
        <w:rPr>
          <w:rFonts w:ascii="仿宋" w:hAnsi="仿宋" w:eastAsia="仿宋" w:cs="仿宋"/>
          <w:color w:val="000000"/>
          <w:sz w:val="24"/>
          <w:szCs w:val="24"/>
        </w:rPr>
      </w:pPr>
    </w:p>
    <w:p w14:paraId="531C0A4B">
      <w:pPr>
        <w:spacing w:before="120" w:after="120" w:line="360" w:lineRule="auto"/>
        <w:ind w:firstLine="480"/>
        <w:jc w:val="center"/>
        <w:outlineLvl w:val="0"/>
        <w:rPr>
          <w:rFonts w:ascii="仿宋" w:hAnsi="仿宋" w:eastAsia="黑体" w:cs="仿宋"/>
          <w:color w:val="000000"/>
          <w:sz w:val="24"/>
          <w:szCs w:val="24"/>
        </w:rPr>
      </w:pPr>
      <w:bookmarkStart w:id="140" w:name="_Toc6873"/>
      <w:r>
        <w:rPr>
          <w:rFonts w:hint="eastAsia" w:eastAsia="黑体"/>
          <w:sz w:val="44"/>
          <w:szCs w:val="44"/>
        </w:rPr>
        <w:t>第四章 采购需求</w:t>
      </w:r>
      <w:bookmarkEnd w:id="140"/>
    </w:p>
    <w:p w14:paraId="182A12BC">
      <w:pPr>
        <w:keepNext w:val="0"/>
        <w:keepLines w:val="0"/>
        <w:pageBreakBefore w:val="0"/>
        <w:widowControl w:val="0"/>
        <w:kinsoku/>
        <w:wordWrap/>
        <w:overflowPunct/>
        <w:topLinePunct w:val="0"/>
        <w:autoSpaceDE/>
        <w:autoSpaceDN/>
        <w:bidi w:val="0"/>
        <w:adjustRightInd/>
        <w:snapToGrid/>
        <w:spacing w:before="120" w:after="120" w:line="360" w:lineRule="auto"/>
        <w:ind w:firstLine="482" w:firstLineChars="200"/>
        <w:textAlignment w:val="auto"/>
        <w:outlineLvl w:val="1"/>
        <w:rPr>
          <w:rFonts w:hint="eastAsia" w:ascii="宋体" w:hAnsi="宋体" w:cs="宋体"/>
          <w:b/>
          <w:bCs/>
          <w:color w:val="auto"/>
          <w:sz w:val="24"/>
          <w:szCs w:val="24"/>
        </w:rPr>
      </w:pPr>
      <w:bookmarkStart w:id="141" w:name="_Toc13955"/>
      <w:bookmarkStart w:id="142" w:name="_Toc25420"/>
      <w:r>
        <w:rPr>
          <w:rFonts w:hint="eastAsia" w:ascii="宋体" w:hAnsi="宋体" w:cs="宋体"/>
          <w:b/>
          <w:bCs/>
          <w:color w:val="auto"/>
          <w:sz w:val="24"/>
          <w:szCs w:val="24"/>
        </w:rPr>
        <w:t>一、采购标的清单</w:t>
      </w:r>
      <w:bookmarkEnd w:id="141"/>
      <w:bookmarkEnd w:id="142"/>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3840"/>
        <w:gridCol w:w="2625"/>
      </w:tblGrid>
      <w:tr w14:paraId="0927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66" w:type="dxa"/>
            <w:noWrap w:val="0"/>
            <w:vAlign w:val="center"/>
          </w:tcPr>
          <w:p w14:paraId="7CCADF44">
            <w:pPr>
              <w:spacing w:line="360" w:lineRule="exact"/>
              <w:jc w:val="center"/>
              <w:rPr>
                <w:rFonts w:hint="eastAsia" w:ascii="宋体" w:hAnsi="宋体" w:eastAsia="宋体"/>
                <w:sz w:val="24"/>
                <w:szCs w:val="24"/>
                <w:lang w:val="en-US" w:eastAsia="zh-CN"/>
              </w:rPr>
            </w:pPr>
            <w:r>
              <w:rPr>
                <w:rFonts w:hint="eastAsia" w:ascii="宋体" w:hAnsi="宋体"/>
                <w:sz w:val="24"/>
                <w:szCs w:val="24"/>
              </w:rPr>
              <w:t>采购包</w:t>
            </w:r>
            <w:r>
              <w:rPr>
                <w:rFonts w:hint="eastAsia" w:ascii="宋体" w:hAnsi="宋体"/>
                <w:sz w:val="24"/>
                <w:szCs w:val="24"/>
                <w:lang w:val="en-US" w:eastAsia="zh-CN"/>
              </w:rPr>
              <w:t>号</w:t>
            </w:r>
          </w:p>
        </w:tc>
        <w:tc>
          <w:tcPr>
            <w:tcW w:w="3840" w:type="dxa"/>
            <w:noWrap w:val="0"/>
            <w:vAlign w:val="center"/>
          </w:tcPr>
          <w:p w14:paraId="52B61B2C">
            <w:pPr>
              <w:spacing w:line="360" w:lineRule="exact"/>
              <w:jc w:val="center"/>
              <w:rPr>
                <w:rFonts w:ascii="宋体" w:hAnsi="宋体"/>
                <w:sz w:val="24"/>
                <w:szCs w:val="24"/>
              </w:rPr>
            </w:pPr>
            <w:r>
              <w:rPr>
                <w:rFonts w:hint="eastAsia" w:ascii="宋体" w:hAnsi="宋体"/>
                <w:sz w:val="24"/>
                <w:szCs w:val="24"/>
              </w:rPr>
              <w:t>采购标的</w:t>
            </w:r>
          </w:p>
        </w:tc>
        <w:tc>
          <w:tcPr>
            <w:tcW w:w="2625" w:type="dxa"/>
            <w:noWrap w:val="0"/>
            <w:vAlign w:val="center"/>
          </w:tcPr>
          <w:p w14:paraId="0C3AD0B9">
            <w:pPr>
              <w:spacing w:line="360" w:lineRule="exact"/>
              <w:ind w:firstLine="0" w:firstLineChars="0"/>
              <w:jc w:val="center"/>
              <w:rPr>
                <w:rFonts w:ascii="宋体" w:hAnsi="宋体"/>
                <w:sz w:val="24"/>
                <w:szCs w:val="24"/>
              </w:rPr>
            </w:pPr>
            <w:r>
              <w:rPr>
                <w:rFonts w:hint="eastAsia" w:ascii="宋体" w:hAnsi="宋体"/>
                <w:sz w:val="24"/>
                <w:szCs w:val="24"/>
              </w:rPr>
              <w:t>对应中</w:t>
            </w:r>
            <w:r>
              <w:rPr>
                <w:rFonts w:ascii="宋体" w:hAnsi="宋体"/>
                <w:sz w:val="24"/>
                <w:szCs w:val="24"/>
              </w:rPr>
              <w:t>小企业划分标准所属行业</w:t>
            </w:r>
          </w:p>
        </w:tc>
      </w:tr>
      <w:tr w14:paraId="7587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1266" w:type="dxa"/>
            <w:noWrap w:val="0"/>
            <w:vAlign w:val="center"/>
          </w:tcPr>
          <w:p w14:paraId="6513885D">
            <w:pPr>
              <w:tabs>
                <w:tab w:val="left" w:pos="2020"/>
              </w:tabs>
              <w:spacing w:line="48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w:t>
            </w:r>
          </w:p>
        </w:tc>
        <w:tc>
          <w:tcPr>
            <w:tcW w:w="3840" w:type="dxa"/>
            <w:noWrap w:val="0"/>
            <w:vAlign w:val="center"/>
          </w:tcPr>
          <w:p w14:paraId="58FE5DA5">
            <w:pPr>
              <w:tabs>
                <w:tab w:val="left" w:pos="2020"/>
              </w:tabs>
              <w:spacing w:line="480" w:lineRule="exact"/>
              <w:jc w:val="left"/>
              <w:rPr>
                <w:rFonts w:hint="eastAsia" w:ascii="宋体" w:hAnsi="宋体" w:eastAsia="宋体"/>
                <w:sz w:val="24"/>
                <w:szCs w:val="24"/>
                <w:lang w:eastAsia="zh-CN"/>
              </w:rPr>
            </w:pPr>
            <w:r>
              <w:rPr>
                <w:rFonts w:hint="eastAsia" w:ascii="宋体" w:hAnsi="宋体"/>
                <w:sz w:val="24"/>
                <w:szCs w:val="24"/>
                <w:lang w:eastAsia="zh-CN"/>
              </w:rPr>
              <w:t>全自动酶联免疫分析仪</w:t>
            </w:r>
          </w:p>
        </w:tc>
        <w:tc>
          <w:tcPr>
            <w:tcW w:w="2625" w:type="dxa"/>
            <w:noWrap w:val="0"/>
            <w:vAlign w:val="center"/>
          </w:tcPr>
          <w:p w14:paraId="5480D8CD">
            <w:pPr>
              <w:spacing w:line="480" w:lineRule="exact"/>
              <w:ind w:firstLine="480" w:firstLineChars="200"/>
              <w:jc w:val="center"/>
              <w:rPr>
                <w:rFonts w:hint="eastAsia" w:ascii="宋体" w:hAnsi="宋体" w:eastAsia="宋体"/>
                <w:sz w:val="24"/>
                <w:szCs w:val="24"/>
                <w:lang w:eastAsia="zh-CN"/>
              </w:rPr>
            </w:pPr>
            <w:r>
              <w:rPr>
                <w:rFonts w:hint="eastAsia" w:ascii="宋体" w:hAnsi="宋体"/>
                <w:sz w:val="24"/>
                <w:szCs w:val="24"/>
                <w:lang w:val="en-US" w:eastAsia="zh-CN"/>
              </w:rPr>
              <w:t>工业</w:t>
            </w:r>
          </w:p>
        </w:tc>
      </w:tr>
      <w:tr w14:paraId="2150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1266" w:type="dxa"/>
            <w:noWrap w:val="0"/>
            <w:vAlign w:val="center"/>
          </w:tcPr>
          <w:p w14:paraId="3499CBF4">
            <w:pPr>
              <w:tabs>
                <w:tab w:val="left" w:pos="2020"/>
              </w:tabs>
              <w:spacing w:line="480" w:lineRule="exact"/>
              <w:jc w:val="center"/>
              <w:rPr>
                <w:rFonts w:hint="default" w:ascii="宋体" w:hAnsi="宋体"/>
                <w:sz w:val="24"/>
                <w:szCs w:val="24"/>
                <w:lang w:val="en-US" w:eastAsia="zh-CN"/>
              </w:rPr>
            </w:pPr>
            <w:bookmarkStart w:id="143" w:name="_Toc21308"/>
            <w:r>
              <w:rPr>
                <w:rFonts w:hint="eastAsia" w:ascii="宋体" w:hAnsi="宋体"/>
                <w:sz w:val="24"/>
                <w:szCs w:val="24"/>
                <w:lang w:val="en-US" w:eastAsia="zh-CN"/>
              </w:rPr>
              <w:t>2</w:t>
            </w:r>
          </w:p>
        </w:tc>
        <w:tc>
          <w:tcPr>
            <w:tcW w:w="3840" w:type="dxa"/>
            <w:noWrap w:val="0"/>
            <w:vAlign w:val="center"/>
          </w:tcPr>
          <w:p w14:paraId="7407B88C">
            <w:pPr>
              <w:tabs>
                <w:tab w:val="left" w:pos="2020"/>
              </w:tabs>
              <w:spacing w:line="480" w:lineRule="exact"/>
              <w:jc w:val="left"/>
              <w:rPr>
                <w:rFonts w:hint="eastAsia" w:ascii="宋体" w:hAnsi="宋体"/>
                <w:sz w:val="24"/>
                <w:szCs w:val="24"/>
                <w:lang w:eastAsia="zh-CN"/>
              </w:rPr>
            </w:pPr>
            <w:r>
              <w:rPr>
                <w:rFonts w:hint="eastAsia" w:ascii="宋体" w:hAnsi="宋体"/>
                <w:sz w:val="24"/>
                <w:szCs w:val="24"/>
                <w:lang w:eastAsia="zh-CN"/>
              </w:rPr>
              <w:t>全自动生化分析仪</w:t>
            </w:r>
          </w:p>
        </w:tc>
        <w:tc>
          <w:tcPr>
            <w:tcW w:w="2625" w:type="dxa"/>
            <w:noWrap w:val="0"/>
            <w:vAlign w:val="center"/>
          </w:tcPr>
          <w:p w14:paraId="48C11779">
            <w:pPr>
              <w:spacing w:line="480" w:lineRule="exact"/>
              <w:ind w:firstLine="480" w:firstLineChars="200"/>
              <w:jc w:val="center"/>
              <w:rPr>
                <w:rFonts w:hint="eastAsia" w:ascii="宋体" w:hAnsi="宋体" w:eastAsia="宋体"/>
                <w:sz w:val="24"/>
                <w:szCs w:val="24"/>
                <w:lang w:val="en-US" w:eastAsia="zh-CN"/>
              </w:rPr>
            </w:pPr>
            <w:r>
              <w:rPr>
                <w:rFonts w:hint="eastAsia" w:ascii="宋体" w:hAnsi="宋体"/>
                <w:sz w:val="24"/>
                <w:szCs w:val="24"/>
                <w:lang w:val="en-US" w:eastAsia="zh-CN"/>
              </w:rPr>
              <w:t>工业</w:t>
            </w:r>
          </w:p>
        </w:tc>
      </w:tr>
      <w:tr w14:paraId="5378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1266" w:type="dxa"/>
            <w:noWrap w:val="0"/>
            <w:vAlign w:val="center"/>
          </w:tcPr>
          <w:p w14:paraId="61F2B88C">
            <w:pPr>
              <w:tabs>
                <w:tab w:val="left" w:pos="2020"/>
              </w:tabs>
              <w:spacing w:line="480" w:lineRule="exact"/>
              <w:jc w:val="center"/>
              <w:rPr>
                <w:rFonts w:hint="default" w:ascii="宋体" w:hAnsi="宋体"/>
                <w:sz w:val="24"/>
                <w:szCs w:val="24"/>
                <w:lang w:val="en-US" w:eastAsia="zh-CN"/>
              </w:rPr>
            </w:pPr>
            <w:r>
              <w:rPr>
                <w:rFonts w:hint="eastAsia" w:ascii="宋体" w:hAnsi="宋体"/>
                <w:sz w:val="24"/>
                <w:szCs w:val="24"/>
                <w:lang w:val="en-US" w:eastAsia="zh-CN"/>
              </w:rPr>
              <w:t>3</w:t>
            </w:r>
          </w:p>
        </w:tc>
        <w:tc>
          <w:tcPr>
            <w:tcW w:w="3840" w:type="dxa"/>
            <w:noWrap w:val="0"/>
            <w:vAlign w:val="center"/>
          </w:tcPr>
          <w:p w14:paraId="3D439338">
            <w:pPr>
              <w:tabs>
                <w:tab w:val="left" w:pos="2020"/>
              </w:tabs>
              <w:spacing w:line="480" w:lineRule="exact"/>
              <w:jc w:val="left"/>
              <w:rPr>
                <w:rFonts w:hint="eastAsia" w:ascii="宋体" w:hAnsi="宋体"/>
                <w:sz w:val="24"/>
                <w:szCs w:val="24"/>
                <w:lang w:eastAsia="zh-CN"/>
              </w:rPr>
            </w:pPr>
            <w:r>
              <w:rPr>
                <w:rFonts w:hint="eastAsia" w:ascii="宋体" w:hAnsi="宋体"/>
                <w:sz w:val="24"/>
                <w:szCs w:val="24"/>
                <w:lang w:eastAsia="zh-CN"/>
              </w:rPr>
              <w:t>核酸气溶胶清除仪</w:t>
            </w:r>
          </w:p>
        </w:tc>
        <w:tc>
          <w:tcPr>
            <w:tcW w:w="2625" w:type="dxa"/>
            <w:noWrap w:val="0"/>
            <w:vAlign w:val="center"/>
          </w:tcPr>
          <w:p w14:paraId="13AAEFE6">
            <w:pPr>
              <w:spacing w:line="480" w:lineRule="exact"/>
              <w:ind w:firstLine="480" w:firstLineChars="200"/>
              <w:jc w:val="center"/>
              <w:rPr>
                <w:rFonts w:hint="eastAsia" w:ascii="宋体" w:hAnsi="宋体" w:eastAsia="宋体"/>
                <w:sz w:val="24"/>
                <w:szCs w:val="24"/>
                <w:lang w:val="en-US" w:eastAsia="zh-CN"/>
              </w:rPr>
            </w:pPr>
            <w:r>
              <w:rPr>
                <w:rFonts w:hint="eastAsia" w:ascii="宋体" w:hAnsi="宋体"/>
                <w:sz w:val="24"/>
                <w:szCs w:val="24"/>
                <w:lang w:val="en-US" w:eastAsia="zh-CN"/>
              </w:rPr>
              <w:t>工业</w:t>
            </w:r>
          </w:p>
        </w:tc>
      </w:tr>
    </w:tbl>
    <w:p w14:paraId="63D6BC75">
      <w:pPr>
        <w:spacing w:after="120" w:line="360" w:lineRule="auto"/>
        <w:ind w:firstLine="482" w:firstLineChars="200"/>
        <w:outlineLvl w:val="1"/>
        <w:rPr>
          <w:rFonts w:ascii="宋体" w:hAnsi="宋体" w:cs="宋体"/>
          <w:color w:val="000000"/>
          <w:sz w:val="24"/>
          <w:szCs w:val="24"/>
        </w:rPr>
      </w:pPr>
      <w:bookmarkStart w:id="144" w:name="_Toc13698"/>
      <w:r>
        <w:rPr>
          <w:rFonts w:hint="eastAsia" w:ascii="宋体" w:hAnsi="宋体" w:cs="宋体"/>
          <w:b/>
          <w:bCs/>
          <w:color w:val="000000"/>
          <w:sz w:val="24"/>
          <w:szCs w:val="24"/>
          <w:lang w:val="en-US" w:eastAsia="zh-CN" w:bidi="ar"/>
        </w:rPr>
        <w:t>二</w:t>
      </w:r>
      <w:r>
        <w:rPr>
          <w:rFonts w:hint="eastAsia" w:ascii="宋体" w:hAnsi="宋体" w:cs="宋体"/>
          <w:b/>
          <w:bCs/>
          <w:color w:val="000000"/>
          <w:sz w:val="24"/>
          <w:szCs w:val="24"/>
          <w:lang w:bidi="ar"/>
        </w:rPr>
        <w:t>、项目概况</w:t>
      </w:r>
      <w:bookmarkEnd w:id="143"/>
      <w:bookmarkEnd w:id="144"/>
      <w:r>
        <w:rPr>
          <w:rFonts w:hint="eastAsia" w:ascii="宋体" w:hAnsi="宋体" w:cs="宋体"/>
          <w:b/>
          <w:bCs/>
          <w:color w:val="000000"/>
          <w:sz w:val="24"/>
          <w:szCs w:val="24"/>
          <w:lang w:bidi="ar"/>
        </w:rPr>
        <w:t xml:space="preserve"> </w:t>
      </w:r>
    </w:p>
    <w:p w14:paraId="362C862C">
      <w:pPr>
        <w:spacing w:line="360" w:lineRule="auto"/>
        <w:ind w:firstLine="482"/>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为提升</w:t>
      </w:r>
      <w:r>
        <w:rPr>
          <w:rFonts w:hint="eastAsia" w:ascii="宋体" w:hAnsi="宋体" w:cs="宋体"/>
          <w:color w:val="000000"/>
          <w:sz w:val="24"/>
          <w:szCs w:val="24"/>
          <w:lang w:bidi="ar"/>
        </w:rPr>
        <w:t>血站服务能力</w:t>
      </w:r>
      <w:r>
        <w:rPr>
          <w:rFonts w:hint="eastAsia" w:ascii="宋体" w:hAnsi="宋体" w:cs="宋体"/>
          <w:color w:val="000000"/>
          <w:sz w:val="24"/>
          <w:szCs w:val="24"/>
          <w:lang w:eastAsia="zh-CN" w:bidi="ar"/>
        </w:rPr>
        <w:t>，</w:t>
      </w:r>
      <w:r>
        <w:rPr>
          <w:rFonts w:hint="eastAsia" w:ascii="宋体" w:hAnsi="宋体" w:cs="宋体"/>
          <w:color w:val="000000"/>
          <w:sz w:val="24"/>
          <w:szCs w:val="24"/>
          <w:lang w:val="en-US" w:eastAsia="zh-CN" w:bidi="ar"/>
        </w:rPr>
        <w:t>拟采购一台</w:t>
      </w:r>
      <w:r>
        <w:rPr>
          <w:rFonts w:hint="eastAsia" w:ascii="宋体" w:hAnsi="宋体" w:cs="宋体"/>
          <w:color w:val="000000"/>
          <w:sz w:val="24"/>
          <w:szCs w:val="24"/>
          <w:lang w:eastAsia="zh-CN" w:bidi="ar"/>
        </w:rPr>
        <w:t>全自动酶联免疫分析仪、</w:t>
      </w:r>
      <w:r>
        <w:rPr>
          <w:rFonts w:hint="eastAsia" w:ascii="宋体" w:hAnsi="宋体" w:cs="宋体"/>
          <w:color w:val="000000"/>
          <w:sz w:val="24"/>
          <w:szCs w:val="24"/>
          <w:lang w:val="en-US" w:eastAsia="zh-CN" w:bidi="ar"/>
        </w:rPr>
        <w:t>一台</w:t>
      </w:r>
      <w:r>
        <w:rPr>
          <w:rFonts w:hint="eastAsia" w:ascii="宋体" w:hAnsi="宋体" w:cs="宋体"/>
          <w:color w:val="000000"/>
          <w:sz w:val="24"/>
          <w:szCs w:val="24"/>
          <w:lang w:bidi="ar"/>
        </w:rPr>
        <w:t>全自动生化分析仪</w:t>
      </w:r>
      <w:r>
        <w:rPr>
          <w:rFonts w:hint="eastAsia" w:ascii="宋体" w:hAnsi="宋体" w:cs="宋体"/>
          <w:color w:val="000000"/>
          <w:sz w:val="24"/>
          <w:szCs w:val="24"/>
          <w:lang w:eastAsia="zh-CN" w:bidi="ar"/>
        </w:rPr>
        <w:t>、</w:t>
      </w:r>
      <w:r>
        <w:rPr>
          <w:rFonts w:hint="eastAsia" w:ascii="宋体" w:hAnsi="宋体" w:cs="宋体"/>
          <w:color w:val="000000"/>
          <w:sz w:val="24"/>
          <w:szCs w:val="24"/>
          <w:lang w:val="en-US" w:eastAsia="zh-CN" w:bidi="ar"/>
        </w:rPr>
        <w:t>一台</w:t>
      </w:r>
      <w:r>
        <w:rPr>
          <w:rFonts w:hint="eastAsia" w:ascii="宋体" w:hAnsi="宋体" w:cs="宋体"/>
          <w:color w:val="000000"/>
          <w:sz w:val="24"/>
          <w:szCs w:val="24"/>
          <w:lang w:eastAsia="zh-CN" w:bidi="ar"/>
        </w:rPr>
        <w:t>核酸气溶胶清除仪。</w:t>
      </w:r>
    </w:p>
    <w:p w14:paraId="0D93793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default" w:ascii="宋体" w:hAnsi="宋体" w:eastAsia="宋体" w:cs="宋体"/>
          <w:b/>
          <w:bCs/>
          <w:color w:val="000000"/>
          <w:sz w:val="24"/>
          <w:szCs w:val="24"/>
          <w:lang w:val="en-US" w:eastAsia="zh-CN" w:bidi="ar"/>
        </w:rPr>
      </w:pPr>
      <w:bookmarkStart w:id="145" w:name="_Toc2991"/>
      <w:bookmarkStart w:id="146" w:name="_Toc12286"/>
      <w:r>
        <w:rPr>
          <w:rFonts w:hint="eastAsia" w:ascii="宋体" w:hAnsi="宋体" w:cs="宋体"/>
          <w:b/>
          <w:bCs/>
          <w:color w:val="000000"/>
          <w:sz w:val="24"/>
          <w:szCs w:val="24"/>
          <w:lang w:val="en-US" w:eastAsia="zh-CN" w:bidi="ar"/>
        </w:rPr>
        <w:t>三、商务要求</w:t>
      </w:r>
      <w:bookmarkEnd w:id="145"/>
      <w:bookmarkEnd w:id="146"/>
    </w:p>
    <w:p w14:paraId="4BC29AB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color w:val="000000"/>
          <w:sz w:val="24"/>
          <w:szCs w:val="24"/>
          <w:highlight w:val="none"/>
        </w:rPr>
      </w:pPr>
      <w:r>
        <w:rPr>
          <w:rFonts w:hint="eastAsia" w:ascii="宋体" w:hAnsi="宋体" w:cs="宋体"/>
          <w:b/>
          <w:bCs/>
          <w:color w:val="000000"/>
          <w:sz w:val="24"/>
          <w:szCs w:val="24"/>
          <w:lang w:bidi="ar"/>
        </w:rPr>
        <w:t>（</w:t>
      </w:r>
      <w:r>
        <w:rPr>
          <w:rFonts w:hint="eastAsia" w:ascii="宋体" w:hAnsi="宋体" w:cs="宋体"/>
          <w:b/>
          <w:bCs/>
          <w:color w:val="000000"/>
          <w:sz w:val="24"/>
          <w:szCs w:val="24"/>
          <w:lang w:val="en-US" w:eastAsia="zh-CN" w:bidi="ar"/>
        </w:rPr>
        <w:t>一</w:t>
      </w:r>
      <w:r>
        <w:rPr>
          <w:rFonts w:hint="eastAsia" w:ascii="宋体" w:hAnsi="宋体" w:cs="宋体"/>
          <w:b/>
          <w:bCs/>
          <w:color w:val="000000"/>
          <w:sz w:val="24"/>
          <w:szCs w:val="24"/>
          <w:lang w:bidi="ar"/>
        </w:rPr>
        <w:t>）</w:t>
      </w:r>
      <w:r>
        <w:rPr>
          <w:rFonts w:hint="eastAsia" w:ascii="宋体" w:hAnsi="宋体" w:cs="宋体"/>
          <w:b/>
          <w:bCs/>
          <w:color w:val="000000"/>
          <w:sz w:val="24"/>
          <w:szCs w:val="24"/>
          <w:lang w:val="en-US" w:eastAsia="zh-CN" w:bidi="ar"/>
        </w:rPr>
        <w:t>供货</w:t>
      </w:r>
      <w:r>
        <w:rPr>
          <w:rFonts w:hint="eastAsia" w:ascii="宋体" w:hAnsi="宋体" w:cs="宋体"/>
          <w:b/>
          <w:bCs/>
          <w:color w:val="000000"/>
          <w:sz w:val="24"/>
          <w:szCs w:val="24"/>
          <w:lang w:bidi="ar"/>
        </w:rPr>
        <w:t>地点：</w:t>
      </w:r>
      <w:r>
        <w:rPr>
          <w:rFonts w:hint="eastAsia" w:ascii="宋体" w:hAnsi="宋体" w:cs="宋体"/>
          <w:color w:val="000000"/>
          <w:sz w:val="24"/>
          <w:szCs w:val="24"/>
          <w:lang w:bidi="ar"/>
        </w:rPr>
        <w:t>采购人指定地点。</w:t>
      </w:r>
    </w:p>
    <w:p w14:paraId="4925C1F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highlight w:val="none"/>
          <w:lang w:eastAsia="zh-CN"/>
        </w:rPr>
      </w:pPr>
      <w:r>
        <w:rPr>
          <w:rFonts w:hint="eastAsia" w:ascii="宋体" w:hAnsi="宋体" w:cs="宋体"/>
          <w:b/>
          <w:bCs/>
          <w:color w:val="000000"/>
          <w:sz w:val="24"/>
          <w:szCs w:val="24"/>
          <w:highlight w:val="none"/>
          <w:lang w:bidi="ar"/>
        </w:rPr>
        <w:t>（</w:t>
      </w:r>
      <w:r>
        <w:rPr>
          <w:rFonts w:hint="eastAsia" w:ascii="宋体" w:hAnsi="宋体" w:cs="宋体"/>
          <w:b/>
          <w:bCs/>
          <w:color w:val="000000"/>
          <w:sz w:val="24"/>
          <w:szCs w:val="24"/>
          <w:highlight w:val="none"/>
          <w:lang w:val="en-US" w:eastAsia="zh-CN" w:bidi="ar"/>
        </w:rPr>
        <w:t>二</w:t>
      </w:r>
      <w:r>
        <w:rPr>
          <w:rFonts w:hint="eastAsia" w:ascii="宋体" w:hAnsi="宋体" w:cs="宋体"/>
          <w:b/>
          <w:bCs/>
          <w:color w:val="000000"/>
          <w:sz w:val="24"/>
          <w:szCs w:val="24"/>
          <w:highlight w:val="none"/>
          <w:lang w:bidi="ar"/>
        </w:rPr>
        <w:t>）合同履行期限：</w:t>
      </w:r>
      <w:r>
        <w:rPr>
          <w:rFonts w:hint="eastAsia" w:ascii="宋体" w:hAnsi="宋体" w:cs="宋体"/>
          <w:color w:val="000000"/>
          <w:sz w:val="24"/>
          <w:szCs w:val="24"/>
          <w:highlight w:val="none"/>
          <w:lang w:bidi="ar"/>
        </w:rPr>
        <w:t>接采购人通知后</w:t>
      </w:r>
      <w:r>
        <w:rPr>
          <w:rFonts w:hint="eastAsia" w:ascii="宋体" w:hAnsi="宋体" w:cs="宋体"/>
          <w:color w:val="000000"/>
          <w:sz w:val="24"/>
          <w:szCs w:val="24"/>
          <w:highlight w:val="none"/>
          <w:lang w:val="en-US" w:eastAsia="zh-CN" w:bidi="ar"/>
        </w:rPr>
        <w:t>30</w:t>
      </w:r>
      <w:r>
        <w:rPr>
          <w:rFonts w:hint="eastAsia" w:ascii="宋体" w:hAnsi="宋体" w:cs="宋体"/>
          <w:color w:val="000000"/>
          <w:sz w:val="24"/>
          <w:szCs w:val="24"/>
          <w:highlight w:val="none"/>
          <w:lang w:bidi="ar"/>
        </w:rPr>
        <w:t>日历天内供货安装调试结束</w:t>
      </w:r>
      <w:r>
        <w:rPr>
          <w:rFonts w:hint="eastAsia" w:ascii="宋体" w:hAnsi="宋体" w:cs="宋体"/>
          <w:color w:val="000000"/>
          <w:sz w:val="24"/>
          <w:szCs w:val="24"/>
          <w:highlight w:val="none"/>
          <w:lang w:val="en-US" w:eastAsia="zh-CN" w:bidi="ar"/>
        </w:rPr>
        <w:t>并经验收合格</w:t>
      </w:r>
      <w:r>
        <w:rPr>
          <w:rFonts w:hint="eastAsia" w:ascii="宋体" w:hAnsi="宋体" w:cs="宋体"/>
          <w:color w:val="000000"/>
          <w:sz w:val="24"/>
          <w:szCs w:val="24"/>
          <w:highlight w:val="none"/>
          <w:lang w:eastAsia="zh-CN" w:bidi="ar"/>
        </w:rPr>
        <w:t>。</w:t>
      </w:r>
    </w:p>
    <w:p w14:paraId="64F16B9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color w:val="000000"/>
          <w:sz w:val="24"/>
          <w:szCs w:val="24"/>
          <w:highlight w:val="none"/>
        </w:rPr>
      </w:pPr>
      <w:r>
        <w:rPr>
          <w:rFonts w:hint="eastAsia" w:ascii="宋体" w:hAnsi="宋体" w:cs="宋体"/>
          <w:b/>
          <w:bCs/>
          <w:color w:val="000000"/>
          <w:sz w:val="24"/>
          <w:szCs w:val="24"/>
          <w:highlight w:val="none"/>
          <w:lang w:bidi="ar"/>
        </w:rPr>
        <w:t>（</w:t>
      </w:r>
      <w:r>
        <w:rPr>
          <w:rFonts w:hint="eastAsia" w:ascii="宋体" w:hAnsi="宋体" w:cs="宋体"/>
          <w:b/>
          <w:bCs/>
          <w:color w:val="000000"/>
          <w:sz w:val="24"/>
          <w:szCs w:val="24"/>
          <w:highlight w:val="none"/>
          <w:lang w:val="en-US" w:eastAsia="zh-CN" w:bidi="ar"/>
        </w:rPr>
        <w:t>三</w:t>
      </w:r>
      <w:r>
        <w:rPr>
          <w:rFonts w:hint="eastAsia" w:ascii="宋体" w:hAnsi="宋体" w:cs="宋体"/>
          <w:b/>
          <w:bCs/>
          <w:color w:val="000000"/>
          <w:sz w:val="24"/>
          <w:szCs w:val="24"/>
          <w:highlight w:val="none"/>
          <w:lang w:bidi="ar"/>
        </w:rPr>
        <w:t>）</w:t>
      </w:r>
      <w:r>
        <w:rPr>
          <w:rFonts w:hint="eastAsia" w:ascii="宋体" w:hAnsi="宋体" w:cs="宋体"/>
          <w:b/>
          <w:color w:val="000000"/>
          <w:sz w:val="24"/>
          <w:szCs w:val="24"/>
          <w:highlight w:val="none"/>
          <w:lang w:val="en-US" w:eastAsia="zh-CN"/>
        </w:rPr>
        <w:t>付款方式</w:t>
      </w:r>
      <w:r>
        <w:rPr>
          <w:rFonts w:hint="eastAsia" w:ascii="宋体" w:hAnsi="宋体" w:cs="宋体"/>
          <w:b/>
          <w:color w:val="000000"/>
          <w:sz w:val="24"/>
          <w:szCs w:val="24"/>
          <w:highlight w:val="none"/>
        </w:rPr>
        <w:t>：</w:t>
      </w:r>
    </w:p>
    <w:p w14:paraId="5DABF4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000000"/>
          <w:sz w:val="24"/>
          <w:szCs w:val="24"/>
        </w:rPr>
      </w:pPr>
      <w:r>
        <w:rPr>
          <w:rFonts w:hint="eastAsia" w:ascii="宋体" w:hAnsi="宋体" w:cs="宋体"/>
          <w:bCs/>
          <w:color w:val="000000"/>
          <w:sz w:val="24"/>
          <w:szCs w:val="24"/>
        </w:rPr>
        <w:t>对于满足合同约定支付条件的，自收到发票后10个工作日内将资金支付到合同约定的投标人账户或投标人数字人民币账户。</w:t>
      </w:r>
    </w:p>
    <w:p w14:paraId="63AF78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sz w:val="24"/>
          <w:szCs w:val="24"/>
        </w:rPr>
      </w:pPr>
      <w:r>
        <w:rPr>
          <w:rFonts w:hint="eastAsia" w:ascii="宋体" w:hAnsi="宋体" w:cs="宋体"/>
          <w:bCs/>
          <w:color w:val="000000"/>
          <w:sz w:val="24"/>
          <w:szCs w:val="24"/>
          <w:lang w:val="en-US" w:eastAsia="zh-CN"/>
        </w:rPr>
        <w:t>资金支付的方式：</w:t>
      </w:r>
      <w:r>
        <w:rPr>
          <w:rFonts w:hint="eastAsia" w:ascii="宋体" w:hAnsi="宋体" w:cs="宋体"/>
          <w:bCs/>
          <w:color w:val="000000"/>
          <w:sz w:val="24"/>
          <w:szCs w:val="24"/>
        </w:rPr>
        <w:t>预付款：</w:t>
      </w:r>
      <w:r>
        <w:rPr>
          <w:rFonts w:hint="eastAsia" w:ascii="宋体" w:hAnsi="宋体" w:cs="宋体"/>
          <w:color w:val="000000"/>
          <w:sz w:val="24"/>
          <w:lang w:val="en-US" w:eastAsia="zh-CN"/>
        </w:rPr>
        <w:t>合同签订后，自收到符合采购人要求的发票后10个工作日内支付合同总价款30%</w:t>
      </w:r>
      <w:r>
        <w:rPr>
          <w:rFonts w:hint="eastAsia" w:ascii="宋体" w:hAnsi="宋体" w:cs="宋体"/>
          <w:bCs/>
          <w:color w:val="000000"/>
          <w:sz w:val="24"/>
          <w:szCs w:val="24"/>
        </w:rPr>
        <w:t>；进度款：</w:t>
      </w:r>
      <w:r>
        <w:rPr>
          <w:rFonts w:hint="eastAsia" w:ascii="宋体" w:hAnsi="宋体" w:cs="宋体"/>
          <w:bCs/>
          <w:color w:val="000000"/>
          <w:sz w:val="24"/>
          <w:szCs w:val="24"/>
          <w:lang w:val="en-US" w:eastAsia="zh-CN"/>
        </w:rPr>
        <w:t>货物</w:t>
      </w:r>
      <w:r>
        <w:rPr>
          <w:rFonts w:hint="eastAsia" w:ascii="宋体" w:hAnsi="宋体" w:cs="宋体"/>
          <w:bCs/>
          <w:color w:val="000000"/>
          <w:sz w:val="24"/>
          <w:szCs w:val="24"/>
        </w:rPr>
        <w:t>到采购人指定地点安装调试结束、验收合格后付</w:t>
      </w:r>
      <w:r>
        <w:rPr>
          <w:rFonts w:hint="eastAsia" w:ascii="宋体" w:hAnsi="宋体" w:cs="宋体"/>
          <w:bCs/>
          <w:color w:val="000000"/>
          <w:sz w:val="24"/>
          <w:szCs w:val="24"/>
          <w:lang w:val="en-US" w:eastAsia="zh-CN"/>
        </w:rPr>
        <w:t>至合同价款</w:t>
      </w:r>
      <w:r>
        <w:rPr>
          <w:rFonts w:hint="eastAsia" w:ascii="宋体" w:hAnsi="宋体" w:cs="宋体"/>
          <w:bCs/>
          <w:color w:val="000000"/>
          <w:sz w:val="24"/>
          <w:szCs w:val="24"/>
        </w:rPr>
        <w:t>的100%。</w:t>
      </w:r>
    </w:p>
    <w:p w14:paraId="209D16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sz w:val="24"/>
          <w:szCs w:val="24"/>
        </w:rPr>
      </w:pPr>
      <w:r>
        <w:rPr>
          <w:rFonts w:hint="eastAsia" w:ascii="宋体" w:hAnsi="宋体" w:cs="宋体"/>
          <w:bCs/>
          <w:color w:val="000000"/>
          <w:sz w:val="24"/>
          <w:szCs w:val="24"/>
        </w:rPr>
        <w:t>付款前，中标供应商应向采购人提供符合要求的增值税发票，否则，采购人有权拒绝付款，同时不免除中标供应商合同履行义务。采购人可从应付款中直接扣除中标供应商应承担的违约金或其他费用。</w:t>
      </w:r>
    </w:p>
    <w:p w14:paraId="671019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sz w:val="24"/>
          <w:szCs w:val="24"/>
        </w:rPr>
      </w:pPr>
      <w:r>
        <w:rPr>
          <w:rFonts w:hint="eastAsia" w:ascii="宋体" w:hAnsi="宋体" w:cs="宋体"/>
          <w:bCs/>
          <w:color w:val="000000"/>
          <w:sz w:val="24"/>
          <w:szCs w:val="24"/>
        </w:rPr>
        <w:t>资金支付的时间：收到乙方发票10个工作日内；</w:t>
      </w:r>
    </w:p>
    <w:p w14:paraId="168EEA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sz w:val="24"/>
          <w:szCs w:val="24"/>
        </w:rPr>
      </w:pPr>
      <w:r>
        <w:rPr>
          <w:rFonts w:hint="eastAsia" w:ascii="宋体" w:hAnsi="宋体" w:cs="宋体"/>
          <w:bCs/>
          <w:color w:val="000000"/>
          <w:sz w:val="24"/>
          <w:szCs w:val="24"/>
        </w:rPr>
        <w:t>资金支付的条件：满足相应阶段的要求且收到乙方发票；</w:t>
      </w:r>
    </w:p>
    <w:p w14:paraId="72359C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bCs/>
          <w:color w:val="000000"/>
          <w:sz w:val="24"/>
        </w:rPr>
      </w:pPr>
      <w:r>
        <w:rPr>
          <w:rFonts w:hint="eastAsia" w:ascii="宋体" w:hAnsi="宋体" w:cs="宋体"/>
          <w:bCs/>
          <w:color w:val="000000"/>
          <w:sz w:val="24"/>
          <w:szCs w:val="24"/>
        </w:rPr>
        <w:t>注：1.在签订合同时，中标人明确表示无需预付款或者主动要求降低预付款比例的金额，采购人可不适用预付款规定；2.若支付预付款，则首次进度款支付应扣除预付款</w:t>
      </w:r>
      <w:r>
        <w:rPr>
          <w:rFonts w:hint="eastAsia" w:ascii="宋体" w:hAnsi="宋体" w:cs="宋体"/>
          <w:bCs/>
          <w:color w:val="000000"/>
          <w:sz w:val="24"/>
        </w:rPr>
        <w:t>。</w:t>
      </w:r>
    </w:p>
    <w:p w14:paraId="06AA6DF4">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482" w:firstLineChars="200"/>
        <w:textAlignment w:val="auto"/>
        <w:rPr>
          <w:rFonts w:hint="eastAsia" w:ascii="宋体" w:hAnsi="宋体" w:cs="宋体"/>
          <w:b/>
          <w:bCs/>
          <w:color w:val="000000"/>
          <w:sz w:val="24"/>
          <w:szCs w:val="24"/>
          <w:lang w:val="en-US" w:eastAsia="zh-CN"/>
        </w:rPr>
      </w:pPr>
      <w:r>
        <w:rPr>
          <w:rFonts w:hint="eastAsia" w:ascii="宋体" w:hAnsi="宋体" w:eastAsia="宋体" w:cs="宋体"/>
          <w:b/>
          <w:bCs/>
          <w:color w:val="000000"/>
          <w:sz w:val="24"/>
          <w:szCs w:val="24"/>
          <w:lang w:val="en-US" w:eastAsia="zh-CN" w:bidi="ar-SA"/>
        </w:rPr>
        <w:t>（四）</w:t>
      </w:r>
      <w:r>
        <w:rPr>
          <w:rFonts w:hint="eastAsia" w:ascii="宋体" w:hAnsi="宋体" w:cs="宋体"/>
          <w:b/>
          <w:bCs/>
          <w:color w:val="000000"/>
          <w:sz w:val="24"/>
          <w:szCs w:val="24"/>
          <w:lang w:val="en-US" w:eastAsia="zh-CN"/>
        </w:rPr>
        <w:t>质保期：</w:t>
      </w:r>
    </w:p>
    <w:p w14:paraId="4E835890">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480" w:firstLineChars="200"/>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bidi="ar-SA"/>
        </w:rPr>
        <w:t>分包1：</w:t>
      </w:r>
      <w:r>
        <w:rPr>
          <w:rFonts w:hint="default" w:ascii="宋体" w:hAnsi="宋体" w:cs="宋体"/>
          <w:color w:val="000000"/>
          <w:sz w:val="24"/>
          <w:szCs w:val="24"/>
          <w:lang w:val="en-US" w:eastAsia="zh-CN"/>
        </w:rPr>
        <w:t>自</w:t>
      </w:r>
      <w:r>
        <w:rPr>
          <w:rFonts w:hint="eastAsia" w:ascii="宋体" w:hAnsi="宋体" w:cs="宋体"/>
          <w:color w:val="000000"/>
          <w:sz w:val="24"/>
          <w:szCs w:val="24"/>
          <w:lang w:val="en-US" w:eastAsia="zh-CN"/>
        </w:rPr>
        <w:t>货物</w:t>
      </w:r>
      <w:r>
        <w:rPr>
          <w:rFonts w:hint="default" w:ascii="宋体" w:hAnsi="宋体" w:cs="宋体"/>
          <w:color w:val="000000"/>
          <w:sz w:val="24"/>
          <w:szCs w:val="24"/>
          <w:lang w:val="en-US" w:eastAsia="zh-CN"/>
        </w:rPr>
        <w:t>验收合格之日起（以双方在验收报告签订日期为准）3年。</w:t>
      </w:r>
    </w:p>
    <w:p w14:paraId="51A38CDF">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480" w:firstLineChars="200"/>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bidi="ar-SA"/>
        </w:rPr>
        <w:t>分包2：</w:t>
      </w:r>
      <w:r>
        <w:rPr>
          <w:rFonts w:hint="default" w:ascii="宋体" w:hAnsi="宋体" w:cs="宋体"/>
          <w:color w:val="000000"/>
          <w:sz w:val="24"/>
          <w:szCs w:val="24"/>
          <w:lang w:val="en-US" w:eastAsia="zh-CN"/>
        </w:rPr>
        <w:t>自</w:t>
      </w:r>
      <w:r>
        <w:rPr>
          <w:rFonts w:hint="eastAsia" w:ascii="宋体" w:hAnsi="宋体" w:cs="宋体"/>
          <w:color w:val="000000"/>
          <w:sz w:val="24"/>
          <w:szCs w:val="24"/>
          <w:lang w:val="en-US" w:eastAsia="zh-CN"/>
        </w:rPr>
        <w:t>货物</w:t>
      </w:r>
      <w:r>
        <w:rPr>
          <w:rFonts w:hint="default" w:ascii="宋体" w:hAnsi="宋体" w:cs="宋体"/>
          <w:color w:val="000000"/>
          <w:sz w:val="24"/>
          <w:szCs w:val="24"/>
          <w:lang w:val="en-US" w:eastAsia="zh-CN"/>
        </w:rPr>
        <w:t>验收合格之日起（以双方在验收报告签订日期为准）</w:t>
      </w:r>
      <w:r>
        <w:rPr>
          <w:rFonts w:hint="eastAsia" w:ascii="宋体" w:hAnsi="宋体" w:cs="宋体"/>
          <w:color w:val="000000"/>
          <w:sz w:val="24"/>
          <w:szCs w:val="24"/>
          <w:lang w:val="en-US" w:eastAsia="zh-CN"/>
        </w:rPr>
        <w:t>5</w:t>
      </w:r>
      <w:r>
        <w:rPr>
          <w:rFonts w:hint="default" w:ascii="宋体" w:hAnsi="宋体" w:cs="宋体"/>
          <w:color w:val="000000"/>
          <w:sz w:val="24"/>
          <w:szCs w:val="24"/>
          <w:lang w:val="en-US" w:eastAsia="zh-CN"/>
        </w:rPr>
        <w:t>年。</w:t>
      </w:r>
    </w:p>
    <w:p w14:paraId="131A4471">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480" w:firstLineChars="200"/>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bidi="ar-SA"/>
        </w:rPr>
        <w:t>分包3：</w:t>
      </w:r>
      <w:r>
        <w:rPr>
          <w:rFonts w:hint="default" w:ascii="宋体" w:hAnsi="宋体" w:cs="宋体"/>
          <w:color w:val="000000"/>
          <w:sz w:val="24"/>
          <w:szCs w:val="24"/>
          <w:lang w:val="en-US" w:eastAsia="zh-CN"/>
        </w:rPr>
        <w:t>自</w:t>
      </w:r>
      <w:r>
        <w:rPr>
          <w:rFonts w:hint="eastAsia" w:ascii="宋体" w:hAnsi="宋体" w:cs="宋体"/>
          <w:color w:val="000000"/>
          <w:sz w:val="24"/>
          <w:szCs w:val="24"/>
          <w:lang w:val="en-US" w:eastAsia="zh-CN"/>
        </w:rPr>
        <w:t>货物</w:t>
      </w:r>
      <w:r>
        <w:rPr>
          <w:rFonts w:hint="default" w:ascii="宋体" w:hAnsi="宋体" w:cs="宋体"/>
          <w:color w:val="000000"/>
          <w:sz w:val="24"/>
          <w:szCs w:val="24"/>
          <w:lang w:val="en-US" w:eastAsia="zh-CN"/>
        </w:rPr>
        <w:t>验收合格之日起（以双方在验收报告签订日期为准）</w:t>
      </w:r>
      <w:r>
        <w:rPr>
          <w:rFonts w:hint="eastAsia" w:ascii="宋体" w:hAnsi="宋体" w:cs="宋体"/>
          <w:color w:val="000000"/>
          <w:sz w:val="24"/>
          <w:szCs w:val="24"/>
          <w:lang w:val="en-US" w:eastAsia="zh-CN"/>
        </w:rPr>
        <w:t>5</w:t>
      </w:r>
      <w:r>
        <w:rPr>
          <w:rFonts w:hint="default" w:ascii="宋体" w:hAnsi="宋体" w:cs="宋体"/>
          <w:color w:val="000000"/>
          <w:sz w:val="24"/>
          <w:szCs w:val="24"/>
          <w:lang w:val="en-US" w:eastAsia="zh-CN"/>
        </w:rPr>
        <w:t>年。</w:t>
      </w:r>
    </w:p>
    <w:p w14:paraId="449A764C">
      <w:pPr>
        <w:keepNext w:val="0"/>
        <w:keepLines w:val="0"/>
        <w:pageBreakBefore w:val="0"/>
        <w:widowControl w:val="0"/>
        <w:kinsoku/>
        <w:wordWrap/>
        <w:overflowPunct/>
        <w:topLinePunct w:val="0"/>
        <w:autoSpaceDE/>
        <w:autoSpaceDN/>
        <w:bidi w:val="0"/>
        <w:adjustRightInd/>
        <w:snapToGrid/>
        <w:spacing w:after="120" w:line="360" w:lineRule="auto"/>
        <w:ind w:firstLine="482" w:firstLineChars="200"/>
        <w:textAlignment w:val="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（五）产品要求</w:t>
      </w:r>
    </w:p>
    <w:p w14:paraId="0D229D0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1.投标人</w:t>
      </w:r>
      <w:r>
        <w:rPr>
          <w:rFonts w:hint="default" w:ascii="宋体" w:hAnsi="宋体" w:cs="宋体"/>
          <w:b w:val="0"/>
          <w:bCs w:val="0"/>
          <w:color w:val="000000"/>
          <w:sz w:val="24"/>
          <w:szCs w:val="24"/>
          <w:highlight w:val="none"/>
          <w:lang w:val="en-US" w:eastAsia="zh-CN"/>
        </w:rPr>
        <w:t>应按招标文件规定的货物性能、技术要求、质量标准向</w:t>
      </w:r>
      <w:r>
        <w:rPr>
          <w:rFonts w:hint="eastAsia" w:ascii="宋体" w:hAnsi="宋体" w:cs="宋体"/>
          <w:b w:val="0"/>
          <w:bCs w:val="0"/>
          <w:color w:val="000000"/>
          <w:sz w:val="24"/>
          <w:szCs w:val="24"/>
          <w:highlight w:val="none"/>
          <w:lang w:val="en-US" w:eastAsia="zh-CN"/>
        </w:rPr>
        <w:t>采购人</w:t>
      </w:r>
      <w:r>
        <w:rPr>
          <w:rFonts w:hint="default" w:ascii="宋体" w:hAnsi="宋体" w:cs="宋体"/>
          <w:b w:val="0"/>
          <w:bCs w:val="0"/>
          <w:color w:val="000000"/>
          <w:sz w:val="24"/>
          <w:szCs w:val="24"/>
          <w:highlight w:val="none"/>
          <w:lang w:val="en-US" w:eastAsia="zh-CN"/>
        </w:rPr>
        <w:t>提供未经使用的全新产品，</w:t>
      </w:r>
      <w:r>
        <w:rPr>
          <w:rFonts w:hint="eastAsia" w:ascii="宋体" w:hAnsi="宋体" w:cs="宋体"/>
          <w:b w:val="0"/>
          <w:bCs w:val="0"/>
          <w:color w:val="000000"/>
          <w:sz w:val="24"/>
          <w:szCs w:val="24"/>
          <w:highlight w:val="none"/>
          <w:lang w:val="en-US" w:eastAsia="zh-CN"/>
        </w:rPr>
        <w:t>产品到达采购人指定地点之日，距该产品生产</w:t>
      </w:r>
      <w:r>
        <w:rPr>
          <w:rFonts w:hint="default" w:ascii="宋体" w:hAnsi="宋体" w:cs="宋体"/>
          <w:b w:val="0"/>
          <w:bCs w:val="0"/>
          <w:color w:val="000000"/>
          <w:sz w:val="24"/>
          <w:szCs w:val="24"/>
          <w:highlight w:val="none"/>
          <w:lang w:val="en-US" w:eastAsia="zh-CN"/>
        </w:rPr>
        <w:t>日期不得超过180日历天</w:t>
      </w:r>
      <w:r>
        <w:rPr>
          <w:rFonts w:hint="eastAsia" w:ascii="宋体" w:hAnsi="宋体" w:cs="宋体"/>
          <w:b w:val="0"/>
          <w:bCs w:val="0"/>
          <w:color w:val="000000"/>
          <w:sz w:val="24"/>
          <w:szCs w:val="24"/>
          <w:highlight w:val="none"/>
          <w:lang w:val="en-US" w:eastAsia="zh-CN"/>
        </w:rPr>
        <w:t>，否则采购人有权拒收</w:t>
      </w:r>
      <w:r>
        <w:rPr>
          <w:rFonts w:hint="default" w:ascii="宋体" w:hAnsi="宋体" w:cs="宋体"/>
          <w:b w:val="0"/>
          <w:bCs w:val="0"/>
          <w:color w:val="000000"/>
          <w:sz w:val="24"/>
          <w:szCs w:val="24"/>
          <w:highlight w:val="none"/>
          <w:lang w:val="en-US" w:eastAsia="zh-CN"/>
        </w:rPr>
        <w:t>。</w:t>
      </w:r>
    </w:p>
    <w:p w14:paraId="2345A4A4">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default" w:ascii="宋体" w:hAnsi="宋体" w:cs="宋体"/>
          <w:b w:val="0"/>
          <w:bCs w:val="0"/>
          <w:color w:val="000000"/>
          <w:sz w:val="24"/>
          <w:szCs w:val="24"/>
          <w:highlight w:val="yellow"/>
          <w:lang w:val="en-US" w:eastAsia="zh-CN"/>
        </w:rPr>
      </w:pPr>
      <w:r>
        <w:rPr>
          <w:rFonts w:hint="eastAsia" w:ascii="宋体" w:hAnsi="宋体" w:cs="宋体"/>
          <w:b w:val="0"/>
          <w:bCs w:val="0"/>
          <w:color w:val="000000"/>
          <w:sz w:val="24"/>
          <w:szCs w:val="24"/>
          <w:highlight w:val="none"/>
          <w:lang w:val="en-US" w:eastAsia="zh-CN"/>
        </w:rPr>
        <w:t>2.突发停电情况时，仪器可继续完成当前批次标本的全部检测流程，待标本全部检测结束、结果出具并存储后，仪器方可停止运行，确保该标本检测结果完整有效。</w:t>
      </w:r>
    </w:p>
    <w:p w14:paraId="0DF6CE1B">
      <w:pPr>
        <w:spacing w:line="360" w:lineRule="auto"/>
        <w:ind w:firstLine="482" w:firstLineChars="200"/>
        <w:outlineLvl w:val="1"/>
        <w:rPr>
          <w:rFonts w:hint="default" w:ascii="宋体" w:hAnsi="宋体" w:eastAsia="宋体" w:cs="宋体"/>
          <w:b/>
          <w:bCs/>
          <w:color w:val="000000"/>
          <w:sz w:val="24"/>
          <w:szCs w:val="24"/>
          <w:highlight w:val="none"/>
          <w:lang w:val="en-US" w:eastAsia="zh-CN"/>
        </w:rPr>
      </w:pPr>
      <w:bookmarkStart w:id="147" w:name="_Toc15551"/>
      <w:bookmarkStart w:id="148" w:name="_Toc20940"/>
      <w:r>
        <w:rPr>
          <w:rFonts w:hint="eastAsia" w:ascii="宋体" w:hAnsi="宋体" w:cs="宋体"/>
          <w:b/>
          <w:bCs/>
          <w:color w:val="000000"/>
          <w:sz w:val="24"/>
          <w:szCs w:val="24"/>
          <w:lang w:val="en-US" w:eastAsia="zh-CN" w:bidi="ar"/>
        </w:rPr>
        <w:t>四、</w:t>
      </w:r>
      <w:bookmarkEnd w:id="147"/>
      <w:r>
        <w:rPr>
          <w:rFonts w:hint="eastAsia" w:ascii="宋体" w:hAnsi="宋体" w:cs="宋体"/>
          <w:b/>
          <w:bCs/>
          <w:color w:val="000000"/>
          <w:sz w:val="24"/>
          <w:szCs w:val="24"/>
          <w:lang w:val="en-US" w:eastAsia="zh-CN" w:bidi="ar"/>
        </w:rPr>
        <w:t>采购产品参数要求</w:t>
      </w:r>
      <w:bookmarkEnd w:id="148"/>
    </w:p>
    <w:p w14:paraId="55FBE22C">
      <w:pPr>
        <w:spacing w:line="360" w:lineRule="auto"/>
        <w:ind w:firstLine="482" w:firstLineChars="200"/>
        <w:outlineLvl w:val="1"/>
        <w:rPr>
          <w:rFonts w:hint="eastAsia" w:ascii="宋体" w:hAnsi="宋体" w:cs="宋体"/>
          <w:b/>
          <w:bCs/>
          <w:color w:val="000000"/>
          <w:sz w:val="24"/>
          <w:szCs w:val="24"/>
          <w:lang w:val="en-US" w:eastAsia="zh-CN"/>
        </w:rPr>
      </w:pPr>
      <w:bookmarkStart w:id="149" w:name="_Toc4495"/>
      <w:bookmarkStart w:id="150" w:name="_Toc202"/>
      <w:r>
        <w:rPr>
          <w:rFonts w:hint="eastAsia" w:ascii="宋体" w:hAnsi="宋体" w:cs="宋体"/>
          <w:b/>
          <w:bCs/>
          <w:color w:val="000000"/>
          <w:sz w:val="24"/>
          <w:szCs w:val="24"/>
          <w:lang w:val="en-US" w:eastAsia="zh-CN"/>
        </w:rPr>
        <w:t>分包1：</w:t>
      </w:r>
      <w:bookmarkEnd w:id="149"/>
      <w:r>
        <w:rPr>
          <w:rFonts w:hint="eastAsia" w:ascii="宋体" w:hAnsi="宋体" w:cs="宋体"/>
          <w:b/>
          <w:bCs/>
          <w:color w:val="000000"/>
          <w:sz w:val="24"/>
          <w:szCs w:val="24"/>
          <w:lang w:val="en-US" w:eastAsia="zh-CN"/>
        </w:rPr>
        <w:t>全自动酶联免疫分析仪</w:t>
      </w:r>
    </w:p>
    <w:p w14:paraId="3C7DD9B4">
      <w:pPr>
        <w:spacing w:line="360" w:lineRule="auto"/>
        <w:ind w:firstLine="482" w:firstLineChars="200"/>
        <w:outlineLvl w:val="9"/>
        <w:rPr>
          <w:rFonts w:hint="default" w:ascii="宋体" w:hAnsi="宋体" w:cs="宋体"/>
          <w:b/>
          <w:bCs/>
          <w:color w:val="000000"/>
          <w:sz w:val="24"/>
          <w:szCs w:val="24"/>
          <w:lang w:val="en-US" w:eastAsia="zh-CN"/>
        </w:rPr>
      </w:pPr>
      <w:r>
        <w:rPr>
          <w:rFonts w:hint="default" w:ascii="宋体" w:hAnsi="宋体" w:cs="宋体"/>
          <w:b/>
          <w:bCs/>
          <w:color w:val="000000"/>
          <w:sz w:val="24"/>
          <w:szCs w:val="24"/>
          <w:lang w:val="en-US" w:eastAsia="zh-CN"/>
        </w:rPr>
        <w:t>1、设备用途及功能：</w:t>
      </w:r>
    </w:p>
    <w:p w14:paraId="2E9C53A8">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▲全自动完成酶联免疫实验中样本处理之后的试验步骤，包括孵育、洗板、试剂分配、读数等</w:t>
      </w:r>
      <w:r>
        <w:rPr>
          <w:rFonts w:hint="eastAsia" w:ascii="宋体" w:hAnsi="宋体" w:cs="宋体"/>
          <w:b w:val="0"/>
          <w:bCs w:val="0"/>
          <w:color w:val="000000"/>
          <w:sz w:val="24"/>
          <w:szCs w:val="24"/>
          <w:lang w:val="en-US" w:eastAsia="zh-CN"/>
        </w:rPr>
        <w:t>。</w:t>
      </w:r>
      <w:r>
        <w:rPr>
          <w:rFonts w:hint="default" w:ascii="宋体" w:hAnsi="宋体" w:cs="宋体"/>
          <w:b w:val="0"/>
          <w:bCs w:val="0"/>
          <w:color w:val="000000"/>
          <w:sz w:val="24"/>
          <w:szCs w:val="24"/>
          <w:lang w:val="en-US" w:eastAsia="zh-CN"/>
        </w:rPr>
        <w:t xml:space="preserve">    </w:t>
      </w:r>
    </w:p>
    <w:p w14:paraId="10B57EEE">
      <w:pPr>
        <w:spacing w:line="360" w:lineRule="auto"/>
        <w:ind w:firstLine="482" w:firstLineChars="200"/>
        <w:outlineLvl w:val="9"/>
        <w:rPr>
          <w:rFonts w:hint="default" w:ascii="宋体" w:hAnsi="宋体" w:cs="宋体"/>
          <w:b/>
          <w:bCs/>
          <w:color w:val="000000"/>
          <w:sz w:val="24"/>
          <w:szCs w:val="24"/>
          <w:lang w:val="en-US" w:eastAsia="zh-CN"/>
        </w:rPr>
      </w:pPr>
      <w:r>
        <w:rPr>
          <w:rFonts w:hint="default" w:ascii="宋体" w:hAnsi="宋体" w:cs="宋体"/>
          <w:b/>
          <w:bCs/>
          <w:color w:val="000000"/>
          <w:sz w:val="24"/>
          <w:szCs w:val="24"/>
          <w:lang w:val="en-US" w:eastAsia="zh-CN"/>
        </w:rPr>
        <w:t>2、控温孵育槽</w:t>
      </w:r>
    </w:p>
    <w:p w14:paraId="24AF2E3A">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▲2.1控温孵育槽位采用前后两层塔式紧凑设计，孵育塔可自动升降</w:t>
      </w:r>
      <w:r>
        <w:rPr>
          <w:rFonts w:hint="eastAsia" w:ascii="宋体" w:hAnsi="宋体" w:cs="宋体"/>
          <w:b w:val="0"/>
          <w:bCs w:val="0"/>
          <w:color w:val="000000"/>
          <w:sz w:val="24"/>
          <w:szCs w:val="24"/>
          <w:lang w:val="en-US" w:eastAsia="zh-CN"/>
        </w:rPr>
        <w:t>。</w:t>
      </w:r>
    </w:p>
    <w:p w14:paraId="5D30FAD5">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2.2控温孵育槽数量≥15个，控温孵育槽不能与室温孵育槽及加标本位共用，避免影响实验结果准确性</w:t>
      </w:r>
      <w:r>
        <w:rPr>
          <w:rFonts w:hint="eastAsia" w:ascii="宋体" w:hAnsi="宋体" w:cs="宋体"/>
          <w:b w:val="0"/>
          <w:bCs w:val="0"/>
          <w:color w:val="000000"/>
          <w:sz w:val="24"/>
          <w:szCs w:val="24"/>
          <w:lang w:val="en-US" w:eastAsia="zh-CN"/>
        </w:rPr>
        <w:t>。</w:t>
      </w:r>
      <w:r>
        <w:rPr>
          <w:rFonts w:hint="default" w:ascii="宋体" w:hAnsi="宋体" w:cs="宋体"/>
          <w:b w:val="0"/>
          <w:bCs w:val="0"/>
          <w:color w:val="000000"/>
          <w:sz w:val="24"/>
          <w:szCs w:val="24"/>
          <w:lang w:val="en-US" w:eastAsia="zh-CN"/>
        </w:rPr>
        <w:t>每个孵育槽独立的加热片、温度传感器和过温保护装载，控温精度≤0.2℃</w:t>
      </w:r>
      <w:r>
        <w:rPr>
          <w:rFonts w:hint="eastAsia" w:ascii="宋体" w:hAnsi="宋体" w:cs="宋体"/>
          <w:b w:val="0"/>
          <w:bCs w:val="0"/>
          <w:color w:val="000000"/>
          <w:sz w:val="24"/>
          <w:szCs w:val="24"/>
          <w:lang w:val="en-US" w:eastAsia="zh-CN"/>
        </w:rPr>
        <w:t>。</w:t>
      </w:r>
    </w:p>
    <w:p w14:paraId="3D7886CE">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2.3升温模式≥2种，符合不同实验对加热速度的需求</w:t>
      </w:r>
      <w:r>
        <w:rPr>
          <w:rFonts w:hint="eastAsia" w:ascii="宋体" w:hAnsi="宋体" w:cs="宋体"/>
          <w:b w:val="0"/>
          <w:bCs w:val="0"/>
          <w:color w:val="000000"/>
          <w:sz w:val="24"/>
          <w:szCs w:val="24"/>
          <w:lang w:val="en-US" w:eastAsia="zh-CN"/>
        </w:rPr>
        <w:t>。</w:t>
      </w:r>
    </w:p>
    <w:p w14:paraId="70F8692F">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2.4控温模式采用上下同时加温孵育方式(非底层加热),每个孵育槽均可独立控温、避光和防冷凝设计</w:t>
      </w:r>
      <w:r>
        <w:rPr>
          <w:rFonts w:hint="eastAsia" w:ascii="宋体" w:hAnsi="宋体" w:cs="宋体"/>
          <w:b w:val="0"/>
          <w:bCs w:val="0"/>
          <w:color w:val="000000"/>
          <w:sz w:val="24"/>
          <w:szCs w:val="24"/>
          <w:lang w:val="en-US" w:eastAsia="zh-CN"/>
        </w:rPr>
        <w:t>。</w:t>
      </w:r>
      <w:r>
        <w:rPr>
          <w:rFonts w:hint="default" w:ascii="宋体" w:hAnsi="宋体" w:cs="宋体"/>
          <w:b w:val="0"/>
          <w:bCs w:val="0"/>
          <w:color w:val="000000"/>
          <w:sz w:val="24"/>
          <w:szCs w:val="24"/>
          <w:lang w:val="en-US" w:eastAsia="zh-CN"/>
        </w:rPr>
        <w:t xml:space="preserve">  </w:t>
      </w:r>
    </w:p>
    <w:p w14:paraId="07EC3414">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2.5可对每个实验的孵育温度及时间进行监控设置，如超出设定温度范围和时间，则报警并中止实验，并有追踪报告，以保证实验结果的有效性</w:t>
      </w:r>
      <w:r>
        <w:rPr>
          <w:rFonts w:hint="eastAsia" w:ascii="宋体" w:hAnsi="宋体" w:cs="宋体"/>
          <w:b w:val="0"/>
          <w:bCs w:val="0"/>
          <w:color w:val="000000"/>
          <w:sz w:val="24"/>
          <w:szCs w:val="24"/>
          <w:lang w:val="en-US" w:eastAsia="zh-CN"/>
        </w:rPr>
        <w:t>。</w:t>
      </w:r>
    </w:p>
    <w:p w14:paraId="23EC18E6">
      <w:pPr>
        <w:spacing w:line="360" w:lineRule="auto"/>
        <w:ind w:firstLine="482" w:firstLineChars="200"/>
        <w:outlineLvl w:val="9"/>
        <w:rPr>
          <w:rFonts w:hint="default" w:ascii="宋体" w:hAnsi="宋体" w:cs="宋体"/>
          <w:b w:val="0"/>
          <w:bCs w:val="0"/>
          <w:color w:val="000000"/>
          <w:sz w:val="24"/>
          <w:szCs w:val="24"/>
          <w:lang w:val="en-US" w:eastAsia="zh-CN"/>
        </w:rPr>
      </w:pPr>
      <w:r>
        <w:rPr>
          <w:rFonts w:hint="default" w:ascii="宋体" w:hAnsi="宋体" w:cs="宋体"/>
          <w:b/>
          <w:bCs/>
          <w:color w:val="000000"/>
          <w:sz w:val="24"/>
          <w:szCs w:val="24"/>
          <w:lang w:val="en-US" w:eastAsia="zh-CN"/>
        </w:rPr>
        <w:t xml:space="preserve">3、常温孵育槽 </w:t>
      </w:r>
      <w:r>
        <w:rPr>
          <w:rFonts w:hint="default" w:ascii="宋体" w:hAnsi="宋体" w:cs="宋体"/>
          <w:b w:val="0"/>
          <w:bCs w:val="0"/>
          <w:color w:val="000000"/>
          <w:sz w:val="24"/>
          <w:szCs w:val="24"/>
          <w:lang w:val="en-US" w:eastAsia="zh-CN"/>
        </w:rPr>
        <w:t xml:space="preserve">    </w:t>
      </w:r>
    </w:p>
    <w:p w14:paraId="77C6FFC9">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3.1塔式结构孵育槽</w:t>
      </w:r>
      <w:r>
        <w:rPr>
          <w:rFonts w:hint="eastAsia" w:ascii="宋体" w:hAnsi="宋体" w:cs="宋体"/>
          <w:b w:val="0"/>
          <w:bCs w:val="0"/>
          <w:color w:val="000000"/>
          <w:sz w:val="24"/>
          <w:szCs w:val="24"/>
          <w:lang w:val="en-US" w:eastAsia="zh-CN"/>
        </w:rPr>
        <w:t>。</w:t>
      </w:r>
    </w:p>
    <w:p w14:paraId="14FA82DE">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3.2孵育槽数量≥4个,与控温槽相互独立</w:t>
      </w:r>
      <w:r>
        <w:rPr>
          <w:rFonts w:hint="eastAsia" w:ascii="宋体" w:hAnsi="宋体" w:cs="宋体"/>
          <w:b w:val="0"/>
          <w:bCs w:val="0"/>
          <w:color w:val="000000"/>
          <w:sz w:val="24"/>
          <w:szCs w:val="24"/>
          <w:lang w:val="en-US" w:eastAsia="zh-CN"/>
        </w:rPr>
        <w:t>。</w:t>
      </w:r>
    </w:p>
    <w:p w14:paraId="702E785F">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3.3每个孵育槽具备独立温度监测、避光</w:t>
      </w:r>
      <w:r>
        <w:rPr>
          <w:rFonts w:hint="eastAsia" w:ascii="宋体" w:hAnsi="宋体" w:cs="宋体"/>
          <w:b w:val="0"/>
          <w:bCs w:val="0"/>
          <w:color w:val="000000"/>
          <w:sz w:val="24"/>
          <w:szCs w:val="24"/>
          <w:lang w:val="en-US" w:eastAsia="zh-CN"/>
        </w:rPr>
        <w:t>。</w:t>
      </w:r>
    </w:p>
    <w:p w14:paraId="69C09747">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3.4具有对室温温度上、下限设定及孵育时间设定，如超限具有报警功能，如运行中超出设定参数范围，则自动中止实验，并给出追踪报告</w:t>
      </w:r>
      <w:r>
        <w:rPr>
          <w:rFonts w:hint="eastAsia" w:ascii="宋体" w:hAnsi="宋体" w:cs="宋体"/>
          <w:b w:val="0"/>
          <w:bCs w:val="0"/>
          <w:color w:val="000000"/>
          <w:sz w:val="24"/>
          <w:szCs w:val="24"/>
          <w:lang w:val="en-US" w:eastAsia="zh-CN"/>
        </w:rPr>
        <w:t>。</w:t>
      </w:r>
      <w:r>
        <w:rPr>
          <w:rFonts w:hint="default" w:ascii="宋体" w:hAnsi="宋体" w:cs="宋体"/>
          <w:b w:val="0"/>
          <w:bCs w:val="0"/>
          <w:color w:val="000000"/>
          <w:sz w:val="24"/>
          <w:szCs w:val="24"/>
          <w:lang w:val="en-US" w:eastAsia="zh-CN"/>
        </w:rPr>
        <w:t xml:space="preserve">              </w:t>
      </w:r>
    </w:p>
    <w:p w14:paraId="473FD124">
      <w:pPr>
        <w:spacing w:line="360" w:lineRule="auto"/>
        <w:ind w:firstLine="482" w:firstLineChars="200"/>
        <w:outlineLvl w:val="9"/>
        <w:rPr>
          <w:rFonts w:hint="default" w:ascii="宋体" w:hAnsi="宋体" w:cs="宋体"/>
          <w:b/>
          <w:bCs/>
          <w:color w:val="000000"/>
          <w:sz w:val="24"/>
          <w:szCs w:val="24"/>
          <w:lang w:val="en-US" w:eastAsia="zh-CN"/>
        </w:rPr>
      </w:pPr>
      <w:r>
        <w:rPr>
          <w:rFonts w:hint="default" w:ascii="宋体" w:hAnsi="宋体" w:cs="宋体"/>
          <w:b/>
          <w:bCs/>
          <w:color w:val="000000"/>
          <w:sz w:val="24"/>
          <w:szCs w:val="24"/>
          <w:lang w:val="en-US" w:eastAsia="zh-CN"/>
        </w:rPr>
        <w:t>4、洗板模块</w:t>
      </w:r>
    </w:p>
    <w:p w14:paraId="07B17B8D">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仪器平台内配置≥2个洗板机，可同时洗涤2块微板，机内并行工作</w:t>
      </w:r>
      <w:r>
        <w:rPr>
          <w:rFonts w:hint="eastAsia" w:ascii="宋体" w:hAnsi="宋体" w:cs="宋体"/>
          <w:b w:val="0"/>
          <w:bCs w:val="0"/>
          <w:color w:val="000000"/>
          <w:sz w:val="24"/>
          <w:szCs w:val="24"/>
          <w:lang w:val="en-US" w:eastAsia="zh-CN"/>
        </w:rPr>
        <w:t>。</w:t>
      </w:r>
    </w:p>
    <w:p w14:paraId="2C3CF427">
      <w:pPr>
        <w:spacing w:line="360" w:lineRule="auto"/>
        <w:ind w:firstLine="482" w:firstLineChars="200"/>
        <w:outlineLvl w:val="9"/>
        <w:rPr>
          <w:rFonts w:hint="default" w:ascii="宋体" w:hAnsi="宋体" w:cs="宋体"/>
          <w:b w:val="0"/>
          <w:bCs w:val="0"/>
          <w:color w:val="000000"/>
          <w:sz w:val="24"/>
          <w:szCs w:val="24"/>
          <w:lang w:val="en-US" w:eastAsia="zh-CN"/>
        </w:rPr>
      </w:pPr>
      <w:r>
        <w:rPr>
          <w:rFonts w:hint="default" w:ascii="宋体" w:hAnsi="宋体" w:cs="宋体"/>
          <w:b/>
          <w:bCs/>
          <w:color w:val="000000"/>
          <w:sz w:val="24"/>
          <w:szCs w:val="24"/>
          <w:lang w:val="en-US" w:eastAsia="zh-CN"/>
        </w:rPr>
        <w:t xml:space="preserve">5、洗板单元 </w:t>
      </w:r>
      <w:r>
        <w:rPr>
          <w:rFonts w:hint="default" w:ascii="宋体" w:hAnsi="宋体" w:cs="宋体"/>
          <w:b w:val="0"/>
          <w:bCs w:val="0"/>
          <w:color w:val="000000"/>
          <w:sz w:val="24"/>
          <w:szCs w:val="24"/>
          <w:lang w:val="en-US" w:eastAsia="zh-CN"/>
        </w:rPr>
        <w:t xml:space="preserve">   </w:t>
      </w:r>
    </w:p>
    <w:p w14:paraId="1CB53C2B">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▲5.1洗板头均为注液针和吸液针独立双针设计，单个洗板头注液针数量≥24个，吸液针数量≥24个</w:t>
      </w:r>
      <w:r>
        <w:rPr>
          <w:rFonts w:hint="eastAsia" w:ascii="宋体" w:hAnsi="宋体" w:cs="宋体"/>
          <w:b w:val="0"/>
          <w:bCs w:val="0"/>
          <w:color w:val="000000"/>
          <w:sz w:val="24"/>
          <w:szCs w:val="24"/>
          <w:lang w:val="en-US" w:eastAsia="zh-CN"/>
        </w:rPr>
        <w:t>。</w:t>
      </w:r>
    </w:p>
    <w:p w14:paraId="34420F6D">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▲5.2洗板位正下方有24路探测装置，洗板时实时监控对应每个微孔的注液量及残留量；且洗板头无需移动到其他位置，即可进行堵针探测。</w:t>
      </w:r>
    </w:p>
    <w:p w14:paraId="7951DD66">
      <w:pPr>
        <w:spacing w:line="360" w:lineRule="auto"/>
        <w:ind w:firstLine="482" w:firstLineChars="200"/>
        <w:outlineLvl w:val="9"/>
        <w:rPr>
          <w:rFonts w:hint="default" w:ascii="宋体" w:hAnsi="宋体" w:cs="宋体"/>
          <w:b w:val="0"/>
          <w:bCs w:val="0"/>
          <w:color w:val="000000"/>
          <w:sz w:val="24"/>
          <w:szCs w:val="24"/>
          <w:lang w:val="en-US" w:eastAsia="zh-CN"/>
        </w:rPr>
      </w:pPr>
      <w:r>
        <w:rPr>
          <w:rFonts w:hint="default" w:ascii="宋体" w:hAnsi="宋体" w:cs="宋体"/>
          <w:b/>
          <w:bCs/>
          <w:color w:val="000000"/>
          <w:sz w:val="24"/>
          <w:szCs w:val="24"/>
          <w:lang w:val="en-US" w:eastAsia="zh-CN"/>
        </w:rPr>
        <w:t>6、试剂瓶性能</w:t>
      </w:r>
    </w:p>
    <w:p w14:paraId="1044A65C">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6.1试剂瓶容量≥90ml</w:t>
      </w:r>
      <w:r>
        <w:rPr>
          <w:rFonts w:hint="eastAsia" w:ascii="宋体" w:hAnsi="宋体" w:cs="宋体"/>
          <w:b w:val="0"/>
          <w:bCs w:val="0"/>
          <w:color w:val="000000"/>
          <w:sz w:val="24"/>
          <w:szCs w:val="24"/>
          <w:lang w:val="en-US" w:eastAsia="zh-CN"/>
        </w:rPr>
        <w:t>。</w:t>
      </w:r>
    </w:p>
    <w:p w14:paraId="0A09451D">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6.2均配置防挥发盖便于试剂保存，仪器可自动识别试剂瓶盖位置（关闭/打开）状态</w:t>
      </w:r>
      <w:r>
        <w:rPr>
          <w:rFonts w:hint="eastAsia" w:ascii="宋体" w:hAnsi="宋体" w:cs="宋体"/>
          <w:b w:val="0"/>
          <w:bCs w:val="0"/>
          <w:color w:val="000000"/>
          <w:sz w:val="24"/>
          <w:szCs w:val="24"/>
          <w:lang w:val="en-US" w:eastAsia="zh-CN"/>
        </w:rPr>
        <w:t>。</w:t>
      </w:r>
    </w:p>
    <w:p w14:paraId="1C23672E">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▲6.3通过条码主动识别试剂种类,无需物理定位，可动态更换</w:t>
      </w:r>
      <w:r>
        <w:rPr>
          <w:rFonts w:hint="eastAsia" w:ascii="宋体" w:hAnsi="宋体" w:cs="宋体"/>
          <w:b w:val="0"/>
          <w:bCs w:val="0"/>
          <w:color w:val="000000"/>
          <w:sz w:val="24"/>
          <w:szCs w:val="24"/>
          <w:lang w:val="en-US" w:eastAsia="zh-CN"/>
        </w:rPr>
        <w:t>。</w:t>
      </w:r>
    </w:p>
    <w:p w14:paraId="228B02CA">
      <w:pPr>
        <w:spacing w:line="360" w:lineRule="auto"/>
        <w:ind w:firstLine="482" w:firstLineChars="200"/>
        <w:outlineLvl w:val="9"/>
        <w:rPr>
          <w:rFonts w:hint="default" w:ascii="宋体" w:hAnsi="宋体" w:cs="宋体"/>
          <w:b w:val="0"/>
          <w:bCs w:val="0"/>
          <w:color w:val="000000"/>
          <w:sz w:val="24"/>
          <w:szCs w:val="24"/>
          <w:lang w:val="en-US" w:eastAsia="zh-CN"/>
        </w:rPr>
      </w:pPr>
      <w:r>
        <w:rPr>
          <w:rFonts w:hint="default" w:ascii="宋体" w:hAnsi="宋体" w:cs="宋体"/>
          <w:b/>
          <w:bCs/>
          <w:color w:val="000000"/>
          <w:sz w:val="24"/>
          <w:szCs w:val="24"/>
          <w:lang w:val="en-US" w:eastAsia="zh-CN"/>
        </w:rPr>
        <w:t>7、试剂分配能力</w:t>
      </w:r>
    </w:p>
    <w:p w14:paraId="79BAE9B8">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▲7.1专用试剂分配注射器，注射器容量≥15ml；可原位回放</w:t>
      </w:r>
      <w:r>
        <w:rPr>
          <w:rFonts w:hint="eastAsia" w:ascii="宋体" w:hAnsi="宋体" w:cs="宋体"/>
          <w:b w:val="0"/>
          <w:bCs w:val="0"/>
          <w:color w:val="000000"/>
          <w:sz w:val="24"/>
          <w:szCs w:val="24"/>
          <w:lang w:val="en-US" w:eastAsia="zh-CN"/>
        </w:rPr>
        <w:t>。</w:t>
      </w:r>
    </w:p>
    <w:p w14:paraId="2EB0627C">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7.2分配过程监控：分配前的试剂量确认，分配过程中的异常报警</w:t>
      </w:r>
      <w:r>
        <w:rPr>
          <w:rFonts w:hint="eastAsia" w:ascii="宋体" w:hAnsi="宋体" w:cs="宋体"/>
          <w:b w:val="0"/>
          <w:bCs w:val="0"/>
          <w:color w:val="000000"/>
          <w:sz w:val="24"/>
          <w:szCs w:val="24"/>
          <w:lang w:val="en-US" w:eastAsia="zh-CN"/>
        </w:rPr>
        <w:t>。</w:t>
      </w:r>
    </w:p>
    <w:p w14:paraId="3D547092">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7.3可同时分配3种不同试剂于3块微板上,速度≤60秒/板（在100µl时）</w:t>
      </w:r>
      <w:r>
        <w:rPr>
          <w:rFonts w:hint="eastAsia" w:ascii="宋体" w:hAnsi="宋体" w:cs="宋体"/>
          <w:b w:val="0"/>
          <w:bCs w:val="0"/>
          <w:color w:val="000000"/>
          <w:sz w:val="24"/>
          <w:szCs w:val="24"/>
          <w:lang w:val="en-US" w:eastAsia="zh-CN"/>
        </w:rPr>
        <w:t>。</w:t>
      </w:r>
    </w:p>
    <w:p w14:paraId="16A050AE">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7.4完全开放酶免试剂系统，可同时运行至少15块实验微板</w:t>
      </w:r>
      <w:r>
        <w:rPr>
          <w:rFonts w:hint="eastAsia" w:ascii="宋体" w:hAnsi="宋体" w:cs="宋体"/>
          <w:b w:val="0"/>
          <w:bCs w:val="0"/>
          <w:color w:val="000000"/>
          <w:sz w:val="24"/>
          <w:szCs w:val="24"/>
          <w:lang w:val="en-US" w:eastAsia="zh-CN"/>
        </w:rPr>
        <w:t>。</w:t>
      </w:r>
    </w:p>
    <w:p w14:paraId="5A303FFF">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w:t>
      </w:r>
      <w:r>
        <w:rPr>
          <w:rFonts w:hint="default" w:ascii="宋体" w:hAnsi="宋体" w:cs="宋体"/>
          <w:b/>
          <w:bCs/>
          <w:color w:val="000000"/>
          <w:sz w:val="24"/>
          <w:szCs w:val="24"/>
          <w:lang w:val="en-US" w:eastAsia="zh-CN"/>
        </w:rPr>
        <w:t>8、微板传输</w:t>
      </w:r>
    </w:p>
    <w:p w14:paraId="6188B924">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微板在全部功能模块之间的传递均采用托架承载，并通过轨道转运模式，保证全程无掉板</w:t>
      </w:r>
      <w:r>
        <w:rPr>
          <w:rFonts w:hint="eastAsia" w:ascii="宋体" w:hAnsi="宋体" w:cs="宋体"/>
          <w:b w:val="0"/>
          <w:bCs w:val="0"/>
          <w:color w:val="000000"/>
          <w:sz w:val="24"/>
          <w:szCs w:val="24"/>
          <w:lang w:val="en-US" w:eastAsia="zh-CN"/>
        </w:rPr>
        <w:t>。</w:t>
      </w:r>
    </w:p>
    <w:p w14:paraId="7656E83B">
      <w:pPr>
        <w:spacing w:line="360" w:lineRule="auto"/>
        <w:ind w:firstLine="482" w:firstLineChars="200"/>
        <w:outlineLvl w:val="9"/>
        <w:rPr>
          <w:rFonts w:hint="default" w:ascii="宋体" w:hAnsi="宋体" w:cs="宋体"/>
          <w:b w:val="0"/>
          <w:bCs w:val="0"/>
          <w:color w:val="000000"/>
          <w:sz w:val="24"/>
          <w:szCs w:val="24"/>
          <w:lang w:val="en-US" w:eastAsia="zh-CN"/>
        </w:rPr>
      </w:pPr>
      <w:r>
        <w:rPr>
          <w:rFonts w:hint="default" w:ascii="宋体" w:hAnsi="宋体" w:cs="宋体"/>
          <w:b/>
          <w:bCs/>
          <w:color w:val="000000"/>
          <w:sz w:val="24"/>
          <w:szCs w:val="24"/>
          <w:lang w:val="en-US" w:eastAsia="zh-CN"/>
        </w:rPr>
        <w:t>9、光学系统</w:t>
      </w:r>
    </w:p>
    <w:p w14:paraId="6743F2ED">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8通道检测系统；采用LED光源，光源数量≥4；每个波长滤光片配置对应一个独立LED光源,某个光源损坏不影响其他光源检测</w:t>
      </w:r>
      <w:r>
        <w:rPr>
          <w:rFonts w:hint="eastAsia" w:ascii="宋体" w:hAnsi="宋体" w:cs="宋体"/>
          <w:b w:val="0"/>
          <w:bCs w:val="0"/>
          <w:color w:val="000000"/>
          <w:sz w:val="24"/>
          <w:szCs w:val="24"/>
          <w:lang w:val="en-US" w:eastAsia="zh-CN"/>
        </w:rPr>
        <w:t>。</w:t>
      </w:r>
    </w:p>
    <w:p w14:paraId="5C20FADE">
      <w:pPr>
        <w:spacing w:line="360" w:lineRule="auto"/>
        <w:ind w:firstLine="482" w:firstLineChars="200"/>
        <w:outlineLvl w:val="9"/>
        <w:rPr>
          <w:rFonts w:hint="default" w:ascii="宋体" w:hAnsi="宋体" w:cs="宋体"/>
          <w:b w:val="0"/>
          <w:bCs w:val="0"/>
          <w:color w:val="000000"/>
          <w:sz w:val="24"/>
          <w:szCs w:val="24"/>
          <w:lang w:val="en-US" w:eastAsia="zh-CN"/>
        </w:rPr>
      </w:pPr>
      <w:r>
        <w:rPr>
          <w:rFonts w:hint="default" w:ascii="宋体" w:hAnsi="宋体" w:cs="宋体"/>
          <w:b/>
          <w:bCs/>
          <w:color w:val="000000"/>
          <w:sz w:val="24"/>
          <w:szCs w:val="24"/>
          <w:lang w:val="en-US" w:eastAsia="zh-CN"/>
        </w:rPr>
        <w:t>10、吸光度准确度和重复性</w:t>
      </w:r>
    </w:p>
    <w:p w14:paraId="1E8B9E20">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在[0.000-2.000A]范围内，吸光度准确度不超过±（0.5%×标示值+0.005A）；在(2.000-3.000A]范围内，吸光度准确度不超过±1%×标示值；重复性测量的变异系数CV≤0.3%</w:t>
      </w:r>
      <w:r>
        <w:rPr>
          <w:rFonts w:hint="eastAsia" w:ascii="宋体" w:hAnsi="宋体" w:cs="宋体"/>
          <w:b w:val="0"/>
          <w:bCs w:val="0"/>
          <w:color w:val="000000"/>
          <w:sz w:val="24"/>
          <w:szCs w:val="24"/>
          <w:lang w:val="en-US" w:eastAsia="zh-CN"/>
        </w:rPr>
        <w:t>。</w:t>
      </w:r>
    </w:p>
    <w:p w14:paraId="6B103F1F">
      <w:pPr>
        <w:spacing w:line="360" w:lineRule="auto"/>
        <w:ind w:firstLine="482" w:firstLineChars="200"/>
        <w:outlineLvl w:val="9"/>
        <w:rPr>
          <w:rFonts w:hint="default" w:ascii="宋体" w:hAnsi="宋体" w:cs="宋体"/>
          <w:b/>
          <w:bCs/>
          <w:color w:val="000000"/>
          <w:sz w:val="24"/>
          <w:szCs w:val="24"/>
          <w:lang w:val="en-US" w:eastAsia="zh-CN"/>
        </w:rPr>
      </w:pPr>
      <w:r>
        <w:rPr>
          <w:rFonts w:hint="default" w:ascii="宋体" w:hAnsi="宋体" w:cs="宋体"/>
          <w:b/>
          <w:bCs/>
          <w:color w:val="000000"/>
          <w:sz w:val="24"/>
          <w:szCs w:val="24"/>
          <w:lang w:val="en-US" w:eastAsia="zh-CN"/>
        </w:rPr>
        <w:t>11、暂停功能</w:t>
      </w:r>
    </w:p>
    <w:p w14:paraId="3F25BFE3">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11.1硬件暂停触发装置≥2种</w:t>
      </w:r>
      <w:r>
        <w:rPr>
          <w:rFonts w:hint="eastAsia" w:ascii="宋体" w:hAnsi="宋体" w:cs="宋体"/>
          <w:b w:val="0"/>
          <w:bCs w:val="0"/>
          <w:color w:val="000000"/>
          <w:sz w:val="24"/>
          <w:szCs w:val="24"/>
          <w:lang w:val="en-US" w:eastAsia="zh-CN"/>
        </w:rPr>
        <w:t>。</w:t>
      </w:r>
    </w:p>
    <w:p w14:paraId="38E7B02C">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11.2仪器保护盖被打开，触发传输机构瞬时停止运动，关上仪器保护盖，传输机构自动恢复运动</w:t>
      </w:r>
      <w:r>
        <w:rPr>
          <w:rFonts w:hint="eastAsia" w:ascii="宋体" w:hAnsi="宋体" w:cs="宋体"/>
          <w:b w:val="0"/>
          <w:bCs w:val="0"/>
          <w:color w:val="000000"/>
          <w:sz w:val="24"/>
          <w:szCs w:val="24"/>
          <w:lang w:val="en-US" w:eastAsia="zh-CN"/>
        </w:rPr>
        <w:t>。</w:t>
      </w:r>
    </w:p>
    <w:p w14:paraId="05C78F31">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11.3按下仪器暂停键，仪器所有运动部件停止运动并可通过软件操作恢复仪器运行</w:t>
      </w:r>
      <w:r>
        <w:rPr>
          <w:rFonts w:hint="eastAsia" w:ascii="宋体" w:hAnsi="宋体" w:cs="宋体"/>
          <w:b w:val="0"/>
          <w:bCs w:val="0"/>
          <w:color w:val="000000"/>
          <w:sz w:val="24"/>
          <w:szCs w:val="24"/>
          <w:lang w:val="en-US" w:eastAsia="zh-CN"/>
        </w:rPr>
        <w:t>。</w:t>
      </w:r>
    </w:p>
    <w:p w14:paraId="4CEC2CF6">
      <w:pPr>
        <w:spacing w:line="360" w:lineRule="auto"/>
        <w:ind w:firstLine="482" w:firstLineChars="200"/>
        <w:outlineLvl w:val="9"/>
        <w:rPr>
          <w:rFonts w:hint="default" w:ascii="宋体" w:hAnsi="宋体" w:cs="宋体"/>
          <w:b w:val="0"/>
          <w:bCs w:val="0"/>
          <w:color w:val="000000"/>
          <w:sz w:val="24"/>
          <w:szCs w:val="24"/>
          <w:lang w:val="en-US" w:eastAsia="zh-CN"/>
        </w:rPr>
      </w:pPr>
      <w:r>
        <w:rPr>
          <w:rFonts w:hint="default" w:ascii="宋体" w:hAnsi="宋体" w:cs="宋体"/>
          <w:b/>
          <w:bCs/>
          <w:color w:val="000000"/>
          <w:sz w:val="24"/>
          <w:szCs w:val="24"/>
          <w:lang w:val="en-US" w:eastAsia="zh-CN"/>
        </w:rPr>
        <w:t>12、软件功能</w:t>
      </w:r>
    </w:p>
    <w:p w14:paraId="5A5C6103">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12.1向导式全中文操作系统，软件具有方法、液体、批号、工作列表管理等功能</w:t>
      </w:r>
      <w:r>
        <w:rPr>
          <w:rFonts w:hint="eastAsia" w:ascii="宋体" w:hAnsi="宋体" w:cs="宋体"/>
          <w:b w:val="0"/>
          <w:bCs w:val="0"/>
          <w:color w:val="000000"/>
          <w:sz w:val="24"/>
          <w:szCs w:val="24"/>
          <w:lang w:val="en-US" w:eastAsia="zh-CN"/>
        </w:rPr>
        <w:t>。</w:t>
      </w:r>
    </w:p>
    <w:p w14:paraId="711D6626">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12.2实验运行中，可随时调整待运行实验开始时间功能，可随时插入不同实验项目功能；所有试验微板依据条码主动识别实验项目</w:t>
      </w:r>
      <w:r>
        <w:rPr>
          <w:rFonts w:hint="eastAsia" w:ascii="宋体" w:hAnsi="宋体" w:cs="宋体"/>
          <w:b w:val="0"/>
          <w:bCs w:val="0"/>
          <w:color w:val="000000"/>
          <w:sz w:val="24"/>
          <w:szCs w:val="24"/>
          <w:lang w:val="en-US" w:eastAsia="zh-CN"/>
        </w:rPr>
        <w:t>。</w:t>
      </w:r>
    </w:p>
    <w:p w14:paraId="369AE7A1">
      <w:pPr>
        <w:spacing w:line="360" w:lineRule="auto"/>
        <w:ind w:firstLine="480" w:firstLineChars="200"/>
        <w:outlineLvl w:val="9"/>
        <w:rPr>
          <w:rFonts w:hint="eastAsia"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12.3权限管理：用户权限分级管理，权限级别≥5；权限管理内容包括用户插入追踪信息、实验结果、校验、日常工作、指定编辑、板架定义、维护、改变锁定状态、方法中定义文档发送、修改条码掩体、修改系统时间、编辑文档格式、恢复方法、追踪、删除实验、设备预置、设备状态、软件预置、编号编辑、查看或编辑方法定义、方法备份和下载固件</w:t>
      </w:r>
      <w:r>
        <w:rPr>
          <w:rFonts w:hint="eastAsia" w:ascii="宋体" w:hAnsi="宋体" w:cs="宋体"/>
          <w:b w:val="0"/>
          <w:bCs w:val="0"/>
          <w:color w:val="000000"/>
          <w:sz w:val="24"/>
          <w:szCs w:val="24"/>
          <w:lang w:val="en-US" w:eastAsia="zh-CN"/>
        </w:rPr>
        <w:t>。</w:t>
      </w:r>
    </w:p>
    <w:p w14:paraId="7F32038A">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12.4版本管理：每个实验方法均具有方法代码和版本号双重管理，实验方法修改后自动变更版本号</w:t>
      </w:r>
      <w:r>
        <w:rPr>
          <w:rFonts w:hint="eastAsia" w:ascii="宋体" w:hAnsi="宋体" w:cs="宋体"/>
          <w:b w:val="0"/>
          <w:bCs w:val="0"/>
          <w:color w:val="000000"/>
          <w:sz w:val="24"/>
          <w:szCs w:val="24"/>
          <w:lang w:val="en-US" w:eastAsia="zh-CN"/>
        </w:rPr>
        <w:t>。</w:t>
      </w:r>
    </w:p>
    <w:p w14:paraId="377C927D">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12.5解锁功能：仪器运行中，软件可以分别对洗板单元、孵育单元、分配单元和酶标仪单元进行锁定和解锁设置</w:t>
      </w:r>
      <w:r>
        <w:rPr>
          <w:rFonts w:hint="eastAsia" w:ascii="宋体" w:hAnsi="宋体" w:cs="宋体"/>
          <w:b w:val="0"/>
          <w:bCs w:val="0"/>
          <w:color w:val="000000"/>
          <w:sz w:val="24"/>
          <w:szCs w:val="24"/>
          <w:lang w:val="en-US" w:eastAsia="zh-CN"/>
        </w:rPr>
        <w:t>。</w:t>
      </w:r>
    </w:p>
    <w:p w14:paraId="20C678E2">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12.6追踪功能：软件具有过程监控和追踪功能，追踪分为系统追踪、实验追踪和每个微孔追踪，共三套追踪文件，可自动生成溯源追踪文件</w:t>
      </w:r>
      <w:r>
        <w:rPr>
          <w:rFonts w:hint="eastAsia" w:ascii="宋体" w:hAnsi="宋体" w:cs="宋体"/>
          <w:b w:val="0"/>
          <w:bCs w:val="0"/>
          <w:color w:val="000000"/>
          <w:sz w:val="24"/>
          <w:szCs w:val="24"/>
          <w:lang w:val="en-US" w:eastAsia="zh-CN"/>
        </w:rPr>
        <w:t>。</w:t>
      </w:r>
    </w:p>
    <w:p w14:paraId="04155770">
      <w:pPr>
        <w:spacing w:line="360" w:lineRule="auto"/>
        <w:ind w:firstLine="482" w:firstLineChars="200"/>
        <w:outlineLvl w:val="9"/>
        <w:rPr>
          <w:rFonts w:hint="default" w:ascii="宋体" w:hAnsi="宋体" w:cs="宋体"/>
          <w:b w:val="0"/>
          <w:bCs w:val="0"/>
          <w:color w:val="000000"/>
          <w:sz w:val="24"/>
          <w:szCs w:val="24"/>
          <w:lang w:val="en-US" w:eastAsia="zh-CN"/>
        </w:rPr>
      </w:pPr>
      <w:r>
        <w:rPr>
          <w:rFonts w:hint="default" w:ascii="宋体" w:hAnsi="宋体" w:cs="宋体"/>
          <w:b/>
          <w:bCs/>
          <w:color w:val="000000"/>
          <w:sz w:val="24"/>
          <w:szCs w:val="24"/>
          <w:lang w:val="en-US" w:eastAsia="zh-CN"/>
        </w:rPr>
        <w:t>13、功率和仪器尺寸</w:t>
      </w:r>
      <w:r>
        <w:rPr>
          <w:rFonts w:hint="default" w:ascii="宋体" w:hAnsi="宋体" w:cs="宋体"/>
          <w:b w:val="0"/>
          <w:bCs w:val="0"/>
          <w:color w:val="000000"/>
          <w:sz w:val="24"/>
          <w:szCs w:val="24"/>
          <w:lang w:val="en-US" w:eastAsia="zh-CN"/>
        </w:rPr>
        <w:t>：功率≤900VA，仪器长度≤1700mm</w:t>
      </w:r>
      <w:r>
        <w:rPr>
          <w:rFonts w:hint="eastAsia" w:ascii="宋体" w:hAnsi="宋体" w:cs="宋体"/>
          <w:b w:val="0"/>
          <w:bCs w:val="0"/>
          <w:color w:val="000000"/>
          <w:sz w:val="24"/>
          <w:szCs w:val="24"/>
          <w:lang w:val="en-US" w:eastAsia="zh-CN"/>
        </w:rPr>
        <w:t>。</w:t>
      </w:r>
    </w:p>
    <w:p w14:paraId="0CBEF2D4">
      <w:pPr>
        <w:spacing w:line="360" w:lineRule="auto"/>
        <w:ind w:firstLine="482" w:firstLineChars="200"/>
        <w:outlineLvl w:val="9"/>
        <w:rPr>
          <w:rFonts w:hint="default" w:ascii="宋体" w:hAnsi="宋体" w:cs="宋体"/>
          <w:b w:val="0"/>
          <w:bCs w:val="0"/>
          <w:color w:val="000000"/>
          <w:sz w:val="24"/>
          <w:szCs w:val="24"/>
          <w:lang w:val="en-US" w:eastAsia="zh-CN"/>
        </w:rPr>
      </w:pPr>
      <w:r>
        <w:rPr>
          <w:rFonts w:hint="default" w:ascii="宋体" w:hAnsi="宋体" w:cs="宋体"/>
          <w:b/>
          <w:bCs/>
          <w:color w:val="000000"/>
          <w:sz w:val="24"/>
          <w:szCs w:val="24"/>
          <w:lang w:val="en-US" w:eastAsia="zh-CN"/>
        </w:rPr>
        <w:t>14、其它要求：</w:t>
      </w:r>
      <w:r>
        <w:rPr>
          <w:rFonts w:hint="default" w:ascii="宋体" w:hAnsi="宋体" w:cs="宋体"/>
          <w:b w:val="0"/>
          <w:bCs w:val="0"/>
          <w:color w:val="000000"/>
          <w:sz w:val="24"/>
          <w:szCs w:val="24"/>
          <w:lang w:val="en-US" w:eastAsia="zh-CN"/>
        </w:rPr>
        <w:t>投标设备需配备网络化数据接口，可实现与血站LISWELL管理软件连接、实验数据参数实时传输等功能，中标单位需承担相连的全部费用，软件终身免费维护、升级。</w:t>
      </w:r>
    </w:p>
    <w:p w14:paraId="1CD37C09">
      <w:pPr>
        <w:spacing w:line="360" w:lineRule="auto"/>
        <w:ind w:firstLine="482" w:firstLineChars="200"/>
        <w:outlineLvl w:val="1"/>
        <w:rPr>
          <w:rFonts w:hint="eastAsia" w:ascii="宋体" w:hAnsi="宋体" w:cs="宋体"/>
          <w:b/>
          <w:bCs/>
          <w:color w:val="000000"/>
          <w:sz w:val="24"/>
          <w:szCs w:val="24"/>
          <w:lang w:val="en-US" w:eastAsia="zh-CN"/>
        </w:rPr>
      </w:pPr>
      <w:bookmarkStart w:id="151" w:name="_Toc6130"/>
      <w:r>
        <w:rPr>
          <w:rFonts w:hint="eastAsia" w:ascii="宋体" w:hAnsi="宋体" w:cs="宋体"/>
          <w:b/>
          <w:bCs/>
          <w:color w:val="000000"/>
          <w:sz w:val="24"/>
          <w:szCs w:val="24"/>
          <w:lang w:val="en-US" w:eastAsia="zh-CN"/>
        </w:rPr>
        <w:t>分包2：全自动生化分析仪</w:t>
      </w:r>
      <w:bookmarkEnd w:id="151"/>
    </w:p>
    <w:p w14:paraId="7BE9BF85">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w:t>
      </w:r>
      <w:r>
        <w:rPr>
          <w:rFonts w:hint="eastAsia" w:ascii="宋体" w:hAnsi="宋体" w:cs="宋体"/>
          <w:b w:val="0"/>
          <w:bCs w:val="0"/>
          <w:color w:val="000000"/>
          <w:sz w:val="24"/>
          <w:szCs w:val="24"/>
          <w:lang w:val="en-US" w:eastAsia="zh-CN"/>
        </w:rPr>
        <w:t>.</w:t>
      </w:r>
      <w:r>
        <w:rPr>
          <w:rFonts w:hint="default" w:ascii="宋体" w:hAnsi="宋体" w:cs="宋体"/>
          <w:b w:val="0"/>
          <w:bCs w:val="0"/>
          <w:color w:val="000000"/>
          <w:sz w:val="24"/>
          <w:szCs w:val="24"/>
          <w:lang w:val="en-US" w:eastAsia="zh-CN"/>
        </w:rPr>
        <w:t>分光光度法：生化测试速度≥400测试/小时</w:t>
      </w:r>
      <w:r>
        <w:rPr>
          <w:rFonts w:hint="eastAsia" w:ascii="宋体" w:hAnsi="宋体" w:cs="宋体"/>
          <w:b w:val="0"/>
          <w:bCs w:val="0"/>
          <w:color w:val="000000"/>
          <w:sz w:val="24"/>
          <w:szCs w:val="24"/>
          <w:lang w:val="en-US" w:eastAsia="zh-CN"/>
        </w:rPr>
        <w:t>。</w:t>
      </w:r>
    </w:p>
    <w:p w14:paraId="16C6E819">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w:t>
      </w:r>
      <w:r>
        <w:rPr>
          <w:rFonts w:hint="eastAsia" w:ascii="宋体" w:hAnsi="宋体" w:cs="宋体"/>
          <w:b w:val="0"/>
          <w:bCs w:val="0"/>
          <w:color w:val="000000"/>
          <w:sz w:val="24"/>
          <w:szCs w:val="24"/>
          <w:lang w:val="en-US" w:eastAsia="zh-CN"/>
        </w:rPr>
        <w:t>.</w:t>
      </w:r>
      <w:r>
        <w:rPr>
          <w:rFonts w:hint="default" w:ascii="宋体" w:hAnsi="宋体" w:cs="宋体"/>
          <w:b w:val="0"/>
          <w:bCs w:val="0"/>
          <w:color w:val="000000"/>
          <w:sz w:val="24"/>
          <w:szCs w:val="24"/>
          <w:lang w:val="en-US" w:eastAsia="zh-CN"/>
        </w:rPr>
        <w:t>样品种类：血清、血浆或其他标本</w:t>
      </w:r>
      <w:r>
        <w:rPr>
          <w:rFonts w:hint="eastAsia" w:ascii="宋体" w:hAnsi="宋体" w:cs="宋体"/>
          <w:b w:val="0"/>
          <w:bCs w:val="0"/>
          <w:color w:val="000000"/>
          <w:sz w:val="24"/>
          <w:szCs w:val="24"/>
          <w:lang w:val="en-US" w:eastAsia="zh-CN"/>
        </w:rPr>
        <w:t>。</w:t>
      </w:r>
    </w:p>
    <w:p w14:paraId="033BA63D">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3</w:t>
      </w:r>
      <w:r>
        <w:rPr>
          <w:rFonts w:hint="eastAsia" w:ascii="宋体" w:hAnsi="宋体" w:cs="宋体"/>
          <w:b w:val="0"/>
          <w:bCs w:val="0"/>
          <w:color w:val="000000"/>
          <w:sz w:val="24"/>
          <w:szCs w:val="24"/>
          <w:lang w:val="en-US" w:eastAsia="zh-CN"/>
        </w:rPr>
        <w:t>.</w:t>
      </w:r>
      <w:r>
        <w:rPr>
          <w:rFonts w:hint="default" w:ascii="宋体" w:hAnsi="宋体" w:cs="宋体"/>
          <w:b w:val="0"/>
          <w:bCs w:val="0"/>
          <w:color w:val="000000"/>
          <w:sz w:val="24"/>
          <w:szCs w:val="24"/>
          <w:lang w:val="en-US" w:eastAsia="zh-CN"/>
        </w:rPr>
        <w:t>分析方法：终点法（带自身空白及样品空白），速率法，固定时间法，离子选择电极法等</w:t>
      </w:r>
      <w:r>
        <w:rPr>
          <w:rFonts w:hint="eastAsia" w:ascii="宋体" w:hAnsi="宋体" w:cs="宋体"/>
          <w:b w:val="0"/>
          <w:bCs w:val="0"/>
          <w:color w:val="000000"/>
          <w:sz w:val="24"/>
          <w:szCs w:val="24"/>
          <w:lang w:val="en-US" w:eastAsia="zh-CN"/>
        </w:rPr>
        <w:t>。</w:t>
      </w:r>
    </w:p>
    <w:p w14:paraId="24BBF557">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4.光源：卤素灯，每只寿命≥1000小时</w:t>
      </w:r>
      <w:r>
        <w:rPr>
          <w:rFonts w:hint="eastAsia" w:ascii="宋体" w:hAnsi="宋体" w:cs="宋体"/>
          <w:b w:val="0"/>
          <w:bCs w:val="0"/>
          <w:color w:val="000000"/>
          <w:sz w:val="24"/>
          <w:szCs w:val="24"/>
          <w:lang w:val="en-US" w:eastAsia="zh-CN"/>
        </w:rPr>
        <w:t>。</w:t>
      </w:r>
    </w:p>
    <w:p w14:paraId="06EE2C51">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5.波长范围：光栅后分光系统，340-800nm（提供≥13个常用波长）</w:t>
      </w:r>
      <w:r>
        <w:rPr>
          <w:rFonts w:hint="eastAsia" w:ascii="宋体" w:hAnsi="宋体" w:cs="宋体"/>
          <w:b w:val="0"/>
          <w:bCs w:val="0"/>
          <w:color w:val="000000"/>
          <w:sz w:val="24"/>
          <w:szCs w:val="24"/>
          <w:lang w:val="en-US" w:eastAsia="zh-CN"/>
        </w:rPr>
        <w:t>。</w:t>
      </w:r>
    </w:p>
    <w:p w14:paraId="62E10FDA">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6.吸光度线性范围：0—3.0ABS</w:t>
      </w:r>
      <w:r>
        <w:rPr>
          <w:rFonts w:hint="eastAsia" w:ascii="宋体" w:hAnsi="宋体" w:cs="宋体"/>
          <w:b w:val="0"/>
          <w:bCs w:val="0"/>
          <w:color w:val="000000"/>
          <w:sz w:val="24"/>
          <w:szCs w:val="24"/>
          <w:lang w:val="en-US" w:eastAsia="zh-CN"/>
        </w:rPr>
        <w:t>。</w:t>
      </w:r>
    </w:p>
    <w:p w14:paraId="1AAF0388">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7.样品系统：轨道方式（样品架）+ 圆盘方式（独立冷藏样品盘），一次性上机样本数量≥100个，独立的急诊样品位≥18个</w:t>
      </w:r>
      <w:r>
        <w:rPr>
          <w:rFonts w:hint="eastAsia" w:ascii="宋体" w:hAnsi="宋体" w:cs="宋体"/>
          <w:b w:val="0"/>
          <w:bCs w:val="0"/>
          <w:color w:val="000000"/>
          <w:sz w:val="24"/>
          <w:szCs w:val="24"/>
          <w:lang w:val="en-US" w:eastAsia="zh-CN"/>
        </w:rPr>
        <w:t>。</w:t>
      </w:r>
    </w:p>
    <w:p w14:paraId="2814024B">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8.样本装载：自动识别不同尺寸的样本管或样本杯，可以实现原试管上机，能直接读出样品管条码（至少15位，至少支持CODE128码）；样品进样方式：轨道式进样，10个标本/架</w:t>
      </w:r>
      <w:r>
        <w:rPr>
          <w:rFonts w:hint="eastAsia" w:ascii="宋体" w:hAnsi="宋体" w:cs="宋体"/>
          <w:b w:val="0"/>
          <w:bCs w:val="0"/>
          <w:color w:val="000000"/>
          <w:sz w:val="24"/>
          <w:szCs w:val="24"/>
          <w:lang w:val="en-US" w:eastAsia="zh-CN"/>
        </w:rPr>
        <w:t>。</w:t>
      </w:r>
    </w:p>
    <w:p w14:paraId="4FA9ADE6">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9.分析项目：每份样本可同时测定项目≥63项</w:t>
      </w:r>
      <w:r>
        <w:rPr>
          <w:rFonts w:hint="eastAsia" w:ascii="宋体" w:hAnsi="宋体" w:cs="宋体"/>
          <w:b w:val="0"/>
          <w:bCs w:val="0"/>
          <w:color w:val="000000"/>
          <w:sz w:val="24"/>
          <w:szCs w:val="24"/>
          <w:lang w:val="en-US" w:eastAsia="zh-CN"/>
        </w:rPr>
        <w:t>。</w:t>
      </w:r>
    </w:p>
    <w:p w14:paraId="5F560514">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10.具备急诊功能，随机插入测定功能，最快结果报告时间≤8分钟</w:t>
      </w:r>
      <w:r>
        <w:rPr>
          <w:rFonts w:hint="eastAsia" w:ascii="宋体" w:hAnsi="宋体" w:cs="宋体"/>
          <w:b w:val="0"/>
          <w:bCs w:val="0"/>
          <w:color w:val="000000"/>
          <w:sz w:val="24"/>
          <w:szCs w:val="24"/>
          <w:lang w:val="en-US" w:eastAsia="zh-CN"/>
        </w:rPr>
        <w:t>。</w:t>
      </w:r>
    </w:p>
    <w:p w14:paraId="38EC0341">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11.最小反应总体积≤90ul/项目</w:t>
      </w:r>
      <w:r>
        <w:rPr>
          <w:rFonts w:hint="eastAsia" w:ascii="宋体" w:hAnsi="宋体" w:cs="宋体"/>
          <w:b w:val="0"/>
          <w:bCs w:val="0"/>
          <w:color w:val="000000"/>
          <w:sz w:val="24"/>
          <w:szCs w:val="24"/>
          <w:lang w:val="en-US" w:eastAsia="zh-CN"/>
        </w:rPr>
        <w:t>。</w:t>
      </w:r>
    </w:p>
    <w:p w14:paraId="6843DB29">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12.最小样品体积≤1.0ul</w:t>
      </w:r>
      <w:r>
        <w:rPr>
          <w:rFonts w:hint="eastAsia" w:ascii="宋体" w:hAnsi="宋体" w:cs="宋体"/>
          <w:b w:val="0"/>
          <w:bCs w:val="0"/>
          <w:color w:val="000000"/>
          <w:sz w:val="24"/>
          <w:szCs w:val="24"/>
          <w:lang w:val="en-US" w:eastAsia="zh-CN"/>
        </w:rPr>
        <w:t>。</w:t>
      </w:r>
    </w:p>
    <w:p w14:paraId="40AD3E3C">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13.样品量：1-25ul/项目，试剂量：10-250ul/项目</w:t>
      </w:r>
      <w:r>
        <w:rPr>
          <w:rFonts w:hint="eastAsia" w:ascii="宋体" w:hAnsi="宋体" w:cs="宋体"/>
          <w:b w:val="0"/>
          <w:bCs w:val="0"/>
          <w:color w:val="000000"/>
          <w:sz w:val="24"/>
          <w:szCs w:val="24"/>
          <w:lang w:val="en-US" w:eastAsia="zh-CN"/>
        </w:rPr>
        <w:t>。</w:t>
      </w:r>
    </w:p>
    <w:p w14:paraId="734284F9">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14.恒温方式：非接触式液体恒温系统</w:t>
      </w:r>
      <w:r>
        <w:rPr>
          <w:rFonts w:hint="eastAsia" w:ascii="宋体" w:hAnsi="宋体" w:cs="宋体"/>
          <w:b w:val="0"/>
          <w:bCs w:val="0"/>
          <w:color w:val="000000"/>
          <w:sz w:val="24"/>
          <w:szCs w:val="24"/>
          <w:lang w:val="en-US" w:eastAsia="zh-CN"/>
        </w:rPr>
        <w:t>。</w:t>
      </w:r>
    </w:p>
    <w:p w14:paraId="3219A45E">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15.线性，非线性，多点等多种定标方式</w:t>
      </w:r>
      <w:r>
        <w:rPr>
          <w:rFonts w:hint="eastAsia" w:ascii="宋体" w:hAnsi="宋体" w:cs="宋体"/>
          <w:b w:val="0"/>
          <w:bCs w:val="0"/>
          <w:color w:val="000000"/>
          <w:sz w:val="24"/>
          <w:szCs w:val="24"/>
          <w:lang w:val="en-US" w:eastAsia="zh-CN"/>
        </w:rPr>
        <w:t>。</w:t>
      </w:r>
    </w:p>
    <w:p w14:paraId="44F66B93">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16.样品再检：可进行样品自动重测，稀释或浓缩样品再测</w:t>
      </w:r>
      <w:r>
        <w:rPr>
          <w:rFonts w:hint="eastAsia" w:ascii="宋体" w:hAnsi="宋体" w:cs="宋体"/>
          <w:b w:val="0"/>
          <w:bCs w:val="0"/>
          <w:color w:val="000000"/>
          <w:sz w:val="24"/>
          <w:szCs w:val="24"/>
          <w:lang w:val="en-US" w:eastAsia="zh-CN"/>
        </w:rPr>
        <w:t>。</w:t>
      </w:r>
    </w:p>
    <w:p w14:paraId="612BCEAE">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17．试剂使用：</w:t>
      </w:r>
    </w:p>
    <w:p w14:paraId="3B3D2A0F">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17.1开放试剂：项目全开放，用户可自编程序，并选择其他品牌试剂上机,能精确检测试剂的量和有无,可同时使用1-3种试剂</w:t>
      </w:r>
      <w:r>
        <w:rPr>
          <w:rFonts w:hint="eastAsia" w:ascii="宋体" w:hAnsi="宋体" w:cs="宋体"/>
          <w:b w:val="0"/>
          <w:bCs w:val="0"/>
          <w:color w:val="000000"/>
          <w:sz w:val="24"/>
          <w:szCs w:val="24"/>
          <w:lang w:val="en-US" w:eastAsia="zh-CN"/>
        </w:rPr>
        <w:t>。</w:t>
      </w:r>
    </w:p>
    <w:p w14:paraId="0E20E626">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17.2原装试剂：能提供全套原厂试剂、定标液、质控液，具有溯源性</w:t>
      </w:r>
      <w:r>
        <w:rPr>
          <w:rFonts w:hint="eastAsia" w:ascii="宋体" w:hAnsi="宋体" w:cs="宋体"/>
          <w:b w:val="0"/>
          <w:bCs w:val="0"/>
          <w:color w:val="000000"/>
          <w:sz w:val="24"/>
          <w:szCs w:val="24"/>
          <w:lang w:val="en-US" w:eastAsia="zh-CN"/>
        </w:rPr>
        <w:t>。</w:t>
      </w:r>
    </w:p>
    <w:p w14:paraId="633A33EB">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18.操作系统：具备智能故障检测及在线帮助功能，可提示软硬件系统的故障原因和部位，可进行远程诊断、鼠标、键盘操作</w:t>
      </w:r>
      <w:r>
        <w:rPr>
          <w:rFonts w:hint="eastAsia" w:ascii="宋体" w:hAnsi="宋体" w:cs="宋体"/>
          <w:b w:val="0"/>
          <w:bCs w:val="0"/>
          <w:color w:val="000000"/>
          <w:sz w:val="24"/>
          <w:szCs w:val="24"/>
          <w:lang w:val="en-US" w:eastAsia="zh-CN"/>
        </w:rPr>
        <w:t>。</w:t>
      </w:r>
    </w:p>
    <w:p w14:paraId="7BDDCA7A">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19.比色杯：永久性使用硬质石英玻璃杯，保用5年以上</w:t>
      </w:r>
      <w:r>
        <w:rPr>
          <w:rFonts w:hint="eastAsia" w:ascii="宋体" w:hAnsi="宋体" w:cs="宋体"/>
          <w:b w:val="0"/>
          <w:bCs w:val="0"/>
          <w:color w:val="000000"/>
          <w:sz w:val="24"/>
          <w:szCs w:val="24"/>
          <w:lang w:val="en-US" w:eastAsia="zh-CN"/>
        </w:rPr>
        <w:t>。</w:t>
      </w:r>
    </w:p>
    <w:p w14:paraId="6E4909A2">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20. CAN总线、RJ45通讯数据输入/输出，具备实验室信息接口(双向RS-232C通讯串口)可与血站网络连接，配调制解调器，用于远程诊断</w:t>
      </w:r>
      <w:r>
        <w:rPr>
          <w:rFonts w:hint="eastAsia" w:ascii="宋体" w:hAnsi="宋体" w:cs="宋体"/>
          <w:b w:val="0"/>
          <w:bCs w:val="0"/>
          <w:color w:val="000000"/>
          <w:sz w:val="24"/>
          <w:szCs w:val="24"/>
          <w:lang w:val="en-US" w:eastAsia="zh-CN"/>
        </w:rPr>
        <w:t>。</w:t>
      </w:r>
    </w:p>
    <w:p w14:paraId="6B3CCC11">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21.配备样本和试剂条形码阅读器，具备试管液面自动跟踪功能</w:t>
      </w:r>
      <w:r>
        <w:rPr>
          <w:rFonts w:hint="eastAsia" w:ascii="宋体" w:hAnsi="宋体" w:cs="宋体"/>
          <w:b w:val="0"/>
          <w:bCs w:val="0"/>
          <w:color w:val="000000"/>
          <w:sz w:val="24"/>
          <w:szCs w:val="24"/>
          <w:lang w:val="en-US" w:eastAsia="zh-CN"/>
        </w:rPr>
        <w:t>。</w:t>
      </w:r>
    </w:p>
    <w:p w14:paraId="47645AC6">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22.具备样品凝块检出功能及样品探针堵孔分级报警系统，试剂针和样本针具备防碰撞功能</w:t>
      </w:r>
      <w:r>
        <w:rPr>
          <w:rFonts w:hint="eastAsia" w:ascii="宋体" w:hAnsi="宋体" w:cs="宋体"/>
          <w:b w:val="0"/>
          <w:bCs w:val="0"/>
          <w:color w:val="000000"/>
          <w:sz w:val="24"/>
          <w:szCs w:val="24"/>
          <w:lang w:val="en-US" w:eastAsia="zh-CN"/>
        </w:rPr>
        <w:t>。</w:t>
      </w:r>
    </w:p>
    <w:p w14:paraId="407D1EB4">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23.具备乳糜血，黄疸，溶血，血凝块及纤维蛋白探测及报警系统</w:t>
      </w:r>
      <w:r>
        <w:rPr>
          <w:rFonts w:hint="eastAsia" w:ascii="宋体" w:hAnsi="宋体" w:cs="宋体"/>
          <w:b w:val="0"/>
          <w:bCs w:val="0"/>
          <w:color w:val="000000"/>
          <w:sz w:val="24"/>
          <w:szCs w:val="24"/>
          <w:lang w:val="en-US" w:eastAsia="zh-CN"/>
        </w:rPr>
        <w:t>。</w:t>
      </w:r>
    </w:p>
    <w:p w14:paraId="1F0563C2">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24.搅拌系统：螺旋式搅拌系统：多头双清洗式搅拌系统，保证搅拌充分，冲洗干净，减少交叉污染</w:t>
      </w:r>
      <w:r>
        <w:rPr>
          <w:rFonts w:hint="eastAsia" w:ascii="宋体" w:hAnsi="宋体" w:cs="宋体"/>
          <w:b w:val="0"/>
          <w:bCs w:val="0"/>
          <w:color w:val="000000"/>
          <w:sz w:val="24"/>
          <w:szCs w:val="24"/>
          <w:lang w:val="en-US" w:eastAsia="zh-CN"/>
        </w:rPr>
        <w:t>。</w:t>
      </w:r>
    </w:p>
    <w:p w14:paraId="1BCFBB22">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25.样品针、试剂针具有防撞针保护功能</w:t>
      </w:r>
      <w:r>
        <w:rPr>
          <w:rFonts w:hint="eastAsia" w:ascii="宋体" w:hAnsi="宋体" w:cs="宋体"/>
          <w:b w:val="0"/>
          <w:bCs w:val="0"/>
          <w:color w:val="000000"/>
          <w:sz w:val="24"/>
          <w:szCs w:val="24"/>
          <w:lang w:val="en-US" w:eastAsia="zh-CN"/>
        </w:rPr>
        <w:t>。</w:t>
      </w:r>
    </w:p>
    <w:p w14:paraId="362CACB6">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26.投标设备需配备网络化数据接口，可实现与血站LISWELL管理软件连接、实验数据参数实时传输等功能，中标单位需承担相连的全部费用，软件终身免费维护、升级。</w:t>
      </w:r>
    </w:p>
    <w:p w14:paraId="47F62F80">
      <w:pPr>
        <w:spacing w:line="360" w:lineRule="auto"/>
        <w:ind w:firstLine="482" w:firstLineChars="200"/>
        <w:outlineLvl w:val="1"/>
        <w:rPr>
          <w:rFonts w:hint="eastAsia" w:ascii="宋体" w:hAnsi="宋体" w:cs="宋体"/>
          <w:b/>
          <w:bCs/>
          <w:color w:val="000000"/>
          <w:sz w:val="24"/>
          <w:szCs w:val="24"/>
          <w:lang w:val="en-US" w:eastAsia="zh-CN"/>
        </w:rPr>
      </w:pPr>
      <w:bookmarkStart w:id="152" w:name="_Toc21553"/>
      <w:r>
        <w:rPr>
          <w:rFonts w:hint="eastAsia" w:ascii="宋体" w:hAnsi="宋体" w:cs="宋体"/>
          <w:b/>
          <w:bCs/>
          <w:color w:val="000000"/>
          <w:sz w:val="24"/>
          <w:szCs w:val="24"/>
          <w:lang w:val="en-US" w:eastAsia="zh-CN"/>
        </w:rPr>
        <w:t>分包3：</w:t>
      </w:r>
      <w:bookmarkEnd w:id="152"/>
      <w:r>
        <w:rPr>
          <w:rFonts w:hint="eastAsia" w:ascii="宋体" w:hAnsi="宋体" w:cs="宋体"/>
          <w:b/>
          <w:bCs/>
          <w:color w:val="000000"/>
          <w:sz w:val="24"/>
          <w:szCs w:val="24"/>
          <w:lang w:val="en-US" w:eastAsia="zh-CN"/>
        </w:rPr>
        <w:t>核酸气溶胶清除仪</w:t>
      </w:r>
    </w:p>
    <w:p w14:paraId="7F55F66B">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1.应用范围：适用于PCR实验室核酸气溶胶污染的预防和清除，适用于核酸实验室各个区域。</w:t>
      </w:r>
    </w:p>
    <w:p w14:paraId="77DCCC39">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2.使用空间≥100立方米。</w:t>
      </w:r>
    </w:p>
    <w:p w14:paraId="1B6D5E6C">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3.清除空气中的气溶胶DNA/RNA，清除效率达到99%以上。</w:t>
      </w:r>
    </w:p>
    <w:p w14:paraId="6B2273AB">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4.生物安全性要求：生物安全性高，须提供核酸气溶胶污染清除剂的急性经口毒性，急性吸入毒性实验，完整皮肤刺激实验，急性眼刺激实验的检测报告。</w:t>
      </w:r>
    </w:p>
    <w:p w14:paraId="09A34B6F">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5.吸附净化模式下，可以人机共存，能够全天候不间断地保持高度洁净的空间和安全的空气，保证实验室生物安全性。</w:t>
      </w:r>
    </w:p>
    <w:p w14:paraId="34A77458">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6.对其它设备仪器和材料没有腐蚀性影</w:t>
      </w:r>
      <w:r>
        <w:rPr>
          <w:rFonts w:hint="default" w:ascii="宋体" w:hAnsi="宋体" w:cs="宋体"/>
          <w:b w:val="0"/>
          <w:bCs w:val="0"/>
          <w:color w:val="000000"/>
          <w:sz w:val="24"/>
          <w:szCs w:val="24"/>
          <w:highlight w:val="none"/>
          <w:lang w:val="en-US" w:eastAsia="zh-CN"/>
        </w:rPr>
        <w:t>响。</w:t>
      </w:r>
    </w:p>
    <w:p w14:paraId="00002A2E">
      <w:pPr>
        <w:spacing w:line="360" w:lineRule="auto"/>
        <w:ind w:firstLine="480" w:firstLineChars="200"/>
        <w:outlineLvl w:val="9"/>
        <w:rPr>
          <w:rFonts w:hint="default" w:ascii="宋体" w:hAnsi="宋体" w:cs="宋体"/>
          <w:b w:val="0"/>
          <w:bCs w:val="0"/>
          <w:color w:val="000000"/>
          <w:sz w:val="24"/>
          <w:szCs w:val="24"/>
          <w:highlight w:val="yellow"/>
          <w:lang w:val="en-US" w:eastAsia="zh-CN"/>
        </w:rPr>
      </w:pPr>
      <w:r>
        <w:rPr>
          <w:rFonts w:hint="default" w:ascii="宋体" w:hAnsi="宋体" w:cs="宋体"/>
          <w:b w:val="0"/>
          <w:bCs w:val="0"/>
          <w:color w:val="000000"/>
          <w:sz w:val="24"/>
          <w:szCs w:val="24"/>
          <w:lang w:val="en-US" w:eastAsia="zh-CN"/>
        </w:rPr>
        <w:t>7.需具有良好的清除核酸气溶胶污染的效果，须提供具有资质第三方的验证报告</w:t>
      </w:r>
      <w:r>
        <w:rPr>
          <w:rFonts w:hint="default" w:ascii="宋体" w:hAnsi="宋体" w:cs="宋体"/>
          <w:b w:val="0"/>
          <w:bCs w:val="0"/>
          <w:color w:val="000000"/>
          <w:sz w:val="24"/>
          <w:szCs w:val="24"/>
          <w:highlight w:val="none"/>
          <w:lang w:val="en-US" w:eastAsia="zh-CN"/>
        </w:rPr>
        <w:t>。</w:t>
      </w:r>
    </w:p>
    <w:p w14:paraId="22947A4A">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8.设备配套使用的核酸气溶胶清除剂方便运输存储。</w:t>
      </w:r>
    </w:p>
    <w:p w14:paraId="3C187DF8">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9.配套使用的核酸气溶胶清除剂，须提供第三方机构出具的金属腐蚀性试验报告。</w:t>
      </w:r>
    </w:p>
    <w:p w14:paraId="0DC678AA">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10.设备通过具有第三方认证机构出具的产品质量检测报告。</w:t>
      </w:r>
    </w:p>
    <w:p w14:paraId="07631B0B">
      <w:pPr>
        <w:spacing w:line="360" w:lineRule="auto"/>
        <w:ind w:firstLine="480" w:firstLineChars="200"/>
        <w:outlineLvl w:val="9"/>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w:t>
      </w:r>
      <w:r>
        <w:rPr>
          <w:rFonts w:hint="eastAsia" w:ascii="宋体" w:hAnsi="宋体" w:cs="宋体"/>
          <w:b w:val="0"/>
          <w:bCs w:val="0"/>
          <w:color w:val="000000"/>
          <w:sz w:val="24"/>
          <w:szCs w:val="24"/>
          <w:lang w:val="en-US" w:eastAsia="zh-CN"/>
        </w:rPr>
        <w:t>1</w:t>
      </w:r>
      <w:r>
        <w:rPr>
          <w:rFonts w:hint="default" w:ascii="宋体" w:hAnsi="宋体" w:cs="宋体"/>
          <w:b w:val="0"/>
          <w:bCs w:val="0"/>
          <w:color w:val="000000"/>
          <w:sz w:val="24"/>
          <w:szCs w:val="24"/>
          <w:lang w:val="en-US" w:eastAsia="zh-CN"/>
        </w:rPr>
        <w:t>.具备PCR实验室污染的解决能力及方案，并提供材料证明。</w:t>
      </w:r>
    </w:p>
    <w:bookmarkEnd w:id="150"/>
    <w:p w14:paraId="333CE47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2"/>
        <w:jc w:val="both"/>
        <w:textAlignment w:val="auto"/>
        <w:outlineLvl w:val="1"/>
        <w:rPr>
          <w:rFonts w:hint="default" w:ascii="Times New Roman" w:hAnsi="Times New Roman" w:eastAsia="宋体" w:cs="Times New Roman"/>
          <w:highlight w:val="none"/>
        </w:rPr>
      </w:pPr>
      <w:bookmarkStart w:id="153" w:name="_Toc4077"/>
      <w:r>
        <w:rPr>
          <w:rFonts w:hint="default" w:ascii="宋体" w:hAnsi="宋体" w:eastAsia="宋体" w:cs="宋体"/>
          <w:b/>
          <w:color w:val="000000"/>
          <w:sz w:val="24"/>
          <w:highlight w:val="none"/>
        </w:rPr>
        <w:t>五、其他</w:t>
      </w:r>
      <w:bookmarkEnd w:id="153"/>
    </w:p>
    <w:p w14:paraId="17CDD5E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0"/>
        <w:jc w:val="both"/>
        <w:textAlignment w:val="auto"/>
        <w:rPr>
          <w:rFonts w:hint="default" w:ascii="Times New Roman" w:hAnsi="Times New Roman" w:eastAsia="宋体" w:cs="Times New Roman"/>
          <w:highlight w:val="none"/>
        </w:rPr>
      </w:pPr>
      <w:r>
        <w:rPr>
          <w:rFonts w:hint="default" w:ascii="Times New Roman" w:hAnsi="Times New Roman" w:eastAsia="Times New Roman" w:cs="Times New Roman"/>
          <w:color w:val="000000"/>
          <w:sz w:val="24"/>
          <w:highlight w:val="none"/>
        </w:rPr>
        <w:t>1.</w:t>
      </w:r>
      <w:r>
        <w:rPr>
          <w:rFonts w:hint="default" w:ascii="宋体" w:hAnsi="宋体" w:eastAsia="宋体" w:cs="宋体"/>
          <w:color w:val="000000"/>
          <w:sz w:val="24"/>
          <w:highlight w:val="none"/>
        </w:rPr>
        <w:t>本次采购产品涉及商品包装和快递包装要求的，应不低于《关于印发《商品包装政府采购需求标准（试行）》《快递包装政府采购需求标准（试行）》的通知》（财办库〔</w:t>
      </w:r>
      <w:r>
        <w:rPr>
          <w:rFonts w:hint="default" w:ascii="Times New Roman" w:hAnsi="Times New Roman" w:eastAsia="Times New Roman" w:cs="Times New Roman"/>
          <w:color w:val="000000"/>
          <w:sz w:val="24"/>
          <w:highlight w:val="none"/>
        </w:rPr>
        <w:t>2020</w:t>
      </w:r>
      <w:r>
        <w:rPr>
          <w:rFonts w:hint="default" w:ascii="宋体" w:hAnsi="宋体" w:eastAsia="宋体" w:cs="宋体"/>
          <w:color w:val="000000"/>
          <w:sz w:val="24"/>
          <w:highlight w:val="none"/>
        </w:rPr>
        <w:t>〕</w:t>
      </w:r>
      <w:r>
        <w:rPr>
          <w:rFonts w:hint="default" w:ascii="Times New Roman" w:hAnsi="Times New Roman" w:eastAsia="Times New Roman" w:cs="Times New Roman"/>
          <w:color w:val="000000"/>
          <w:sz w:val="24"/>
          <w:highlight w:val="none"/>
        </w:rPr>
        <w:t xml:space="preserve">123 </w:t>
      </w:r>
      <w:r>
        <w:rPr>
          <w:rFonts w:hint="default" w:ascii="宋体" w:hAnsi="宋体" w:eastAsia="宋体" w:cs="宋体"/>
          <w:color w:val="000000"/>
          <w:sz w:val="24"/>
          <w:highlight w:val="none"/>
        </w:rPr>
        <w:t>号）文件规定的参考标准。在履约验收时按照本条款执行。投标人一旦参与本项目投标，即完全响应本条款要求。</w:t>
      </w:r>
    </w:p>
    <w:p w14:paraId="27FEB1D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0"/>
        <w:jc w:val="both"/>
        <w:textAlignment w:val="auto"/>
        <w:rPr>
          <w:rFonts w:hint="default" w:ascii="Times New Roman" w:hAnsi="Times New Roman" w:eastAsia="宋体" w:cs="Times New Roman"/>
          <w:highlight w:val="none"/>
        </w:rPr>
      </w:pPr>
      <w:r>
        <w:rPr>
          <w:rFonts w:hint="default" w:ascii="Times New Roman" w:hAnsi="Times New Roman" w:eastAsia="Times New Roman" w:cs="Times New Roman"/>
          <w:color w:val="000000"/>
          <w:sz w:val="24"/>
          <w:highlight w:val="none"/>
        </w:rPr>
        <w:t>2</w:t>
      </w:r>
      <w:r>
        <w:rPr>
          <w:rFonts w:hint="default" w:ascii="宋体" w:hAnsi="宋体" w:eastAsia="宋体" w:cs="宋体"/>
          <w:color w:val="000000"/>
          <w:sz w:val="24"/>
          <w:highlight w:val="none"/>
        </w:rPr>
        <w:t>、验收要求</w:t>
      </w:r>
    </w:p>
    <w:p w14:paraId="218010F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0"/>
        <w:jc w:val="both"/>
        <w:textAlignment w:val="auto"/>
        <w:rPr>
          <w:rFonts w:hint="default" w:ascii="Times New Roman" w:hAnsi="Times New Roman" w:eastAsia="宋体" w:cs="Times New Roman"/>
          <w:highlight w:val="none"/>
        </w:rPr>
      </w:pPr>
      <w:r>
        <w:rPr>
          <w:rFonts w:hint="default" w:ascii="Times New Roman" w:hAnsi="Times New Roman" w:eastAsia="Times New Roman" w:cs="Times New Roman"/>
          <w:color w:val="000000"/>
          <w:sz w:val="24"/>
          <w:highlight w:val="none"/>
        </w:rPr>
        <w:t>2.1</w:t>
      </w:r>
      <w:r>
        <w:rPr>
          <w:rFonts w:hint="default" w:ascii="宋体" w:hAnsi="宋体" w:eastAsia="宋体" w:cs="宋体"/>
          <w:color w:val="000000"/>
          <w:sz w:val="24"/>
          <w:highlight w:val="none"/>
        </w:rPr>
        <w:t>中标供应商货物送达后，采购人对其数量、品种、规格、运输保存方式等进行检查验收，如不合格应无条件退货或换货。</w:t>
      </w:r>
    </w:p>
    <w:p w14:paraId="08551A2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0"/>
        <w:jc w:val="both"/>
        <w:textAlignment w:val="auto"/>
        <w:rPr>
          <w:rFonts w:hint="default" w:ascii="Times New Roman" w:hAnsi="Times New Roman" w:eastAsia="宋体" w:cs="Times New Roman"/>
          <w:highlight w:val="none"/>
        </w:rPr>
      </w:pPr>
      <w:r>
        <w:rPr>
          <w:rFonts w:hint="default" w:ascii="Times New Roman" w:hAnsi="Times New Roman" w:eastAsia="Times New Roman" w:cs="Times New Roman"/>
          <w:color w:val="000000"/>
          <w:sz w:val="24"/>
          <w:highlight w:val="none"/>
        </w:rPr>
        <w:t>2.2</w:t>
      </w:r>
      <w:r>
        <w:rPr>
          <w:rFonts w:hint="default" w:ascii="宋体" w:hAnsi="宋体" w:eastAsia="宋体" w:cs="宋体"/>
          <w:color w:val="000000"/>
          <w:sz w:val="24"/>
          <w:highlight w:val="none"/>
        </w:rPr>
        <w:t>若因供应商原因造成无法验收通过的，采购人将拒绝付款，并追究供应商的违约责任。</w:t>
      </w:r>
    </w:p>
    <w:p w14:paraId="7A248DD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0"/>
        <w:jc w:val="both"/>
        <w:textAlignment w:val="auto"/>
        <w:rPr>
          <w:rFonts w:hint="default" w:ascii="Times New Roman" w:hAnsi="Times New Roman" w:eastAsia="宋体" w:cs="Times New Roman"/>
          <w:highlight w:val="none"/>
        </w:rPr>
      </w:pPr>
      <w:r>
        <w:rPr>
          <w:rFonts w:hint="default" w:ascii="Times New Roman" w:hAnsi="Times New Roman" w:eastAsia="Times New Roman" w:cs="Times New Roman"/>
          <w:color w:val="000000"/>
          <w:sz w:val="24"/>
          <w:highlight w:val="none"/>
        </w:rPr>
        <w:t>2.3</w:t>
      </w:r>
      <w:r>
        <w:rPr>
          <w:rFonts w:hint="default" w:ascii="宋体" w:hAnsi="宋体" w:eastAsia="宋体" w:cs="宋体"/>
          <w:color w:val="000000"/>
          <w:sz w:val="24"/>
          <w:highlight w:val="none"/>
        </w:rPr>
        <w:t>合同履行期满，供应商向采购人提交项目验收技术资料以及终验申请单，采购人收到申请后组织终验且验收无问题后签署终验单。</w:t>
      </w:r>
    </w:p>
    <w:p w14:paraId="008C129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0"/>
        <w:jc w:val="both"/>
        <w:textAlignment w:val="auto"/>
        <w:outlineLvl w:val="1"/>
        <w:rPr>
          <w:rFonts w:hint="default" w:ascii="Times New Roman" w:hAnsi="Times New Roman" w:eastAsia="宋体" w:cs="Times New Roman"/>
          <w:b/>
          <w:bCs/>
          <w:highlight w:val="none"/>
        </w:rPr>
      </w:pPr>
      <w:bookmarkStart w:id="154" w:name="_Toc12097"/>
      <w:r>
        <w:rPr>
          <w:rFonts w:hint="eastAsia" w:ascii="Times New Roman" w:hAnsi="Times New Roman" w:eastAsia="宋体" w:cs="Times New Roman"/>
          <w:b/>
          <w:bCs/>
          <w:color w:val="000000"/>
          <w:sz w:val="24"/>
          <w:highlight w:val="none"/>
          <w:lang w:val="en-US" w:eastAsia="zh-CN"/>
        </w:rPr>
        <w:t>六、</w:t>
      </w:r>
      <w:r>
        <w:rPr>
          <w:rFonts w:hint="eastAsia" w:ascii="宋体" w:hAnsi="宋体" w:eastAsia="宋体" w:cs="宋体"/>
          <w:b/>
          <w:bCs/>
          <w:color w:val="000000"/>
          <w:sz w:val="24"/>
          <w:highlight w:val="none"/>
          <w:lang w:val="en-US" w:eastAsia="zh-CN"/>
        </w:rPr>
        <w:t>供货要求</w:t>
      </w:r>
      <w:bookmarkEnd w:id="154"/>
    </w:p>
    <w:p w14:paraId="0536FFC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0"/>
        <w:jc w:val="both"/>
        <w:textAlignment w:val="auto"/>
        <w:rPr>
          <w:rFonts w:hint="default" w:ascii="宋体" w:hAnsi="宋体" w:eastAsia="宋体" w:cs="宋体"/>
          <w:color w:val="000000"/>
          <w:sz w:val="24"/>
          <w:highlight w:val="none"/>
        </w:rPr>
      </w:pPr>
      <w:r>
        <w:rPr>
          <w:rFonts w:hint="default" w:ascii="宋体" w:hAnsi="宋体" w:eastAsia="宋体" w:cs="宋体"/>
          <w:color w:val="000000"/>
          <w:sz w:val="24"/>
          <w:highlight w:val="none"/>
        </w:rPr>
        <w:t>1、针对本项目制定供货时间及计划安排，管理情况及质量保证措施</w:t>
      </w:r>
      <w:r>
        <w:rPr>
          <w:rFonts w:hint="eastAsia" w:ascii="宋体" w:hAnsi="宋体" w:eastAsia="宋体" w:cs="宋体"/>
          <w:color w:val="000000"/>
          <w:sz w:val="24"/>
          <w:highlight w:val="none"/>
          <w:lang w:eastAsia="zh-CN"/>
        </w:rPr>
        <w:t>、</w:t>
      </w:r>
      <w:r>
        <w:rPr>
          <w:rFonts w:hint="default" w:ascii="宋体" w:hAnsi="宋体" w:eastAsia="宋体" w:cs="宋体"/>
          <w:color w:val="000000"/>
          <w:sz w:val="24"/>
          <w:highlight w:val="none"/>
        </w:rPr>
        <w:t>工期管理、风险预防及控制措施、人员安排及管理</w:t>
      </w:r>
      <w:r>
        <w:rPr>
          <w:rFonts w:hint="eastAsia" w:ascii="宋体" w:hAnsi="宋体" w:eastAsia="宋体" w:cs="宋体"/>
          <w:color w:val="000000"/>
          <w:sz w:val="24"/>
          <w:highlight w:val="none"/>
          <w:lang w:eastAsia="zh-CN"/>
        </w:rPr>
        <w:t>、</w:t>
      </w:r>
      <w:r>
        <w:rPr>
          <w:rFonts w:hint="default" w:ascii="宋体" w:hAnsi="宋体" w:eastAsia="宋体" w:cs="宋体"/>
          <w:color w:val="000000"/>
          <w:sz w:val="24"/>
          <w:highlight w:val="none"/>
        </w:rPr>
        <w:t>突发应急事件处置方案</w:t>
      </w:r>
      <w:r>
        <w:rPr>
          <w:rFonts w:hint="eastAsia" w:ascii="宋体" w:hAnsi="宋体" w:eastAsia="宋体" w:cs="宋体"/>
          <w:color w:val="000000"/>
          <w:sz w:val="24"/>
          <w:highlight w:val="none"/>
          <w:lang w:val="en-US" w:eastAsia="zh-CN"/>
        </w:rPr>
        <w:t>等</w:t>
      </w:r>
      <w:r>
        <w:rPr>
          <w:rFonts w:hint="default" w:ascii="宋体" w:hAnsi="宋体" w:eastAsia="宋体" w:cs="宋体"/>
          <w:color w:val="000000"/>
          <w:sz w:val="24"/>
          <w:highlight w:val="none"/>
        </w:rPr>
        <w:t>，有明确的时间节点和进度安排，项目管理运行机制健全。</w:t>
      </w:r>
    </w:p>
    <w:p w14:paraId="6BECDFD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right="0" w:firstLine="480"/>
        <w:jc w:val="both"/>
        <w:textAlignment w:val="auto"/>
        <w:rPr>
          <w:rFonts w:hint="default" w:ascii="宋体" w:hAnsi="宋体" w:eastAsia="宋体" w:cs="宋体"/>
          <w:color w:val="000000"/>
          <w:sz w:val="24"/>
          <w:highlight w:val="none"/>
        </w:rPr>
      </w:pPr>
      <w:r>
        <w:rPr>
          <w:rFonts w:hint="default" w:ascii="宋体" w:hAnsi="宋体" w:eastAsia="宋体" w:cs="宋体"/>
          <w:color w:val="000000"/>
          <w:sz w:val="24"/>
          <w:highlight w:val="none"/>
        </w:rPr>
        <w:t>2、中标人应将所供货物运送到采购人指定地点，对</w:t>
      </w:r>
      <w:r>
        <w:rPr>
          <w:rFonts w:hint="eastAsia" w:ascii="宋体" w:hAnsi="宋体" w:cs="宋体"/>
          <w:color w:val="000000"/>
          <w:sz w:val="24"/>
          <w:highlight w:val="none"/>
          <w:lang w:val="en-US" w:eastAsia="zh-CN"/>
        </w:rPr>
        <w:t>运输及</w:t>
      </w:r>
      <w:r>
        <w:rPr>
          <w:rFonts w:hint="default" w:ascii="宋体" w:hAnsi="宋体" w:eastAsia="宋体" w:cs="宋体"/>
          <w:color w:val="000000"/>
          <w:sz w:val="24"/>
          <w:highlight w:val="none"/>
        </w:rPr>
        <w:t>现场安全负完全责任；负责送货、安装、调试现场安全管理、环境保护管理，项目实施过程中产生的包装等废弃垃圾搬运至采购人指定地点并清扫现场。</w:t>
      </w:r>
    </w:p>
    <w:p w14:paraId="02F9B0B8">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leftChars="0" w:right="0" w:rightChars="0" w:firstLine="480" w:firstLineChars="0"/>
        <w:jc w:val="both"/>
        <w:textAlignment w:val="auto"/>
        <w:outlineLvl w:val="1"/>
        <w:rPr>
          <w:rFonts w:hint="eastAsia" w:ascii="宋体" w:hAnsi="宋体" w:eastAsia="宋体" w:cs="宋体"/>
          <w:color w:val="000000"/>
          <w:sz w:val="24"/>
          <w:highlight w:val="none"/>
          <w:lang w:val="en-US" w:eastAsia="zh-CN"/>
        </w:rPr>
      </w:pPr>
      <w:bookmarkStart w:id="155" w:name="_Toc11741"/>
      <w:r>
        <w:rPr>
          <w:rFonts w:hint="eastAsia" w:ascii="宋体" w:hAnsi="宋体" w:eastAsia="宋体" w:cs="宋体"/>
          <w:b/>
          <w:bCs/>
          <w:color w:val="000000"/>
          <w:sz w:val="24"/>
          <w:szCs w:val="21"/>
          <w:lang w:val="en-US" w:eastAsia="zh-CN" w:bidi="ar-SA"/>
        </w:rPr>
        <w:t>七、</w:t>
      </w:r>
      <w:r>
        <w:rPr>
          <w:rFonts w:hint="eastAsia" w:ascii="宋体" w:hAnsi="宋体" w:eastAsia="宋体" w:cs="宋体"/>
          <w:b/>
          <w:bCs/>
          <w:color w:val="000000"/>
          <w:sz w:val="24"/>
          <w:highlight w:val="none"/>
          <w:lang w:val="en-US" w:eastAsia="zh-CN"/>
        </w:rPr>
        <w:t>安装调试</w:t>
      </w:r>
      <w:bookmarkEnd w:id="155"/>
    </w:p>
    <w:p w14:paraId="33D4EC97">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leftChars="0" w:right="0" w:rightChars="0" w:firstLine="48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提供详细的方案，具体说明工作计划、工期及步骤；到货后在采购人的指导下，中标人在符合安全生产规范的同时完成安装事项；到货验收：应在合同规定的交货期内提供所有产品、产品生产厂家的检验证书等，并在采购人指定的地点进行产品交付。交付的产品应包括合同列出的全部配件、相关资料以及装箱单等；</w:t>
      </w:r>
    </w:p>
    <w:p w14:paraId="3CAA04C9">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leftChars="0" w:right="0" w:rightChars="0" w:firstLine="480" w:firstLineChars="0"/>
        <w:jc w:val="both"/>
        <w:textAlignment w:val="auto"/>
        <w:outlineLvl w:val="1"/>
        <w:rPr>
          <w:rFonts w:hint="eastAsia" w:ascii="宋体" w:hAnsi="宋体" w:eastAsia="宋体" w:cs="宋体"/>
          <w:b/>
          <w:bCs/>
          <w:color w:val="000000"/>
          <w:sz w:val="24"/>
          <w:highlight w:val="none"/>
          <w:lang w:eastAsia="zh-CN"/>
        </w:rPr>
      </w:pPr>
      <w:bookmarkStart w:id="156" w:name="_Toc24492"/>
      <w:r>
        <w:rPr>
          <w:rFonts w:hint="eastAsia" w:ascii="宋体" w:hAnsi="宋体" w:eastAsia="宋体" w:cs="宋体"/>
          <w:b/>
          <w:bCs/>
          <w:color w:val="000000"/>
          <w:sz w:val="24"/>
          <w:szCs w:val="21"/>
          <w:lang w:val="en-US" w:eastAsia="zh-CN" w:bidi="ar-SA"/>
        </w:rPr>
        <w:t>八、</w:t>
      </w:r>
      <w:r>
        <w:rPr>
          <w:rFonts w:hint="default" w:ascii="宋体" w:hAnsi="宋体" w:eastAsia="宋体" w:cs="宋体"/>
          <w:b/>
          <w:bCs/>
          <w:color w:val="000000"/>
          <w:sz w:val="24"/>
          <w:highlight w:val="none"/>
        </w:rPr>
        <w:t>培训</w:t>
      </w:r>
      <w:r>
        <w:rPr>
          <w:rFonts w:hint="eastAsia" w:ascii="宋体" w:hAnsi="宋体" w:eastAsia="宋体" w:cs="宋体"/>
          <w:b/>
          <w:bCs/>
          <w:color w:val="000000"/>
          <w:sz w:val="24"/>
          <w:highlight w:val="none"/>
          <w:lang w:val="en-US" w:eastAsia="zh-CN"/>
        </w:rPr>
        <w:t>要求</w:t>
      </w:r>
      <w:bookmarkEnd w:id="156"/>
    </w:p>
    <w:p w14:paraId="701B1339">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leftChars="0" w:right="0" w:rightChars="0" w:firstLine="480" w:firstLineChars="0"/>
        <w:jc w:val="both"/>
        <w:textAlignment w:val="auto"/>
        <w:rPr>
          <w:rFonts w:hint="default" w:ascii="宋体" w:hAnsi="宋体" w:eastAsia="宋体" w:cs="宋体"/>
          <w:color w:val="000000"/>
          <w:sz w:val="24"/>
          <w:highlight w:val="none"/>
        </w:rPr>
      </w:pPr>
      <w:r>
        <w:rPr>
          <w:rFonts w:hint="default" w:ascii="宋体" w:hAnsi="宋体" w:eastAsia="宋体" w:cs="宋体"/>
          <w:color w:val="000000"/>
          <w:sz w:val="24"/>
          <w:highlight w:val="none"/>
        </w:rPr>
        <w:t>需经验丰富的专业工程师负责进行现场培训。设备正式运作前，需提供技术人员对客户操作、使用，系统日常运行、维护等相关培训，现场集中培训不得少于1次。投标人须提供所需的培训服务，以确保采购人的技术人员能对投标人所提供的设备和装置的设计、日常运作、故障和例行维护、事故处理和解决方面等有全面性的认识和了解。提供并解释有关设计资料、文件、图纸等，以便采购人对整套系统的各个方面都能熟练掌握。提供培训所需的材料、设备、幻灯片以及其它的培训教材文件，所有教材文件须以中文说明。</w:t>
      </w:r>
    </w:p>
    <w:p w14:paraId="7990222B">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leftChars="0" w:right="0" w:rightChars="0" w:firstLine="480" w:firstLineChars="0"/>
        <w:jc w:val="both"/>
        <w:textAlignment w:val="auto"/>
        <w:outlineLvl w:val="1"/>
        <w:rPr>
          <w:rFonts w:hint="eastAsia" w:ascii="宋体" w:hAnsi="宋体" w:eastAsia="宋体" w:cs="宋体"/>
          <w:b/>
          <w:bCs/>
          <w:color w:val="000000"/>
          <w:sz w:val="24"/>
          <w:highlight w:val="none"/>
          <w:lang w:eastAsia="zh-CN"/>
        </w:rPr>
      </w:pPr>
      <w:bookmarkStart w:id="157" w:name="_Toc14091"/>
      <w:r>
        <w:rPr>
          <w:rFonts w:hint="eastAsia" w:ascii="宋体" w:hAnsi="宋体" w:eastAsia="宋体" w:cs="宋体"/>
          <w:b/>
          <w:bCs/>
          <w:color w:val="000000"/>
          <w:sz w:val="24"/>
          <w:szCs w:val="21"/>
          <w:lang w:val="en-US" w:eastAsia="zh-CN" w:bidi="ar-SA"/>
        </w:rPr>
        <w:t>九、</w:t>
      </w:r>
      <w:r>
        <w:rPr>
          <w:rFonts w:hint="default" w:ascii="宋体" w:hAnsi="宋体" w:eastAsia="宋体" w:cs="宋体"/>
          <w:b/>
          <w:bCs/>
          <w:color w:val="000000"/>
          <w:sz w:val="24"/>
          <w:highlight w:val="none"/>
        </w:rPr>
        <w:t>售后服务</w:t>
      </w:r>
      <w:bookmarkEnd w:id="157"/>
    </w:p>
    <w:p w14:paraId="57965B6A">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leftChars="0" w:right="0" w:rightChars="0" w:firstLine="480" w:firstLineChars="0"/>
        <w:jc w:val="both"/>
        <w:textAlignment w:val="auto"/>
        <w:rPr>
          <w:rFonts w:hint="default" w:ascii="宋体" w:hAnsi="宋体" w:eastAsia="宋体" w:cs="宋体"/>
          <w:color w:val="000000"/>
          <w:sz w:val="24"/>
          <w:highlight w:val="none"/>
        </w:rPr>
      </w:pPr>
      <w:r>
        <w:rPr>
          <w:rFonts w:hint="default" w:ascii="宋体" w:hAnsi="宋体" w:eastAsia="宋体" w:cs="宋体"/>
          <w:color w:val="000000"/>
          <w:sz w:val="24"/>
          <w:highlight w:val="none"/>
        </w:rPr>
        <w:t>1.服务内容：为本项目采购的所有产品提供维修、保养、替换故障部件等服务，相关费用均包含在投标报价中。因设备配置或制造质量问题而引起的故障，投标人应在24小时内立即予以维修或更换完毕，由此引起的一切费用由投标人承担。</w:t>
      </w:r>
    </w:p>
    <w:p w14:paraId="0FA84E70">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leftChars="0" w:right="0" w:rightChars="0" w:firstLine="480" w:firstLineChars="0"/>
        <w:jc w:val="both"/>
        <w:textAlignment w:val="auto"/>
        <w:rPr>
          <w:rFonts w:hint="default" w:ascii="宋体" w:hAnsi="宋体" w:eastAsia="宋体" w:cs="宋体"/>
          <w:color w:val="000000"/>
          <w:sz w:val="24"/>
          <w:highlight w:val="none"/>
        </w:rPr>
      </w:pPr>
      <w:r>
        <w:rPr>
          <w:rFonts w:hint="default" w:ascii="宋体" w:hAnsi="宋体" w:eastAsia="宋体" w:cs="宋体"/>
          <w:color w:val="000000"/>
          <w:sz w:val="24"/>
          <w:highlight w:val="none"/>
        </w:rPr>
        <w:t>2.响应时间：投标人应严格按照招标文件的有关规定提供合格产品，保证货物为全新未使用的原装正品，货物上均有合格证，包括品牌的有关标志等；一旦发生质量问题，投标人在接到采购人通知的10分钟内快速响应服务，简单问题1小时内解决完毕，排除故障恢复正常运行；如果需要到现场维修的须在24小时内派技术人员到达现场，开展维修维护工作，排除故障恢复正常运行。并为采购人提供每周7天、每天24小时售后技术支持和服务。如投标人在接到通知工作日的24小时内没有答复或处理问题，则视为投标人承认质量问题并承担由此而发生的一切费用。</w:t>
      </w:r>
    </w:p>
    <w:p w14:paraId="25C3A56D">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80" w:lineRule="exact"/>
        <w:ind w:left="0" w:leftChars="0" w:right="0" w:rightChars="0" w:firstLine="480" w:firstLineChars="0"/>
        <w:jc w:val="both"/>
        <w:textAlignment w:val="auto"/>
        <w:rPr>
          <w:rFonts w:eastAsia="黑体"/>
          <w:bCs/>
          <w:sz w:val="44"/>
        </w:rPr>
      </w:pPr>
      <w:r>
        <w:rPr>
          <w:rFonts w:hint="default" w:ascii="宋体" w:hAnsi="宋体" w:eastAsia="宋体" w:cs="宋体"/>
          <w:color w:val="000000"/>
          <w:sz w:val="24"/>
          <w:highlight w:val="none"/>
        </w:rPr>
        <w:t>3.投标人未在上述规定时间内履行售后服务义务的，采购人可选择是否委托第三方代为处理，由此产生的费用及损失均由投标人承担。</w:t>
      </w:r>
    </w:p>
    <w:p w14:paraId="4F2D2422">
      <w:pPr>
        <w:rPr>
          <w:rFonts w:eastAsia="黑体"/>
          <w:bCs/>
          <w:sz w:val="44"/>
        </w:rPr>
      </w:pPr>
    </w:p>
    <w:p w14:paraId="3B70CA3A">
      <w:pPr>
        <w:rPr>
          <w:rFonts w:eastAsia="黑体"/>
          <w:bCs/>
          <w:sz w:val="44"/>
        </w:rPr>
      </w:pPr>
    </w:p>
    <w:p w14:paraId="58147E0C">
      <w:pPr>
        <w:pStyle w:val="2"/>
        <w:rPr>
          <w:rFonts w:eastAsia="黑体"/>
          <w:bCs/>
          <w:sz w:val="44"/>
        </w:rPr>
      </w:pPr>
    </w:p>
    <w:p w14:paraId="21713DEA">
      <w:pPr>
        <w:pStyle w:val="2"/>
        <w:rPr>
          <w:rFonts w:eastAsia="黑体"/>
          <w:bCs/>
          <w:sz w:val="44"/>
        </w:rPr>
      </w:pPr>
    </w:p>
    <w:p w14:paraId="37F39200">
      <w:pPr>
        <w:pStyle w:val="2"/>
        <w:rPr>
          <w:rFonts w:eastAsia="黑体"/>
          <w:bCs/>
          <w:sz w:val="44"/>
        </w:rPr>
      </w:pPr>
    </w:p>
    <w:p w14:paraId="5466DBE1">
      <w:pPr>
        <w:pStyle w:val="2"/>
        <w:rPr>
          <w:rFonts w:eastAsia="黑体"/>
          <w:bCs/>
          <w:sz w:val="44"/>
        </w:rPr>
      </w:pPr>
    </w:p>
    <w:p w14:paraId="558DF745">
      <w:pPr>
        <w:pStyle w:val="2"/>
        <w:rPr>
          <w:rFonts w:eastAsia="黑体"/>
          <w:bCs/>
          <w:sz w:val="44"/>
        </w:rPr>
      </w:pPr>
    </w:p>
    <w:p w14:paraId="754621A3">
      <w:pPr>
        <w:pStyle w:val="2"/>
        <w:rPr>
          <w:rFonts w:eastAsia="黑体"/>
          <w:bCs/>
          <w:sz w:val="44"/>
        </w:rPr>
      </w:pPr>
    </w:p>
    <w:p w14:paraId="32FBADDB">
      <w:pPr>
        <w:pStyle w:val="2"/>
        <w:rPr>
          <w:rFonts w:eastAsia="黑体"/>
          <w:bCs/>
          <w:sz w:val="44"/>
        </w:rPr>
      </w:pPr>
    </w:p>
    <w:p w14:paraId="039AE3A9">
      <w:pPr>
        <w:pStyle w:val="2"/>
        <w:rPr>
          <w:rFonts w:eastAsia="黑体"/>
          <w:bCs/>
          <w:sz w:val="44"/>
        </w:rPr>
      </w:pPr>
    </w:p>
    <w:p w14:paraId="46D533DB">
      <w:pPr>
        <w:pStyle w:val="2"/>
        <w:rPr>
          <w:rFonts w:eastAsia="黑体"/>
          <w:bCs/>
          <w:sz w:val="44"/>
        </w:rPr>
      </w:pPr>
    </w:p>
    <w:p w14:paraId="67AD994B">
      <w:pPr>
        <w:pStyle w:val="2"/>
        <w:rPr>
          <w:rFonts w:eastAsia="黑体"/>
          <w:bCs/>
          <w:sz w:val="44"/>
        </w:rPr>
      </w:pPr>
    </w:p>
    <w:p w14:paraId="400535D0">
      <w:pPr>
        <w:pStyle w:val="2"/>
        <w:rPr>
          <w:rFonts w:eastAsia="黑体"/>
          <w:bCs/>
          <w:sz w:val="44"/>
        </w:rPr>
      </w:pPr>
    </w:p>
    <w:p w14:paraId="68383AF1">
      <w:pPr>
        <w:pStyle w:val="2"/>
        <w:rPr>
          <w:rFonts w:eastAsia="黑体"/>
          <w:bCs/>
          <w:sz w:val="44"/>
        </w:rPr>
      </w:pPr>
    </w:p>
    <w:p w14:paraId="45A64766">
      <w:pPr>
        <w:pStyle w:val="2"/>
        <w:rPr>
          <w:rFonts w:eastAsia="黑体"/>
          <w:bCs/>
          <w:sz w:val="44"/>
        </w:rPr>
      </w:pPr>
    </w:p>
    <w:p w14:paraId="43B6C56A">
      <w:pPr>
        <w:pStyle w:val="2"/>
        <w:rPr>
          <w:rFonts w:eastAsia="黑体"/>
          <w:bCs/>
          <w:sz w:val="44"/>
        </w:rPr>
      </w:pPr>
    </w:p>
    <w:p w14:paraId="0944A6A4">
      <w:pPr>
        <w:pStyle w:val="2"/>
        <w:rPr>
          <w:rFonts w:eastAsia="黑体"/>
          <w:bCs/>
          <w:sz w:val="44"/>
        </w:rPr>
      </w:pPr>
    </w:p>
    <w:p w14:paraId="71E26C11">
      <w:pPr>
        <w:pStyle w:val="2"/>
        <w:rPr>
          <w:rFonts w:eastAsia="黑体"/>
          <w:bCs/>
          <w:sz w:val="44"/>
        </w:rPr>
      </w:pPr>
    </w:p>
    <w:p w14:paraId="4BF14DC1">
      <w:pPr>
        <w:pStyle w:val="2"/>
        <w:rPr>
          <w:rFonts w:eastAsia="黑体"/>
          <w:bCs/>
          <w:sz w:val="44"/>
        </w:rPr>
      </w:pPr>
    </w:p>
    <w:p w14:paraId="142E3CFB">
      <w:pPr>
        <w:jc w:val="center"/>
        <w:outlineLvl w:val="0"/>
        <w:rPr>
          <w:rFonts w:eastAsia="黑体"/>
          <w:bCs/>
          <w:sz w:val="44"/>
        </w:rPr>
      </w:pPr>
      <w:bookmarkStart w:id="158" w:name="_Toc18811"/>
      <w:r>
        <w:rPr>
          <w:rFonts w:hint="eastAsia" w:eastAsia="黑体"/>
          <w:bCs/>
          <w:sz w:val="44"/>
        </w:rPr>
        <w:t>第五章 合同文本</w:t>
      </w:r>
      <w:bookmarkEnd w:id="131"/>
      <w:bookmarkEnd w:id="132"/>
      <w:bookmarkEnd w:id="133"/>
      <w:bookmarkEnd w:id="158"/>
    </w:p>
    <w:p w14:paraId="011D26C9">
      <w:pPr>
        <w:spacing w:line="500" w:lineRule="exact"/>
        <w:ind w:firstLine="480"/>
        <w:rPr>
          <w:bCs/>
          <w:sz w:val="24"/>
        </w:rPr>
      </w:pPr>
      <w:bookmarkStart w:id="159" w:name="_Toc513029243"/>
      <w:bookmarkStart w:id="160" w:name="_Toc16938559"/>
      <w:bookmarkStart w:id="161" w:name="_Toc20823315"/>
      <w:r>
        <w:rPr>
          <w:rFonts w:hint="eastAsia"/>
          <w:bCs/>
          <w:sz w:val="24"/>
        </w:rPr>
        <w:t>以下为中标后签</w:t>
      </w:r>
      <w:r>
        <w:rPr>
          <w:rFonts w:hint="eastAsia"/>
          <w:bCs/>
          <w:sz w:val="24"/>
          <w:lang w:val="en-US" w:eastAsia="zh-CN"/>
        </w:rPr>
        <w:t>订</w:t>
      </w:r>
      <w:r>
        <w:rPr>
          <w:rFonts w:hint="eastAsia"/>
          <w:bCs/>
          <w:sz w:val="24"/>
        </w:rPr>
        <w:t>本项目合同的通用条款，投标人不得提出实质性的修改。</w:t>
      </w:r>
    </w:p>
    <w:bookmarkEnd w:id="159"/>
    <w:bookmarkEnd w:id="160"/>
    <w:bookmarkEnd w:id="161"/>
    <w:p w14:paraId="0FE53ED1">
      <w:pPr>
        <w:spacing w:before="145" w:after="145"/>
        <w:jc w:val="center"/>
        <w:rPr>
          <w:b/>
          <w:sz w:val="30"/>
        </w:rPr>
      </w:pPr>
      <w:bookmarkStart w:id="162" w:name="_Hlt16619369"/>
      <w:bookmarkEnd w:id="162"/>
    </w:p>
    <w:p w14:paraId="79B96E53">
      <w:pPr>
        <w:spacing w:before="145" w:after="145"/>
        <w:jc w:val="center"/>
        <w:rPr>
          <w:rFonts w:hint="eastAsia"/>
          <w:b/>
          <w:sz w:val="30"/>
        </w:rPr>
      </w:pPr>
      <w:r>
        <w:rPr>
          <w:rFonts w:hint="eastAsia"/>
          <w:b/>
          <w:sz w:val="30"/>
        </w:rPr>
        <w:t>江苏省政府采购合同（</w:t>
      </w:r>
      <w:r>
        <w:rPr>
          <w:rFonts w:hint="eastAsia"/>
          <w:b/>
          <w:sz w:val="30"/>
          <w:lang w:val="en-US" w:eastAsia="zh-CN"/>
        </w:rPr>
        <w:t>货物</w:t>
      </w:r>
      <w:r>
        <w:rPr>
          <w:rFonts w:hint="eastAsia"/>
          <w:b/>
          <w:sz w:val="30"/>
        </w:rPr>
        <w:t>）（合同编号）</w:t>
      </w:r>
    </w:p>
    <w:p w14:paraId="6E926C5A">
      <w:pPr>
        <w:spacing w:before="145" w:after="145"/>
        <w:jc w:val="center"/>
        <w:rPr>
          <w:rFonts w:hint="eastAsia" w:eastAsia="宋体"/>
          <w:b/>
          <w:sz w:val="30"/>
          <w:lang w:eastAsia="zh-CN"/>
        </w:rPr>
      </w:pPr>
      <w:r>
        <w:rPr>
          <w:rFonts w:hint="eastAsia"/>
          <w:b/>
          <w:sz w:val="30"/>
          <w:lang w:eastAsia="zh-CN"/>
        </w:rPr>
        <w:t>（</w:t>
      </w:r>
      <w:r>
        <w:rPr>
          <w:rFonts w:hint="eastAsia"/>
          <w:b/>
          <w:sz w:val="30"/>
          <w:lang w:val="en-US" w:eastAsia="zh-CN"/>
        </w:rPr>
        <w:t>分包1-分包3</w:t>
      </w:r>
      <w:r>
        <w:rPr>
          <w:rFonts w:hint="eastAsia"/>
          <w:b/>
          <w:sz w:val="30"/>
          <w:lang w:eastAsia="zh-CN"/>
        </w:rPr>
        <w:t>）</w:t>
      </w:r>
    </w:p>
    <w:p w14:paraId="08659162">
      <w:pPr>
        <w:spacing w:line="480" w:lineRule="exact"/>
        <w:ind w:firstLine="480"/>
        <w:rPr>
          <w:rFonts w:ascii="宋体" w:hAnsi="宋体" w:cs="宋体"/>
          <w:bCs/>
          <w:color w:val="000000"/>
          <w:sz w:val="24"/>
          <w:szCs w:val="24"/>
        </w:rPr>
      </w:pPr>
      <w:r>
        <w:rPr>
          <w:rFonts w:hint="eastAsia" w:ascii="宋体" w:hAnsi="宋体" w:cs="宋体"/>
          <w:bCs/>
          <w:color w:val="000000"/>
          <w:sz w:val="24"/>
          <w:szCs w:val="24"/>
        </w:rPr>
        <w:t>采购单位（全称）：</w:t>
      </w:r>
      <w:r>
        <w:rPr>
          <w:rFonts w:hint="eastAsia" w:ascii="宋体" w:hAnsi="宋体" w:cs="宋体"/>
          <w:bCs/>
          <w:color w:val="000000"/>
          <w:sz w:val="24"/>
          <w:szCs w:val="24"/>
          <w:u w:val="single"/>
          <w:lang w:eastAsia="zh-CN"/>
        </w:rPr>
        <w:t>宿迁市中心血站</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 xml:space="preserve">（以下简称甲方） </w:t>
      </w:r>
    </w:p>
    <w:p w14:paraId="7C4382AA">
      <w:pPr>
        <w:spacing w:line="480" w:lineRule="exact"/>
        <w:ind w:firstLine="480"/>
        <w:rPr>
          <w:rFonts w:ascii="宋体" w:hAnsi="宋体" w:cs="宋体"/>
          <w:bCs/>
          <w:color w:val="000000"/>
          <w:sz w:val="24"/>
          <w:szCs w:val="24"/>
        </w:rPr>
      </w:pPr>
      <w:r>
        <w:rPr>
          <w:rFonts w:hint="eastAsia" w:ascii="宋体" w:hAnsi="宋体" w:cs="宋体"/>
          <w:bCs/>
          <w:color w:val="000000"/>
          <w:sz w:val="24"/>
          <w:szCs w:val="24"/>
        </w:rPr>
        <w:t>中标人（全称）：</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 xml:space="preserve">（以下简称乙方） </w:t>
      </w:r>
    </w:p>
    <w:p w14:paraId="4BFE146A">
      <w:pPr>
        <w:spacing w:line="480" w:lineRule="exact"/>
        <w:ind w:firstLine="480"/>
        <w:rPr>
          <w:rFonts w:ascii="宋体" w:hAnsi="宋体" w:cs="宋体"/>
          <w:bCs/>
          <w:color w:val="000000"/>
          <w:sz w:val="24"/>
          <w:szCs w:val="24"/>
        </w:rPr>
      </w:pPr>
      <w:r>
        <w:rPr>
          <w:rFonts w:hint="eastAsia" w:ascii="宋体" w:hAnsi="宋体" w:cs="宋体"/>
          <w:bCs/>
          <w:color w:val="000000"/>
          <w:sz w:val="24"/>
          <w:szCs w:val="24"/>
        </w:rPr>
        <w:t>依照《中华人民共和国政府采购法》《中华人民共和国政府采购法实施条例》《中华人民共和国民法典（第三编合同）》等相关法律规定，遵循平等、自愿、公平和诚信的原则，双方就项目编号</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的</w:t>
      </w:r>
      <w:r>
        <w:rPr>
          <w:rFonts w:hint="eastAsia" w:ascii="宋体" w:hAnsi="宋体" w:cs="宋体"/>
          <w:bCs/>
          <w:color w:val="000000"/>
          <w:sz w:val="24"/>
          <w:szCs w:val="24"/>
          <w:u w:val="single"/>
          <w:lang w:eastAsia="zh-CN"/>
        </w:rPr>
        <w:t>血站服务能力提升项目（第一批）</w:t>
      </w:r>
      <w:r>
        <w:rPr>
          <w:rFonts w:hint="eastAsia" w:ascii="宋体" w:hAnsi="宋体" w:cs="宋体"/>
          <w:bCs/>
          <w:color w:val="000000"/>
          <w:sz w:val="24"/>
          <w:szCs w:val="24"/>
        </w:rPr>
        <w:t>相关事项协商一致，达成如下合同条款：</w:t>
      </w:r>
    </w:p>
    <w:p w14:paraId="6E7FA259">
      <w:pPr>
        <w:spacing w:line="480" w:lineRule="exact"/>
        <w:ind w:firstLine="482"/>
        <w:jc w:val="left"/>
        <w:rPr>
          <w:rFonts w:ascii="宋体" w:hAnsi="宋体" w:cs="宋体"/>
          <w:b/>
          <w:color w:val="000000"/>
          <w:sz w:val="24"/>
          <w:szCs w:val="24"/>
        </w:rPr>
      </w:pPr>
      <w:r>
        <w:rPr>
          <w:rFonts w:hint="eastAsia" w:ascii="宋体" w:hAnsi="宋体" w:cs="宋体"/>
          <w:b/>
          <w:color w:val="000000"/>
          <w:sz w:val="24"/>
          <w:szCs w:val="24"/>
        </w:rPr>
        <w:t>一、合同内容</w:t>
      </w:r>
    </w:p>
    <w:p w14:paraId="2D45D88F">
      <w:pPr>
        <w:spacing w:line="480" w:lineRule="exact"/>
        <w:ind w:firstLine="480"/>
        <w:jc w:val="left"/>
        <w:rPr>
          <w:rFonts w:hint="eastAsia" w:ascii="宋体" w:hAnsi="宋体" w:eastAsia="宋体" w:cs="宋体"/>
          <w:bCs/>
          <w:color w:val="000000"/>
          <w:sz w:val="24"/>
          <w:szCs w:val="24"/>
          <w:lang w:eastAsia="zh-CN"/>
        </w:rPr>
      </w:pPr>
      <w:r>
        <w:rPr>
          <w:rFonts w:hint="eastAsia" w:ascii="宋体" w:hAnsi="宋体" w:cs="宋体"/>
          <w:bCs/>
          <w:color w:val="000000"/>
          <w:sz w:val="24"/>
          <w:szCs w:val="24"/>
        </w:rPr>
        <w:t>1.1 标的名称：</w:t>
      </w:r>
    </w:p>
    <w:p w14:paraId="16F234D4">
      <w:pPr>
        <w:spacing w:line="480" w:lineRule="exact"/>
        <w:ind w:firstLine="480"/>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rPr>
        <w:t>1.2 标的质量：</w:t>
      </w:r>
      <w:r>
        <w:rPr>
          <w:rFonts w:hint="eastAsia" w:ascii="宋体" w:hAnsi="宋体" w:cs="宋体"/>
          <w:bCs/>
          <w:color w:val="000000"/>
          <w:sz w:val="24"/>
          <w:szCs w:val="24"/>
          <w:u w:val="single"/>
        </w:rPr>
        <w:t>合</w:t>
      </w:r>
      <w:r>
        <w:rPr>
          <w:rFonts w:hint="eastAsia" w:ascii="宋体" w:hAnsi="宋体" w:cs="宋体"/>
          <w:bCs/>
          <w:color w:val="000000"/>
          <w:sz w:val="24"/>
          <w:szCs w:val="24"/>
          <w:highlight w:val="none"/>
          <w:u w:val="single"/>
        </w:rPr>
        <w:t>格</w:t>
      </w:r>
      <w:r>
        <w:rPr>
          <w:rFonts w:hint="eastAsia" w:ascii="宋体" w:hAnsi="宋体" w:cs="宋体"/>
          <w:bCs/>
          <w:color w:val="000000"/>
          <w:sz w:val="24"/>
          <w:szCs w:val="24"/>
          <w:highlight w:val="none"/>
          <w:u w:val="single"/>
          <w:lang w:eastAsia="zh-CN"/>
        </w:rPr>
        <w:t>，乙方提供的产品（含</w:t>
      </w:r>
      <w:r>
        <w:rPr>
          <w:rFonts w:hint="eastAsia" w:ascii="宋体" w:hAnsi="宋体" w:cs="宋体"/>
          <w:bCs/>
          <w:color w:val="000000"/>
          <w:sz w:val="24"/>
          <w:szCs w:val="24"/>
          <w:highlight w:val="none"/>
          <w:u w:val="single"/>
          <w:lang w:val="en-US" w:eastAsia="zh-CN"/>
        </w:rPr>
        <w:t>技术、</w:t>
      </w:r>
      <w:r>
        <w:rPr>
          <w:rFonts w:hint="eastAsia" w:ascii="宋体" w:hAnsi="宋体" w:cs="宋体"/>
          <w:bCs/>
          <w:color w:val="000000"/>
          <w:sz w:val="24"/>
          <w:szCs w:val="24"/>
          <w:highlight w:val="none"/>
          <w:u w:val="single"/>
          <w:lang w:eastAsia="zh-CN"/>
        </w:rPr>
        <w:t>软件</w:t>
      </w:r>
      <w:r>
        <w:rPr>
          <w:rFonts w:hint="eastAsia" w:ascii="宋体" w:hAnsi="宋体" w:cs="宋体"/>
          <w:bCs/>
          <w:color w:val="000000"/>
          <w:sz w:val="24"/>
          <w:szCs w:val="24"/>
          <w:highlight w:val="none"/>
          <w:u w:val="single"/>
          <w:lang w:val="en-US" w:eastAsia="zh-CN"/>
        </w:rPr>
        <w:t>等</w:t>
      </w:r>
      <w:r>
        <w:rPr>
          <w:rFonts w:hint="eastAsia" w:ascii="宋体" w:hAnsi="宋体" w:cs="宋体"/>
          <w:bCs/>
          <w:color w:val="000000"/>
          <w:sz w:val="24"/>
          <w:szCs w:val="24"/>
          <w:highlight w:val="none"/>
          <w:u w:val="single"/>
          <w:lang w:eastAsia="zh-CN"/>
        </w:rPr>
        <w:t>）必须为原装正品，严禁贴牌、伪造，应为全新未使用的产品，性能及质量有国家标准的应符合国家标准。无国家标准的应符合行业标准或企业标准，并满足</w:t>
      </w:r>
      <w:r>
        <w:rPr>
          <w:rFonts w:hint="eastAsia" w:ascii="宋体" w:hAnsi="宋体" w:cs="宋体"/>
          <w:bCs/>
          <w:color w:val="000000"/>
          <w:sz w:val="24"/>
          <w:szCs w:val="24"/>
          <w:highlight w:val="none"/>
          <w:u w:val="single"/>
          <w:lang w:val="en-US" w:eastAsia="zh-CN"/>
        </w:rPr>
        <w:t>招标</w:t>
      </w:r>
      <w:r>
        <w:rPr>
          <w:rFonts w:hint="eastAsia" w:ascii="宋体" w:hAnsi="宋体" w:cs="宋体"/>
          <w:bCs/>
          <w:color w:val="000000"/>
          <w:sz w:val="24"/>
          <w:szCs w:val="24"/>
          <w:highlight w:val="none"/>
          <w:u w:val="single"/>
          <w:lang w:eastAsia="zh-CN"/>
        </w:rPr>
        <w:t>文件要求，实现投标文件承诺条款。符合</w:t>
      </w:r>
      <w:r>
        <w:rPr>
          <w:rFonts w:hint="eastAsia" w:ascii="宋体" w:hAnsi="宋体" w:cs="宋体"/>
          <w:bCs/>
          <w:color w:val="000000"/>
          <w:sz w:val="24"/>
          <w:szCs w:val="24"/>
          <w:highlight w:val="none"/>
          <w:u w:val="single"/>
          <w:lang w:val="en-US" w:eastAsia="zh-CN"/>
        </w:rPr>
        <w:t>招标</w:t>
      </w:r>
      <w:r>
        <w:rPr>
          <w:rFonts w:hint="eastAsia" w:ascii="宋体" w:hAnsi="宋体" w:cs="宋体"/>
          <w:bCs/>
          <w:color w:val="000000"/>
          <w:sz w:val="24"/>
          <w:szCs w:val="24"/>
          <w:highlight w:val="none"/>
          <w:u w:val="single"/>
          <w:lang w:eastAsia="zh-CN"/>
        </w:rPr>
        <w:t>文件技术参数要求，且以满足项目验收为准，项目</w:t>
      </w:r>
      <w:r>
        <w:rPr>
          <w:rFonts w:hint="eastAsia" w:ascii="宋体" w:hAnsi="宋体" w:cs="宋体"/>
          <w:bCs/>
          <w:color w:val="000000"/>
          <w:sz w:val="24"/>
          <w:szCs w:val="24"/>
          <w:highlight w:val="none"/>
          <w:u w:val="single"/>
          <w:lang w:val="en-US" w:eastAsia="zh-CN"/>
        </w:rPr>
        <w:t>货物及</w:t>
      </w:r>
      <w:r>
        <w:rPr>
          <w:rFonts w:hint="eastAsia" w:ascii="宋体" w:hAnsi="宋体" w:cs="宋体"/>
          <w:bCs/>
          <w:color w:val="000000"/>
          <w:sz w:val="24"/>
          <w:szCs w:val="24"/>
          <w:highlight w:val="none"/>
          <w:u w:val="single"/>
          <w:lang w:eastAsia="zh-CN"/>
        </w:rPr>
        <w:t>服务须满足采购需求。</w:t>
      </w:r>
    </w:p>
    <w:p w14:paraId="24B317C5">
      <w:pPr>
        <w:spacing w:line="480" w:lineRule="exact"/>
        <w:ind w:firstLine="48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1.3标的数量（规模）：</w:t>
      </w:r>
      <w:r>
        <w:rPr>
          <w:rFonts w:hint="eastAsia" w:ascii="宋体" w:hAnsi="宋体" w:cs="宋体"/>
          <w:bCs/>
          <w:color w:val="000000"/>
          <w:sz w:val="24"/>
          <w:szCs w:val="24"/>
          <w:u w:val="single"/>
          <w:lang w:val="en-US" w:eastAsia="zh-CN"/>
        </w:rPr>
        <w:t>详见附件</w:t>
      </w:r>
    </w:p>
    <w:p w14:paraId="0DE7E63B">
      <w:pPr>
        <w:spacing w:line="480" w:lineRule="exact"/>
        <w:ind w:firstLine="480"/>
        <w:rPr>
          <w:rFonts w:hint="eastAsia" w:ascii="宋体" w:hAnsi="宋体" w:eastAsia="宋体" w:cs="宋体"/>
          <w:color w:val="000000"/>
          <w:sz w:val="24"/>
          <w:lang w:eastAsia="zh-CN"/>
        </w:rPr>
      </w:pPr>
      <w:r>
        <w:rPr>
          <w:rFonts w:hint="eastAsia" w:ascii="宋体" w:hAnsi="宋体" w:cs="宋体"/>
          <w:bCs/>
          <w:color w:val="000000"/>
          <w:sz w:val="24"/>
          <w:szCs w:val="24"/>
        </w:rPr>
        <w:t>1.</w:t>
      </w:r>
      <w:r>
        <w:rPr>
          <w:rFonts w:hint="eastAsia" w:ascii="宋体" w:hAnsi="宋体" w:cs="宋体"/>
          <w:bCs/>
          <w:color w:val="000000"/>
          <w:sz w:val="24"/>
          <w:szCs w:val="24"/>
          <w:lang w:val="en-US" w:eastAsia="zh-CN"/>
        </w:rPr>
        <w:t>4</w:t>
      </w:r>
      <w:r>
        <w:rPr>
          <w:rFonts w:hint="eastAsia" w:ascii="宋体" w:hAnsi="宋体" w:cs="宋体"/>
          <w:bCs/>
          <w:color w:val="000000"/>
          <w:sz w:val="24"/>
          <w:szCs w:val="24"/>
        </w:rPr>
        <w:t>合同履行期限：</w:t>
      </w:r>
    </w:p>
    <w:p w14:paraId="5BAFBFC3">
      <w:pPr>
        <w:spacing w:line="480" w:lineRule="exact"/>
        <w:ind w:firstLine="480"/>
        <w:jc w:val="left"/>
        <w:rPr>
          <w:rFonts w:ascii="宋体" w:hAnsi="宋体" w:cs="宋体"/>
          <w:bCs/>
          <w:color w:val="000000"/>
          <w:sz w:val="24"/>
          <w:szCs w:val="24"/>
        </w:rPr>
      </w:pPr>
      <w:r>
        <w:rPr>
          <w:rFonts w:hint="eastAsia" w:ascii="宋体" w:hAnsi="宋体" w:cs="宋体"/>
          <w:bCs/>
          <w:color w:val="000000"/>
          <w:sz w:val="24"/>
          <w:szCs w:val="24"/>
        </w:rPr>
        <w:t>1.</w:t>
      </w:r>
      <w:r>
        <w:rPr>
          <w:rFonts w:hint="eastAsia" w:ascii="宋体" w:hAnsi="宋体" w:cs="宋体"/>
          <w:bCs/>
          <w:color w:val="000000"/>
          <w:sz w:val="24"/>
          <w:szCs w:val="24"/>
          <w:lang w:val="en-US" w:eastAsia="zh-CN"/>
        </w:rPr>
        <w:t>5履行</w:t>
      </w:r>
      <w:r>
        <w:rPr>
          <w:rFonts w:hint="eastAsia" w:ascii="宋体" w:hAnsi="宋体" w:cs="宋体"/>
          <w:bCs/>
          <w:color w:val="000000"/>
          <w:sz w:val="24"/>
          <w:szCs w:val="24"/>
        </w:rPr>
        <w:t>地点：</w:t>
      </w:r>
      <w:r>
        <w:rPr>
          <w:rFonts w:hint="eastAsia" w:ascii="宋体" w:hAnsi="宋体" w:cs="宋体"/>
          <w:bCs/>
          <w:color w:val="000000"/>
          <w:sz w:val="24"/>
          <w:szCs w:val="24"/>
          <w:u w:val="single"/>
        </w:rPr>
        <w:t>甲方指定地点</w:t>
      </w:r>
    </w:p>
    <w:p w14:paraId="27740F1E">
      <w:pPr>
        <w:spacing w:line="480" w:lineRule="exact"/>
        <w:ind w:firstLine="480"/>
        <w:jc w:val="left"/>
        <w:rPr>
          <w:rFonts w:hint="eastAsia" w:ascii="宋体" w:hAnsi="宋体" w:cs="宋体"/>
          <w:bCs/>
          <w:color w:val="000000"/>
          <w:sz w:val="24"/>
          <w:szCs w:val="24"/>
        </w:rPr>
      </w:pPr>
      <w:r>
        <w:rPr>
          <w:rFonts w:hint="eastAsia" w:ascii="宋体" w:hAnsi="宋体" w:cs="宋体"/>
          <w:bCs/>
          <w:color w:val="000000"/>
          <w:sz w:val="24"/>
          <w:szCs w:val="24"/>
        </w:rPr>
        <w:t>1.</w:t>
      </w:r>
      <w:r>
        <w:rPr>
          <w:rFonts w:hint="eastAsia" w:ascii="宋体" w:hAnsi="宋体" w:cs="宋体"/>
          <w:bCs/>
          <w:color w:val="000000"/>
          <w:sz w:val="24"/>
          <w:szCs w:val="24"/>
          <w:lang w:val="en-US" w:eastAsia="zh-CN"/>
        </w:rPr>
        <w:t>6</w:t>
      </w:r>
      <w:r>
        <w:rPr>
          <w:rFonts w:hint="eastAsia" w:ascii="宋体" w:hAnsi="宋体" w:cs="宋体"/>
          <w:bCs/>
          <w:color w:val="000000"/>
          <w:sz w:val="24"/>
          <w:szCs w:val="24"/>
        </w:rPr>
        <w:t>履行方式：</w:t>
      </w:r>
      <w:r>
        <w:rPr>
          <w:rFonts w:hint="eastAsia" w:ascii="宋体" w:hAnsi="宋体" w:cs="宋体"/>
          <w:bCs/>
          <w:color w:val="000000"/>
          <w:sz w:val="24"/>
          <w:szCs w:val="24"/>
          <w:u w:val="single"/>
        </w:rPr>
        <w:t>乙方负责将货物运输至甲方指定地点，运输过程中的各种风险由乙方承担，运输方式由乙方视情况自定，费用自负</w:t>
      </w:r>
      <w:r>
        <w:rPr>
          <w:rFonts w:hint="eastAsia" w:ascii="宋体" w:hAnsi="宋体" w:cs="宋体"/>
          <w:bCs/>
          <w:color w:val="000000"/>
          <w:sz w:val="24"/>
          <w:szCs w:val="24"/>
        </w:rPr>
        <w:t>。</w:t>
      </w:r>
    </w:p>
    <w:p w14:paraId="12C6872C">
      <w:pPr>
        <w:spacing w:line="480" w:lineRule="exact"/>
        <w:ind w:firstLine="480"/>
        <w:jc w:val="left"/>
        <w:rPr>
          <w:rFonts w:hint="eastAsia" w:ascii="宋体" w:hAnsi="宋体" w:cs="宋体"/>
          <w:bCs/>
          <w:color w:val="000000"/>
          <w:sz w:val="24"/>
          <w:szCs w:val="24"/>
        </w:rPr>
      </w:pPr>
      <w:r>
        <w:rPr>
          <w:rFonts w:hint="eastAsia" w:ascii="宋体" w:hAnsi="宋体" w:cs="宋体"/>
          <w:bCs/>
          <w:color w:val="000000"/>
          <w:sz w:val="24"/>
          <w:szCs w:val="24"/>
        </w:rPr>
        <w:t>1.7 包装方式：</w:t>
      </w:r>
      <w:r>
        <w:rPr>
          <w:rFonts w:hint="eastAsia" w:ascii="宋体" w:hAnsi="宋体" w:cs="宋体"/>
          <w:bCs/>
          <w:color w:val="000000"/>
          <w:sz w:val="24"/>
          <w:szCs w:val="24"/>
          <w:u w:val="single"/>
        </w:rPr>
        <w:t>乙方应在货物发运前对其进行满足运输距离、防潮、防震、防锈和防破损装卸等要求包装，以保证货物安全运达甲方指定地点。乙方对货物的包装应符合《商品包装政府采购需求标准（试行）》、《快递包装政府采购需求标准（试行）》的规定。</w:t>
      </w:r>
    </w:p>
    <w:p w14:paraId="70FF4183">
      <w:pPr>
        <w:spacing w:line="480" w:lineRule="exact"/>
        <w:ind w:firstLine="482"/>
        <w:jc w:val="left"/>
        <w:rPr>
          <w:rFonts w:ascii="宋体" w:hAnsi="宋体" w:cs="宋体"/>
          <w:b/>
          <w:color w:val="000000"/>
          <w:sz w:val="24"/>
          <w:szCs w:val="24"/>
        </w:rPr>
      </w:pPr>
      <w:r>
        <w:rPr>
          <w:rFonts w:hint="eastAsia" w:ascii="宋体" w:hAnsi="宋体" w:cs="宋体"/>
          <w:b/>
          <w:color w:val="000000"/>
          <w:sz w:val="24"/>
          <w:szCs w:val="24"/>
        </w:rPr>
        <w:t>二、合同金额</w:t>
      </w:r>
    </w:p>
    <w:p w14:paraId="3AC29023">
      <w:pPr>
        <w:spacing w:line="480" w:lineRule="exact"/>
        <w:ind w:firstLine="482"/>
        <w:rPr>
          <w:rFonts w:hint="eastAsia" w:ascii="宋体" w:hAnsi="宋体" w:cs="宋体"/>
          <w:color w:val="000000"/>
          <w:sz w:val="24"/>
          <w:szCs w:val="24"/>
        </w:rPr>
      </w:pPr>
      <w:r>
        <w:rPr>
          <w:rFonts w:hint="eastAsia" w:ascii="宋体" w:hAnsi="宋体" w:cs="宋体"/>
          <w:b/>
          <w:color w:val="000000"/>
          <w:sz w:val="24"/>
          <w:szCs w:val="24"/>
        </w:rPr>
        <w:t>乙方向甲方提</w:t>
      </w:r>
      <w:r>
        <w:rPr>
          <w:rFonts w:hint="eastAsia" w:ascii="宋体" w:hAnsi="宋体" w:cs="宋体"/>
          <w:b/>
          <w:color w:val="000000"/>
          <w:sz w:val="24"/>
          <w:szCs w:val="24"/>
          <w:highlight w:val="none"/>
        </w:rPr>
        <w:t>供</w:t>
      </w:r>
      <w:r>
        <w:rPr>
          <w:rFonts w:hint="eastAsia" w:ascii="宋体" w:hAnsi="宋体" w:cs="宋体"/>
          <w:b/>
          <w:color w:val="000000"/>
          <w:sz w:val="24"/>
          <w:szCs w:val="24"/>
          <w:highlight w:val="none"/>
          <w:lang w:val="en-US" w:eastAsia="zh-CN"/>
        </w:rPr>
        <w:t>含税</w:t>
      </w:r>
      <w:r>
        <w:rPr>
          <w:rFonts w:hint="eastAsia" w:ascii="宋体" w:hAnsi="宋体" w:cs="宋体"/>
          <w:b/>
          <w:color w:val="000000"/>
          <w:sz w:val="24"/>
          <w:szCs w:val="24"/>
          <w:highlight w:val="none"/>
        </w:rPr>
        <w:t>总价</w:t>
      </w:r>
      <w:r>
        <w:rPr>
          <w:rFonts w:hint="eastAsia" w:ascii="宋体" w:hAnsi="宋体" w:cs="宋体"/>
          <w:b/>
          <w:color w:val="000000"/>
          <w:sz w:val="24"/>
          <w:szCs w:val="24"/>
        </w:rPr>
        <w:t>值为</w:t>
      </w:r>
      <w:r>
        <w:rPr>
          <w:rFonts w:hint="eastAsia" w:ascii="宋体" w:hAnsi="宋体" w:cs="宋体"/>
          <w:b/>
          <w:color w:val="000000"/>
          <w:sz w:val="24"/>
          <w:szCs w:val="24"/>
          <w:u w:val="single"/>
        </w:rPr>
        <w:t xml:space="preserve">                  元（¥：      元</w:t>
      </w:r>
      <w:r>
        <w:rPr>
          <w:rFonts w:hint="eastAsia" w:ascii="宋体" w:hAnsi="宋体" w:cs="宋体"/>
          <w:b/>
          <w:color w:val="000000"/>
          <w:sz w:val="24"/>
          <w:szCs w:val="24"/>
        </w:rPr>
        <w:t>）的标的（服务）</w:t>
      </w:r>
      <w:r>
        <w:rPr>
          <w:rFonts w:hint="eastAsia" w:ascii="宋体" w:hAnsi="宋体" w:cs="宋体"/>
          <w:color w:val="000000"/>
          <w:sz w:val="24"/>
          <w:szCs w:val="24"/>
        </w:rPr>
        <w:t>。</w:t>
      </w:r>
    </w:p>
    <w:p w14:paraId="5D3F4106">
      <w:pPr>
        <w:pBdr>
          <w:top w:val="none" w:color="000000" w:sz="0" w:space="0"/>
          <w:left w:val="none" w:color="000000" w:sz="0" w:space="0"/>
          <w:bottom w:val="none" w:color="000000" w:sz="0" w:space="0"/>
          <w:right w:val="none" w:color="000000" w:sz="0" w:space="0"/>
        </w:pBdr>
        <w:spacing w:before="0" w:after="0" w:line="559" w:lineRule="atLeast"/>
        <w:ind w:left="479" w:right="0" w:firstLine="2162"/>
        <w:jc w:val="both"/>
        <w:rPr>
          <w:rFonts w:hint="default" w:ascii="Times New Roman" w:hAnsi="Times New Roman" w:eastAsia="宋体" w:cs="Times New Roman"/>
        </w:rPr>
      </w:pPr>
      <w:r>
        <w:rPr>
          <w:rFonts w:hint="default" w:ascii="宋体" w:hAnsi="宋体" w:eastAsia="宋体" w:cs="宋体"/>
          <w:color w:val="000000"/>
          <w:sz w:val="24"/>
        </w:rPr>
        <w:t>主要标的物清单（详细列明）</w:t>
      </w:r>
    </w:p>
    <w:tbl>
      <w:tblPr>
        <w:tblStyle w:val="5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230"/>
        <w:gridCol w:w="2559"/>
        <w:gridCol w:w="975"/>
        <w:gridCol w:w="927"/>
        <w:gridCol w:w="1346"/>
        <w:gridCol w:w="1346"/>
      </w:tblGrid>
      <w:tr w14:paraId="1C4B8E0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9" w:hRule="atLeast"/>
        </w:trPr>
        <w:tc>
          <w:tcPr>
            <w:tcW w:w="123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20DC35">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宋体" w:hAnsi="宋体" w:eastAsia="宋体" w:cs="宋体"/>
                <w:color w:val="000000"/>
                <w:sz w:val="24"/>
              </w:rPr>
              <w:t>序号</w:t>
            </w:r>
          </w:p>
        </w:tc>
        <w:tc>
          <w:tcPr>
            <w:tcW w:w="255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01A2BB6">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宋体" w:hAnsi="宋体" w:eastAsia="宋体" w:cs="宋体"/>
                <w:color w:val="000000"/>
                <w:sz w:val="24"/>
              </w:rPr>
              <w:t>名称</w:t>
            </w:r>
            <w:r>
              <w:rPr>
                <w:rFonts w:hint="default" w:ascii="Times New Roman" w:hAnsi="Times New Roman" w:eastAsia="Times New Roman" w:cs="Times New Roman"/>
                <w:color w:val="000000"/>
                <w:sz w:val="24"/>
              </w:rPr>
              <w:t>.</w:t>
            </w:r>
            <w:r>
              <w:rPr>
                <w:rFonts w:hint="default" w:ascii="宋体" w:hAnsi="宋体" w:eastAsia="宋体" w:cs="宋体"/>
                <w:color w:val="000000"/>
                <w:sz w:val="24"/>
              </w:rPr>
              <w:t>品牌</w:t>
            </w:r>
            <w:r>
              <w:rPr>
                <w:rFonts w:hint="default" w:ascii="Times New Roman" w:hAnsi="Times New Roman" w:eastAsia="Times New Roman" w:cs="Times New Roman"/>
                <w:color w:val="000000"/>
                <w:sz w:val="24"/>
              </w:rPr>
              <w:t>.</w:t>
            </w:r>
            <w:r>
              <w:rPr>
                <w:rFonts w:hint="default" w:ascii="宋体" w:hAnsi="宋体" w:eastAsia="宋体" w:cs="宋体"/>
                <w:color w:val="000000"/>
                <w:sz w:val="24"/>
              </w:rPr>
              <w:t>规格</w:t>
            </w:r>
            <w:r>
              <w:rPr>
                <w:rFonts w:hint="default" w:ascii="Times New Roman" w:hAnsi="Times New Roman" w:eastAsia="Times New Roman" w:cs="Times New Roman"/>
                <w:color w:val="000000"/>
                <w:sz w:val="24"/>
              </w:rPr>
              <w:t>.</w:t>
            </w:r>
            <w:r>
              <w:rPr>
                <w:rFonts w:hint="default" w:ascii="宋体" w:hAnsi="宋体" w:eastAsia="宋体" w:cs="宋体"/>
                <w:color w:val="000000"/>
                <w:sz w:val="24"/>
              </w:rPr>
              <w:t>型号</w:t>
            </w:r>
          </w:p>
        </w:tc>
        <w:tc>
          <w:tcPr>
            <w:tcW w:w="97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CC627BF">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宋体" w:hAnsi="宋体" w:eastAsia="宋体" w:cs="宋体"/>
                <w:color w:val="000000"/>
                <w:sz w:val="24"/>
              </w:rPr>
              <w:t>单位</w:t>
            </w:r>
          </w:p>
        </w:tc>
        <w:tc>
          <w:tcPr>
            <w:tcW w:w="92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373BEC1">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宋体" w:hAnsi="宋体" w:eastAsia="宋体" w:cs="宋体"/>
                <w:color w:val="000000"/>
                <w:sz w:val="24"/>
              </w:rPr>
              <w:t>数量</w:t>
            </w:r>
          </w:p>
        </w:tc>
        <w:tc>
          <w:tcPr>
            <w:tcW w:w="130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2E70E35">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宋体" w:hAnsi="宋体" w:eastAsia="宋体" w:cs="宋体"/>
                <w:color w:val="000000"/>
                <w:sz w:val="24"/>
              </w:rPr>
              <w:t>单价（元）</w:t>
            </w:r>
          </w:p>
        </w:tc>
        <w:tc>
          <w:tcPr>
            <w:tcW w:w="131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3103AF9">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宋体" w:hAnsi="宋体" w:eastAsia="宋体" w:cs="宋体"/>
                <w:color w:val="000000"/>
                <w:sz w:val="24"/>
              </w:rPr>
              <w:t>总价（元）</w:t>
            </w:r>
          </w:p>
        </w:tc>
      </w:tr>
      <w:tr w14:paraId="29A4804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BC0713B">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25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317C911">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97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4EDAF09">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92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E6538D2">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130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0FD1AF3">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131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6540C73">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r>
      <w:tr w14:paraId="3273940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17B50A">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25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59B40C2">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97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1AB9440">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92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88A4ADC">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130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856197A">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131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1CD0D5E">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r>
      <w:tr w14:paraId="1FDDE6E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008007">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25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DF59BC9">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97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2BD09D9">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92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CF3434C">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130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46B35B3">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131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66115AF">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r>
      <w:tr w14:paraId="3718878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B58908">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25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F0044FD">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97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72A89BD">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92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6098D39">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130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ABA74AE">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131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7C01B48">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r>
      <w:tr w14:paraId="01FC26B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955D59">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255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5F50D76">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97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94549DC">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92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6A66436">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1304"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60DD299">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c>
          <w:tcPr>
            <w:tcW w:w="131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6576915">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Times New Roman" w:hAnsi="Times New Roman" w:eastAsia="Times New Roman" w:cs="Times New Roman"/>
                <w:color w:val="000000"/>
                <w:sz w:val="24"/>
              </w:rPr>
              <w:t> </w:t>
            </w:r>
          </w:p>
        </w:tc>
      </w:tr>
      <w:tr w14:paraId="2F4A267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8307" w:type="dxa"/>
            <w:gridSpan w:val="6"/>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4CCA272">
            <w:pPr>
              <w:pBdr>
                <w:top w:val="none" w:color="000000" w:sz="0" w:space="0"/>
                <w:left w:val="none" w:color="000000" w:sz="0" w:space="0"/>
                <w:bottom w:val="none" w:color="000000" w:sz="0" w:space="0"/>
                <w:right w:val="none" w:color="000000" w:sz="0" w:space="0"/>
              </w:pBdr>
              <w:spacing w:before="0" w:after="0" w:line="559" w:lineRule="atLeast"/>
              <w:ind w:left="410" w:right="0" w:hanging="410"/>
              <w:jc w:val="center"/>
              <w:rPr>
                <w:rFonts w:hint="default" w:ascii="Times New Roman" w:hAnsi="Times New Roman" w:eastAsia="宋体" w:cs="Times New Roman"/>
              </w:rPr>
            </w:pPr>
            <w:r>
              <w:rPr>
                <w:rFonts w:hint="default" w:ascii="宋体" w:hAnsi="宋体" w:eastAsia="宋体" w:cs="宋体"/>
                <w:color w:val="000000"/>
                <w:sz w:val="24"/>
              </w:rPr>
              <w:t>合计：人民币金额（大写）：</w:t>
            </w:r>
            <w:r>
              <w:rPr>
                <w:rFonts w:hint="default" w:ascii="Times New Roman" w:hAnsi="Times New Roman" w:eastAsia="Times New Roman" w:cs="Times New Roman"/>
                <w:color w:val="000000"/>
                <w:sz w:val="24"/>
              </w:rPr>
              <w:t xml:space="preserve">    </w:t>
            </w:r>
            <w:r>
              <w:rPr>
                <w:rFonts w:hint="default" w:ascii="宋体" w:hAnsi="宋体" w:eastAsia="宋体" w:cs="宋体"/>
                <w:color w:val="000000"/>
                <w:sz w:val="24"/>
              </w:rPr>
              <w:t>佰</w:t>
            </w:r>
            <w:r>
              <w:rPr>
                <w:rFonts w:hint="default" w:ascii="Times New Roman" w:hAnsi="Times New Roman" w:eastAsia="Times New Roman" w:cs="Times New Roman"/>
                <w:color w:val="000000"/>
                <w:sz w:val="24"/>
              </w:rPr>
              <w:t xml:space="preserve">  </w:t>
            </w:r>
            <w:r>
              <w:rPr>
                <w:rFonts w:hint="default" w:ascii="宋体" w:hAnsi="宋体" w:eastAsia="宋体" w:cs="宋体"/>
                <w:color w:val="000000"/>
                <w:sz w:val="24"/>
              </w:rPr>
              <w:t>拾</w:t>
            </w:r>
            <w:r>
              <w:rPr>
                <w:rFonts w:hint="default" w:ascii="Times New Roman" w:hAnsi="Times New Roman" w:eastAsia="Times New Roman" w:cs="Times New Roman"/>
                <w:color w:val="000000"/>
                <w:sz w:val="24"/>
              </w:rPr>
              <w:t xml:space="preserve">    </w:t>
            </w:r>
            <w:r>
              <w:rPr>
                <w:rFonts w:hint="default" w:ascii="宋体" w:hAnsi="宋体" w:eastAsia="宋体" w:cs="宋体"/>
                <w:color w:val="000000"/>
                <w:sz w:val="24"/>
              </w:rPr>
              <w:t>万</w:t>
            </w:r>
            <w:r>
              <w:rPr>
                <w:rFonts w:hint="default" w:ascii="Times New Roman" w:hAnsi="Times New Roman" w:eastAsia="Times New Roman" w:cs="Times New Roman"/>
                <w:color w:val="000000"/>
                <w:sz w:val="24"/>
              </w:rPr>
              <w:t xml:space="preserve">    </w:t>
            </w:r>
            <w:r>
              <w:rPr>
                <w:rFonts w:hint="default" w:ascii="宋体" w:hAnsi="宋体" w:eastAsia="宋体" w:cs="宋体"/>
                <w:color w:val="000000"/>
                <w:sz w:val="24"/>
              </w:rPr>
              <w:t>仟</w:t>
            </w:r>
            <w:r>
              <w:rPr>
                <w:rFonts w:hint="default" w:ascii="Times New Roman" w:hAnsi="Times New Roman" w:eastAsia="Times New Roman" w:cs="Times New Roman"/>
                <w:color w:val="000000"/>
                <w:sz w:val="24"/>
              </w:rPr>
              <w:t xml:space="preserve">   </w:t>
            </w:r>
            <w:r>
              <w:rPr>
                <w:rFonts w:hint="default" w:ascii="宋体" w:hAnsi="宋体" w:eastAsia="宋体" w:cs="宋体"/>
                <w:color w:val="000000"/>
                <w:sz w:val="24"/>
              </w:rPr>
              <w:t>佰</w:t>
            </w:r>
            <w:r>
              <w:rPr>
                <w:rFonts w:hint="default" w:ascii="Times New Roman" w:hAnsi="Times New Roman" w:eastAsia="Times New Roman" w:cs="Times New Roman"/>
                <w:color w:val="000000"/>
                <w:sz w:val="24"/>
              </w:rPr>
              <w:t xml:space="preserve">   </w:t>
            </w:r>
            <w:r>
              <w:rPr>
                <w:rFonts w:hint="default" w:ascii="宋体" w:hAnsi="宋体" w:eastAsia="宋体" w:cs="宋体"/>
                <w:color w:val="000000"/>
                <w:sz w:val="24"/>
              </w:rPr>
              <w:t>拾</w:t>
            </w:r>
            <w:r>
              <w:rPr>
                <w:rFonts w:hint="default" w:ascii="Times New Roman" w:hAnsi="Times New Roman" w:eastAsia="Times New Roman" w:cs="Times New Roman"/>
                <w:color w:val="000000"/>
                <w:sz w:val="24"/>
              </w:rPr>
              <w:t xml:space="preserve">    </w:t>
            </w:r>
            <w:r>
              <w:rPr>
                <w:rFonts w:hint="default" w:ascii="宋体" w:hAnsi="宋体" w:eastAsia="宋体" w:cs="宋体"/>
                <w:color w:val="000000"/>
                <w:sz w:val="24"/>
              </w:rPr>
              <w:t>元整（￥：</w:t>
            </w:r>
            <w:r>
              <w:rPr>
                <w:rFonts w:hint="default" w:ascii="Times New Roman" w:hAnsi="Times New Roman" w:eastAsia="Times New Roman" w:cs="Times New Roman"/>
                <w:color w:val="000000"/>
                <w:sz w:val="24"/>
              </w:rPr>
              <w:t xml:space="preserve">   </w:t>
            </w:r>
            <w:r>
              <w:rPr>
                <w:rFonts w:hint="default" w:ascii="宋体" w:hAnsi="宋体" w:eastAsia="宋体" w:cs="宋体"/>
                <w:color w:val="000000"/>
                <w:sz w:val="24"/>
              </w:rPr>
              <w:t>）</w:t>
            </w:r>
          </w:p>
        </w:tc>
      </w:tr>
    </w:tbl>
    <w:p w14:paraId="538B8FC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cs="宋体"/>
          <w:color w:val="000000"/>
          <w:sz w:val="24"/>
          <w:szCs w:val="24"/>
        </w:rPr>
      </w:pPr>
      <w:r>
        <w:rPr>
          <w:rFonts w:hint="default" w:ascii="宋体" w:hAnsi="宋体" w:eastAsia="宋体" w:cs="宋体"/>
          <w:color w:val="000000"/>
          <w:sz w:val="24"/>
        </w:rPr>
        <w:t>本合同价款包含税金、乙方提供合同约定的货物及乙方提供合同中服务所支出的所有费用，甲方在上述合同价款之外不再向乙方支付其他任何费用。</w:t>
      </w:r>
    </w:p>
    <w:p w14:paraId="017A82A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三、技术资料</w:t>
      </w:r>
    </w:p>
    <w:p w14:paraId="256812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color w:val="000000"/>
          <w:sz w:val="24"/>
          <w:szCs w:val="24"/>
        </w:rPr>
      </w:pPr>
      <w:r>
        <w:rPr>
          <w:rFonts w:hint="eastAsia" w:ascii="宋体" w:hAnsi="宋体" w:cs="宋体"/>
          <w:b w:val="0"/>
          <w:bCs/>
          <w:color w:val="000000"/>
          <w:sz w:val="24"/>
          <w:szCs w:val="24"/>
        </w:rPr>
        <w:t>3.1乙方应按招标文件规定的时间向甲方提供使用货物(包含与货物相关的服务)的有关技术资料。</w:t>
      </w:r>
    </w:p>
    <w:p w14:paraId="521EFB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color w:val="000000"/>
          <w:sz w:val="24"/>
          <w:szCs w:val="24"/>
        </w:rPr>
      </w:pPr>
      <w:r>
        <w:rPr>
          <w:rFonts w:hint="eastAsia" w:ascii="宋体" w:hAnsi="宋体" w:cs="宋体"/>
          <w:b w:val="0"/>
          <w:bCs/>
          <w:color w:val="000000"/>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E88F6B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四、知识产权</w:t>
      </w:r>
    </w:p>
    <w:p w14:paraId="06CC08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color w:val="000000"/>
          <w:sz w:val="24"/>
          <w:szCs w:val="24"/>
        </w:rPr>
      </w:pPr>
      <w:r>
        <w:rPr>
          <w:rFonts w:hint="eastAsia" w:ascii="宋体" w:hAnsi="宋体" w:cs="宋体"/>
          <w:b w:val="0"/>
          <w:bCs/>
          <w:color w:val="000000"/>
          <w:sz w:val="24"/>
          <w:szCs w:val="24"/>
        </w:rPr>
        <w:t>4.1乙方所提供的货物（含软件、技术、服务等）不应存在任何权利瑕疵，如乙方有侵犯第三方知识产权或欺诈行为的，乙方除返还合同价款、赔偿甲方损失外，还应向甲方支付相当于合同总价一倍的违约金。如果任何第三方就合同标的知识产权事宜向甲方提起侵权索赔，乙方应负责与之进行交涉，并承担由此引起的一切责任（包含甲方为此支付的律师费、差旅费、诉讼费等）。</w:t>
      </w:r>
    </w:p>
    <w:p w14:paraId="12026E0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五、产权担保</w:t>
      </w:r>
    </w:p>
    <w:p w14:paraId="1984DA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color w:val="000000"/>
          <w:sz w:val="24"/>
          <w:szCs w:val="24"/>
        </w:rPr>
      </w:pPr>
      <w:r>
        <w:rPr>
          <w:rFonts w:hint="eastAsia" w:ascii="宋体" w:hAnsi="宋体" w:cs="宋体"/>
          <w:b w:val="0"/>
          <w:bCs/>
          <w:color w:val="000000"/>
          <w:sz w:val="24"/>
          <w:szCs w:val="24"/>
        </w:rPr>
        <w:t>5.1 乙方保证所交付的货物（包含与货物相关的服务）的所有权完全属于乙方且无任何抵押、查封等产权瑕疵。</w:t>
      </w:r>
    </w:p>
    <w:p w14:paraId="496ACBF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六、履约保证金</w:t>
      </w:r>
    </w:p>
    <w:p w14:paraId="04B399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color w:val="000000"/>
          <w:sz w:val="24"/>
          <w:szCs w:val="24"/>
        </w:rPr>
      </w:pPr>
      <w:r>
        <w:rPr>
          <w:rFonts w:hint="eastAsia" w:ascii="宋体" w:hAnsi="宋体" w:cs="宋体"/>
          <w:b w:val="0"/>
          <w:bCs/>
          <w:color w:val="000000"/>
          <w:sz w:val="24"/>
          <w:szCs w:val="24"/>
        </w:rPr>
        <w:t>本项目不收取履约保证金。</w:t>
      </w:r>
    </w:p>
    <w:p w14:paraId="1A1202B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七、合同转包或分包</w:t>
      </w:r>
    </w:p>
    <w:p w14:paraId="0BC922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color w:val="000000"/>
          <w:sz w:val="24"/>
          <w:szCs w:val="24"/>
        </w:rPr>
      </w:pPr>
      <w:r>
        <w:rPr>
          <w:rFonts w:hint="eastAsia" w:ascii="宋体" w:hAnsi="宋体" w:cs="宋体"/>
          <w:b w:val="0"/>
          <w:bCs/>
          <w:color w:val="000000"/>
          <w:sz w:val="24"/>
          <w:szCs w:val="24"/>
        </w:rPr>
        <w:t>7.1乙方不得将合同标的转包给他人履行。</w:t>
      </w:r>
    </w:p>
    <w:p w14:paraId="7B5337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color w:val="000000"/>
          <w:sz w:val="24"/>
          <w:szCs w:val="24"/>
        </w:rPr>
      </w:pPr>
      <w:r>
        <w:rPr>
          <w:rFonts w:hint="eastAsia" w:ascii="宋体" w:hAnsi="宋体" w:cs="宋体"/>
          <w:b w:val="0"/>
          <w:bCs/>
          <w:color w:val="000000"/>
          <w:sz w:val="24"/>
          <w:szCs w:val="24"/>
        </w:rPr>
        <w:t>7.2乙方不得将合同标的分包给他人履行。</w:t>
      </w:r>
    </w:p>
    <w:p w14:paraId="2993F2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color w:val="000000"/>
          <w:sz w:val="24"/>
          <w:szCs w:val="24"/>
        </w:rPr>
      </w:pPr>
      <w:r>
        <w:rPr>
          <w:rFonts w:hint="eastAsia" w:ascii="宋体" w:hAnsi="宋体" w:cs="宋体"/>
          <w:b w:val="0"/>
          <w:bCs/>
          <w:color w:val="000000"/>
          <w:sz w:val="24"/>
          <w:szCs w:val="24"/>
        </w:rPr>
        <w:t>7.3乙方如有转包或未经甲方</w:t>
      </w:r>
      <w:r>
        <w:rPr>
          <w:rFonts w:hint="eastAsia" w:ascii="宋体" w:hAnsi="宋体" w:cs="宋体"/>
          <w:b w:val="0"/>
          <w:bCs/>
          <w:color w:val="000000"/>
          <w:sz w:val="24"/>
          <w:szCs w:val="24"/>
          <w:lang w:val="en-US" w:eastAsia="zh-CN"/>
        </w:rPr>
        <w:t>书面</w:t>
      </w:r>
      <w:r>
        <w:rPr>
          <w:rFonts w:hint="eastAsia" w:ascii="宋体" w:hAnsi="宋体" w:cs="宋体"/>
          <w:b w:val="0"/>
          <w:bCs/>
          <w:color w:val="000000"/>
          <w:sz w:val="24"/>
          <w:szCs w:val="24"/>
        </w:rPr>
        <w:t>同意的分包行为，甲方有权给予终止合同。</w:t>
      </w:r>
    </w:p>
    <w:p w14:paraId="5C9A43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sz w:val="24"/>
          <w:lang w:val="en-US" w:eastAsia="zh-CN"/>
        </w:rPr>
      </w:pPr>
      <w:r>
        <w:rPr>
          <w:rFonts w:hint="eastAsia" w:ascii="宋体" w:hAnsi="宋体" w:cs="宋体"/>
          <w:b/>
          <w:color w:val="000000"/>
          <w:sz w:val="24"/>
          <w:szCs w:val="24"/>
        </w:rPr>
        <w:t>八、合同款项支付</w:t>
      </w:r>
    </w:p>
    <w:p w14:paraId="32823B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8.1合同款项的支付方式及进度安排</w:t>
      </w:r>
    </w:p>
    <w:p w14:paraId="29081E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预付款：</w:t>
      </w:r>
      <w:r>
        <w:rPr>
          <w:rFonts w:hint="eastAsia" w:ascii="宋体" w:hAnsi="宋体" w:cs="宋体"/>
          <w:color w:val="auto"/>
          <w:sz w:val="24"/>
          <w:lang w:val="en-US" w:eastAsia="zh-CN"/>
        </w:rPr>
        <w:t>合同签订后，自收到符合甲方要求的发票后10个工作日内支付合同总价款30%</w:t>
      </w:r>
      <w:r>
        <w:rPr>
          <w:rFonts w:hint="eastAsia" w:ascii="宋体" w:hAnsi="宋体" w:cs="宋体"/>
          <w:color w:val="000000"/>
          <w:sz w:val="24"/>
          <w:lang w:val="en-US" w:eastAsia="zh-CN"/>
        </w:rPr>
        <w:t>；</w:t>
      </w:r>
    </w:p>
    <w:p w14:paraId="040044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进度款：货物到甲方指定地点安装调试结束、验收合格后付至合同价款的100%。</w:t>
      </w:r>
    </w:p>
    <w:p w14:paraId="4042E7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付款前，乙方应向甲方提供符合要求的增值税发票，否则，甲方有权拒绝付款，同时不免除乙方合同履行义务。甲方可从应付款中直接扣除乙方应承担的违约金或其他费用。</w:t>
      </w:r>
    </w:p>
    <w:p w14:paraId="6AE236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资金支付的时间：收到乙方发票10个工作日内；</w:t>
      </w:r>
    </w:p>
    <w:p w14:paraId="010EF0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资金支付的条件：满足相应阶段的要求且收到乙方发票；</w:t>
      </w:r>
    </w:p>
    <w:p w14:paraId="657903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注：1.在签订合同时，乙方明确表示无需预付款或者主动要求降低预付款比例的金额，甲方可不适用预付款规定；2.若支付预付款，则首次进度款支付应扣除预付款。</w:t>
      </w:r>
    </w:p>
    <w:p w14:paraId="085E8D7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2" w:firstLineChars="200"/>
        <w:jc w:val="both"/>
        <w:textAlignment w:val="auto"/>
        <w:rPr>
          <w:rFonts w:hint="default" w:ascii="Times New Roman" w:hAnsi="Times New Roman" w:eastAsia="宋体" w:cs="Times New Roman"/>
        </w:rPr>
      </w:pPr>
      <w:r>
        <w:rPr>
          <w:rFonts w:hint="default" w:ascii="宋体" w:hAnsi="宋体" w:eastAsia="宋体" w:cs="宋体"/>
          <w:b/>
          <w:color w:val="000000"/>
          <w:sz w:val="24"/>
        </w:rPr>
        <w:t>九、税费</w:t>
      </w:r>
    </w:p>
    <w:p w14:paraId="55F69EA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9.1</w:t>
      </w:r>
      <w:r>
        <w:rPr>
          <w:rFonts w:hint="default" w:ascii="宋体" w:hAnsi="宋体" w:eastAsia="宋体" w:cs="宋体"/>
          <w:color w:val="000000"/>
          <w:sz w:val="24"/>
        </w:rPr>
        <w:t>本合同执行中相关的一切税费均由乙方负担。</w:t>
      </w:r>
    </w:p>
    <w:p w14:paraId="37B0EBB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2" w:firstLineChars="200"/>
        <w:jc w:val="both"/>
        <w:textAlignment w:val="auto"/>
        <w:rPr>
          <w:rFonts w:hint="default" w:ascii="Times New Roman" w:hAnsi="Times New Roman" w:eastAsia="宋体" w:cs="Times New Roman"/>
        </w:rPr>
      </w:pPr>
      <w:r>
        <w:rPr>
          <w:rFonts w:hint="default" w:ascii="宋体" w:hAnsi="宋体" w:eastAsia="宋体" w:cs="宋体"/>
          <w:b/>
          <w:color w:val="000000"/>
          <w:sz w:val="24"/>
        </w:rPr>
        <w:t>十、质量保修范围和保修期及售后服务</w:t>
      </w:r>
    </w:p>
    <w:p w14:paraId="62E51C3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eastAsia="宋体" w:cs="Times New Roman"/>
          <w:color w:val="000000"/>
          <w:sz w:val="24"/>
          <w:highlight w:val="none"/>
          <w:lang w:val="en-US" w:eastAsia="zh-CN"/>
        </w:rPr>
      </w:pPr>
      <w:r>
        <w:rPr>
          <w:rFonts w:hint="eastAsia" w:eastAsia="宋体" w:cs="Times New Roman"/>
          <w:color w:val="000000"/>
          <w:sz w:val="24"/>
          <w:highlight w:val="none"/>
          <w:lang w:val="en-US" w:eastAsia="zh-CN"/>
        </w:rPr>
        <w:t>10.1质保期：分包1：自货物验收合格之日起（以双方在验收报告签订日期为准）3年。</w:t>
      </w:r>
    </w:p>
    <w:p w14:paraId="2132C0C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eastAsia="宋体" w:cs="Times New Roman"/>
          <w:color w:val="000000"/>
          <w:sz w:val="24"/>
          <w:highlight w:val="none"/>
          <w:lang w:val="en-US" w:eastAsia="zh-CN"/>
        </w:rPr>
      </w:pPr>
      <w:r>
        <w:rPr>
          <w:rFonts w:hint="eastAsia" w:eastAsia="宋体" w:cs="Times New Roman"/>
          <w:color w:val="000000"/>
          <w:sz w:val="24"/>
          <w:highlight w:val="none"/>
          <w:lang w:val="en-US" w:eastAsia="zh-CN"/>
        </w:rPr>
        <w:t>分包2：自货物验收合格之日起（以双方在验收报告签订日期为准）5年。</w:t>
      </w:r>
    </w:p>
    <w:p w14:paraId="7D7627B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color w:val="000000"/>
          <w:sz w:val="24"/>
          <w:highlight w:val="none"/>
          <w:lang w:val="en-US" w:eastAsia="zh-CN"/>
        </w:rPr>
      </w:pPr>
      <w:r>
        <w:rPr>
          <w:rFonts w:hint="eastAsia" w:eastAsia="宋体" w:cs="Times New Roman"/>
          <w:color w:val="000000"/>
          <w:sz w:val="24"/>
          <w:highlight w:val="none"/>
          <w:lang w:val="en-US" w:eastAsia="zh-CN"/>
        </w:rPr>
        <w:t>分包3：自货物验收合格之日起（以双方在验收报告签订日期为准）5年。</w:t>
      </w:r>
    </w:p>
    <w:p w14:paraId="277F534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宋体" w:hAnsi="宋体" w:eastAsia="宋体" w:cs="宋体"/>
          <w:color w:val="000000"/>
          <w:sz w:val="24"/>
          <w:highlight w:val="none"/>
          <w:lang w:eastAsia="zh-CN"/>
        </w:rPr>
      </w:pPr>
      <w:r>
        <w:rPr>
          <w:rFonts w:hint="default" w:ascii="Times New Roman" w:hAnsi="Times New Roman" w:eastAsia="Times New Roman" w:cs="Times New Roman"/>
          <w:color w:val="000000"/>
          <w:sz w:val="24"/>
          <w:highlight w:val="none"/>
        </w:rPr>
        <w:t>10.</w:t>
      </w:r>
      <w:r>
        <w:rPr>
          <w:rFonts w:hint="eastAsia" w:eastAsia="宋体" w:cs="Times New Roman"/>
          <w:color w:val="000000"/>
          <w:sz w:val="24"/>
          <w:highlight w:val="none"/>
          <w:lang w:val="en-US" w:eastAsia="zh-CN"/>
        </w:rPr>
        <w:t>2</w:t>
      </w:r>
      <w:r>
        <w:rPr>
          <w:rFonts w:hint="default" w:ascii="Times New Roman" w:hAnsi="Times New Roman" w:eastAsia="Times New Roman" w:cs="Times New Roman"/>
          <w:color w:val="000000"/>
          <w:sz w:val="24"/>
          <w:highlight w:val="none"/>
        </w:rPr>
        <w:t xml:space="preserve"> </w:t>
      </w:r>
      <w:r>
        <w:rPr>
          <w:rFonts w:hint="eastAsia" w:ascii="宋体" w:hAnsi="宋体" w:cs="宋体"/>
          <w:color w:val="000000"/>
          <w:sz w:val="24"/>
          <w:highlight w:val="none"/>
          <w:lang w:val="en-US" w:eastAsia="zh-CN"/>
        </w:rPr>
        <w:t>乙方</w:t>
      </w:r>
      <w:r>
        <w:rPr>
          <w:rFonts w:hint="default" w:ascii="宋体" w:hAnsi="宋体" w:eastAsia="宋体" w:cs="宋体"/>
          <w:color w:val="000000"/>
          <w:sz w:val="24"/>
          <w:highlight w:val="none"/>
        </w:rPr>
        <w:t>应按招标文件规定的货物性能、技术要求、质量标准向</w:t>
      </w:r>
      <w:r>
        <w:rPr>
          <w:rFonts w:hint="eastAsia" w:ascii="宋体" w:hAnsi="宋体" w:cs="宋体"/>
          <w:color w:val="000000"/>
          <w:sz w:val="24"/>
          <w:highlight w:val="none"/>
          <w:lang w:val="en-US" w:eastAsia="zh-CN"/>
        </w:rPr>
        <w:t>甲方</w:t>
      </w:r>
      <w:r>
        <w:rPr>
          <w:rFonts w:hint="default" w:ascii="宋体" w:hAnsi="宋体" w:eastAsia="宋体" w:cs="宋体"/>
          <w:color w:val="000000"/>
          <w:sz w:val="24"/>
          <w:highlight w:val="none"/>
        </w:rPr>
        <w:t>提供未经使用的全新产品，产品到达</w:t>
      </w:r>
      <w:r>
        <w:rPr>
          <w:rFonts w:hint="eastAsia" w:ascii="宋体" w:hAnsi="宋体" w:cs="宋体"/>
          <w:color w:val="000000"/>
          <w:sz w:val="24"/>
          <w:highlight w:val="none"/>
          <w:lang w:val="en-US" w:eastAsia="zh-CN"/>
        </w:rPr>
        <w:t>甲方</w:t>
      </w:r>
      <w:r>
        <w:rPr>
          <w:rFonts w:hint="default" w:ascii="宋体" w:hAnsi="宋体" w:eastAsia="宋体" w:cs="宋体"/>
          <w:color w:val="000000"/>
          <w:sz w:val="24"/>
          <w:highlight w:val="none"/>
        </w:rPr>
        <w:t>指定地点之日，距该产品生产日期不得超过180日历天，否则</w:t>
      </w:r>
      <w:r>
        <w:rPr>
          <w:rFonts w:hint="eastAsia" w:ascii="宋体" w:hAnsi="宋体" w:cs="宋体"/>
          <w:color w:val="000000"/>
          <w:sz w:val="24"/>
          <w:highlight w:val="none"/>
          <w:lang w:val="en-US" w:eastAsia="zh-CN"/>
        </w:rPr>
        <w:t>甲方</w:t>
      </w:r>
      <w:r>
        <w:rPr>
          <w:rFonts w:hint="default" w:ascii="宋体" w:hAnsi="宋体" w:eastAsia="宋体" w:cs="宋体"/>
          <w:color w:val="000000"/>
          <w:sz w:val="24"/>
          <w:highlight w:val="none"/>
        </w:rPr>
        <w:t>有权拒收</w:t>
      </w:r>
      <w:r>
        <w:rPr>
          <w:rFonts w:hint="eastAsia" w:ascii="宋体" w:hAnsi="宋体" w:cs="宋体"/>
          <w:color w:val="000000"/>
          <w:sz w:val="24"/>
          <w:highlight w:val="none"/>
          <w:lang w:eastAsia="zh-CN"/>
        </w:rPr>
        <w:t>。</w:t>
      </w:r>
    </w:p>
    <w:p w14:paraId="211E26B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Times New Roman" w:hAnsi="Times New Roman" w:eastAsia="Times New Roman" w:cs="Times New Roman"/>
          <w:color w:val="000000"/>
          <w:sz w:val="24"/>
          <w:lang w:val="en-US" w:eastAsia="zh-CN"/>
        </w:rPr>
      </w:pPr>
      <w:r>
        <w:rPr>
          <w:rFonts w:hint="eastAsia" w:eastAsia="Times New Roman" w:cs="Times New Roman"/>
          <w:color w:val="000000"/>
          <w:sz w:val="24"/>
          <w:lang w:val="en-US" w:eastAsia="zh-CN"/>
        </w:rPr>
        <w:t>10.3</w:t>
      </w:r>
      <w:r>
        <w:rPr>
          <w:rFonts w:hint="eastAsia" w:ascii="Times New Roman" w:hAnsi="Times New Roman" w:eastAsia="Times New Roman" w:cs="Times New Roman"/>
          <w:color w:val="000000"/>
          <w:sz w:val="24"/>
          <w:lang w:val="en-US" w:eastAsia="zh-CN"/>
        </w:rPr>
        <w:t>服务内容：为本项目采购的所有产品提供维修、保养、替换故障部件等服务，相关费用均包含在投标报价中。因设备配置或制造质量问题而引起的故障，</w:t>
      </w:r>
      <w:r>
        <w:rPr>
          <w:rFonts w:hint="eastAsia" w:eastAsia="Times New Roman" w:cs="Times New Roman"/>
          <w:color w:val="000000"/>
          <w:sz w:val="24"/>
          <w:lang w:val="en-US" w:eastAsia="zh-CN"/>
        </w:rPr>
        <w:t>乙方</w:t>
      </w:r>
      <w:r>
        <w:rPr>
          <w:rFonts w:hint="eastAsia" w:ascii="Times New Roman" w:hAnsi="Times New Roman" w:eastAsia="Times New Roman" w:cs="Times New Roman"/>
          <w:color w:val="000000"/>
          <w:sz w:val="24"/>
          <w:lang w:val="en-US" w:eastAsia="zh-CN"/>
        </w:rPr>
        <w:t>应在24小时内立即予以维修或更换完毕，由此引起的一切费用由</w:t>
      </w:r>
      <w:r>
        <w:rPr>
          <w:rFonts w:hint="eastAsia" w:eastAsia="Times New Roman" w:cs="Times New Roman"/>
          <w:color w:val="000000"/>
          <w:sz w:val="24"/>
          <w:lang w:val="en-US" w:eastAsia="zh-CN"/>
        </w:rPr>
        <w:t>乙方</w:t>
      </w:r>
      <w:r>
        <w:rPr>
          <w:rFonts w:hint="eastAsia" w:ascii="Times New Roman" w:hAnsi="Times New Roman" w:eastAsia="Times New Roman" w:cs="Times New Roman"/>
          <w:color w:val="000000"/>
          <w:sz w:val="24"/>
          <w:lang w:val="en-US" w:eastAsia="zh-CN"/>
        </w:rPr>
        <w:t>承担。</w:t>
      </w:r>
    </w:p>
    <w:p w14:paraId="1510B8D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eastAsia" w:ascii="Times New Roman" w:hAnsi="Times New Roman" w:eastAsia="Times New Roman" w:cs="Times New Roman"/>
          <w:color w:val="000000"/>
          <w:sz w:val="24"/>
          <w:lang w:val="en-US" w:eastAsia="zh-CN"/>
        </w:rPr>
      </w:pPr>
      <w:r>
        <w:rPr>
          <w:rFonts w:hint="eastAsia" w:eastAsia="Times New Roman" w:cs="Times New Roman"/>
          <w:color w:val="000000"/>
          <w:sz w:val="24"/>
          <w:lang w:val="en-US" w:eastAsia="zh-CN"/>
        </w:rPr>
        <w:t>10.4</w:t>
      </w:r>
      <w:r>
        <w:rPr>
          <w:rFonts w:hint="eastAsia" w:ascii="Times New Roman" w:hAnsi="Times New Roman" w:eastAsia="Times New Roman" w:cs="Times New Roman"/>
          <w:color w:val="000000"/>
          <w:sz w:val="24"/>
          <w:lang w:val="en-US" w:eastAsia="zh-CN"/>
        </w:rPr>
        <w:t>响应时间：</w:t>
      </w:r>
      <w:r>
        <w:rPr>
          <w:rFonts w:hint="eastAsia" w:eastAsia="Times New Roman" w:cs="Times New Roman"/>
          <w:color w:val="000000"/>
          <w:sz w:val="24"/>
          <w:lang w:val="en-US" w:eastAsia="zh-CN"/>
        </w:rPr>
        <w:t>乙方</w:t>
      </w:r>
      <w:r>
        <w:rPr>
          <w:rFonts w:hint="eastAsia" w:ascii="Times New Roman" w:hAnsi="Times New Roman" w:eastAsia="Times New Roman" w:cs="Times New Roman"/>
          <w:color w:val="000000"/>
          <w:sz w:val="24"/>
          <w:lang w:val="en-US" w:eastAsia="zh-CN"/>
        </w:rPr>
        <w:t>应严格按照招标文件的有关规定提供合格产品，保证货物为全新未使用的原装正品，货物上均有合格证，包括品牌的有关标志等；一旦发生质量问题，</w:t>
      </w:r>
      <w:r>
        <w:rPr>
          <w:rFonts w:hint="eastAsia" w:eastAsia="Times New Roman" w:cs="Times New Roman"/>
          <w:color w:val="000000"/>
          <w:sz w:val="24"/>
          <w:lang w:val="en-US" w:eastAsia="zh-CN"/>
        </w:rPr>
        <w:t>乙方</w:t>
      </w:r>
      <w:r>
        <w:rPr>
          <w:rFonts w:hint="eastAsia" w:ascii="Times New Roman" w:hAnsi="Times New Roman" w:eastAsia="Times New Roman" w:cs="Times New Roman"/>
          <w:color w:val="000000"/>
          <w:sz w:val="24"/>
          <w:lang w:val="en-US" w:eastAsia="zh-CN"/>
        </w:rPr>
        <w:t>在接到</w:t>
      </w:r>
      <w:r>
        <w:rPr>
          <w:rFonts w:hint="eastAsia" w:eastAsia="Times New Roman" w:cs="Times New Roman"/>
          <w:color w:val="000000"/>
          <w:sz w:val="24"/>
          <w:lang w:val="en-US" w:eastAsia="zh-CN"/>
        </w:rPr>
        <w:t>甲方</w:t>
      </w:r>
      <w:r>
        <w:rPr>
          <w:rFonts w:hint="eastAsia" w:ascii="Times New Roman" w:hAnsi="Times New Roman" w:eastAsia="Times New Roman" w:cs="Times New Roman"/>
          <w:color w:val="000000"/>
          <w:sz w:val="24"/>
          <w:lang w:val="en-US" w:eastAsia="zh-CN"/>
        </w:rPr>
        <w:t>通知的10分钟内快速响应服务，简单问题1小时内解决完毕，排除故障恢复正常运行；如果需要到现场维修的须在24小时内派技术人员到达现场，开展维修维护工作，排除故障恢复正常运行。并为</w:t>
      </w:r>
      <w:r>
        <w:rPr>
          <w:rFonts w:hint="eastAsia" w:eastAsia="Times New Roman" w:cs="Times New Roman"/>
          <w:color w:val="000000"/>
          <w:sz w:val="24"/>
          <w:lang w:val="en-US" w:eastAsia="zh-CN"/>
        </w:rPr>
        <w:t>甲方</w:t>
      </w:r>
      <w:r>
        <w:rPr>
          <w:rFonts w:hint="eastAsia" w:ascii="Times New Roman" w:hAnsi="Times New Roman" w:eastAsia="Times New Roman" w:cs="Times New Roman"/>
          <w:color w:val="000000"/>
          <w:sz w:val="24"/>
          <w:lang w:val="en-US" w:eastAsia="zh-CN"/>
        </w:rPr>
        <w:t>提供每周7天、每天24小时售后技术支持和服务。如投标人在接到通知工作日的24小时内没有答复或处理问题，则视为投标人承认质量问题并承担由此而发生的一切费用。</w:t>
      </w:r>
    </w:p>
    <w:p w14:paraId="650B16C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宋体" w:hAnsi="宋体" w:eastAsia="宋体" w:cs="宋体"/>
          <w:color w:val="000000"/>
          <w:sz w:val="24"/>
        </w:rPr>
      </w:pPr>
      <w:r>
        <w:rPr>
          <w:rFonts w:hint="eastAsia" w:eastAsia="Times New Roman" w:cs="Times New Roman"/>
          <w:color w:val="000000"/>
          <w:sz w:val="24"/>
          <w:lang w:val="en-US" w:eastAsia="zh-CN"/>
        </w:rPr>
        <w:t>10.5乙方</w:t>
      </w:r>
      <w:r>
        <w:rPr>
          <w:rFonts w:hint="eastAsia" w:ascii="Times New Roman" w:hAnsi="Times New Roman" w:eastAsia="Times New Roman" w:cs="Times New Roman"/>
          <w:color w:val="000000"/>
          <w:sz w:val="24"/>
          <w:lang w:val="en-US" w:eastAsia="zh-CN"/>
        </w:rPr>
        <w:t>未在上述规定时间内履行售后服务义务的，</w:t>
      </w:r>
      <w:r>
        <w:rPr>
          <w:rFonts w:hint="eastAsia" w:eastAsia="Times New Roman" w:cs="Times New Roman"/>
          <w:color w:val="000000"/>
          <w:sz w:val="24"/>
          <w:lang w:val="en-US" w:eastAsia="zh-CN"/>
        </w:rPr>
        <w:t>甲方</w:t>
      </w:r>
      <w:r>
        <w:rPr>
          <w:rFonts w:hint="eastAsia" w:ascii="Times New Roman" w:hAnsi="Times New Roman" w:eastAsia="Times New Roman" w:cs="Times New Roman"/>
          <w:color w:val="000000"/>
          <w:sz w:val="24"/>
          <w:lang w:val="en-US" w:eastAsia="zh-CN"/>
        </w:rPr>
        <w:t>可选择是否委托第三方代为处理，由此产生的费用及损失均由</w:t>
      </w:r>
      <w:r>
        <w:rPr>
          <w:rFonts w:hint="eastAsia" w:eastAsia="Times New Roman" w:cs="Times New Roman"/>
          <w:color w:val="000000"/>
          <w:sz w:val="24"/>
          <w:lang w:val="en-US" w:eastAsia="zh-CN"/>
        </w:rPr>
        <w:t>乙方</w:t>
      </w:r>
      <w:r>
        <w:rPr>
          <w:rFonts w:hint="eastAsia" w:ascii="Times New Roman" w:hAnsi="Times New Roman" w:eastAsia="Times New Roman" w:cs="Times New Roman"/>
          <w:color w:val="000000"/>
          <w:sz w:val="24"/>
          <w:lang w:val="en-US" w:eastAsia="zh-CN"/>
        </w:rPr>
        <w:t>承担。</w:t>
      </w:r>
    </w:p>
    <w:p w14:paraId="407372F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宋体" w:hAnsi="宋体" w:eastAsia="宋体" w:cs="宋体"/>
          <w:color w:val="000000"/>
          <w:sz w:val="24"/>
        </w:rPr>
      </w:pPr>
      <w:r>
        <w:rPr>
          <w:rFonts w:hint="default" w:ascii="宋体" w:hAnsi="宋体" w:eastAsia="宋体" w:cs="宋体"/>
          <w:color w:val="000000"/>
          <w:sz w:val="24"/>
        </w:rPr>
        <w:t>注：乙方投标承诺中售后服务方案优于上述要求的，优先执行投标承诺内容。</w:t>
      </w:r>
    </w:p>
    <w:p w14:paraId="66EE461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2" w:firstLineChars="200"/>
        <w:jc w:val="both"/>
        <w:textAlignment w:val="auto"/>
        <w:rPr>
          <w:rFonts w:hint="default" w:ascii="Times New Roman" w:hAnsi="Times New Roman" w:eastAsia="宋体" w:cs="Times New Roman"/>
        </w:rPr>
      </w:pPr>
      <w:r>
        <w:rPr>
          <w:rFonts w:hint="default" w:ascii="宋体" w:hAnsi="宋体" w:eastAsia="宋体" w:cs="宋体"/>
          <w:b/>
          <w:color w:val="000000"/>
          <w:sz w:val="24"/>
        </w:rPr>
        <w:t>十一、项目验收</w:t>
      </w:r>
    </w:p>
    <w:p w14:paraId="2E4E017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11.1 </w:t>
      </w:r>
      <w:r>
        <w:rPr>
          <w:rFonts w:hint="default" w:ascii="宋体" w:hAnsi="宋体" w:eastAsia="宋体" w:cs="宋体"/>
          <w:color w:val="000000"/>
          <w:sz w:val="24"/>
        </w:rPr>
        <w:t>甲方依法组织履约验收工作。</w:t>
      </w:r>
    </w:p>
    <w:p w14:paraId="09FC38D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11.2 </w:t>
      </w:r>
      <w:r>
        <w:rPr>
          <w:rFonts w:hint="default" w:ascii="宋体" w:hAnsi="宋体" w:eastAsia="宋体" w:cs="宋体"/>
          <w:color w:val="000000"/>
          <w:sz w:val="24"/>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644F46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11.3 </w:t>
      </w:r>
      <w:r>
        <w:rPr>
          <w:rFonts w:hint="default" w:ascii="宋体" w:hAnsi="宋体" w:eastAsia="宋体" w:cs="宋体"/>
          <w:color w:val="000000"/>
          <w:sz w:val="24"/>
        </w:rPr>
        <w:t>对于实际使用人和甲方分离的项目，甲方邀请实际使用人参与验收。</w:t>
      </w:r>
    </w:p>
    <w:p w14:paraId="4E8E1C5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11.4 </w:t>
      </w:r>
      <w:r>
        <w:rPr>
          <w:rFonts w:hint="default" w:ascii="宋体" w:hAnsi="宋体" w:eastAsia="宋体" w:cs="宋体"/>
          <w:color w:val="000000"/>
          <w:sz w:val="24"/>
        </w:rPr>
        <w:t>如有必要，甲方邀请参加本项目的其他供应商或第三方专业机构及专家参与验收，由此产生的费用由乙方承担，相关意见将作为验收书的参考资料。</w:t>
      </w:r>
    </w:p>
    <w:p w14:paraId="0A42E5E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11.5 </w:t>
      </w:r>
      <w:r>
        <w:rPr>
          <w:rFonts w:hint="default" w:ascii="宋体" w:hAnsi="宋体" w:eastAsia="宋体" w:cs="宋体"/>
          <w:color w:val="000000"/>
          <w:sz w:val="24"/>
        </w:rPr>
        <w:t>甲方成立验收小组，按照采购合同的约定对乙方的履约情况进行验收。验收时间、验收标准见招标文件验收内容。验收时</w:t>
      </w:r>
      <w:r>
        <w:rPr>
          <w:rFonts w:hint="default" w:ascii="Times New Roman" w:hAnsi="Times New Roman" w:eastAsia="Times New Roman" w:cs="Times New Roman"/>
          <w:color w:val="000000"/>
          <w:sz w:val="24"/>
        </w:rPr>
        <w:t>,</w:t>
      </w:r>
      <w:r>
        <w:rPr>
          <w:rFonts w:hint="default" w:ascii="宋体" w:hAnsi="宋体" w:eastAsia="宋体" w:cs="宋体"/>
          <w:color w:val="000000"/>
          <w:sz w:val="24"/>
        </w:rPr>
        <w:t>甲方按照采购合同的约定对每一项技术、商务要求的履约情况进行确认。验收结束后</w:t>
      </w:r>
      <w:r>
        <w:rPr>
          <w:rFonts w:hint="default" w:ascii="Times New Roman" w:hAnsi="Times New Roman" w:eastAsia="Times New Roman" w:cs="Times New Roman"/>
          <w:color w:val="000000"/>
          <w:sz w:val="24"/>
        </w:rPr>
        <w:t>,</w:t>
      </w:r>
      <w:r>
        <w:rPr>
          <w:rFonts w:hint="default" w:ascii="宋体" w:hAnsi="宋体" w:eastAsia="宋体" w:cs="宋体"/>
          <w:color w:val="000000"/>
          <w:sz w:val="24"/>
        </w:rPr>
        <w:t>验收小组出具验收书</w:t>
      </w:r>
      <w:r>
        <w:rPr>
          <w:rFonts w:hint="default" w:ascii="Times New Roman" w:hAnsi="Times New Roman" w:eastAsia="Times New Roman" w:cs="Times New Roman"/>
          <w:color w:val="000000"/>
          <w:sz w:val="24"/>
        </w:rPr>
        <w:t>,</w:t>
      </w:r>
      <w:r>
        <w:rPr>
          <w:rFonts w:hint="default" w:ascii="宋体" w:hAnsi="宋体" w:eastAsia="宋体" w:cs="宋体"/>
          <w:color w:val="000000"/>
          <w:sz w:val="24"/>
        </w:rPr>
        <w:t>列明各项标准的验收情况及项目总体评价</w:t>
      </w:r>
      <w:r>
        <w:rPr>
          <w:rFonts w:hint="default" w:ascii="Times New Roman" w:hAnsi="Times New Roman" w:eastAsia="Times New Roman" w:cs="Times New Roman"/>
          <w:color w:val="000000"/>
          <w:sz w:val="24"/>
        </w:rPr>
        <w:t>,</w:t>
      </w:r>
      <w:r>
        <w:rPr>
          <w:rFonts w:hint="default" w:ascii="宋体" w:hAnsi="宋体" w:eastAsia="宋体" w:cs="宋体"/>
          <w:color w:val="000000"/>
          <w:sz w:val="24"/>
        </w:rPr>
        <w:t>由验收双方共同签署。验收结果与采购合同约定的资金支付挂钩。履约验收的各项资料存档备查。</w:t>
      </w:r>
    </w:p>
    <w:p w14:paraId="3CE2A6F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11.6 </w:t>
      </w:r>
      <w:r>
        <w:rPr>
          <w:rFonts w:hint="default" w:ascii="宋体" w:hAnsi="宋体" w:eastAsia="宋体" w:cs="宋体"/>
          <w:color w:val="000000"/>
          <w:sz w:val="24"/>
        </w:rPr>
        <w:t>验收合格的项目</w:t>
      </w:r>
      <w:r>
        <w:rPr>
          <w:rFonts w:hint="default" w:ascii="Times New Roman" w:hAnsi="Times New Roman" w:eastAsia="Times New Roman" w:cs="Times New Roman"/>
          <w:color w:val="000000"/>
          <w:sz w:val="24"/>
        </w:rPr>
        <w:t>,</w:t>
      </w:r>
      <w:r>
        <w:rPr>
          <w:rFonts w:hint="default" w:ascii="宋体" w:hAnsi="宋体" w:eastAsia="宋体" w:cs="宋体"/>
          <w:color w:val="000000"/>
          <w:sz w:val="24"/>
        </w:rPr>
        <w:t>甲方根据采购合同的约定及时向乙方支付合同款项。验收不合格的项目，甲方依法及时处理。采购合同的履行、违约责任和解决争议的方式等适用《民法典》。乙方在履约过程中有政府采购法律法规规定的违法违规情形的</w:t>
      </w:r>
      <w:r>
        <w:rPr>
          <w:rFonts w:hint="default" w:ascii="Times New Roman" w:hAnsi="Times New Roman" w:eastAsia="Times New Roman" w:cs="Times New Roman"/>
          <w:color w:val="000000"/>
          <w:sz w:val="24"/>
        </w:rPr>
        <w:t>,</w:t>
      </w:r>
      <w:r>
        <w:rPr>
          <w:rFonts w:hint="default" w:ascii="宋体" w:hAnsi="宋体" w:eastAsia="宋体" w:cs="宋体"/>
          <w:color w:val="000000"/>
          <w:sz w:val="24"/>
        </w:rPr>
        <w:t>甲方将及时报告本级财政部门。</w:t>
      </w:r>
    </w:p>
    <w:p w14:paraId="6C163A2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textAlignment w:val="auto"/>
        <w:rPr>
          <w:rFonts w:hint="default" w:ascii="Times New Roman" w:hAnsi="Times New Roman" w:eastAsia="宋体" w:cs="Times New Roman"/>
        </w:rPr>
      </w:pPr>
      <w:r>
        <w:rPr>
          <w:rFonts w:hint="default" w:ascii="宋体" w:hAnsi="宋体" w:eastAsia="宋体" w:cs="宋体"/>
          <w:color w:val="000000"/>
          <w:sz w:val="24"/>
        </w:rPr>
        <w:t>11.7甲方在验收中，如发现有与合同规定不符的，应向乙方提出书面意见，不签发验收单。乙方在接到甲方书面意见后，应在2天内予以处理完毕，并将处理结果书面告知甲方。</w:t>
      </w:r>
    </w:p>
    <w:p w14:paraId="0DF57B5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textAlignment w:val="auto"/>
        <w:rPr>
          <w:rFonts w:hint="default" w:ascii="Times New Roman" w:hAnsi="Times New Roman" w:eastAsia="宋体" w:cs="Times New Roman"/>
        </w:rPr>
      </w:pPr>
      <w:r>
        <w:rPr>
          <w:rFonts w:hint="default" w:ascii="宋体" w:hAnsi="宋体" w:eastAsia="宋体" w:cs="宋体"/>
          <w:color w:val="000000"/>
          <w:sz w:val="24"/>
        </w:rPr>
        <w:t>11.8如果验收不合格,甲方有权拒绝付款，乙方应在甲方限定时间内予以更换符合要求的货物，乙方自行承担由此产生的所有费用。</w:t>
      </w:r>
    </w:p>
    <w:p w14:paraId="24563A1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2" w:firstLineChars="200"/>
        <w:jc w:val="both"/>
        <w:textAlignment w:val="auto"/>
        <w:rPr>
          <w:rFonts w:hint="default" w:ascii="Times New Roman" w:hAnsi="Times New Roman" w:eastAsia="宋体" w:cs="Times New Roman"/>
        </w:rPr>
      </w:pPr>
      <w:r>
        <w:rPr>
          <w:rFonts w:hint="default" w:ascii="宋体" w:hAnsi="宋体" w:eastAsia="宋体" w:cs="宋体"/>
          <w:b/>
          <w:color w:val="000000"/>
          <w:sz w:val="24"/>
        </w:rPr>
        <w:t>十二、货物的包装、发运及运输</w:t>
      </w:r>
    </w:p>
    <w:p w14:paraId="43336A3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12.1 </w:t>
      </w:r>
      <w:r>
        <w:rPr>
          <w:rFonts w:hint="default" w:ascii="宋体" w:hAnsi="宋体" w:eastAsia="宋体" w:cs="宋体"/>
          <w:color w:val="000000"/>
          <w:sz w:val="24"/>
        </w:rPr>
        <w:t>乙方应在货物发运前对其进行满足运输距离、防潮、防震、防锈和防破损装卸等要求包装，以保证货物安全运达甲方指定地点。乙方对货物的包装应符合《商品包装政府采购需求标准（试行）》、《快递包装政府采购需求标准（试行）》的规定。</w:t>
      </w:r>
    </w:p>
    <w:p w14:paraId="19CEAF3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12.2 </w:t>
      </w:r>
      <w:r>
        <w:rPr>
          <w:rFonts w:hint="default" w:ascii="宋体" w:hAnsi="宋体" w:eastAsia="宋体" w:cs="宋体"/>
          <w:color w:val="000000"/>
          <w:sz w:val="24"/>
        </w:rPr>
        <w:t>使用说明书、质量检验证明书、随配附件和工具以及清单一并附于货物内。</w:t>
      </w:r>
    </w:p>
    <w:p w14:paraId="38AE0B3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12.3 </w:t>
      </w:r>
      <w:r>
        <w:rPr>
          <w:rFonts w:hint="default" w:ascii="宋体" w:hAnsi="宋体" w:eastAsia="宋体" w:cs="宋体"/>
          <w:color w:val="000000"/>
          <w:sz w:val="24"/>
        </w:rPr>
        <w:t>乙方在货物发运手续办理完毕后</w:t>
      </w:r>
      <w:r>
        <w:rPr>
          <w:rFonts w:hint="default" w:ascii="Times New Roman" w:hAnsi="Times New Roman" w:eastAsia="Times New Roman" w:cs="Times New Roman"/>
          <w:color w:val="000000"/>
          <w:sz w:val="24"/>
        </w:rPr>
        <w:t>24</w:t>
      </w:r>
      <w:r>
        <w:rPr>
          <w:rFonts w:hint="default" w:ascii="宋体" w:hAnsi="宋体" w:eastAsia="宋体" w:cs="宋体"/>
          <w:color w:val="000000"/>
          <w:sz w:val="24"/>
        </w:rPr>
        <w:t>小时内或货到甲方</w:t>
      </w:r>
      <w:r>
        <w:rPr>
          <w:rFonts w:hint="default" w:ascii="Times New Roman" w:hAnsi="Times New Roman" w:eastAsia="Times New Roman" w:cs="Times New Roman"/>
          <w:color w:val="000000"/>
          <w:sz w:val="24"/>
        </w:rPr>
        <w:t>48</w:t>
      </w:r>
      <w:r>
        <w:rPr>
          <w:rFonts w:hint="default" w:ascii="宋体" w:hAnsi="宋体" w:eastAsia="宋体" w:cs="宋体"/>
          <w:color w:val="000000"/>
          <w:sz w:val="24"/>
        </w:rPr>
        <w:t>小时前通知甲方，以准备接货。</w:t>
      </w:r>
    </w:p>
    <w:p w14:paraId="6A0A9EC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12.4 </w:t>
      </w:r>
      <w:r>
        <w:rPr>
          <w:rFonts w:hint="default" w:ascii="宋体" w:hAnsi="宋体" w:eastAsia="宋体" w:cs="宋体"/>
          <w:color w:val="000000"/>
          <w:sz w:val="24"/>
        </w:rPr>
        <w:t>货物在交付甲</w:t>
      </w:r>
      <w:bookmarkStart w:id="195" w:name="_GoBack"/>
      <w:r>
        <w:rPr>
          <w:rFonts w:hint="default" w:ascii="宋体" w:hAnsi="宋体" w:eastAsia="宋体" w:cs="宋体"/>
          <w:color w:val="000000"/>
          <w:sz w:val="24"/>
          <w:highlight w:val="none"/>
        </w:rPr>
        <w:t>方</w:t>
      </w:r>
      <w:r>
        <w:rPr>
          <w:rFonts w:hint="eastAsia" w:ascii="宋体" w:hAnsi="宋体" w:cs="宋体"/>
          <w:color w:val="000000"/>
          <w:sz w:val="24"/>
          <w:highlight w:val="none"/>
          <w:lang w:val="en-US" w:eastAsia="zh-CN"/>
        </w:rPr>
        <w:t>验收合格</w:t>
      </w:r>
      <w:r>
        <w:rPr>
          <w:rFonts w:hint="default" w:ascii="宋体" w:hAnsi="宋体" w:eastAsia="宋体" w:cs="宋体"/>
          <w:color w:val="000000"/>
          <w:sz w:val="24"/>
          <w:highlight w:val="none"/>
        </w:rPr>
        <w:t>前发</w:t>
      </w:r>
      <w:bookmarkEnd w:id="195"/>
      <w:r>
        <w:rPr>
          <w:rFonts w:hint="default" w:ascii="宋体" w:hAnsi="宋体" w:eastAsia="宋体" w:cs="宋体"/>
          <w:color w:val="000000"/>
          <w:sz w:val="24"/>
        </w:rPr>
        <w:t>生的风险均由乙方负责。</w:t>
      </w:r>
    </w:p>
    <w:p w14:paraId="69ADD01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12.5</w:t>
      </w:r>
      <w:r>
        <w:rPr>
          <w:rFonts w:hint="default" w:ascii="宋体" w:hAnsi="宋体" w:eastAsia="宋体" w:cs="宋体"/>
          <w:color w:val="000000"/>
          <w:sz w:val="24"/>
        </w:rPr>
        <w:t>货物在规定的交付期限内由乙方送达甲方指定的地点并经甲方验收合格签收后视为交付，乙方同时需通知甲方货物已送达。</w:t>
      </w:r>
    </w:p>
    <w:p w14:paraId="31EBE78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2" w:firstLineChars="200"/>
        <w:jc w:val="both"/>
        <w:textAlignment w:val="auto"/>
        <w:rPr>
          <w:rFonts w:hint="default" w:ascii="Times New Roman" w:hAnsi="Times New Roman" w:eastAsia="宋体" w:cs="Times New Roman"/>
        </w:rPr>
      </w:pPr>
      <w:r>
        <w:rPr>
          <w:rFonts w:hint="default" w:ascii="宋体" w:hAnsi="宋体" w:eastAsia="宋体" w:cs="宋体"/>
          <w:b/>
          <w:color w:val="000000"/>
          <w:sz w:val="24"/>
        </w:rPr>
        <w:t>十三、违约责任</w:t>
      </w:r>
    </w:p>
    <w:p w14:paraId="13BEEE5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13.1</w:t>
      </w:r>
      <w:r>
        <w:rPr>
          <w:rFonts w:hint="default" w:ascii="宋体" w:hAnsi="宋体" w:eastAsia="宋体" w:cs="宋体"/>
          <w:color w:val="000000"/>
          <w:sz w:val="24"/>
        </w:rPr>
        <w:t>乙方未按约定期限供货的，每逾期一日应向甲方支付合同总额</w:t>
      </w:r>
      <w:r>
        <w:rPr>
          <w:rFonts w:hint="default" w:ascii="Times New Roman" w:hAnsi="Times New Roman" w:eastAsia="Times New Roman" w:cs="Times New Roman"/>
          <w:color w:val="000000"/>
          <w:sz w:val="24"/>
        </w:rPr>
        <w:t>3</w:t>
      </w:r>
      <w:r>
        <w:rPr>
          <w:rFonts w:hint="default" w:ascii="宋体" w:hAnsi="宋体" w:eastAsia="宋体" w:cs="宋体"/>
          <w:color w:val="000000"/>
          <w:sz w:val="24"/>
        </w:rPr>
        <w:t>‰的违约金。如乙方逾期履行达</w:t>
      </w:r>
      <w:r>
        <w:rPr>
          <w:rFonts w:hint="default" w:ascii="Times New Roman" w:hAnsi="Times New Roman" w:eastAsia="Times New Roman" w:cs="Times New Roman"/>
          <w:color w:val="000000"/>
          <w:sz w:val="24"/>
        </w:rPr>
        <w:t>15</w:t>
      </w:r>
      <w:r>
        <w:rPr>
          <w:rFonts w:hint="default" w:ascii="宋体" w:hAnsi="宋体" w:eastAsia="宋体" w:cs="宋体"/>
          <w:color w:val="000000"/>
          <w:sz w:val="24"/>
        </w:rPr>
        <w:t>日，甲方有权单方解除合同，解除合同的通知自送达乙方时生效。甲方选择解除合同的，乙方须返还已付款项，并按合同总价</w:t>
      </w:r>
      <w:r>
        <w:rPr>
          <w:rFonts w:hint="default" w:ascii="Times New Roman" w:hAnsi="Times New Roman" w:eastAsia="Times New Roman" w:cs="Times New Roman"/>
          <w:color w:val="000000"/>
          <w:sz w:val="24"/>
        </w:rPr>
        <w:t>30%</w:t>
      </w:r>
      <w:r>
        <w:rPr>
          <w:rFonts w:hint="default" w:ascii="宋体" w:hAnsi="宋体" w:eastAsia="宋体" w:cs="宋体"/>
          <w:color w:val="000000"/>
          <w:sz w:val="24"/>
        </w:rPr>
        <w:t>支付违约金。</w:t>
      </w:r>
      <w:r>
        <w:rPr>
          <w:rFonts w:hint="default" w:ascii="Times New Roman" w:hAnsi="Times New Roman" w:eastAsia="Times New Roman" w:cs="Times New Roman"/>
          <w:color w:val="000000"/>
          <w:sz w:val="24"/>
        </w:rPr>
        <w:t xml:space="preserve"> </w:t>
      </w:r>
    </w:p>
    <w:p w14:paraId="61D2C7D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13.2</w:t>
      </w:r>
      <w:r>
        <w:rPr>
          <w:rFonts w:hint="default" w:ascii="宋体" w:hAnsi="宋体" w:eastAsia="宋体" w:cs="宋体"/>
          <w:color w:val="000000"/>
          <w:sz w:val="24"/>
        </w:rPr>
        <w:t>本项目不得转让、分包，如有发生，甲方有权解除合同，有权要求乙方退还甲方已付款项，并由乙方支付合同总价</w:t>
      </w:r>
      <w:r>
        <w:rPr>
          <w:rFonts w:hint="default" w:ascii="Times New Roman" w:hAnsi="Times New Roman" w:eastAsia="Times New Roman" w:cs="Times New Roman"/>
          <w:color w:val="000000"/>
          <w:sz w:val="24"/>
        </w:rPr>
        <w:t>30%</w:t>
      </w:r>
      <w:r>
        <w:rPr>
          <w:rFonts w:hint="default" w:ascii="宋体" w:hAnsi="宋体" w:eastAsia="宋体" w:cs="宋体"/>
          <w:color w:val="000000"/>
          <w:sz w:val="24"/>
        </w:rPr>
        <w:t>违约金。</w:t>
      </w:r>
    </w:p>
    <w:p w14:paraId="594681E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13.3</w:t>
      </w:r>
      <w:r>
        <w:rPr>
          <w:rFonts w:hint="default" w:ascii="宋体" w:hAnsi="宋体" w:eastAsia="宋体" w:cs="宋体"/>
          <w:color w:val="000000"/>
          <w:sz w:val="24"/>
        </w:rPr>
        <w:t>乙方未按本合同约定提供售后服务的，甲方可选择是否委托第三方代为处理，由此产生的费用及损失均由乙方承担，每出现一次，乙方应按合同总价</w:t>
      </w:r>
      <w:r>
        <w:rPr>
          <w:rFonts w:hint="default" w:ascii="Times New Roman" w:hAnsi="Times New Roman" w:eastAsia="Times New Roman" w:cs="Times New Roman"/>
          <w:color w:val="000000"/>
          <w:sz w:val="24"/>
        </w:rPr>
        <w:t>10%</w:t>
      </w:r>
      <w:r>
        <w:rPr>
          <w:rFonts w:hint="default" w:ascii="宋体" w:hAnsi="宋体" w:eastAsia="宋体" w:cs="宋体"/>
          <w:color w:val="000000"/>
          <w:sz w:val="24"/>
        </w:rPr>
        <w:t>向甲方支付违约金，并承担非乙方提供的售后服务产生的所有费用。</w:t>
      </w:r>
    </w:p>
    <w:p w14:paraId="3EC0C65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13.4</w:t>
      </w:r>
      <w:r>
        <w:rPr>
          <w:rFonts w:hint="default" w:ascii="宋体" w:hAnsi="宋体" w:eastAsia="宋体" w:cs="宋体"/>
          <w:color w:val="000000"/>
          <w:sz w:val="24"/>
        </w:rPr>
        <w:t>乙方所供货物经甲方验收不合格的，有权拒绝付款，乙方应在甲方限定时间内予以更换符合要求的货物，乙方自行承担由此产生的所有费用，造成逾期的按本条第</w:t>
      </w:r>
      <w:r>
        <w:rPr>
          <w:rFonts w:hint="default" w:ascii="Times New Roman" w:hAnsi="Times New Roman" w:eastAsia="Times New Roman" w:cs="Times New Roman"/>
          <w:color w:val="000000"/>
          <w:sz w:val="24"/>
        </w:rPr>
        <w:t>13.1</w:t>
      </w:r>
      <w:r>
        <w:rPr>
          <w:rFonts w:hint="default" w:ascii="宋体" w:hAnsi="宋体" w:eastAsia="宋体" w:cs="宋体"/>
          <w:color w:val="000000"/>
          <w:sz w:val="24"/>
        </w:rPr>
        <w:t>款承担逾期违约责任。</w:t>
      </w:r>
    </w:p>
    <w:p w14:paraId="34ADDA2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13.5</w:t>
      </w:r>
      <w:r>
        <w:rPr>
          <w:rFonts w:hint="default" w:ascii="宋体" w:hAnsi="宋体" w:eastAsia="宋体" w:cs="宋体"/>
          <w:color w:val="000000"/>
          <w:sz w:val="24"/>
        </w:rPr>
        <w:t>合同签订后，乙方单方终止或解除合同的，除应退还甲方已付款项外，还应支付合同总价</w:t>
      </w:r>
      <w:r>
        <w:rPr>
          <w:rFonts w:hint="default" w:ascii="Times New Roman" w:hAnsi="Times New Roman" w:eastAsia="Times New Roman" w:cs="Times New Roman"/>
          <w:color w:val="000000"/>
          <w:sz w:val="24"/>
        </w:rPr>
        <w:t>30%</w:t>
      </w:r>
      <w:r>
        <w:rPr>
          <w:rFonts w:hint="default" w:ascii="宋体" w:hAnsi="宋体" w:eastAsia="宋体" w:cs="宋体"/>
          <w:color w:val="000000"/>
          <w:sz w:val="24"/>
        </w:rPr>
        <w:t>违约金。</w:t>
      </w:r>
    </w:p>
    <w:p w14:paraId="57E0DBD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13.6</w:t>
      </w:r>
      <w:r>
        <w:rPr>
          <w:rFonts w:hint="default" w:ascii="宋体" w:hAnsi="宋体" w:eastAsia="宋体" w:cs="宋体"/>
          <w:color w:val="000000"/>
          <w:sz w:val="24"/>
        </w:rPr>
        <w:t>非因甲方原因，乙方未全面履行本合同的约定或其他义务的，甲方有权要求其继续履行或解除合同。甲方要求继续履行的，乙方应支付合同总价</w:t>
      </w:r>
      <w:r>
        <w:rPr>
          <w:rFonts w:hint="default" w:ascii="Times New Roman" w:hAnsi="Times New Roman" w:eastAsia="Times New Roman" w:cs="Times New Roman"/>
          <w:color w:val="000000"/>
          <w:sz w:val="24"/>
        </w:rPr>
        <w:t>10%</w:t>
      </w:r>
      <w:r>
        <w:rPr>
          <w:rFonts w:hint="default" w:ascii="宋体" w:hAnsi="宋体" w:eastAsia="宋体" w:cs="宋体"/>
          <w:color w:val="000000"/>
          <w:sz w:val="24"/>
        </w:rPr>
        <w:t>违约金；甲方选择解除本合同的或乙方仍未全面履行的，甲方均有权解除本合同，乙方须返还已付款项，乙方另应支付合同总价</w:t>
      </w:r>
      <w:r>
        <w:rPr>
          <w:rFonts w:hint="default" w:ascii="Times New Roman" w:hAnsi="Times New Roman" w:eastAsia="Times New Roman" w:cs="Times New Roman"/>
          <w:color w:val="000000"/>
          <w:sz w:val="24"/>
        </w:rPr>
        <w:t>30%</w:t>
      </w:r>
      <w:r>
        <w:rPr>
          <w:rFonts w:hint="default" w:ascii="宋体" w:hAnsi="宋体" w:eastAsia="宋体" w:cs="宋体"/>
          <w:color w:val="000000"/>
          <w:sz w:val="24"/>
        </w:rPr>
        <w:t>的违约金。不足弥补甲方损失的，仍需赔偿。</w:t>
      </w:r>
    </w:p>
    <w:p w14:paraId="4FB21DF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13.7</w:t>
      </w:r>
      <w:r>
        <w:rPr>
          <w:rFonts w:hint="default" w:ascii="宋体" w:hAnsi="宋体" w:eastAsia="宋体" w:cs="宋体"/>
          <w:color w:val="000000"/>
          <w:sz w:val="24"/>
        </w:rPr>
        <w:t>甲方未按约定期限付款的，应就逾期部分向乙方支付按全国银行间同业拆借中心公布的一年期贷款市场报价利率计算的逾期付款违约金。</w:t>
      </w:r>
    </w:p>
    <w:p w14:paraId="7143C54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13.8</w:t>
      </w:r>
      <w:r>
        <w:rPr>
          <w:rFonts w:hint="default" w:ascii="宋体" w:hAnsi="宋体" w:eastAsia="宋体" w:cs="宋体"/>
          <w:color w:val="000000"/>
          <w:sz w:val="24"/>
        </w:rPr>
        <w:t>违约方应承担守约方主张权益产生的包括但不限于交通费、误工费、律师费、鉴定费、保全费、保全保险费、诉讼费等相关费用。</w:t>
      </w:r>
    </w:p>
    <w:p w14:paraId="05E6AD3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13.9</w:t>
      </w:r>
      <w:r>
        <w:rPr>
          <w:rFonts w:hint="default" w:ascii="宋体" w:hAnsi="宋体" w:eastAsia="宋体" w:cs="宋体"/>
          <w:color w:val="000000"/>
          <w:sz w:val="24"/>
        </w:rPr>
        <w:t>如果出现政府采购监督管理部门在处理投诉事项期间，通知甲方暂停采购活动的情形，或者询问或质疑事项可能影响采购结果的，导致甲方终止履行合同的情形，均不视为甲方违约。</w:t>
      </w:r>
    </w:p>
    <w:p w14:paraId="4960B04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2" w:firstLineChars="200"/>
        <w:jc w:val="both"/>
        <w:textAlignment w:val="auto"/>
        <w:rPr>
          <w:rFonts w:hint="default" w:ascii="Times New Roman" w:hAnsi="Times New Roman" w:eastAsia="宋体" w:cs="Times New Roman"/>
        </w:rPr>
      </w:pPr>
      <w:r>
        <w:rPr>
          <w:rFonts w:hint="default" w:ascii="宋体" w:hAnsi="宋体" w:eastAsia="宋体" w:cs="宋体"/>
          <w:b/>
          <w:color w:val="000000"/>
          <w:sz w:val="24"/>
        </w:rPr>
        <w:t>十四、不可抗力事件处理</w:t>
      </w:r>
    </w:p>
    <w:p w14:paraId="610FE9A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14.1 </w:t>
      </w:r>
      <w:r>
        <w:rPr>
          <w:rFonts w:hint="default" w:ascii="宋体" w:hAnsi="宋体" w:eastAsia="宋体" w:cs="宋体"/>
          <w:color w:val="000000"/>
          <w:sz w:val="24"/>
        </w:rPr>
        <w:t>在合同有效期内，任何一方因不可抗力事件导致不能履行合同，则合同履行期可延长，其延长期与不可抗力影响期相同。</w:t>
      </w:r>
    </w:p>
    <w:p w14:paraId="30C3D69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14.2 </w:t>
      </w:r>
      <w:r>
        <w:rPr>
          <w:rFonts w:hint="default" w:ascii="宋体" w:hAnsi="宋体" w:eastAsia="宋体" w:cs="宋体"/>
          <w:color w:val="000000"/>
          <w:sz w:val="24"/>
        </w:rPr>
        <w:t>不可抗力事件发生后，应立即书面通知对方，并寄送有关权威机构出具的证明。</w:t>
      </w:r>
    </w:p>
    <w:p w14:paraId="2EA5840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14.3 </w:t>
      </w:r>
      <w:r>
        <w:rPr>
          <w:rFonts w:hint="default" w:ascii="宋体" w:hAnsi="宋体" w:eastAsia="宋体" w:cs="宋体"/>
          <w:color w:val="000000"/>
          <w:sz w:val="24"/>
        </w:rPr>
        <w:t>不可抗力事件延续</w:t>
      </w:r>
      <w:r>
        <w:rPr>
          <w:rFonts w:hint="default" w:ascii="Times New Roman" w:hAnsi="Times New Roman" w:eastAsia="Times New Roman" w:cs="Times New Roman"/>
          <w:color w:val="000000"/>
          <w:sz w:val="24"/>
        </w:rPr>
        <w:t>120</w:t>
      </w:r>
      <w:r>
        <w:rPr>
          <w:rFonts w:hint="default" w:ascii="宋体" w:hAnsi="宋体" w:eastAsia="宋体" w:cs="宋体"/>
          <w:color w:val="000000"/>
          <w:sz w:val="24"/>
        </w:rPr>
        <w:t>天以上，双方应通过友好协商，确定是否继续履行合同。</w:t>
      </w:r>
    </w:p>
    <w:p w14:paraId="5AD0C80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2" w:firstLineChars="200"/>
        <w:jc w:val="both"/>
        <w:textAlignment w:val="auto"/>
        <w:rPr>
          <w:rFonts w:hint="default" w:ascii="Times New Roman" w:hAnsi="Times New Roman" w:eastAsia="宋体" w:cs="Times New Roman"/>
        </w:rPr>
      </w:pPr>
      <w:r>
        <w:rPr>
          <w:rFonts w:hint="default" w:ascii="宋体" w:hAnsi="宋体" w:eastAsia="宋体" w:cs="宋体"/>
          <w:b/>
          <w:color w:val="000000"/>
          <w:sz w:val="24"/>
        </w:rPr>
        <w:t>十五、解决争议的方法</w:t>
      </w:r>
    </w:p>
    <w:p w14:paraId="44CC7AE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15.1</w:t>
      </w:r>
      <w:r>
        <w:rPr>
          <w:rFonts w:hint="default" w:ascii="宋体" w:hAnsi="宋体" w:eastAsia="宋体" w:cs="宋体"/>
          <w:color w:val="000000"/>
          <w:sz w:val="24"/>
        </w:rPr>
        <w:t>甲乙双方因合同签订、履行而发生的一切争议，应通过友好协商解决。如协商不成均可向甲方所在地人民法院提起诉讼。</w:t>
      </w:r>
    </w:p>
    <w:p w14:paraId="4B35420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15.2</w:t>
      </w:r>
      <w:r>
        <w:rPr>
          <w:rFonts w:hint="default" w:ascii="宋体" w:hAnsi="宋体" w:eastAsia="宋体" w:cs="宋体"/>
          <w:color w:val="000000"/>
          <w:sz w:val="24"/>
        </w:rPr>
        <w:t>甲乙双方签订本合同时登记的地址、联系方式作为通知及法律文书（含诉讼文书、传票等）送达地址、联系方式，如有变更，甲乙双方须提前以书面形式通知对方。否则，如出现无法通知、文书被退回、拒收等情形视为对方已收，由此产生的法律后果均由该方承担。</w:t>
      </w:r>
    </w:p>
    <w:p w14:paraId="5E1AA9C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2" w:firstLineChars="200"/>
        <w:jc w:val="both"/>
        <w:textAlignment w:val="auto"/>
        <w:rPr>
          <w:rFonts w:hint="default" w:ascii="Times New Roman" w:hAnsi="Times New Roman" w:eastAsia="宋体" w:cs="Times New Roman"/>
        </w:rPr>
      </w:pPr>
      <w:r>
        <w:rPr>
          <w:rFonts w:hint="default" w:ascii="宋体" w:hAnsi="宋体" w:eastAsia="宋体" w:cs="宋体"/>
          <w:b/>
          <w:color w:val="000000"/>
          <w:sz w:val="24"/>
        </w:rPr>
        <w:t>十六、合同生效及其它</w:t>
      </w:r>
    </w:p>
    <w:p w14:paraId="74C1E73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16.1 </w:t>
      </w:r>
      <w:r>
        <w:rPr>
          <w:rFonts w:hint="default" w:ascii="宋体" w:hAnsi="宋体" w:eastAsia="宋体" w:cs="宋体"/>
          <w:color w:val="000000"/>
          <w:sz w:val="24"/>
        </w:rPr>
        <w:t>合同经双方法定代表人或授权委托代表人签字并加盖单位公章后生效。</w:t>
      </w:r>
    </w:p>
    <w:p w14:paraId="6BFAC87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16.2</w:t>
      </w:r>
      <w:r>
        <w:rPr>
          <w:rFonts w:hint="default" w:ascii="宋体" w:hAnsi="宋体" w:eastAsia="宋体" w:cs="宋体"/>
          <w:color w:val="000000"/>
          <w:sz w:val="24"/>
        </w:rPr>
        <w:t>本合同条款、中标通知书、招标文件、</w:t>
      </w:r>
      <w:r>
        <w:rPr>
          <w:rFonts w:hint="eastAsia" w:ascii="宋体" w:hAnsi="宋体" w:eastAsia="宋体" w:cs="宋体"/>
          <w:color w:val="000000"/>
          <w:sz w:val="24"/>
          <w:lang w:val="en-US" w:eastAsia="zh-CN"/>
        </w:rPr>
        <w:t>投标</w:t>
      </w:r>
      <w:r>
        <w:rPr>
          <w:rFonts w:hint="default" w:ascii="宋体" w:hAnsi="宋体" w:eastAsia="宋体" w:cs="宋体"/>
          <w:color w:val="000000"/>
          <w:sz w:val="24"/>
        </w:rPr>
        <w:t>文件及供应商在开标时的书面承诺等构成合同的组成部分。</w:t>
      </w:r>
    </w:p>
    <w:p w14:paraId="3142058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Times New Roman" w:cs="Times New Roman"/>
          <w:color w:val="000000"/>
          <w:sz w:val="24"/>
        </w:rPr>
        <w:t xml:space="preserve">16.3 </w:t>
      </w:r>
      <w:r>
        <w:rPr>
          <w:rFonts w:hint="default" w:ascii="宋体" w:hAnsi="宋体" w:eastAsia="宋体" w:cs="宋体"/>
          <w:color w:val="000000"/>
          <w:sz w:val="24"/>
        </w:rPr>
        <w:t>本合同未尽事宜，遵照中华人民共和国现行法律法规有关条文执行。</w:t>
      </w:r>
    </w:p>
    <w:p w14:paraId="0F71F35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40" w:lineRule="exact"/>
        <w:ind w:left="0" w:right="0" w:firstLine="480" w:firstLineChars="200"/>
        <w:jc w:val="both"/>
        <w:textAlignment w:val="auto"/>
        <w:rPr>
          <w:rFonts w:ascii="宋体" w:hAnsi="宋体" w:cs="宋体"/>
          <w:color w:val="000000"/>
          <w:sz w:val="24"/>
          <w:szCs w:val="24"/>
        </w:rPr>
      </w:pPr>
      <w:r>
        <w:rPr>
          <w:rFonts w:hint="default" w:ascii="Times New Roman" w:hAnsi="Times New Roman" w:eastAsia="Times New Roman" w:cs="Times New Roman"/>
          <w:color w:val="000000"/>
          <w:sz w:val="24"/>
        </w:rPr>
        <w:t xml:space="preserve">16.4 </w:t>
      </w:r>
      <w:r>
        <w:rPr>
          <w:rFonts w:hint="default" w:ascii="宋体" w:hAnsi="宋体" w:eastAsia="宋体" w:cs="宋体"/>
          <w:color w:val="000000"/>
          <w:sz w:val="24"/>
        </w:rPr>
        <w:t>本合同正本一式六份，具有同等法律效力，甲方、乙方各执三份。</w:t>
      </w:r>
    </w:p>
    <w:p w14:paraId="6D372366">
      <w:pPr>
        <w:spacing w:line="480" w:lineRule="exact"/>
        <w:ind w:firstLine="480"/>
        <w:rPr>
          <w:rFonts w:ascii="宋体" w:hAnsi="宋体" w:cs="宋体"/>
          <w:color w:val="000000"/>
          <w:sz w:val="24"/>
          <w:szCs w:val="24"/>
        </w:rPr>
      </w:pPr>
      <w:r>
        <w:rPr>
          <w:rFonts w:hint="eastAsia" w:ascii="宋体" w:hAnsi="宋体" w:cs="宋体"/>
          <w:color w:val="000000"/>
          <w:sz w:val="24"/>
          <w:szCs w:val="24"/>
        </w:rPr>
        <w:t xml:space="preserve">甲方：                                  乙方： </w:t>
      </w:r>
    </w:p>
    <w:p w14:paraId="11CFAB41">
      <w:pPr>
        <w:spacing w:line="480" w:lineRule="exact"/>
        <w:ind w:firstLine="480"/>
        <w:rPr>
          <w:rFonts w:ascii="宋体" w:hAnsi="宋体" w:cs="宋体"/>
          <w:color w:val="000000"/>
          <w:sz w:val="24"/>
          <w:szCs w:val="24"/>
        </w:rPr>
      </w:pPr>
      <w:r>
        <w:rPr>
          <w:rFonts w:hint="eastAsia" w:ascii="宋体" w:hAnsi="宋体" w:cs="宋体"/>
          <w:color w:val="000000"/>
          <w:sz w:val="24"/>
          <w:szCs w:val="24"/>
        </w:rPr>
        <w:t xml:space="preserve">地址：                                  地址： </w:t>
      </w:r>
    </w:p>
    <w:p w14:paraId="76371E5F">
      <w:pPr>
        <w:spacing w:line="480" w:lineRule="exact"/>
        <w:ind w:firstLine="480"/>
        <w:rPr>
          <w:rFonts w:ascii="宋体" w:hAnsi="宋体" w:cs="宋体"/>
          <w:color w:val="000000"/>
          <w:sz w:val="24"/>
          <w:szCs w:val="24"/>
        </w:rPr>
      </w:pPr>
      <w:r>
        <w:rPr>
          <w:rFonts w:hint="eastAsia" w:ascii="宋体" w:hAnsi="宋体" w:cs="宋体"/>
          <w:color w:val="000000"/>
          <w:sz w:val="24"/>
          <w:szCs w:val="24"/>
        </w:rPr>
        <w:t>法定代表人或授权代表：                  法定代表人或授权代表：</w:t>
      </w:r>
    </w:p>
    <w:p w14:paraId="3E5D2243">
      <w:pPr>
        <w:spacing w:line="480" w:lineRule="exact"/>
        <w:ind w:firstLine="480"/>
        <w:rPr>
          <w:rFonts w:ascii="宋体" w:hAnsi="宋体" w:cs="宋体"/>
          <w:color w:val="000000"/>
          <w:sz w:val="24"/>
          <w:szCs w:val="24"/>
        </w:rPr>
      </w:pPr>
      <w:r>
        <w:rPr>
          <w:rFonts w:hint="eastAsia" w:ascii="宋体" w:hAnsi="宋体" w:cs="宋体"/>
          <w:color w:val="000000"/>
          <w:sz w:val="24"/>
          <w:szCs w:val="24"/>
        </w:rPr>
        <w:t xml:space="preserve">联系电话：                              联系电话：          </w:t>
      </w:r>
    </w:p>
    <w:p w14:paraId="022AB3EA">
      <w:pPr>
        <w:spacing w:line="480" w:lineRule="exact"/>
        <w:ind w:firstLine="480"/>
        <w:rPr>
          <w:rFonts w:ascii="Times New Roman" w:hAnsi="Times New Roman" w:eastAsia="黑体"/>
          <w:bCs/>
          <w:sz w:val="44"/>
        </w:rPr>
      </w:pPr>
      <w:r>
        <w:rPr>
          <w:rFonts w:hint="eastAsia" w:ascii="宋体" w:hAnsi="宋体" w:cs="宋体"/>
          <w:color w:val="000000"/>
          <w:sz w:val="24"/>
          <w:szCs w:val="24"/>
        </w:rPr>
        <w:t>签订日期：      年    月   日           签订日期：      年    月   日</w:t>
      </w:r>
    </w:p>
    <w:bookmarkEnd w:id="134"/>
    <w:bookmarkEnd w:id="135"/>
    <w:bookmarkEnd w:id="136"/>
    <w:bookmarkEnd w:id="137"/>
    <w:p w14:paraId="4C3A0830">
      <w:bookmarkStart w:id="163" w:name="_Toc49090575"/>
      <w:bookmarkStart w:id="164" w:name="_Toc26554093"/>
      <w:bookmarkStart w:id="165" w:name="_Toc120614281"/>
    </w:p>
    <w:p w14:paraId="0EF5AFC2"/>
    <w:p w14:paraId="4A2789EA"/>
    <w:p w14:paraId="265EF5BC">
      <w:pPr>
        <w:pStyle w:val="3"/>
        <w:rPr>
          <w:rFonts w:ascii="Times New Roman" w:eastAsia="黑体"/>
          <w:bCs/>
          <w:sz w:val="44"/>
        </w:rPr>
      </w:pPr>
      <w:bookmarkStart w:id="166" w:name="_Toc27567"/>
      <w:r>
        <w:rPr>
          <w:rFonts w:hint="eastAsia" w:ascii="Times New Roman" w:eastAsia="黑体"/>
          <w:bCs/>
          <w:sz w:val="44"/>
        </w:rPr>
        <w:t>第六章 投标</w:t>
      </w:r>
      <w:bookmarkEnd w:id="163"/>
      <w:bookmarkEnd w:id="164"/>
      <w:bookmarkEnd w:id="165"/>
      <w:r>
        <w:rPr>
          <w:rFonts w:hint="eastAsia" w:ascii="Times New Roman" w:eastAsia="黑体"/>
          <w:bCs/>
          <w:sz w:val="44"/>
        </w:rPr>
        <w:t>文件格式</w:t>
      </w:r>
      <w:bookmarkEnd w:id="166"/>
      <w:r>
        <w:rPr>
          <w:rFonts w:hint="eastAsia" w:ascii="Times New Roman" w:eastAsia="黑体"/>
          <w:bCs/>
          <w:sz w:val="44"/>
        </w:rPr>
        <w:t xml:space="preserve"> </w:t>
      </w:r>
    </w:p>
    <w:p w14:paraId="01F73E79">
      <w:pPr>
        <w:jc w:val="center"/>
        <w:rPr>
          <w:b/>
          <w:sz w:val="72"/>
        </w:rPr>
      </w:pPr>
      <w:bookmarkStart w:id="167" w:name="_Hlt26955039"/>
      <w:bookmarkEnd w:id="167"/>
      <w:bookmarkStart w:id="168" w:name="_Hlt26671244"/>
      <w:bookmarkEnd w:id="168"/>
      <w:bookmarkStart w:id="169" w:name="_Toc26554094"/>
      <w:bookmarkStart w:id="170" w:name="_Toc120614282"/>
      <w:bookmarkStart w:id="171" w:name="_Toc49090576"/>
    </w:p>
    <w:p w14:paraId="573BD6DE">
      <w:pPr>
        <w:jc w:val="center"/>
        <w:rPr>
          <w:b/>
          <w:sz w:val="72"/>
        </w:rPr>
      </w:pPr>
      <w:r>
        <w:rPr>
          <w:rFonts w:hint="eastAsia"/>
          <w:b/>
          <w:sz w:val="72"/>
        </w:rPr>
        <w:t>投  标  文  件</w:t>
      </w:r>
    </w:p>
    <w:p w14:paraId="66892D0F">
      <w:pPr>
        <w:jc w:val="center"/>
        <w:rPr>
          <w:b/>
          <w:sz w:val="72"/>
        </w:rPr>
      </w:pPr>
    </w:p>
    <w:p w14:paraId="2CC7C12D">
      <w:pPr>
        <w:jc w:val="center"/>
        <w:rPr>
          <w:b/>
          <w:sz w:val="72"/>
        </w:rPr>
      </w:pPr>
    </w:p>
    <w:p w14:paraId="4DBC044A">
      <w:pPr>
        <w:jc w:val="center"/>
        <w:rPr>
          <w:b/>
          <w:sz w:val="36"/>
        </w:rPr>
      </w:pPr>
    </w:p>
    <w:p w14:paraId="3BA86DB4">
      <w:pPr>
        <w:jc w:val="center"/>
        <w:rPr>
          <w:b/>
          <w:sz w:val="36"/>
        </w:rPr>
      </w:pPr>
    </w:p>
    <w:p w14:paraId="2FB2B648">
      <w:pPr>
        <w:jc w:val="center"/>
        <w:rPr>
          <w:b/>
          <w:sz w:val="36"/>
        </w:rPr>
      </w:pPr>
    </w:p>
    <w:p w14:paraId="537763CA">
      <w:pPr>
        <w:ind w:firstLine="1084"/>
        <w:rPr>
          <w:b/>
          <w:sz w:val="36"/>
        </w:rPr>
      </w:pPr>
      <w:r>
        <w:rPr>
          <w:rFonts w:hint="eastAsia"/>
          <w:b/>
          <w:sz w:val="36"/>
        </w:rPr>
        <w:t>项 目 名 称：</w:t>
      </w:r>
      <w:r>
        <w:rPr>
          <w:rFonts w:hint="eastAsia"/>
          <w:b/>
          <w:sz w:val="36"/>
          <w:u w:val="single"/>
        </w:rPr>
        <w:t xml:space="preserve">               </w:t>
      </w:r>
    </w:p>
    <w:p w14:paraId="59D5F0A1">
      <w:pPr>
        <w:ind w:firstLine="1084"/>
        <w:rPr>
          <w:b/>
          <w:sz w:val="36"/>
          <w:u w:val="single"/>
        </w:rPr>
      </w:pPr>
      <w:r>
        <w:rPr>
          <w:rFonts w:hint="eastAsia"/>
          <w:b/>
          <w:sz w:val="36"/>
        </w:rPr>
        <w:t>项 目 编 号：</w:t>
      </w:r>
      <w:r>
        <w:rPr>
          <w:rFonts w:hint="eastAsia"/>
          <w:b/>
          <w:sz w:val="36"/>
          <w:u w:val="single"/>
        </w:rPr>
        <w:t xml:space="preserve">               </w:t>
      </w:r>
    </w:p>
    <w:p w14:paraId="39A22E5D">
      <w:pPr>
        <w:rPr>
          <w:b/>
          <w:sz w:val="36"/>
          <w:u w:val="single"/>
        </w:rPr>
      </w:pPr>
      <w:r>
        <w:rPr>
          <w:rFonts w:hint="eastAsia"/>
          <w:b/>
          <w:sz w:val="36"/>
        </w:rPr>
        <w:t xml:space="preserve">      投标人名称 ：</w:t>
      </w:r>
      <w:r>
        <w:rPr>
          <w:rFonts w:hint="eastAsia"/>
          <w:b/>
          <w:sz w:val="36"/>
          <w:u w:val="single"/>
        </w:rPr>
        <w:t>（加盖CA电子公章）</w:t>
      </w:r>
    </w:p>
    <w:p w14:paraId="6DB0495A">
      <w:pPr>
        <w:rPr>
          <w:b/>
          <w:sz w:val="36"/>
          <w:u w:val="single"/>
        </w:rPr>
      </w:pPr>
      <w:r>
        <w:rPr>
          <w:rFonts w:hint="eastAsia"/>
          <w:b/>
          <w:sz w:val="36"/>
        </w:rPr>
        <w:t xml:space="preserve">      日      期 ：</w:t>
      </w:r>
      <w:r>
        <w:rPr>
          <w:rFonts w:hint="eastAsia"/>
          <w:b/>
          <w:sz w:val="36"/>
          <w:u w:val="single"/>
        </w:rPr>
        <w:t xml:space="preserve">               </w:t>
      </w:r>
    </w:p>
    <w:p w14:paraId="64798D69">
      <w:pPr>
        <w:spacing w:line="440" w:lineRule="exact"/>
        <w:jc w:val="center"/>
        <w:rPr>
          <w:b/>
          <w:bCs/>
          <w:sz w:val="32"/>
          <w:szCs w:val="32"/>
        </w:rPr>
      </w:pPr>
    </w:p>
    <w:p w14:paraId="1EFCFA31">
      <w:pPr>
        <w:spacing w:line="440" w:lineRule="exact"/>
      </w:pPr>
    </w:p>
    <w:p w14:paraId="755AC569">
      <w:pPr>
        <w:spacing w:line="440" w:lineRule="exact"/>
        <w:jc w:val="center"/>
        <w:rPr>
          <w:b/>
          <w:sz w:val="36"/>
          <w:u w:val="single"/>
        </w:rPr>
      </w:pPr>
    </w:p>
    <w:p w14:paraId="49D66741">
      <w:pPr>
        <w:spacing w:line="440" w:lineRule="exact"/>
        <w:jc w:val="center"/>
        <w:rPr>
          <w:b/>
          <w:sz w:val="36"/>
          <w:u w:val="single"/>
        </w:rPr>
      </w:pPr>
    </w:p>
    <w:p w14:paraId="790CD605">
      <w:pPr>
        <w:spacing w:line="440" w:lineRule="exact"/>
        <w:jc w:val="center"/>
        <w:rPr>
          <w:b/>
          <w:sz w:val="36"/>
          <w:u w:val="single"/>
        </w:rPr>
      </w:pPr>
    </w:p>
    <w:p w14:paraId="2197C275">
      <w:pPr>
        <w:spacing w:line="440" w:lineRule="exact"/>
        <w:jc w:val="center"/>
        <w:rPr>
          <w:b/>
          <w:sz w:val="36"/>
          <w:u w:val="single"/>
        </w:rPr>
      </w:pPr>
    </w:p>
    <w:p w14:paraId="27A179C9">
      <w:pPr>
        <w:spacing w:line="440" w:lineRule="exact"/>
        <w:jc w:val="center"/>
        <w:rPr>
          <w:b/>
          <w:sz w:val="36"/>
          <w:u w:val="single"/>
        </w:rPr>
      </w:pPr>
    </w:p>
    <w:p w14:paraId="09CB8503">
      <w:pPr>
        <w:spacing w:line="440" w:lineRule="exact"/>
        <w:jc w:val="center"/>
        <w:rPr>
          <w:b/>
          <w:sz w:val="36"/>
          <w:u w:val="single"/>
        </w:rPr>
      </w:pPr>
    </w:p>
    <w:p w14:paraId="50F8922D">
      <w:pPr>
        <w:spacing w:line="440" w:lineRule="exact"/>
        <w:jc w:val="center"/>
        <w:rPr>
          <w:b/>
          <w:sz w:val="36"/>
          <w:u w:val="single"/>
        </w:rPr>
      </w:pPr>
    </w:p>
    <w:p w14:paraId="25046471">
      <w:pPr>
        <w:spacing w:line="440" w:lineRule="exact"/>
        <w:jc w:val="center"/>
        <w:rPr>
          <w:b/>
          <w:sz w:val="36"/>
          <w:u w:val="single"/>
        </w:rPr>
      </w:pPr>
    </w:p>
    <w:p w14:paraId="78CD445A">
      <w:pPr>
        <w:spacing w:line="440" w:lineRule="exact"/>
        <w:jc w:val="center"/>
        <w:rPr>
          <w:b/>
          <w:sz w:val="36"/>
          <w:u w:val="single"/>
        </w:rPr>
      </w:pPr>
    </w:p>
    <w:p w14:paraId="32C6AF21">
      <w:pPr>
        <w:spacing w:line="440" w:lineRule="exact"/>
        <w:jc w:val="center"/>
        <w:rPr>
          <w:b/>
          <w:sz w:val="36"/>
          <w:u w:val="single"/>
        </w:rPr>
      </w:pPr>
    </w:p>
    <w:p w14:paraId="75AAA3C6">
      <w:pPr>
        <w:spacing w:line="440" w:lineRule="exact"/>
        <w:jc w:val="center"/>
        <w:rPr>
          <w:b/>
          <w:sz w:val="36"/>
          <w:u w:val="single"/>
        </w:rPr>
      </w:pPr>
    </w:p>
    <w:p w14:paraId="6A5C626F">
      <w:pPr>
        <w:spacing w:line="440" w:lineRule="exact"/>
        <w:jc w:val="center"/>
        <w:rPr>
          <w:b/>
          <w:sz w:val="36"/>
          <w:u w:val="single"/>
        </w:rPr>
      </w:pPr>
    </w:p>
    <w:p w14:paraId="2DA935CB">
      <w:pPr>
        <w:spacing w:line="440" w:lineRule="exact"/>
        <w:jc w:val="center"/>
        <w:rPr>
          <w:b/>
          <w:sz w:val="36"/>
          <w:u w:val="single"/>
        </w:rPr>
      </w:pPr>
    </w:p>
    <w:p w14:paraId="3C31EF55">
      <w:pPr>
        <w:spacing w:line="440" w:lineRule="exact"/>
        <w:jc w:val="center"/>
        <w:rPr>
          <w:b/>
          <w:sz w:val="36"/>
          <w:u w:val="single"/>
        </w:rPr>
      </w:pPr>
    </w:p>
    <w:p w14:paraId="2BF927E3">
      <w:pPr>
        <w:spacing w:line="440" w:lineRule="exact"/>
        <w:jc w:val="center"/>
        <w:rPr>
          <w:b/>
          <w:bCs/>
          <w:sz w:val="32"/>
          <w:szCs w:val="32"/>
        </w:rPr>
      </w:pPr>
      <w:r>
        <w:rPr>
          <w:rFonts w:hint="eastAsia"/>
          <w:b/>
          <w:bCs/>
          <w:sz w:val="32"/>
          <w:szCs w:val="32"/>
        </w:rPr>
        <w:t>投标文件目录</w:t>
      </w:r>
    </w:p>
    <w:p w14:paraId="55BBFD29">
      <w:pPr>
        <w:spacing w:line="440" w:lineRule="exact"/>
        <w:jc w:val="center"/>
        <w:rPr>
          <w:b/>
          <w:bCs/>
          <w:sz w:val="32"/>
          <w:szCs w:val="32"/>
        </w:rPr>
      </w:pPr>
    </w:p>
    <w:p w14:paraId="2CC63301">
      <w:pPr>
        <w:spacing w:line="360" w:lineRule="auto"/>
        <w:rPr>
          <w:sz w:val="28"/>
          <w:szCs w:val="28"/>
        </w:rPr>
      </w:pPr>
      <w:r>
        <w:rPr>
          <w:rFonts w:hint="eastAsia"/>
          <w:sz w:val="28"/>
          <w:szCs w:val="28"/>
        </w:rPr>
        <w:t>一、投标函</w:t>
      </w:r>
    </w:p>
    <w:p w14:paraId="287BB884">
      <w:pPr>
        <w:spacing w:line="360" w:lineRule="auto"/>
        <w:rPr>
          <w:sz w:val="28"/>
          <w:szCs w:val="28"/>
        </w:rPr>
      </w:pPr>
      <w:r>
        <w:rPr>
          <w:rFonts w:hint="eastAsia"/>
          <w:sz w:val="28"/>
          <w:szCs w:val="28"/>
        </w:rPr>
        <w:t>二、法人授权书</w:t>
      </w:r>
    </w:p>
    <w:p w14:paraId="2715A6C5">
      <w:pPr>
        <w:spacing w:line="360" w:lineRule="auto"/>
        <w:rPr>
          <w:sz w:val="28"/>
          <w:szCs w:val="28"/>
        </w:rPr>
      </w:pPr>
      <w:r>
        <w:rPr>
          <w:rFonts w:hint="eastAsia"/>
          <w:sz w:val="28"/>
          <w:szCs w:val="28"/>
        </w:rPr>
        <w:t>三、开标一览表</w:t>
      </w:r>
    </w:p>
    <w:p w14:paraId="76C636CD">
      <w:pPr>
        <w:spacing w:line="360" w:lineRule="auto"/>
        <w:rPr>
          <w:sz w:val="28"/>
          <w:szCs w:val="28"/>
        </w:rPr>
      </w:pPr>
      <w:r>
        <w:rPr>
          <w:rFonts w:hint="eastAsia"/>
          <w:sz w:val="28"/>
          <w:szCs w:val="28"/>
        </w:rPr>
        <w:t>四、分项报价表</w:t>
      </w:r>
    </w:p>
    <w:p w14:paraId="66848256">
      <w:pPr>
        <w:spacing w:line="360" w:lineRule="auto"/>
        <w:rPr>
          <w:sz w:val="28"/>
          <w:szCs w:val="28"/>
        </w:rPr>
      </w:pPr>
      <w:r>
        <w:rPr>
          <w:rFonts w:hint="eastAsia"/>
          <w:sz w:val="28"/>
          <w:szCs w:val="28"/>
        </w:rPr>
        <w:t>五、中小企业或残疾人福利性单位声明函</w:t>
      </w:r>
    </w:p>
    <w:p w14:paraId="50F19B01">
      <w:pPr>
        <w:spacing w:line="360" w:lineRule="auto"/>
        <w:rPr>
          <w:sz w:val="28"/>
          <w:szCs w:val="28"/>
        </w:rPr>
      </w:pPr>
      <w:r>
        <w:rPr>
          <w:rFonts w:hint="eastAsia"/>
          <w:sz w:val="28"/>
          <w:szCs w:val="28"/>
        </w:rPr>
        <w:t>六、关于符合本国产品标准的声明函</w:t>
      </w:r>
    </w:p>
    <w:p w14:paraId="1DC9CE0F">
      <w:pPr>
        <w:spacing w:line="360" w:lineRule="auto"/>
        <w:rPr>
          <w:sz w:val="28"/>
          <w:szCs w:val="28"/>
        </w:rPr>
      </w:pPr>
      <w:r>
        <w:rPr>
          <w:rFonts w:hint="eastAsia"/>
          <w:sz w:val="28"/>
          <w:szCs w:val="28"/>
        </w:rPr>
        <w:t>七、技术响应偏离表</w:t>
      </w:r>
    </w:p>
    <w:p w14:paraId="68046C6F">
      <w:pPr>
        <w:spacing w:line="360" w:lineRule="auto"/>
        <w:rPr>
          <w:sz w:val="28"/>
          <w:szCs w:val="28"/>
        </w:rPr>
      </w:pPr>
      <w:r>
        <w:rPr>
          <w:rFonts w:hint="eastAsia"/>
          <w:sz w:val="28"/>
          <w:szCs w:val="28"/>
        </w:rPr>
        <w:t>八、项目组人员</w:t>
      </w:r>
    </w:p>
    <w:p w14:paraId="347D9C54">
      <w:pPr>
        <w:spacing w:line="360" w:lineRule="auto"/>
        <w:rPr>
          <w:sz w:val="28"/>
          <w:szCs w:val="28"/>
        </w:rPr>
      </w:pPr>
      <w:r>
        <w:rPr>
          <w:rFonts w:hint="eastAsia"/>
          <w:sz w:val="28"/>
          <w:szCs w:val="28"/>
        </w:rPr>
        <w:t>九、企业业绩</w:t>
      </w:r>
    </w:p>
    <w:p w14:paraId="0D00EC8A">
      <w:pPr>
        <w:spacing w:line="360" w:lineRule="auto"/>
        <w:rPr>
          <w:rFonts w:ascii="宋体" w:hAnsi="宋体" w:cs="宋体"/>
          <w:sz w:val="28"/>
          <w:szCs w:val="28"/>
        </w:rPr>
      </w:pPr>
      <w:r>
        <w:rPr>
          <w:rFonts w:hint="eastAsia"/>
          <w:sz w:val="28"/>
          <w:szCs w:val="28"/>
        </w:rPr>
        <w:t>十、投标所需其他材料</w:t>
      </w:r>
    </w:p>
    <w:p w14:paraId="086AFB54">
      <w:pPr>
        <w:pStyle w:val="32"/>
        <w:rPr>
          <w:rFonts w:ascii="Times New Roman" w:hAnsi="Times New Roman"/>
          <w:caps w:val="0"/>
        </w:rPr>
      </w:pPr>
    </w:p>
    <w:p w14:paraId="572376B9">
      <w:pPr>
        <w:spacing w:line="440" w:lineRule="exact"/>
        <w:ind w:firstLine="480"/>
        <w:rPr>
          <w:sz w:val="24"/>
        </w:rPr>
      </w:pPr>
    </w:p>
    <w:p w14:paraId="11D51DED">
      <w:pPr>
        <w:spacing w:line="440" w:lineRule="exact"/>
        <w:ind w:firstLine="480"/>
        <w:rPr>
          <w:sz w:val="24"/>
        </w:rPr>
      </w:pPr>
    </w:p>
    <w:p w14:paraId="31D2C60F">
      <w:pPr>
        <w:spacing w:line="440" w:lineRule="exact"/>
        <w:ind w:firstLine="480"/>
        <w:rPr>
          <w:sz w:val="24"/>
        </w:rPr>
      </w:pPr>
    </w:p>
    <w:p w14:paraId="6EC16FA4">
      <w:pPr>
        <w:spacing w:line="440" w:lineRule="exact"/>
        <w:ind w:firstLine="480"/>
        <w:rPr>
          <w:sz w:val="24"/>
        </w:rPr>
      </w:pPr>
    </w:p>
    <w:p w14:paraId="7F36DBAC">
      <w:pPr>
        <w:spacing w:line="440" w:lineRule="exact"/>
        <w:ind w:firstLine="480"/>
        <w:rPr>
          <w:sz w:val="24"/>
        </w:rPr>
      </w:pPr>
    </w:p>
    <w:p w14:paraId="58CE6D84">
      <w:pPr>
        <w:pStyle w:val="275"/>
      </w:pPr>
      <w:bookmarkStart w:id="172" w:name="_Toc23838"/>
    </w:p>
    <w:p w14:paraId="469A9C9A">
      <w:pPr>
        <w:pStyle w:val="275"/>
      </w:pPr>
    </w:p>
    <w:p w14:paraId="19690CEA">
      <w:pPr>
        <w:pStyle w:val="275"/>
        <w:rPr>
          <w:rFonts w:eastAsiaTheme="minorEastAsia"/>
        </w:rPr>
      </w:pPr>
    </w:p>
    <w:p w14:paraId="62990BA1">
      <w:pPr>
        <w:pStyle w:val="275"/>
        <w:rPr>
          <w:rFonts w:eastAsiaTheme="minorEastAsia"/>
        </w:rPr>
      </w:pPr>
    </w:p>
    <w:p w14:paraId="5661A942">
      <w:pPr>
        <w:pStyle w:val="275"/>
        <w:rPr>
          <w:rFonts w:eastAsiaTheme="minorEastAsia"/>
        </w:rPr>
      </w:pPr>
    </w:p>
    <w:p w14:paraId="1AAC2BF8">
      <w:pPr>
        <w:pStyle w:val="275"/>
        <w:rPr>
          <w:rFonts w:eastAsiaTheme="minorEastAsia"/>
        </w:rPr>
      </w:pPr>
    </w:p>
    <w:p w14:paraId="392A8044">
      <w:pPr>
        <w:pStyle w:val="275"/>
      </w:pPr>
    </w:p>
    <w:p w14:paraId="0EBCD3F1">
      <w:pPr>
        <w:pStyle w:val="275"/>
        <w:rPr>
          <w:rFonts w:eastAsia="等线"/>
        </w:rPr>
      </w:pPr>
    </w:p>
    <w:p w14:paraId="11244C6E">
      <w:pPr>
        <w:pStyle w:val="275"/>
        <w:rPr>
          <w:rFonts w:eastAsia="等线"/>
        </w:rPr>
      </w:pPr>
    </w:p>
    <w:p w14:paraId="1A4E3856">
      <w:pPr>
        <w:pStyle w:val="275"/>
      </w:pPr>
    </w:p>
    <w:p w14:paraId="267E8C3A">
      <w:pPr>
        <w:pStyle w:val="275"/>
        <w:rPr>
          <w:rFonts w:eastAsia="等线"/>
        </w:rPr>
      </w:pPr>
    </w:p>
    <w:p w14:paraId="51DF372B">
      <w:pPr>
        <w:pStyle w:val="275"/>
        <w:rPr>
          <w:rFonts w:eastAsia="等线"/>
        </w:rPr>
      </w:pPr>
    </w:p>
    <w:p w14:paraId="23F886FC">
      <w:pPr>
        <w:pStyle w:val="275"/>
        <w:rPr>
          <w:rFonts w:eastAsia="等线"/>
        </w:rPr>
      </w:pPr>
    </w:p>
    <w:p w14:paraId="22A93EAA">
      <w:pPr>
        <w:pStyle w:val="275"/>
        <w:rPr>
          <w:rFonts w:eastAsia="等线"/>
        </w:rPr>
      </w:pPr>
    </w:p>
    <w:p w14:paraId="6F7E8DB4">
      <w:pPr>
        <w:pStyle w:val="275"/>
        <w:rPr>
          <w:rFonts w:eastAsia="等线"/>
        </w:rPr>
      </w:pPr>
    </w:p>
    <w:p w14:paraId="1D106E0B">
      <w:pPr>
        <w:pStyle w:val="275"/>
        <w:rPr>
          <w:rFonts w:eastAsia="等线"/>
        </w:rPr>
      </w:pPr>
    </w:p>
    <w:bookmarkEnd w:id="169"/>
    <w:bookmarkEnd w:id="170"/>
    <w:bookmarkEnd w:id="171"/>
    <w:bookmarkEnd w:id="172"/>
    <w:p w14:paraId="18DAFBF9">
      <w:pPr>
        <w:pStyle w:val="270"/>
        <w:outlineLvl w:val="1"/>
        <w:rPr>
          <w:rFonts w:ascii="Times New Roman" w:hAnsi="Times New Roman"/>
          <w:b/>
          <w:sz w:val="32"/>
          <w:szCs w:val="32"/>
        </w:rPr>
      </w:pPr>
      <w:bookmarkStart w:id="173" w:name="_Toc20217"/>
      <w:bookmarkStart w:id="174" w:name="_Toc120614284"/>
      <w:r>
        <w:rPr>
          <w:rFonts w:hint="eastAsia" w:ascii="黑体" w:hAnsi="黑体" w:eastAsia="黑体" w:cs="黑体"/>
          <w:b/>
          <w:sz w:val="32"/>
          <w:szCs w:val="32"/>
        </w:rPr>
        <w:t>一、投标函</w:t>
      </w:r>
      <w:bookmarkEnd w:id="173"/>
    </w:p>
    <w:p w14:paraId="6F268AB7">
      <w:pPr>
        <w:jc w:val="center"/>
        <w:rPr>
          <w:rFonts w:ascii="宋体" w:hAnsi="宋体" w:cs="宋体"/>
          <w:sz w:val="24"/>
          <w:szCs w:val="24"/>
          <w:u w:val="single"/>
        </w:rPr>
      </w:pPr>
      <w:r>
        <w:rPr>
          <w:rFonts w:hint="eastAsia" w:ascii="方正小标宋_GBK" w:hAnsi="Calibri" w:eastAsia="方正小标宋_GBK"/>
          <w:bCs/>
          <w:sz w:val="32"/>
          <w:szCs w:val="32"/>
        </w:rPr>
        <w:t>投标函</w:t>
      </w:r>
    </w:p>
    <w:p w14:paraId="449E291E">
      <w:pPr>
        <w:spacing w:line="500" w:lineRule="exact"/>
        <w:jc w:val="left"/>
        <w:rPr>
          <w:rFonts w:ascii="宋体" w:hAnsi="宋体"/>
          <w:sz w:val="24"/>
          <w:szCs w:val="24"/>
          <w:u w:val="single"/>
        </w:rPr>
      </w:pPr>
      <w:r>
        <w:rPr>
          <w:rFonts w:hint="eastAsia" w:ascii="宋体" w:hAnsi="宋体"/>
          <w:sz w:val="24"/>
          <w:szCs w:val="24"/>
          <w:u w:val="single"/>
        </w:rPr>
        <w:t>（采购单位名称）：</w:t>
      </w:r>
    </w:p>
    <w:p w14:paraId="0222F690">
      <w:pPr>
        <w:spacing w:line="500" w:lineRule="exact"/>
        <w:ind w:firstLine="480"/>
        <w:jc w:val="left"/>
        <w:rPr>
          <w:rFonts w:ascii="宋体" w:hAnsi="宋体"/>
          <w:sz w:val="24"/>
          <w:szCs w:val="24"/>
        </w:rPr>
      </w:pPr>
      <w:r>
        <w:rPr>
          <w:rFonts w:hint="eastAsia" w:ascii="宋体" w:hAnsi="宋体"/>
          <w:sz w:val="24"/>
          <w:szCs w:val="24"/>
        </w:rPr>
        <w:t>根据已收到的项目编号为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的招标文件，我方在参加本项目招投标活动中，特作出如下承诺：</w:t>
      </w:r>
    </w:p>
    <w:p w14:paraId="66C11442">
      <w:pPr>
        <w:spacing w:line="500" w:lineRule="exact"/>
        <w:ind w:firstLine="480"/>
        <w:jc w:val="left"/>
        <w:rPr>
          <w:rFonts w:ascii="宋体" w:hAnsi="宋体"/>
          <w:sz w:val="24"/>
          <w:szCs w:val="22"/>
        </w:rPr>
      </w:pPr>
      <w:r>
        <w:rPr>
          <w:rFonts w:hint="eastAsia" w:ascii="宋体" w:hAnsi="宋体"/>
          <w:sz w:val="24"/>
          <w:szCs w:val="24"/>
        </w:rPr>
        <w:t>一、我方</w:t>
      </w:r>
      <w:r>
        <w:rPr>
          <w:rFonts w:ascii="宋体" w:hAnsi="宋体"/>
          <w:sz w:val="24"/>
          <w:szCs w:val="22"/>
        </w:rPr>
        <w:t>具备《中华人民共和国政府采购法》第二十二条第一款规定的6项条件；</w:t>
      </w:r>
    </w:p>
    <w:p w14:paraId="1A0BB342">
      <w:pPr>
        <w:spacing w:line="500" w:lineRule="exact"/>
        <w:ind w:firstLine="480"/>
        <w:jc w:val="left"/>
        <w:rPr>
          <w:rFonts w:ascii="宋体" w:hAnsi="宋体"/>
          <w:sz w:val="24"/>
          <w:szCs w:val="24"/>
        </w:rPr>
      </w:pPr>
      <w:r>
        <w:rPr>
          <w:rFonts w:hint="eastAsia" w:ascii="宋体" w:hAnsi="宋体"/>
          <w:sz w:val="24"/>
          <w:szCs w:val="24"/>
        </w:rPr>
        <w:t>二、我方在参加政府采购活动前三年内（自本项目开标时间之日起计算），在经营活动中没有重大违法记录（指因违法经营受到刑事处罚或者责令停产停业、吊销许可证或者执照、较大数额罚款等行政处罚）。</w:t>
      </w:r>
    </w:p>
    <w:p w14:paraId="759EFEE7">
      <w:pPr>
        <w:spacing w:line="500" w:lineRule="exact"/>
        <w:ind w:firstLine="480"/>
        <w:jc w:val="left"/>
        <w:rPr>
          <w:rFonts w:ascii="宋体" w:hAnsi="宋体"/>
          <w:sz w:val="24"/>
          <w:szCs w:val="24"/>
        </w:rPr>
      </w:pPr>
      <w:r>
        <w:rPr>
          <w:rFonts w:hint="eastAsia" w:ascii="宋体" w:hAnsi="宋体"/>
          <w:sz w:val="24"/>
          <w:szCs w:val="24"/>
        </w:rPr>
        <w:t>三、我方按招标文件要求提交投标文件，响应招标文件规定的投标有效期；</w:t>
      </w:r>
    </w:p>
    <w:p w14:paraId="5725DF7A">
      <w:pPr>
        <w:spacing w:line="500" w:lineRule="exact"/>
        <w:ind w:firstLine="480"/>
        <w:jc w:val="left"/>
        <w:rPr>
          <w:rFonts w:ascii="宋体" w:hAnsi="宋体"/>
          <w:sz w:val="24"/>
          <w:szCs w:val="24"/>
        </w:rPr>
      </w:pPr>
      <w:r>
        <w:rPr>
          <w:rFonts w:hint="eastAsia" w:ascii="宋体" w:hAnsi="宋体"/>
          <w:sz w:val="24"/>
          <w:szCs w:val="24"/>
        </w:rPr>
        <w:t>四、如果我方的投标文件被接受，我方将按《中华人民共和国民法典（第三编合同）》及其他有关法律、法规的规定，按期、按质、按量交付采购单位，全面做到履约守信；</w:t>
      </w:r>
    </w:p>
    <w:p w14:paraId="17AF8D61">
      <w:pPr>
        <w:spacing w:line="500" w:lineRule="exact"/>
        <w:ind w:firstLine="480"/>
        <w:jc w:val="left"/>
        <w:rPr>
          <w:rFonts w:ascii="宋体" w:hAnsi="宋体"/>
          <w:sz w:val="24"/>
          <w:szCs w:val="24"/>
        </w:rPr>
      </w:pPr>
      <w:r>
        <w:rPr>
          <w:rFonts w:hint="eastAsia" w:ascii="宋体" w:hAnsi="宋体"/>
          <w:sz w:val="24"/>
          <w:szCs w:val="24"/>
        </w:rPr>
        <w:t>五、我方若违背本声明及承诺约定，经查实，自愿接受采购人及相关主管部门相应的规定处理，并依法承担相应的法律责任。</w:t>
      </w:r>
    </w:p>
    <w:p w14:paraId="0B06575E">
      <w:pPr>
        <w:spacing w:line="500" w:lineRule="exact"/>
        <w:ind w:firstLine="480"/>
        <w:jc w:val="left"/>
        <w:rPr>
          <w:rFonts w:ascii="宋体" w:hAnsi="宋体"/>
          <w:sz w:val="24"/>
          <w:szCs w:val="24"/>
        </w:rPr>
      </w:pPr>
      <w:r>
        <w:rPr>
          <w:rFonts w:hint="eastAsia" w:ascii="宋体" w:hAnsi="宋体"/>
          <w:sz w:val="24"/>
          <w:szCs w:val="24"/>
        </w:rPr>
        <w:t>六、我方同意采购人、采购代理机构将本函上网公开。</w:t>
      </w:r>
    </w:p>
    <w:p w14:paraId="6F4EB5C8">
      <w:pPr>
        <w:spacing w:line="500" w:lineRule="exact"/>
        <w:ind w:firstLine="480"/>
        <w:jc w:val="left"/>
        <w:rPr>
          <w:rFonts w:ascii="方正仿宋_GBK" w:hAnsi="Calibri" w:eastAsia="方正仿宋_GBK"/>
          <w:sz w:val="24"/>
          <w:szCs w:val="24"/>
        </w:rPr>
      </w:pPr>
    </w:p>
    <w:p w14:paraId="13EA0A71">
      <w:pPr>
        <w:spacing w:line="500" w:lineRule="exact"/>
        <w:jc w:val="left"/>
        <w:rPr>
          <w:rFonts w:ascii="宋体" w:hAnsi="宋体"/>
          <w:sz w:val="24"/>
          <w:szCs w:val="24"/>
        </w:rPr>
      </w:pPr>
    </w:p>
    <w:p w14:paraId="72E700EA">
      <w:pPr>
        <w:spacing w:line="500" w:lineRule="exact"/>
        <w:ind w:firstLine="480"/>
        <w:jc w:val="left"/>
        <w:rPr>
          <w:rFonts w:ascii="宋体" w:hAnsi="宋体"/>
          <w:sz w:val="24"/>
          <w:szCs w:val="24"/>
        </w:rPr>
      </w:pPr>
      <w:r>
        <w:rPr>
          <w:rFonts w:hint="eastAsia" w:ascii="宋体" w:hAnsi="宋体"/>
          <w:sz w:val="24"/>
          <w:szCs w:val="24"/>
        </w:rPr>
        <w:t xml:space="preserve">投标人名称： </w:t>
      </w:r>
      <w:r>
        <w:rPr>
          <w:rFonts w:hint="eastAsia" w:ascii="宋体" w:hAnsi="宋体"/>
          <w:sz w:val="24"/>
          <w:szCs w:val="24"/>
          <w:u w:val="single"/>
        </w:rPr>
        <w:t xml:space="preserve">          </w:t>
      </w:r>
      <w:r>
        <w:rPr>
          <w:rFonts w:hint="eastAsia" w:ascii="宋体" w:hAnsi="宋体"/>
          <w:sz w:val="24"/>
          <w:szCs w:val="24"/>
        </w:rPr>
        <w:t>（盖CA电子公章）</w:t>
      </w:r>
    </w:p>
    <w:p w14:paraId="7F8BA1F8">
      <w:pPr>
        <w:ind w:firstLine="480"/>
        <w:rPr>
          <w:rFonts w:ascii="宋体" w:hAnsi="宋体"/>
          <w:sz w:val="24"/>
          <w:szCs w:val="24"/>
        </w:rPr>
      </w:pPr>
    </w:p>
    <w:p w14:paraId="54C1297A">
      <w:pPr>
        <w:ind w:firstLine="480"/>
        <w:rPr>
          <w:rFonts w:ascii="宋体" w:hAnsi="宋体"/>
          <w:szCs w:val="22"/>
        </w:rPr>
      </w:pPr>
      <w:r>
        <w:rPr>
          <w:rFonts w:hint="eastAsia" w:ascii="宋体" w:hAnsi="宋体"/>
          <w:sz w:val="24"/>
          <w:szCs w:val="24"/>
        </w:rPr>
        <w:t>日期：    年    月   日</w:t>
      </w:r>
    </w:p>
    <w:p w14:paraId="2D2EAEE2">
      <w:pPr>
        <w:pStyle w:val="270"/>
        <w:ind w:firstLine="480"/>
        <w:rPr>
          <w:rFonts w:ascii="宋体" w:hAnsi="宋体" w:cs="宋体"/>
          <w:sz w:val="24"/>
          <w:szCs w:val="24"/>
        </w:rPr>
      </w:pPr>
    </w:p>
    <w:p w14:paraId="00329E9F">
      <w:pPr>
        <w:pStyle w:val="270"/>
        <w:ind w:firstLine="480"/>
        <w:rPr>
          <w:rFonts w:ascii="宋体" w:hAnsi="宋体" w:cs="宋体"/>
          <w:sz w:val="24"/>
          <w:szCs w:val="24"/>
        </w:rPr>
      </w:pPr>
    </w:p>
    <w:p w14:paraId="42BD5B0F">
      <w:pPr>
        <w:pStyle w:val="270"/>
        <w:ind w:firstLine="480"/>
        <w:rPr>
          <w:rFonts w:ascii="宋体" w:hAnsi="宋体" w:cs="宋体"/>
          <w:sz w:val="24"/>
          <w:szCs w:val="24"/>
        </w:rPr>
      </w:pPr>
    </w:p>
    <w:p w14:paraId="72F00B27">
      <w:pPr>
        <w:pStyle w:val="270"/>
        <w:ind w:firstLine="480"/>
        <w:rPr>
          <w:rFonts w:ascii="宋体" w:hAnsi="宋体" w:cs="宋体"/>
          <w:sz w:val="24"/>
          <w:szCs w:val="24"/>
        </w:rPr>
      </w:pPr>
    </w:p>
    <w:p w14:paraId="78EF2BFA">
      <w:pPr>
        <w:pStyle w:val="270"/>
        <w:ind w:firstLine="480"/>
        <w:rPr>
          <w:rFonts w:ascii="宋体" w:hAnsi="宋体" w:cs="宋体"/>
          <w:sz w:val="24"/>
          <w:szCs w:val="24"/>
        </w:rPr>
      </w:pPr>
    </w:p>
    <w:p w14:paraId="1A2F2762">
      <w:pPr>
        <w:pStyle w:val="270"/>
        <w:ind w:firstLine="480"/>
        <w:rPr>
          <w:rFonts w:ascii="宋体" w:hAnsi="宋体" w:cs="宋体"/>
          <w:sz w:val="24"/>
          <w:szCs w:val="24"/>
        </w:rPr>
      </w:pPr>
    </w:p>
    <w:p w14:paraId="38ADE602">
      <w:pPr>
        <w:pStyle w:val="270"/>
        <w:ind w:firstLine="480"/>
        <w:rPr>
          <w:rFonts w:ascii="宋体" w:hAnsi="宋体" w:cs="宋体"/>
          <w:sz w:val="24"/>
          <w:szCs w:val="24"/>
        </w:rPr>
      </w:pPr>
    </w:p>
    <w:p w14:paraId="0B95F60A">
      <w:pPr>
        <w:pStyle w:val="270"/>
        <w:ind w:firstLine="480"/>
        <w:rPr>
          <w:rFonts w:ascii="宋体" w:hAnsi="宋体" w:cs="宋体"/>
          <w:sz w:val="24"/>
          <w:szCs w:val="24"/>
        </w:rPr>
      </w:pPr>
    </w:p>
    <w:p w14:paraId="5451831E">
      <w:pPr>
        <w:pStyle w:val="270"/>
        <w:ind w:firstLine="480"/>
        <w:rPr>
          <w:rFonts w:ascii="宋体" w:hAnsi="宋体" w:cs="宋体"/>
          <w:sz w:val="24"/>
          <w:szCs w:val="24"/>
        </w:rPr>
      </w:pPr>
    </w:p>
    <w:p w14:paraId="28F0EFAA">
      <w:pPr>
        <w:pStyle w:val="270"/>
        <w:ind w:firstLine="480"/>
        <w:rPr>
          <w:rFonts w:ascii="宋体" w:hAnsi="宋体" w:cs="宋体"/>
          <w:sz w:val="24"/>
          <w:szCs w:val="24"/>
        </w:rPr>
      </w:pPr>
    </w:p>
    <w:p w14:paraId="6D8A0E9A">
      <w:pPr>
        <w:pStyle w:val="270"/>
        <w:rPr>
          <w:rFonts w:ascii="宋体" w:hAnsi="宋体" w:cs="宋体"/>
          <w:sz w:val="24"/>
          <w:szCs w:val="24"/>
        </w:rPr>
      </w:pPr>
    </w:p>
    <w:p w14:paraId="1E178101">
      <w:pPr>
        <w:outlineLvl w:val="1"/>
        <w:rPr>
          <w:rFonts w:ascii="黑体" w:hAnsi="黑体" w:eastAsia="黑体" w:cs="黑体"/>
          <w:b/>
          <w:sz w:val="32"/>
          <w:szCs w:val="32"/>
        </w:rPr>
      </w:pPr>
      <w:bookmarkStart w:id="175" w:name="_Toc1046"/>
      <w:r>
        <w:rPr>
          <w:rFonts w:hint="eastAsia" w:ascii="黑体" w:hAnsi="黑体" w:eastAsia="黑体" w:cs="黑体"/>
          <w:b/>
          <w:sz w:val="32"/>
          <w:szCs w:val="32"/>
        </w:rPr>
        <w:t>二、法人授权书</w:t>
      </w:r>
      <w:bookmarkEnd w:id="175"/>
    </w:p>
    <w:p w14:paraId="6F07D880">
      <w:pPr>
        <w:rPr>
          <w:rFonts w:ascii="黑体" w:hAnsi="黑体" w:eastAsia="黑体" w:cs="黑体"/>
          <w:b/>
          <w:sz w:val="32"/>
          <w:szCs w:val="32"/>
        </w:rPr>
      </w:pPr>
    </w:p>
    <w:p w14:paraId="3C3EE11B">
      <w:pPr>
        <w:jc w:val="center"/>
        <w:rPr>
          <w:rFonts w:ascii="黑体" w:hAnsi="黑体" w:eastAsia="黑体" w:cs="黑体"/>
          <w:b/>
          <w:sz w:val="32"/>
          <w:szCs w:val="32"/>
        </w:rPr>
      </w:pPr>
      <w:r>
        <w:rPr>
          <w:rFonts w:hint="eastAsia" w:ascii="方正小标宋_GBK" w:eastAsia="方正小标宋_GBK"/>
          <w:bCs/>
          <w:sz w:val="32"/>
          <w:szCs w:val="32"/>
        </w:rPr>
        <w:t>法人授权书</w:t>
      </w:r>
    </w:p>
    <w:p w14:paraId="3A3C862F">
      <w:pPr>
        <w:pStyle w:val="288"/>
        <w:spacing w:line="480" w:lineRule="exact"/>
        <w:ind w:firstLine="480"/>
        <w:rPr>
          <w:sz w:val="24"/>
          <w:szCs w:val="24"/>
        </w:rPr>
      </w:pPr>
      <w:r>
        <w:rPr>
          <w:rFonts w:hint="eastAsia"/>
          <w:sz w:val="24"/>
          <w:szCs w:val="24"/>
        </w:rPr>
        <w:t>本授权书声明：____________（投标人名称）授权________________（被授权人的姓名）为我方就</w:t>
      </w:r>
      <w:r>
        <w:rPr>
          <w:rFonts w:hint="eastAsia"/>
          <w:sz w:val="24"/>
          <w:szCs w:val="24"/>
          <w:u w:val="single"/>
        </w:rPr>
        <w:t xml:space="preserve">（项目编号） </w:t>
      </w:r>
      <w:r>
        <w:rPr>
          <w:rFonts w:hint="eastAsia"/>
          <w:sz w:val="24"/>
          <w:szCs w:val="24"/>
        </w:rPr>
        <w:t>号</w:t>
      </w:r>
      <w:r>
        <w:rPr>
          <w:rFonts w:hint="eastAsia"/>
          <w:sz w:val="24"/>
          <w:szCs w:val="24"/>
          <w:u w:val="single"/>
        </w:rPr>
        <w:t xml:space="preserve">    （项目名称）   </w:t>
      </w:r>
      <w:r>
        <w:rPr>
          <w:rFonts w:hint="eastAsia"/>
          <w:sz w:val="24"/>
          <w:szCs w:val="24"/>
        </w:rPr>
        <w:t>项目采购活动的合法代理人，以本单位名义全权处理一切与该项目采购有关的事务。</w:t>
      </w:r>
    </w:p>
    <w:p w14:paraId="74D77007">
      <w:pPr>
        <w:pStyle w:val="288"/>
        <w:spacing w:line="480" w:lineRule="exact"/>
        <w:ind w:firstLine="480"/>
        <w:rPr>
          <w:sz w:val="24"/>
          <w:szCs w:val="24"/>
        </w:rPr>
      </w:pPr>
      <w:r>
        <w:rPr>
          <w:rFonts w:hint="eastAsia"/>
          <w:sz w:val="24"/>
          <w:szCs w:val="24"/>
        </w:rPr>
        <w:t>本授权书于______年____月____日起生效，特此声明。</w:t>
      </w:r>
    </w:p>
    <w:p w14:paraId="0E999AB3">
      <w:pPr>
        <w:pStyle w:val="288"/>
        <w:spacing w:line="480" w:lineRule="exact"/>
        <w:ind w:firstLine="0"/>
        <w:rPr>
          <w:sz w:val="24"/>
          <w:szCs w:val="24"/>
          <w:u w:val="single"/>
        </w:rPr>
      </w:pPr>
      <w:r>
        <w:rPr>
          <w:rFonts w:hint="eastAsia"/>
          <w:sz w:val="24"/>
          <w:szCs w:val="24"/>
        </w:rPr>
        <w:t xml:space="preserve">          被授权人身份证号码：</w:t>
      </w:r>
      <w:r>
        <w:rPr>
          <w:rFonts w:hint="eastAsia"/>
          <w:sz w:val="24"/>
          <w:szCs w:val="24"/>
          <w:u w:val="single"/>
        </w:rPr>
        <w:t xml:space="preserve">                              </w:t>
      </w:r>
    </w:p>
    <w:p w14:paraId="27E26208">
      <w:pPr>
        <w:pStyle w:val="288"/>
        <w:spacing w:line="480" w:lineRule="exact"/>
        <w:ind w:firstLine="0"/>
        <w:rPr>
          <w:sz w:val="24"/>
          <w:szCs w:val="24"/>
          <w:u w:val="single"/>
        </w:rPr>
      </w:pPr>
      <w:r>
        <w:rPr>
          <w:rFonts w:hint="eastAsia"/>
          <w:sz w:val="24"/>
          <w:szCs w:val="24"/>
        </w:rPr>
        <w:t xml:space="preserve">          被授权人联系电话：（手机）</w:t>
      </w:r>
      <w:r>
        <w:rPr>
          <w:rFonts w:hint="eastAsia"/>
          <w:sz w:val="24"/>
          <w:szCs w:val="24"/>
          <w:u w:val="single"/>
        </w:rPr>
        <w:t xml:space="preserve">                          </w:t>
      </w:r>
    </w:p>
    <w:p w14:paraId="4F1E1734">
      <w:pPr>
        <w:pStyle w:val="288"/>
        <w:spacing w:line="480" w:lineRule="exact"/>
        <w:ind w:firstLine="1200"/>
        <w:rPr>
          <w:sz w:val="24"/>
          <w:szCs w:val="24"/>
        </w:rPr>
      </w:pPr>
      <w:r>
        <w:rPr>
          <w:rFonts w:hint="eastAsia"/>
          <w:sz w:val="24"/>
          <w:szCs w:val="24"/>
        </w:rPr>
        <w:t>授权单位名称：</w:t>
      </w:r>
      <w:r>
        <w:rPr>
          <w:rFonts w:hint="eastAsia"/>
          <w:sz w:val="24"/>
          <w:szCs w:val="24"/>
          <w:u w:val="single"/>
        </w:rPr>
        <w:t>（加盖CA电子公章）</w:t>
      </w:r>
    </w:p>
    <w:p w14:paraId="6DF44B7D">
      <w:pPr>
        <w:pStyle w:val="288"/>
        <w:spacing w:line="480" w:lineRule="exact"/>
        <w:ind w:firstLine="480"/>
        <w:rPr>
          <w:sz w:val="24"/>
          <w:szCs w:val="24"/>
          <w:u w:val="single"/>
        </w:rPr>
      </w:pPr>
      <w:r>
        <w:rPr>
          <w:rFonts w:hint="eastAsia"/>
          <w:sz w:val="24"/>
          <w:szCs w:val="24"/>
        </w:rPr>
        <w:t xml:space="preserve">      单位地址：</w:t>
      </w:r>
      <w:r>
        <w:rPr>
          <w:rFonts w:hint="eastAsia"/>
          <w:sz w:val="24"/>
          <w:szCs w:val="24"/>
          <w:u w:val="single"/>
        </w:rPr>
        <w:t xml:space="preserve">                                         </w:t>
      </w:r>
    </w:p>
    <w:p w14:paraId="328280B5">
      <w:pPr>
        <w:pStyle w:val="288"/>
        <w:spacing w:line="480" w:lineRule="exact"/>
        <w:ind w:firstLine="480"/>
        <w:rPr>
          <w:sz w:val="24"/>
          <w:szCs w:val="24"/>
        </w:rPr>
      </w:pPr>
      <w:r>
        <w:rPr>
          <w:rFonts w:hint="eastAsia"/>
          <w:sz w:val="24"/>
          <w:szCs w:val="24"/>
        </w:rPr>
        <w:t xml:space="preserve">      日期：</w:t>
      </w:r>
      <w:bookmarkStart w:id="176" w:name="_格式3__银行出具的资信证明"/>
      <w:bookmarkEnd w:id="176"/>
      <w:bookmarkStart w:id="177" w:name="_Hlt26671380"/>
      <w:bookmarkEnd w:id="177"/>
      <w:bookmarkStart w:id="178" w:name="_Hlt26955070"/>
      <w:bookmarkEnd w:id="178"/>
      <w:r>
        <w:rPr>
          <w:rFonts w:hint="eastAsia"/>
          <w:sz w:val="24"/>
          <w:szCs w:val="24"/>
          <w:u w:val="single"/>
        </w:rPr>
        <w:t xml:space="preserve">                                         </w:t>
      </w:r>
    </w:p>
    <w:p w14:paraId="67D25EB0">
      <w:pPr>
        <w:spacing w:line="480" w:lineRule="exact"/>
        <w:outlineLvl w:val="1"/>
        <w:rPr>
          <w:rFonts w:eastAsia="仿宋_GB2312"/>
          <w:sz w:val="24"/>
          <w:szCs w:val="20"/>
        </w:rPr>
      </w:pPr>
      <w:r>
        <w:rPr>
          <w:rFonts w:hint="eastAsia"/>
        </w:rPr>
        <w:br w:type="page" w:clear="all"/>
      </w:r>
      <w:bookmarkStart w:id="179" w:name="_Toc20930"/>
      <w:r>
        <w:rPr>
          <w:rFonts w:hint="eastAsia" w:eastAsia="黑体"/>
          <w:b/>
          <w:iCs/>
          <w:sz w:val="32"/>
          <w:szCs w:val="32"/>
        </w:rPr>
        <w:t>三、开标一览表</w:t>
      </w:r>
      <w:bookmarkEnd w:id="179"/>
    </w:p>
    <w:p w14:paraId="36DB5D8B">
      <w:pPr>
        <w:pStyle w:val="305"/>
        <w:rPr>
          <w:rFonts w:ascii="宋体" w:hAnsi="宋体" w:eastAsia="宋体" w:cs="宋体"/>
        </w:rPr>
      </w:pPr>
    </w:p>
    <w:p w14:paraId="45A635E6">
      <w:pPr>
        <w:pStyle w:val="305"/>
      </w:pPr>
      <w:r>
        <w:rPr>
          <w:rFonts w:hint="eastAsia" w:ascii="宋体" w:hAnsi="宋体" w:eastAsia="宋体" w:cs="宋体"/>
        </w:rPr>
        <w:t>投标人全称</w:t>
      </w:r>
      <w:r>
        <w:rPr>
          <w:rFonts w:hint="eastAsia"/>
        </w:rPr>
        <w:t>(CA</w:t>
      </w:r>
      <w:r>
        <w:rPr>
          <w:rFonts w:hint="eastAsia" w:ascii="宋体" w:hAnsi="宋体" w:eastAsia="宋体" w:cs="宋体"/>
        </w:rPr>
        <w:t>公章</w:t>
      </w:r>
      <w:r>
        <w:rPr>
          <w:rFonts w:hint="eastAsia"/>
        </w:rPr>
        <w:t xml:space="preserve">) </w:t>
      </w:r>
      <w:r>
        <w:rPr>
          <w:rFonts w:hint="eastAsia" w:eastAsia="宋体"/>
        </w:rPr>
        <w:t>：</w:t>
      </w:r>
      <w:r>
        <w:rPr>
          <w:rFonts w:hint="eastAsia" w:ascii="宋体" w:hAnsi="宋体" w:eastAsia="宋体" w:cs="宋体"/>
        </w:rPr>
        <w:t>投标人名称</w:t>
      </w:r>
    </w:p>
    <w:p w14:paraId="17FF72B9">
      <w:pPr>
        <w:spacing w:line="500" w:lineRule="exact"/>
        <w:rPr>
          <w:rFonts w:ascii="宋体" w:hAnsi="宋体" w:cs="宋体"/>
          <w:sz w:val="24"/>
          <w:szCs w:val="24"/>
        </w:rPr>
      </w:pPr>
      <w:r>
        <w:rPr>
          <w:rFonts w:hint="eastAsia" w:ascii="宋体" w:hAnsi="宋体" w:cs="宋体"/>
          <w:sz w:val="24"/>
          <w:szCs w:val="24"/>
        </w:rPr>
        <w:t xml:space="preserve">采购项目编号： </w:t>
      </w:r>
    </w:p>
    <w:p w14:paraId="63D1B797">
      <w:pPr>
        <w:spacing w:line="500" w:lineRule="exact"/>
        <w:rPr>
          <w:rFonts w:ascii="宋体" w:hAnsi="宋体" w:cs="宋体"/>
          <w:sz w:val="24"/>
          <w:szCs w:val="24"/>
        </w:rPr>
      </w:pPr>
      <w:r>
        <w:rPr>
          <w:rFonts w:hint="eastAsia" w:ascii="宋体" w:hAnsi="宋体" w:cs="宋体"/>
          <w:sz w:val="24"/>
          <w:szCs w:val="24"/>
        </w:rPr>
        <w:t xml:space="preserve">采购项目名称： </w:t>
      </w:r>
    </w:p>
    <w:p w14:paraId="1AC15771">
      <w:pPr>
        <w:spacing w:line="500" w:lineRule="exact"/>
        <w:rPr>
          <w:rFonts w:ascii="宋体" w:hAnsi="宋体" w:cs="宋体"/>
          <w:sz w:val="24"/>
          <w:szCs w:val="24"/>
        </w:rPr>
      </w:pPr>
      <w:r>
        <w:rPr>
          <w:rFonts w:hint="eastAsia" w:ascii="宋体" w:hAnsi="宋体" w:cs="宋体"/>
          <w:sz w:val="24"/>
          <w:szCs w:val="24"/>
        </w:rPr>
        <w:t>采购包名称：</w:t>
      </w:r>
    </w:p>
    <w:tbl>
      <w:tblPr>
        <w:tblStyle w:val="49"/>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5326"/>
      </w:tblGrid>
      <w:tr w14:paraId="52C0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43" w:type="dxa"/>
            <w:tcBorders>
              <w:top w:val="single" w:color="000000" w:sz="0" w:space="0"/>
              <w:left w:val="single" w:color="000000" w:sz="0" w:space="0"/>
              <w:bottom w:val="single" w:color="000000" w:sz="0" w:space="0"/>
              <w:right w:val="single" w:color="000000" w:sz="0" w:space="0"/>
            </w:tcBorders>
            <w:tcMar>
              <w:top w:w="100" w:type="dxa"/>
              <w:bottom w:w="100" w:type="dxa"/>
            </w:tcMar>
            <w:tcFitText/>
            <w:vAlign w:val="center"/>
          </w:tcPr>
          <w:p w14:paraId="46FEBD2B">
            <w:pPr>
              <w:pStyle w:val="306"/>
              <w:snapToGrid w:val="0"/>
              <w:jc w:val="center"/>
              <w:rPr>
                <w:rFonts w:ascii="宋体" w:hAnsi="宋体" w:eastAsia="宋体" w:cs="宋体"/>
                <w:b/>
                <w:sz w:val="21"/>
              </w:rPr>
            </w:pPr>
            <w:r>
              <w:rPr>
                <w:rFonts w:hint="eastAsia" w:ascii="宋体" w:hAnsi="宋体" w:eastAsia="宋体" w:cs="宋体"/>
                <w:b/>
                <w:spacing w:val="1593"/>
                <w:sz w:val="21"/>
              </w:rPr>
              <w:t>标</w:t>
            </w:r>
            <w:r>
              <w:rPr>
                <w:rFonts w:hint="eastAsia" w:ascii="宋体" w:hAnsi="宋体" w:eastAsia="宋体" w:cs="宋体"/>
                <w:b/>
                <w:sz w:val="21"/>
              </w:rPr>
              <w:t>题</w:t>
            </w:r>
          </w:p>
        </w:tc>
        <w:tc>
          <w:tcPr>
            <w:tcW w:w="5326" w:type="dxa"/>
            <w:tcBorders>
              <w:top w:val="single" w:color="000000" w:sz="0" w:space="0"/>
              <w:left w:val="single" w:color="000000" w:sz="0" w:space="0"/>
              <w:bottom w:val="single" w:color="000000" w:sz="0" w:space="0"/>
              <w:right w:val="single" w:color="000000" w:sz="0" w:space="0"/>
            </w:tcBorders>
            <w:tcMar>
              <w:top w:w="100" w:type="dxa"/>
              <w:bottom w:w="100" w:type="dxa"/>
            </w:tcMar>
            <w:tcFitText/>
            <w:vAlign w:val="center"/>
          </w:tcPr>
          <w:p w14:paraId="3E2BCE9B">
            <w:pPr>
              <w:pStyle w:val="306"/>
              <w:snapToGrid w:val="0"/>
              <w:jc w:val="center"/>
              <w:rPr>
                <w:rFonts w:ascii="宋体" w:hAnsi="宋体" w:eastAsia="宋体" w:cs="宋体"/>
                <w:b/>
                <w:sz w:val="21"/>
              </w:rPr>
            </w:pPr>
            <w:r>
              <w:rPr>
                <w:rFonts w:hint="eastAsia" w:ascii="宋体" w:hAnsi="宋体" w:eastAsia="宋体" w:cs="宋体"/>
                <w:b/>
                <w:spacing w:val="2349"/>
                <w:w w:val="93"/>
                <w:sz w:val="21"/>
              </w:rPr>
              <w:t>内</w:t>
            </w:r>
            <w:r>
              <w:rPr>
                <w:rFonts w:hint="eastAsia" w:ascii="宋体" w:hAnsi="宋体" w:eastAsia="宋体" w:cs="宋体"/>
                <w:b/>
                <w:w w:val="93"/>
                <w:sz w:val="21"/>
              </w:rPr>
              <w:t>容</w:t>
            </w:r>
          </w:p>
        </w:tc>
      </w:tr>
      <w:tr w14:paraId="0778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43" w:type="dxa"/>
            <w:tcBorders>
              <w:top w:val="single" w:color="000000" w:sz="0" w:space="0"/>
              <w:left w:val="single" w:color="000000" w:sz="0" w:space="0"/>
              <w:bottom w:val="single" w:color="000000" w:sz="0" w:space="0"/>
              <w:right w:val="single" w:color="000000" w:sz="0" w:space="0"/>
            </w:tcBorders>
            <w:tcMar>
              <w:top w:w="100" w:type="dxa"/>
              <w:bottom w:w="100" w:type="dxa"/>
            </w:tcMar>
            <w:tcFitText/>
            <w:vAlign w:val="center"/>
          </w:tcPr>
          <w:p w14:paraId="6DBD666B">
            <w:pPr>
              <w:pStyle w:val="306"/>
              <w:snapToGrid w:val="0"/>
              <w:jc w:val="right"/>
              <w:rPr>
                <w:rFonts w:ascii="宋体" w:hAnsi="宋体" w:eastAsia="宋体" w:cs="宋体"/>
                <w:b/>
                <w:sz w:val="21"/>
              </w:rPr>
            </w:pPr>
            <w:r>
              <w:rPr>
                <w:rFonts w:hint="eastAsia" w:ascii="宋体" w:hAnsi="宋体" w:eastAsia="宋体" w:cs="宋体"/>
                <w:b/>
                <w:spacing w:val="319"/>
                <w:sz w:val="21"/>
              </w:rPr>
              <w:t>投标总报</w:t>
            </w:r>
            <w:r>
              <w:rPr>
                <w:rFonts w:hint="eastAsia" w:ascii="宋体" w:hAnsi="宋体" w:eastAsia="宋体" w:cs="宋体"/>
                <w:b/>
                <w:sz w:val="21"/>
              </w:rPr>
              <w:t>价</w:t>
            </w:r>
          </w:p>
        </w:tc>
        <w:tc>
          <w:tcPr>
            <w:tcW w:w="5326" w:type="dxa"/>
            <w:tcBorders>
              <w:top w:val="single" w:color="000000" w:sz="0" w:space="0"/>
              <w:left w:val="single" w:color="000000" w:sz="0" w:space="0"/>
              <w:bottom w:val="single" w:color="000000" w:sz="0" w:space="0"/>
              <w:right w:val="single" w:color="000000" w:sz="0" w:space="0"/>
            </w:tcBorders>
            <w:tcMar>
              <w:top w:w="100" w:type="dxa"/>
              <w:bottom w:w="100" w:type="dxa"/>
            </w:tcMar>
            <w:tcFitText/>
            <w:vAlign w:val="center"/>
          </w:tcPr>
          <w:p w14:paraId="7C7E74B7">
            <w:pPr>
              <w:pStyle w:val="306"/>
              <w:snapToGrid w:val="0"/>
              <w:jc w:val="center"/>
              <w:rPr>
                <w:rFonts w:ascii="宋体" w:hAnsi="宋体" w:eastAsia="宋体" w:cs="宋体"/>
                <w:sz w:val="21"/>
              </w:rPr>
            </w:pPr>
            <w:r>
              <w:rPr>
                <w:rFonts w:hint="eastAsia" w:ascii="宋体" w:hAnsi="宋体" w:eastAsia="宋体" w:cs="宋体"/>
                <w:sz w:val="21"/>
              </w:rPr>
              <w:t>元</w:t>
            </w:r>
          </w:p>
        </w:tc>
      </w:tr>
    </w:tbl>
    <w:p w14:paraId="709BA1BA">
      <w:pPr>
        <w:rPr>
          <w:rFonts w:ascii="Calibri" w:hAnsi="Calibri"/>
          <w:szCs w:val="22"/>
        </w:rPr>
      </w:pPr>
    </w:p>
    <w:p w14:paraId="617BAB68">
      <w:pPr>
        <w:rPr>
          <w:rFonts w:ascii="Calibri" w:hAnsi="Calibri"/>
          <w:szCs w:val="22"/>
        </w:rPr>
      </w:pPr>
    </w:p>
    <w:p w14:paraId="1BF9BF7C">
      <w:pPr>
        <w:rPr>
          <w:rFonts w:ascii="Calibri" w:hAnsi="Calibri"/>
          <w:szCs w:val="22"/>
        </w:rPr>
      </w:pPr>
    </w:p>
    <w:p w14:paraId="71445151">
      <w:pPr>
        <w:rPr>
          <w:rFonts w:ascii="宋体" w:hAnsi="宋体" w:cs="宋体"/>
          <w:sz w:val="24"/>
          <w:szCs w:val="22"/>
        </w:rPr>
      </w:pPr>
      <w:r>
        <w:rPr>
          <w:rFonts w:hint="eastAsia" w:ascii="Calibri" w:hAnsi="Calibri"/>
          <w:szCs w:val="22"/>
        </w:rPr>
        <w:t xml:space="preserve"> </w:t>
      </w:r>
      <w:r>
        <w:rPr>
          <w:rFonts w:ascii="Calibri" w:hAnsi="Calibri"/>
          <w:szCs w:val="22"/>
        </w:rPr>
        <w:t xml:space="preserve">                   </w:t>
      </w:r>
      <w:r>
        <w:rPr>
          <w:rFonts w:hint="eastAsia" w:ascii="Calibri" w:hAnsi="Calibri"/>
          <w:szCs w:val="22"/>
        </w:rPr>
        <w:t xml:space="preserve">                   </w:t>
      </w:r>
      <w:r>
        <w:rPr>
          <w:rFonts w:ascii="Calibri" w:hAnsi="Calibri"/>
          <w:szCs w:val="22"/>
        </w:rPr>
        <w:t xml:space="preserve">     </w:t>
      </w:r>
      <w:bookmarkStart w:id="180" w:name="_Toc12113"/>
      <w:r>
        <w:rPr>
          <w:rFonts w:hint="eastAsia" w:ascii="宋体" w:hAnsi="宋体" w:cs="宋体"/>
          <w:sz w:val="24"/>
          <w:szCs w:val="22"/>
        </w:rPr>
        <w:t xml:space="preserve">日期： </w:t>
      </w:r>
      <w:r>
        <w:rPr>
          <w:rFonts w:ascii="宋体" w:hAnsi="宋体" w:cs="宋体"/>
          <w:sz w:val="24"/>
          <w:szCs w:val="22"/>
        </w:rPr>
        <w:t xml:space="preserve">    </w:t>
      </w:r>
      <w:r>
        <w:rPr>
          <w:rFonts w:hint="eastAsia" w:ascii="宋体" w:hAnsi="宋体" w:cs="宋体"/>
          <w:sz w:val="24"/>
          <w:szCs w:val="22"/>
        </w:rPr>
        <w:t xml:space="preserve">年 </w:t>
      </w:r>
      <w:r>
        <w:rPr>
          <w:rFonts w:ascii="宋体" w:hAnsi="宋体" w:cs="宋体"/>
          <w:sz w:val="24"/>
          <w:szCs w:val="22"/>
        </w:rPr>
        <w:t xml:space="preserve">    </w:t>
      </w:r>
      <w:r>
        <w:rPr>
          <w:rFonts w:hint="eastAsia" w:ascii="宋体" w:hAnsi="宋体" w:cs="宋体"/>
          <w:sz w:val="24"/>
          <w:szCs w:val="22"/>
        </w:rPr>
        <w:t xml:space="preserve">月 </w:t>
      </w:r>
      <w:r>
        <w:rPr>
          <w:rFonts w:ascii="宋体" w:hAnsi="宋体" w:cs="宋体"/>
          <w:sz w:val="24"/>
          <w:szCs w:val="22"/>
        </w:rPr>
        <w:t xml:space="preserve">    </w:t>
      </w:r>
      <w:r>
        <w:rPr>
          <w:rFonts w:hint="eastAsia" w:ascii="宋体" w:hAnsi="宋体" w:cs="宋体"/>
          <w:sz w:val="24"/>
          <w:szCs w:val="22"/>
        </w:rPr>
        <w:t>日</w:t>
      </w:r>
      <w:bookmarkEnd w:id="180"/>
    </w:p>
    <w:p w14:paraId="381B9E88">
      <w:pPr>
        <w:ind w:firstLine="480"/>
        <w:rPr>
          <w:sz w:val="24"/>
          <w:szCs w:val="24"/>
        </w:rPr>
      </w:pPr>
    </w:p>
    <w:p w14:paraId="68601529">
      <w:pPr>
        <w:ind w:firstLine="480"/>
        <w:rPr>
          <w:sz w:val="24"/>
          <w:szCs w:val="24"/>
        </w:rPr>
      </w:pPr>
    </w:p>
    <w:p w14:paraId="28BC1297">
      <w:pPr>
        <w:jc w:val="center"/>
        <w:rPr>
          <w:rFonts w:cs="仿宋"/>
          <w:b/>
          <w:bCs/>
          <w:sz w:val="32"/>
          <w:szCs w:val="32"/>
        </w:rPr>
      </w:pPr>
    </w:p>
    <w:p w14:paraId="492D7C5A">
      <w:pPr>
        <w:pStyle w:val="19"/>
        <w:rPr>
          <w:rFonts w:ascii="Times New Roman" w:hAnsi="Times New Roman" w:cs="仿宋"/>
          <w:b/>
          <w:bCs/>
          <w:sz w:val="32"/>
          <w:szCs w:val="32"/>
        </w:rPr>
      </w:pPr>
    </w:p>
    <w:p w14:paraId="37AD7372">
      <w:pPr>
        <w:rPr>
          <w:rFonts w:cs="仿宋"/>
          <w:b/>
          <w:bCs/>
          <w:sz w:val="32"/>
          <w:szCs w:val="32"/>
        </w:rPr>
      </w:pPr>
    </w:p>
    <w:p w14:paraId="400300DB">
      <w:pPr>
        <w:pStyle w:val="19"/>
        <w:rPr>
          <w:rFonts w:ascii="Times New Roman" w:hAnsi="Times New Roman" w:cs="仿宋"/>
          <w:b/>
          <w:bCs/>
          <w:sz w:val="32"/>
          <w:szCs w:val="32"/>
        </w:rPr>
      </w:pPr>
    </w:p>
    <w:p w14:paraId="6A26F4A8">
      <w:pPr>
        <w:rPr>
          <w:rFonts w:cs="仿宋"/>
          <w:b/>
          <w:bCs/>
          <w:sz w:val="32"/>
          <w:szCs w:val="32"/>
        </w:rPr>
      </w:pPr>
    </w:p>
    <w:p w14:paraId="6C1548EB">
      <w:pPr>
        <w:pStyle w:val="19"/>
        <w:rPr>
          <w:rFonts w:ascii="Times New Roman" w:hAnsi="Times New Roman" w:cs="仿宋"/>
          <w:b/>
          <w:bCs/>
          <w:sz w:val="32"/>
          <w:szCs w:val="32"/>
        </w:rPr>
      </w:pPr>
    </w:p>
    <w:p w14:paraId="104DBC25">
      <w:pPr>
        <w:rPr>
          <w:rFonts w:cs="仿宋"/>
          <w:b/>
          <w:bCs/>
          <w:sz w:val="32"/>
          <w:szCs w:val="32"/>
        </w:rPr>
      </w:pPr>
    </w:p>
    <w:p w14:paraId="26FF2527">
      <w:pPr>
        <w:pStyle w:val="19"/>
        <w:rPr>
          <w:rFonts w:ascii="Times New Roman" w:hAnsi="Times New Roman" w:cs="仿宋"/>
          <w:b/>
          <w:bCs/>
          <w:sz w:val="32"/>
          <w:szCs w:val="32"/>
        </w:rPr>
      </w:pPr>
    </w:p>
    <w:p w14:paraId="14D36D87">
      <w:pPr>
        <w:rPr>
          <w:rFonts w:cs="仿宋"/>
          <w:b/>
          <w:bCs/>
          <w:sz w:val="32"/>
          <w:szCs w:val="32"/>
        </w:rPr>
      </w:pPr>
    </w:p>
    <w:p w14:paraId="46C7C6C6">
      <w:pPr>
        <w:pStyle w:val="19"/>
        <w:rPr>
          <w:rFonts w:ascii="Times New Roman" w:hAnsi="Times New Roman" w:cs="仿宋"/>
          <w:b/>
          <w:bCs/>
          <w:sz w:val="32"/>
          <w:szCs w:val="32"/>
        </w:rPr>
      </w:pPr>
    </w:p>
    <w:p w14:paraId="0430E85C">
      <w:pPr>
        <w:rPr>
          <w:rFonts w:cs="仿宋"/>
          <w:b/>
          <w:bCs/>
          <w:sz w:val="32"/>
          <w:szCs w:val="32"/>
        </w:rPr>
      </w:pPr>
    </w:p>
    <w:p w14:paraId="23DFAB83">
      <w:pPr>
        <w:pStyle w:val="19"/>
      </w:pPr>
    </w:p>
    <w:p w14:paraId="2A2ECE4F">
      <w:pPr>
        <w:pStyle w:val="243"/>
        <w:spacing w:before="0" w:after="0" w:line="420" w:lineRule="exact"/>
        <w:ind w:left="420"/>
        <w:rPr>
          <w:rFonts w:ascii="Times New Roman" w:hAnsi="Times New Roman"/>
          <w:szCs w:val="21"/>
        </w:rPr>
      </w:pPr>
    </w:p>
    <w:p w14:paraId="53A3CCBC">
      <w:pPr>
        <w:jc w:val="center"/>
        <w:rPr>
          <w:bCs/>
          <w:sz w:val="24"/>
        </w:rPr>
      </w:pPr>
    </w:p>
    <w:p w14:paraId="6DBD9844">
      <w:pPr>
        <w:jc w:val="center"/>
        <w:rPr>
          <w:bCs/>
          <w:sz w:val="24"/>
        </w:rPr>
      </w:pPr>
    </w:p>
    <w:p w14:paraId="03B2EB23">
      <w:pPr>
        <w:jc w:val="center"/>
        <w:rPr>
          <w:bCs/>
          <w:sz w:val="24"/>
        </w:rPr>
      </w:pPr>
    </w:p>
    <w:p w14:paraId="383B89EF">
      <w:pPr>
        <w:jc w:val="center"/>
        <w:rPr>
          <w:bCs/>
          <w:sz w:val="24"/>
        </w:rPr>
      </w:pPr>
    </w:p>
    <w:p w14:paraId="0BE5A06E">
      <w:pPr>
        <w:jc w:val="center"/>
        <w:rPr>
          <w:bCs/>
          <w:sz w:val="24"/>
        </w:rPr>
      </w:pPr>
    </w:p>
    <w:p w14:paraId="614059C0">
      <w:pPr>
        <w:jc w:val="center"/>
        <w:rPr>
          <w:bCs/>
          <w:sz w:val="24"/>
        </w:rPr>
      </w:pPr>
    </w:p>
    <w:p w14:paraId="08454853">
      <w:pPr>
        <w:jc w:val="center"/>
        <w:rPr>
          <w:bCs/>
          <w:sz w:val="24"/>
        </w:rPr>
      </w:pPr>
    </w:p>
    <w:p w14:paraId="279889AF">
      <w:pPr>
        <w:jc w:val="center"/>
        <w:rPr>
          <w:bCs/>
          <w:sz w:val="24"/>
        </w:rPr>
      </w:pPr>
    </w:p>
    <w:p w14:paraId="38A6C8C8">
      <w:pPr>
        <w:jc w:val="center"/>
        <w:rPr>
          <w:bCs/>
          <w:sz w:val="24"/>
        </w:rPr>
      </w:pPr>
    </w:p>
    <w:p w14:paraId="52744C7F">
      <w:pPr>
        <w:jc w:val="center"/>
        <w:rPr>
          <w:bCs/>
          <w:sz w:val="24"/>
        </w:rPr>
      </w:pPr>
    </w:p>
    <w:p w14:paraId="7E0399ED">
      <w:pPr>
        <w:jc w:val="center"/>
        <w:rPr>
          <w:bCs/>
          <w:sz w:val="24"/>
        </w:rPr>
      </w:pPr>
    </w:p>
    <w:p w14:paraId="47686266">
      <w:pPr>
        <w:jc w:val="center"/>
        <w:rPr>
          <w:bCs/>
          <w:sz w:val="24"/>
        </w:rPr>
      </w:pPr>
    </w:p>
    <w:p w14:paraId="0A91D5DA">
      <w:pPr>
        <w:jc w:val="center"/>
        <w:rPr>
          <w:bCs/>
          <w:sz w:val="24"/>
        </w:rPr>
      </w:pPr>
    </w:p>
    <w:p w14:paraId="65A0DBBF">
      <w:pPr>
        <w:jc w:val="center"/>
        <w:rPr>
          <w:bCs/>
          <w:sz w:val="24"/>
        </w:rPr>
      </w:pPr>
    </w:p>
    <w:p w14:paraId="3DFC8705">
      <w:pPr>
        <w:jc w:val="center"/>
        <w:rPr>
          <w:bCs/>
          <w:sz w:val="24"/>
        </w:rPr>
      </w:pPr>
    </w:p>
    <w:p w14:paraId="68E9A2F3">
      <w:pPr>
        <w:outlineLvl w:val="1"/>
        <w:rPr>
          <w:rFonts w:ascii="黑体" w:hAnsi="黑体" w:eastAsia="黑体" w:cs="黑体"/>
          <w:b/>
          <w:sz w:val="32"/>
          <w:szCs w:val="32"/>
        </w:rPr>
      </w:pPr>
      <w:bookmarkStart w:id="181" w:name="_Toc17381"/>
      <w:r>
        <w:rPr>
          <w:rFonts w:hint="eastAsia" w:ascii="黑体" w:hAnsi="黑体" w:eastAsia="黑体" w:cs="黑体"/>
          <w:b/>
          <w:sz w:val="32"/>
          <w:szCs w:val="32"/>
        </w:rPr>
        <w:t>四、分项报价表</w:t>
      </w:r>
      <w:bookmarkEnd w:id="181"/>
    </w:p>
    <w:p w14:paraId="2A960DFD">
      <w:pPr>
        <w:jc w:val="center"/>
        <w:rPr>
          <w:rFonts w:ascii="方正小标宋_GBK" w:hAnsi="Calibri" w:eastAsia="方正小标宋_GBK"/>
          <w:bCs/>
          <w:sz w:val="32"/>
          <w:szCs w:val="32"/>
        </w:rPr>
      </w:pPr>
      <w:r>
        <w:rPr>
          <w:rFonts w:hint="eastAsia" w:ascii="方正小标宋_GBK" w:hAnsi="Calibri" w:eastAsia="方正小标宋_GBK"/>
          <w:bCs/>
          <w:sz w:val="32"/>
          <w:szCs w:val="32"/>
        </w:rPr>
        <w:t>分项报价表</w:t>
      </w:r>
    </w:p>
    <w:p w14:paraId="7EB0F6A7">
      <w:pPr>
        <w:jc w:val="center"/>
        <w:rPr>
          <w:rFonts w:ascii="Calibri" w:hAnsi="Calibri"/>
          <w:b/>
          <w:bCs/>
          <w:szCs w:val="22"/>
        </w:rPr>
      </w:pPr>
    </w:p>
    <w:tbl>
      <w:tblPr>
        <w:tblStyle w:val="49"/>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052"/>
        <w:gridCol w:w="814"/>
        <w:gridCol w:w="1072"/>
        <w:gridCol w:w="1617"/>
        <w:gridCol w:w="1233"/>
        <w:gridCol w:w="921"/>
        <w:gridCol w:w="932"/>
        <w:gridCol w:w="1136"/>
      </w:tblGrid>
      <w:tr w14:paraId="2E81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00" w:type="dxa"/>
            <w:noWrap w:val="0"/>
            <w:vAlign w:val="top"/>
          </w:tcPr>
          <w:p w14:paraId="401331B3">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052" w:type="dxa"/>
            <w:noWrap w:val="0"/>
            <w:vAlign w:val="center"/>
          </w:tcPr>
          <w:p w14:paraId="2482CCCF">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产品</w:t>
            </w:r>
          </w:p>
          <w:p w14:paraId="1CE25ECC">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名称</w:t>
            </w:r>
          </w:p>
        </w:tc>
        <w:tc>
          <w:tcPr>
            <w:tcW w:w="814" w:type="dxa"/>
            <w:noWrap w:val="0"/>
            <w:vAlign w:val="center"/>
          </w:tcPr>
          <w:p w14:paraId="0C7964D0">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品牌</w:t>
            </w:r>
          </w:p>
        </w:tc>
        <w:tc>
          <w:tcPr>
            <w:tcW w:w="1072" w:type="dxa"/>
            <w:noWrap w:val="0"/>
            <w:vAlign w:val="center"/>
          </w:tcPr>
          <w:p w14:paraId="22348B17">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规格</w:t>
            </w:r>
          </w:p>
          <w:p w14:paraId="20E94E88">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型号</w:t>
            </w:r>
          </w:p>
        </w:tc>
        <w:tc>
          <w:tcPr>
            <w:tcW w:w="1617" w:type="dxa"/>
            <w:noWrap w:val="0"/>
            <w:vAlign w:val="center"/>
          </w:tcPr>
          <w:p w14:paraId="02EB34AF">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制造商名称</w:t>
            </w:r>
          </w:p>
        </w:tc>
        <w:tc>
          <w:tcPr>
            <w:tcW w:w="1233" w:type="dxa"/>
            <w:noWrap w:val="0"/>
            <w:vAlign w:val="center"/>
          </w:tcPr>
          <w:p w14:paraId="5A1FD566">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产地</w:t>
            </w:r>
          </w:p>
        </w:tc>
        <w:tc>
          <w:tcPr>
            <w:tcW w:w="921" w:type="dxa"/>
            <w:noWrap w:val="0"/>
            <w:vAlign w:val="center"/>
          </w:tcPr>
          <w:p w14:paraId="6A98B8AE">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数量</w:t>
            </w:r>
          </w:p>
        </w:tc>
        <w:tc>
          <w:tcPr>
            <w:tcW w:w="932" w:type="dxa"/>
            <w:noWrap w:val="0"/>
            <w:vAlign w:val="center"/>
          </w:tcPr>
          <w:p w14:paraId="75F60BA3">
            <w:pPr>
              <w:spacing w:line="0" w:lineRule="atLeast"/>
              <w:jc w:val="center"/>
              <w:rPr>
                <w:rFonts w:ascii="宋体" w:hAnsi="宋体" w:eastAsia="宋体" w:cs="Times New Roman"/>
                <w:sz w:val="24"/>
                <w:szCs w:val="24"/>
              </w:rPr>
            </w:pPr>
            <w:r>
              <w:rPr>
                <w:rFonts w:hint="eastAsia" w:ascii="宋体" w:hAnsi="宋体" w:eastAsia="宋体" w:cs="Times New Roman"/>
                <w:sz w:val="24"/>
                <w:szCs w:val="24"/>
              </w:rPr>
              <w:t>分项</w:t>
            </w:r>
          </w:p>
          <w:p w14:paraId="1A6E0673">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单价</w:t>
            </w:r>
          </w:p>
        </w:tc>
        <w:tc>
          <w:tcPr>
            <w:tcW w:w="1136" w:type="dxa"/>
            <w:noWrap w:val="0"/>
            <w:vAlign w:val="center"/>
          </w:tcPr>
          <w:p w14:paraId="4E8845B4">
            <w:pPr>
              <w:spacing w:line="0" w:lineRule="atLeast"/>
              <w:jc w:val="center"/>
              <w:rPr>
                <w:rFonts w:ascii="宋体" w:hAnsi="宋体" w:eastAsia="宋体" w:cs="Times New Roman"/>
                <w:sz w:val="24"/>
                <w:szCs w:val="24"/>
              </w:rPr>
            </w:pPr>
            <w:r>
              <w:rPr>
                <w:rFonts w:hint="eastAsia" w:ascii="宋体" w:hAnsi="宋体" w:eastAsia="宋体" w:cs="Times New Roman"/>
                <w:sz w:val="24"/>
                <w:szCs w:val="24"/>
              </w:rPr>
              <w:t>分项</w:t>
            </w:r>
          </w:p>
          <w:p w14:paraId="220D064B">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总价</w:t>
            </w:r>
          </w:p>
        </w:tc>
      </w:tr>
      <w:tr w14:paraId="2D74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500" w:type="dxa"/>
            <w:noWrap w:val="0"/>
            <w:vAlign w:val="center"/>
          </w:tcPr>
          <w:p w14:paraId="77B1FD6F">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052" w:type="dxa"/>
            <w:noWrap w:val="0"/>
            <w:vAlign w:val="center"/>
          </w:tcPr>
          <w:p w14:paraId="5422F84A">
            <w:pPr>
              <w:spacing w:line="0" w:lineRule="atLeast"/>
              <w:jc w:val="center"/>
              <w:rPr>
                <w:rFonts w:hint="eastAsia" w:ascii="宋体" w:hAnsi="宋体" w:eastAsia="宋体" w:cs="Times New Roman"/>
                <w:sz w:val="24"/>
                <w:szCs w:val="24"/>
              </w:rPr>
            </w:pPr>
          </w:p>
        </w:tc>
        <w:tc>
          <w:tcPr>
            <w:tcW w:w="814" w:type="dxa"/>
            <w:noWrap w:val="0"/>
            <w:vAlign w:val="center"/>
          </w:tcPr>
          <w:p w14:paraId="56ED7659">
            <w:pPr>
              <w:spacing w:line="0" w:lineRule="atLeast"/>
              <w:jc w:val="center"/>
              <w:rPr>
                <w:rFonts w:hint="eastAsia" w:ascii="宋体" w:hAnsi="宋体" w:eastAsia="宋体" w:cs="Times New Roman"/>
                <w:sz w:val="24"/>
                <w:szCs w:val="24"/>
              </w:rPr>
            </w:pPr>
          </w:p>
        </w:tc>
        <w:tc>
          <w:tcPr>
            <w:tcW w:w="1072" w:type="dxa"/>
            <w:noWrap w:val="0"/>
            <w:vAlign w:val="center"/>
          </w:tcPr>
          <w:p w14:paraId="6BCD94D6">
            <w:pPr>
              <w:spacing w:line="0" w:lineRule="atLeast"/>
              <w:jc w:val="center"/>
              <w:rPr>
                <w:rFonts w:hint="eastAsia" w:ascii="宋体" w:hAnsi="宋体" w:eastAsia="宋体" w:cs="Times New Roman"/>
                <w:sz w:val="24"/>
                <w:szCs w:val="24"/>
              </w:rPr>
            </w:pPr>
          </w:p>
        </w:tc>
        <w:tc>
          <w:tcPr>
            <w:tcW w:w="1617" w:type="dxa"/>
            <w:noWrap w:val="0"/>
            <w:vAlign w:val="center"/>
          </w:tcPr>
          <w:p w14:paraId="0B05FE9C">
            <w:pPr>
              <w:spacing w:line="0" w:lineRule="atLeast"/>
              <w:jc w:val="center"/>
              <w:rPr>
                <w:rFonts w:hint="eastAsia" w:ascii="宋体" w:hAnsi="宋体" w:eastAsia="宋体" w:cs="Times New Roman"/>
                <w:sz w:val="24"/>
                <w:szCs w:val="24"/>
              </w:rPr>
            </w:pPr>
          </w:p>
        </w:tc>
        <w:tc>
          <w:tcPr>
            <w:tcW w:w="1233" w:type="dxa"/>
            <w:noWrap w:val="0"/>
            <w:vAlign w:val="center"/>
          </w:tcPr>
          <w:p w14:paraId="2DD8F7E3">
            <w:pPr>
              <w:spacing w:line="0" w:lineRule="atLeast"/>
              <w:jc w:val="center"/>
              <w:rPr>
                <w:rFonts w:hint="eastAsia" w:ascii="宋体" w:hAnsi="宋体" w:eastAsia="宋体" w:cs="Times New Roman"/>
                <w:sz w:val="24"/>
                <w:szCs w:val="24"/>
              </w:rPr>
            </w:pPr>
          </w:p>
        </w:tc>
        <w:tc>
          <w:tcPr>
            <w:tcW w:w="921" w:type="dxa"/>
            <w:noWrap w:val="0"/>
            <w:vAlign w:val="center"/>
          </w:tcPr>
          <w:p w14:paraId="4EF62FFD">
            <w:pPr>
              <w:spacing w:line="0" w:lineRule="atLeast"/>
              <w:jc w:val="center"/>
              <w:rPr>
                <w:rFonts w:hint="eastAsia" w:ascii="宋体" w:hAnsi="宋体" w:eastAsia="宋体" w:cs="Times New Roman"/>
                <w:sz w:val="24"/>
                <w:szCs w:val="24"/>
              </w:rPr>
            </w:pPr>
          </w:p>
        </w:tc>
        <w:tc>
          <w:tcPr>
            <w:tcW w:w="932" w:type="dxa"/>
            <w:noWrap w:val="0"/>
            <w:vAlign w:val="center"/>
          </w:tcPr>
          <w:p w14:paraId="17901796">
            <w:pPr>
              <w:spacing w:line="0" w:lineRule="atLeast"/>
              <w:jc w:val="center"/>
              <w:rPr>
                <w:rFonts w:hint="eastAsia" w:ascii="宋体" w:hAnsi="宋体" w:eastAsia="宋体" w:cs="Times New Roman"/>
                <w:sz w:val="24"/>
                <w:szCs w:val="24"/>
              </w:rPr>
            </w:pPr>
          </w:p>
        </w:tc>
        <w:tc>
          <w:tcPr>
            <w:tcW w:w="1136" w:type="dxa"/>
            <w:noWrap w:val="0"/>
            <w:vAlign w:val="center"/>
          </w:tcPr>
          <w:p w14:paraId="5DD9B58E">
            <w:pPr>
              <w:spacing w:line="0" w:lineRule="atLeast"/>
              <w:jc w:val="center"/>
              <w:rPr>
                <w:rFonts w:hint="eastAsia" w:ascii="宋体" w:hAnsi="宋体" w:eastAsia="宋体" w:cs="Times New Roman"/>
                <w:sz w:val="24"/>
                <w:szCs w:val="24"/>
              </w:rPr>
            </w:pPr>
          </w:p>
        </w:tc>
      </w:tr>
      <w:tr w14:paraId="7CFC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00" w:type="dxa"/>
            <w:noWrap w:val="0"/>
            <w:vAlign w:val="center"/>
          </w:tcPr>
          <w:p w14:paraId="2DB1042E">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052" w:type="dxa"/>
            <w:noWrap w:val="0"/>
            <w:vAlign w:val="center"/>
          </w:tcPr>
          <w:p w14:paraId="1C7F4D12">
            <w:pPr>
              <w:spacing w:line="0" w:lineRule="atLeast"/>
              <w:jc w:val="center"/>
              <w:rPr>
                <w:rFonts w:hint="eastAsia" w:ascii="宋体" w:hAnsi="宋体" w:eastAsia="宋体" w:cs="Times New Roman"/>
                <w:sz w:val="24"/>
                <w:szCs w:val="24"/>
              </w:rPr>
            </w:pPr>
          </w:p>
        </w:tc>
        <w:tc>
          <w:tcPr>
            <w:tcW w:w="814" w:type="dxa"/>
            <w:noWrap w:val="0"/>
            <w:vAlign w:val="center"/>
          </w:tcPr>
          <w:p w14:paraId="07722BF6">
            <w:pPr>
              <w:spacing w:line="0" w:lineRule="atLeast"/>
              <w:jc w:val="center"/>
              <w:rPr>
                <w:rFonts w:hint="eastAsia" w:ascii="宋体" w:hAnsi="宋体" w:eastAsia="宋体" w:cs="Times New Roman"/>
                <w:sz w:val="24"/>
                <w:szCs w:val="24"/>
              </w:rPr>
            </w:pPr>
          </w:p>
        </w:tc>
        <w:tc>
          <w:tcPr>
            <w:tcW w:w="1072" w:type="dxa"/>
            <w:noWrap w:val="0"/>
            <w:vAlign w:val="center"/>
          </w:tcPr>
          <w:p w14:paraId="7BA0A88F">
            <w:pPr>
              <w:spacing w:line="0" w:lineRule="atLeast"/>
              <w:jc w:val="center"/>
              <w:rPr>
                <w:rFonts w:hint="eastAsia" w:ascii="宋体" w:hAnsi="宋体" w:eastAsia="宋体" w:cs="Times New Roman"/>
                <w:sz w:val="24"/>
                <w:szCs w:val="24"/>
              </w:rPr>
            </w:pPr>
          </w:p>
        </w:tc>
        <w:tc>
          <w:tcPr>
            <w:tcW w:w="1617" w:type="dxa"/>
            <w:noWrap w:val="0"/>
            <w:vAlign w:val="center"/>
          </w:tcPr>
          <w:p w14:paraId="27D94BA1">
            <w:pPr>
              <w:spacing w:line="0" w:lineRule="atLeast"/>
              <w:jc w:val="center"/>
              <w:rPr>
                <w:rFonts w:hint="eastAsia" w:ascii="宋体" w:hAnsi="宋体" w:eastAsia="宋体" w:cs="Times New Roman"/>
                <w:sz w:val="24"/>
                <w:szCs w:val="24"/>
              </w:rPr>
            </w:pPr>
          </w:p>
        </w:tc>
        <w:tc>
          <w:tcPr>
            <w:tcW w:w="1233" w:type="dxa"/>
            <w:noWrap w:val="0"/>
            <w:vAlign w:val="top"/>
          </w:tcPr>
          <w:p w14:paraId="12ED7E1E">
            <w:pPr>
              <w:spacing w:line="0" w:lineRule="atLeast"/>
              <w:jc w:val="center"/>
              <w:rPr>
                <w:rFonts w:hint="eastAsia" w:ascii="宋体" w:hAnsi="宋体" w:eastAsia="宋体" w:cs="Times New Roman"/>
                <w:sz w:val="24"/>
                <w:szCs w:val="24"/>
              </w:rPr>
            </w:pPr>
          </w:p>
        </w:tc>
        <w:tc>
          <w:tcPr>
            <w:tcW w:w="921" w:type="dxa"/>
            <w:noWrap w:val="0"/>
            <w:vAlign w:val="center"/>
          </w:tcPr>
          <w:p w14:paraId="5926AC04">
            <w:pPr>
              <w:spacing w:line="0" w:lineRule="atLeast"/>
              <w:jc w:val="center"/>
              <w:rPr>
                <w:rFonts w:hint="eastAsia" w:ascii="宋体" w:hAnsi="宋体" w:eastAsia="宋体" w:cs="Times New Roman"/>
                <w:sz w:val="24"/>
                <w:szCs w:val="24"/>
                <w:u w:val="single"/>
              </w:rPr>
            </w:pPr>
          </w:p>
        </w:tc>
        <w:tc>
          <w:tcPr>
            <w:tcW w:w="932" w:type="dxa"/>
            <w:noWrap w:val="0"/>
            <w:vAlign w:val="center"/>
          </w:tcPr>
          <w:p w14:paraId="0A1F4A24">
            <w:pPr>
              <w:spacing w:line="0" w:lineRule="atLeast"/>
              <w:jc w:val="center"/>
              <w:rPr>
                <w:rFonts w:hint="eastAsia" w:ascii="宋体" w:hAnsi="宋体" w:eastAsia="宋体" w:cs="Times New Roman"/>
                <w:sz w:val="24"/>
                <w:szCs w:val="24"/>
              </w:rPr>
            </w:pPr>
          </w:p>
        </w:tc>
        <w:tc>
          <w:tcPr>
            <w:tcW w:w="1136" w:type="dxa"/>
            <w:noWrap w:val="0"/>
            <w:vAlign w:val="center"/>
          </w:tcPr>
          <w:p w14:paraId="4361F3DB">
            <w:pPr>
              <w:spacing w:line="0" w:lineRule="atLeast"/>
              <w:jc w:val="center"/>
              <w:rPr>
                <w:rFonts w:hint="eastAsia" w:ascii="宋体" w:hAnsi="宋体" w:eastAsia="宋体" w:cs="Times New Roman"/>
                <w:sz w:val="24"/>
                <w:szCs w:val="24"/>
              </w:rPr>
            </w:pPr>
          </w:p>
        </w:tc>
      </w:tr>
      <w:tr w14:paraId="5F99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500" w:type="dxa"/>
            <w:noWrap w:val="0"/>
            <w:vAlign w:val="center"/>
          </w:tcPr>
          <w:p w14:paraId="6ED87DFA">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1052" w:type="dxa"/>
            <w:noWrap w:val="0"/>
            <w:vAlign w:val="center"/>
          </w:tcPr>
          <w:p w14:paraId="7E5D48B3">
            <w:pPr>
              <w:spacing w:line="0" w:lineRule="atLeast"/>
              <w:jc w:val="center"/>
              <w:rPr>
                <w:rFonts w:hint="eastAsia" w:ascii="宋体" w:hAnsi="宋体" w:eastAsia="宋体" w:cs="Times New Roman"/>
                <w:sz w:val="24"/>
                <w:szCs w:val="24"/>
              </w:rPr>
            </w:pPr>
          </w:p>
        </w:tc>
        <w:tc>
          <w:tcPr>
            <w:tcW w:w="814" w:type="dxa"/>
            <w:noWrap w:val="0"/>
            <w:vAlign w:val="center"/>
          </w:tcPr>
          <w:p w14:paraId="1D9E26FD">
            <w:pPr>
              <w:spacing w:line="0" w:lineRule="atLeast"/>
              <w:jc w:val="center"/>
              <w:rPr>
                <w:rFonts w:hint="eastAsia" w:ascii="宋体" w:hAnsi="宋体" w:eastAsia="宋体" w:cs="Times New Roman"/>
                <w:sz w:val="24"/>
                <w:szCs w:val="24"/>
              </w:rPr>
            </w:pPr>
          </w:p>
        </w:tc>
        <w:tc>
          <w:tcPr>
            <w:tcW w:w="1072" w:type="dxa"/>
            <w:noWrap w:val="0"/>
            <w:vAlign w:val="center"/>
          </w:tcPr>
          <w:p w14:paraId="23A3FC31">
            <w:pPr>
              <w:spacing w:line="0" w:lineRule="atLeast"/>
              <w:jc w:val="center"/>
              <w:rPr>
                <w:rFonts w:hint="eastAsia" w:ascii="宋体" w:hAnsi="宋体" w:eastAsia="宋体" w:cs="Times New Roman"/>
                <w:sz w:val="24"/>
                <w:szCs w:val="24"/>
              </w:rPr>
            </w:pPr>
          </w:p>
        </w:tc>
        <w:tc>
          <w:tcPr>
            <w:tcW w:w="1617" w:type="dxa"/>
            <w:noWrap w:val="0"/>
            <w:vAlign w:val="center"/>
          </w:tcPr>
          <w:p w14:paraId="72584CEB">
            <w:pPr>
              <w:spacing w:line="0" w:lineRule="atLeast"/>
              <w:jc w:val="center"/>
              <w:rPr>
                <w:rFonts w:hint="eastAsia" w:ascii="宋体" w:hAnsi="宋体" w:eastAsia="宋体" w:cs="Times New Roman"/>
                <w:sz w:val="24"/>
                <w:szCs w:val="24"/>
              </w:rPr>
            </w:pPr>
          </w:p>
        </w:tc>
        <w:tc>
          <w:tcPr>
            <w:tcW w:w="1233" w:type="dxa"/>
            <w:noWrap w:val="0"/>
            <w:vAlign w:val="top"/>
          </w:tcPr>
          <w:p w14:paraId="602C79A7">
            <w:pPr>
              <w:spacing w:line="0" w:lineRule="atLeast"/>
              <w:jc w:val="center"/>
              <w:rPr>
                <w:rFonts w:hint="eastAsia" w:ascii="宋体" w:hAnsi="宋体" w:eastAsia="宋体" w:cs="Times New Roman"/>
                <w:sz w:val="24"/>
                <w:szCs w:val="24"/>
              </w:rPr>
            </w:pPr>
          </w:p>
        </w:tc>
        <w:tc>
          <w:tcPr>
            <w:tcW w:w="921" w:type="dxa"/>
            <w:noWrap w:val="0"/>
            <w:vAlign w:val="center"/>
          </w:tcPr>
          <w:p w14:paraId="68AD69C1">
            <w:pPr>
              <w:spacing w:line="0" w:lineRule="atLeast"/>
              <w:jc w:val="center"/>
              <w:rPr>
                <w:rFonts w:hint="eastAsia" w:ascii="宋体" w:hAnsi="宋体" w:eastAsia="宋体" w:cs="Times New Roman"/>
                <w:sz w:val="24"/>
                <w:szCs w:val="24"/>
              </w:rPr>
            </w:pPr>
          </w:p>
        </w:tc>
        <w:tc>
          <w:tcPr>
            <w:tcW w:w="932" w:type="dxa"/>
            <w:noWrap w:val="0"/>
            <w:vAlign w:val="center"/>
          </w:tcPr>
          <w:p w14:paraId="4850544C">
            <w:pPr>
              <w:spacing w:line="0" w:lineRule="atLeast"/>
              <w:jc w:val="center"/>
              <w:rPr>
                <w:rFonts w:hint="eastAsia" w:ascii="宋体" w:hAnsi="宋体" w:eastAsia="宋体" w:cs="Times New Roman"/>
                <w:sz w:val="24"/>
                <w:szCs w:val="24"/>
              </w:rPr>
            </w:pPr>
          </w:p>
        </w:tc>
        <w:tc>
          <w:tcPr>
            <w:tcW w:w="1136" w:type="dxa"/>
            <w:noWrap w:val="0"/>
            <w:vAlign w:val="center"/>
          </w:tcPr>
          <w:p w14:paraId="1A7F337D">
            <w:pPr>
              <w:spacing w:line="0" w:lineRule="atLeast"/>
              <w:jc w:val="center"/>
              <w:rPr>
                <w:rFonts w:hint="eastAsia" w:ascii="宋体" w:hAnsi="宋体" w:eastAsia="宋体" w:cs="Times New Roman"/>
                <w:sz w:val="24"/>
                <w:szCs w:val="24"/>
              </w:rPr>
            </w:pPr>
          </w:p>
        </w:tc>
      </w:tr>
      <w:tr w14:paraId="52DE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00" w:type="dxa"/>
            <w:noWrap w:val="0"/>
            <w:vAlign w:val="center"/>
          </w:tcPr>
          <w:p w14:paraId="7C81D35A">
            <w:pPr>
              <w:spacing w:line="0" w:lineRule="atLeast"/>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1052" w:type="dxa"/>
            <w:noWrap w:val="0"/>
            <w:vAlign w:val="center"/>
          </w:tcPr>
          <w:p w14:paraId="3F87023F">
            <w:pPr>
              <w:spacing w:line="0" w:lineRule="atLeast"/>
              <w:jc w:val="center"/>
              <w:rPr>
                <w:rFonts w:hint="eastAsia" w:ascii="宋体" w:hAnsi="宋体" w:eastAsia="宋体" w:cs="Times New Roman"/>
                <w:sz w:val="24"/>
                <w:szCs w:val="24"/>
              </w:rPr>
            </w:pPr>
          </w:p>
        </w:tc>
        <w:tc>
          <w:tcPr>
            <w:tcW w:w="814" w:type="dxa"/>
            <w:noWrap w:val="0"/>
            <w:vAlign w:val="center"/>
          </w:tcPr>
          <w:p w14:paraId="4366456A">
            <w:pPr>
              <w:spacing w:line="0" w:lineRule="atLeast"/>
              <w:jc w:val="center"/>
              <w:rPr>
                <w:rFonts w:hint="eastAsia" w:ascii="宋体" w:hAnsi="宋体" w:eastAsia="宋体" w:cs="Times New Roman"/>
                <w:sz w:val="24"/>
                <w:szCs w:val="24"/>
              </w:rPr>
            </w:pPr>
          </w:p>
        </w:tc>
        <w:tc>
          <w:tcPr>
            <w:tcW w:w="1072" w:type="dxa"/>
            <w:noWrap w:val="0"/>
            <w:vAlign w:val="center"/>
          </w:tcPr>
          <w:p w14:paraId="49CF624B">
            <w:pPr>
              <w:spacing w:line="0" w:lineRule="atLeast"/>
              <w:jc w:val="center"/>
              <w:rPr>
                <w:rFonts w:hint="eastAsia" w:ascii="宋体" w:hAnsi="宋体" w:eastAsia="宋体" w:cs="Times New Roman"/>
                <w:sz w:val="24"/>
                <w:szCs w:val="24"/>
              </w:rPr>
            </w:pPr>
          </w:p>
        </w:tc>
        <w:tc>
          <w:tcPr>
            <w:tcW w:w="1617" w:type="dxa"/>
            <w:noWrap w:val="0"/>
            <w:vAlign w:val="center"/>
          </w:tcPr>
          <w:p w14:paraId="3C4DA57E">
            <w:pPr>
              <w:spacing w:line="0" w:lineRule="atLeast"/>
              <w:jc w:val="center"/>
              <w:rPr>
                <w:rFonts w:hint="eastAsia" w:ascii="宋体" w:hAnsi="宋体" w:eastAsia="宋体" w:cs="Times New Roman"/>
                <w:sz w:val="24"/>
                <w:szCs w:val="24"/>
              </w:rPr>
            </w:pPr>
          </w:p>
        </w:tc>
        <w:tc>
          <w:tcPr>
            <w:tcW w:w="1233" w:type="dxa"/>
            <w:noWrap w:val="0"/>
            <w:vAlign w:val="top"/>
          </w:tcPr>
          <w:p w14:paraId="52AABC3B">
            <w:pPr>
              <w:spacing w:line="0" w:lineRule="atLeast"/>
              <w:jc w:val="center"/>
              <w:rPr>
                <w:rFonts w:hint="eastAsia" w:ascii="宋体" w:hAnsi="宋体" w:eastAsia="宋体" w:cs="Times New Roman"/>
                <w:sz w:val="24"/>
                <w:szCs w:val="24"/>
              </w:rPr>
            </w:pPr>
          </w:p>
        </w:tc>
        <w:tc>
          <w:tcPr>
            <w:tcW w:w="921" w:type="dxa"/>
            <w:noWrap w:val="0"/>
            <w:vAlign w:val="center"/>
          </w:tcPr>
          <w:p w14:paraId="6642715D">
            <w:pPr>
              <w:spacing w:line="0" w:lineRule="atLeast"/>
              <w:jc w:val="center"/>
              <w:rPr>
                <w:rFonts w:hint="eastAsia" w:ascii="宋体" w:hAnsi="宋体" w:eastAsia="宋体" w:cs="Times New Roman"/>
                <w:sz w:val="24"/>
                <w:szCs w:val="24"/>
              </w:rPr>
            </w:pPr>
          </w:p>
        </w:tc>
        <w:tc>
          <w:tcPr>
            <w:tcW w:w="932" w:type="dxa"/>
            <w:noWrap w:val="0"/>
            <w:vAlign w:val="center"/>
          </w:tcPr>
          <w:p w14:paraId="62B26DD3">
            <w:pPr>
              <w:spacing w:line="0" w:lineRule="atLeast"/>
              <w:jc w:val="center"/>
              <w:rPr>
                <w:rFonts w:hint="eastAsia" w:ascii="宋体" w:hAnsi="宋体" w:eastAsia="宋体" w:cs="Times New Roman"/>
                <w:sz w:val="24"/>
                <w:szCs w:val="24"/>
              </w:rPr>
            </w:pPr>
          </w:p>
        </w:tc>
        <w:tc>
          <w:tcPr>
            <w:tcW w:w="1136" w:type="dxa"/>
            <w:noWrap w:val="0"/>
            <w:vAlign w:val="center"/>
          </w:tcPr>
          <w:p w14:paraId="11B58541">
            <w:pPr>
              <w:spacing w:line="0" w:lineRule="atLeast"/>
              <w:jc w:val="center"/>
              <w:rPr>
                <w:rFonts w:hint="eastAsia" w:ascii="宋体" w:hAnsi="宋体" w:eastAsia="宋体" w:cs="Times New Roman"/>
                <w:sz w:val="24"/>
                <w:szCs w:val="24"/>
              </w:rPr>
            </w:pPr>
          </w:p>
        </w:tc>
      </w:tr>
      <w:tr w14:paraId="04A2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500" w:type="dxa"/>
            <w:noWrap w:val="0"/>
            <w:vAlign w:val="center"/>
          </w:tcPr>
          <w:p w14:paraId="511F10CB">
            <w:pPr>
              <w:spacing w:line="0" w:lineRule="atLeast"/>
              <w:jc w:val="center"/>
              <w:rPr>
                <w:rFonts w:ascii="宋体" w:hAnsi="宋体" w:eastAsia="宋体" w:cs="Times New Roman"/>
                <w:sz w:val="24"/>
                <w:szCs w:val="24"/>
              </w:rPr>
            </w:pPr>
            <w:r>
              <w:rPr>
                <w:rFonts w:ascii="宋体" w:hAnsi="宋体" w:eastAsia="宋体" w:cs="Times New Roman"/>
                <w:sz w:val="24"/>
                <w:szCs w:val="24"/>
              </w:rPr>
              <w:t>…</w:t>
            </w:r>
          </w:p>
        </w:tc>
        <w:tc>
          <w:tcPr>
            <w:tcW w:w="1052" w:type="dxa"/>
            <w:noWrap w:val="0"/>
            <w:vAlign w:val="center"/>
          </w:tcPr>
          <w:p w14:paraId="4F313FDA">
            <w:pPr>
              <w:spacing w:line="0" w:lineRule="atLeast"/>
              <w:jc w:val="center"/>
              <w:rPr>
                <w:rFonts w:hint="eastAsia" w:ascii="宋体" w:hAnsi="宋体" w:eastAsia="宋体" w:cs="Times New Roman"/>
                <w:sz w:val="24"/>
                <w:szCs w:val="24"/>
              </w:rPr>
            </w:pPr>
            <w:r>
              <w:rPr>
                <w:rFonts w:ascii="宋体" w:hAnsi="宋体" w:eastAsia="宋体" w:cs="Times New Roman"/>
                <w:sz w:val="24"/>
                <w:szCs w:val="24"/>
              </w:rPr>
              <w:t>……</w:t>
            </w:r>
          </w:p>
        </w:tc>
        <w:tc>
          <w:tcPr>
            <w:tcW w:w="814" w:type="dxa"/>
            <w:noWrap w:val="0"/>
            <w:vAlign w:val="center"/>
          </w:tcPr>
          <w:p w14:paraId="6A4186FD">
            <w:pPr>
              <w:spacing w:line="0" w:lineRule="atLeast"/>
              <w:jc w:val="center"/>
              <w:rPr>
                <w:rFonts w:hint="eastAsia" w:ascii="宋体" w:hAnsi="宋体" w:eastAsia="宋体" w:cs="Times New Roman"/>
                <w:sz w:val="24"/>
                <w:szCs w:val="24"/>
              </w:rPr>
            </w:pPr>
          </w:p>
        </w:tc>
        <w:tc>
          <w:tcPr>
            <w:tcW w:w="1072" w:type="dxa"/>
            <w:noWrap w:val="0"/>
            <w:vAlign w:val="center"/>
          </w:tcPr>
          <w:p w14:paraId="1AE1AC8D">
            <w:pPr>
              <w:spacing w:line="0" w:lineRule="atLeast"/>
              <w:jc w:val="center"/>
              <w:rPr>
                <w:rFonts w:hint="eastAsia" w:ascii="宋体" w:hAnsi="宋体" w:eastAsia="宋体" w:cs="Times New Roman"/>
                <w:sz w:val="24"/>
                <w:szCs w:val="24"/>
              </w:rPr>
            </w:pPr>
          </w:p>
        </w:tc>
        <w:tc>
          <w:tcPr>
            <w:tcW w:w="1617" w:type="dxa"/>
            <w:noWrap w:val="0"/>
            <w:vAlign w:val="center"/>
          </w:tcPr>
          <w:p w14:paraId="15C57371">
            <w:pPr>
              <w:spacing w:line="0" w:lineRule="atLeast"/>
              <w:jc w:val="center"/>
              <w:rPr>
                <w:rFonts w:hint="eastAsia" w:ascii="宋体" w:hAnsi="宋体" w:eastAsia="宋体" w:cs="Times New Roman"/>
                <w:sz w:val="24"/>
                <w:szCs w:val="24"/>
              </w:rPr>
            </w:pPr>
          </w:p>
        </w:tc>
        <w:tc>
          <w:tcPr>
            <w:tcW w:w="1233" w:type="dxa"/>
            <w:noWrap w:val="0"/>
            <w:vAlign w:val="top"/>
          </w:tcPr>
          <w:p w14:paraId="1AD9D208">
            <w:pPr>
              <w:spacing w:line="0" w:lineRule="atLeast"/>
              <w:jc w:val="center"/>
              <w:rPr>
                <w:rFonts w:hint="eastAsia" w:ascii="宋体" w:hAnsi="宋体" w:eastAsia="宋体" w:cs="Times New Roman"/>
                <w:sz w:val="24"/>
                <w:szCs w:val="24"/>
              </w:rPr>
            </w:pPr>
          </w:p>
        </w:tc>
        <w:tc>
          <w:tcPr>
            <w:tcW w:w="921" w:type="dxa"/>
            <w:noWrap w:val="0"/>
            <w:vAlign w:val="center"/>
          </w:tcPr>
          <w:p w14:paraId="7C2C559A">
            <w:pPr>
              <w:spacing w:line="0" w:lineRule="atLeast"/>
              <w:jc w:val="center"/>
              <w:rPr>
                <w:rFonts w:hint="eastAsia" w:ascii="宋体" w:hAnsi="宋体" w:eastAsia="宋体" w:cs="Times New Roman"/>
                <w:sz w:val="24"/>
                <w:szCs w:val="24"/>
              </w:rPr>
            </w:pPr>
          </w:p>
        </w:tc>
        <w:tc>
          <w:tcPr>
            <w:tcW w:w="932" w:type="dxa"/>
            <w:noWrap w:val="0"/>
            <w:vAlign w:val="center"/>
          </w:tcPr>
          <w:p w14:paraId="682E728C">
            <w:pPr>
              <w:spacing w:line="0" w:lineRule="atLeast"/>
              <w:jc w:val="center"/>
              <w:rPr>
                <w:rFonts w:hint="eastAsia" w:ascii="宋体" w:hAnsi="宋体" w:eastAsia="宋体" w:cs="Times New Roman"/>
                <w:sz w:val="24"/>
                <w:szCs w:val="24"/>
              </w:rPr>
            </w:pPr>
          </w:p>
        </w:tc>
        <w:tc>
          <w:tcPr>
            <w:tcW w:w="1136" w:type="dxa"/>
            <w:noWrap w:val="0"/>
            <w:vAlign w:val="center"/>
          </w:tcPr>
          <w:p w14:paraId="08AA818D">
            <w:pPr>
              <w:spacing w:line="0" w:lineRule="atLeast"/>
              <w:jc w:val="center"/>
              <w:rPr>
                <w:rFonts w:hint="eastAsia" w:ascii="宋体" w:hAnsi="宋体" w:eastAsia="宋体" w:cs="Times New Roman"/>
                <w:sz w:val="24"/>
                <w:szCs w:val="24"/>
              </w:rPr>
            </w:pPr>
          </w:p>
        </w:tc>
      </w:tr>
      <w:tr w14:paraId="08BC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500" w:type="dxa"/>
            <w:noWrap w:val="0"/>
            <w:vAlign w:val="center"/>
          </w:tcPr>
          <w:p w14:paraId="632FB918">
            <w:pPr>
              <w:spacing w:line="0" w:lineRule="atLeast"/>
              <w:jc w:val="center"/>
              <w:rPr>
                <w:rFonts w:ascii="宋体" w:hAnsi="宋体" w:eastAsia="宋体" w:cs="Times New Roman"/>
                <w:sz w:val="24"/>
                <w:szCs w:val="24"/>
              </w:rPr>
            </w:pPr>
          </w:p>
        </w:tc>
        <w:tc>
          <w:tcPr>
            <w:tcW w:w="1052" w:type="dxa"/>
            <w:noWrap w:val="0"/>
            <w:vAlign w:val="center"/>
          </w:tcPr>
          <w:p w14:paraId="1241041E">
            <w:pPr>
              <w:spacing w:line="0" w:lineRule="atLeast"/>
              <w:jc w:val="center"/>
              <w:rPr>
                <w:rFonts w:ascii="宋体" w:hAnsi="宋体" w:eastAsia="宋体" w:cs="Times New Roman"/>
                <w:sz w:val="24"/>
                <w:szCs w:val="24"/>
              </w:rPr>
            </w:pPr>
          </w:p>
        </w:tc>
        <w:tc>
          <w:tcPr>
            <w:tcW w:w="814" w:type="dxa"/>
            <w:noWrap w:val="0"/>
            <w:vAlign w:val="center"/>
          </w:tcPr>
          <w:p w14:paraId="3320BE41">
            <w:pPr>
              <w:spacing w:line="0" w:lineRule="atLeast"/>
              <w:jc w:val="center"/>
              <w:rPr>
                <w:rFonts w:hint="eastAsia" w:ascii="宋体" w:hAnsi="宋体" w:eastAsia="宋体" w:cs="Times New Roman"/>
                <w:sz w:val="24"/>
                <w:szCs w:val="24"/>
              </w:rPr>
            </w:pPr>
          </w:p>
        </w:tc>
        <w:tc>
          <w:tcPr>
            <w:tcW w:w="1072" w:type="dxa"/>
            <w:noWrap w:val="0"/>
            <w:vAlign w:val="center"/>
          </w:tcPr>
          <w:p w14:paraId="65F3F0FD">
            <w:pPr>
              <w:spacing w:line="0" w:lineRule="atLeast"/>
              <w:jc w:val="center"/>
              <w:rPr>
                <w:rFonts w:hint="eastAsia" w:ascii="宋体" w:hAnsi="宋体" w:eastAsia="宋体" w:cs="Times New Roman"/>
                <w:sz w:val="24"/>
                <w:szCs w:val="24"/>
              </w:rPr>
            </w:pPr>
          </w:p>
        </w:tc>
        <w:tc>
          <w:tcPr>
            <w:tcW w:w="1617" w:type="dxa"/>
            <w:noWrap w:val="0"/>
            <w:vAlign w:val="center"/>
          </w:tcPr>
          <w:p w14:paraId="6E66B35B">
            <w:pPr>
              <w:spacing w:line="0" w:lineRule="atLeast"/>
              <w:jc w:val="center"/>
              <w:rPr>
                <w:rFonts w:hint="eastAsia" w:ascii="宋体" w:hAnsi="宋体" w:eastAsia="宋体" w:cs="Times New Roman"/>
                <w:sz w:val="24"/>
                <w:szCs w:val="24"/>
              </w:rPr>
            </w:pPr>
          </w:p>
        </w:tc>
        <w:tc>
          <w:tcPr>
            <w:tcW w:w="1233" w:type="dxa"/>
            <w:noWrap w:val="0"/>
            <w:vAlign w:val="top"/>
          </w:tcPr>
          <w:p w14:paraId="73D433DF">
            <w:pPr>
              <w:spacing w:line="0" w:lineRule="atLeast"/>
              <w:jc w:val="center"/>
              <w:rPr>
                <w:rFonts w:hint="eastAsia" w:ascii="宋体" w:hAnsi="宋体" w:eastAsia="宋体" w:cs="Times New Roman"/>
                <w:sz w:val="24"/>
                <w:szCs w:val="24"/>
              </w:rPr>
            </w:pPr>
          </w:p>
        </w:tc>
        <w:tc>
          <w:tcPr>
            <w:tcW w:w="921" w:type="dxa"/>
            <w:noWrap w:val="0"/>
            <w:vAlign w:val="center"/>
          </w:tcPr>
          <w:p w14:paraId="690EC987">
            <w:pPr>
              <w:spacing w:line="0" w:lineRule="atLeast"/>
              <w:jc w:val="center"/>
              <w:rPr>
                <w:rFonts w:hint="eastAsia" w:ascii="宋体" w:hAnsi="宋体" w:eastAsia="宋体" w:cs="Times New Roman"/>
                <w:sz w:val="24"/>
                <w:szCs w:val="24"/>
              </w:rPr>
            </w:pPr>
          </w:p>
        </w:tc>
        <w:tc>
          <w:tcPr>
            <w:tcW w:w="932" w:type="dxa"/>
            <w:noWrap w:val="0"/>
            <w:vAlign w:val="center"/>
          </w:tcPr>
          <w:p w14:paraId="568F113F">
            <w:pPr>
              <w:spacing w:line="0" w:lineRule="atLeast"/>
              <w:jc w:val="center"/>
              <w:rPr>
                <w:rFonts w:hint="eastAsia" w:ascii="宋体" w:hAnsi="宋体" w:eastAsia="宋体" w:cs="Times New Roman"/>
                <w:sz w:val="24"/>
                <w:szCs w:val="24"/>
              </w:rPr>
            </w:pPr>
          </w:p>
        </w:tc>
        <w:tc>
          <w:tcPr>
            <w:tcW w:w="1136" w:type="dxa"/>
            <w:noWrap w:val="0"/>
            <w:vAlign w:val="center"/>
          </w:tcPr>
          <w:p w14:paraId="202D26C3">
            <w:pPr>
              <w:spacing w:line="0" w:lineRule="atLeast"/>
              <w:jc w:val="center"/>
              <w:rPr>
                <w:rFonts w:hint="eastAsia" w:ascii="宋体" w:hAnsi="宋体" w:eastAsia="宋体" w:cs="Times New Roman"/>
                <w:sz w:val="24"/>
                <w:szCs w:val="24"/>
              </w:rPr>
            </w:pPr>
          </w:p>
        </w:tc>
      </w:tr>
      <w:tr w14:paraId="3B96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2366" w:type="dxa"/>
            <w:gridSpan w:val="3"/>
            <w:noWrap w:val="0"/>
            <w:vAlign w:val="center"/>
          </w:tcPr>
          <w:p w14:paraId="5CB7C863">
            <w:pPr>
              <w:widowControl w:val="0"/>
              <w:spacing w:line="500" w:lineRule="exact"/>
              <w:jc w:val="center"/>
              <w:rPr>
                <w:rFonts w:hint="eastAsia" w:ascii="宋体" w:hAnsi="宋体" w:eastAsia="宋体" w:cs="Times New Roman"/>
                <w:b/>
                <w:bCs/>
                <w:sz w:val="24"/>
                <w:szCs w:val="22"/>
                <w:lang w:val="en-US" w:eastAsia="zh-CN" w:bidi="ar-SA"/>
              </w:rPr>
            </w:pPr>
            <w:r>
              <w:rPr>
                <w:rFonts w:hint="eastAsia" w:ascii="宋体" w:hAnsi="宋体" w:eastAsia="宋体" w:cs="Times New Roman"/>
                <w:b/>
                <w:bCs/>
                <w:sz w:val="28"/>
                <w:szCs w:val="28"/>
                <w:lang w:val="en-US" w:eastAsia="zh-CN" w:bidi="ar-SA"/>
              </w:rPr>
              <w:t>投标总报价</w:t>
            </w:r>
          </w:p>
        </w:tc>
        <w:tc>
          <w:tcPr>
            <w:tcW w:w="6911" w:type="dxa"/>
            <w:gridSpan w:val="6"/>
            <w:noWrap w:val="0"/>
            <w:vAlign w:val="center"/>
          </w:tcPr>
          <w:p w14:paraId="28562FA3">
            <w:pPr>
              <w:widowControl w:val="0"/>
              <w:spacing w:line="500" w:lineRule="exact"/>
              <w:jc w:val="both"/>
              <w:rPr>
                <w:rFonts w:hint="eastAsia" w:ascii="宋体" w:hAnsi="宋体" w:eastAsia="宋体" w:cs="Times New Roman"/>
                <w:b/>
                <w:bCs/>
                <w:sz w:val="24"/>
                <w:szCs w:val="22"/>
                <w:lang w:val="en-US" w:eastAsia="zh-CN" w:bidi="ar-SA"/>
              </w:rPr>
            </w:pPr>
            <w:r>
              <w:rPr>
                <w:rFonts w:hint="eastAsia" w:ascii="宋体" w:hAnsi="宋体" w:eastAsia="宋体" w:cs="Times New Roman"/>
                <w:b/>
                <w:bCs/>
                <w:sz w:val="24"/>
                <w:szCs w:val="22"/>
                <w:lang w:val="en-US" w:eastAsia="zh-CN" w:bidi="ar-SA"/>
              </w:rPr>
              <w:t>￥</w:t>
            </w:r>
            <w:r>
              <w:rPr>
                <w:rFonts w:hint="eastAsia" w:ascii="宋体" w:hAnsi="宋体" w:eastAsia="宋体" w:cs="Times New Roman"/>
                <w:sz w:val="24"/>
                <w:szCs w:val="22"/>
                <w:lang w:val="en-US" w:eastAsia="zh-CN" w:bidi="ar-SA"/>
              </w:rPr>
              <w:t xml:space="preserve">  </w:t>
            </w:r>
            <w:r>
              <w:rPr>
                <w:rFonts w:hint="eastAsia" w:ascii="宋体" w:hAnsi="宋体" w:eastAsia="宋体" w:cs="Times New Roman"/>
                <w:sz w:val="24"/>
                <w:szCs w:val="22"/>
                <w:u w:val="single"/>
                <w:lang w:val="en-US" w:eastAsia="zh-CN" w:bidi="ar-SA"/>
              </w:rPr>
              <w:t xml:space="preserve">              </w:t>
            </w:r>
            <w:r>
              <w:rPr>
                <w:rFonts w:hint="eastAsia" w:ascii="宋体" w:hAnsi="宋体" w:eastAsia="宋体" w:cs="Times New Roman"/>
                <w:sz w:val="24"/>
                <w:szCs w:val="22"/>
                <w:lang w:val="en-US" w:eastAsia="zh-CN" w:bidi="ar-SA"/>
              </w:rPr>
              <w:t xml:space="preserve">                 </w:t>
            </w:r>
          </w:p>
          <w:p w14:paraId="1120484B">
            <w:pPr>
              <w:widowControl w:val="0"/>
              <w:spacing w:line="500" w:lineRule="exact"/>
              <w:jc w:val="both"/>
              <w:rPr>
                <w:rFonts w:hint="eastAsia" w:ascii="宋体" w:hAnsi="宋体" w:eastAsia="宋体" w:cs="Times New Roman"/>
                <w:b/>
                <w:bCs/>
                <w:sz w:val="24"/>
                <w:szCs w:val="22"/>
                <w:lang w:val="en-US" w:eastAsia="zh-CN" w:bidi="ar-SA"/>
              </w:rPr>
            </w:pPr>
            <w:r>
              <w:rPr>
                <w:rFonts w:hint="eastAsia" w:ascii="宋体" w:hAnsi="宋体" w:eastAsia="宋体" w:cs="Times New Roman"/>
                <w:b/>
                <w:bCs/>
                <w:sz w:val="24"/>
                <w:szCs w:val="22"/>
                <w:lang w:val="en-US" w:eastAsia="zh-CN" w:bidi="ar-SA"/>
              </w:rPr>
              <w:t>人民币（大写）：</w:t>
            </w:r>
            <w:r>
              <w:rPr>
                <w:rFonts w:hint="eastAsia" w:ascii="宋体" w:hAnsi="宋体" w:eastAsia="宋体" w:cs="Times New Roman"/>
                <w:sz w:val="24"/>
                <w:szCs w:val="22"/>
                <w:u w:val="single"/>
                <w:lang w:val="en-US" w:eastAsia="zh-CN" w:bidi="ar-SA"/>
              </w:rPr>
              <w:t xml:space="preserve">     </w:t>
            </w:r>
            <w:r>
              <w:rPr>
                <w:rFonts w:hint="eastAsia" w:ascii="宋体" w:hAnsi="宋体" w:eastAsia="宋体" w:cs="Times New Roman"/>
                <w:bCs/>
                <w:sz w:val="24"/>
                <w:szCs w:val="22"/>
                <w:lang w:val="en-US" w:eastAsia="zh-CN" w:bidi="ar-SA"/>
              </w:rPr>
              <w:t>佰</w:t>
            </w:r>
            <w:r>
              <w:rPr>
                <w:rFonts w:hint="eastAsia" w:ascii="宋体" w:hAnsi="宋体" w:eastAsia="宋体" w:cs="Times New Roman"/>
                <w:sz w:val="24"/>
                <w:szCs w:val="22"/>
                <w:u w:val="single"/>
                <w:lang w:val="en-US" w:eastAsia="zh-CN" w:bidi="ar-SA"/>
              </w:rPr>
              <w:t xml:space="preserve">    </w:t>
            </w:r>
            <w:r>
              <w:rPr>
                <w:rFonts w:hint="eastAsia" w:ascii="宋体" w:hAnsi="宋体" w:eastAsia="宋体" w:cs="Times New Roman"/>
                <w:bCs/>
                <w:sz w:val="24"/>
                <w:szCs w:val="22"/>
                <w:lang w:val="en-US" w:eastAsia="zh-CN" w:bidi="ar-SA"/>
              </w:rPr>
              <w:t>拾</w:t>
            </w:r>
            <w:r>
              <w:rPr>
                <w:rFonts w:hint="eastAsia" w:ascii="宋体" w:hAnsi="宋体" w:eastAsia="宋体" w:cs="Times New Roman"/>
                <w:sz w:val="24"/>
                <w:szCs w:val="22"/>
                <w:u w:val="single"/>
                <w:lang w:val="en-US" w:eastAsia="zh-CN" w:bidi="ar-SA"/>
              </w:rPr>
              <w:t xml:space="preserve">    </w:t>
            </w:r>
            <w:r>
              <w:rPr>
                <w:rFonts w:hint="eastAsia" w:ascii="宋体" w:hAnsi="宋体" w:eastAsia="宋体" w:cs="Times New Roman"/>
                <w:bCs/>
                <w:sz w:val="24"/>
                <w:szCs w:val="22"/>
                <w:lang w:val="en-US" w:eastAsia="zh-CN" w:bidi="ar-SA"/>
              </w:rPr>
              <w:t xml:space="preserve"> 万</w:t>
            </w:r>
            <w:r>
              <w:rPr>
                <w:rFonts w:hint="eastAsia" w:ascii="宋体" w:hAnsi="宋体" w:eastAsia="宋体" w:cs="Times New Roman"/>
                <w:bCs/>
                <w:sz w:val="24"/>
                <w:szCs w:val="22"/>
                <w:u w:val="single"/>
                <w:lang w:val="en-US" w:eastAsia="zh-CN" w:bidi="ar-SA"/>
              </w:rPr>
              <w:t xml:space="preserve">    </w:t>
            </w:r>
            <w:r>
              <w:rPr>
                <w:rFonts w:hint="eastAsia" w:ascii="宋体" w:hAnsi="宋体" w:eastAsia="宋体" w:cs="Times New Roman"/>
                <w:bCs/>
                <w:sz w:val="24"/>
                <w:szCs w:val="22"/>
                <w:lang w:val="en-US" w:eastAsia="zh-CN" w:bidi="ar-SA"/>
              </w:rPr>
              <w:t>仟</w:t>
            </w:r>
            <w:r>
              <w:rPr>
                <w:rFonts w:hint="eastAsia" w:ascii="宋体" w:hAnsi="宋体" w:eastAsia="宋体" w:cs="Times New Roman"/>
                <w:sz w:val="24"/>
                <w:szCs w:val="22"/>
                <w:u w:val="single"/>
                <w:lang w:val="en-US" w:eastAsia="zh-CN" w:bidi="ar-SA"/>
              </w:rPr>
              <w:t xml:space="preserve">      </w:t>
            </w:r>
            <w:r>
              <w:rPr>
                <w:rFonts w:hint="eastAsia" w:ascii="宋体" w:hAnsi="宋体" w:eastAsia="宋体" w:cs="Times New Roman"/>
                <w:bCs/>
                <w:sz w:val="24"/>
                <w:szCs w:val="22"/>
                <w:lang w:val="en-US" w:eastAsia="zh-CN" w:bidi="ar-SA"/>
              </w:rPr>
              <w:t>佰</w:t>
            </w:r>
            <w:r>
              <w:rPr>
                <w:rFonts w:hint="eastAsia" w:ascii="宋体" w:hAnsi="宋体" w:eastAsia="宋体" w:cs="Times New Roman"/>
                <w:sz w:val="24"/>
                <w:szCs w:val="22"/>
                <w:u w:val="single"/>
                <w:lang w:val="en-US" w:eastAsia="zh-CN" w:bidi="ar-SA"/>
              </w:rPr>
              <w:t xml:space="preserve">      </w:t>
            </w:r>
            <w:r>
              <w:rPr>
                <w:rFonts w:hint="eastAsia" w:ascii="宋体" w:hAnsi="宋体" w:eastAsia="宋体" w:cs="Times New Roman"/>
                <w:bCs/>
                <w:sz w:val="24"/>
                <w:szCs w:val="22"/>
                <w:lang w:val="en-US" w:eastAsia="zh-CN" w:bidi="ar-SA"/>
              </w:rPr>
              <w:t>拾</w:t>
            </w:r>
            <w:r>
              <w:rPr>
                <w:rFonts w:hint="eastAsia" w:ascii="宋体" w:hAnsi="宋体" w:eastAsia="宋体" w:cs="Times New Roman"/>
                <w:sz w:val="24"/>
                <w:szCs w:val="22"/>
                <w:u w:val="single"/>
                <w:lang w:val="en-US" w:eastAsia="zh-CN" w:bidi="ar-SA"/>
              </w:rPr>
              <w:t xml:space="preserve">     </w:t>
            </w:r>
            <w:r>
              <w:rPr>
                <w:rFonts w:hint="eastAsia" w:ascii="宋体" w:hAnsi="宋体" w:eastAsia="宋体" w:cs="Times New Roman"/>
                <w:bCs/>
                <w:sz w:val="24"/>
                <w:szCs w:val="22"/>
                <w:lang w:val="en-US" w:eastAsia="zh-CN" w:bidi="ar-SA"/>
              </w:rPr>
              <w:t>元</w:t>
            </w:r>
            <w:r>
              <w:rPr>
                <w:rFonts w:hint="eastAsia" w:ascii="宋体" w:hAnsi="宋体" w:eastAsia="宋体" w:cs="Times New Roman"/>
                <w:sz w:val="24"/>
                <w:szCs w:val="22"/>
                <w:u w:val="single"/>
                <w:lang w:val="en-US" w:eastAsia="zh-CN" w:bidi="ar-SA"/>
              </w:rPr>
              <w:t xml:space="preserve">      </w:t>
            </w:r>
            <w:r>
              <w:rPr>
                <w:rFonts w:hint="eastAsia" w:ascii="宋体" w:hAnsi="宋体" w:eastAsia="宋体" w:cs="Times New Roman"/>
                <w:bCs/>
                <w:sz w:val="24"/>
                <w:szCs w:val="22"/>
                <w:lang w:val="en-US" w:eastAsia="zh-CN" w:bidi="ar-SA"/>
              </w:rPr>
              <w:t>角</w:t>
            </w:r>
            <w:r>
              <w:rPr>
                <w:rFonts w:hint="eastAsia" w:ascii="宋体" w:hAnsi="宋体" w:eastAsia="宋体" w:cs="Times New Roman"/>
                <w:sz w:val="24"/>
                <w:szCs w:val="22"/>
                <w:u w:val="single"/>
                <w:lang w:val="en-US" w:eastAsia="zh-CN" w:bidi="ar-SA"/>
              </w:rPr>
              <w:t xml:space="preserve">      </w:t>
            </w:r>
            <w:r>
              <w:rPr>
                <w:rFonts w:hint="eastAsia" w:ascii="宋体" w:hAnsi="宋体" w:eastAsia="宋体" w:cs="Times New Roman"/>
                <w:bCs/>
                <w:sz w:val="24"/>
                <w:szCs w:val="22"/>
                <w:lang w:val="en-US" w:eastAsia="zh-CN" w:bidi="ar-SA"/>
              </w:rPr>
              <w:t>分</w:t>
            </w:r>
          </w:p>
        </w:tc>
      </w:tr>
      <w:tr w14:paraId="1C0D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9277" w:type="dxa"/>
            <w:gridSpan w:val="9"/>
            <w:noWrap w:val="0"/>
            <w:vAlign w:val="top"/>
          </w:tcPr>
          <w:p w14:paraId="5E8A4877">
            <w:pPr>
              <w:widowControl/>
              <w:spacing w:before="0" w:beforeAutospacing="0" w:after="0" w:afterAutospacing="0" w:line="0" w:lineRule="atLeast"/>
              <w:jc w:val="left"/>
              <w:rPr>
                <w:rFonts w:hint="eastAsia" w:ascii="宋体" w:hAnsi="宋体" w:eastAsia="宋体" w:cs="宋体"/>
                <w:sz w:val="24"/>
                <w:szCs w:val="24"/>
                <w:lang w:val="en-US" w:eastAsia="zh-CN" w:bidi="ar-SA"/>
              </w:rPr>
            </w:pPr>
            <w:r>
              <w:rPr>
                <w:rFonts w:hint="eastAsia" w:ascii="方正魏碑_GBK" w:hAnsi="方正魏碑_GBK" w:eastAsia="方正魏碑_GBK" w:cs="方正魏碑_GBK"/>
                <w:color w:val="FF0000"/>
                <w:sz w:val="28"/>
                <w:szCs w:val="28"/>
                <w:lang w:val="en-US" w:eastAsia="zh-CN" w:bidi="ar-SA"/>
              </w:rPr>
              <w:t>本采购包中提供的符合本国产品标准的产品成本之和占该采购包提供的全部产品成本之和的比例为</w:t>
            </w:r>
            <w:r>
              <w:rPr>
                <w:rFonts w:hint="eastAsia" w:ascii="方正魏碑_GBK" w:hAnsi="方正魏碑_GBK" w:eastAsia="方正魏碑_GBK" w:cs="方正魏碑_GBK"/>
                <w:color w:val="FF0000"/>
                <w:sz w:val="28"/>
                <w:szCs w:val="28"/>
                <w:u w:val="single"/>
                <w:lang w:val="en-US" w:eastAsia="zh-CN" w:bidi="ar-SA"/>
              </w:rPr>
              <w:t>***</w:t>
            </w:r>
            <w:r>
              <w:rPr>
                <w:rFonts w:hint="eastAsia" w:ascii="方正魏碑_GBK" w:hAnsi="方正魏碑_GBK" w:eastAsia="方正魏碑_GBK" w:cs="方正魏碑_GBK"/>
                <w:color w:val="FF0000"/>
                <w:sz w:val="28"/>
                <w:szCs w:val="28"/>
                <w:lang w:val="en-US" w:eastAsia="zh-CN" w:bidi="ar-SA"/>
              </w:rPr>
              <w:t>%。</w:t>
            </w:r>
          </w:p>
        </w:tc>
      </w:tr>
    </w:tbl>
    <w:p w14:paraId="3324B3C8">
      <w:pPr>
        <w:spacing w:line="400" w:lineRule="exact"/>
        <w:rPr>
          <w:rFonts w:ascii="宋体" w:hAnsi="宋体"/>
          <w:sz w:val="24"/>
          <w:szCs w:val="24"/>
        </w:rPr>
      </w:pPr>
      <w:r>
        <w:rPr>
          <w:rFonts w:hint="eastAsia" w:ascii="宋体" w:hAnsi="宋体"/>
          <w:sz w:val="24"/>
          <w:szCs w:val="24"/>
        </w:rPr>
        <w:t>备注：</w:t>
      </w:r>
    </w:p>
    <w:p w14:paraId="53F101E5">
      <w:pPr>
        <w:numPr>
          <w:ilvl w:val="0"/>
          <w:numId w:val="5"/>
        </w:numPr>
        <w:spacing w:line="400" w:lineRule="exact"/>
        <w:ind w:firstLine="480" w:firstLineChars="200"/>
        <w:rPr>
          <w:sz w:val="24"/>
        </w:rPr>
      </w:pPr>
      <w:r>
        <w:rPr>
          <w:rFonts w:hint="eastAsia"/>
          <w:sz w:val="24"/>
          <w:szCs w:val="24"/>
        </w:rPr>
        <w:t>投标报价</w:t>
      </w:r>
      <w:r>
        <w:rPr>
          <w:rFonts w:hint="eastAsia"/>
          <w:sz w:val="24"/>
        </w:rPr>
        <w:t>采用总承包方式，“投标总报价”应包括货款、标准附件、备品备件（如有）、专用工具（如有）、测试验收费、培训费、包装、运输、装卸、保险、税金等完成本项目所涉及到的一切相关费用。</w:t>
      </w:r>
    </w:p>
    <w:p w14:paraId="0BDF0C5E">
      <w:pPr>
        <w:spacing w:line="400" w:lineRule="exact"/>
        <w:ind w:firstLine="480" w:firstLineChars="200"/>
        <w:rPr>
          <w:sz w:val="24"/>
        </w:rPr>
      </w:pPr>
      <w:r>
        <w:rPr>
          <w:rFonts w:hint="eastAsia"/>
          <w:sz w:val="24"/>
        </w:rPr>
        <w:t>2.“分项报价表”中“投标总报价”数额应当与“开标一览表”中“投标总报价”数额一致。</w:t>
      </w:r>
    </w:p>
    <w:p w14:paraId="3E53C4E2">
      <w:pPr>
        <w:spacing w:line="400" w:lineRule="exact"/>
        <w:ind w:firstLine="480" w:firstLineChars="200"/>
        <w:rPr>
          <w:rFonts w:eastAsia="黑体"/>
          <w:sz w:val="32"/>
          <w:szCs w:val="32"/>
        </w:rPr>
      </w:pPr>
      <w:r>
        <w:rPr>
          <w:rFonts w:hint="eastAsia" w:cs="方正魏碑_GBK"/>
          <w:sz w:val="24"/>
          <w:szCs w:val="28"/>
        </w:rPr>
        <w:t>3</w:t>
      </w:r>
      <w:r>
        <w:rPr>
          <w:rFonts w:cs="方正魏碑_GBK"/>
          <w:sz w:val="24"/>
          <w:szCs w:val="28"/>
        </w:rPr>
        <w:t>.</w:t>
      </w:r>
      <w:r>
        <w:rPr>
          <w:rFonts w:hint="eastAsia" w:cs="方正魏碑_GBK"/>
          <w:sz w:val="24"/>
          <w:szCs w:val="28"/>
        </w:rPr>
        <w:t>本采购包中含有多种产品时，投标人未填写本采购包中提供的符合本国产品标准的产品成本之和占该采购包提供的全部产品成本之和的比例数值的，或比例数值未达到80%的，将不享受本国产品价格评审优惠。</w:t>
      </w:r>
    </w:p>
    <w:p w14:paraId="7961903D">
      <w:pPr>
        <w:keepNext w:val="0"/>
        <w:spacing w:before="120" w:after="120"/>
        <w:jc w:val="left"/>
        <w:outlineLvl w:val="9"/>
        <w:rPr>
          <w:rFonts w:hint="eastAsia" w:ascii="Times New Roman" w:hAnsi="Times New Roman" w:eastAsia="黑体"/>
          <w:sz w:val="32"/>
          <w:szCs w:val="32"/>
        </w:rPr>
      </w:pPr>
    </w:p>
    <w:p w14:paraId="55AFBA2D">
      <w:pPr>
        <w:keepNext w:val="0"/>
        <w:spacing w:before="120" w:after="120"/>
        <w:jc w:val="left"/>
        <w:outlineLvl w:val="9"/>
        <w:rPr>
          <w:rFonts w:hint="eastAsia" w:ascii="Times New Roman" w:hAnsi="Times New Roman" w:eastAsia="黑体"/>
          <w:sz w:val="32"/>
          <w:szCs w:val="32"/>
        </w:rPr>
      </w:pPr>
    </w:p>
    <w:p w14:paraId="6F2B9B99">
      <w:pPr>
        <w:keepNext w:val="0"/>
        <w:spacing w:before="120" w:after="120"/>
        <w:jc w:val="left"/>
        <w:outlineLvl w:val="9"/>
        <w:rPr>
          <w:rFonts w:hint="eastAsia" w:ascii="Times New Roman" w:hAnsi="Times New Roman" w:eastAsia="黑体"/>
          <w:sz w:val="32"/>
          <w:szCs w:val="32"/>
        </w:rPr>
      </w:pPr>
    </w:p>
    <w:p w14:paraId="77D7B9A7">
      <w:pPr>
        <w:pStyle w:val="4"/>
        <w:keepNext w:val="0"/>
        <w:spacing w:before="120" w:after="120"/>
        <w:jc w:val="left"/>
        <w:rPr>
          <w:rFonts w:ascii="Times New Roman" w:hAnsi="Times New Roman" w:eastAsia="黑体"/>
          <w:b w:val="0"/>
          <w:sz w:val="32"/>
          <w:szCs w:val="32"/>
        </w:rPr>
      </w:pPr>
      <w:bookmarkStart w:id="182" w:name="_Toc13684"/>
      <w:r>
        <w:rPr>
          <w:rFonts w:hint="eastAsia" w:ascii="Times New Roman" w:hAnsi="Times New Roman" w:eastAsia="黑体"/>
          <w:sz w:val="32"/>
          <w:szCs w:val="32"/>
        </w:rPr>
        <w:t>五</w:t>
      </w:r>
      <w:r>
        <w:rPr>
          <w:rFonts w:hint="eastAsia" w:ascii="Times New Roman" w:hAnsi="Times New Roman" w:eastAsia="黑体"/>
          <w:b w:val="0"/>
          <w:sz w:val="32"/>
          <w:szCs w:val="32"/>
        </w:rPr>
        <w:t>、</w:t>
      </w:r>
      <w:r>
        <w:rPr>
          <w:rFonts w:hint="eastAsia" w:ascii="Times New Roman" w:hAnsi="Times New Roman" w:eastAsia="黑体" w:cs="Times New Roman"/>
          <w:sz w:val="32"/>
          <w:szCs w:val="32"/>
        </w:rPr>
        <w:t>中小企业或残疾人福利性单位声明函</w:t>
      </w:r>
      <w:bookmarkEnd w:id="182"/>
    </w:p>
    <w:p w14:paraId="3ED9762C">
      <w:pPr>
        <w:widowControl w:val="0"/>
        <w:jc w:val="center"/>
        <w:rPr>
          <w:rFonts w:ascii="方正小标宋_GBK" w:hAnsi="Calibri" w:eastAsia="方正小标宋_GBK" w:cs="Times New Roman"/>
          <w:bCs/>
          <w:sz w:val="32"/>
          <w:szCs w:val="32"/>
          <w:lang w:val="en-US" w:eastAsia="zh-CN" w:bidi="ar-SA"/>
        </w:rPr>
      </w:pPr>
      <w:r>
        <w:rPr>
          <w:rFonts w:hint="eastAsia" w:ascii="方正小标宋_GBK" w:hAnsi="Calibri" w:eastAsia="方正小标宋_GBK" w:cs="Times New Roman"/>
          <w:bCs/>
          <w:sz w:val="32"/>
          <w:szCs w:val="32"/>
          <w:lang w:val="en-US" w:eastAsia="zh-CN" w:bidi="ar-SA"/>
        </w:rPr>
        <w:t>中小微企业声明函</w:t>
      </w:r>
    </w:p>
    <w:p w14:paraId="68D312E9">
      <w:pPr>
        <w:widowControl w:val="0"/>
        <w:jc w:val="center"/>
        <w:rPr>
          <w:rFonts w:hint="eastAsia" w:ascii="方正小标宋_GBK" w:hAnsi="Calibri" w:eastAsia="方正小标宋_GBK" w:cs="Times New Roman"/>
          <w:bCs/>
          <w:sz w:val="32"/>
          <w:szCs w:val="32"/>
          <w:lang w:val="en-US" w:eastAsia="zh-CN" w:bidi="ar-SA"/>
        </w:rPr>
      </w:pPr>
      <w:r>
        <w:rPr>
          <w:rFonts w:hint="eastAsia" w:ascii="方正小标宋_GBK" w:hAnsi="Calibri" w:eastAsia="方正小标宋_GBK" w:cs="Times New Roman"/>
          <w:bCs/>
          <w:sz w:val="32"/>
          <w:szCs w:val="32"/>
          <w:lang w:val="en-US" w:eastAsia="zh-CN" w:bidi="ar-SA"/>
        </w:rPr>
        <w:t>（货物类项目）</w:t>
      </w:r>
    </w:p>
    <w:p w14:paraId="662D0E94">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本公司（联合体）郑重声明，根据《政府采购促进中小企业发展管理办法》(财库〔2020〕46号)的规定，本公司（联合体）参加</w:t>
      </w:r>
      <w:r>
        <w:rPr>
          <w:rFonts w:hint="eastAsia" w:ascii="Times New Roman" w:hAnsi="Times New Roman" w:eastAsia="宋体" w:cs="Times New Roman"/>
          <w:sz w:val="24"/>
          <w:szCs w:val="24"/>
          <w:u w:val="single"/>
        </w:rPr>
        <w:t xml:space="preserve"> 单位名称  </w:t>
      </w:r>
      <w:r>
        <w:rPr>
          <w:rFonts w:hint="eastAsia" w:ascii="Times New Roman" w:hAnsi="Times New Roman" w:eastAsia="宋体" w:cs="Times New Roman"/>
          <w:sz w:val="24"/>
          <w:szCs w:val="24"/>
        </w:rPr>
        <w:t>的</w:t>
      </w:r>
      <w:r>
        <w:rPr>
          <w:rFonts w:hint="eastAsia" w:ascii="Times New Roman" w:hAnsi="Times New Roman" w:eastAsia="宋体" w:cs="Times New Roman"/>
          <w:sz w:val="24"/>
          <w:szCs w:val="24"/>
          <w:u w:val="single"/>
        </w:rPr>
        <w:t xml:space="preserve">（项目名称） </w:t>
      </w:r>
      <w:r>
        <w:rPr>
          <w:rFonts w:hint="eastAsia" w:ascii="Times New Roman" w:hAnsi="Times New Roman" w:eastAsia="宋体" w:cs="Times New Roman"/>
          <w:sz w:val="24"/>
          <w:szCs w:val="24"/>
        </w:rPr>
        <w:t>采购活动，提供的货物全部由符合政策要求的中小微企业制造。相关企业（含联合体中的中小微企业、签订采购包意向协议的中小微企业）的具体情况如下：</w:t>
      </w:r>
    </w:p>
    <w:p w14:paraId="40E8A351">
      <w:pPr>
        <w:spacing w:line="480" w:lineRule="exact"/>
        <w:ind w:firstLine="480" w:firstLineChars="200"/>
        <w:rPr>
          <w:rFonts w:hint="eastAsia" w:ascii="Times New Roman" w:hAnsi="Times New Roman" w:eastAsia="宋体" w:cs="Times New Roman"/>
          <w:i/>
          <w:sz w:val="24"/>
          <w:szCs w:val="24"/>
          <w:u w:val="single"/>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u w:val="single"/>
        </w:rPr>
        <w:t>（标的名称）</w:t>
      </w:r>
      <w:r>
        <w:rPr>
          <w:rFonts w:hint="eastAsia" w:ascii="Times New Roman" w:hAnsi="Times New Roman" w:eastAsia="宋体" w:cs="Times New Roman"/>
          <w:i/>
          <w:sz w:val="24"/>
          <w:szCs w:val="24"/>
        </w:rPr>
        <w:t>，</w:t>
      </w:r>
      <w:r>
        <w:rPr>
          <w:rFonts w:hint="eastAsia" w:ascii="Times New Roman" w:hAnsi="Times New Roman" w:eastAsia="宋体" w:cs="Times New Roman"/>
          <w:sz w:val="24"/>
          <w:szCs w:val="24"/>
        </w:rPr>
        <w:t>属于</w:t>
      </w:r>
      <w:r>
        <w:rPr>
          <w:rFonts w:hint="eastAsia" w:ascii="Times New Roman" w:hAnsi="Times New Roman" w:eastAsia="宋体" w:cs="Times New Roman"/>
          <w:sz w:val="24"/>
          <w:szCs w:val="24"/>
          <w:u w:val="single"/>
        </w:rPr>
        <w:t>（投标人填写招标文件中明确的所属行业）</w:t>
      </w:r>
      <w:r>
        <w:rPr>
          <w:rFonts w:hint="eastAsia" w:ascii="Times New Roman" w:hAnsi="Times New Roman" w:eastAsia="宋体" w:cs="Times New Roman"/>
          <w:sz w:val="24"/>
          <w:szCs w:val="24"/>
        </w:rPr>
        <w:t>行业；投标产品制造商为</w:t>
      </w:r>
      <w:r>
        <w:rPr>
          <w:rFonts w:hint="eastAsia" w:ascii="Times New Roman" w:hAnsi="Times New Roman" w:eastAsia="宋体" w:cs="Times New Roman"/>
          <w:sz w:val="24"/>
          <w:szCs w:val="24"/>
          <w:u w:val="single"/>
        </w:rPr>
        <w:t>（企业名称）</w:t>
      </w:r>
      <w:r>
        <w:rPr>
          <w:rFonts w:hint="eastAsia" w:ascii="Times New Roman" w:hAnsi="Times New Roman" w:eastAsia="宋体" w:cs="Times New Roman"/>
          <w:sz w:val="24"/>
          <w:szCs w:val="24"/>
        </w:rPr>
        <w:t>，从业人员</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人，营业收入为</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万元，资产总额为</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万元，属于</w:t>
      </w:r>
      <w:r>
        <w:rPr>
          <w:rFonts w:hint="eastAsia" w:ascii="Times New Roman" w:hAnsi="Times New Roman" w:eastAsia="宋体" w:cs="Times New Roman"/>
          <w:sz w:val="24"/>
          <w:szCs w:val="24"/>
          <w:u w:val="single"/>
        </w:rPr>
        <w:t>（□中型企业 □小型企业 □微型企业）；</w:t>
      </w:r>
    </w:p>
    <w:p w14:paraId="29C6542D">
      <w:pPr>
        <w:spacing w:line="480" w:lineRule="exact"/>
        <w:ind w:firstLine="480" w:firstLineChars="200"/>
        <w:rPr>
          <w:rFonts w:hint="eastAsia" w:ascii="Times New Roman" w:hAnsi="Times New Roman" w:eastAsia="宋体" w:cs="Times New Roman"/>
          <w:i/>
          <w:sz w:val="24"/>
          <w:szCs w:val="24"/>
          <w:u w:val="single"/>
        </w:rPr>
      </w:pP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u w:val="single"/>
        </w:rPr>
        <w:t>（标的名称）</w:t>
      </w:r>
      <w:r>
        <w:rPr>
          <w:rFonts w:hint="eastAsia" w:ascii="Times New Roman" w:hAnsi="Times New Roman" w:eastAsia="宋体" w:cs="Times New Roman"/>
          <w:i/>
          <w:sz w:val="24"/>
          <w:szCs w:val="24"/>
        </w:rPr>
        <w:t>，</w:t>
      </w:r>
      <w:r>
        <w:rPr>
          <w:rFonts w:hint="eastAsia" w:ascii="Times New Roman" w:hAnsi="Times New Roman" w:eastAsia="宋体" w:cs="Times New Roman"/>
          <w:sz w:val="24"/>
          <w:szCs w:val="24"/>
        </w:rPr>
        <w:t>属于</w:t>
      </w:r>
      <w:r>
        <w:rPr>
          <w:rFonts w:hint="eastAsia" w:ascii="Times New Roman" w:hAnsi="Times New Roman" w:eastAsia="宋体" w:cs="Times New Roman"/>
          <w:sz w:val="24"/>
          <w:szCs w:val="24"/>
          <w:u w:val="single"/>
        </w:rPr>
        <w:t>（投标人填写招标文件中明确的所属行业）</w:t>
      </w:r>
      <w:r>
        <w:rPr>
          <w:rFonts w:hint="eastAsia" w:ascii="Times New Roman" w:hAnsi="Times New Roman" w:eastAsia="宋体" w:cs="Times New Roman"/>
          <w:sz w:val="24"/>
          <w:szCs w:val="24"/>
        </w:rPr>
        <w:t>行业；投标产品制造商为</w:t>
      </w:r>
      <w:r>
        <w:rPr>
          <w:rFonts w:hint="eastAsia" w:ascii="Times New Roman" w:hAnsi="Times New Roman" w:eastAsia="宋体" w:cs="Times New Roman"/>
          <w:sz w:val="24"/>
          <w:szCs w:val="24"/>
          <w:u w:val="single"/>
        </w:rPr>
        <w:t>（企业名称）</w:t>
      </w:r>
      <w:r>
        <w:rPr>
          <w:rFonts w:hint="eastAsia" w:ascii="Times New Roman" w:hAnsi="Times New Roman" w:eastAsia="宋体" w:cs="Times New Roman"/>
          <w:sz w:val="24"/>
          <w:szCs w:val="24"/>
        </w:rPr>
        <w:t>，从业人员</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人，营业收入为</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万元，资产总额为</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万元，属于</w:t>
      </w:r>
      <w:r>
        <w:rPr>
          <w:rFonts w:hint="eastAsia" w:ascii="Times New Roman" w:hAnsi="Times New Roman" w:eastAsia="宋体" w:cs="Times New Roman"/>
          <w:sz w:val="24"/>
          <w:szCs w:val="24"/>
          <w:u w:val="single"/>
        </w:rPr>
        <w:t>（□中型企业 □小型企业 □微型企业）；</w:t>
      </w:r>
    </w:p>
    <w:p w14:paraId="021BFD04">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w:t>
      </w:r>
    </w:p>
    <w:p w14:paraId="00F6265D">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以上企业，不属于大企业的分支机构，不存在控股股东为大企业的情形，也不存在与大企业的负责人为同一人的情形。</w:t>
      </w:r>
    </w:p>
    <w:p w14:paraId="2BD237B4">
      <w:pPr>
        <w:spacing w:line="4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本企业对上述声明内容的真实性负责。如有虚假，将依法承担相应责任</w:t>
      </w:r>
    </w:p>
    <w:p w14:paraId="6563529A">
      <w:pPr>
        <w:spacing w:line="480" w:lineRule="exact"/>
        <w:ind w:right="720"/>
        <w:rPr>
          <w:rFonts w:hint="eastAsia" w:ascii="宋体" w:hAnsi="宋体" w:eastAsia="宋体" w:cs="Times New Roman"/>
          <w:sz w:val="24"/>
          <w:szCs w:val="24"/>
        </w:rPr>
      </w:pPr>
    </w:p>
    <w:p w14:paraId="74D75F95">
      <w:pPr>
        <w:spacing w:line="400" w:lineRule="exact"/>
        <w:ind w:right="180" w:firstLine="360" w:firstLineChars="150"/>
        <w:jc w:val="right"/>
        <w:rPr>
          <w:rFonts w:ascii="宋体" w:hAnsi="宋体" w:eastAsia="宋体" w:cs="Times New Roman"/>
          <w:sz w:val="24"/>
          <w:szCs w:val="24"/>
        </w:rPr>
      </w:pPr>
      <w:r>
        <w:rPr>
          <w:rFonts w:hint="eastAsia" w:ascii="宋体" w:hAnsi="宋体" w:eastAsia="宋体" w:cs="Times New Roman"/>
          <w:sz w:val="24"/>
          <w:szCs w:val="24"/>
        </w:rPr>
        <w:t>企业名称（加盖CA电子公章）：</w:t>
      </w:r>
    </w:p>
    <w:p w14:paraId="31E24042">
      <w:pPr>
        <w:spacing w:line="400" w:lineRule="exact"/>
        <w:ind w:right="180" w:firstLine="360" w:firstLineChars="150"/>
        <w:jc w:val="center"/>
        <w:rPr>
          <w:rFonts w:hint="eastAsia" w:ascii="宋体" w:hAnsi="宋体" w:eastAsia="宋体" w:cs="Times New Roman"/>
          <w:sz w:val="24"/>
          <w:szCs w:val="24"/>
        </w:rPr>
      </w:pPr>
      <w:r>
        <w:rPr>
          <w:rFonts w:hint="eastAsia" w:ascii="宋体" w:hAnsi="宋体" w:eastAsia="宋体" w:cs="Times New Roman"/>
          <w:sz w:val="24"/>
          <w:szCs w:val="24"/>
        </w:rPr>
        <w:t xml:space="preserve">                       日  期：</w:t>
      </w:r>
    </w:p>
    <w:p w14:paraId="059177AE">
      <w:pPr>
        <w:spacing w:line="400" w:lineRule="exact"/>
        <w:ind w:firstLine="480" w:firstLineChars="200"/>
        <w:rPr>
          <w:rFonts w:ascii="宋体" w:hAnsi="宋体" w:eastAsia="宋体" w:cs="Times New Roman"/>
          <w:sz w:val="24"/>
          <w:szCs w:val="24"/>
        </w:rPr>
      </w:pPr>
    </w:p>
    <w:p w14:paraId="6A7F3797">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备注：1.从业人员、营业收入、资产总额填报上一年度数据，无上一年度数据的新成立企业可不填报。</w:t>
      </w:r>
    </w:p>
    <w:p w14:paraId="33ED3DE0">
      <w:pPr>
        <w:spacing w:line="400" w:lineRule="exact"/>
        <w:ind w:firstLine="480" w:firstLineChars="200"/>
        <w:jc w:val="lef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2.符合报价折扣情形的请将此函填报上传至“企业报价折扣证明”一栏中。</w:t>
      </w:r>
    </w:p>
    <w:p w14:paraId="680EED2C">
      <w:pPr>
        <w:spacing w:line="4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3.对照《工业和信息化部、国家统计局、国家发展和改革委员会、财政部关于印发中小企业划型标准规定的通知》(工信部联企业[2011]300号)的规定，</w:t>
      </w:r>
      <w:r>
        <w:rPr>
          <w:rFonts w:hint="eastAsia" w:ascii="Times New Roman" w:hAnsi="Times New Roman" w:eastAsia="宋体" w:cs="Times New Roman"/>
          <w:sz w:val="24"/>
          <w:szCs w:val="24"/>
        </w:rPr>
        <w:t>投标人</w:t>
      </w:r>
      <w:r>
        <w:rPr>
          <w:rFonts w:ascii="Times New Roman" w:hAnsi="Times New Roman" w:eastAsia="宋体" w:cs="Times New Roman"/>
          <w:sz w:val="24"/>
          <w:szCs w:val="24"/>
        </w:rPr>
        <w:t>自行勾选制造商的企业规模类型。</w:t>
      </w:r>
    </w:p>
    <w:p w14:paraId="1EF236F2">
      <w:pPr>
        <w:spacing w:line="400" w:lineRule="exact"/>
        <w:ind w:firstLine="640" w:firstLineChars="200"/>
        <w:rPr>
          <w:rFonts w:eastAsia="黑体"/>
          <w:iCs/>
          <w:sz w:val="32"/>
          <w:szCs w:val="32"/>
        </w:rPr>
      </w:pPr>
    </w:p>
    <w:p w14:paraId="313EF74C">
      <w:pPr>
        <w:spacing w:line="400" w:lineRule="exact"/>
        <w:ind w:firstLine="640" w:firstLineChars="200"/>
        <w:rPr>
          <w:rFonts w:eastAsia="黑体"/>
          <w:iCs/>
          <w:sz w:val="32"/>
          <w:szCs w:val="32"/>
        </w:rPr>
      </w:pPr>
    </w:p>
    <w:p w14:paraId="7BF8F5FA">
      <w:pPr>
        <w:pStyle w:val="266"/>
        <w:spacing w:before="151" w:after="151" w:line="600" w:lineRule="exact"/>
        <w:jc w:val="center"/>
        <w:rPr>
          <w:rFonts w:ascii="Times New Roman" w:hAnsi="Times New Roman"/>
          <w:b/>
          <w:bCs/>
          <w:sz w:val="32"/>
          <w:szCs w:val="32"/>
        </w:rPr>
      </w:pPr>
      <w:r>
        <w:rPr>
          <w:rFonts w:hint="eastAsia" w:ascii="Times New Roman" w:hAnsi="Times New Roman"/>
          <w:b/>
          <w:bCs/>
          <w:sz w:val="32"/>
          <w:szCs w:val="32"/>
        </w:rPr>
        <w:t>残疾人福利性单位声明函</w:t>
      </w:r>
    </w:p>
    <w:p w14:paraId="7AC53E9E">
      <w:pPr>
        <w:pStyle w:val="257"/>
        <w:spacing w:line="588" w:lineRule="exact"/>
        <w:rPr>
          <w:rFonts w:ascii="Times New Roman" w:hAnsi="Times New Roman" w:eastAsia="仿宋_GB2312"/>
          <w:b/>
          <w:spacing w:val="6"/>
          <w:sz w:val="30"/>
          <w:szCs w:val="30"/>
        </w:rPr>
      </w:pPr>
    </w:p>
    <w:p w14:paraId="4CE55F2B">
      <w:pPr>
        <w:spacing w:line="360" w:lineRule="auto"/>
        <w:ind w:firstLine="480"/>
        <w:rPr>
          <w:sz w:val="24"/>
        </w:rPr>
      </w:pPr>
      <w:r>
        <w:rPr>
          <w:rFonts w:hint="eastAsia"/>
          <w:sz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rPr>
        <w:t xml:space="preserve">          </w:t>
      </w:r>
      <w:r>
        <w:rPr>
          <w:rFonts w:hint="eastAsia"/>
          <w:sz w:val="24"/>
        </w:rPr>
        <w:t>的</w:t>
      </w:r>
      <w:r>
        <w:rPr>
          <w:rFonts w:hint="eastAsia"/>
          <w:sz w:val="24"/>
          <w:u w:val="single"/>
        </w:rPr>
        <w:t xml:space="preserve">                  </w:t>
      </w:r>
      <w:r>
        <w:rPr>
          <w:rFonts w:hint="eastAsia"/>
          <w:sz w:val="24"/>
        </w:rPr>
        <w:t>项目采购活动提供本单位制造的货物（由本单位承担工程/提供服务），或者提供其他残疾人福利性单位制造的货物（不包括使用非残疾人福利性单位注册商标的货物）。</w:t>
      </w:r>
    </w:p>
    <w:p w14:paraId="2F12D45F">
      <w:pPr>
        <w:spacing w:line="360" w:lineRule="auto"/>
        <w:ind w:firstLine="480"/>
        <w:rPr>
          <w:sz w:val="24"/>
        </w:rPr>
      </w:pPr>
      <w:r>
        <w:rPr>
          <w:rFonts w:hint="eastAsia"/>
          <w:sz w:val="24"/>
        </w:rPr>
        <w:t>本单位对上述声明的真实性负责。如有虚假，将依法承担相应责任。</w:t>
      </w:r>
    </w:p>
    <w:p w14:paraId="52D039D5">
      <w:pPr>
        <w:spacing w:line="360" w:lineRule="auto"/>
        <w:ind w:firstLine="624"/>
        <w:rPr>
          <w:rFonts w:eastAsia="仿宋_GB2312"/>
          <w:spacing w:val="6"/>
          <w:sz w:val="30"/>
          <w:szCs w:val="30"/>
        </w:rPr>
      </w:pPr>
    </w:p>
    <w:p w14:paraId="60ABC0AC">
      <w:pPr>
        <w:pStyle w:val="261"/>
        <w:spacing w:line="360" w:lineRule="auto"/>
        <w:rPr>
          <w:rFonts w:ascii="Times New Roman" w:hAnsi="Times New Roman"/>
        </w:rPr>
      </w:pPr>
    </w:p>
    <w:p w14:paraId="0BE79C15">
      <w:pPr>
        <w:spacing w:line="360" w:lineRule="auto"/>
        <w:ind w:right="180" w:firstLine="360"/>
        <w:jc w:val="right"/>
        <w:rPr>
          <w:sz w:val="24"/>
          <w:szCs w:val="24"/>
        </w:rPr>
      </w:pPr>
      <w:r>
        <w:rPr>
          <w:rFonts w:hint="eastAsia"/>
          <w:sz w:val="24"/>
          <w:szCs w:val="24"/>
        </w:rPr>
        <w:t>企业名称：（加盖CA电子公章）</w:t>
      </w:r>
    </w:p>
    <w:p w14:paraId="2168FC5A">
      <w:pPr>
        <w:spacing w:line="360" w:lineRule="auto"/>
        <w:jc w:val="right"/>
        <w:rPr>
          <w:sz w:val="24"/>
          <w:szCs w:val="24"/>
        </w:rPr>
      </w:pPr>
      <w:r>
        <w:rPr>
          <w:rFonts w:hint="eastAsia"/>
          <w:sz w:val="24"/>
          <w:szCs w:val="24"/>
        </w:rPr>
        <w:t>日  期：</w:t>
      </w:r>
      <w:r>
        <w:rPr>
          <w:rFonts w:hint="eastAsia"/>
          <w:sz w:val="24"/>
          <w:szCs w:val="24"/>
          <w:u w:val="single"/>
        </w:rPr>
        <w:t xml:space="preserve">       </w:t>
      </w:r>
      <w:r>
        <w:rPr>
          <w:rFonts w:hint="eastAsia"/>
          <w:sz w:val="24"/>
          <w:szCs w:val="24"/>
        </w:rPr>
        <w:t>年___月___日</w:t>
      </w:r>
    </w:p>
    <w:p w14:paraId="6E836AD6">
      <w:pPr>
        <w:spacing w:line="560" w:lineRule="exact"/>
        <w:jc w:val="left"/>
        <w:rPr>
          <w:rFonts w:eastAsia="黑体"/>
          <w:b/>
          <w:sz w:val="32"/>
          <w:szCs w:val="32"/>
        </w:rPr>
      </w:pPr>
    </w:p>
    <w:p w14:paraId="06D9979A">
      <w:pPr>
        <w:pStyle w:val="5"/>
      </w:pPr>
    </w:p>
    <w:p w14:paraId="7509505C"/>
    <w:p w14:paraId="7D4003A4">
      <w:pPr>
        <w:spacing w:line="480" w:lineRule="exact"/>
        <w:ind w:firstLine="442"/>
        <w:rPr>
          <w:sz w:val="24"/>
          <w:szCs w:val="24"/>
        </w:rPr>
      </w:pPr>
      <w:r>
        <w:rPr>
          <w:rFonts w:hint="eastAsia"/>
          <w:sz w:val="24"/>
          <w:szCs w:val="24"/>
        </w:rPr>
        <w:t>备注：1.非残疾人福利性单位不需提供此函。</w:t>
      </w:r>
    </w:p>
    <w:p w14:paraId="4A59FF87">
      <w:pPr>
        <w:spacing w:line="480" w:lineRule="exact"/>
        <w:ind w:firstLine="442"/>
        <w:rPr>
          <w:sz w:val="24"/>
          <w:szCs w:val="24"/>
        </w:rPr>
      </w:pPr>
      <w:r>
        <w:rPr>
          <w:rFonts w:hint="eastAsia"/>
          <w:sz w:val="24"/>
          <w:szCs w:val="24"/>
        </w:rPr>
        <w:t>2.符合报价折扣情形的请将此函填报上传至“企业报价折扣证明”一栏中。</w:t>
      </w:r>
    </w:p>
    <w:p w14:paraId="4D62AF40">
      <w:pPr>
        <w:pStyle w:val="5"/>
      </w:pPr>
    </w:p>
    <w:p w14:paraId="6C2EC6A5"/>
    <w:p w14:paraId="4BD62DD5">
      <w:pPr>
        <w:pStyle w:val="276"/>
        <w:rPr>
          <w:rFonts w:ascii="Times New Roman" w:hAnsi="Times New Roman"/>
        </w:rPr>
      </w:pPr>
    </w:p>
    <w:p w14:paraId="030591C4">
      <w:pPr>
        <w:pStyle w:val="276"/>
        <w:rPr>
          <w:rFonts w:ascii="Times New Roman" w:hAnsi="Times New Roman"/>
        </w:rPr>
      </w:pPr>
    </w:p>
    <w:p w14:paraId="291E364E">
      <w:pPr>
        <w:pStyle w:val="276"/>
        <w:rPr>
          <w:rFonts w:ascii="Times New Roman" w:hAnsi="Times New Roman"/>
        </w:rPr>
      </w:pPr>
    </w:p>
    <w:p w14:paraId="4A35866C">
      <w:pPr>
        <w:pStyle w:val="276"/>
        <w:rPr>
          <w:rFonts w:ascii="Times New Roman" w:hAnsi="Times New Roman"/>
        </w:rPr>
      </w:pPr>
    </w:p>
    <w:p w14:paraId="6319F275">
      <w:pPr>
        <w:pStyle w:val="276"/>
        <w:rPr>
          <w:rFonts w:ascii="Times New Roman" w:hAnsi="Times New Roman"/>
        </w:rPr>
      </w:pPr>
    </w:p>
    <w:p w14:paraId="56962D1C">
      <w:pPr>
        <w:pStyle w:val="276"/>
        <w:rPr>
          <w:rFonts w:ascii="Times New Roman" w:hAnsi="Times New Roman"/>
        </w:rPr>
      </w:pPr>
    </w:p>
    <w:p w14:paraId="25844C30">
      <w:pPr>
        <w:pStyle w:val="276"/>
        <w:rPr>
          <w:rFonts w:ascii="Times New Roman" w:hAnsi="Times New Roman"/>
        </w:rPr>
      </w:pPr>
    </w:p>
    <w:p w14:paraId="479823A3">
      <w:pPr>
        <w:pStyle w:val="276"/>
        <w:rPr>
          <w:rFonts w:ascii="Times New Roman" w:hAnsi="Times New Roman"/>
        </w:rPr>
      </w:pPr>
    </w:p>
    <w:p w14:paraId="7B54FE2E">
      <w:pPr>
        <w:pStyle w:val="276"/>
        <w:rPr>
          <w:rFonts w:ascii="Times New Roman" w:hAnsi="Times New Roman"/>
        </w:rPr>
      </w:pPr>
    </w:p>
    <w:p w14:paraId="383C76B9">
      <w:pPr>
        <w:pStyle w:val="276"/>
        <w:rPr>
          <w:rFonts w:ascii="Times New Roman" w:hAnsi="Times New Roman"/>
        </w:rPr>
      </w:pPr>
    </w:p>
    <w:p w14:paraId="45EBAFC8">
      <w:pPr>
        <w:pStyle w:val="276"/>
        <w:rPr>
          <w:rFonts w:ascii="Times New Roman" w:hAnsi="Times New Roman"/>
        </w:rPr>
      </w:pPr>
    </w:p>
    <w:p w14:paraId="55267908">
      <w:pPr>
        <w:pStyle w:val="276"/>
        <w:rPr>
          <w:rFonts w:ascii="Times New Roman" w:hAnsi="Times New Roman"/>
        </w:rPr>
      </w:pPr>
    </w:p>
    <w:p w14:paraId="0EC88193">
      <w:pPr>
        <w:pStyle w:val="276"/>
        <w:rPr>
          <w:rFonts w:ascii="Times New Roman" w:hAnsi="Times New Roman"/>
        </w:rPr>
      </w:pPr>
    </w:p>
    <w:p w14:paraId="1A24E0E1">
      <w:pPr>
        <w:pStyle w:val="276"/>
        <w:rPr>
          <w:rFonts w:ascii="Times New Roman" w:hAnsi="Times New Roman"/>
        </w:rPr>
      </w:pPr>
    </w:p>
    <w:p w14:paraId="6FA8CCBC">
      <w:pPr>
        <w:pStyle w:val="276"/>
        <w:outlineLvl w:val="1"/>
        <w:rPr>
          <w:rFonts w:ascii="Times New Roman" w:hAnsi="Times New Roman"/>
        </w:rPr>
      </w:pPr>
      <w:bookmarkStart w:id="183" w:name="_Toc15500"/>
      <w:r>
        <w:rPr>
          <w:rFonts w:hint="eastAsia" w:ascii="Times New Roman" w:hAnsi="Times New Roman"/>
        </w:rPr>
        <w:t>六、关于符合本国产品标准的声明函</w:t>
      </w:r>
      <w:bookmarkEnd w:id="183"/>
    </w:p>
    <w:p w14:paraId="4EA6B977">
      <w:pPr>
        <w:jc w:val="center"/>
        <w:rPr>
          <w:rFonts w:ascii="方正魏碑_GBK" w:hAnsi="方正魏碑_GBK" w:eastAsia="方正魏碑_GBK" w:cs="方正魏碑_GBK"/>
          <w:b/>
          <w:sz w:val="24"/>
          <w:szCs w:val="24"/>
        </w:rPr>
      </w:pPr>
    </w:p>
    <w:p w14:paraId="351ECA7E">
      <w:pPr>
        <w:jc w:val="center"/>
        <w:rPr>
          <w:rFonts w:ascii="方正魏碑_GBK" w:hAnsi="方正魏碑_GBK" w:eastAsia="方正魏碑_GBK" w:cs="方正魏碑_GBK"/>
          <w:b/>
          <w:sz w:val="24"/>
          <w:szCs w:val="24"/>
        </w:rPr>
      </w:pPr>
    </w:p>
    <w:p w14:paraId="274CF49F">
      <w:pPr>
        <w:jc w:val="center"/>
        <w:rPr>
          <w:rFonts w:ascii="方正魏碑_GBK" w:hAnsi="方正魏碑_GBK" w:eastAsia="方正魏碑_GBK" w:cs="方正魏碑_GBK"/>
          <w:b/>
          <w:sz w:val="32"/>
          <w:szCs w:val="32"/>
        </w:rPr>
      </w:pPr>
      <w:r>
        <w:rPr>
          <w:rFonts w:hint="eastAsia" w:ascii="方正魏碑_GBK" w:hAnsi="方正魏碑_GBK" w:eastAsia="方正魏碑_GBK" w:cs="方正魏碑_GBK"/>
          <w:b/>
          <w:sz w:val="32"/>
          <w:szCs w:val="32"/>
        </w:rPr>
        <w:t>关于符合本国产品标准的声明函</w:t>
      </w:r>
    </w:p>
    <w:p w14:paraId="36697386">
      <w:pPr>
        <w:widowControl/>
        <w:spacing w:line="0" w:lineRule="atLeast"/>
        <w:ind w:firstLine="420"/>
        <w:jc w:val="left"/>
        <w:rPr>
          <w:rFonts w:ascii="方正魏碑_GBK" w:hAnsi="方正魏碑_GBK" w:eastAsia="方正魏碑_GBK" w:cs="方正魏碑_GBK"/>
          <w:sz w:val="24"/>
          <w:szCs w:val="24"/>
        </w:rPr>
      </w:pPr>
    </w:p>
    <w:p w14:paraId="5E8FA9CC">
      <w:pPr>
        <w:widowControl/>
        <w:spacing w:line="0" w:lineRule="atLeast"/>
        <w:ind w:firstLine="420"/>
        <w:jc w:val="left"/>
        <w:rPr>
          <w:rFonts w:cs="宋体"/>
          <w:sz w:val="24"/>
          <w:szCs w:val="24"/>
        </w:rPr>
      </w:pPr>
      <w:r>
        <w:rPr>
          <w:rFonts w:hint="eastAsia" w:cs="宋体"/>
          <w:sz w:val="24"/>
          <w:szCs w:val="24"/>
        </w:rPr>
        <w:t>本公司（单位）郑重声明，根据《国务院办公厅关于在政府采购中实施本国产品标准及相关政策的通知》（国办发〔2025〕34号）的规定，本公司（单位）提供的以下产品属于本国产品。具体情况如下：</w:t>
      </w:r>
    </w:p>
    <w:p w14:paraId="5B7ECDB7">
      <w:pPr>
        <w:widowControl/>
        <w:spacing w:before="30" w:after="30" w:line="0" w:lineRule="atLeast"/>
        <w:ind w:firstLine="420"/>
        <w:jc w:val="left"/>
        <w:rPr>
          <w:rFonts w:cs="宋体"/>
          <w:sz w:val="24"/>
          <w:szCs w:val="24"/>
        </w:rPr>
      </w:pPr>
      <w:r>
        <w:rPr>
          <w:rFonts w:hint="eastAsia" w:cs="宋体"/>
          <w:sz w:val="24"/>
          <w:szCs w:val="24"/>
          <w:shd w:val="clear" w:color="auto" w:fill="FFFFFF"/>
        </w:rPr>
        <w:t>1.</w:t>
      </w:r>
      <w:r>
        <w:rPr>
          <w:rFonts w:hint="eastAsia" w:cs="宋体"/>
          <w:sz w:val="24"/>
          <w:szCs w:val="24"/>
          <w:u w:val="single"/>
          <w:shd w:val="clear" w:color="auto" w:fill="FFFFFF"/>
        </w:rPr>
        <w:t>（产品名称1）</w:t>
      </w:r>
      <w:r>
        <w:rPr>
          <w:rFonts w:hint="eastAsia" w:cs="宋体"/>
          <w:sz w:val="24"/>
          <w:szCs w:val="24"/>
          <w:shd w:val="clear" w:color="auto" w:fill="FFFFFF"/>
          <w:vertAlign w:val="superscript"/>
        </w:rPr>
        <w:t>1</w:t>
      </w:r>
      <w:r>
        <w:rPr>
          <w:rFonts w:hint="eastAsia" w:cs="宋体"/>
          <w:sz w:val="24"/>
          <w:szCs w:val="24"/>
          <w:shd w:val="clear" w:color="auto" w:fill="FFFFFF"/>
        </w:rPr>
        <w:t>，生产厂为</w:t>
      </w:r>
      <w:r>
        <w:rPr>
          <w:rFonts w:hint="eastAsia" w:cs="宋体"/>
          <w:sz w:val="24"/>
          <w:szCs w:val="24"/>
          <w:u w:val="single"/>
          <w:shd w:val="clear" w:color="auto" w:fill="FFFFFF"/>
        </w:rPr>
        <w:t>（厂名）</w:t>
      </w:r>
      <w:r>
        <w:rPr>
          <w:rFonts w:hint="eastAsia" w:cs="宋体"/>
          <w:sz w:val="24"/>
          <w:szCs w:val="24"/>
          <w:shd w:val="clear" w:color="auto" w:fill="FFFFFF"/>
          <w:vertAlign w:val="superscript"/>
        </w:rPr>
        <w:t>2</w:t>
      </w:r>
      <w:r>
        <w:rPr>
          <w:rFonts w:hint="eastAsia" w:cs="宋体"/>
          <w:sz w:val="24"/>
          <w:szCs w:val="24"/>
          <w:shd w:val="clear" w:color="auto" w:fill="FFFFFF"/>
        </w:rPr>
        <w:t>，厂址为</w:t>
      </w:r>
      <w:r>
        <w:rPr>
          <w:rFonts w:hint="eastAsia" w:cs="宋体"/>
          <w:sz w:val="24"/>
          <w:szCs w:val="24"/>
          <w:u w:val="single"/>
          <w:shd w:val="clear" w:color="auto" w:fill="FFFFFF"/>
        </w:rPr>
        <w:t>（生产厂址）</w:t>
      </w:r>
      <w:r>
        <w:rPr>
          <w:rFonts w:hint="eastAsia" w:cs="宋体"/>
          <w:sz w:val="24"/>
          <w:szCs w:val="24"/>
          <w:shd w:val="clear" w:color="auto" w:fill="FFFFFF"/>
        </w:rPr>
        <w:t>。</w:t>
      </w:r>
      <w:r>
        <w:rPr>
          <w:rFonts w:hint="eastAsia" w:cs="宋体"/>
          <w:sz w:val="24"/>
          <w:szCs w:val="24"/>
          <w:u w:val="single"/>
          <w:shd w:val="clear" w:color="auto" w:fill="FFFFFF"/>
        </w:rPr>
        <w:t xml:space="preserve"> / </w:t>
      </w:r>
      <w:r>
        <w:rPr>
          <w:rFonts w:hint="eastAsia" w:cs="宋体"/>
          <w:sz w:val="24"/>
          <w:szCs w:val="24"/>
          <w:shd w:val="clear" w:color="auto" w:fill="FFFFFF"/>
        </w:rPr>
        <w:t>的中国境内生产的组件成本占比≥</w:t>
      </w:r>
      <w:r>
        <w:rPr>
          <w:rFonts w:hint="eastAsia" w:cs="宋体"/>
          <w:sz w:val="24"/>
          <w:szCs w:val="24"/>
          <w:u w:val="single"/>
          <w:shd w:val="clear" w:color="auto" w:fill="FFFFFF"/>
        </w:rPr>
        <w:t xml:space="preserve">  /  </w:t>
      </w:r>
      <w:r>
        <w:rPr>
          <w:rFonts w:hint="eastAsia" w:cs="宋体"/>
          <w:sz w:val="24"/>
          <w:szCs w:val="24"/>
          <w:shd w:val="clear" w:color="auto" w:fill="FFFFFF"/>
          <w:vertAlign w:val="superscript"/>
        </w:rPr>
        <w:t>3</w:t>
      </w:r>
      <w:r>
        <w:rPr>
          <w:rFonts w:hint="eastAsia" w:cs="宋体"/>
          <w:sz w:val="24"/>
          <w:szCs w:val="24"/>
          <w:shd w:val="clear" w:color="auto" w:fill="FFFFFF"/>
        </w:rPr>
        <w:t>。</w:t>
      </w:r>
      <w:r>
        <w:rPr>
          <w:rFonts w:hint="eastAsia" w:cs="宋体"/>
          <w:sz w:val="24"/>
          <w:szCs w:val="24"/>
          <w:u w:val="single"/>
          <w:shd w:val="clear" w:color="auto" w:fill="FFFFFF"/>
        </w:rPr>
        <w:t xml:space="preserve">  /  </w:t>
      </w:r>
      <w:r>
        <w:rPr>
          <w:rFonts w:hint="eastAsia" w:cs="宋体"/>
          <w:sz w:val="24"/>
          <w:szCs w:val="24"/>
          <w:shd w:val="clear" w:color="auto" w:fill="FFFFFF"/>
        </w:rPr>
        <w:t>的</w:t>
      </w:r>
      <w:r>
        <w:rPr>
          <w:rFonts w:hint="eastAsia" w:cs="宋体"/>
          <w:sz w:val="24"/>
          <w:szCs w:val="24"/>
          <w:u w:val="single"/>
          <w:shd w:val="clear" w:color="auto" w:fill="FFFFFF"/>
        </w:rPr>
        <w:t xml:space="preserve">  /  </w:t>
      </w:r>
      <w:r>
        <w:rPr>
          <w:rFonts w:hint="eastAsia" w:cs="宋体"/>
          <w:sz w:val="24"/>
          <w:szCs w:val="24"/>
          <w:shd w:val="clear" w:color="auto" w:fill="FFFFFF"/>
          <w:vertAlign w:val="superscript"/>
        </w:rPr>
        <w:t>4</w:t>
      </w:r>
      <w:r>
        <w:rPr>
          <w:rFonts w:hint="eastAsia" w:cs="宋体"/>
          <w:sz w:val="24"/>
          <w:szCs w:val="24"/>
          <w:shd w:val="clear" w:color="auto" w:fill="FFFFFF"/>
        </w:rPr>
        <w:t>在中国境内生产。</w:t>
      </w:r>
      <w:r>
        <w:rPr>
          <w:rFonts w:hint="eastAsia" w:cs="宋体"/>
          <w:sz w:val="24"/>
          <w:szCs w:val="24"/>
          <w:u w:val="single"/>
          <w:shd w:val="clear" w:color="auto" w:fill="FFFFFF"/>
        </w:rPr>
        <w:t xml:space="preserve">  /  </w:t>
      </w:r>
      <w:r>
        <w:rPr>
          <w:rFonts w:hint="eastAsia" w:cs="宋体"/>
          <w:sz w:val="24"/>
          <w:szCs w:val="24"/>
          <w:shd w:val="clear" w:color="auto" w:fill="FFFFFF"/>
        </w:rPr>
        <w:t>的</w:t>
      </w:r>
      <w:r>
        <w:rPr>
          <w:rFonts w:hint="eastAsia" w:cs="宋体"/>
          <w:sz w:val="24"/>
          <w:szCs w:val="24"/>
          <w:u w:val="single"/>
          <w:shd w:val="clear" w:color="auto" w:fill="FFFFFF"/>
        </w:rPr>
        <w:t xml:space="preserve">  /  </w:t>
      </w:r>
      <w:r>
        <w:rPr>
          <w:rFonts w:hint="eastAsia" w:cs="宋体"/>
          <w:sz w:val="24"/>
          <w:szCs w:val="24"/>
          <w:shd w:val="clear" w:color="auto" w:fill="FFFFFF"/>
          <w:vertAlign w:val="superscript"/>
        </w:rPr>
        <w:t>5</w:t>
      </w:r>
      <w:r>
        <w:rPr>
          <w:rFonts w:hint="eastAsia" w:cs="宋体"/>
          <w:sz w:val="24"/>
          <w:szCs w:val="24"/>
          <w:shd w:val="clear" w:color="auto" w:fill="FFFFFF"/>
        </w:rPr>
        <w:t>在中国境内完成。</w:t>
      </w:r>
    </w:p>
    <w:p w14:paraId="58067A2B">
      <w:pPr>
        <w:widowControl/>
        <w:spacing w:before="30" w:after="30" w:line="0" w:lineRule="atLeast"/>
        <w:ind w:firstLine="420"/>
        <w:jc w:val="left"/>
        <w:rPr>
          <w:rFonts w:cs="宋体"/>
          <w:sz w:val="24"/>
          <w:szCs w:val="24"/>
        </w:rPr>
      </w:pPr>
      <w:r>
        <w:rPr>
          <w:rFonts w:hint="eastAsia" w:cs="宋体"/>
          <w:sz w:val="24"/>
          <w:szCs w:val="24"/>
          <w:shd w:val="clear" w:color="auto" w:fill="FFFFFF"/>
        </w:rPr>
        <w:t>2.</w:t>
      </w:r>
      <w:r>
        <w:rPr>
          <w:rFonts w:hint="eastAsia" w:cs="宋体"/>
          <w:sz w:val="24"/>
          <w:szCs w:val="24"/>
          <w:u w:val="single"/>
          <w:shd w:val="clear" w:color="auto" w:fill="FFFFFF"/>
        </w:rPr>
        <w:t>（产品名称2）</w:t>
      </w:r>
      <w:r>
        <w:rPr>
          <w:rFonts w:hint="eastAsia" w:cs="宋体"/>
          <w:sz w:val="24"/>
          <w:szCs w:val="24"/>
          <w:shd w:val="clear" w:color="auto" w:fill="FFFFFF"/>
        </w:rPr>
        <w:t>，生产厂为</w:t>
      </w:r>
      <w:r>
        <w:rPr>
          <w:rFonts w:hint="eastAsia" w:cs="宋体"/>
          <w:sz w:val="24"/>
          <w:szCs w:val="24"/>
          <w:u w:val="single"/>
          <w:shd w:val="clear" w:color="auto" w:fill="FFFFFF"/>
        </w:rPr>
        <w:t>（厂名）</w:t>
      </w:r>
      <w:r>
        <w:rPr>
          <w:rFonts w:hint="eastAsia" w:cs="宋体"/>
          <w:sz w:val="24"/>
          <w:szCs w:val="24"/>
          <w:shd w:val="clear" w:color="auto" w:fill="FFFFFF"/>
        </w:rPr>
        <w:t>，厂址为</w:t>
      </w:r>
      <w:r>
        <w:rPr>
          <w:rFonts w:hint="eastAsia" w:cs="宋体"/>
          <w:sz w:val="24"/>
          <w:szCs w:val="24"/>
          <w:u w:val="single"/>
          <w:shd w:val="clear" w:color="auto" w:fill="FFFFFF"/>
        </w:rPr>
        <w:t>（生产厂址）</w:t>
      </w:r>
      <w:r>
        <w:rPr>
          <w:rFonts w:hint="eastAsia" w:cs="宋体"/>
          <w:sz w:val="24"/>
          <w:szCs w:val="24"/>
          <w:shd w:val="clear" w:color="auto" w:fill="FFFFFF"/>
        </w:rPr>
        <w:t>。</w:t>
      </w:r>
      <w:r>
        <w:rPr>
          <w:rFonts w:hint="eastAsia" w:cs="宋体"/>
          <w:sz w:val="24"/>
          <w:szCs w:val="24"/>
          <w:u w:val="single"/>
          <w:shd w:val="clear" w:color="auto" w:fill="FFFFFF"/>
        </w:rPr>
        <w:t xml:space="preserve"> /  </w:t>
      </w:r>
      <w:r>
        <w:rPr>
          <w:rFonts w:hint="eastAsia" w:cs="宋体"/>
          <w:sz w:val="24"/>
          <w:szCs w:val="24"/>
          <w:shd w:val="clear" w:color="auto" w:fill="FFFFFF"/>
        </w:rPr>
        <w:t>的中国境内生产的组件成本占比≥</w:t>
      </w:r>
      <w:r>
        <w:rPr>
          <w:rFonts w:hint="eastAsia" w:cs="宋体"/>
          <w:sz w:val="24"/>
          <w:szCs w:val="24"/>
          <w:u w:val="single"/>
          <w:shd w:val="clear" w:color="auto" w:fill="FFFFFF"/>
        </w:rPr>
        <w:t xml:space="preserve">  /  </w:t>
      </w:r>
      <w:r>
        <w:rPr>
          <w:rFonts w:hint="eastAsia" w:cs="宋体"/>
          <w:sz w:val="24"/>
          <w:szCs w:val="24"/>
          <w:shd w:val="clear" w:color="auto" w:fill="FFFFFF"/>
        </w:rPr>
        <w:t>。</w:t>
      </w:r>
      <w:r>
        <w:rPr>
          <w:rFonts w:hint="eastAsia" w:cs="宋体"/>
          <w:sz w:val="24"/>
          <w:szCs w:val="24"/>
          <w:u w:val="single"/>
          <w:shd w:val="clear" w:color="auto" w:fill="FFFFFF"/>
        </w:rPr>
        <w:t xml:space="preserve">  /  </w:t>
      </w:r>
      <w:r>
        <w:rPr>
          <w:rFonts w:hint="eastAsia" w:cs="宋体"/>
          <w:sz w:val="24"/>
          <w:szCs w:val="24"/>
          <w:shd w:val="clear" w:color="auto" w:fill="FFFFFF"/>
        </w:rPr>
        <w:t>的</w:t>
      </w:r>
      <w:r>
        <w:rPr>
          <w:rFonts w:hint="eastAsia" w:cs="宋体"/>
          <w:sz w:val="24"/>
          <w:szCs w:val="24"/>
          <w:u w:val="single"/>
          <w:shd w:val="clear" w:color="auto" w:fill="FFFFFF"/>
        </w:rPr>
        <w:t xml:space="preserve">  /  </w:t>
      </w:r>
      <w:r>
        <w:rPr>
          <w:rFonts w:hint="eastAsia" w:cs="宋体"/>
          <w:sz w:val="24"/>
          <w:szCs w:val="24"/>
          <w:shd w:val="clear" w:color="auto" w:fill="FFFFFF"/>
        </w:rPr>
        <w:t>在中国境内生产。</w:t>
      </w:r>
      <w:r>
        <w:rPr>
          <w:rFonts w:hint="eastAsia" w:cs="宋体"/>
          <w:sz w:val="24"/>
          <w:szCs w:val="24"/>
          <w:u w:val="single"/>
          <w:shd w:val="clear" w:color="auto" w:fill="FFFFFF"/>
        </w:rPr>
        <w:t xml:space="preserve">  /  </w:t>
      </w:r>
      <w:r>
        <w:rPr>
          <w:rFonts w:hint="eastAsia" w:cs="宋体"/>
          <w:sz w:val="24"/>
          <w:szCs w:val="24"/>
          <w:shd w:val="clear" w:color="auto" w:fill="FFFFFF"/>
        </w:rPr>
        <w:t>的</w:t>
      </w:r>
      <w:r>
        <w:rPr>
          <w:rFonts w:hint="eastAsia" w:cs="宋体"/>
          <w:sz w:val="24"/>
          <w:szCs w:val="24"/>
          <w:u w:val="single"/>
          <w:shd w:val="clear" w:color="auto" w:fill="FFFFFF"/>
        </w:rPr>
        <w:t xml:space="preserve">  /  </w:t>
      </w:r>
      <w:r>
        <w:rPr>
          <w:rFonts w:hint="eastAsia" w:cs="宋体"/>
          <w:sz w:val="24"/>
          <w:szCs w:val="24"/>
          <w:shd w:val="clear" w:color="auto" w:fill="FFFFFF"/>
        </w:rPr>
        <w:t>在中国境内完成。</w:t>
      </w:r>
    </w:p>
    <w:p w14:paraId="6F928423">
      <w:pPr>
        <w:widowControl/>
        <w:spacing w:before="30" w:after="30" w:line="0" w:lineRule="atLeast"/>
        <w:ind w:firstLine="420"/>
        <w:jc w:val="left"/>
        <w:rPr>
          <w:rFonts w:cs="宋体"/>
          <w:sz w:val="24"/>
          <w:szCs w:val="24"/>
        </w:rPr>
      </w:pPr>
      <w:r>
        <w:rPr>
          <w:rFonts w:hint="eastAsia" w:cs="宋体"/>
          <w:sz w:val="24"/>
          <w:szCs w:val="24"/>
          <w:shd w:val="clear" w:color="auto" w:fill="FFFFFF"/>
        </w:rPr>
        <w:t>……</w:t>
      </w:r>
    </w:p>
    <w:p w14:paraId="402B26E2">
      <w:pPr>
        <w:widowControl/>
        <w:spacing w:before="30" w:after="30" w:line="0" w:lineRule="atLeast"/>
        <w:ind w:firstLine="420"/>
        <w:jc w:val="left"/>
        <w:rPr>
          <w:rFonts w:cs="宋体"/>
          <w:sz w:val="24"/>
          <w:szCs w:val="24"/>
        </w:rPr>
      </w:pPr>
      <w:r>
        <w:rPr>
          <w:rFonts w:hint="eastAsia" w:cs="宋体"/>
          <w:sz w:val="24"/>
          <w:szCs w:val="24"/>
          <w:shd w:val="clear" w:color="auto" w:fill="FFFFFF"/>
        </w:rPr>
        <w:t>本公司（单位）对上述声明内容的真实性负责。如有虚假，愿承担相应法律责任。</w:t>
      </w:r>
    </w:p>
    <w:p w14:paraId="638A851F">
      <w:pPr>
        <w:widowControl/>
        <w:spacing w:before="30" w:after="30" w:line="0" w:lineRule="atLeast"/>
        <w:jc w:val="left"/>
        <w:rPr>
          <w:rFonts w:cs="宋体"/>
          <w:sz w:val="24"/>
          <w:szCs w:val="24"/>
        </w:rPr>
      </w:pPr>
      <w:r>
        <w:rPr>
          <w:rFonts w:cs="宋体"/>
          <w:sz w:val="24"/>
          <w:szCs w:val="24"/>
        </w:rPr>
        <w:t> </w:t>
      </w:r>
    </w:p>
    <w:p w14:paraId="554D52C9">
      <w:pPr>
        <w:widowControl/>
        <w:spacing w:before="30" w:after="30" w:line="0" w:lineRule="atLeast"/>
        <w:jc w:val="right"/>
        <w:rPr>
          <w:rFonts w:cs="宋体"/>
          <w:sz w:val="24"/>
          <w:szCs w:val="24"/>
        </w:rPr>
      </w:pPr>
      <w:r>
        <w:rPr>
          <w:rFonts w:hint="eastAsia" w:cs="宋体"/>
          <w:sz w:val="24"/>
          <w:szCs w:val="24"/>
          <w:shd w:val="clear" w:color="auto" w:fill="FFFFFF"/>
        </w:rPr>
        <w:t xml:space="preserve">   公司（单位）名称（加盖CA电子公章）：         </w:t>
      </w:r>
    </w:p>
    <w:p w14:paraId="46C54B09">
      <w:pPr>
        <w:widowControl/>
        <w:spacing w:before="30" w:after="30" w:line="0" w:lineRule="atLeast"/>
        <w:jc w:val="right"/>
        <w:rPr>
          <w:rFonts w:cs="宋体"/>
          <w:sz w:val="24"/>
          <w:szCs w:val="24"/>
        </w:rPr>
      </w:pPr>
      <w:r>
        <w:rPr>
          <w:rFonts w:hint="eastAsia" w:cs="宋体"/>
          <w:sz w:val="24"/>
          <w:szCs w:val="24"/>
          <w:shd w:val="clear" w:color="auto" w:fill="FFFFFF"/>
        </w:rPr>
        <w:t xml:space="preserve">  日期：      年   月   日         </w:t>
      </w:r>
    </w:p>
    <w:p w14:paraId="391A639F">
      <w:pPr>
        <w:widowControl/>
        <w:spacing w:before="30" w:after="30" w:line="0" w:lineRule="atLeast"/>
        <w:jc w:val="left"/>
        <w:rPr>
          <w:rFonts w:cs="宋体"/>
          <w:sz w:val="24"/>
          <w:szCs w:val="24"/>
        </w:rPr>
      </w:pPr>
      <w:r>
        <w:rPr>
          <w:rFonts w:hint="eastAsia" w:cs="宋体"/>
          <w:sz w:val="24"/>
          <w:szCs w:val="24"/>
          <w:shd w:val="clear" w:color="auto" w:fill="FFFFFF"/>
        </w:rPr>
        <w:t>__________________</w:t>
      </w:r>
    </w:p>
    <w:p w14:paraId="4FF4CBBD">
      <w:pPr>
        <w:widowControl/>
        <w:spacing w:before="30" w:after="30" w:line="0" w:lineRule="atLeast"/>
        <w:jc w:val="left"/>
        <w:rPr>
          <w:rFonts w:cs="宋体"/>
          <w:sz w:val="24"/>
          <w:szCs w:val="24"/>
        </w:rPr>
      </w:pPr>
      <w:r>
        <w:rPr>
          <w:rFonts w:hint="eastAsia" w:cs="宋体"/>
          <w:sz w:val="24"/>
          <w:szCs w:val="24"/>
          <w:shd w:val="clear" w:color="auto" w:fill="FFFFFF"/>
        </w:rPr>
        <w:t>1.产品如有型号，请在“产品名称”栏一并填写。</w:t>
      </w:r>
    </w:p>
    <w:p w14:paraId="2E696D7C">
      <w:pPr>
        <w:widowControl/>
        <w:spacing w:before="30" w:after="30" w:line="0" w:lineRule="atLeast"/>
        <w:jc w:val="left"/>
        <w:rPr>
          <w:rFonts w:cs="宋体"/>
          <w:sz w:val="24"/>
          <w:szCs w:val="24"/>
        </w:rPr>
      </w:pPr>
      <w:r>
        <w:rPr>
          <w:rFonts w:hint="eastAsia" w:cs="宋体"/>
          <w:sz w:val="24"/>
          <w:szCs w:val="24"/>
          <w:shd w:val="clear" w:color="auto" w:fill="FFFFFF"/>
        </w:rPr>
        <w:t>2.生产厂名与厂址应与生产厂营业执照载明的相关信息保持一致。</w:t>
      </w:r>
    </w:p>
    <w:p w14:paraId="6886B90D">
      <w:pPr>
        <w:widowControl/>
        <w:spacing w:before="30" w:after="30" w:line="0" w:lineRule="atLeast"/>
        <w:jc w:val="left"/>
        <w:rPr>
          <w:rFonts w:cs="宋体"/>
          <w:sz w:val="24"/>
          <w:szCs w:val="24"/>
        </w:rPr>
      </w:pPr>
      <w:r>
        <w:rPr>
          <w:rFonts w:hint="eastAsia" w:cs="宋体"/>
          <w:sz w:val="24"/>
          <w:szCs w:val="24"/>
          <w:shd w:val="clear" w:color="auto" w:fill="FFFFFF"/>
        </w:rPr>
        <w:t>3.该产品的中国境内生产的组件成本占比相关要求实施前，“规定比例”栏可不填，下同。</w:t>
      </w:r>
    </w:p>
    <w:p w14:paraId="7CD4BA5D">
      <w:pPr>
        <w:widowControl/>
        <w:spacing w:before="30" w:after="30" w:line="0" w:lineRule="atLeast"/>
        <w:jc w:val="left"/>
        <w:rPr>
          <w:rFonts w:cs="宋体"/>
          <w:sz w:val="24"/>
          <w:szCs w:val="24"/>
        </w:rPr>
      </w:pPr>
      <w:r>
        <w:rPr>
          <w:rFonts w:hint="eastAsia" w:cs="宋体"/>
          <w:sz w:val="24"/>
          <w:szCs w:val="24"/>
          <w:shd w:val="clear" w:color="auto" w:fill="FFFFFF"/>
        </w:rPr>
        <w:t>4.该产品的关键组件要求实施前，“关键组件”栏可不填，下同。</w:t>
      </w:r>
    </w:p>
    <w:p w14:paraId="043A6763">
      <w:pPr>
        <w:widowControl/>
        <w:spacing w:before="30" w:after="30" w:line="0" w:lineRule="atLeast"/>
        <w:jc w:val="left"/>
        <w:rPr>
          <w:rFonts w:cs="宋体"/>
          <w:sz w:val="24"/>
          <w:szCs w:val="24"/>
        </w:rPr>
      </w:pPr>
      <w:r>
        <w:rPr>
          <w:rFonts w:hint="eastAsia" w:cs="宋体"/>
          <w:sz w:val="24"/>
          <w:szCs w:val="24"/>
          <w:shd w:val="clear" w:color="auto" w:fill="FFFFFF"/>
        </w:rPr>
        <w:t>5.该产品的关键工序要求实施前，“关键工序”栏可不填，下同。</w:t>
      </w:r>
    </w:p>
    <w:p w14:paraId="5FC9F442">
      <w:pPr>
        <w:widowControl/>
        <w:spacing w:before="30" w:after="30" w:line="0" w:lineRule="atLeast"/>
        <w:jc w:val="left"/>
        <w:rPr>
          <w:rFonts w:cs="宋体"/>
          <w:sz w:val="24"/>
          <w:szCs w:val="24"/>
        </w:rPr>
      </w:pPr>
      <w:r>
        <w:rPr>
          <w:rFonts w:hint="eastAsia" w:cs="宋体"/>
          <w:sz w:val="24"/>
          <w:szCs w:val="24"/>
          <w:shd w:val="clear" w:color="auto" w:fill="FFFFFF"/>
        </w:rPr>
        <w:t>6.《声明函》中标注“</w:t>
      </w:r>
      <w:r>
        <w:rPr>
          <w:rFonts w:hint="eastAsia" w:cs="宋体"/>
          <w:sz w:val="24"/>
          <w:szCs w:val="24"/>
          <w:u w:val="single"/>
          <w:shd w:val="clear" w:color="auto" w:fill="FFFFFF"/>
        </w:rPr>
        <w:t xml:space="preserve">  /  </w:t>
      </w:r>
      <w:r>
        <w:rPr>
          <w:rFonts w:hint="eastAsia" w:cs="宋体"/>
          <w:sz w:val="24"/>
          <w:szCs w:val="24"/>
          <w:shd w:val="clear" w:color="auto" w:fill="FFFFFF"/>
        </w:rPr>
        <w:t>”的地方无需填写。</w:t>
      </w:r>
    </w:p>
    <w:p w14:paraId="410C2C52">
      <w:pPr>
        <w:pStyle w:val="276"/>
        <w:rPr>
          <w:rFonts w:ascii="Times New Roman" w:hAnsi="Times New Roman"/>
        </w:rPr>
      </w:pPr>
      <w:r>
        <w:rPr>
          <w:rFonts w:ascii="宋体" w:hAnsi="宋体" w:cs="Times New Roman"/>
          <w:bCs/>
          <w:szCs w:val="20"/>
        </w:rPr>
        <w:br w:type="page" w:clear="all"/>
      </w:r>
    </w:p>
    <w:p w14:paraId="046504B6">
      <w:pPr>
        <w:pStyle w:val="276"/>
        <w:outlineLvl w:val="1"/>
        <w:rPr>
          <w:rFonts w:ascii="Times New Roman" w:hAnsi="Times New Roman"/>
        </w:rPr>
      </w:pPr>
      <w:bookmarkStart w:id="184" w:name="_Toc14567"/>
      <w:r>
        <w:rPr>
          <w:rFonts w:hint="eastAsia" w:ascii="Times New Roman" w:hAnsi="Times New Roman"/>
        </w:rPr>
        <w:t>七、技术响应偏离表（技术参数响应）</w:t>
      </w:r>
      <w:bookmarkEnd w:id="184"/>
    </w:p>
    <w:tbl>
      <w:tblPr>
        <w:tblStyle w:val="49"/>
        <w:tblW w:w="0" w:type="auto"/>
        <w:tblInd w:w="-117" w:type="dxa"/>
        <w:tblLayout w:type="autofit"/>
        <w:tblCellMar>
          <w:top w:w="0" w:type="dxa"/>
          <w:left w:w="108" w:type="dxa"/>
          <w:bottom w:w="0" w:type="dxa"/>
          <w:right w:w="108" w:type="dxa"/>
        </w:tblCellMar>
      </w:tblPr>
      <w:tblGrid>
        <w:gridCol w:w="2756"/>
        <w:gridCol w:w="2358"/>
        <w:gridCol w:w="1975"/>
        <w:gridCol w:w="2197"/>
      </w:tblGrid>
      <w:tr w14:paraId="72D841EF">
        <w:tblPrEx>
          <w:tblCellMar>
            <w:top w:w="0" w:type="dxa"/>
            <w:left w:w="108" w:type="dxa"/>
            <w:bottom w:w="0" w:type="dxa"/>
            <w:right w:w="108" w:type="dxa"/>
          </w:tblCellMar>
        </w:tblPrEx>
        <w:trPr>
          <w:trHeight w:val="665" w:hRule="atLeast"/>
        </w:trPr>
        <w:tc>
          <w:tcPr>
            <w:tcW w:w="2791" w:type="dxa"/>
            <w:tcBorders>
              <w:top w:val="single" w:color="000000" w:sz="8" w:space="0"/>
              <w:left w:val="single" w:color="000000" w:sz="8" w:space="0"/>
              <w:bottom w:val="single" w:color="000000" w:sz="8" w:space="0"/>
              <w:right w:val="single" w:color="000000" w:sz="8" w:space="0"/>
            </w:tcBorders>
            <w:vAlign w:val="center"/>
          </w:tcPr>
          <w:p w14:paraId="0E175ABC">
            <w:pPr>
              <w:spacing w:before="100" w:line="559" w:lineRule="atLeast"/>
              <w:jc w:val="center"/>
              <w:rPr>
                <w:rFonts w:ascii="宋体" w:hAnsi="宋体" w:cs="仿宋"/>
                <w:szCs w:val="22"/>
              </w:rPr>
            </w:pPr>
            <w:r>
              <w:rPr>
                <w:rFonts w:hint="eastAsia" w:ascii="宋体" w:hAnsi="宋体" w:cs="仿宋"/>
                <w:sz w:val="28"/>
                <w:szCs w:val="22"/>
              </w:rPr>
              <w:t>招标文件内容</w:t>
            </w:r>
          </w:p>
        </w:tc>
        <w:tc>
          <w:tcPr>
            <w:tcW w:w="2386" w:type="dxa"/>
            <w:tcBorders>
              <w:top w:val="single" w:color="000000" w:sz="8" w:space="0"/>
              <w:left w:val="nil"/>
              <w:bottom w:val="single" w:color="000000" w:sz="8" w:space="0"/>
              <w:right w:val="single" w:color="000000" w:sz="8" w:space="0"/>
            </w:tcBorders>
            <w:vAlign w:val="center"/>
          </w:tcPr>
          <w:p w14:paraId="5A9931EB">
            <w:pPr>
              <w:spacing w:before="100" w:line="559" w:lineRule="atLeast"/>
              <w:jc w:val="center"/>
              <w:rPr>
                <w:rFonts w:ascii="宋体" w:hAnsi="宋体" w:cs="仿宋"/>
                <w:szCs w:val="22"/>
              </w:rPr>
            </w:pPr>
            <w:r>
              <w:rPr>
                <w:rFonts w:hint="eastAsia" w:ascii="宋体" w:hAnsi="宋体" w:cs="仿宋"/>
                <w:sz w:val="28"/>
                <w:szCs w:val="22"/>
              </w:rPr>
              <w:t>投标文件内容</w:t>
            </w:r>
          </w:p>
        </w:tc>
        <w:tc>
          <w:tcPr>
            <w:tcW w:w="1994" w:type="dxa"/>
            <w:tcBorders>
              <w:top w:val="single" w:color="000000" w:sz="8" w:space="0"/>
              <w:left w:val="nil"/>
              <w:bottom w:val="single" w:color="000000" w:sz="8" w:space="0"/>
              <w:right w:val="single" w:color="000000" w:sz="8" w:space="0"/>
            </w:tcBorders>
            <w:vAlign w:val="center"/>
          </w:tcPr>
          <w:p w14:paraId="123E1B7B">
            <w:pPr>
              <w:spacing w:before="100" w:line="400" w:lineRule="exact"/>
              <w:jc w:val="center"/>
              <w:rPr>
                <w:rFonts w:ascii="宋体" w:hAnsi="宋体" w:cs="仿宋"/>
                <w:sz w:val="28"/>
                <w:szCs w:val="22"/>
              </w:rPr>
            </w:pPr>
            <w:r>
              <w:rPr>
                <w:rFonts w:hint="eastAsia" w:ascii="宋体" w:hAnsi="宋体" w:cs="仿宋"/>
                <w:sz w:val="28"/>
                <w:szCs w:val="22"/>
              </w:rPr>
              <w:t>偏离情况</w:t>
            </w:r>
          </w:p>
          <w:p w14:paraId="29073819">
            <w:pPr>
              <w:spacing w:before="100" w:line="400" w:lineRule="exact"/>
              <w:jc w:val="center"/>
              <w:rPr>
                <w:rFonts w:ascii="宋体" w:hAnsi="宋体" w:cs="仿宋"/>
                <w:sz w:val="28"/>
                <w:szCs w:val="22"/>
              </w:rPr>
            </w:pPr>
            <w:r>
              <w:rPr>
                <w:rFonts w:hint="eastAsia" w:ascii="宋体" w:hAnsi="宋体" w:cs="仿宋"/>
                <w:sz w:val="28"/>
                <w:szCs w:val="22"/>
              </w:rPr>
              <w:t>（</w:t>
            </w:r>
            <w:r>
              <w:rPr>
                <w:rFonts w:ascii="宋体" w:hAnsi="宋体" w:cs="仿宋"/>
                <w:b/>
                <w:sz w:val="24"/>
                <w:szCs w:val="22"/>
              </w:rPr>
              <w:t>正偏离、负偏离、无偏离</w:t>
            </w:r>
            <w:r>
              <w:rPr>
                <w:rFonts w:hint="eastAsia" w:ascii="宋体" w:hAnsi="宋体" w:cs="仿宋"/>
                <w:sz w:val="28"/>
                <w:szCs w:val="22"/>
              </w:rPr>
              <w:t>）</w:t>
            </w:r>
          </w:p>
        </w:tc>
        <w:tc>
          <w:tcPr>
            <w:tcW w:w="2223" w:type="dxa"/>
            <w:tcBorders>
              <w:top w:val="single" w:color="000000" w:sz="8" w:space="0"/>
              <w:left w:val="nil"/>
              <w:bottom w:val="single" w:color="000000" w:sz="8" w:space="0"/>
              <w:right w:val="single" w:color="000000" w:sz="8" w:space="0"/>
            </w:tcBorders>
            <w:vAlign w:val="center"/>
          </w:tcPr>
          <w:p w14:paraId="5AFB1718">
            <w:pPr>
              <w:spacing w:before="100" w:line="559" w:lineRule="atLeast"/>
              <w:jc w:val="center"/>
              <w:rPr>
                <w:rFonts w:ascii="宋体" w:hAnsi="宋体" w:cs="仿宋"/>
                <w:sz w:val="28"/>
                <w:szCs w:val="28"/>
              </w:rPr>
            </w:pPr>
            <w:r>
              <w:rPr>
                <w:rFonts w:hint="eastAsia" w:ascii="宋体" w:hAnsi="宋体" w:cs="仿宋"/>
                <w:sz w:val="28"/>
                <w:szCs w:val="22"/>
              </w:rPr>
              <w:t>偏离内容及说明</w:t>
            </w:r>
          </w:p>
        </w:tc>
      </w:tr>
      <w:tr w14:paraId="6B9E2A97">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vAlign w:val="center"/>
          </w:tcPr>
          <w:p w14:paraId="020ED725">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2386" w:type="dxa"/>
            <w:tcBorders>
              <w:top w:val="nil"/>
              <w:left w:val="nil"/>
              <w:bottom w:val="single" w:color="000000" w:sz="8" w:space="0"/>
              <w:right w:val="single" w:color="000000" w:sz="8" w:space="0"/>
            </w:tcBorders>
            <w:vAlign w:val="center"/>
          </w:tcPr>
          <w:p w14:paraId="11955E2E">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1994" w:type="dxa"/>
            <w:tcBorders>
              <w:top w:val="nil"/>
              <w:left w:val="nil"/>
              <w:bottom w:val="single" w:color="000000" w:sz="8" w:space="0"/>
              <w:right w:val="single" w:color="000000" w:sz="8" w:space="0"/>
            </w:tcBorders>
            <w:vAlign w:val="center"/>
          </w:tcPr>
          <w:p w14:paraId="6A2902E1">
            <w:pPr>
              <w:spacing w:line="559" w:lineRule="atLeast"/>
              <w:jc w:val="center"/>
              <w:rPr>
                <w:rFonts w:ascii="仿宋" w:hAnsi="仿宋" w:eastAsia="仿宋" w:cs="仿宋"/>
                <w:sz w:val="24"/>
                <w:szCs w:val="22"/>
              </w:rPr>
            </w:pPr>
          </w:p>
        </w:tc>
        <w:tc>
          <w:tcPr>
            <w:tcW w:w="2223" w:type="dxa"/>
            <w:tcBorders>
              <w:top w:val="nil"/>
              <w:left w:val="nil"/>
              <w:bottom w:val="single" w:color="000000" w:sz="8" w:space="0"/>
              <w:right w:val="single" w:color="000000" w:sz="8" w:space="0"/>
            </w:tcBorders>
            <w:vAlign w:val="center"/>
          </w:tcPr>
          <w:p w14:paraId="209BB561">
            <w:pPr>
              <w:spacing w:line="559" w:lineRule="atLeast"/>
              <w:jc w:val="center"/>
              <w:rPr>
                <w:rFonts w:ascii="仿宋" w:hAnsi="仿宋" w:eastAsia="仿宋" w:cs="仿宋"/>
                <w:szCs w:val="22"/>
              </w:rPr>
            </w:pPr>
            <w:r>
              <w:rPr>
                <w:rFonts w:hint="eastAsia" w:ascii="仿宋" w:hAnsi="仿宋" w:eastAsia="仿宋" w:cs="仿宋"/>
                <w:sz w:val="24"/>
                <w:szCs w:val="22"/>
              </w:rPr>
              <w:t> </w:t>
            </w:r>
          </w:p>
        </w:tc>
      </w:tr>
      <w:tr w14:paraId="7C44E093">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vAlign w:val="center"/>
          </w:tcPr>
          <w:p w14:paraId="34E2C52D">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2386" w:type="dxa"/>
            <w:tcBorders>
              <w:top w:val="nil"/>
              <w:left w:val="nil"/>
              <w:bottom w:val="single" w:color="000000" w:sz="8" w:space="0"/>
              <w:right w:val="single" w:color="000000" w:sz="8" w:space="0"/>
            </w:tcBorders>
            <w:vAlign w:val="center"/>
          </w:tcPr>
          <w:p w14:paraId="6BF12567">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1994" w:type="dxa"/>
            <w:tcBorders>
              <w:top w:val="nil"/>
              <w:left w:val="nil"/>
              <w:bottom w:val="single" w:color="000000" w:sz="8" w:space="0"/>
              <w:right w:val="single" w:color="000000" w:sz="8" w:space="0"/>
            </w:tcBorders>
            <w:vAlign w:val="center"/>
          </w:tcPr>
          <w:p w14:paraId="0C68E19D">
            <w:pPr>
              <w:spacing w:line="559" w:lineRule="atLeast"/>
              <w:jc w:val="center"/>
              <w:rPr>
                <w:rFonts w:ascii="仿宋" w:hAnsi="仿宋" w:eastAsia="仿宋" w:cs="仿宋"/>
                <w:sz w:val="24"/>
                <w:szCs w:val="22"/>
              </w:rPr>
            </w:pPr>
          </w:p>
        </w:tc>
        <w:tc>
          <w:tcPr>
            <w:tcW w:w="2223" w:type="dxa"/>
            <w:tcBorders>
              <w:top w:val="nil"/>
              <w:left w:val="nil"/>
              <w:bottom w:val="single" w:color="000000" w:sz="8" w:space="0"/>
              <w:right w:val="single" w:color="000000" w:sz="8" w:space="0"/>
            </w:tcBorders>
            <w:vAlign w:val="center"/>
          </w:tcPr>
          <w:p w14:paraId="3E01790C">
            <w:pPr>
              <w:spacing w:line="559" w:lineRule="atLeast"/>
              <w:jc w:val="center"/>
              <w:rPr>
                <w:rFonts w:ascii="仿宋" w:hAnsi="仿宋" w:eastAsia="仿宋" w:cs="仿宋"/>
                <w:szCs w:val="22"/>
              </w:rPr>
            </w:pPr>
            <w:r>
              <w:rPr>
                <w:rFonts w:hint="eastAsia" w:ascii="仿宋" w:hAnsi="仿宋" w:eastAsia="仿宋" w:cs="仿宋"/>
                <w:sz w:val="24"/>
                <w:szCs w:val="22"/>
              </w:rPr>
              <w:t> </w:t>
            </w:r>
          </w:p>
        </w:tc>
      </w:tr>
      <w:tr w14:paraId="4146F4F9">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vAlign w:val="center"/>
          </w:tcPr>
          <w:p w14:paraId="753B4AA2">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2386" w:type="dxa"/>
            <w:tcBorders>
              <w:top w:val="nil"/>
              <w:left w:val="nil"/>
              <w:bottom w:val="single" w:color="000000" w:sz="8" w:space="0"/>
              <w:right w:val="single" w:color="000000" w:sz="8" w:space="0"/>
            </w:tcBorders>
            <w:vAlign w:val="center"/>
          </w:tcPr>
          <w:p w14:paraId="0EB8E319">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1994" w:type="dxa"/>
            <w:tcBorders>
              <w:top w:val="nil"/>
              <w:left w:val="nil"/>
              <w:bottom w:val="single" w:color="000000" w:sz="8" w:space="0"/>
              <w:right w:val="single" w:color="000000" w:sz="8" w:space="0"/>
            </w:tcBorders>
            <w:vAlign w:val="center"/>
          </w:tcPr>
          <w:p w14:paraId="31042D57">
            <w:pPr>
              <w:spacing w:line="559" w:lineRule="atLeast"/>
              <w:jc w:val="center"/>
              <w:rPr>
                <w:rFonts w:ascii="仿宋" w:hAnsi="仿宋" w:eastAsia="仿宋" w:cs="仿宋"/>
                <w:sz w:val="24"/>
                <w:szCs w:val="22"/>
              </w:rPr>
            </w:pPr>
          </w:p>
        </w:tc>
        <w:tc>
          <w:tcPr>
            <w:tcW w:w="2223" w:type="dxa"/>
            <w:tcBorders>
              <w:top w:val="nil"/>
              <w:left w:val="nil"/>
              <w:bottom w:val="single" w:color="000000" w:sz="8" w:space="0"/>
              <w:right w:val="single" w:color="000000" w:sz="8" w:space="0"/>
            </w:tcBorders>
            <w:vAlign w:val="center"/>
          </w:tcPr>
          <w:p w14:paraId="6D07908A">
            <w:pPr>
              <w:spacing w:line="559" w:lineRule="atLeast"/>
              <w:jc w:val="center"/>
              <w:rPr>
                <w:rFonts w:ascii="仿宋" w:hAnsi="仿宋" w:eastAsia="仿宋" w:cs="仿宋"/>
                <w:szCs w:val="22"/>
              </w:rPr>
            </w:pPr>
            <w:r>
              <w:rPr>
                <w:rFonts w:hint="eastAsia" w:ascii="仿宋" w:hAnsi="仿宋" w:eastAsia="仿宋" w:cs="仿宋"/>
                <w:sz w:val="24"/>
                <w:szCs w:val="22"/>
              </w:rPr>
              <w:t> </w:t>
            </w:r>
          </w:p>
        </w:tc>
      </w:tr>
      <w:tr w14:paraId="187EF4D0">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vAlign w:val="center"/>
          </w:tcPr>
          <w:p w14:paraId="7817513F">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2386" w:type="dxa"/>
            <w:tcBorders>
              <w:top w:val="nil"/>
              <w:left w:val="nil"/>
              <w:bottom w:val="single" w:color="000000" w:sz="8" w:space="0"/>
              <w:right w:val="single" w:color="000000" w:sz="8" w:space="0"/>
            </w:tcBorders>
            <w:vAlign w:val="center"/>
          </w:tcPr>
          <w:p w14:paraId="1168BA3F">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1994" w:type="dxa"/>
            <w:tcBorders>
              <w:top w:val="nil"/>
              <w:left w:val="nil"/>
              <w:bottom w:val="single" w:color="000000" w:sz="8" w:space="0"/>
              <w:right w:val="single" w:color="000000" w:sz="8" w:space="0"/>
            </w:tcBorders>
            <w:vAlign w:val="center"/>
          </w:tcPr>
          <w:p w14:paraId="1D1714FD">
            <w:pPr>
              <w:spacing w:line="559" w:lineRule="atLeast"/>
              <w:jc w:val="center"/>
              <w:rPr>
                <w:rFonts w:ascii="仿宋" w:hAnsi="仿宋" w:eastAsia="仿宋" w:cs="仿宋"/>
                <w:sz w:val="24"/>
                <w:szCs w:val="22"/>
              </w:rPr>
            </w:pPr>
          </w:p>
        </w:tc>
        <w:tc>
          <w:tcPr>
            <w:tcW w:w="2223" w:type="dxa"/>
            <w:tcBorders>
              <w:top w:val="nil"/>
              <w:left w:val="nil"/>
              <w:bottom w:val="single" w:color="000000" w:sz="8" w:space="0"/>
              <w:right w:val="single" w:color="000000" w:sz="8" w:space="0"/>
            </w:tcBorders>
            <w:vAlign w:val="center"/>
          </w:tcPr>
          <w:p w14:paraId="3BE41BD7">
            <w:pPr>
              <w:spacing w:line="559" w:lineRule="atLeast"/>
              <w:jc w:val="center"/>
              <w:rPr>
                <w:rFonts w:ascii="仿宋" w:hAnsi="仿宋" w:eastAsia="仿宋" w:cs="仿宋"/>
                <w:szCs w:val="22"/>
              </w:rPr>
            </w:pPr>
            <w:r>
              <w:rPr>
                <w:rFonts w:hint="eastAsia" w:ascii="仿宋" w:hAnsi="仿宋" w:eastAsia="仿宋" w:cs="仿宋"/>
                <w:sz w:val="24"/>
                <w:szCs w:val="22"/>
              </w:rPr>
              <w:t> </w:t>
            </w:r>
          </w:p>
        </w:tc>
      </w:tr>
      <w:tr w14:paraId="02262C2E">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vAlign w:val="center"/>
          </w:tcPr>
          <w:p w14:paraId="3A54B16B">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2386" w:type="dxa"/>
            <w:tcBorders>
              <w:top w:val="nil"/>
              <w:left w:val="nil"/>
              <w:bottom w:val="single" w:color="000000" w:sz="8" w:space="0"/>
              <w:right w:val="single" w:color="000000" w:sz="8" w:space="0"/>
            </w:tcBorders>
            <w:vAlign w:val="center"/>
          </w:tcPr>
          <w:p w14:paraId="6C32BC70">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1994" w:type="dxa"/>
            <w:tcBorders>
              <w:top w:val="nil"/>
              <w:left w:val="nil"/>
              <w:bottom w:val="single" w:color="000000" w:sz="8" w:space="0"/>
              <w:right w:val="single" w:color="000000" w:sz="8" w:space="0"/>
            </w:tcBorders>
            <w:vAlign w:val="center"/>
          </w:tcPr>
          <w:p w14:paraId="5E19D037">
            <w:pPr>
              <w:spacing w:line="559" w:lineRule="atLeast"/>
              <w:jc w:val="center"/>
              <w:rPr>
                <w:rFonts w:ascii="仿宋" w:hAnsi="仿宋" w:eastAsia="仿宋" w:cs="仿宋"/>
                <w:sz w:val="24"/>
                <w:szCs w:val="22"/>
              </w:rPr>
            </w:pPr>
          </w:p>
        </w:tc>
        <w:tc>
          <w:tcPr>
            <w:tcW w:w="2223" w:type="dxa"/>
            <w:tcBorders>
              <w:top w:val="nil"/>
              <w:left w:val="nil"/>
              <w:bottom w:val="single" w:color="000000" w:sz="8" w:space="0"/>
              <w:right w:val="single" w:color="000000" w:sz="8" w:space="0"/>
            </w:tcBorders>
            <w:vAlign w:val="center"/>
          </w:tcPr>
          <w:p w14:paraId="57A36F8A">
            <w:pPr>
              <w:spacing w:line="559" w:lineRule="atLeast"/>
              <w:jc w:val="center"/>
              <w:rPr>
                <w:rFonts w:ascii="仿宋" w:hAnsi="仿宋" w:eastAsia="仿宋" w:cs="仿宋"/>
                <w:szCs w:val="22"/>
              </w:rPr>
            </w:pPr>
            <w:r>
              <w:rPr>
                <w:rFonts w:hint="eastAsia" w:ascii="仿宋" w:hAnsi="仿宋" w:eastAsia="仿宋" w:cs="仿宋"/>
                <w:sz w:val="24"/>
                <w:szCs w:val="22"/>
              </w:rPr>
              <w:t> </w:t>
            </w:r>
          </w:p>
        </w:tc>
      </w:tr>
      <w:tr w14:paraId="150B4FD6">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vAlign w:val="center"/>
          </w:tcPr>
          <w:p w14:paraId="3228593A">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2386" w:type="dxa"/>
            <w:tcBorders>
              <w:top w:val="nil"/>
              <w:left w:val="nil"/>
              <w:bottom w:val="single" w:color="000000" w:sz="8" w:space="0"/>
              <w:right w:val="single" w:color="000000" w:sz="8" w:space="0"/>
            </w:tcBorders>
            <w:vAlign w:val="center"/>
          </w:tcPr>
          <w:p w14:paraId="2DDB1314">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1994" w:type="dxa"/>
            <w:tcBorders>
              <w:top w:val="nil"/>
              <w:left w:val="nil"/>
              <w:bottom w:val="single" w:color="000000" w:sz="8" w:space="0"/>
              <w:right w:val="single" w:color="000000" w:sz="8" w:space="0"/>
            </w:tcBorders>
            <w:vAlign w:val="center"/>
          </w:tcPr>
          <w:p w14:paraId="7EFF3D49">
            <w:pPr>
              <w:spacing w:line="559" w:lineRule="atLeast"/>
              <w:jc w:val="center"/>
              <w:rPr>
                <w:rFonts w:ascii="仿宋" w:hAnsi="仿宋" w:eastAsia="仿宋" w:cs="仿宋"/>
                <w:sz w:val="24"/>
                <w:szCs w:val="22"/>
              </w:rPr>
            </w:pPr>
          </w:p>
        </w:tc>
        <w:tc>
          <w:tcPr>
            <w:tcW w:w="2223" w:type="dxa"/>
            <w:tcBorders>
              <w:top w:val="nil"/>
              <w:left w:val="nil"/>
              <w:bottom w:val="single" w:color="000000" w:sz="8" w:space="0"/>
              <w:right w:val="single" w:color="000000" w:sz="8" w:space="0"/>
            </w:tcBorders>
            <w:vAlign w:val="center"/>
          </w:tcPr>
          <w:p w14:paraId="61EE045D">
            <w:pPr>
              <w:spacing w:line="559" w:lineRule="atLeast"/>
              <w:jc w:val="center"/>
              <w:rPr>
                <w:rFonts w:ascii="仿宋" w:hAnsi="仿宋" w:eastAsia="仿宋" w:cs="仿宋"/>
                <w:szCs w:val="22"/>
              </w:rPr>
            </w:pPr>
            <w:r>
              <w:rPr>
                <w:rFonts w:hint="eastAsia" w:ascii="仿宋" w:hAnsi="仿宋" w:eastAsia="仿宋" w:cs="仿宋"/>
                <w:sz w:val="24"/>
                <w:szCs w:val="22"/>
              </w:rPr>
              <w:t> </w:t>
            </w:r>
          </w:p>
        </w:tc>
      </w:tr>
      <w:tr w14:paraId="33DE8573">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vAlign w:val="center"/>
          </w:tcPr>
          <w:p w14:paraId="60142B42">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2386" w:type="dxa"/>
            <w:tcBorders>
              <w:top w:val="nil"/>
              <w:left w:val="nil"/>
              <w:bottom w:val="single" w:color="000000" w:sz="8" w:space="0"/>
              <w:right w:val="single" w:color="000000" w:sz="8" w:space="0"/>
            </w:tcBorders>
            <w:vAlign w:val="center"/>
          </w:tcPr>
          <w:p w14:paraId="747AAE96">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1994" w:type="dxa"/>
            <w:tcBorders>
              <w:top w:val="nil"/>
              <w:left w:val="nil"/>
              <w:bottom w:val="single" w:color="000000" w:sz="8" w:space="0"/>
              <w:right w:val="single" w:color="000000" w:sz="8" w:space="0"/>
            </w:tcBorders>
            <w:vAlign w:val="center"/>
          </w:tcPr>
          <w:p w14:paraId="7199D888">
            <w:pPr>
              <w:spacing w:line="559" w:lineRule="atLeast"/>
              <w:jc w:val="center"/>
              <w:rPr>
                <w:rFonts w:ascii="仿宋" w:hAnsi="仿宋" w:eastAsia="仿宋" w:cs="仿宋"/>
                <w:sz w:val="24"/>
                <w:szCs w:val="22"/>
              </w:rPr>
            </w:pPr>
          </w:p>
        </w:tc>
        <w:tc>
          <w:tcPr>
            <w:tcW w:w="2223" w:type="dxa"/>
            <w:tcBorders>
              <w:top w:val="nil"/>
              <w:left w:val="nil"/>
              <w:bottom w:val="single" w:color="000000" w:sz="8" w:space="0"/>
              <w:right w:val="single" w:color="000000" w:sz="8" w:space="0"/>
            </w:tcBorders>
            <w:vAlign w:val="center"/>
          </w:tcPr>
          <w:p w14:paraId="4FFE9E60">
            <w:pPr>
              <w:spacing w:line="559" w:lineRule="atLeast"/>
              <w:jc w:val="center"/>
              <w:rPr>
                <w:rFonts w:ascii="仿宋" w:hAnsi="仿宋" w:eastAsia="仿宋" w:cs="仿宋"/>
                <w:szCs w:val="22"/>
              </w:rPr>
            </w:pPr>
            <w:r>
              <w:rPr>
                <w:rFonts w:hint="eastAsia" w:ascii="仿宋" w:hAnsi="仿宋" w:eastAsia="仿宋" w:cs="仿宋"/>
                <w:sz w:val="24"/>
                <w:szCs w:val="22"/>
              </w:rPr>
              <w:t> </w:t>
            </w:r>
          </w:p>
        </w:tc>
      </w:tr>
      <w:tr w14:paraId="6BFE236E">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vAlign w:val="center"/>
          </w:tcPr>
          <w:p w14:paraId="2EC3BE71">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2386" w:type="dxa"/>
            <w:tcBorders>
              <w:top w:val="nil"/>
              <w:left w:val="nil"/>
              <w:bottom w:val="single" w:color="000000" w:sz="8" w:space="0"/>
              <w:right w:val="single" w:color="000000" w:sz="8" w:space="0"/>
            </w:tcBorders>
            <w:vAlign w:val="center"/>
          </w:tcPr>
          <w:p w14:paraId="18ACA466">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1994" w:type="dxa"/>
            <w:tcBorders>
              <w:top w:val="nil"/>
              <w:left w:val="nil"/>
              <w:bottom w:val="single" w:color="000000" w:sz="8" w:space="0"/>
              <w:right w:val="single" w:color="000000" w:sz="8" w:space="0"/>
            </w:tcBorders>
            <w:vAlign w:val="center"/>
          </w:tcPr>
          <w:p w14:paraId="2703D5E9">
            <w:pPr>
              <w:spacing w:line="559" w:lineRule="atLeast"/>
              <w:jc w:val="center"/>
              <w:rPr>
                <w:rFonts w:ascii="仿宋" w:hAnsi="仿宋" w:eastAsia="仿宋" w:cs="仿宋"/>
                <w:sz w:val="24"/>
                <w:szCs w:val="22"/>
              </w:rPr>
            </w:pPr>
          </w:p>
        </w:tc>
        <w:tc>
          <w:tcPr>
            <w:tcW w:w="2223" w:type="dxa"/>
            <w:tcBorders>
              <w:top w:val="nil"/>
              <w:left w:val="nil"/>
              <w:bottom w:val="single" w:color="000000" w:sz="8" w:space="0"/>
              <w:right w:val="single" w:color="000000" w:sz="8" w:space="0"/>
            </w:tcBorders>
            <w:vAlign w:val="center"/>
          </w:tcPr>
          <w:p w14:paraId="1CC1B74A">
            <w:pPr>
              <w:spacing w:line="559" w:lineRule="atLeast"/>
              <w:jc w:val="center"/>
              <w:rPr>
                <w:rFonts w:ascii="仿宋" w:hAnsi="仿宋" w:eastAsia="仿宋" w:cs="仿宋"/>
                <w:szCs w:val="22"/>
              </w:rPr>
            </w:pPr>
            <w:r>
              <w:rPr>
                <w:rFonts w:hint="eastAsia" w:ascii="仿宋" w:hAnsi="仿宋" w:eastAsia="仿宋" w:cs="仿宋"/>
                <w:sz w:val="24"/>
                <w:szCs w:val="22"/>
              </w:rPr>
              <w:t> </w:t>
            </w:r>
          </w:p>
        </w:tc>
      </w:tr>
      <w:tr w14:paraId="240BBF04">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vAlign w:val="center"/>
          </w:tcPr>
          <w:p w14:paraId="300754E4">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2386" w:type="dxa"/>
            <w:tcBorders>
              <w:top w:val="nil"/>
              <w:left w:val="nil"/>
              <w:bottom w:val="single" w:color="000000" w:sz="8" w:space="0"/>
              <w:right w:val="single" w:color="000000" w:sz="8" w:space="0"/>
            </w:tcBorders>
            <w:vAlign w:val="center"/>
          </w:tcPr>
          <w:p w14:paraId="5B235091">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1994" w:type="dxa"/>
            <w:tcBorders>
              <w:top w:val="nil"/>
              <w:left w:val="nil"/>
              <w:bottom w:val="single" w:color="000000" w:sz="8" w:space="0"/>
              <w:right w:val="single" w:color="000000" w:sz="8" w:space="0"/>
            </w:tcBorders>
            <w:vAlign w:val="center"/>
          </w:tcPr>
          <w:p w14:paraId="1D5F08F1">
            <w:pPr>
              <w:spacing w:line="559" w:lineRule="atLeast"/>
              <w:jc w:val="center"/>
              <w:rPr>
                <w:rFonts w:ascii="仿宋" w:hAnsi="仿宋" w:eastAsia="仿宋" w:cs="仿宋"/>
                <w:sz w:val="24"/>
                <w:szCs w:val="22"/>
              </w:rPr>
            </w:pPr>
          </w:p>
        </w:tc>
        <w:tc>
          <w:tcPr>
            <w:tcW w:w="2223" w:type="dxa"/>
            <w:tcBorders>
              <w:top w:val="nil"/>
              <w:left w:val="nil"/>
              <w:bottom w:val="single" w:color="000000" w:sz="8" w:space="0"/>
              <w:right w:val="single" w:color="000000" w:sz="8" w:space="0"/>
            </w:tcBorders>
            <w:vAlign w:val="center"/>
          </w:tcPr>
          <w:p w14:paraId="016B5B9C">
            <w:pPr>
              <w:spacing w:line="559" w:lineRule="atLeast"/>
              <w:jc w:val="center"/>
              <w:rPr>
                <w:rFonts w:ascii="仿宋" w:hAnsi="仿宋" w:eastAsia="仿宋" w:cs="仿宋"/>
                <w:szCs w:val="22"/>
              </w:rPr>
            </w:pPr>
            <w:r>
              <w:rPr>
                <w:rFonts w:hint="eastAsia" w:ascii="仿宋" w:hAnsi="仿宋" w:eastAsia="仿宋" w:cs="仿宋"/>
                <w:sz w:val="24"/>
                <w:szCs w:val="22"/>
              </w:rPr>
              <w:t> </w:t>
            </w:r>
          </w:p>
        </w:tc>
      </w:tr>
      <w:tr w14:paraId="10AB8916">
        <w:tblPrEx>
          <w:tblCellMar>
            <w:top w:w="0" w:type="dxa"/>
            <w:left w:w="108" w:type="dxa"/>
            <w:bottom w:w="0" w:type="dxa"/>
            <w:right w:w="108" w:type="dxa"/>
          </w:tblCellMar>
        </w:tblPrEx>
        <w:trPr>
          <w:trHeight w:val="665" w:hRule="atLeast"/>
        </w:trPr>
        <w:tc>
          <w:tcPr>
            <w:tcW w:w="2791" w:type="dxa"/>
            <w:tcBorders>
              <w:top w:val="nil"/>
              <w:left w:val="single" w:color="000000" w:sz="8" w:space="0"/>
              <w:bottom w:val="single" w:color="000000" w:sz="8" w:space="0"/>
              <w:right w:val="single" w:color="000000" w:sz="8" w:space="0"/>
            </w:tcBorders>
            <w:vAlign w:val="center"/>
          </w:tcPr>
          <w:p w14:paraId="5147C922">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2386" w:type="dxa"/>
            <w:tcBorders>
              <w:top w:val="nil"/>
              <w:left w:val="nil"/>
              <w:bottom w:val="single" w:color="000000" w:sz="8" w:space="0"/>
              <w:right w:val="single" w:color="000000" w:sz="8" w:space="0"/>
            </w:tcBorders>
            <w:vAlign w:val="center"/>
          </w:tcPr>
          <w:p w14:paraId="5F7590A6">
            <w:pPr>
              <w:spacing w:line="559" w:lineRule="atLeast"/>
              <w:jc w:val="center"/>
              <w:rPr>
                <w:rFonts w:ascii="仿宋" w:hAnsi="仿宋" w:eastAsia="仿宋" w:cs="仿宋"/>
                <w:szCs w:val="22"/>
              </w:rPr>
            </w:pPr>
            <w:r>
              <w:rPr>
                <w:rFonts w:hint="eastAsia" w:ascii="仿宋" w:hAnsi="仿宋" w:eastAsia="仿宋" w:cs="仿宋"/>
                <w:sz w:val="24"/>
                <w:szCs w:val="22"/>
              </w:rPr>
              <w:t> </w:t>
            </w:r>
          </w:p>
        </w:tc>
        <w:tc>
          <w:tcPr>
            <w:tcW w:w="1994" w:type="dxa"/>
            <w:tcBorders>
              <w:top w:val="nil"/>
              <w:left w:val="nil"/>
              <w:bottom w:val="single" w:color="000000" w:sz="8" w:space="0"/>
              <w:right w:val="single" w:color="000000" w:sz="8" w:space="0"/>
            </w:tcBorders>
            <w:vAlign w:val="center"/>
          </w:tcPr>
          <w:p w14:paraId="4B500A61">
            <w:pPr>
              <w:spacing w:line="559" w:lineRule="atLeast"/>
              <w:jc w:val="center"/>
              <w:rPr>
                <w:rFonts w:ascii="仿宋" w:hAnsi="仿宋" w:eastAsia="仿宋" w:cs="仿宋"/>
                <w:sz w:val="24"/>
                <w:szCs w:val="22"/>
              </w:rPr>
            </w:pPr>
          </w:p>
        </w:tc>
        <w:tc>
          <w:tcPr>
            <w:tcW w:w="2223" w:type="dxa"/>
            <w:tcBorders>
              <w:top w:val="nil"/>
              <w:left w:val="nil"/>
              <w:bottom w:val="single" w:color="000000" w:sz="8" w:space="0"/>
              <w:right w:val="single" w:color="000000" w:sz="8" w:space="0"/>
            </w:tcBorders>
            <w:vAlign w:val="center"/>
          </w:tcPr>
          <w:p w14:paraId="1D706C70">
            <w:pPr>
              <w:spacing w:line="559" w:lineRule="atLeast"/>
              <w:jc w:val="center"/>
              <w:rPr>
                <w:rFonts w:ascii="仿宋" w:hAnsi="仿宋" w:eastAsia="仿宋" w:cs="仿宋"/>
                <w:szCs w:val="22"/>
              </w:rPr>
            </w:pPr>
            <w:r>
              <w:rPr>
                <w:rFonts w:hint="eastAsia" w:ascii="仿宋" w:hAnsi="仿宋" w:eastAsia="仿宋" w:cs="仿宋"/>
                <w:sz w:val="24"/>
                <w:szCs w:val="22"/>
              </w:rPr>
              <w:t> </w:t>
            </w:r>
          </w:p>
        </w:tc>
      </w:tr>
    </w:tbl>
    <w:p w14:paraId="69C7AAA8">
      <w:pPr>
        <w:spacing w:line="400" w:lineRule="exact"/>
        <w:ind w:firstLine="482" w:firstLineChars="200"/>
        <w:rPr>
          <w:rFonts w:cs="宋体"/>
          <w:b/>
          <w:bCs/>
          <w:strike w:val="0"/>
          <w:dstrike w:val="0"/>
          <w:sz w:val="24"/>
          <w:szCs w:val="20"/>
        </w:rPr>
      </w:pPr>
      <w:r>
        <w:rPr>
          <w:rFonts w:hint="eastAsia" w:cs="仿宋"/>
          <w:b/>
          <w:bCs/>
          <w:sz w:val="24"/>
          <w:szCs w:val="28"/>
        </w:rPr>
        <w:t>备注：</w:t>
      </w:r>
      <w:r>
        <w:rPr>
          <w:rFonts w:hint="eastAsia" w:cs="仿宋"/>
          <w:sz w:val="24"/>
          <w:szCs w:val="28"/>
        </w:rPr>
        <w:t>1.</w:t>
      </w:r>
      <w:r>
        <w:rPr>
          <w:rFonts w:hint="eastAsia" w:cs="宋体"/>
          <w:b/>
          <w:bCs/>
          <w:sz w:val="24"/>
          <w:szCs w:val="20"/>
        </w:rPr>
        <w:t>针对采购需求中的实质性要求（“★”内容），投标人须做出明确响应。</w:t>
      </w:r>
      <w:r>
        <w:rPr>
          <w:rFonts w:hint="eastAsia" w:cs="宋体"/>
          <w:sz w:val="24"/>
          <w:szCs w:val="20"/>
        </w:rPr>
        <w:t>采购需求中要求提供证明材料的，以证明材料为准；若《技术响应偏离表》填写情况与提供证明材料的内容不一致，以证明材料为准；采购需求中未要求提供证明材料的，以《技术响应偏离表》为</w:t>
      </w:r>
      <w:r>
        <w:rPr>
          <w:rFonts w:hint="eastAsia" w:cs="宋体"/>
          <w:strike w:val="0"/>
          <w:dstrike w:val="0"/>
          <w:sz w:val="24"/>
          <w:szCs w:val="20"/>
        </w:rPr>
        <w:t>准，《技术响应偏离表》中未列明的，</w:t>
      </w:r>
      <w:r>
        <w:rPr>
          <w:rFonts w:hint="eastAsia" w:cs="宋体"/>
          <w:b/>
          <w:bCs/>
          <w:strike w:val="0"/>
          <w:dstrike w:val="0"/>
          <w:sz w:val="24"/>
          <w:szCs w:val="20"/>
        </w:rPr>
        <w:t>作无效响应处理。</w:t>
      </w:r>
    </w:p>
    <w:p w14:paraId="1E5855BF">
      <w:pPr>
        <w:spacing w:line="400" w:lineRule="exact"/>
        <w:ind w:firstLine="480" w:firstLineChars="200"/>
        <w:rPr>
          <w:rFonts w:cs="宋体"/>
          <w:sz w:val="24"/>
          <w:szCs w:val="20"/>
        </w:rPr>
      </w:pPr>
      <w:r>
        <w:rPr>
          <w:rFonts w:hint="eastAsia" w:cs="仿宋"/>
          <w:sz w:val="24"/>
          <w:szCs w:val="28"/>
        </w:rPr>
        <w:t>2.对采购需求的其它非实质性要求，投标人应在此表中逐条列出响应及偏离情况（包括正偏离、负偏离、无偏离），采购需求中要求提供证明材料的，以证明材料为准，若《技术响应偏离表》与提供证明材料的内容不一致，以证明材料为准；采购需求中未要求提供证明材料的，以《技术响应偏离表》为准，未按要求提供证明材料或未在响应偏离表中列明偏离情况的对应项，按负偏离进行扣分处理。</w:t>
      </w:r>
    </w:p>
    <w:p w14:paraId="60CD0FD2">
      <w:pPr>
        <w:pStyle w:val="276"/>
        <w:rPr>
          <w:rFonts w:ascii="Times New Roman" w:hAnsi="Times New Roman"/>
        </w:rPr>
      </w:pPr>
    </w:p>
    <w:p w14:paraId="0DAE17DE">
      <w:pPr>
        <w:pStyle w:val="276"/>
        <w:rPr>
          <w:rFonts w:ascii="Times New Roman" w:hAnsi="Times New Roman"/>
        </w:rPr>
      </w:pPr>
    </w:p>
    <w:p w14:paraId="1E6458A0">
      <w:pPr>
        <w:pStyle w:val="276"/>
        <w:rPr>
          <w:rFonts w:ascii="Times New Roman" w:hAnsi="Times New Roman"/>
        </w:rPr>
      </w:pPr>
    </w:p>
    <w:p w14:paraId="56DD766C">
      <w:pPr>
        <w:pStyle w:val="276"/>
        <w:rPr>
          <w:rFonts w:ascii="Times New Roman" w:hAnsi="Times New Roman"/>
        </w:rPr>
      </w:pPr>
    </w:p>
    <w:p w14:paraId="6EC925B7">
      <w:pPr>
        <w:pStyle w:val="276"/>
        <w:rPr>
          <w:rFonts w:ascii="Times New Roman" w:hAnsi="Times New Roman"/>
        </w:rPr>
      </w:pPr>
    </w:p>
    <w:p w14:paraId="01C239C8">
      <w:pPr>
        <w:pStyle w:val="276"/>
        <w:rPr>
          <w:rFonts w:ascii="Times New Roman" w:hAnsi="Times New Roman"/>
        </w:rPr>
      </w:pPr>
    </w:p>
    <w:p w14:paraId="043CB8F0">
      <w:pPr>
        <w:pStyle w:val="276"/>
        <w:outlineLvl w:val="1"/>
        <w:rPr>
          <w:rFonts w:ascii="Times New Roman" w:hAnsi="Times New Roman"/>
        </w:rPr>
      </w:pPr>
      <w:bookmarkStart w:id="185" w:name="_Toc24608"/>
      <w:r>
        <w:rPr>
          <w:rFonts w:hint="eastAsia" w:ascii="Times New Roman" w:hAnsi="Times New Roman"/>
        </w:rPr>
        <w:t>八、</w:t>
      </w:r>
      <w:r>
        <w:rPr>
          <w:rFonts w:ascii="Times New Roman" w:hAnsi="Times New Roman"/>
        </w:rPr>
        <w:t>项目组人员</w:t>
      </w:r>
      <w:bookmarkEnd w:id="185"/>
    </w:p>
    <w:p w14:paraId="2F2B159D">
      <w:pPr>
        <w:pStyle w:val="43"/>
        <w:spacing w:line="600" w:lineRule="exact"/>
        <w:jc w:val="center"/>
        <w:rPr>
          <w:rFonts w:ascii="Times New Roman" w:hAnsi="Times New Roman"/>
          <w:b/>
          <w:bCs/>
          <w:sz w:val="32"/>
          <w:szCs w:val="32"/>
        </w:rPr>
      </w:pPr>
      <w:r>
        <w:rPr>
          <w:rFonts w:hint="eastAsia" w:ascii="Times New Roman" w:hAnsi="Times New Roman"/>
          <w:b/>
          <w:bCs/>
          <w:sz w:val="32"/>
          <w:szCs w:val="32"/>
          <w:lang w:bidi="ar"/>
        </w:rPr>
        <w:t>项目组成员</w:t>
      </w:r>
    </w:p>
    <w:tbl>
      <w:tblPr>
        <w:tblStyle w:val="49"/>
        <w:tblpPr w:leftFromText="180" w:rightFromText="180" w:vertAnchor="text" w:horzAnchor="margin" w:tblpXSpec="center" w:tblpY="7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843"/>
        <w:gridCol w:w="992"/>
        <w:gridCol w:w="1984"/>
        <w:gridCol w:w="1702"/>
        <w:gridCol w:w="962"/>
      </w:tblGrid>
      <w:tr w14:paraId="0FE83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61FB7977">
            <w:pPr>
              <w:pStyle w:val="246"/>
              <w:widowControl/>
              <w:spacing w:beforeAutospacing="1" w:line="560" w:lineRule="exact"/>
              <w:jc w:val="center"/>
              <w:rPr>
                <w:rFonts w:eastAsia="仿宋_GB2312" w:cs="仿宋_GB2312"/>
                <w:sz w:val="28"/>
                <w:szCs w:val="28"/>
              </w:rPr>
            </w:pPr>
            <w:r>
              <w:rPr>
                <w:rFonts w:eastAsia="仿宋_GB2312" w:cs="仿宋_GB2312"/>
                <w:sz w:val="28"/>
                <w:szCs w:val="28"/>
              </w:rPr>
              <w:t>姓名</w:t>
            </w:r>
          </w:p>
        </w:tc>
        <w:tc>
          <w:tcPr>
            <w:tcW w:w="1843" w:type="dxa"/>
            <w:tcBorders>
              <w:top w:val="single" w:color="000000" w:sz="4" w:space="0"/>
              <w:left w:val="single" w:color="000000" w:sz="4" w:space="0"/>
              <w:bottom w:val="single" w:color="000000" w:sz="4" w:space="0"/>
              <w:right w:val="single" w:color="000000" w:sz="4" w:space="0"/>
            </w:tcBorders>
            <w:vAlign w:val="center"/>
          </w:tcPr>
          <w:p w14:paraId="36DA411C">
            <w:pPr>
              <w:pStyle w:val="246"/>
              <w:widowControl/>
              <w:spacing w:beforeAutospacing="1" w:line="560" w:lineRule="exact"/>
              <w:jc w:val="center"/>
              <w:rPr>
                <w:rFonts w:eastAsia="仿宋_GB2312" w:cs="仿宋_GB2312"/>
                <w:sz w:val="28"/>
                <w:szCs w:val="28"/>
              </w:rPr>
            </w:pPr>
            <w:r>
              <w:rPr>
                <w:rFonts w:eastAsia="仿宋_GB2312" w:cs="仿宋_GB2312"/>
                <w:sz w:val="28"/>
                <w:szCs w:val="28"/>
              </w:rPr>
              <w:t>职务</w:t>
            </w:r>
          </w:p>
        </w:tc>
        <w:tc>
          <w:tcPr>
            <w:tcW w:w="992" w:type="dxa"/>
            <w:tcBorders>
              <w:top w:val="single" w:color="000000" w:sz="4" w:space="0"/>
              <w:left w:val="single" w:color="000000" w:sz="4" w:space="0"/>
              <w:bottom w:val="single" w:color="000000" w:sz="4" w:space="0"/>
              <w:right w:val="single" w:color="000000" w:sz="4" w:space="0"/>
            </w:tcBorders>
            <w:vAlign w:val="center"/>
          </w:tcPr>
          <w:p w14:paraId="728D11AC">
            <w:pPr>
              <w:pStyle w:val="246"/>
              <w:widowControl/>
              <w:spacing w:beforeAutospacing="1" w:line="560" w:lineRule="exact"/>
              <w:jc w:val="center"/>
              <w:rPr>
                <w:rFonts w:eastAsia="仿宋_GB2312" w:cs="仿宋_GB2312"/>
                <w:sz w:val="28"/>
                <w:szCs w:val="28"/>
              </w:rPr>
            </w:pPr>
            <w:r>
              <w:rPr>
                <w:rFonts w:eastAsia="仿宋_GB2312" w:cs="仿宋_GB2312"/>
                <w:sz w:val="28"/>
                <w:szCs w:val="28"/>
              </w:rPr>
              <w:t>学历</w:t>
            </w:r>
          </w:p>
        </w:tc>
        <w:tc>
          <w:tcPr>
            <w:tcW w:w="1984" w:type="dxa"/>
            <w:tcBorders>
              <w:top w:val="single" w:color="000000" w:sz="4" w:space="0"/>
              <w:left w:val="single" w:color="000000" w:sz="4" w:space="0"/>
              <w:bottom w:val="single" w:color="000000" w:sz="4" w:space="0"/>
              <w:right w:val="single" w:color="000000" w:sz="4" w:space="0"/>
            </w:tcBorders>
            <w:vAlign w:val="center"/>
          </w:tcPr>
          <w:p w14:paraId="0BEE6088">
            <w:pPr>
              <w:pStyle w:val="246"/>
              <w:widowControl/>
              <w:spacing w:beforeAutospacing="1" w:line="560" w:lineRule="exact"/>
              <w:ind w:firstLine="280"/>
              <w:rPr>
                <w:rFonts w:eastAsia="仿宋_GB2312" w:cs="仿宋_GB2312"/>
                <w:sz w:val="28"/>
                <w:szCs w:val="28"/>
              </w:rPr>
            </w:pPr>
            <w:r>
              <w:rPr>
                <w:rFonts w:eastAsia="仿宋_GB2312" w:cs="仿宋_GB2312"/>
                <w:sz w:val="28"/>
                <w:szCs w:val="28"/>
              </w:rPr>
              <w:t>身份证号</w:t>
            </w:r>
          </w:p>
        </w:tc>
        <w:tc>
          <w:tcPr>
            <w:tcW w:w="1702" w:type="dxa"/>
            <w:tcBorders>
              <w:top w:val="single" w:color="000000" w:sz="4" w:space="0"/>
              <w:left w:val="single" w:color="000000" w:sz="4" w:space="0"/>
              <w:bottom w:val="single" w:color="000000" w:sz="4" w:space="0"/>
              <w:right w:val="single" w:color="000000" w:sz="4" w:space="0"/>
            </w:tcBorders>
            <w:vAlign w:val="center"/>
          </w:tcPr>
          <w:p w14:paraId="41198EE3">
            <w:pPr>
              <w:pStyle w:val="246"/>
              <w:widowControl/>
              <w:spacing w:beforeAutospacing="1" w:line="560" w:lineRule="exact"/>
              <w:jc w:val="center"/>
              <w:rPr>
                <w:rFonts w:eastAsia="仿宋_GB2312" w:cs="仿宋_GB2312"/>
                <w:sz w:val="28"/>
                <w:szCs w:val="28"/>
              </w:rPr>
            </w:pPr>
            <w:r>
              <w:rPr>
                <w:rFonts w:eastAsia="仿宋_GB2312" w:cs="仿宋_GB2312"/>
                <w:sz w:val="28"/>
                <w:szCs w:val="28"/>
              </w:rPr>
              <w:t>相关证书</w:t>
            </w:r>
          </w:p>
        </w:tc>
        <w:tc>
          <w:tcPr>
            <w:tcW w:w="962" w:type="dxa"/>
            <w:tcBorders>
              <w:top w:val="single" w:color="000000" w:sz="4" w:space="0"/>
              <w:left w:val="single" w:color="000000" w:sz="4" w:space="0"/>
              <w:bottom w:val="single" w:color="000000" w:sz="4" w:space="0"/>
              <w:right w:val="single" w:color="000000" w:sz="4" w:space="0"/>
            </w:tcBorders>
            <w:vAlign w:val="center"/>
          </w:tcPr>
          <w:p w14:paraId="7C1A5387">
            <w:pPr>
              <w:pStyle w:val="246"/>
              <w:widowControl/>
              <w:spacing w:beforeAutospacing="1" w:line="560" w:lineRule="exact"/>
              <w:rPr>
                <w:rFonts w:eastAsia="仿宋_GB2312" w:cs="仿宋_GB2312"/>
                <w:sz w:val="28"/>
                <w:szCs w:val="28"/>
              </w:rPr>
            </w:pPr>
            <w:r>
              <w:rPr>
                <w:rFonts w:eastAsia="仿宋_GB2312" w:cs="仿宋_GB2312"/>
                <w:sz w:val="28"/>
                <w:szCs w:val="28"/>
              </w:rPr>
              <w:t>备注</w:t>
            </w:r>
          </w:p>
        </w:tc>
      </w:tr>
      <w:tr w14:paraId="5879E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3C8DFECF">
            <w:pPr>
              <w:pStyle w:val="246"/>
              <w:widowControl/>
              <w:spacing w:line="560" w:lineRule="exact"/>
              <w:ind w:firstLine="560"/>
              <w:jc w:val="center"/>
              <w:rPr>
                <w:rFonts w:eastAsia="仿宋_GB2312" w:cs="仿宋_GB2312"/>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98A724E">
            <w:pPr>
              <w:pStyle w:val="43"/>
              <w:jc w:val="center"/>
              <w:rPr>
                <w:rFonts w:ascii="Times New Roman" w:hAnsi="Times New Roman"/>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1E4B536">
            <w:pPr>
              <w:pStyle w:val="246"/>
              <w:widowControl/>
              <w:spacing w:line="560" w:lineRule="exact"/>
              <w:ind w:firstLine="560"/>
              <w:jc w:val="center"/>
              <w:rPr>
                <w:rFonts w:eastAsia="仿宋_GB2312" w:cs="仿宋_GB2312"/>
                <w:sz w:val="28"/>
                <w:szCs w:val="28"/>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27EA156C">
            <w:pPr>
              <w:pStyle w:val="246"/>
              <w:widowControl/>
              <w:spacing w:line="560" w:lineRule="exact"/>
              <w:ind w:firstLine="560"/>
              <w:jc w:val="center"/>
              <w:rPr>
                <w:rFonts w:eastAsia="仿宋_GB2312" w:cs="仿宋_GB2312"/>
                <w:sz w:val="28"/>
                <w:szCs w:val="28"/>
              </w:rPr>
            </w:pPr>
          </w:p>
        </w:tc>
        <w:tc>
          <w:tcPr>
            <w:tcW w:w="1702" w:type="dxa"/>
            <w:tcBorders>
              <w:top w:val="single" w:color="000000" w:sz="4" w:space="0"/>
              <w:left w:val="single" w:color="000000" w:sz="4" w:space="0"/>
              <w:bottom w:val="single" w:color="000000" w:sz="4" w:space="0"/>
              <w:right w:val="single" w:color="000000" w:sz="4" w:space="0"/>
            </w:tcBorders>
            <w:vAlign w:val="center"/>
          </w:tcPr>
          <w:p w14:paraId="67059499">
            <w:pPr>
              <w:pStyle w:val="246"/>
              <w:widowControl/>
              <w:spacing w:line="560" w:lineRule="exact"/>
              <w:ind w:firstLine="560"/>
              <w:jc w:val="center"/>
              <w:rPr>
                <w:rFonts w:eastAsia="仿宋_GB2312" w:cs="仿宋_GB2312"/>
                <w:sz w:val="28"/>
                <w:szCs w:val="28"/>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60A095C2">
            <w:pPr>
              <w:pStyle w:val="246"/>
              <w:widowControl/>
              <w:spacing w:line="560" w:lineRule="exact"/>
              <w:ind w:firstLine="560"/>
              <w:jc w:val="center"/>
              <w:rPr>
                <w:rFonts w:eastAsia="仿宋_GB2312" w:cs="仿宋_GB2312"/>
                <w:sz w:val="28"/>
                <w:szCs w:val="28"/>
              </w:rPr>
            </w:pPr>
          </w:p>
        </w:tc>
      </w:tr>
      <w:tr w14:paraId="7A9DE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57E17AF6">
            <w:pPr>
              <w:pStyle w:val="246"/>
              <w:widowControl/>
              <w:spacing w:line="560" w:lineRule="exact"/>
              <w:ind w:firstLine="560"/>
              <w:jc w:val="center"/>
              <w:rPr>
                <w:rFonts w:eastAsia="仿宋_GB2312" w:cs="仿宋_GB2312"/>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46EC34EE">
            <w:pPr>
              <w:pStyle w:val="43"/>
              <w:jc w:val="center"/>
              <w:rPr>
                <w:rFonts w:ascii="Times New Roman" w:hAnsi="Times New Roman"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31337E1">
            <w:pPr>
              <w:pStyle w:val="246"/>
              <w:widowControl/>
              <w:spacing w:line="560" w:lineRule="exact"/>
              <w:ind w:firstLine="560"/>
              <w:jc w:val="center"/>
              <w:rPr>
                <w:rFonts w:eastAsia="仿宋_GB2312" w:cs="仿宋_GB2312"/>
                <w:sz w:val="28"/>
                <w:szCs w:val="28"/>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528A63A5">
            <w:pPr>
              <w:pStyle w:val="246"/>
              <w:widowControl/>
              <w:spacing w:line="560" w:lineRule="exact"/>
              <w:ind w:firstLine="560"/>
              <w:jc w:val="center"/>
              <w:rPr>
                <w:rFonts w:eastAsia="仿宋_GB2312" w:cs="仿宋_GB2312"/>
                <w:sz w:val="28"/>
                <w:szCs w:val="28"/>
              </w:rPr>
            </w:pPr>
          </w:p>
        </w:tc>
        <w:tc>
          <w:tcPr>
            <w:tcW w:w="1702" w:type="dxa"/>
            <w:tcBorders>
              <w:top w:val="single" w:color="000000" w:sz="4" w:space="0"/>
              <w:left w:val="single" w:color="000000" w:sz="4" w:space="0"/>
              <w:bottom w:val="single" w:color="000000" w:sz="4" w:space="0"/>
              <w:right w:val="single" w:color="000000" w:sz="4" w:space="0"/>
            </w:tcBorders>
            <w:vAlign w:val="center"/>
          </w:tcPr>
          <w:p w14:paraId="663E563B">
            <w:pPr>
              <w:pStyle w:val="246"/>
              <w:widowControl/>
              <w:spacing w:line="560" w:lineRule="exact"/>
              <w:ind w:firstLine="560"/>
              <w:jc w:val="center"/>
              <w:rPr>
                <w:rFonts w:eastAsia="仿宋_GB2312" w:cs="仿宋_GB2312"/>
                <w:sz w:val="28"/>
                <w:szCs w:val="28"/>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491DF95E">
            <w:pPr>
              <w:pStyle w:val="246"/>
              <w:widowControl/>
              <w:spacing w:line="560" w:lineRule="exact"/>
              <w:ind w:firstLine="560"/>
              <w:jc w:val="center"/>
              <w:rPr>
                <w:rFonts w:eastAsia="仿宋_GB2312" w:cs="仿宋_GB2312"/>
                <w:sz w:val="28"/>
                <w:szCs w:val="28"/>
              </w:rPr>
            </w:pPr>
          </w:p>
        </w:tc>
      </w:tr>
      <w:tr w14:paraId="144DD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15FF9DD4">
            <w:pPr>
              <w:pStyle w:val="246"/>
              <w:widowControl/>
              <w:spacing w:line="560" w:lineRule="exact"/>
              <w:ind w:firstLine="560"/>
              <w:jc w:val="center"/>
              <w:rPr>
                <w:rFonts w:eastAsia="仿宋_GB2312" w:cs="仿宋_GB2312"/>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A35B1A0">
            <w:pPr>
              <w:pStyle w:val="43"/>
              <w:ind w:firstLine="280"/>
              <w:rPr>
                <w:rFonts w:ascii="Times New Roman" w:hAnsi="Times New Roman"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663DAA9">
            <w:pPr>
              <w:pStyle w:val="246"/>
              <w:widowControl/>
              <w:spacing w:line="560" w:lineRule="exact"/>
              <w:ind w:firstLine="560"/>
              <w:jc w:val="center"/>
              <w:rPr>
                <w:rFonts w:eastAsia="仿宋_GB2312" w:cs="仿宋_GB2312"/>
                <w:sz w:val="28"/>
                <w:szCs w:val="28"/>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373F9BA6">
            <w:pPr>
              <w:pStyle w:val="246"/>
              <w:widowControl/>
              <w:spacing w:line="560" w:lineRule="exact"/>
              <w:ind w:firstLine="560"/>
              <w:jc w:val="center"/>
              <w:rPr>
                <w:rFonts w:eastAsia="仿宋_GB2312" w:cs="仿宋_GB2312"/>
                <w:sz w:val="28"/>
                <w:szCs w:val="28"/>
              </w:rPr>
            </w:pPr>
          </w:p>
        </w:tc>
        <w:tc>
          <w:tcPr>
            <w:tcW w:w="1702" w:type="dxa"/>
            <w:tcBorders>
              <w:top w:val="single" w:color="000000" w:sz="4" w:space="0"/>
              <w:left w:val="single" w:color="000000" w:sz="4" w:space="0"/>
              <w:bottom w:val="single" w:color="000000" w:sz="4" w:space="0"/>
              <w:right w:val="single" w:color="000000" w:sz="4" w:space="0"/>
            </w:tcBorders>
            <w:vAlign w:val="center"/>
          </w:tcPr>
          <w:p w14:paraId="3A667944">
            <w:pPr>
              <w:pStyle w:val="246"/>
              <w:widowControl/>
              <w:spacing w:line="560" w:lineRule="exact"/>
              <w:ind w:firstLine="560"/>
              <w:jc w:val="center"/>
              <w:rPr>
                <w:rFonts w:eastAsia="仿宋_GB2312" w:cs="仿宋_GB2312"/>
                <w:sz w:val="28"/>
                <w:szCs w:val="28"/>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1E4D6E75">
            <w:pPr>
              <w:pStyle w:val="246"/>
              <w:widowControl/>
              <w:spacing w:line="560" w:lineRule="exact"/>
              <w:ind w:firstLine="560"/>
              <w:jc w:val="center"/>
              <w:rPr>
                <w:rFonts w:eastAsia="仿宋_GB2312" w:cs="仿宋_GB2312"/>
                <w:sz w:val="28"/>
                <w:szCs w:val="28"/>
              </w:rPr>
            </w:pPr>
          </w:p>
        </w:tc>
      </w:tr>
      <w:tr w14:paraId="67C5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29D5E389">
            <w:pPr>
              <w:pStyle w:val="246"/>
              <w:widowControl/>
              <w:spacing w:line="560" w:lineRule="exact"/>
              <w:ind w:firstLine="560"/>
              <w:jc w:val="center"/>
              <w:rPr>
                <w:rFonts w:eastAsia="仿宋_GB2312" w:cs="仿宋_GB2312"/>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60452001">
            <w:pPr>
              <w:pStyle w:val="43"/>
              <w:rPr>
                <w:rFonts w:ascii="Times New Roman" w:hAnsi="Times New Roman"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FBD6797">
            <w:pPr>
              <w:pStyle w:val="246"/>
              <w:widowControl/>
              <w:spacing w:line="560" w:lineRule="exact"/>
              <w:ind w:firstLine="560"/>
              <w:jc w:val="center"/>
              <w:rPr>
                <w:rFonts w:eastAsia="仿宋_GB2312" w:cs="仿宋_GB2312"/>
                <w:sz w:val="28"/>
                <w:szCs w:val="28"/>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A9C1B74">
            <w:pPr>
              <w:pStyle w:val="246"/>
              <w:widowControl/>
              <w:spacing w:line="560" w:lineRule="exact"/>
              <w:ind w:firstLine="560"/>
              <w:jc w:val="center"/>
              <w:rPr>
                <w:rFonts w:eastAsia="仿宋_GB2312" w:cs="仿宋_GB2312"/>
                <w:sz w:val="28"/>
                <w:szCs w:val="28"/>
              </w:rPr>
            </w:pPr>
          </w:p>
        </w:tc>
        <w:tc>
          <w:tcPr>
            <w:tcW w:w="1702" w:type="dxa"/>
            <w:tcBorders>
              <w:top w:val="single" w:color="000000" w:sz="4" w:space="0"/>
              <w:left w:val="single" w:color="000000" w:sz="4" w:space="0"/>
              <w:bottom w:val="single" w:color="000000" w:sz="4" w:space="0"/>
              <w:right w:val="single" w:color="000000" w:sz="4" w:space="0"/>
            </w:tcBorders>
            <w:vAlign w:val="center"/>
          </w:tcPr>
          <w:p w14:paraId="3A35D860">
            <w:pPr>
              <w:pStyle w:val="246"/>
              <w:widowControl/>
              <w:spacing w:line="560" w:lineRule="exact"/>
              <w:ind w:firstLine="560"/>
              <w:jc w:val="center"/>
              <w:rPr>
                <w:rFonts w:eastAsia="仿宋_GB2312" w:cs="仿宋_GB2312"/>
                <w:sz w:val="28"/>
                <w:szCs w:val="28"/>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02DFEE42">
            <w:pPr>
              <w:pStyle w:val="246"/>
              <w:widowControl/>
              <w:spacing w:line="560" w:lineRule="exact"/>
              <w:ind w:firstLine="560"/>
              <w:jc w:val="center"/>
              <w:rPr>
                <w:rFonts w:eastAsia="仿宋_GB2312" w:cs="仿宋_GB2312"/>
                <w:sz w:val="28"/>
                <w:szCs w:val="28"/>
              </w:rPr>
            </w:pPr>
          </w:p>
        </w:tc>
      </w:tr>
      <w:tr w14:paraId="54CAF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3B7B2D1A">
            <w:pPr>
              <w:pStyle w:val="246"/>
              <w:widowControl/>
              <w:spacing w:line="560" w:lineRule="exact"/>
              <w:ind w:firstLine="560"/>
              <w:jc w:val="center"/>
              <w:rPr>
                <w:rFonts w:eastAsia="仿宋_GB2312" w:cs="仿宋_GB2312"/>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1BB78BD5">
            <w:pPr>
              <w:pStyle w:val="43"/>
              <w:rPr>
                <w:rFonts w:ascii="Times New Roman" w:hAnsi="Times New Roman"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7CBA3A6">
            <w:pPr>
              <w:pStyle w:val="246"/>
              <w:widowControl/>
              <w:spacing w:line="560" w:lineRule="exact"/>
              <w:ind w:firstLine="560"/>
              <w:jc w:val="center"/>
              <w:rPr>
                <w:rFonts w:eastAsia="仿宋_GB2312" w:cs="仿宋_GB2312"/>
                <w:sz w:val="28"/>
                <w:szCs w:val="28"/>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3EC50B3D">
            <w:pPr>
              <w:pStyle w:val="246"/>
              <w:widowControl/>
              <w:spacing w:line="560" w:lineRule="exact"/>
              <w:ind w:firstLine="560"/>
              <w:jc w:val="center"/>
              <w:rPr>
                <w:rFonts w:eastAsia="仿宋_GB2312" w:cs="仿宋_GB2312"/>
                <w:sz w:val="28"/>
                <w:szCs w:val="28"/>
              </w:rPr>
            </w:pPr>
          </w:p>
        </w:tc>
        <w:tc>
          <w:tcPr>
            <w:tcW w:w="1702" w:type="dxa"/>
            <w:tcBorders>
              <w:top w:val="single" w:color="000000" w:sz="4" w:space="0"/>
              <w:left w:val="single" w:color="000000" w:sz="4" w:space="0"/>
              <w:bottom w:val="single" w:color="000000" w:sz="4" w:space="0"/>
              <w:right w:val="single" w:color="000000" w:sz="4" w:space="0"/>
            </w:tcBorders>
            <w:vAlign w:val="center"/>
          </w:tcPr>
          <w:p w14:paraId="443CA876">
            <w:pPr>
              <w:pStyle w:val="246"/>
              <w:widowControl/>
              <w:spacing w:line="560" w:lineRule="exact"/>
              <w:ind w:firstLine="560"/>
              <w:jc w:val="center"/>
              <w:rPr>
                <w:rFonts w:eastAsia="仿宋_GB2312" w:cs="仿宋_GB2312"/>
                <w:sz w:val="28"/>
                <w:szCs w:val="28"/>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408BFCA0">
            <w:pPr>
              <w:pStyle w:val="246"/>
              <w:widowControl/>
              <w:spacing w:line="560" w:lineRule="exact"/>
              <w:ind w:firstLine="560"/>
              <w:jc w:val="center"/>
              <w:rPr>
                <w:rFonts w:eastAsia="仿宋_GB2312" w:cs="仿宋_GB2312"/>
                <w:sz w:val="28"/>
                <w:szCs w:val="28"/>
              </w:rPr>
            </w:pPr>
          </w:p>
        </w:tc>
      </w:tr>
      <w:tr w14:paraId="1C0EB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62A3006C">
            <w:pPr>
              <w:pStyle w:val="246"/>
              <w:widowControl/>
              <w:spacing w:line="560" w:lineRule="exact"/>
              <w:ind w:firstLine="560"/>
              <w:jc w:val="center"/>
              <w:rPr>
                <w:rFonts w:eastAsia="仿宋_GB2312" w:cs="仿宋_GB2312"/>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7C9E9D8">
            <w:pPr>
              <w:pStyle w:val="246"/>
              <w:widowControl/>
              <w:spacing w:line="560" w:lineRule="exact"/>
              <w:ind w:firstLine="560"/>
              <w:jc w:val="center"/>
              <w:rPr>
                <w:rFonts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49AE052">
            <w:pPr>
              <w:pStyle w:val="246"/>
              <w:widowControl/>
              <w:spacing w:line="560" w:lineRule="exact"/>
              <w:ind w:firstLine="560"/>
              <w:jc w:val="center"/>
              <w:rPr>
                <w:rFonts w:eastAsia="仿宋_GB2312" w:cs="仿宋_GB2312"/>
                <w:sz w:val="28"/>
                <w:szCs w:val="28"/>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76498E8">
            <w:pPr>
              <w:pStyle w:val="246"/>
              <w:widowControl/>
              <w:spacing w:line="560" w:lineRule="exact"/>
              <w:ind w:firstLine="560"/>
              <w:jc w:val="center"/>
              <w:rPr>
                <w:rFonts w:eastAsia="仿宋_GB2312" w:cs="仿宋_GB2312"/>
                <w:sz w:val="28"/>
                <w:szCs w:val="28"/>
              </w:rPr>
            </w:pPr>
          </w:p>
        </w:tc>
        <w:tc>
          <w:tcPr>
            <w:tcW w:w="1702" w:type="dxa"/>
            <w:tcBorders>
              <w:top w:val="single" w:color="000000" w:sz="4" w:space="0"/>
              <w:left w:val="single" w:color="000000" w:sz="4" w:space="0"/>
              <w:bottom w:val="single" w:color="000000" w:sz="4" w:space="0"/>
              <w:right w:val="single" w:color="000000" w:sz="4" w:space="0"/>
            </w:tcBorders>
            <w:vAlign w:val="center"/>
          </w:tcPr>
          <w:p w14:paraId="5366CD60">
            <w:pPr>
              <w:pStyle w:val="246"/>
              <w:widowControl/>
              <w:spacing w:line="560" w:lineRule="exact"/>
              <w:ind w:firstLine="560"/>
              <w:jc w:val="center"/>
              <w:rPr>
                <w:rFonts w:eastAsia="仿宋_GB2312" w:cs="仿宋_GB2312"/>
                <w:sz w:val="28"/>
                <w:szCs w:val="28"/>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7E603A96">
            <w:pPr>
              <w:pStyle w:val="246"/>
              <w:widowControl/>
              <w:spacing w:line="560" w:lineRule="exact"/>
              <w:ind w:firstLine="560"/>
              <w:jc w:val="center"/>
              <w:rPr>
                <w:rFonts w:eastAsia="仿宋_GB2312" w:cs="仿宋_GB2312"/>
                <w:sz w:val="28"/>
                <w:szCs w:val="28"/>
              </w:rPr>
            </w:pPr>
          </w:p>
        </w:tc>
      </w:tr>
      <w:tr w14:paraId="3F619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16E655E6">
            <w:pPr>
              <w:pStyle w:val="246"/>
              <w:widowControl/>
              <w:spacing w:line="560" w:lineRule="exact"/>
              <w:ind w:firstLine="560"/>
              <w:jc w:val="center"/>
              <w:rPr>
                <w:rFonts w:eastAsia="仿宋_GB2312" w:cs="仿宋_GB2312"/>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64CCED9">
            <w:pPr>
              <w:pStyle w:val="246"/>
              <w:widowControl/>
              <w:spacing w:line="560" w:lineRule="exact"/>
              <w:ind w:firstLine="560"/>
              <w:jc w:val="center"/>
              <w:rPr>
                <w:rFonts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E785257">
            <w:pPr>
              <w:pStyle w:val="246"/>
              <w:widowControl/>
              <w:spacing w:line="560" w:lineRule="exact"/>
              <w:ind w:firstLine="560"/>
              <w:jc w:val="center"/>
              <w:rPr>
                <w:rFonts w:eastAsia="仿宋_GB2312" w:cs="仿宋_GB2312"/>
                <w:sz w:val="28"/>
                <w:szCs w:val="28"/>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4395A01E">
            <w:pPr>
              <w:pStyle w:val="246"/>
              <w:widowControl/>
              <w:spacing w:line="560" w:lineRule="exact"/>
              <w:ind w:firstLine="560"/>
              <w:jc w:val="center"/>
              <w:rPr>
                <w:rFonts w:eastAsia="仿宋_GB2312" w:cs="仿宋_GB2312"/>
                <w:sz w:val="28"/>
                <w:szCs w:val="28"/>
              </w:rPr>
            </w:pPr>
          </w:p>
        </w:tc>
        <w:tc>
          <w:tcPr>
            <w:tcW w:w="1702" w:type="dxa"/>
            <w:tcBorders>
              <w:top w:val="single" w:color="000000" w:sz="4" w:space="0"/>
              <w:left w:val="single" w:color="000000" w:sz="4" w:space="0"/>
              <w:bottom w:val="single" w:color="000000" w:sz="4" w:space="0"/>
              <w:right w:val="single" w:color="000000" w:sz="4" w:space="0"/>
            </w:tcBorders>
            <w:vAlign w:val="center"/>
          </w:tcPr>
          <w:p w14:paraId="467966B3">
            <w:pPr>
              <w:pStyle w:val="246"/>
              <w:widowControl/>
              <w:spacing w:line="560" w:lineRule="exact"/>
              <w:ind w:firstLine="560"/>
              <w:jc w:val="center"/>
              <w:rPr>
                <w:rFonts w:eastAsia="仿宋_GB2312" w:cs="仿宋_GB2312"/>
                <w:sz w:val="28"/>
                <w:szCs w:val="28"/>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1D44680A">
            <w:pPr>
              <w:pStyle w:val="246"/>
              <w:widowControl/>
              <w:spacing w:line="560" w:lineRule="exact"/>
              <w:ind w:firstLine="560"/>
              <w:jc w:val="center"/>
              <w:rPr>
                <w:rFonts w:eastAsia="仿宋_GB2312" w:cs="仿宋_GB2312"/>
                <w:sz w:val="28"/>
                <w:szCs w:val="28"/>
              </w:rPr>
            </w:pPr>
          </w:p>
        </w:tc>
      </w:tr>
      <w:tr w14:paraId="5E369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2AFCCBDD">
            <w:pPr>
              <w:pStyle w:val="246"/>
              <w:widowControl/>
              <w:spacing w:line="560" w:lineRule="exact"/>
              <w:ind w:firstLine="560"/>
              <w:jc w:val="center"/>
              <w:rPr>
                <w:rFonts w:eastAsia="仿宋_GB2312" w:cs="仿宋_GB2312"/>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16E131E1">
            <w:pPr>
              <w:pStyle w:val="246"/>
              <w:widowControl/>
              <w:spacing w:line="560" w:lineRule="exact"/>
              <w:ind w:firstLine="560"/>
              <w:jc w:val="center"/>
              <w:rPr>
                <w:rFonts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FF09282">
            <w:pPr>
              <w:pStyle w:val="246"/>
              <w:widowControl/>
              <w:spacing w:line="560" w:lineRule="exact"/>
              <w:ind w:firstLine="560"/>
              <w:jc w:val="center"/>
              <w:rPr>
                <w:rFonts w:eastAsia="仿宋_GB2312" w:cs="仿宋_GB2312"/>
                <w:sz w:val="28"/>
                <w:szCs w:val="28"/>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54750CE2">
            <w:pPr>
              <w:pStyle w:val="246"/>
              <w:widowControl/>
              <w:spacing w:line="560" w:lineRule="exact"/>
              <w:ind w:firstLine="560"/>
              <w:jc w:val="center"/>
              <w:rPr>
                <w:rFonts w:eastAsia="仿宋_GB2312" w:cs="仿宋_GB2312"/>
                <w:sz w:val="28"/>
                <w:szCs w:val="28"/>
              </w:rPr>
            </w:pPr>
          </w:p>
        </w:tc>
        <w:tc>
          <w:tcPr>
            <w:tcW w:w="1702" w:type="dxa"/>
            <w:tcBorders>
              <w:top w:val="single" w:color="000000" w:sz="4" w:space="0"/>
              <w:left w:val="single" w:color="000000" w:sz="4" w:space="0"/>
              <w:bottom w:val="single" w:color="000000" w:sz="4" w:space="0"/>
              <w:right w:val="single" w:color="000000" w:sz="4" w:space="0"/>
            </w:tcBorders>
            <w:vAlign w:val="center"/>
          </w:tcPr>
          <w:p w14:paraId="491B91B6">
            <w:pPr>
              <w:pStyle w:val="246"/>
              <w:widowControl/>
              <w:spacing w:line="560" w:lineRule="exact"/>
              <w:ind w:firstLine="560"/>
              <w:jc w:val="center"/>
              <w:rPr>
                <w:rFonts w:eastAsia="仿宋_GB2312" w:cs="仿宋_GB2312"/>
                <w:sz w:val="28"/>
                <w:szCs w:val="28"/>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52B94FEB">
            <w:pPr>
              <w:pStyle w:val="246"/>
              <w:widowControl/>
              <w:spacing w:line="560" w:lineRule="exact"/>
              <w:ind w:firstLine="560"/>
              <w:jc w:val="center"/>
              <w:rPr>
                <w:rFonts w:eastAsia="仿宋_GB2312" w:cs="仿宋_GB2312"/>
                <w:sz w:val="28"/>
                <w:szCs w:val="28"/>
              </w:rPr>
            </w:pPr>
          </w:p>
        </w:tc>
      </w:tr>
      <w:tr w14:paraId="56DFF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045E04EB">
            <w:pPr>
              <w:pStyle w:val="246"/>
              <w:widowControl/>
              <w:spacing w:line="560" w:lineRule="exact"/>
              <w:ind w:firstLine="560"/>
              <w:jc w:val="center"/>
              <w:rPr>
                <w:rFonts w:eastAsia="仿宋_GB2312" w:cs="仿宋_GB2312"/>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32952BB8">
            <w:pPr>
              <w:pStyle w:val="246"/>
              <w:widowControl/>
              <w:spacing w:line="560" w:lineRule="exact"/>
              <w:ind w:firstLine="560"/>
              <w:jc w:val="center"/>
              <w:rPr>
                <w:rFonts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B3293E4">
            <w:pPr>
              <w:pStyle w:val="246"/>
              <w:widowControl/>
              <w:spacing w:line="560" w:lineRule="exact"/>
              <w:ind w:firstLine="560"/>
              <w:jc w:val="center"/>
              <w:rPr>
                <w:rFonts w:eastAsia="仿宋_GB2312" w:cs="仿宋_GB2312"/>
                <w:sz w:val="28"/>
                <w:szCs w:val="28"/>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38F347FA">
            <w:pPr>
              <w:pStyle w:val="246"/>
              <w:widowControl/>
              <w:spacing w:line="560" w:lineRule="exact"/>
              <w:ind w:firstLine="560"/>
              <w:jc w:val="center"/>
              <w:rPr>
                <w:rFonts w:eastAsia="仿宋_GB2312" w:cs="仿宋_GB2312"/>
                <w:sz w:val="28"/>
                <w:szCs w:val="28"/>
              </w:rPr>
            </w:pPr>
          </w:p>
        </w:tc>
        <w:tc>
          <w:tcPr>
            <w:tcW w:w="1702" w:type="dxa"/>
            <w:tcBorders>
              <w:top w:val="single" w:color="000000" w:sz="4" w:space="0"/>
              <w:left w:val="single" w:color="000000" w:sz="4" w:space="0"/>
              <w:bottom w:val="single" w:color="000000" w:sz="4" w:space="0"/>
              <w:right w:val="single" w:color="000000" w:sz="4" w:space="0"/>
            </w:tcBorders>
            <w:vAlign w:val="center"/>
          </w:tcPr>
          <w:p w14:paraId="4B621A6B">
            <w:pPr>
              <w:pStyle w:val="246"/>
              <w:widowControl/>
              <w:spacing w:line="560" w:lineRule="exact"/>
              <w:ind w:firstLine="560"/>
              <w:jc w:val="center"/>
              <w:rPr>
                <w:rFonts w:eastAsia="仿宋_GB2312" w:cs="仿宋_GB2312"/>
                <w:sz w:val="28"/>
                <w:szCs w:val="28"/>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12DFAA9E">
            <w:pPr>
              <w:pStyle w:val="246"/>
              <w:widowControl/>
              <w:spacing w:line="560" w:lineRule="exact"/>
              <w:ind w:firstLine="560"/>
              <w:jc w:val="center"/>
              <w:rPr>
                <w:rFonts w:eastAsia="仿宋_GB2312" w:cs="仿宋_GB2312"/>
                <w:sz w:val="28"/>
                <w:szCs w:val="28"/>
              </w:rPr>
            </w:pPr>
          </w:p>
        </w:tc>
      </w:tr>
      <w:tr w14:paraId="7E950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tcBorders>
              <w:top w:val="single" w:color="000000" w:sz="4" w:space="0"/>
              <w:left w:val="single" w:color="000000" w:sz="4" w:space="0"/>
              <w:bottom w:val="single" w:color="000000" w:sz="4" w:space="0"/>
              <w:right w:val="single" w:color="000000" w:sz="4" w:space="0"/>
            </w:tcBorders>
            <w:vAlign w:val="center"/>
          </w:tcPr>
          <w:p w14:paraId="7B1A2186">
            <w:pPr>
              <w:pStyle w:val="246"/>
              <w:widowControl/>
              <w:spacing w:line="560" w:lineRule="exact"/>
              <w:ind w:firstLine="560"/>
              <w:jc w:val="center"/>
              <w:rPr>
                <w:rFonts w:eastAsia="仿宋_GB2312" w:cs="仿宋_GB2312"/>
                <w:sz w:val="28"/>
                <w:szCs w:val="28"/>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5040B21E">
            <w:pPr>
              <w:pStyle w:val="246"/>
              <w:widowControl/>
              <w:spacing w:line="560" w:lineRule="exact"/>
              <w:ind w:firstLine="560"/>
              <w:jc w:val="center"/>
              <w:rPr>
                <w:rFonts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40FDE50">
            <w:pPr>
              <w:pStyle w:val="246"/>
              <w:widowControl/>
              <w:spacing w:line="560" w:lineRule="exact"/>
              <w:ind w:firstLine="560"/>
              <w:jc w:val="center"/>
              <w:rPr>
                <w:rFonts w:eastAsia="仿宋_GB2312" w:cs="仿宋_GB2312"/>
                <w:sz w:val="28"/>
                <w:szCs w:val="28"/>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483DA7B5">
            <w:pPr>
              <w:pStyle w:val="246"/>
              <w:widowControl/>
              <w:spacing w:line="560" w:lineRule="exact"/>
              <w:ind w:firstLine="560"/>
              <w:jc w:val="center"/>
              <w:rPr>
                <w:rFonts w:eastAsia="仿宋_GB2312" w:cs="仿宋_GB2312"/>
                <w:sz w:val="28"/>
                <w:szCs w:val="28"/>
              </w:rPr>
            </w:pPr>
          </w:p>
        </w:tc>
        <w:tc>
          <w:tcPr>
            <w:tcW w:w="1702" w:type="dxa"/>
            <w:tcBorders>
              <w:top w:val="single" w:color="000000" w:sz="4" w:space="0"/>
              <w:left w:val="single" w:color="000000" w:sz="4" w:space="0"/>
              <w:bottom w:val="single" w:color="000000" w:sz="4" w:space="0"/>
              <w:right w:val="single" w:color="000000" w:sz="4" w:space="0"/>
            </w:tcBorders>
            <w:vAlign w:val="center"/>
          </w:tcPr>
          <w:p w14:paraId="58A090D3">
            <w:pPr>
              <w:pStyle w:val="246"/>
              <w:widowControl/>
              <w:spacing w:line="560" w:lineRule="exact"/>
              <w:ind w:firstLine="560"/>
              <w:jc w:val="center"/>
              <w:rPr>
                <w:rFonts w:eastAsia="仿宋_GB2312" w:cs="仿宋_GB2312"/>
                <w:sz w:val="28"/>
                <w:szCs w:val="28"/>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5672F185">
            <w:pPr>
              <w:pStyle w:val="246"/>
              <w:widowControl/>
              <w:spacing w:line="560" w:lineRule="exact"/>
              <w:ind w:firstLine="560"/>
              <w:jc w:val="center"/>
              <w:rPr>
                <w:rFonts w:eastAsia="仿宋_GB2312" w:cs="仿宋_GB2312"/>
                <w:sz w:val="28"/>
                <w:szCs w:val="28"/>
              </w:rPr>
            </w:pPr>
          </w:p>
        </w:tc>
      </w:tr>
    </w:tbl>
    <w:p w14:paraId="4E58216D">
      <w:pPr>
        <w:pStyle w:val="43"/>
        <w:spacing w:line="460" w:lineRule="exact"/>
        <w:ind w:firstLine="398"/>
        <w:rPr>
          <w:rFonts w:ascii="Times New Roman" w:hAnsi="Times New Roman" w:eastAsia="仿宋_GB2312" w:cs="仿宋_GB2312"/>
        </w:rPr>
      </w:pPr>
      <w:r>
        <w:rPr>
          <w:rFonts w:hint="eastAsia"/>
          <w:bCs/>
          <w:lang w:bidi="ar"/>
        </w:rPr>
        <w:t>注：如投标人中标，项目组成员必须按本表承诺人员操作，不得随意更换。按采购文件要求附相关人员证书。</w:t>
      </w:r>
    </w:p>
    <w:p w14:paraId="08DFAB06">
      <w:pPr>
        <w:pStyle w:val="43"/>
        <w:spacing w:line="500" w:lineRule="exact"/>
        <w:ind w:firstLine="280"/>
        <w:rPr>
          <w:rFonts w:ascii="Times New Roman" w:hAnsi="Times New Roman" w:eastAsia="仿宋_GB2312" w:cs="仿宋_GB2312"/>
        </w:rPr>
      </w:pPr>
    </w:p>
    <w:p w14:paraId="2EFCD9D0">
      <w:pPr>
        <w:pStyle w:val="260"/>
        <w:spacing w:line="500" w:lineRule="exact"/>
        <w:outlineLvl w:val="1"/>
      </w:pPr>
      <w:r>
        <w:rPr/>
        <w:br w:type="page" w:clear="all"/>
      </w:r>
      <w:bookmarkStart w:id="186" w:name="_Toc11176"/>
      <w:bookmarkStart w:id="187" w:name="_Toc25099"/>
      <w:r>
        <w:rPr>
          <w:rFonts w:hint="eastAsia" w:eastAsia="黑体" w:cs="黑体"/>
          <w:b/>
          <w:sz w:val="32"/>
        </w:rPr>
        <w:t>九、</w:t>
      </w:r>
      <w:bookmarkEnd w:id="186"/>
      <w:r>
        <w:rPr>
          <w:rFonts w:hint="eastAsia" w:eastAsia="黑体" w:cs="黑体"/>
          <w:b/>
          <w:sz w:val="32"/>
        </w:rPr>
        <w:t>企业业绩</w:t>
      </w:r>
      <w:bookmarkEnd w:id="187"/>
    </w:p>
    <w:p w14:paraId="219E4EB3">
      <w:pPr>
        <w:jc w:val="center"/>
        <w:rPr>
          <w:rFonts w:ascii="方正小标宋_GBK" w:hAnsi="Calibri" w:eastAsia="方正小标宋_GBK"/>
          <w:bCs/>
          <w:sz w:val="32"/>
          <w:szCs w:val="32"/>
        </w:rPr>
      </w:pPr>
      <w:r>
        <w:rPr>
          <w:rFonts w:hint="eastAsia" w:ascii="方正小标宋_GBK" w:hAnsi="Calibri" w:eastAsia="方正小标宋_GBK"/>
          <w:bCs/>
          <w:sz w:val="32"/>
          <w:szCs w:val="32"/>
        </w:rPr>
        <w:t>投标人</w:t>
      </w:r>
      <w:bookmarkStart w:id="188" w:name="_Hlk187935031"/>
      <w:r>
        <w:rPr>
          <w:rFonts w:hint="eastAsia" w:ascii="方正小标宋_GBK" w:hAnsi="Calibri" w:eastAsia="方正小标宋_GBK"/>
          <w:bCs/>
          <w:sz w:val="32"/>
          <w:szCs w:val="32"/>
        </w:rPr>
        <w:t>自</w:t>
      </w:r>
      <w:r>
        <w:rPr>
          <w:rFonts w:hint="eastAsia" w:ascii="方正小标宋_GBK" w:hAnsi="Calibri" w:eastAsia="方正小标宋_GBK"/>
          <w:bCs/>
          <w:sz w:val="32"/>
          <w:szCs w:val="32"/>
          <w:u w:val="single"/>
        </w:rPr>
        <w:t xml:space="preserve">   </w:t>
      </w:r>
      <w:r>
        <w:rPr>
          <w:rFonts w:hint="eastAsia" w:ascii="方正小标宋_GBK" w:hAnsi="Calibri" w:eastAsia="方正小标宋_GBK"/>
          <w:bCs/>
          <w:sz w:val="32"/>
          <w:szCs w:val="32"/>
        </w:rPr>
        <w:t>年</w:t>
      </w:r>
      <w:r>
        <w:rPr>
          <w:rFonts w:hint="eastAsia" w:ascii="方正小标宋_GBK" w:hAnsi="Calibri" w:eastAsia="方正小标宋_GBK"/>
          <w:bCs/>
          <w:sz w:val="32"/>
          <w:szCs w:val="32"/>
          <w:u w:val="single"/>
        </w:rPr>
        <w:t xml:space="preserve">   </w:t>
      </w:r>
      <w:r>
        <w:rPr>
          <w:rFonts w:hint="eastAsia" w:ascii="方正小标宋_GBK" w:hAnsi="Calibri" w:eastAsia="方正小标宋_GBK"/>
          <w:bCs/>
          <w:sz w:val="32"/>
          <w:szCs w:val="32"/>
        </w:rPr>
        <w:t>月</w:t>
      </w:r>
      <w:r>
        <w:rPr>
          <w:rFonts w:hint="eastAsia" w:ascii="方正小标宋_GBK" w:hAnsi="Calibri" w:eastAsia="方正小标宋_GBK"/>
          <w:bCs/>
          <w:sz w:val="32"/>
          <w:szCs w:val="32"/>
          <w:u w:val="single"/>
        </w:rPr>
        <w:t xml:space="preserve">   </w:t>
      </w:r>
      <w:r>
        <w:rPr>
          <w:rFonts w:hint="eastAsia" w:ascii="方正小标宋_GBK" w:hAnsi="Calibri" w:eastAsia="方正小标宋_GBK"/>
          <w:bCs/>
          <w:sz w:val="32"/>
          <w:szCs w:val="32"/>
        </w:rPr>
        <w:t>日以来承担</w:t>
      </w:r>
    </w:p>
    <w:p w14:paraId="40C39DD1">
      <w:pPr>
        <w:jc w:val="center"/>
        <w:rPr>
          <w:b/>
          <w:sz w:val="32"/>
          <w:szCs w:val="32"/>
        </w:rPr>
      </w:pPr>
      <w:r>
        <w:rPr>
          <w:rFonts w:hint="eastAsia" w:ascii="方正小标宋_GBK" w:hAnsi="Calibri" w:eastAsia="方正小标宋_GBK"/>
          <w:bCs/>
          <w:sz w:val="32"/>
          <w:szCs w:val="32"/>
        </w:rPr>
        <w:t>类似项目业绩一览表</w:t>
      </w:r>
      <w:bookmarkEnd w:id="188"/>
    </w:p>
    <w:tbl>
      <w:tblPr>
        <w:tblStyle w:val="49"/>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9"/>
        <w:gridCol w:w="3583"/>
        <w:gridCol w:w="1417"/>
        <w:gridCol w:w="1701"/>
        <w:gridCol w:w="954"/>
      </w:tblGrid>
      <w:tr w14:paraId="7AC5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229" w:type="dxa"/>
          </w:tcPr>
          <w:p w14:paraId="5F214882">
            <w:pPr>
              <w:widowControl/>
              <w:spacing w:line="500" w:lineRule="exact"/>
              <w:jc w:val="center"/>
              <w:rPr>
                <w:rFonts w:ascii="宋体" w:hAnsi="宋体" w:cs="仿宋"/>
                <w:sz w:val="28"/>
                <w:szCs w:val="28"/>
              </w:rPr>
            </w:pPr>
            <w:r>
              <w:rPr>
                <w:rFonts w:hint="eastAsia" w:ascii="宋体" w:hAnsi="宋体" w:cs="仿宋"/>
                <w:sz w:val="28"/>
                <w:szCs w:val="28"/>
              </w:rPr>
              <w:t>序</w:t>
            </w:r>
          </w:p>
          <w:p w14:paraId="065FFC4B">
            <w:pPr>
              <w:widowControl/>
              <w:spacing w:line="500" w:lineRule="exact"/>
              <w:jc w:val="center"/>
              <w:rPr>
                <w:rFonts w:ascii="宋体" w:hAnsi="宋体" w:cs="仿宋"/>
                <w:sz w:val="28"/>
                <w:szCs w:val="28"/>
              </w:rPr>
            </w:pPr>
            <w:r>
              <w:rPr>
                <w:rFonts w:hint="eastAsia" w:ascii="宋体" w:hAnsi="宋体" w:cs="仿宋"/>
                <w:sz w:val="28"/>
                <w:szCs w:val="28"/>
              </w:rPr>
              <w:t>号</w:t>
            </w:r>
          </w:p>
        </w:tc>
        <w:tc>
          <w:tcPr>
            <w:tcW w:w="3583" w:type="dxa"/>
            <w:vAlign w:val="center"/>
          </w:tcPr>
          <w:p w14:paraId="660EDA49">
            <w:pPr>
              <w:widowControl/>
              <w:spacing w:line="500" w:lineRule="exact"/>
              <w:jc w:val="center"/>
              <w:rPr>
                <w:rFonts w:ascii="宋体" w:hAnsi="宋体" w:cs="仿宋"/>
                <w:sz w:val="28"/>
                <w:szCs w:val="28"/>
              </w:rPr>
            </w:pPr>
            <w:r>
              <w:rPr>
                <w:rFonts w:hint="eastAsia" w:ascii="宋体" w:hAnsi="宋体" w:cs="仿宋"/>
                <w:sz w:val="28"/>
                <w:szCs w:val="28"/>
              </w:rPr>
              <w:t>项目名称</w:t>
            </w:r>
          </w:p>
        </w:tc>
        <w:tc>
          <w:tcPr>
            <w:tcW w:w="1417" w:type="dxa"/>
            <w:vAlign w:val="center"/>
          </w:tcPr>
          <w:p w14:paraId="77C83E70">
            <w:pPr>
              <w:widowControl/>
              <w:spacing w:line="500" w:lineRule="exact"/>
              <w:jc w:val="center"/>
              <w:rPr>
                <w:rFonts w:ascii="宋体" w:hAnsi="宋体" w:cs="仿宋"/>
                <w:sz w:val="28"/>
                <w:szCs w:val="28"/>
              </w:rPr>
            </w:pPr>
            <w:r>
              <w:rPr>
                <w:rFonts w:hint="eastAsia" w:ascii="宋体" w:hAnsi="宋体" w:cs="仿宋"/>
                <w:sz w:val="28"/>
                <w:szCs w:val="28"/>
              </w:rPr>
              <w:t>采购单位</w:t>
            </w:r>
          </w:p>
        </w:tc>
        <w:tc>
          <w:tcPr>
            <w:tcW w:w="1701" w:type="dxa"/>
            <w:vAlign w:val="center"/>
          </w:tcPr>
          <w:p w14:paraId="69D86CBF">
            <w:pPr>
              <w:widowControl/>
              <w:spacing w:line="500" w:lineRule="exact"/>
              <w:jc w:val="center"/>
              <w:rPr>
                <w:rFonts w:ascii="宋体" w:hAnsi="宋体" w:cs="仿宋"/>
                <w:sz w:val="28"/>
                <w:szCs w:val="28"/>
              </w:rPr>
            </w:pPr>
            <w:r>
              <w:rPr>
                <w:rFonts w:hint="eastAsia" w:ascii="宋体" w:hAnsi="宋体" w:cs="仿宋"/>
                <w:sz w:val="28"/>
                <w:szCs w:val="28"/>
              </w:rPr>
              <w:t>合同主要标的</w:t>
            </w:r>
          </w:p>
        </w:tc>
        <w:tc>
          <w:tcPr>
            <w:tcW w:w="954" w:type="dxa"/>
            <w:vAlign w:val="center"/>
          </w:tcPr>
          <w:p w14:paraId="555CD2EE">
            <w:pPr>
              <w:widowControl/>
              <w:spacing w:line="500" w:lineRule="exact"/>
              <w:jc w:val="center"/>
              <w:rPr>
                <w:rFonts w:ascii="宋体" w:hAnsi="宋体" w:cs="仿宋"/>
                <w:sz w:val="28"/>
                <w:szCs w:val="28"/>
              </w:rPr>
            </w:pPr>
            <w:r>
              <w:rPr>
                <w:rFonts w:hint="eastAsia" w:ascii="宋体" w:hAnsi="宋体" w:cs="仿宋"/>
                <w:sz w:val="28"/>
                <w:szCs w:val="28"/>
              </w:rPr>
              <w:t>备注</w:t>
            </w:r>
          </w:p>
        </w:tc>
      </w:tr>
      <w:tr w14:paraId="6D42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229" w:type="dxa"/>
          </w:tcPr>
          <w:p w14:paraId="5F35F168">
            <w:pPr>
              <w:spacing w:line="560" w:lineRule="exact"/>
              <w:jc w:val="center"/>
              <w:rPr>
                <w:rFonts w:ascii="仿宋_GB2312" w:eastAsia="仿宋_GB2312"/>
                <w:sz w:val="28"/>
                <w:szCs w:val="24"/>
              </w:rPr>
            </w:pPr>
          </w:p>
        </w:tc>
        <w:tc>
          <w:tcPr>
            <w:tcW w:w="3583" w:type="dxa"/>
            <w:vAlign w:val="center"/>
          </w:tcPr>
          <w:p w14:paraId="2FFCF326">
            <w:pPr>
              <w:spacing w:line="560" w:lineRule="exact"/>
              <w:jc w:val="center"/>
              <w:rPr>
                <w:rFonts w:ascii="仿宋_GB2312" w:eastAsia="仿宋_GB2312"/>
                <w:sz w:val="28"/>
                <w:szCs w:val="24"/>
              </w:rPr>
            </w:pPr>
          </w:p>
        </w:tc>
        <w:tc>
          <w:tcPr>
            <w:tcW w:w="1417" w:type="dxa"/>
            <w:vAlign w:val="center"/>
          </w:tcPr>
          <w:p w14:paraId="7341775D">
            <w:pPr>
              <w:spacing w:line="560" w:lineRule="exact"/>
              <w:jc w:val="center"/>
              <w:rPr>
                <w:rFonts w:ascii="仿宋_GB2312" w:eastAsia="仿宋_GB2312"/>
                <w:sz w:val="28"/>
                <w:szCs w:val="24"/>
              </w:rPr>
            </w:pPr>
          </w:p>
        </w:tc>
        <w:tc>
          <w:tcPr>
            <w:tcW w:w="1701" w:type="dxa"/>
            <w:vAlign w:val="center"/>
          </w:tcPr>
          <w:p w14:paraId="1AD79355">
            <w:pPr>
              <w:spacing w:line="560" w:lineRule="exact"/>
              <w:jc w:val="center"/>
              <w:rPr>
                <w:rFonts w:ascii="仿宋_GB2312" w:eastAsia="仿宋_GB2312"/>
                <w:sz w:val="28"/>
                <w:szCs w:val="24"/>
              </w:rPr>
            </w:pPr>
          </w:p>
        </w:tc>
        <w:tc>
          <w:tcPr>
            <w:tcW w:w="954" w:type="dxa"/>
            <w:vAlign w:val="center"/>
          </w:tcPr>
          <w:p w14:paraId="53D3EA0C">
            <w:pPr>
              <w:spacing w:line="560" w:lineRule="exact"/>
              <w:jc w:val="center"/>
              <w:rPr>
                <w:rFonts w:ascii="仿宋_GB2312" w:eastAsia="仿宋_GB2312"/>
                <w:sz w:val="28"/>
                <w:szCs w:val="24"/>
              </w:rPr>
            </w:pPr>
          </w:p>
        </w:tc>
      </w:tr>
      <w:tr w14:paraId="768D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229" w:type="dxa"/>
          </w:tcPr>
          <w:p w14:paraId="06346185">
            <w:pPr>
              <w:spacing w:line="560" w:lineRule="exact"/>
              <w:jc w:val="center"/>
              <w:rPr>
                <w:rFonts w:ascii="仿宋_GB2312" w:eastAsia="仿宋_GB2312"/>
                <w:sz w:val="28"/>
                <w:szCs w:val="24"/>
              </w:rPr>
            </w:pPr>
          </w:p>
        </w:tc>
        <w:tc>
          <w:tcPr>
            <w:tcW w:w="3583" w:type="dxa"/>
            <w:vAlign w:val="center"/>
          </w:tcPr>
          <w:p w14:paraId="4E4FC79B">
            <w:pPr>
              <w:spacing w:line="560" w:lineRule="exact"/>
              <w:jc w:val="center"/>
              <w:rPr>
                <w:rFonts w:ascii="仿宋_GB2312" w:eastAsia="仿宋_GB2312"/>
                <w:sz w:val="28"/>
                <w:szCs w:val="24"/>
              </w:rPr>
            </w:pPr>
          </w:p>
        </w:tc>
        <w:tc>
          <w:tcPr>
            <w:tcW w:w="1417" w:type="dxa"/>
            <w:vAlign w:val="center"/>
          </w:tcPr>
          <w:p w14:paraId="20EEBE05">
            <w:pPr>
              <w:spacing w:line="560" w:lineRule="exact"/>
              <w:jc w:val="center"/>
              <w:rPr>
                <w:rFonts w:ascii="仿宋_GB2312" w:eastAsia="仿宋_GB2312"/>
                <w:sz w:val="28"/>
                <w:szCs w:val="24"/>
              </w:rPr>
            </w:pPr>
          </w:p>
        </w:tc>
        <w:tc>
          <w:tcPr>
            <w:tcW w:w="1701" w:type="dxa"/>
            <w:vAlign w:val="center"/>
          </w:tcPr>
          <w:p w14:paraId="2636A826">
            <w:pPr>
              <w:spacing w:line="560" w:lineRule="exact"/>
              <w:jc w:val="center"/>
              <w:rPr>
                <w:rFonts w:ascii="仿宋_GB2312" w:eastAsia="仿宋_GB2312"/>
                <w:sz w:val="28"/>
                <w:szCs w:val="24"/>
              </w:rPr>
            </w:pPr>
          </w:p>
        </w:tc>
        <w:tc>
          <w:tcPr>
            <w:tcW w:w="954" w:type="dxa"/>
            <w:vAlign w:val="center"/>
          </w:tcPr>
          <w:p w14:paraId="4FBF8D91">
            <w:pPr>
              <w:spacing w:line="560" w:lineRule="exact"/>
              <w:jc w:val="center"/>
              <w:rPr>
                <w:rFonts w:ascii="仿宋_GB2312" w:eastAsia="仿宋_GB2312"/>
                <w:sz w:val="28"/>
                <w:szCs w:val="24"/>
              </w:rPr>
            </w:pPr>
          </w:p>
        </w:tc>
      </w:tr>
      <w:tr w14:paraId="3B3C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229" w:type="dxa"/>
          </w:tcPr>
          <w:p w14:paraId="41EBAE2A">
            <w:pPr>
              <w:spacing w:line="560" w:lineRule="exact"/>
              <w:jc w:val="center"/>
              <w:rPr>
                <w:rFonts w:ascii="仿宋_GB2312" w:eastAsia="仿宋_GB2312"/>
                <w:sz w:val="28"/>
                <w:szCs w:val="24"/>
              </w:rPr>
            </w:pPr>
          </w:p>
        </w:tc>
        <w:tc>
          <w:tcPr>
            <w:tcW w:w="3583" w:type="dxa"/>
            <w:vAlign w:val="center"/>
          </w:tcPr>
          <w:p w14:paraId="0B056647">
            <w:pPr>
              <w:spacing w:line="560" w:lineRule="exact"/>
              <w:jc w:val="center"/>
              <w:rPr>
                <w:rFonts w:ascii="仿宋_GB2312" w:eastAsia="仿宋_GB2312"/>
                <w:sz w:val="28"/>
                <w:szCs w:val="24"/>
              </w:rPr>
            </w:pPr>
          </w:p>
        </w:tc>
        <w:tc>
          <w:tcPr>
            <w:tcW w:w="1417" w:type="dxa"/>
            <w:vAlign w:val="center"/>
          </w:tcPr>
          <w:p w14:paraId="4358F25F">
            <w:pPr>
              <w:spacing w:line="560" w:lineRule="exact"/>
              <w:jc w:val="center"/>
              <w:rPr>
                <w:rFonts w:ascii="仿宋_GB2312" w:eastAsia="仿宋_GB2312"/>
                <w:sz w:val="28"/>
                <w:szCs w:val="24"/>
              </w:rPr>
            </w:pPr>
          </w:p>
        </w:tc>
        <w:tc>
          <w:tcPr>
            <w:tcW w:w="1701" w:type="dxa"/>
            <w:vAlign w:val="center"/>
          </w:tcPr>
          <w:p w14:paraId="51E2024A">
            <w:pPr>
              <w:spacing w:line="560" w:lineRule="exact"/>
              <w:jc w:val="center"/>
              <w:rPr>
                <w:rFonts w:ascii="仿宋_GB2312" w:eastAsia="仿宋_GB2312"/>
                <w:sz w:val="28"/>
                <w:szCs w:val="24"/>
              </w:rPr>
            </w:pPr>
          </w:p>
        </w:tc>
        <w:tc>
          <w:tcPr>
            <w:tcW w:w="954" w:type="dxa"/>
            <w:vAlign w:val="center"/>
          </w:tcPr>
          <w:p w14:paraId="2A4C8572">
            <w:pPr>
              <w:spacing w:line="560" w:lineRule="exact"/>
              <w:jc w:val="center"/>
              <w:rPr>
                <w:rFonts w:ascii="仿宋_GB2312" w:eastAsia="仿宋_GB2312"/>
                <w:sz w:val="28"/>
                <w:szCs w:val="24"/>
              </w:rPr>
            </w:pPr>
          </w:p>
        </w:tc>
      </w:tr>
      <w:tr w14:paraId="1223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5" w:hRule="atLeast"/>
          <w:jc w:val="center"/>
        </w:trPr>
        <w:tc>
          <w:tcPr>
            <w:tcW w:w="1229" w:type="dxa"/>
          </w:tcPr>
          <w:p w14:paraId="2D78E6F4">
            <w:pPr>
              <w:spacing w:line="560" w:lineRule="exact"/>
              <w:jc w:val="center"/>
              <w:rPr>
                <w:rFonts w:ascii="仿宋_GB2312" w:eastAsia="仿宋_GB2312"/>
                <w:sz w:val="28"/>
                <w:szCs w:val="24"/>
              </w:rPr>
            </w:pPr>
          </w:p>
        </w:tc>
        <w:tc>
          <w:tcPr>
            <w:tcW w:w="3583" w:type="dxa"/>
            <w:vAlign w:val="center"/>
          </w:tcPr>
          <w:p w14:paraId="7BA9EF34">
            <w:pPr>
              <w:spacing w:line="560" w:lineRule="exact"/>
              <w:jc w:val="center"/>
              <w:rPr>
                <w:rFonts w:ascii="仿宋_GB2312" w:eastAsia="仿宋_GB2312"/>
                <w:sz w:val="28"/>
                <w:szCs w:val="24"/>
              </w:rPr>
            </w:pPr>
          </w:p>
        </w:tc>
        <w:tc>
          <w:tcPr>
            <w:tcW w:w="1417" w:type="dxa"/>
            <w:vAlign w:val="center"/>
          </w:tcPr>
          <w:p w14:paraId="4EE7721E">
            <w:pPr>
              <w:spacing w:line="560" w:lineRule="exact"/>
              <w:jc w:val="center"/>
              <w:rPr>
                <w:rFonts w:ascii="仿宋_GB2312" w:eastAsia="仿宋_GB2312"/>
                <w:sz w:val="28"/>
                <w:szCs w:val="24"/>
              </w:rPr>
            </w:pPr>
          </w:p>
        </w:tc>
        <w:tc>
          <w:tcPr>
            <w:tcW w:w="1701" w:type="dxa"/>
            <w:vAlign w:val="center"/>
          </w:tcPr>
          <w:p w14:paraId="535309EF">
            <w:pPr>
              <w:spacing w:line="560" w:lineRule="exact"/>
              <w:jc w:val="center"/>
              <w:rPr>
                <w:rFonts w:ascii="仿宋_GB2312" w:eastAsia="仿宋_GB2312"/>
                <w:sz w:val="28"/>
                <w:szCs w:val="24"/>
              </w:rPr>
            </w:pPr>
          </w:p>
        </w:tc>
        <w:tc>
          <w:tcPr>
            <w:tcW w:w="954" w:type="dxa"/>
            <w:vAlign w:val="center"/>
          </w:tcPr>
          <w:p w14:paraId="43A6A86A">
            <w:pPr>
              <w:spacing w:line="560" w:lineRule="exact"/>
              <w:jc w:val="center"/>
              <w:rPr>
                <w:rFonts w:ascii="仿宋_GB2312" w:eastAsia="仿宋_GB2312"/>
                <w:sz w:val="28"/>
                <w:szCs w:val="24"/>
              </w:rPr>
            </w:pPr>
          </w:p>
        </w:tc>
      </w:tr>
    </w:tbl>
    <w:p w14:paraId="64A43FA6">
      <w:pPr>
        <w:pStyle w:val="248"/>
        <w:rPr>
          <w:rFonts w:ascii="Times New Roman" w:hAnsi="Times New Roman" w:eastAsia="仿宋_GB2312"/>
          <w:b/>
          <w:sz w:val="24"/>
        </w:rPr>
      </w:pPr>
    </w:p>
    <w:p w14:paraId="313C78CA">
      <w:pPr>
        <w:pStyle w:val="248"/>
        <w:rPr>
          <w:rFonts w:ascii="宋体" w:hAnsi="宋体" w:cs="宋体"/>
          <w:bCs/>
        </w:rPr>
      </w:pPr>
      <w:r>
        <w:rPr>
          <w:rFonts w:hint="eastAsia" w:ascii="宋体" w:hAnsi="宋体" w:cs="宋体"/>
          <w:bCs/>
          <w:sz w:val="24"/>
        </w:rPr>
        <w:t>注：请填写此表，并按要求上传业绩资料电子件。</w:t>
      </w:r>
    </w:p>
    <w:p w14:paraId="7874DCF8">
      <w:pPr>
        <w:pStyle w:val="269"/>
        <w:outlineLvl w:val="1"/>
        <w:rPr>
          <w:rFonts w:ascii="Times New Roman" w:hAnsi="Times New Roman"/>
        </w:rPr>
      </w:pPr>
      <w:r>
        <w:rPr>
          <w:rFonts w:ascii="Times New Roman" w:hAnsi="Times New Roman"/>
        </w:rPr>
        <w:br w:type="page" w:clear="all"/>
      </w:r>
      <w:bookmarkStart w:id="189" w:name="_Toc28140"/>
      <w:bookmarkStart w:id="190" w:name="_Toc20533"/>
      <w:r>
        <w:rPr>
          <w:rFonts w:hint="eastAsia" w:ascii="Times New Roman" w:hAnsi="Times New Roman"/>
        </w:rPr>
        <w:t>十</w:t>
      </w:r>
      <w:r>
        <w:rPr>
          <w:rFonts w:ascii="Times New Roman" w:hAnsi="Times New Roman"/>
        </w:rPr>
        <w:t>、投标所需其他材料</w:t>
      </w:r>
      <w:bookmarkEnd w:id="189"/>
      <w:bookmarkEnd w:id="190"/>
    </w:p>
    <w:p w14:paraId="1FCC5944">
      <w:pPr>
        <w:pStyle w:val="240"/>
        <w:spacing w:line="360" w:lineRule="auto"/>
        <w:ind w:firstLine="560"/>
        <w:rPr>
          <w:rFonts w:ascii="Times New Roman" w:hAnsi="Times New Roman" w:eastAsia="仿宋_GB2312"/>
          <w:sz w:val="28"/>
          <w:szCs w:val="28"/>
        </w:rPr>
      </w:pPr>
      <w:r>
        <w:rPr>
          <w:rFonts w:hint="eastAsia" w:ascii="Times New Roman" w:hAnsi="Times New Roman" w:eastAsia="仿宋_GB2312"/>
          <w:sz w:val="28"/>
          <w:szCs w:val="28"/>
        </w:rPr>
        <w:t>请在此文档中增加投标所需其他相关内容（包括评分办法、采购需求中涉及的证件证明及其它投标人认为有必要提供的资料），如没有请将此空文档上传。</w:t>
      </w:r>
    </w:p>
    <w:p w14:paraId="10209C5E">
      <w:pPr>
        <w:rPr>
          <w:sz w:val="20"/>
        </w:rPr>
      </w:pPr>
      <w:r>
        <w:rPr>
          <w:rFonts w:hint="eastAsia"/>
          <w:sz w:val="20"/>
        </w:rPr>
        <w:t xml:space="preserve"> </w:t>
      </w:r>
    </w:p>
    <w:bookmarkEnd w:id="138"/>
    <w:bookmarkEnd w:id="139"/>
    <w:bookmarkEnd w:id="174"/>
    <w:p w14:paraId="7C16D2C6">
      <w:pPr>
        <w:jc w:val="center"/>
        <w:rPr>
          <w:rFonts w:cs="仿宋"/>
          <w:b/>
          <w:bCs/>
          <w:sz w:val="32"/>
          <w:szCs w:val="32"/>
        </w:rPr>
      </w:pPr>
      <w:bookmarkStart w:id="191" w:name="_Hlt26609389"/>
      <w:bookmarkEnd w:id="191"/>
      <w:bookmarkStart w:id="192" w:name="_Hlt26955066"/>
      <w:bookmarkEnd w:id="192"/>
      <w:bookmarkStart w:id="193" w:name="_Hlt26671374"/>
      <w:bookmarkEnd w:id="193"/>
      <w:bookmarkStart w:id="194" w:name="_格式2__法定代表人授权书"/>
      <w:bookmarkEnd w:id="194"/>
    </w:p>
    <w:p w14:paraId="77B3914D">
      <w:pPr>
        <w:jc w:val="center"/>
        <w:rPr>
          <w:rFonts w:cs="仿宋"/>
          <w:b/>
          <w:bCs/>
          <w:sz w:val="32"/>
          <w:szCs w:val="32"/>
        </w:rPr>
      </w:pPr>
    </w:p>
    <w:p w14:paraId="4896EEFA">
      <w:pPr>
        <w:jc w:val="center"/>
        <w:rPr>
          <w:rFonts w:cs="仿宋"/>
          <w:b/>
          <w:bCs/>
          <w:sz w:val="32"/>
          <w:szCs w:val="32"/>
        </w:rPr>
      </w:pPr>
    </w:p>
    <w:p w14:paraId="7C18109F">
      <w:pPr>
        <w:jc w:val="center"/>
        <w:rPr>
          <w:rFonts w:cs="仿宋"/>
          <w:b/>
          <w:bCs/>
          <w:sz w:val="32"/>
          <w:szCs w:val="32"/>
        </w:rPr>
      </w:pPr>
    </w:p>
    <w:p w14:paraId="1A56B639">
      <w:pPr>
        <w:jc w:val="center"/>
        <w:rPr>
          <w:rFonts w:cs="仿宋"/>
          <w:b/>
          <w:bCs/>
          <w:sz w:val="32"/>
          <w:szCs w:val="32"/>
        </w:rPr>
      </w:pPr>
    </w:p>
    <w:p w14:paraId="224BDA44">
      <w:pPr>
        <w:jc w:val="center"/>
        <w:rPr>
          <w:rFonts w:cs="仿宋"/>
          <w:b/>
          <w:bCs/>
          <w:sz w:val="32"/>
          <w:szCs w:val="32"/>
        </w:rPr>
      </w:pPr>
    </w:p>
    <w:p w14:paraId="510A400C">
      <w:pPr>
        <w:jc w:val="center"/>
        <w:rPr>
          <w:rFonts w:cs="仿宋"/>
          <w:b/>
          <w:bCs/>
          <w:sz w:val="32"/>
          <w:szCs w:val="32"/>
        </w:rPr>
      </w:pPr>
    </w:p>
    <w:p w14:paraId="749AB58C">
      <w:pPr>
        <w:jc w:val="center"/>
        <w:rPr>
          <w:rFonts w:cs="仿宋"/>
          <w:b/>
          <w:bCs/>
          <w:sz w:val="32"/>
          <w:szCs w:val="32"/>
        </w:rPr>
      </w:pPr>
    </w:p>
    <w:p w14:paraId="39DB3BF7">
      <w:pPr>
        <w:jc w:val="center"/>
        <w:rPr>
          <w:rFonts w:cs="仿宋"/>
          <w:b/>
          <w:bCs/>
          <w:sz w:val="32"/>
          <w:szCs w:val="32"/>
        </w:rPr>
      </w:pPr>
    </w:p>
    <w:p w14:paraId="549480C3">
      <w:pPr>
        <w:jc w:val="center"/>
        <w:rPr>
          <w:rFonts w:cs="仿宋"/>
          <w:b/>
          <w:bCs/>
          <w:sz w:val="32"/>
          <w:szCs w:val="32"/>
        </w:rPr>
      </w:pPr>
    </w:p>
    <w:p w14:paraId="2F153E17">
      <w:pPr>
        <w:jc w:val="center"/>
        <w:rPr>
          <w:rFonts w:cs="仿宋"/>
          <w:b/>
          <w:bCs/>
          <w:sz w:val="32"/>
          <w:szCs w:val="32"/>
        </w:rPr>
      </w:pPr>
    </w:p>
    <w:p w14:paraId="2E6C1CFF">
      <w:pPr>
        <w:jc w:val="center"/>
        <w:rPr>
          <w:rFonts w:cs="仿宋"/>
          <w:b/>
          <w:bCs/>
          <w:sz w:val="32"/>
          <w:szCs w:val="32"/>
        </w:rPr>
      </w:pPr>
    </w:p>
    <w:p w14:paraId="6B4E1EB5">
      <w:pPr>
        <w:jc w:val="center"/>
        <w:rPr>
          <w:rFonts w:cs="仿宋"/>
          <w:b/>
          <w:bCs/>
          <w:sz w:val="32"/>
          <w:szCs w:val="32"/>
        </w:rPr>
      </w:pPr>
    </w:p>
    <w:p w14:paraId="4F3826F1">
      <w:pPr>
        <w:jc w:val="center"/>
        <w:rPr>
          <w:rFonts w:cs="仿宋"/>
          <w:b/>
          <w:bCs/>
          <w:sz w:val="32"/>
          <w:szCs w:val="32"/>
        </w:rPr>
      </w:pPr>
    </w:p>
    <w:p w14:paraId="104A07BD">
      <w:pPr>
        <w:jc w:val="center"/>
        <w:rPr>
          <w:rFonts w:cs="仿宋"/>
          <w:b/>
          <w:bCs/>
          <w:sz w:val="32"/>
          <w:szCs w:val="32"/>
        </w:rPr>
      </w:pPr>
    </w:p>
    <w:p w14:paraId="37C990EE">
      <w:pPr>
        <w:jc w:val="center"/>
        <w:rPr>
          <w:rFonts w:cs="仿宋"/>
          <w:b/>
          <w:bCs/>
          <w:sz w:val="32"/>
          <w:szCs w:val="32"/>
        </w:rPr>
      </w:pPr>
    </w:p>
    <w:p w14:paraId="4B218E8F">
      <w:pPr>
        <w:jc w:val="center"/>
        <w:rPr>
          <w:rFonts w:cs="仿宋"/>
          <w:b/>
          <w:bCs/>
          <w:sz w:val="32"/>
          <w:szCs w:val="32"/>
        </w:rPr>
      </w:pPr>
    </w:p>
    <w:p w14:paraId="4AA37531">
      <w:pPr>
        <w:jc w:val="center"/>
        <w:rPr>
          <w:rFonts w:cs="仿宋"/>
          <w:b/>
          <w:bCs/>
          <w:sz w:val="32"/>
          <w:szCs w:val="32"/>
        </w:rPr>
      </w:pPr>
    </w:p>
    <w:p w14:paraId="1318F4A1">
      <w:pPr>
        <w:jc w:val="center"/>
        <w:rPr>
          <w:rFonts w:cs="仿宋"/>
          <w:b/>
          <w:bCs/>
          <w:sz w:val="32"/>
          <w:szCs w:val="32"/>
        </w:rPr>
      </w:pPr>
    </w:p>
    <w:p w14:paraId="5B3CE408">
      <w:pPr>
        <w:jc w:val="center"/>
        <w:rPr>
          <w:rFonts w:cs="仿宋"/>
          <w:b/>
          <w:bCs/>
          <w:sz w:val="32"/>
          <w:szCs w:val="32"/>
        </w:rPr>
      </w:pPr>
    </w:p>
    <w:p w14:paraId="21601B4C">
      <w:pPr>
        <w:jc w:val="center"/>
        <w:rPr>
          <w:rFonts w:cs="仿宋"/>
          <w:b/>
          <w:bCs/>
          <w:sz w:val="32"/>
          <w:szCs w:val="32"/>
        </w:rPr>
      </w:pPr>
    </w:p>
    <w:p w14:paraId="5535A3A1">
      <w:pPr>
        <w:jc w:val="center"/>
        <w:rPr>
          <w:rFonts w:cs="仿宋"/>
          <w:b/>
          <w:bCs/>
          <w:sz w:val="32"/>
          <w:szCs w:val="32"/>
        </w:rPr>
      </w:pPr>
    </w:p>
    <w:p w14:paraId="7C8FA904">
      <w:pPr>
        <w:jc w:val="center"/>
        <w:rPr>
          <w:rFonts w:cs="仿宋"/>
          <w:b/>
          <w:bCs/>
          <w:sz w:val="32"/>
          <w:szCs w:val="32"/>
        </w:rPr>
      </w:pPr>
    </w:p>
    <w:p w14:paraId="462CD7FC">
      <w:pPr>
        <w:jc w:val="center"/>
        <w:rPr>
          <w:rFonts w:cs="仿宋"/>
          <w:b/>
          <w:bCs/>
          <w:sz w:val="32"/>
          <w:szCs w:val="32"/>
        </w:rPr>
      </w:pPr>
    </w:p>
    <w:p w14:paraId="16BEA102">
      <w:pPr>
        <w:jc w:val="center"/>
        <w:rPr>
          <w:rFonts w:cs="仿宋"/>
          <w:b/>
          <w:bCs/>
          <w:sz w:val="32"/>
          <w:szCs w:val="32"/>
        </w:rPr>
      </w:pPr>
    </w:p>
    <w:p w14:paraId="2C5795F0">
      <w:pPr>
        <w:jc w:val="center"/>
        <w:rPr>
          <w:rFonts w:cs="仿宋"/>
          <w:b/>
          <w:bCs/>
          <w:sz w:val="32"/>
          <w:szCs w:val="32"/>
        </w:rPr>
      </w:pPr>
    </w:p>
    <w:p w14:paraId="72507BF4">
      <w:pPr>
        <w:jc w:val="center"/>
        <w:rPr>
          <w:rFonts w:cs="仿宋"/>
          <w:b/>
          <w:bCs/>
          <w:sz w:val="32"/>
          <w:szCs w:val="32"/>
        </w:rPr>
      </w:pPr>
    </w:p>
    <w:p w14:paraId="23D0CDA9">
      <w:pPr>
        <w:jc w:val="center"/>
        <w:rPr>
          <w:rFonts w:cs="仿宋"/>
          <w:b/>
          <w:bCs/>
          <w:sz w:val="32"/>
          <w:szCs w:val="32"/>
        </w:rPr>
      </w:pPr>
    </w:p>
    <w:p w14:paraId="306E58AD">
      <w:pPr>
        <w:jc w:val="center"/>
        <w:rPr>
          <w:rFonts w:cs="仿宋"/>
          <w:b/>
          <w:bCs/>
          <w:sz w:val="32"/>
          <w:szCs w:val="32"/>
        </w:rPr>
      </w:pPr>
    </w:p>
    <w:p w14:paraId="10D3A26D">
      <w:pPr>
        <w:jc w:val="center"/>
        <w:rPr>
          <w:rFonts w:cs="仿宋"/>
          <w:b/>
          <w:bCs/>
          <w:sz w:val="32"/>
          <w:szCs w:val="32"/>
        </w:rPr>
      </w:pPr>
    </w:p>
    <w:p w14:paraId="61CF7F24">
      <w:pPr>
        <w:jc w:val="center"/>
        <w:rPr>
          <w:rFonts w:cs="仿宋"/>
          <w:b/>
          <w:bCs/>
          <w:sz w:val="32"/>
          <w:szCs w:val="32"/>
        </w:rPr>
      </w:pPr>
    </w:p>
    <w:p w14:paraId="5F6E072F">
      <w:pPr>
        <w:jc w:val="center"/>
        <w:rPr>
          <w:rFonts w:cs="仿宋"/>
          <w:b/>
          <w:bCs/>
          <w:sz w:val="32"/>
          <w:szCs w:val="32"/>
        </w:rPr>
      </w:pPr>
      <w:r>
        <w:rPr>
          <w:rFonts w:hint="eastAsia" w:cs="仿宋"/>
          <w:b/>
          <w:bCs/>
          <w:sz w:val="32"/>
          <w:szCs w:val="32"/>
        </w:rPr>
        <w:t>质疑函范本</w:t>
      </w:r>
    </w:p>
    <w:p w14:paraId="31433419">
      <w:pPr>
        <w:spacing w:before="290" w:line="360" w:lineRule="auto"/>
        <w:rPr>
          <w:rFonts w:cs="仿宋"/>
          <w:bCs/>
          <w:sz w:val="24"/>
          <w:szCs w:val="24"/>
        </w:rPr>
      </w:pPr>
      <w:r>
        <w:rPr>
          <w:rFonts w:hint="eastAsia" w:cs="仿宋"/>
          <w:bCs/>
          <w:sz w:val="24"/>
          <w:szCs w:val="24"/>
        </w:rPr>
        <w:t>一、质疑投标人基本信息</w:t>
      </w:r>
    </w:p>
    <w:p w14:paraId="796B629D">
      <w:pPr>
        <w:spacing w:line="360" w:lineRule="auto"/>
        <w:rPr>
          <w:rFonts w:cs="仿宋"/>
          <w:sz w:val="24"/>
          <w:szCs w:val="24"/>
          <w:u w:val="single"/>
        </w:rPr>
      </w:pPr>
      <w:r>
        <w:rPr>
          <w:rFonts w:hint="eastAsia" w:cs="仿宋"/>
          <w:sz w:val="24"/>
          <w:szCs w:val="24"/>
        </w:rPr>
        <w:t>质疑投标人：</w:t>
      </w:r>
      <w:r>
        <w:rPr>
          <w:rFonts w:hint="eastAsia" w:cs="仿宋"/>
          <w:sz w:val="24"/>
          <w:szCs w:val="24"/>
          <w:u w:val="single"/>
        </w:rPr>
        <w:t xml:space="preserve">                                                              </w:t>
      </w:r>
    </w:p>
    <w:p w14:paraId="467E02C3">
      <w:pPr>
        <w:spacing w:line="360" w:lineRule="auto"/>
        <w:rPr>
          <w:rFonts w:cs="仿宋"/>
          <w:sz w:val="24"/>
          <w:szCs w:val="24"/>
        </w:rPr>
      </w:pPr>
      <w:r>
        <w:rPr>
          <w:rFonts w:hint="eastAsia" w:cs="仿宋"/>
          <w:sz w:val="24"/>
          <w:szCs w:val="24"/>
        </w:rPr>
        <w:t>地址：</w:t>
      </w:r>
      <w:r>
        <w:rPr>
          <w:rFonts w:hint="eastAsia" w:cs="仿宋"/>
          <w:sz w:val="24"/>
          <w:szCs w:val="24"/>
          <w:u w:val="single"/>
        </w:rPr>
        <w:t xml:space="preserve">                             </w:t>
      </w:r>
      <w:r>
        <w:rPr>
          <w:rFonts w:hint="eastAsia" w:cs="仿宋"/>
          <w:sz w:val="24"/>
          <w:szCs w:val="24"/>
        </w:rPr>
        <w:t>邮编：</w:t>
      </w:r>
      <w:r>
        <w:rPr>
          <w:rFonts w:hint="eastAsia" w:cs="仿宋"/>
          <w:sz w:val="24"/>
          <w:szCs w:val="24"/>
          <w:u w:val="single"/>
        </w:rPr>
        <w:t xml:space="preserve">                                    </w:t>
      </w:r>
    </w:p>
    <w:p w14:paraId="72DEBD40">
      <w:pPr>
        <w:spacing w:line="360" w:lineRule="auto"/>
        <w:rPr>
          <w:rFonts w:cs="仿宋"/>
          <w:sz w:val="24"/>
          <w:szCs w:val="24"/>
        </w:rPr>
      </w:pPr>
      <w:r>
        <w:rPr>
          <w:rFonts w:hint="eastAsia" w:cs="仿宋"/>
          <w:sz w:val="24"/>
          <w:szCs w:val="24"/>
        </w:rPr>
        <w:t>联系人：</w:t>
      </w:r>
      <w:r>
        <w:rPr>
          <w:rFonts w:hint="eastAsia" w:cs="仿宋"/>
          <w:sz w:val="24"/>
          <w:szCs w:val="24"/>
          <w:u w:val="single"/>
        </w:rPr>
        <w:t xml:space="preserve">                      </w:t>
      </w:r>
      <w:r>
        <w:rPr>
          <w:rFonts w:hint="eastAsia" w:cs="仿宋"/>
          <w:sz w:val="24"/>
          <w:szCs w:val="24"/>
        </w:rPr>
        <w:t>联系电话：</w:t>
      </w:r>
      <w:r>
        <w:rPr>
          <w:rFonts w:hint="eastAsia" w:cs="仿宋"/>
          <w:sz w:val="24"/>
          <w:szCs w:val="24"/>
          <w:u w:val="single"/>
        </w:rPr>
        <w:t xml:space="preserve">                                       </w:t>
      </w:r>
    </w:p>
    <w:p w14:paraId="0B6903BA">
      <w:pPr>
        <w:spacing w:line="360" w:lineRule="auto"/>
        <w:rPr>
          <w:rFonts w:cs="仿宋"/>
          <w:sz w:val="24"/>
          <w:szCs w:val="24"/>
          <w:u w:val="single"/>
        </w:rPr>
      </w:pPr>
      <w:r>
        <w:rPr>
          <w:rFonts w:hint="eastAsia" w:cs="仿宋"/>
          <w:sz w:val="24"/>
          <w:szCs w:val="24"/>
        </w:rPr>
        <w:t>授权代表：</w:t>
      </w:r>
      <w:r>
        <w:rPr>
          <w:rFonts w:hint="eastAsia" w:cs="仿宋"/>
          <w:sz w:val="24"/>
          <w:szCs w:val="24"/>
          <w:u w:val="single"/>
        </w:rPr>
        <w:t xml:space="preserve">                                                                 </w:t>
      </w:r>
    </w:p>
    <w:p w14:paraId="12B351EB">
      <w:pPr>
        <w:spacing w:line="360" w:lineRule="auto"/>
        <w:rPr>
          <w:rFonts w:cs="仿宋"/>
          <w:sz w:val="24"/>
          <w:szCs w:val="24"/>
        </w:rPr>
      </w:pPr>
      <w:r>
        <w:rPr>
          <w:rFonts w:hint="eastAsia" w:cs="仿宋"/>
          <w:sz w:val="24"/>
          <w:szCs w:val="24"/>
        </w:rPr>
        <w:t>联系电话：</w:t>
      </w:r>
      <w:r>
        <w:rPr>
          <w:rFonts w:hint="eastAsia" w:cs="仿宋"/>
          <w:sz w:val="24"/>
          <w:szCs w:val="24"/>
          <w:u w:val="single"/>
        </w:rPr>
        <w:t xml:space="preserve">                                                                </w:t>
      </w:r>
    </w:p>
    <w:p w14:paraId="68D02F71">
      <w:pPr>
        <w:spacing w:line="360" w:lineRule="auto"/>
        <w:rPr>
          <w:rFonts w:cs="仿宋"/>
          <w:sz w:val="24"/>
          <w:szCs w:val="24"/>
        </w:rPr>
      </w:pPr>
      <w:r>
        <w:rPr>
          <w:rFonts w:hint="eastAsia" w:cs="仿宋"/>
          <w:sz w:val="24"/>
          <w:szCs w:val="24"/>
        </w:rPr>
        <w:t>地址：</w:t>
      </w:r>
      <w:r>
        <w:rPr>
          <w:rFonts w:cs="仿宋"/>
          <w:sz w:val="24"/>
          <w:szCs w:val="24"/>
        </w:rPr>
        <w:t xml:space="preserve"> </w:t>
      </w:r>
      <w:r>
        <w:rPr>
          <w:rFonts w:hint="eastAsia" w:cs="仿宋"/>
          <w:sz w:val="24"/>
          <w:szCs w:val="24"/>
          <w:u w:val="single"/>
        </w:rPr>
        <w:t xml:space="preserve">                        </w:t>
      </w:r>
      <w:r>
        <w:rPr>
          <w:rFonts w:hint="eastAsia" w:cs="仿宋"/>
          <w:sz w:val="24"/>
          <w:szCs w:val="24"/>
        </w:rPr>
        <w:t>邮编：</w:t>
      </w:r>
      <w:r>
        <w:rPr>
          <w:rFonts w:hint="eastAsia" w:cs="仿宋"/>
          <w:sz w:val="24"/>
          <w:szCs w:val="24"/>
          <w:u w:val="single"/>
        </w:rPr>
        <w:t xml:space="preserve">                                     </w:t>
      </w:r>
    </w:p>
    <w:p w14:paraId="00A289DC">
      <w:pPr>
        <w:spacing w:line="360" w:lineRule="auto"/>
        <w:rPr>
          <w:rFonts w:cs="仿宋"/>
          <w:bCs/>
          <w:sz w:val="24"/>
          <w:szCs w:val="24"/>
        </w:rPr>
      </w:pPr>
      <w:r>
        <w:rPr>
          <w:rFonts w:hint="eastAsia" w:cs="仿宋"/>
          <w:bCs/>
          <w:sz w:val="24"/>
          <w:szCs w:val="24"/>
        </w:rPr>
        <w:t>二、质疑项目基本情况</w:t>
      </w:r>
    </w:p>
    <w:p w14:paraId="672AEE35">
      <w:pPr>
        <w:spacing w:line="360" w:lineRule="auto"/>
        <w:rPr>
          <w:rFonts w:cs="仿宋"/>
          <w:sz w:val="24"/>
          <w:szCs w:val="24"/>
        </w:rPr>
      </w:pPr>
      <w:r>
        <w:rPr>
          <w:rFonts w:hint="eastAsia" w:cs="仿宋"/>
          <w:sz w:val="24"/>
          <w:szCs w:val="24"/>
        </w:rPr>
        <w:t>质疑项目的名称：</w:t>
      </w:r>
      <w:r>
        <w:rPr>
          <w:rFonts w:hint="eastAsia" w:cs="仿宋"/>
          <w:sz w:val="24"/>
          <w:szCs w:val="24"/>
          <w:u w:val="single"/>
        </w:rPr>
        <w:t xml:space="preserve">                                                          </w:t>
      </w:r>
    </w:p>
    <w:p w14:paraId="06BA4DDB">
      <w:pPr>
        <w:spacing w:line="360" w:lineRule="auto"/>
        <w:rPr>
          <w:rFonts w:cs="仿宋"/>
          <w:sz w:val="24"/>
          <w:szCs w:val="24"/>
        </w:rPr>
      </w:pPr>
      <w:r>
        <w:rPr>
          <w:rFonts w:hint="eastAsia" w:cs="仿宋"/>
          <w:sz w:val="24"/>
          <w:szCs w:val="24"/>
        </w:rPr>
        <w:t>质疑项目的编号：</w:t>
      </w:r>
      <w:r>
        <w:rPr>
          <w:rFonts w:hint="eastAsia" w:cs="仿宋"/>
          <w:sz w:val="24"/>
          <w:szCs w:val="24"/>
          <w:u w:val="single"/>
        </w:rPr>
        <w:t xml:space="preserve">                         </w:t>
      </w:r>
      <w:r>
        <w:rPr>
          <w:rFonts w:hint="eastAsia" w:cs="仿宋"/>
          <w:sz w:val="24"/>
          <w:szCs w:val="24"/>
        </w:rPr>
        <w:t>包号：</w:t>
      </w:r>
      <w:r>
        <w:rPr>
          <w:rFonts w:hint="eastAsia" w:cs="仿宋"/>
          <w:sz w:val="24"/>
          <w:szCs w:val="24"/>
          <w:u w:val="single"/>
        </w:rPr>
        <w:t xml:space="preserve">                           </w:t>
      </w:r>
    </w:p>
    <w:p w14:paraId="443DF7E4">
      <w:pPr>
        <w:spacing w:line="360" w:lineRule="auto"/>
        <w:rPr>
          <w:rFonts w:cs="仿宋"/>
          <w:sz w:val="24"/>
          <w:szCs w:val="24"/>
          <w:u w:val="single"/>
        </w:rPr>
      </w:pPr>
      <w:r>
        <w:rPr>
          <w:rFonts w:hint="eastAsia" w:cs="仿宋"/>
          <w:sz w:val="24"/>
          <w:szCs w:val="24"/>
        </w:rPr>
        <w:t>采购人名称：</w:t>
      </w:r>
      <w:r>
        <w:rPr>
          <w:rFonts w:hint="eastAsia" w:cs="仿宋"/>
          <w:sz w:val="24"/>
          <w:szCs w:val="24"/>
          <w:u w:val="single"/>
        </w:rPr>
        <w:t xml:space="preserve">                                                              </w:t>
      </w:r>
    </w:p>
    <w:p w14:paraId="05D5D070">
      <w:pPr>
        <w:spacing w:line="360" w:lineRule="auto"/>
        <w:rPr>
          <w:rFonts w:cs="仿宋"/>
          <w:sz w:val="24"/>
          <w:szCs w:val="24"/>
        </w:rPr>
      </w:pPr>
      <w:r>
        <w:rPr>
          <w:rFonts w:hint="eastAsia" w:cs="仿宋"/>
          <w:sz w:val="24"/>
          <w:szCs w:val="24"/>
        </w:rPr>
        <w:t>采购文件获取日期：</w:t>
      </w:r>
      <w:r>
        <w:rPr>
          <w:rFonts w:hint="eastAsia" w:cs="仿宋"/>
          <w:sz w:val="24"/>
          <w:szCs w:val="24"/>
          <w:u w:val="single"/>
        </w:rPr>
        <w:t xml:space="preserve">                                                        </w:t>
      </w:r>
    </w:p>
    <w:p w14:paraId="048772F3">
      <w:pPr>
        <w:spacing w:line="360" w:lineRule="auto"/>
        <w:rPr>
          <w:rFonts w:cs="仿宋"/>
          <w:bCs/>
          <w:sz w:val="24"/>
          <w:szCs w:val="24"/>
        </w:rPr>
      </w:pPr>
      <w:r>
        <w:rPr>
          <w:rFonts w:hint="eastAsia" w:cs="仿宋"/>
          <w:bCs/>
          <w:sz w:val="24"/>
          <w:szCs w:val="24"/>
        </w:rPr>
        <w:t>三、质疑事项具体内容</w:t>
      </w:r>
    </w:p>
    <w:p w14:paraId="0A794E90">
      <w:pPr>
        <w:spacing w:line="360" w:lineRule="auto"/>
        <w:rPr>
          <w:rFonts w:cs="仿宋"/>
          <w:sz w:val="24"/>
          <w:szCs w:val="24"/>
          <w:u w:val="single"/>
        </w:rPr>
      </w:pPr>
      <w:r>
        <w:rPr>
          <w:rFonts w:hint="eastAsia" w:cs="仿宋"/>
          <w:sz w:val="24"/>
          <w:szCs w:val="24"/>
        </w:rPr>
        <w:t>质疑事项1：</w:t>
      </w:r>
      <w:r>
        <w:rPr>
          <w:rFonts w:hint="eastAsia" w:cs="仿宋"/>
          <w:sz w:val="24"/>
          <w:szCs w:val="24"/>
          <w:u w:val="single"/>
        </w:rPr>
        <w:t xml:space="preserve">                                                              </w:t>
      </w:r>
    </w:p>
    <w:p w14:paraId="4873E3A7">
      <w:pPr>
        <w:spacing w:line="360" w:lineRule="auto"/>
        <w:rPr>
          <w:rFonts w:cs="仿宋"/>
          <w:sz w:val="24"/>
          <w:szCs w:val="24"/>
          <w:u w:val="single"/>
        </w:rPr>
      </w:pPr>
      <w:r>
        <w:rPr>
          <w:rFonts w:hint="eastAsia" w:cs="仿宋"/>
          <w:sz w:val="24"/>
          <w:szCs w:val="24"/>
        </w:rPr>
        <w:t>事实依据：</w:t>
      </w:r>
      <w:r>
        <w:rPr>
          <w:rFonts w:hint="eastAsia" w:cs="仿宋"/>
          <w:sz w:val="24"/>
          <w:szCs w:val="24"/>
          <w:u w:val="single"/>
        </w:rPr>
        <w:t xml:space="preserve">                                                                </w:t>
      </w:r>
    </w:p>
    <w:p w14:paraId="5E18A690">
      <w:pPr>
        <w:spacing w:line="360" w:lineRule="auto"/>
        <w:rPr>
          <w:rFonts w:cs="仿宋"/>
          <w:sz w:val="24"/>
          <w:szCs w:val="24"/>
        </w:rPr>
      </w:pPr>
      <w:r>
        <w:rPr>
          <w:rFonts w:hint="eastAsia" w:cs="仿宋"/>
          <w:sz w:val="24"/>
          <w:szCs w:val="24"/>
          <w:u w:val="single"/>
        </w:rPr>
        <w:t xml:space="preserve">                                                                           </w:t>
      </w:r>
    </w:p>
    <w:p w14:paraId="02821042">
      <w:pPr>
        <w:spacing w:line="360" w:lineRule="auto"/>
        <w:rPr>
          <w:rFonts w:cs="仿宋"/>
          <w:sz w:val="24"/>
          <w:szCs w:val="24"/>
          <w:u w:val="single"/>
        </w:rPr>
      </w:pPr>
      <w:r>
        <w:rPr>
          <w:rFonts w:hint="eastAsia" w:cs="仿宋"/>
          <w:sz w:val="24"/>
          <w:szCs w:val="24"/>
        </w:rPr>
        <w:t>法律依据：</w:t>
      </w:r>
      <w:r>
        <w:rPr>
          <w:rFonts w:hint="eastAsia" w:cs="仿宋"/>
          <w:sz w:val="24"/>
          <w:szCs w:val="24"/>
          <w:u w:val="single"/>
        </w:rPr>
        <w:t xml:space="preserve">                                                                 </w:t>
      </w:r>
    </w:p>
    <w:p w14:paraId="28AB043E">
      <w:pPr>
        <w:spacing w:line="360" w:lineRule="auto"/>
        <w:rPr>
          <w:rFonts w:cs="仿宋"/>
          <w:sz w:val="24"/>
          <w:szCs w:val="24"/>
          <w:u w:val="single"/>
        </w:rPr>
      </w:pPr>
      <w:r>
        <w:rPr>
          <w:rFonts w:hint="eastAsia" w:cs="仿宋"/>
          <w:sz w:val="24"/>
          <w:szCs w:val="24"/>
          <w:u w:val="single"/>
        </w:rPr>
        <w:t xml:space="preserve">                                                                           </w:t>
      </w:r>
    </w:p>
    <w:p w14:paraId="027D2F80">
      <w:pPr>
        <w:spacing w:line="360" w:lineRule="auto"/>
        <w:rPr>
          <w:rFonts w:cs="仿宋"/>
          <w:sz w:val="24"/>
          <w:szCs w:val="24"/>
          <w:u w:val="single"/>
        </w:rPr>
      </w:pPr>
      <w:r>
        <w:rPr>
          <w:rFonts w:hint="eastAsia" w:cs="仿宋"/>
          <w:sz w:val="24"/>
          <w:szCs w:val="24"/>
        </w:rPr>
        <w:t>质疑事项2</w:t>
      </w:r>
    </w:p>
    <w:p w14:paraId="3F992E14">
      <w:pPr>
        <w:spacing w:line="360" w:lineRule="auto"/>
        <w:rPr>
          <w:rFonts w:cs="仿宋"/>
          <w:sz w:val="24"/>
          <w:szCs w:val="24"/>
        </w:rPr>
      </w:pPr>
      <w:r>
        <w:rPr>
          <w:rFonts w:hint="eastAsia" w:cs="仿宋"/>
          <w:sz w:val="24"/>
          <w:szCs w:val="24"/>
        </w:rPr>
        <w:t>……</w:t>
      </w:r>
    </w:p>
    <w:p w14:paraId="1997D0C8">
      <w:pPr>
        <w:spacing w:line="360" w:lineRule="auto"/>
        <w:rPr>
          <w:rFonts w:cs="仿宋"/>
          <w:bCs/>
          <w:sz w:val="24"/>
          <w:szCs w:val="24"/>
        </w:rPr>
      </w:pPr>
      <w:r>
        <w:rPr>
          <w:rFonts w:hint="eastAsia" w:cs="仿宋"/>
          <w:bCs/>
          <w:sz w:val="24"/>
          <w:szCs w:val="24"/>
        </w:rPr>
        <w:t>四、与质疑事项相关的质疑请求</w:t>
      </w:r>
    </w:p>
    <w:p w14:paraId="400866AB">
      <w:pPr>
        <w:spacing w:line="360" w:lineRule="auto"/>
        <w:rPr>
          <w:rFonts w:cs="仿宋"/>
          <w:sz w:val="24"/>
          <w:szCs w:val="24"/>
          <w:u w:val="single"/>
        </w:rPr>
      </w:pPr>
      <w:r>
        <w:rPr>
          <w:rFonts w:hint="eastAsia" w:cs="仿宋"/>
          <w:sz w:val="24"/>
          <w:szCs w:val="24"/>
        </w:rPr>
        <w:t>请求：</w:t>
      </w:r>
      <w:r>
        <w:rPr>
          <w:rFonts w:hint="eastAsia" w:cs="仿宋"/>
          <w:sz w:val="24"/>
          <w:szCs w:val="24"/>
          <w:u w:val="single"/>
        </w:rPr>
        <w:t xml:space="preserve">                                                                     </w:t>
      </w:r>
    </w:p>
    <w:p w14:paraId="6F7777CA">
      <w:pPr>
        <w:rPr>
          <w:sz w:val="24"/>
          <w:szCs w:val="24"/>
        </w:rPr>
      </w:pPr>
      <w:r>
        <w:rPr>
          <w:rFonts w:hint="eastAsia"/>
          <w:sz w:val="24"/>
          <w:szCs w:val="24"/>
        </w:rPr>
        <w:t xml:space="preserve">签字(签章)：                   公章：                      </w:t>
      </w:r>
    </w:p>
    <w:p w14:paraId="1FAE78EA">
      <w:pPr>
        <w:rPr>
          <w:sz w:val="24"/>
          <w:szCs w:val="24"/>
        </w:rPr>
      </w:pPr>
      <w:r>
        <w:rPr>
          <w:rFonts w:hint="eastAsia"/>
          <w:sz w:val="24"/>
          <w:szCs w:val="24"/>
        </w:rPr>
        <w:t xml:space="preserve">日期：    </w:t>
      </w:r>
    </w:p>
    <w:p w14:paraId="29E97292">
      <w:pPr>
        <w:spacing w:line="400" w:lineRule="exact"/>
        <w:rPr>
          <w:b/>
          <w:sz w:val="24"/>
          <w:szCs w:val="24"/>
        </w:rPr>
      </w:pPr>
      <w:r>
        <w:rPr>
          <w:rFonts w:hint="eastAsia"/>
          <w:b/>
          <w:sz w:val="24"/>
          <w:szCs w:val="24"/>
        </w:rPr>
        <w:t>质疑函制作说明：</w:t>
      </w:r>
    </w:p>
    <w:p w14:paraId="64576BB8">
      <w:pPr>
        <w:widowControl/>
        <w:spacing w:line="400" w:lineRule="exact"/>
        <w:ind w:firstLine="480"/>
        <w:jc w:val="left"/>
        <w:rPr>
          <w:sz w:val="24"/>
          <w:szCs w:val="24"/>
        </w:rPr>
      </w:pPr>
      <w:r>
        <w:rPr>
          <w:rFonts w:hint="eastAsia"/>
          <w:sz w:val="24"/>
          <w:szCs w:val="24"/>
        </w:rPr>
        <w:t>1.投标人提出质疑时，应提交质疑函和必要的证明材料。</w:t>
      </w:r>
    </w:p>
    <w:p w14:paraId="2360CC6E">
      <w:pPr>
        <w:widowControl/>
        <w:spacing w:line="400" w:lineRule="exact"/>
        <w:ind w:firstLine="480"/>
        <w:jc w:val="left"/>
        <w:rPr>
          <w:sz w:val="24"/>
          <w:szCs w:val="24"/>
        </w:rPr>
      </w:pPr>
      <w:r>
        <w:rPr>
          <w:rFonts w:hint="eastAsia"/>
          <w:sz w:val="24"/>
          <w:szCs w:val="24"/>
        </w:rPr>
        <w:t>2.质疑投标人若委托代理人进行质疑的，质疑函应按要求列明“授权代表”的有关内容，并在附件中提交由质疑</w:t>
      </w:r>
      <w:r>
        <w:rPr>
          <w:rFonts w:hint="eastAsia" w:cs="宋体"/>
          <w:sz w:val="24"/>
          <w:szCs w:val="24"/>
        </w:rPr>
        <w:t>投标人签署的授权委托书。授权委托书应载明代理人的姓名或者名称、代理事项、具体权限、期限和相关事项。</w:t>
      </w:r>
    </w:p>
    <w:p w14:paraId="6C8E793D">
      <w:pPr>
        <w:widowControl/>
        <w:spacing w:line="400" w:lineRule="exact"/>
        <w:ind w:firstLine="480"/>
        <w:jc w:val="left"/>
        <w:rPr>
          <w:sz w:val="24"/>
          <w:szCs w:val="24"/>
        </w:rPr>
      </w:pPr>
      <w:r>
        <w:rPr>
          <w:rFonts w:hint="eastAsia"/>
          <w:sz w:val="24"/>
          <w:szCs w:val="24"/>
        </w:rPr>
        <w:t>3.质疑投标人若对项目的某一分包进行质疑，质疑函中应列明具体分包号。</w:t>
      </w:r>
    </w:p>
    <w:p w14:paraId="02DEBD2F">
      <w:pPr>
        <w:widowControl/>
        <w:spacing w:line="400" w:lineRule="exact"/>
        <w:ind w:firstLine="480"/>
        <w:jc w:val="left"/>
        <w:rPr>
          <w:sz w:val="24"/>
          <w:szCs w:val="24"/>
        </w:rPr>
      </w:pPr>
      <w:r>
        <w:rPr>
          <w:rFonts w:hint="eastAsia"/>
          <w:sz w:val="24"/>
          <w:szCs w:val="24"/>
        </w:rPr>
        <w:t>4.质疑函的质疑事项应具体、明确，并有必要的事实依据和法律依据。</w:t>
      </w:r>
    </w:p>
    <w:p w14:paraId="31A8ABC7">
      <w:pPr>
        <w:widowControl/>
        <w:spacing w:line="400" w:lineRule="exact"/>
        <w:ind w:firstLine="480"/>
        <w:jc w:val="left"/>
        <w:rPr>
          <w:sz w:val="24"/>
          <w:szCs w:val="24"/>
        </w:rPr>
      </w:pPr>
      <w:r>
        <w:rPr>
          <w:rFonts w:hint="eastAsia"/>
          <w:sz w:val="24"/>
          <w:szCs w:val="24"/>
        </w:rPr>
        <w:t>5.质疑函的质疑请求应与质疑事项相关。</w:t>
      </w:r>
    </w:p>
    <w:p w14:paraId="4CC9081C">
      <w:pPr>
        <w:widowControl/>
        <w:spacing w:line="400" w:lineRule="exact"/>
        <w:ind w:firstLine="480"/>
        <w:jc w:val="left"/>
        <w:rPr>
          <w:sz w:val="24"/>
          <w:szCs w:val="24"/>
        </w:rPr>
      </w:pPr>
      <w:r>
        <w:rPr>
          <w:rFonts w:hint="eastAsia"/>
          <w:sz w:val="24"/>
          <w:szCs w:val="24"/>
        </w:rPr>
        <w:t>6.质疑投标人为自然人的，质疑函应由本人签字；质疑投标人为法人或者其他组织的，质疑函应由法定代表人、主要负责人，或者其授权代表签字或者盖章，并加盖公章。</w:t>
      </w:r>
    </w:p>
    <w:p w14:paraId="4020BD95">
      <w:pPr>
        <w:pStyle w:val="5"/>
        <w:rPr>
          <w:sz w:val="24"/>
          <w:szCs w:val="24"/>
        </w:rPr>
      </w:pPr>
    </w:p>
    <w:p w14:paraId="3FC07645">
      <w:pPr>
        <w:pStyle w:val="5"/>
        <w:rPr>
          <w:sz w:val="24"/>
          <w:szCs w:val="24"/>
        </w:rPr>
      </w:pPr>
    </w:p>
    <w:sectPr>
      <w:headerReference r:id="rId3" w:type="default"/>
      <w:footerReference r:id="rId4" w:type="default"/>
      <w:footerReference r:id="rId5" w:type="even"/>
      <w:pgSz w:w="11906" w:h="16838"/>
      <w:pgMar w:top="1418" w:right="1588" w:bottom="1418" w:left="1365" w:header="851" w:footer="907" w:gutter="0"/>
      <w:pgBorders>
        <w:top w:val="none" w:sz="0" w:space="0"/>
        <w:left w:val="none" w:sz="0" w:space="0"/>
        <w:bottom w:val="none" w:sz="0" w:space="0"/>
        <w:right w:val="none" w:sz="0" w:space="0"/>
      </w:pgBorders>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E975C0-12E3-4903-8733-EEA11339A7E0}"/>
  </w:font>
  <w:font w:name="黑体">
    <w:panose1 w:val="02010609060101010101"/>
    <w:charset w:val="86"/>
    <w:family w:val="auto"/>
    <w:pitch w:val="default"/>
    <w:sig w:usb0="800002BF" w:usb1="38CF7CFA" w:usb2="00000016" w:usb3="00000000" w:csb0="00040001" w:csb1="00000000"/>
    <w:embedRegular r:id="rId2" w:fontKey="{5E6C9C12-891C-448B-8899-A6AF8AD7A0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68508B1-85D3-4B32-A41F-AE2BF817E8F4}"/>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54EDFE99-03A5-4CD6-9165-0144A729E75B}"/>
  </w:font>
  <w:font w:name="Arial Unicode MS">
    <w:altName w:val="宋体"/>
    <w:panose1 w:val="020B0604020202020204"/>
    <w:charset w:val="86"/>
    <w:family w:val="auto"/>
    <w:pitch w:val="default"/>
    <w:sig w:usb0="00000000" w:usb1="00000000" w:usb2="0000003F" w:usb3="00000000" w:csb0="603F01FF" w:csb1="FFFF0000"/>
  </w:font>
  <w:font w:name="方正黑体_GBK">
    <w:altName w:val="微软雅黑"/>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auto"/>
    <w:pitch w:val="default"/>
    <w:sig w:usb0="A00002BF" w:usb1="38CF7CFA" w:usb2="00082016" w:usb3="00000000" w:csb0="00040001" w:csb1="00000000"/>
    <w:embedRegular r:id="rId5" w:fontKey="{F908BEE0-A9C2-4559-836E-BD738432E78A}"/>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embedRegular r:id="rId6" w:fontKey="{2DC90E1E-55A6-4B1E-A308-13090A35FD91}"/>
  </w:font>
  <w:font w:name="Segoe UI">
    <w:panose1 w:val="020B0502040204020203"/>
    <w:charset w:val="00"/>
    <w:family w:val="swiss"/>
    <w:pitch w:val="default"/>
    <w:sig w:usb0="E4002EFF" w:usb1="C000E47F" w:usb2="00000009" w:usb3="00000000" w:csb0="200001FF" w:csb1="00000000"/>
    <w:embedRegular r:id="rId7" w:fontKey="{F177148D-E579-4579-AF38-8B36E17FD485}"/>
  </w:font>
  <w:font w:name="仿宋">
    <w:panose1 w:val="02010609060101010101"/>
    <w:charset w:val="86"/>
    <w:family w:val="auto"/>
    <w:pitch w:val="default"/>
    <w:sig w:usb0="800002BF" w:usb1="38CF7CFA" w:usb2="00000016" w:usb3="00000000" w:csb0="00040001" w:csb1="00000000"/>
    <w:embedRegular r:id="rId8" w:fontKey="{5C4751FA-43E9-490E-AB2F-66691FC6A286}"/>
  </w:font>
  <w:font w:name="等线">
    <w:panose1 w:val="02010600030101010101"/>
    <w:charset w:val="86"/>
    <w:family w:val="auto"/>
    <w:pitch w:val="default"/>
    <w:sig w:usb0="A00002BF" w:usb1="38CF7CFA" w:usb2="00000016" w:usb3="00000000" w:csb0="0004000F" w:csb1="00000000"/>
    <w:embedRegular r:id="rId9" w:fontKey="{8CE51175-5010-4E3E-9A13-F032D515250B}"/>
  </w:font>
  <w:font w:name="方正魏碑_GBK">
    <w:panose1 w:val="02000000000000000000"/>
    <w:charset w:val="86"/>
    <w:family w:val="script"/>
    <w:pitch w:val="default"/>
    <w:sig w:usb0="00000001" w:usb1="08000000" w:usb2="00000000" w:usb3="00000000" w:csb0="00040000" w:csb1="00000000"/>
    <w:embedRegular r:id="rId10" w:fontKey="{0483516E-7F03-44FF-A207-8BAD93577022}"/>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2">
    <w:panose1 w:val="02000000000000000000"/>
    <w:charset w:val="86"/>
    <w:family w:val="auto"/>
    <w:pitch w:val="default"/>
    <w:sig w:usb0="A00002BF" w:usb1="38CF7CFA" w:usb2="00082016" w:usb3="00000000" w:csb0="00040001" w:csb1="00000000"/>
  </w:font>
  <w:font w:name="WPSEMBED3">
    <w:panose1 w:val="03000509000000000000"/>
    <w:charset w:val="86"/>
    <w:family w:val="auto"/>
    <w:pitch w:val="default"/>
    <w:sig w:usb0="00000001" w:usb1="080E0000" w:usb2="00000000" w:usb3="00000000" w:csb0="00040000" w:csb1="00000000"/>
  </w:font>
  <w:font w:name="WPSEMBED4">
    <w:panose1 w:val="02000000000000000000"/>
    <w:charset w:val="86"/>
    <w:family w:val="auto"/>
    <w:pitch w:val="default"/>
    <w:sig w:usb0="00000001" w:usb1="08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63D1F">
    <w:pPr>
      <w:pStyle w:val="30"/>
      <w:framePr w:wrap="around" w:vAnchor="text" w:hAnchor="margin" w:xAlign="center" w:y="1"/>
      <w:rPr>
        <w:rStyle w:val="54"/>
        <w:rFonts w:ascii="宋体" w:hAnsi="宋体"/>
      </w:rPr>
    </w:pPr>
    <w:r>
      <w:rPr>
        <w:rFonts w:ascii="宋体" w:hAnsi="宋体"/>
      </w:rPr>
      <w:fldChar w:fldCharType="begin"/>
    </w:r>
    <w:r>
      <w:rPr>
        <w:rStyle w:val="54"/>
        <w:rFonts w:ascii="宋体" w:hAnsi="宋体"/>
      </w:rPr>
      <w:instrText xml:space="preserve">PAGE  </w:instrText>
    </w:r>
    <w:r>
      <w:rPr>
        <w:rFonts w:ascii="宋体" w:hAnsi="宋体"/>
      </w:rPr>
      <w:fldChar w:fldCharType="separate"/>
    </w:r>
    <w:r>
      <w:rPr>
        <w:rStyle w:val="54"/>
        <w:rFonts w:ascii="宋体" w:hAnsi="宋体"/>
      </w:rPr>
      <w:t>23</w:t>
    </w:r>
    <w:r>
      <w:rPr>
        <w:rFonts w:ascii="宋体" w:hAnsi="宋体"/>
      </w:rPr>
      <w:fldChar w:fldCharType="end"/>
    </w:r>
  </w:p>
  <w:p w14:paraId="01D4ECC0">
    <w:pPr>
      <w:pStyle w:val="30"/>
      <w:jc w:val="center"/>
      <w:rPr>
        <w:b/>
        <w:i/>
      </w:rPr>
    </w:pP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9EC1">
    <w:pPr>
      <w:pStyle w:val="30"/>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5D2B29D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95E95">
    <w:pPr>
      <w:pStyle w:val="3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800F7"/>
    <w:multiLevelType w:val="singleLevel"/>
    <w:tmpl w:val="93E800F7"/>
    <w:lvl w:ilvl="0" w:tentative="0">
      <w:start w:val="1"/>
      <w:numFmt w:val="decimal"/>
      <w:lvlText w:val="%1."/>
      <w:lvlJc w:val="left"/>
      <w:pPr>
        <w:tabs>
          <w:tab w:val="left" w:pos="312"/>
        </w:tabs>
      </w:pPr>
    </w:lvl>
  </w:abstractNum>
  <w:abstractNum w:abstractNumId="1">
    <w:nsid w:val="0C0D0AA1"/>
    <w:multiLevelType w:val="multilevel"/>
    <w:tmpl w:val="0C0D0AA1"/>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9"/>
      <w:suff w:val="nothing"/>
      <w:lvlText w:val=""/>
      <w:lvlJc w:val="left"/>
      <w:pPr>
        <w:ind w:left="0" w:firstLine="0"/>
      </w:pPr>
      <w:rPr>
        <w:rFonts w:hint="eastAsia"/>
      </w:rPr>
    </w:lvl>
    <w:lvl w:ilvl="6" w:tentative="0">
      <w:start w:val="1"/>
      <w:numFmt w:val="decimal"/>
      <w:pStyle w:val="10"/>
      <w:suff w:val="nothing"/>
      <w:lvlText w:val=""/>
      <w:lvlJc w:val="left"/>
      <w:pPr>
        <w:ind w:left="0" w:firstLine="0"/>
      </w:pPr>
      <w:rPr>
        <w:rFonts w:hint="eastAsia"/>
      </w:rPr>
    </w:lvl>
    <w:lvl w:ilvl="7" w:tentative="0">
      <w:start w:val="1"/>
      <w:numFmt w:val="decimal"/>
      <w:pStyle w:val="11"/>
      <w:suff w:val="nothing"/>
      <w:lvlText w:val=""/>
      <w:lvlJc w:val="left"/>
      <w:pPr>
        <w:ind w:left="0" w:firstLine="0"/>
      </w:pPr>
      <w:rPr>
        <w:rFonts w:hint="eastAsia"/>
      </w:rPr>
    </w:lvl>
    <w:lvl w:ilvl="8" w:tentative="0">
      <w:start w:val="1"/>
      <w:numFmt w:val="decimal"/>
      <w:pStyle w:val="12"/>
      <w:suff w:val="nothing"/>
      <w:lvlText w:val=""/>
      <w:lvlJc w:val="left"/>
      <w:pPr>
        <w:ind w:left="0" w:firstLine="0"/>
      </w:pPr>
      <w:rPr>
        <w:rFonts w:hint="eastAsia"/>
      </w:rPr>
    </w:lvl>
  </w:abstractNum>
  <w:abstractNum w:abstractNumId="2">
    <w:nsid w:val="302A713F"/>
    <w:multiLevelType w:val="multilevel"/>
    <w:tmpl w:val="302A713F"/>
    <w:lvl w:ilvl="0" w:tentative="0">
      <w:start w:val="1"/>
      <w:numFmt w:val="upperLetter"/>
      <w:pStyle w:val="234"/>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34846E80"/>
    <w:multiLevelType w:val="singleLevel"/>
    <w:tmpl w:val="34846E80"/>
    <w:lvl w:ilvl="0" w:tentative="0">
      <w:start w:val="1"/>
      <w:numFmt w:val="decimal"/>
      <w:lvlText w:val="%1."/>
      <w:lvlJc w:val="left"/>
      <w:pPr>
        <w:tabs>
          <w:tab w:val="left" w:pos="312"/>
        </w:tabs>
      </w:pPr>
    </w:lvl>
  </w:abstractNum>
  <w:abstractNum w:abstractNumId="4">
    <w:nsid w:val="72696669"/>
    <w:multiLevelType w:val="multilevel"/>
    <w:tmpl w:val="72696669"/>
    <w:lvl w:ilvl="0" w:tentative="0">
      <w:start w:val="1"/>
      <w:numFmt w:val="decimal"/>
      <w:pStyle w:val="26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cumentProtection w:enforcement="0"/>
  <w:defaultTabStop w:val="420"/>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317"/>
    <w:rsid w:val="00004CAF"/>
    <w:rsid w:val="00012970"/>
    <w:rsid w:val="000E789F"/>
    <w:rsid w:val="00134D90"/>
    <w:rsid w:val="0019792C"/>
    <w:rsid w:val="00234784"/>
    <w:rsid w:val="00290BC6"/>
    <w:rsid w:val="002B14B1"/>
    <w:rsid w:val="002C20B3"/>
    <w:rsid w:val="003056CE"/>
    <w:rsid w:val="00420071"/>
    <w:rsid w:val="00444D46"/>
    <w:rsid w:val="004A1304"/>
    <w:rsid w:val="004E3087"/>
    <w:rsid w:val="0055678B"/>
    <w:rsid w:val="00595317"/>
    <w:rsid w:val="005E52D4"/>
    <w:rsid w:val="00616E42"/>
    <w:rsid w:val="006953A6"/>
    <w:rsid w:val="006B4F71"/>
    <w:rsid w:val="0071718B"/>
    <w:rsid w:val="007B247E"/>
    <w:rsid w:val="009F1EC0"/>
    <w:rsid w:val="00A247DC"/>
    <w:rsid w:val="00B24718"/>
    <w:rsid w:val="00B94430"/>
    <w:rsid w:val="00DB4FEA"/>
    <w:rsid w:val="00DB5474"/>
    <w:rsid w:val="00E55FB5"/>
    <w:rsid w:val="00E57717"/>
    <w:rsid w:val="00EA4357"/>
    <w:rsid w:val="00F4161A"/>
    <w:rsid w:val="010350AA"/>
    <w:rsid w:val="03CC79F7"/>
    <w:rsid w:val="04403879"/>
    <w:rsid w:val="04DE0329"/>
    <w:rsid w:val="053022E6"/>
    <w:rsid w:val="05F477B7"/>
    <w:rsid w:val="067B6479"/>
    <w:rsid w:val="06977CA7"/>
    <w:rsid w:val="07ED1622"/>
    <w:rsid w:val="08BB280E"/>
    <w:rsid w:val="095C7B4D"/>
    <w:rsid w:val="0ABC7C16"/>
    <w:rsid w:val="0B21267E"/>
    <w:rsid w:val="0B5F3925"/>
    <w:rsid w:val="1023528A"/>
    <w:rsid w:val="116030B0"/>
    <w:rsid w:val="11D85B1A"/>
    <w:rsid w:val="13A75630"/>
    <w:rsid w:val="13ED53DF"/>
    <w:rsid w:val="16DA6212"/>
    <w:rsid w:val="176A78D9"/>
    <w:rsid w:val="1AEB0D31"/>
    <w:rsid w:val="1B2B3823"/>
    <w:rsid w:val="1C56667E"/>
    <w:rsid w:val="1C6F4FB4"/>
    <w:rsid w:val="1C7134B8"/>
    <w:rsid w:val="1D9A1D3C"/>
    <w:rsid w:val="1EC61A03"/>
    <w:rsid w:val="1F3C6F8B"/>
    <w:rsid w:val="22227A94"/>
    <w:rsid w:val="23190AF3"/>
    <w:rsid w:val="25EE7832"/>
    <w:rsid w:val="266D2C13"/>
    <w:rsid w:val="285148D7"/>
    <w:rsid w:val="2BA16856"/>
    <w:rsid w:val="2C0374E4"/>
    <w:rsid w:val="2E586286"/>
    <w:rsid w:val="2E6958EF"/>
    <w:rsid w:val="2F6C28C7"/>
    <w:rsid w:val="2F923A19"/>
    <w:rsid w:val="30A367D5"/>
    <w:rsid w:val="30C170DF"/>
    <w:rsid w:val="31344D88"/>
    <w:rsid w:val="31583F42"/>
    <w:rsid w:val="31621726"/>
    <w:rsid w:val="31666628"/>
    <w:rsid w:val="31801AC1"/>
    <w:rsid w:val="318F1549"/>
    <w:rsid w:val="32983E6D"/>
    <w:rsid w:val="33D24B7B"/>
    <w:rsid w:val="35D327F7"/>
    <w:rsid w:val="37DF3574"/>
    <w:rsid w:val="390F2F77"/>
    <w:rsid w:val="399B4A66"/>
    <w:rsid w:val="3BFE0587"/>
    <w:rsid w:val="3C507D86"/>
    <w:rsid w:val="3D4E0F7F"/>
    <w:rsid w:val="3F3E2BF9"/>
    <w:rsid w:val="3FBC5833"/>
    <w:rsid w:val="403F6982"/>
    <w:rsid w:val="406B5401"/>
    <w:rsid w:val="40893231"/>
    <w:rsid w:val="45C84DED"/>
    <w:rsid w:val="49D66DB1"/>
    <w:rsid w:val="4C92791D"/>
    <w:rsid w:val="4CB574A6"/>
    <w:rsid w:val="4FB6134B"/>
    <w:rsid w:val="4FC078C4"/>
    <w:rsid w:val="50AC7D95"/>
    <w:rsid w:val="50B05655"/>
    <w:rsid w:val="52EB2249"/>
    <w:rsid w:val="53780C68"/>
    <w:rsid w:val="548B0CA7"/>
    <w:rsid w:val="58075957"/>
    <w:rsid w:val="58ED5AD3"/>
    <w:rsid w:val="5A0A4028"/>
    <w:rsid w:val="5CDB1763"/>
    <w:rsid w:val="5CE66936"/>
    <w:rsid w:val="5FFE63DD"/>
    <w:rsid w:val="60264C0C"/>
    <w:rsid w:val="603658A5"/>
    <w:rsid w:val="61A86601"/>
    <w:rsid w:val="628539B3"/>
    <w:rsid w:val="62B66AFB"/>
    <w:rsid w:val="63FA0FB5"/>
    <w:rsid w:val="65494982"/>
    <w:rsid w:val="669C06FE"/>
    <w:rsid w:val="68552CA8"/>
    <w:rsid w:val="685E58B1"/>
    <w:rsid w:val="698B1703"/>
    <w:rsid w:val="69D30F9A"/>
    <w:rsid w:val="6ADB52FB"/>
    <w:rsid w:val="6B55261E"/>
    <w:rsid w:val="6C003240"/>
    <w:rsid w:val="6C5A7375"/>
    <w:rsid w:val="6C976054"/>
    <w:rsid w:val="6CD465D4"/>
    <w:rsid w:val="6EAD34A8"/>
    <w:rsid w:val="71573B9F"/>
    <w:rsid w:val="71823A45"/>
    <w:rsid w:val="734913B7"/>
    <w:rsid w:val="74413025"/>
    <w:rsid w:val="749F7D96"/>
    <w:rsid w:val="75BA3E55"/>
    <w:rsid w:val="760351A7"/>
    <w:rsid w:val="762D1379"/>
    <w:rsid w:val="7664687E"/>
    <w:rsid w:val="77C17FC5"/>
    <w:rsid w:val="78797912"/>
    <w:rsid w:val="79DE4E5E"/>
    <w:rsid w:val="7CB400F8"/>
    <w:rsid w:val="7D300DF0"/>
    <w:rsid w:val="7E4D25B2"/>
    <w:rsid w:val="7EB303AB"/>
    <w:rsid w:val="7EEA345E"/>
    <w:rsid w:val="7F1255AA"/>
    <w:rsid w:val="7FFE3ABC"/>
    <w:rsid w:val="B7B5B1DB"/>
    <w:rsid w:val="DC5D5A3B"/>
    <w:rsid w:val="EC74E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nhideWhenUsed="0"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1"/>
    <w:basedOn w:val="1"/>
    <w:next w:val="1"/>
    <w:link w:val="207"/>
    <w:qFormat/>
    <w:uiPriority w:val="0"/>
    <w:pPr>
      <w:keepNext/>
      <w:jc w:val="center"/>
      <w:outlineLvl w:val="0"/>
    </w:pPr>
    <w:rPr>
      <w:rFonts w:ascii="楷体_GB2312" w:eastAsia="楷体_GB2312"/>
      <w:sz w:val="28"/>
      <w:szCs w:val="28"/>
    </w:rPr>
  </w:style>
  <w:style w:type="paragraph" w:styleId="4">
    <w:name w:val="heading 2"/>
    <w:basedOn w:val="1"/>
    <w:next w:val="5"/>
    <w:link w:val="208"/>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209"/>
    <w:qFormat/>
    <w:uiPriority w:val="0"/>
    <w:pPr>
      <w:keepNext/>
      <w:keepLines/>
      <w:spacing w:before="260" w:after="260" w:line="416" w:lineRule="auto"/>
      <w:outlineLvl w:val="2"/>
    </w:pPr>
    <w:rPr>
      <w:b/>
      <w:bCs/>
      <w:sz w:val="32"/>
      <w:szCs w:val="32"/>
    </w:rPr>
  </w:style>
  <w:style w:type="paragraph" w:styleId="7">
    <w:name w:val="heading 4"/>
    <w:basedOn w:val="1"/>
    <w:next w:val="5"/>
    <w:link w:val="211"/>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212"/>
    <w:qFormat/>
    <w:uiPriority w:val="0"/>
    <w:pPr>
      <w:keepNext/>
      <w:outlineLvl w:val="4"/>
    </w:pPr>
    <w:rPr>
      <w:rFonts w:ascii="宋体"/>
      <w:color w:val="000000"/>
      <w:sz w:val="28"/>
      <w:szCs w:val="28"/>
    </w:rPr>
  </w:style>
  <w:style w:type="paragraph" w:styleId="9">
    <w:name w:val="heading 6"/>
    <w:basedOn w:val="1"/>
    <w:next w:val="1"/>
    <w:link w:val="213"/>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214"/>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link w:val="215"/>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link w:val="216"/>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jc w:val="left"/>
    </w:pPr>
    <w:rPr>
      <w:rFonts w:ascii="宋体" w:cs="宋体"/>
      <w:color w:val="000000"/>
      <w:sz w:val="24"/>
      <w:szCs w:val="24"/>
    </w:rPr>
  </w:style>
  <w:style w:type="paragraph" w:styleId="5">
    <w:name w:val="Normal Indent"/>
    <w:basedOn w:val="1"/>
    <w:link w:val="210"/>
    <w:qFormat/>
    <w:uiPriority w:val="0"/>
    <w:pPr>
      <w:ind w:firstLine="420"/>
    </w:pPr>
  </w:style>
  <w:style w:type="paragraph" w:styleId="13">
    <w:name w:val="List 3"/>
    <w:basedOn w:val="1"/>
    <w:qFormat/>
    <w:uiPriority w:val="0"/>
    <w:pPr>
      <w:ind w:left="100" w:hanging="200"/>
    </w:pPr>
  </w:style>
  <w:style w:type="paragraph" w:styleId="14">
    <w:name w:val="toc 7"/>
    <w:basedOn w:val="1"/>
    <w:next w:val="1"/>
    <w:semiHidden/>
    <w:qFormat/>
    <w:uiPriority w:val="0"/>
    <w:pPr>
      <w:ind w:left="1260"/>
      <w:jc w:val="left"/>
    </w:pPr>
  </w:style>
  <w:style w:type="paragraph" w:styleId="15">
    <w:name w:val="caption"/>
    <w:basedOn w:val="1"/>
    <w:next w:val="1"/>
    <w:semiHidden/>
    <w:unhideWhenUsed/>
    <w:qFormat/>
    <w:uiPriority w:val="35"/>
    <w:pPr>
      <w:spacing w:line="276" w:lineRule="auto"/>
    </w:pPr>
    <w:rPr>
      <w:b/>
      <w:bCs/>
      <w:color w:val="4F81BD"/>
      <w:sz w:val="18"/>
      <w:szCs w:val="18"/>
    </w:rPr>
  </w:style>
  <w:style w:type="paragraph" w:styleId="16">
    <w:name w:val="Document Map"/>
    <w:basedOn w:val="1"/>
    <w:link w:val="217"/>
    <w:semiHidden/>
    <w:qFormat/>
    <w:uiPriority w:val="0"/>
    <w:pPr>
      <w:shd w:val="clear" w:color="auto" w:fill="000080"/>
    </w:pPr>
  </w:style>
  <w:style w:type="paragraph" w:styleId="17">
    <w:name w:val="annotation text"/>
    <w:basedOn w:val="1"/>
    <w:link w:val="218"/>
    <w:semiHidden/>
    <w:qFormat/>
    <w:uiPriority w:val="0"/>
    <w:pPr>
      <w:jc w:val="left"/>
    </w:pPr>
  </w:style>
  <w:style w:type="paragraph" w:styleId="18">
    <w:name w:val="Body Text 3"/>
    <w:basedOn w:val="1"/>
    <w:link w:val="219"/>
    <w:qFormat/>
    <w:uiPriority w:val="0"/>
    <w:rPr>
      <w:rFonts w:ascii="仿宋_GB2312" w:hAnsi="Arial" w:eastAsia="仿宋_GB2312"/>
      <w:sz w:val="32"/>
      <w:szCs w:val="32"/>
    </w:rPr>
  </w:style>
  <w:style w:type="paragraph" w:styleId="19">
    <w:name w:val="Body Text"/>
    <w:basedOn w:val="1"/>
    <w:next w:val="1"/>
    <w:link w:val="220"/>
    <w:qFormat/>
    <w:uiPriority w:val="0"/>
    <w:rPr>
      <w:rFonts w:ascii="楷体_GB2312" w:hAnsi="Arial" w:eastAsia="楷体_GB2312"/>
      <w:sz w:val="28"/>
      <w:szCs w:val="28"/>
    </w:rPr>
  </w:style>
  <w:style w:type="paragraph" w:styleId="20">
    <w:name w:val="Body Text Indent"/>
    <w:basedOn w:val="1"/>
    <w:next w:val="1"/>
    <w:link w:val="221"/>
    <w:qFormat/>
    <w:uiPriority w:val="0"/>
    <w:pPr>
      <w:ind w:firstLine="645"/>
    </w:pPr>
    <w:rPr>
      <w:rFonts w:ascii="楷体_GB2312" w:eastAsia="楷体_GB2312"/>
      <w:sz w:val="32"/>
      <w:szCs w:val="32"/>
    </w:rPr>
  </w:style>
  <w:style w:type="paragraph" w:styleId="21">
    <w:name w:val="List 2"/>
    <w:basedOn w:val="1"/>
    <w:qFormat/>
    <w:uiPriority w:val="0"/>
    <w:pPr>
      <w:ind w:left="100" w:hanging="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222"/>
    <w:qFormat/>
    <w:uiPriority w:val="0"/>
    <w:rPr>
      <w:rFonts w:ascii="宋体" w:hAnsi="Courier New" w:cs="Courier New"/>
    </w:rPr>
  </w:style>
  <w:style w:type="paragraph" w:styleId="25">
    <w:name w:val="toc 8"/>
    <w:basedOn w:val="1"/>
    <w:next w:val="1"/>
    <w:semiHidden/>
    <w:qFormat/>
    <w:uiPriority w:val="0"/>
    <w:pPr>
      <w:ind w:left="1470"/>
      <w:jc w:val="left"/>
    </w:pPr>
  </w:style>
  <w:style w:type="paragraph" w:styleId="26">
    <w:name w:val="Date"/>
    <w:basedOn w:val="1"/>
    <w:next w:val="1"/>
    <w:link w:val="223"/>
    <w:qFormat/>
    <w:uiPriority w:val="0"/>
    <w:rPr>
      <w:sz w:val="24"/>
      <w:szCs w:val="24"/>
    </w:rPr>
  </w:style>
  <w:style w:type="paragraph" w:styleId="27">
    <w:name w:val="Body Text Indent 2"/>
    <w:basedOn w:val="1"/>
    <w:link w:val="224"/>
    <w:qFormat/>
    <w:uiPriority w:val="0"/>
    <w:pPr>
      <w:ind w:left="630" w:firstLine="645"/>
    </w:pPr>
    <w:rPr>
      <w:rFonts w:ascii="Arial" w:hAnsi="Arial" w:eastAsia="仿宋_GB2312" w:cs="Arial"/>
      <w:sz w:val="32"/>
      <w:szCs w:val="32"/>
    </w:rPr>
  </w:style>
  <w:style w:type="paragraph" w:styleId="28">
    <w:name w:val="endnote text"/>
    <w:basedOn w:val="1"/>
    <w:link w:val="205"/>
    <w:semiHidden/>
    <w:unhideWhenUsed/>
    <w:qFormat/>
    <w:uiPriority w:val="99"/>
    <w:rPr>
      <w:sz w:val="20"/>
    </w:rPr>
  </w:style>
  <w:style w:type="paragraph" w:styleId="29">
    <w:name w:val="Balloon Text"/>
    <w:basedOn w:val="1"/>
    <w:link w:val="225"/>
    <w:semiHidden/>
    <w:qFormat/>
    <w:uiPriority w:val="0"/>
    <w:rPr>
      <w:sz w:val="18"/>
      <w:szCs w:val="18"/>
    </w:rPr>
  </w:style>
  <w:style w:type="paragraph" w:styleId="30">
    <w:name w:val="footer"/>
    <w:basedOn w:val="1"/>
    <w:link w:val="226"/>
    <w:qFormat/>
    <w:uiPriority w:val="0"/>
    <w:pPr>
      <w:tabs>
        <w:tab w:val="center" w:pos="4153"/>
        <w:tab w:val="right" w:pos="8306"/>
      </w:tabs>
      <w:jc w:val="left"/>
    </w:pPr>
    <w:rPr>
      <w:sz w:val="18"/>
      <w:szCs w:val="18"/>
    </w:rPr>
  </w:style>
  <w:style w:type="paragraph" w:styleId="31">
    <w:name w:val="header"/>
    <w:basedOn w:val="1"/>
    <w:link w:val="227"/>
    <w:qFormat/>
    <w:uiPriority w:val="0"/>
    <w:pPr>
      <w:pBdr>
        <w:bottom w:val="single" w:color="000000" w:sz="6" w:space="1"/>
      </w:pBdr>
      <w:tabs>
        <w:tab w:val="center" w:pos="4153"/>
        <w:tab w:val="right" w:pos="8306"/>
      </w:tabs>
      <w:jc w:val="center"/>
    </w:pPr>
    <w:rPr>
      <w:sz w:val="18"/>
      <w:szCs w:val="18"/>
    </w:rPr>
  </w:style>
  <w:style w:type="paragraph" w:styleId="32">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3">
    <w:name w:val="toc 4"/>
    <w:basedOn w:val="1"/>
    <w:next w:val="1"/>
    <w:semiHidden/>
    <w:qFormat/>
    <w:uiPriority w:val="0"/>
    <w:pPr>
      <w:ind w:left="630"/>
      <w:jc w:val="left"/>
    </w:pPr>
  </w:style>
  <w:style w:type="paragraph" w:styleId="34">
    <w:name w:val="Subtitle"/>
    <w:basedOn w:val="1"/>
    <w:next w:val="1"/>
    <w:link w:val="71"/>
    <w:qFormat/>
    <w:uiPriority w:val="11"/>
    <w:pPr>
      <w:spacing w:before="200" w:after="200"/>
    </w:pPr>
    <w:rPr>
      <w:sz w:val="24"/>
      <w:szCs w:val="24"/>
    </w:rPr>
  </w:style>
  <w:style w:type="paragraph" w:styleId="35">
    <w:name w:val="List"/>
    <w:basedOn w:val="1"/>
    <w:qFormat/>
    <w:uiPriority w:val="0"/>
    <w:pPr>
      <w:ind w:left="200" w:hanging="200"/>
    </w:pPr>
  </w:style>
  <w:style w:type="paragraph" w:styleId="36">
    <w:name w:val="footnote text"/>
    <w:basedOn w:val="1"/>
    <w:link w:val="204"/>
    <w:semiHidden/>
    <w:unhideWhenUsed/>
    <w:qFormat/>
    <w:uiPriority w:val="99"/>
    <w:pPr>
      <w:spacing w:after="40"/>
    </w:pPr>
    <w:rPr>
      <w:sz w:val="18"/>
    </w:rPr>
  </w:style>
  <w:style w:type="paragraph" w:styleId="37">
    <w:name w:val="toc 6"/>
    <w:basedOn w:val="1"/>
    <w:next w:val="1"/>
    <w:semiHidden/>
    <w:qFormat/>
    <w:uiPriority w:val="0"/>
    <w:pPr>
      <w:ind w:left="1050"/>
      <w:jc w:val="left"/>
    </w:pPr>
  </w:style>
  <w:style w:type="paragraph" w:styleId="38">
    <w:name w:val="Body Text Indent 3"/>
    <w:basedOn w:val="1"/>
    <w:link w:val="228"/>
    <w:qFormat/>
    <w:uiPriority w:val="0"/>
    <w:pPr>
      <w:ind w:left="645" w:firstLine="645"/>
    </w:pPr>
    <w:rPr>
      <w:rFonts w:ascii="Arial" w:hAnsi="Arial" w:eastAsia="仿宋_GB2312" w:cs="Arial"/>
      <w:color w:val="FFFF00"/>
      <w:sz w:val="32"/>
      <w:szCs w:val="32"/>
    </w:rPr>
  </w:style>
  <w:style w:type="paragraph" w:styleId="39">
    <w:name w:val="table of figures"/>
    <w:basedOn w:val="1"/>
    <w:next w:val="1"/>
    <w:semiHidden/>
    <w:qFormat/>
    <w:uiPriority w:val="0"/>
    <w:pPr>
      <w:ind w:left="840" w:hanging="420"/>
    </w:pPr>
  </w:style>
  <w:style w:type="paragraph" w:styleId="40">
    <w:name w:val="toc 2"/>
    <w:basedOn w:val="1"/>
    <w:next w:val="1"/>
    <w:semiHidden/>
    <w:qFormat/>
    <w:uiPriority w:val="0"/>
    <w:pPr>
      <w:ind w:left="210"/>
      <w:jc w:val="left"/>
    </w:pPr>
    <w:rPr>
      <w:smallCaps/>
      <w:szCs w:val="24"/>
    </w:rPr>
  </w:style>
  <w:style w:type="paragraph" w:styleId="41">
    <w:name w:val="toc 9"/>
    <w:basedOn w:val="1"/>
    <w:next w:val="1"/>
    <w:semiHidden/>
    <w:qFormat/>
    <w:uiPriority w:val="0"/>
    <w:pPr>
      <w:ind w:left="1680"/>
      <w:jc w:val="left"/>
    </w:pPr>
  </w:style>
  <w:style w:type="paragraph" w:styleId="42">
    <w:name w:val="Body Text 2"/>
    <w:basedOn w:val="1"/>
    <w:link w:val="229"/>
    <w:qFormat/>
    <w:uiPriority w:val="0"/>
    <w:pPr>
      <w:widowControl/>
      <w:jc w:val="center"/>
    </w:pPr>
    <w:rPr>
      <w:rFonts w:ascii="楷体_GB2312" w:eastAsia="楷体_GB2312"/>
      <w:sz w:val="28"/>
      <w:szCs w:val="28"/>
    </w:rPr>
  </w:style>
  <w:style w:type="paragraph" w:styleId="43">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44">
    <w:name w:val="index 1"/>
    <w:basedOn w:val="1"/>
    <w:next w:val="1"/>
    <w:semiHidden/>
    <w:qFormat/>
    <w:uiPriority w:val="0"/>
    <w:pPr>
      <w:spacing w:line="240" w:lineRule="atLeast"/>
    </w:pPr>
    <w:rPr>
      <w:b/>
      <w:bCs/>
    </w:rPr>
  </w:style>
  <w:style w:type="paragraph" w:styleId="45">
    <w:name w:val="Title"/>
    <w:basedOn w:val="1"/>
    <w:next w:val="1"/>
    <w:link w:val="70"/>
    <w:qFormat/>
    <w:uiPriority w:val="10"/>
    <w:pPr>
      <w:spacing w:before="300" w:after="200"/>
      <w:contextualSpacing/>
    </w:pPr>
    <w:rPr>
      <w:sz w:val="48"/>
      <w:szCs w:val="48"/>
    </w:rPr>
  </w:style>
  <w:style w:type="paragraph" w:styleId="46">
    <w:name w:val="annotation subject"/>
    <w:basedOn w:val="17"/>
    <w:next w:val="17"/>
    <w:link w:val="230"/>
    <w:semiHidden/>
    <w:qFormat/>
    <w:uiPriority w:val="0"/>
    <w:rPr>
      <w:b/>
      <w:bCs/>
    </w:rPr>
  </w:style>
  <w:style w:type="paragraph" w:styleId="47">
    <w:name w:val="Body Text First Indent"/>
    <w:basedOn w:val="1"/>
    <w:link w:val="231"/>
    <w:qFormat/>
    <w:uiPriority w:val="0"/>
    <w:pPr>
      <w:spacing w:line="360" w:lineRule="auto"/>
      <w:ind w:firstLine="200"/>
    </w:pPr>
    <w:rPr>
      <w:rFonts w:ascii="仿宋_GB2312" w:eastAsia="仿宋_GB2312"/>
      <w:sz w:val="30"/>
      <w:szCs w:val="30"/>
    </w:rPr>
  </w:style>
  <w:style w:type="paragraph" w:styleId="48">
    <w:name w:val="Body Text First Indent 2"/>
    <w:basedOn w:val="20"/>
    <w:link w:val="232"/>
    <w:qFormat/>
    <w:uiPriority w:val="0"/>
    <w:pPr>
      <w:spacing w:line="360" w:lineRule="auto"/>
      <w:ind w:firstLine="420"/>
    </w:pPr>
    <w:rPr>
      <w:rFonts w:ascii="宋体" w:hAnsi="宋体" w:eastAsia="宋体"/>
      <w:sz w:val="21"/>
      <w:szCs w:val="20"/>
    </w:rPr>
  </w:style>
  <w:style w:type="table" w:styleId="50">
    <w:name w:val="Table Grid"/>
    <w:basedOn w:val="4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endnote reference"/>
    <w:semiHidden/>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Hyperlink"/>
    <w:qFormat/>
    <w:uiPriority w:val="0"/>
    <w:rPr>
      <w:color w:val="0000FF"/>
      <w:u w:val="single"/>
    </w:rPr>
  </w:style>
  <w:style w:type="character" w:styleId="57">
    <w:name w:val="annotation reference"/>
    <w:semiHidden/>
    <w:qFormat/>
    <w:uiPriority w:val="0"/>
    <w:rPr>
      <w:sz w:val="21"/>
      <w:szCs w:val="21"/>
    </w:rPr>
  </w:style>
  <w:style w:type="character" w:styleId="58">
    <w:name w:val="footnote reference"/>
    <w:unhideWhenUsed/>
    <w:qFormat/>
    <w:uiPriority w:val="99"/>
    <w:rPr>
      <w:vertAlign w:val="superscript"/>
    </w:rPr>
  </w:style>
  <w:style w:type="character" w:customStyle="1" w:styleId="59">
    <w:name w:val="Heading 1 Char"/>
    <w:qFormat/>
    <w:uiPriority w:val="9"/>
    <w:rPr>
      <w:rFonts w:ascii="Arial" w:hAnsi="Arial" w:eastAsia="Arial" w:cs="Arial"/>
      <w:sz w:val="40"/>
      <w:szCs w:val="40"/>
    </w:rPr>
  </w:style>
  <w:style w:type="character" w:customStyle="1" w:styleId="60">
    <w:name w:val="Heading 2 Char"/>
    <w:qFormat/>
    <w:uiPriority w:val="9"/>
    <w:rPr>
      <w:rFonts w:ascii="Arial" w:hAnsi="Arial" w:eastAsia="Arial" w:cs="Arial"/>
      <w:sz w:val="34"/>
    </w:rPr>
  </w:style>
  <w:style w:type="character" w:customStyle="1" w:styleId="61">
    <w:name w:val="Heading 3 Char"/>
    <w:qFormat/>
    <w:uiPriority w:val="9"/>
    <w:rPr>
      <w:rFonts w:ascii="Arial" w:hAnsi="Arial" w:eastAsia="Arial" w:cs="Arial"/>
      <w:sz w:val="30"/>
      <w:szCs w:val="30"/>
    </w:rPr>
  </w:style>
  <w:style w:type="character" w:customStyle="1" w:styleId="62">
    <w:name w:val="Heading 4 Char"/>
    <w:qFormat/>
    <w:uiPriority w:val="9"/>
    <w:rPr>
      <w:rFonts w:ascii="Arial" w:hAnsi="Arial" w:eastAsia="Arial" w:cs="Arial"/>
      <w:b/>
      <w:bCs/>
      <w:sz w:val="26"/>
      <w:szCs w:val="26"/>
    </w:rPr>
  </w:style>
  <w:style w:type="character" w:customStyle="1" w:styleId="63">
    <w:name w:val="Heading 5 Char"/>
    <w:qFormat/>
    <w:uiPriority w:val="9"/>
    <w:rPr>
      <w:rFonts w:ascii="Arial" w:hAnsi="Arial" w:eastAsia="Arial" w:cs="Arial"/>
      <w:b/>
      <w:bCs/>
      <w:sz w:val="24"/>
      <w:szCs w:val="24"/>
    </w:rPr>
  </w:style>
  <w:style w:type="character" w:customStyle="1" w:styleId="64">
    <w:name w:val="Heading 6 Char"/>
    <w:qFormat/>
    <w:uiPriority w:val="9"/>
    <w:rPr>
      <w:rFonts w:ascii="Arial" w:hAnsi="Arial" w:eastAsia="Arial" w:cs="Arial"/>
      <w:b/>
      <w:bCs/>
      <w:sz w:val="22"/>
      <w:szCs w:val="22"/>
    </w:rPr>
  </w:style>
  <w:style w:type="character" w:customStyle="1" w:styleId="65">
    <w:name w:val="Heading 7 Char"/>
    <w:qFormat/>
    <w:uiPriority w:val="9"/>
    <w:rPr>
      <w:rFonts w:ascii="Arial" w:hAnsi="Arial" w:eastAsia="Arial" w:cs="Arial"/>
      <w:b/>
      <w:bCs/>
      <w:i/>
      <w:iCs/>
      <w:sz w:val="22"/>
      <w:szCs w:val="22"/>
    </w:rPr>
  </w:style>
  <w:style w:type="character" w:customStyle="1" w:styleId="66">
    <w:name w:val="Heading 8 Char"/>
    <w:qFormat/>
    <w:uiPriority w:val="9"/>
    <w:rPr>
      <w:rFonts w:ascii="Arial" w:hAnsi="Arial" w:eastAsia="Arial" w:cs="Arial"/>
      <w:i/>
      <w:iCs/>
      <w:sz w:val="22"/>
      <w:szCs w:val="22"/>
    </w:rPr>
  </w:style>
  <w:style w:type="character" w:customStyle="1" w:styleId="67">
    <w:name w:val="Heading 9 Char"/>
    <w:qFormat/>
    <w:uiPriority w:val="9"/>
    <w:rPr>
      <w:rFonts w:ascii="Arial" w:hAnsi="Arial" w:eastAsia="Arial" w:cs="Arial"/>
      <w:i/>
      <w:iCs/>
      <w:sz w:val="21"/>
      <w:szCs w:val="21"/>
    </w:rPr>
  </w:style>
  <w:style w:type="paragraph" w:styleId="68">
    <w:name w:val="List Paragraph"/>
    <w:basedOn w:val="1"/>
    <w:qFormat/>
    <w:uiPriority w:val="0"/>
    <w:pPr>
      <w:widowControl/>
      <w:ind w:left="720"/>
      <w:contextualSpacing/>
      <w:jc w:val="left"/>
    </w:pPr>
    <w:rPr>
      <w:rFonts w:ascii="Calibri" w:hAnsi="Calibri"/>
      <w:sz w:val="24"/>
      <w:szCs w:val="24"/>
      <w:lang w:eastAsia="en-US" w:bidi="en-US"/>
    </w:rPr>
  </w:style>
  <w:style w:type="paragraph" w:styleId="69">
    <w:name w:val="No Spacing"/>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70">
    <w:name w:val="标题 字符"/>
    <w:link w:val="45"/>
    <w:qFormat/>
    <w:uiPriority w:val="10"/>
    <w:rPr>
      <w:sz w:val="48"/>
      <w:szCs w:val="48"/>
    </w:rPr>
  </w:style>
  <w:style w:type="character" w:customStyle="1" w:styleId="71">
    <w:name w:val="副标题 字符"/>
    <w:link w:val="34"/>
    <w:qFormat/>
    <w:uiPriority w:val="11"/>
    <w:rPr>
      <w:sz w:val="24"/>
      <w:szCs w:val="24"/>
    </w:rPr>
  </w:style>
  <w:style w:type="paragraph" w:styleId="72">
    <w:name w:val="Quote"/>
    <w:basedOn w:val="1"/>
    <w:next w:val="1"/>
    <w:link w:val="73"/>
    <w:qFormat/>
    <w:uiPriority w:val="29"/>
    <w:pPr>
      <w:ind w:left="720" w:right="720"/>
    </w:pPr>
    <w:rPr>
      <w:i/>
    </w:rPr>
  </w:style>
  <w:style w:type="character" w:customStyle="1" w:styleId="73">
    <w:name w:val="引用 字符"/>
    <w:link w:val="72"/>
    <w:qFormat/>
    <w:uiPriority w:val="29"/>
    <w:rPr>
      <w:i/>
    </w:rPr>
  </w:style>
  <w:style w:type="paragraph" w:styleId="74">
    <w:name w:val="Intense Quote"/>
    <w:basedOn w:val="1"/>
    <w:next w:val="1"/>
    <w:link w:val="7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5">
    <w:name w:val="明显引用 字符"/>
    <w:link w:val="74"/>
    <w:qFormat/>
    <w:uiPriority w:val="30"/>
    <w:rPr>
      <w:i/>
    </w:rPr>
  </w:style>
  <w:style w:type="character" w:customStyle="1" w:styleId="76">
    <w:name w:val="Header Char"/>
    <w:qFormat/>
    <w:uiPriority w:val="99"/>
  </w:style>
  <w:style w:type="character" w:customStyle="1" w:styleId="77">
    <w:name w:val="Footer Char"/>
    <w:qFormat/>
    <w:uiPriority w:val="99"/>
  </w:style>
  <w:style w:type="character" w:customStyle="1" w:styleId="78">
    <w:name w:val="Caption Char"/>
    <w:qFormat/>
    <w:uiPriority w:val="99"/>
  </w:style>
  <w:style w:type="table" w:customStyle="1" w:styleId="79">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80">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81">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82">
    <w:name w:val="无格式表格 31"/>
    <w:qFormat/>
    <w:uiPriority w:val="99"/>
    <w:tblPr>
      <w:tblCellMar>
        <w:top w:w="0" w:type="dxa"/>
        <w:left w:w="0" w:type="dxa"/>
        <w:bottom w:w="0" w:type="dxa"/>
        <w:right w:w="0" w:type="dxa"/>
      </w:tblCellMar>
    </w:tblPr>
  </w:style>
  <w:style w:type="table" w:customStyle="1" w:styleId="83">
    <w:name w:val="无格式表格 41"/>
    <w:qFormat/>
    <w:uiPriority w:val="99"/>
    <w:tblPr>
      <w:tblCellMar>
        <w:top w:w="0" w:type="dxa"/>
        <w:left w:w="0" w:type="dxa"/>
        <w:bottom w:w="0" w:type="dxa"/>
        <w:right w:w="0" w:type="dxa"/>
      </w:tblCellMar>
    </w:tblPr>
  </w:style>
  <w:style w:type="table" w:customStyle="1" w:styleId="84">
    <w:name w:val="无格式表格 51"/>
    <w:qFormat/>
    <w:uiPriority w:val="99"/>
    <w:tblPr>
      <w:tblCellMar>
        <w:top w:w="0" w:type="dxa"/>
        <w:left w:w="0" w:type="dxa"/>
        <w:bottom w:w="0" w:type="dxa"/>
        <w:right w:w="0" w:type="dxa"/>
      </w:tblCellMar>
    </w:tblPr>
  </w:style>
  <w:style w:type="table" w:customStyle="1" w:styleId="85">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86">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87">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88">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89">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90">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91">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92">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93">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94">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95">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96">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97">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98">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99">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0">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1">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2">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3">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4">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5">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6">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07">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08">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09">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10">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11">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12">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3">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4">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5">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6">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7">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8">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9">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0">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21">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22">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3">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4">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5">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6">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7">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28">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29">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0">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1">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2">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33">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4">
    <w:name w:val="清单表 1 浅色1"/>
    <w:qFormat/>
    <w:uiPriority w:val="99"/>
    <w:tblPr>
      <w:tblCellMar>
        <w:top w:w="0" w:type="dxa"/>
        <w:left w:w="0" w:type="dxa"/>
        <w:bottom w:w="0" w:type="dxa"/>
        <w:right w:w="0" w:type="dxa"/>
      </w:tblCellMar>
    </w:tblPr>
  </w:style>
  <w:style w:type="table" w:customStyle="1" w:styleId="135">
    <w:name w:val="List Table 1 Light - Accent 1"/>
    <w:qFormat/>
    <w:uiPriority w:val="99"/>
    <w:tblPr>
      <w:tblCellMar>
        <w:top w:w="0" w:type="dxa"/>
        <w:left w:w="0" w:type="dxa"/>
        <w:bottom w:w="0" w:type="dxa"/>
        <w:right w:w="0" w:type="dxa"/>
      </w:tblCellMar>
    </w:tblPr>
  </w:style>
  <w:style w:type="table" w:customStyle="1" w:styleId="136">
    <w:name w:val="List Table 1 Light - Accent 2"/>
    <w:qFormat/>
    <w:uiPriority w:val="99"/>
    <w:tblPr>
      <w:tblCellMar>
        <w:top w:w="0" w:type="dxa"/>
        <w:left w:w="0" w:type="dxa"/>
        <w:bottom w:w="0" w:type="dxa"/>
        <w:right w:w="0" w:type="dxa"/>
      </w:tblCellMar>
    </w:tblPr>
  </w:style>
  <w:style w:type="table" w:customStyle="1" w:styleId="137">
    <w:name w:val="List Table 1 Light - Accent 3"/>
    <w:qFormat/>
    <w:uiPriority w:val="99"/>
    <w:tblPr>
      <w:tblCellMar>
        <w:top w:w="0" w:type="dxa"/>
        <w:left w:w="0" w:type="dxa"/>
        <w:bottom w:w="0" w:type="dxa"/>
        <w:right w:w="0" w:type="dxa"/>
      </w:tblCellMar>
    </w:tblPr>
  </w:style>
  <w:style w:type="table" w:customStyle="1" w:styleId="138">
    <w:name w:val="List Table 1 Light - Accent 4"/>
    <w:qFormat/>
    <w:uiPriority w:val="99"/>
    <w:tblPr>
      <w:tblCellMar>
        <w:top w:w="0" w:type="dxa"/>
        <w:left w:w="0" w:type="dxa"/>
        <w:bottom w:w="0" w:type="dxa"/>
        <w:right w:w="0" w:type="dxa"/>
      </w:tblCellMar>
    </w:tblPr>
  </w:style>
  <w:style w:type="table" w:customStyle="1" w:styleId="139">
    <w:name w:val="List Table 1 Light - Accent 5"/>
    <w:qFormat/>
    <w:uiPriority w:val="99"/>
    <w:tblPr>
      <w:tblCellMar>
        <w:top w:w="0" w:type="dxa"/>
        <w:left w:w="0" w:type="dxa"/>
        <w:bottom w:w="0" w:type="dxa"/>
        <w:right w:w="0" w:type="dxa"/>
      </w:tblCellMar>
    </w:tblPr>
  </w:style>
  <w:style w:type="table" w:customStyle="1" w:styleId="140">
    <w:name w:val="List Table 1 Light - Accent 6"/>
    <w:qFormat/>
    <w:uiPriority w:val="99"/>
    <w:tblPr>
      <w:tblCellMar>
        <w:top w:w="0" w:type="dxa"/>
        <w:left w:w="0" w:type="dxa"/>
        <w:bottom w:w="0" w:type="dxa"/>
        <w:right w:w="0" w:type="dxa"/>
      </w:tblCellMar>
    </w:tblPr>
  </w:style>
  <w:style w:type="table" w:customStyle="1" w:styleId="141">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42">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43">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44">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45">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46">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47">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48">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49">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50">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51">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52">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53">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54">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55">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56">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57">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58">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59">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60">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61">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62">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63">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64">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65">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66">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67">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68">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69">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70">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1">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2">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73">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74">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75">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76">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77">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78">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79">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0">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1">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2">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3">
    <w:name w:val="Lined - Accent"/>
    <w:qFormat/>
    <w:uiPriority w:val="99"/>
    <w:rPr>
      <w:color w:val="404040"/>
    </w:rPr>
    <w:tblPr>
      <w:tblCellMar>
        <w:top w:w="0" w:type="dxa"/>
        <w:left w:w="0" w:type="dxa"/>
        <w:bottom w:w="0" w:type="dxa"/>
        <w:right w:w="0" w:type="dxa"/>
      </w:tblCellMar>
    </w:tblPr>
  </w:style>
  <w:style w:type="table" w:customStyle="1" w:styleId="184">
    <w:name w:val="Lined - Accent 1"/>
    <w:qFormat/>
    <w:uiPriority w:val="99"/>
    <w:rPr>
      <w:color w:val="404040"/>
    </w:rPr>
    <w:tblPr>
      <w:tblCellMar>
        <w:top w:w="0" w:type="dxa"/>
        <w:left w:w="0" w:type="dxa"/>
        <w:bottom w:w="0" w:type="dxa"/>
        <w:right w:w="0" w:type="dxa"/>
      </w:tblCellMar>
    </w:tblPr>
  </w:style>
  <w:style w:type="table" w:customStyle="1" w:styleId="185">
    <w:name w:val="Lined - Accent 2"/>
    <w:qFormat/>
    <w:uiPriority w:val="99"/>
    <w:rPr>
      <w:color w:val="404040"/>
    </w:rPr>
    <w:tblPr>
      <w:tblCellMar>
        <w:top w:w="0" w:type="dxa"/>
        <w:left w:w="0" w:type="dxa"/>
        <w:bottom w:w="0" w:type="dxa"/>
        <w:right w:w="0" w:type="dxa"/>
      </w:tblCellMar>
    </w:tblPr>
  </w:style>
  <w:style w:type="table" w:customStyle="1" w:styleId="186">
    <w:name w:val="Lined - Accent 3"/>
    <w:qFormat/>
    <w:uiPriority w:val="99"/>
    <w:rPr>
      <w:color w:val="404040"/>
    </w:rPr>
    <w:tblPr>
      <w:tblCellMar>
        <w:top w:w="0" w:type="dxa"/>
        <w:left w:w="0" w:type="dxa"/>
        <w:bottom w:w="0" w:type="dxa"/>
        <w:right w:w="0" w:type="dxa"/>
      </w:tblCellMar>
    </w:tblPr>
  </w:style>
  <w:style w:type="table" w:customStyle="1" w:styleId="187">
    <w:name w:val="Lined - Accent 4"/>
    <w:qFormat/>
    <w:uiPriority w:val="99"/>
    <w:rPr>
      <w:color w:val="404040"/>
    </w:rPr>
    <w:tblPr>
      <w:tblCellMar>
        <w:top w:w="0" w:type="dxa"/>
        <w:left w:w="0" w:type="dxa"/>
        <w:bottom w:w="0" w:type="dxa"/>
        <w:right w:w="0" w:type="dxa"/>
      </w:tblCellMar>
    </w:tblPr>
  </w:style>
  <w:style w:type="table" w:customStyle="1" w:styleId="188">
    <w:name w:val="Lined - Accent 5"/>
    <w:qFormat/>
    <w:uiPriority w:val="99"/>
    <w:rPr>
      <w:color w:val="404040"/>
    </w:rPr>
    <w:tblPr>
      <w:tblCellMar>
        <w:top w:w="0" w:type="dxa"/>
        <w:left w:w="0" w:type="dxa"/>
        <w:bottom w:w="0" w:type="dxa"/>
        <w:right w:w="0" w:type="dxa"/>
      </w:tblCellMar>
    </w:tblPr>
  </w:style>
  <w:style w:type="table" w:customStyle="1" w:styleId="189">
    <w:name w:val="Lined - Accent 6"/>
    <w:qFormat/>
    <w:uiPriority w:val="99"/>
    <w:rPr>
      <w:color w:val="404040"/>
    </w:rPr>
    <w:tblPr>
      <w:tblCellMar>
        <w:top w:w="0" w:type="dxa"/>
        <w:left w:w="0" w:type="dxa"/>
        <w:bottom w:w="0" w:type="dxa"/>
        <w:right w:w="0" w:type="dxa"/>
      </w:tblCellMar>
    </w:tblPr>
  </w:style>
  <w:style w:type="table" w:customStyle="1" w:styleId="190">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1">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2">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3">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94">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95">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96">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97">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98">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99">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0">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1">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2">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3">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04">
    <w:name w:val="脚注文本 字符"/>
    <w:link w:val="36"/>
    <w:qFormat/>
    <w:uiPriority w:val="99"/>
    <w:rPr>
      <w:sz w:val="18"/>
    </w:rPr>
  </w:style>
  <w:style w:type="character" w:customStyle="1" w:styleId="205">
    <w:name w:val="尾注文本 字符"/>
    <w:link w:val="28"/>
    <w:qFormat/>
    <w:uiPriority w:val="99"/>
    <w:rPr>
      <w:sz w:val="20"/>
    </w:rPr>
  </w:style>
  <w:style w:type="paragraph" w:customStyle="1" w:styleId="206">
    <w:name w:val="TOC 标题1"/>
    <w:unhideWhenUsed/>
    <w:qFormat/>
    <w:uiPriority w:val="39"/>
    <w:rPr>
      <w:rFonts w:ascii="Times New Roman" w:hAnsi="Times New Roman" w:eastAsia="宋体" w:cs="Times New Roman"/>
      <w:lang w:val="en-US" w:eastAsia="zh-CN" w:bidi="ar-SA"/>
    </w:rPr>
  </w:style>
  <w:style w:type="character" w:customStyle="1" w:styleId="207">
    <w:name w:val="标题 1 字符"/>
    <w:link w:val="3"/>
    <w:qFormat/>
    <w:uiPriority w:val="0"/>
    <w:rPr>
      <w:rFonts w:ascii="楷体_GB2312" w:hAnsi="Times New Roman" w:eastAsia="楷体_GB2312" w:cs="Times New Roman"/>
      <w:sz w:val="28"/>
      <w:szCs w:val="28"/>
    </w:rPr>
  </w:style>
  <w:style w:type="character" w:customStyle="1" w:styleId="208">
    <w:name w:val="标题 2 字符"/>
    <w:link w:val="4"/>
    <w:qFormat/>
    <w:uiPriority w:val="0"/>
    <w:rPr>
      <w:rFonts w:ascii="Arial" w:hAnsi="Arial" w:eastAsia="幼圆" w:cs="Arial"/>
      <w:b/>
      <w:bCs/>
      <w:sz w:val="44"/>
      <w:szCs w:val="44"/>
    </w:rPr>
  </w:style>
  <w:style w:type="character" w:customStyle="1" w:styleId="209">
    <w:name w:val="标题 3 字符"/>
    <w:link w:val="6"/>
    <w:qFormat/>
    <w:uiPriority w:val="0"/>
    <w:rPr>
      <w:rFonts w:ascii="Times New Roman" w:hAnsi="Times New Roman" w:eastAsia="宋体" w:cs="Times New Roman"/>
      <w:b/>
      <w:bCs/>
      <w:sz w:val="32"/>
      <w:szCs w:val="32"/>
    </w:rPr>
  </w:style>
  <w:style w:type="character" w:customStyle="1" w:styleId="210">
    <w:name w:val="正文缩进 字符"/>
    <w:link w:val="5"/>
    <w:qFormat/>
    <w:uiPriority w:val="0"/>
    <w:rPr>
      <w:rFonts w:ascii="Times New Roman" w:hAnsi="Times New Roman" w:eastAsia="宋体" w:cs="Times New Roman"/>
      <w:szCs w:val="21"/>
    </w:rPr>
  </w:style>
  <w:style w:type="character" w:customStyle="1" w:styleId="211">
    <w:name w:val="标题 4 字符"/>
    <w:link w:val="7"/>
    <w:qFormat/>
    <w:uiPriority w:val="0"/>
    <w:rPr>
      <w:rFonts w:ascii="Arial" w:hAnsi="Arial" w:eastAsia="黑体" w:cs="Arial"/>
      <w:b/>
      <w:bCs/>
      <w:sz w:val="28"/>
      <w:szCs w:val="28"/>
    </w:rPr>
  </w:style>
  <w:style w:type="character" w:customStyle="1" w:styleId="212">
    <w:name w:val="标题 5 字符"/>
    <w:link w:val="8"/>
    <w:qFormat/>
    <w:uiPriority w:val="0"/>
    <w:rPr>
      <w:rFonts w:ascii="宋体" w:hAnsi="Times New Roman" w:eastAsia="宋体" w:cs="Times New Roman"/>
      <w:color w:val="000000"/>
      <w:sz w:val="28"/>
      <w:szCs w:val="28"/>
    </w:rPr>
  </w:style>
  <w:style w:type="character" w:customStyle="1" w:styleId="213">
    <w:name w:val="标题 6 字符"/>
    <w:link w:val="9"/>
    <w:qFormat/>
    <w:uiPriority w:val="0"/>
    <w:rPr>
      <w:rFonts w:ascii="Arial" w:hAnsi="Arial" w:eastAsia="黑体" w:cs="Times New Roman"/>
      <w:b/>
      <w:bCs/>
      <w:sz w:val="24"/>
      <w:szCs w:val="24"/>
    </w:rPr>
  </w:style>
  <w:style w:type="character" w:customStyle="1" w:styleId="214">
    <w:name w:val="标题 7 字符"/>
    <w:link w:val="10"/>
    <w:qFormat/>
    <w:uiPriority w:val="0"/>
    <w:rPr>
      <w:rFonts w:ascii="Times New Roman" w:hAnsi="Times New Roman" w:eastAsia="宋体" w:cs="Times New Roman"/>
      <w:b/>
      <w:bCs/>
      <w:sz w:val="24"/>
      <w:szCs w:val="24"/>
    </w:rPr>
  </w:style>
  <w:style w:type="character" w:customStyle="1" w:styleId="215">
    <w:name w:val="标题 8 字符"/>
    <w:link w:val="11"/>
    <w:qFormat/>
    <w:uiPriority w:val="0"/>
    <w:rPr>
      <w:rFonts w:ascii="Arial" w:hAnsi="Arial" w:eastAsia="黑体" w:cs="Times New Roman"/>
      <w:sz w:val="24"/>
      <w:szCs w:val="24"/>
    </w:rPr>
  </w:style>
  <w:style w:type="character" w:customStyle="1" w:styleId="216">
    <w:name w:val="标题 9 字符"/>
    <w:link w:val="12"/>
    <w:qFormat/>
    <w:uiPriority w:val="0"/>
    <w:rPr>
      <w:rFonts w:ascii="Arial" w:hAnsi="Arial" w:eastAsia="黑体" w:cs="Times New Roman"/>
      <w:szCs w:val="21"/>
    </w:rPr>
  </w:style>
  <w:style w:type="character" w:customStyle="1" w:styleId="217">
    <w:name w:val="文档结构图 字符"/>
    <w:link w:val="16"/>
    <w:semiHidden/>
    <w:qFormat/>
    <w:uiPriority w:val="0"/>
    <w:rPr>
      <w:rFonts w:ascii="Times New Roman" w:hAnsi="Times New Roman" w:eastAsia="宋体" w:cs="Times New Roman"/>
      <w:szCs w:val="21"/>
      <w:shd w:val="clear" w:color="auto" w:fill="000080"/>
    </w:rPr>
  </w:style>
  <w:style w:type="character" w:customStyle="1" w:styleId="218">
    <w:name w:val="批注文字 字符"/>
    <w:link w:val="17"/>
    <w:semiHidden/>
    <w:qFormat/>
    <w:uiPriority w:val="0"/>
    <w:rPr>
      <w:rFonts w:ascii="Times New Roman" w:hAnsi="Times New Roman" w:eastAsia="宋体" w:cs="Times New Roman"/>
      <w:szCs w:val="21"/>
    </w:rPr>
  </w:style>
  <w:style w:type="character" w:customStyle="1" w:styleId="219">
    <w:name w:val="正文文本 3 字符"/>
    <w:link w:val="18"/>
    <w:qFormat/>
    <w:uiPriority w:val="0"/>
    <w:rPr>
      <w:rFonts w:ascii="仿宋_GB2312" w:hAnsi="Arial" w:eastAsia="仿宋_GB2312" w:cs="Times New Roman"/>
      <w:sz w:val="32"/>
      <w:szCs w:val="32"/>
    </w:rPr>
  </w:style>
  <w:style w:type="character" w:customStyle="1" w:styleId="220">
    <w:name w:val="正文文本 字符"/>
    <w:link w:val="19"/>
    <w:qFormat/>
    <w:uiPriority w:val="0"/>
    <w:rPr>
      <w:rFonts w:ascii="楷体_GB2312" w:hAnsi="Arial" w:eastAsia="楷体_GB2312" w:cs="Times New Roman"/>
      <w:sz w:val="28"/>
      <w:szCs w:val="28"/>
    </w:rPr>
  </w:style>
  <w:style w:type="character" w:customStyle="1" w:styleId="221">
    <w:name w:val="正文文本缩进 字符"/>
    <w:link w:val="20"/>
    <w:qFormat/>
    <w:uiPriority w:val="0"/>
    <w:rPr>
      <w:rFonts w:ascii="楷体_GB2312" w:hAnsi="Times New Roman" w:eastAsia="楷体_GB2312" w:cs="Times New Roman"/>
      <w:sz w:val="32"/>
      <w:szCs w:val="32"/>
    </w:rPr>
  </w:style>
  <w:style w:type="character" w:customStyle="1" w:styleId="222">
    <w:name w:val="纯文本 字符"/>
    <w:link w:val="24"/>
    <w:qFormat/>
    <w:uiPriority w:val="0"/>
    <w:rPr>
      <w:rFonts w:ascii="宋体" w:hAnsi="Courier New" w:eastAsia="宋体" w:cs="Courier New"/>
      <w:szCs w:val="21"/>
    </w:rPr>
  </w:style>
  <w:style w:type="character" w:customStyle="1" w:styleId="223">
    <w:name w:val="日期 字符"/>
    <w:link w:val="26"/>
    <w:qFormat/>
    <w:uiPriority w:val="0"/>
    <w:rPr>
      <w:rFonts w:ascii="Times New Roman" w:hAnsi="Times New Roman" w:eastAsia="宋体" w:cs="Times New Roman"/>
      <w:sz w:val="24"/>
      <w:szCs w:val="24"/>
    </w:rPr>
  </w:style>
  <w:style w:type="character" w:customStyle="1" w:styleId="224">
    <w:name w:val="正文文本缩进 2 字符"/>
    <w:link w:val="27"/>
    <w:qFormat/>
    <w:uiPriority w:val="0"/>
    <w:rPr>
      <w:rFonts w:ascii="Arial" w:hAnsi="Arial" w:eastAsia="仿宋_GB2312" w:cs="Arial"/>
      <w:sz w:val="32"/>
      <w:szCs w:val="32"/>
    </w:rPr>
  </w:style>
  <w:style w:type="character" w:customStyle="1" w:styleId="225">
    <w:name w:val="批注框文本 字符"/>
    <w:link w:val="29"/>
    <w:semiHidden/>
    <w:qFormat/>
    <w:uiPriority w:val="0"/>
    <w:rPr>
      <w:rFonts w:ascii="Times New Roman" w:hAnsi="Times New Roman" w:eastAsia="宋体" w:cs="Times New Roman"/>
      <w:sz w:val="18"/>
      <w:szCs w:val="18"/>
    </w:rPr>
  </w:style>
  <w:style w:type="character" w:customStyle="1" w:styleId="226">
    <w:name w:val="页脚 字符"/>
    <w:link w:val="30"/>
    <w:qFormat/>
    <w:uiPriority w:val="0"/>
    <w:rPr>
      <w:rFonts w:ascii="Times New Roman" w:hAnsi="Times New Roman" w:eastAsia="宋体" w:cs="Times New Roman"/>
      <w:sz w:val="18"/>
      <w:szCs w:val="18"/>
    </w:rPr>
  </w:style>
  <w:style w:type="character" w:customStyle="1" w:styleId="227">
    <w:name w:val="页眉 字符"/>
    <w:link w:val="31"/>
    <w:qFormat/>
    <w:uiPriority w:val="0"/>
    <w:rPr>
      <w:rFonts w:ascii="Times New Roman" w:hAnsi="Times New Roman" w:eastAsia="宋体" w:cs="Times New Roman"/>
      <w:sz w:val="18"/>
      <w:szCs w:val="18"/>
    </w:rPr>
  </w:style>
  <w:style w:type="character" w:customStyle="1" w:styleId="228">
    <w:name w:val="正文文本缩进 3 字符"/>
    <w:link w:val="38"/>
    <w:qFormat/>
    <w:uiPriority w:val="0"/>
    <w:rPr>
      <w:rFonts w:ascii="Arial" w:hAnsi="Arial" w:eastAsia="仿宋_GB2312" w:cs="Arial"/>
      <w:color w:val="FFFF00"/>
      <w:sz w:val="32"/>
      <w:szCs w:val="32"/>
    </w:rPr>
  </w:style>
  <w:style w:type="character" w:customStyle="1" w:styleId="229">
    <w:name w:val="正文文本 2 字符"/>
    <w:link w:val="42"/>
    <w:qFormat/>
    <w:uiPriority w:val="0"/>
    <w:rPr>
      <w:rFonts w:ascii="楷体_GB2312" w:hAnsi="Times New Roman" w:eastAsia="楷体_GB2312" w:cs="Times New Roman"/>
      <w:sz w:val="28"/>
      <w:szCs w:val="28"/>
    </w:rPr>
  </w:style>
  <w:style w:type="character" w:customStyle="1" w:styleId="230">
    <w:name w:val="批注主题 字符"/>
    <w:link w:val="46"/>
    <w:semiHidden/>
    <w:qFormat/>
    <w:uiPriority w:val="0"/>
    <w:rPr>
      <w:rFonts w:ascii="Times New Roman" w:hAnsi="Times New Roman" w:eastAsia="宋体" w:cs="Times New Roman"/>
      <w:b/>
      <w:bCs/>
      <w:szCs w:val="21"/>
    </w:rPr>
  </w:style>
  <w:style w:type="character" w:customStyle="1" w:styleId="231">
    <w:name w:val="正文首行缩进 字符"/>
    <w:link w:val="47"/>
    <w:qFormat/>
    <w:uiPriority w:val="0"/>
    <w:rPr>
      <w:rFonts w:ascii="仿宋_GB2312" w:hAnsi="Times New Roman" w:eastAsia="仿宋_GB2312" w:cs="Times New Roman"/>
      <w:sz w:val="30"/>
      <w:szCs w:val="30"/>
    </w:rPr>
  </w:style>
  <w:style w:type="character" w:customStyle="1" w:styleId="232">
    <w:name w:val="正文首行缩进 2 字符"/>
    <w:link w:val="48"/>
    <w:qFormat/>
    <w:uiPriority w:val="0"/>
    <w:rPr>
      <w:rFonts w:ascii="宋体" w:hAnsi="宋体" w:eastAsia="宋体" w:cs="Times New Roman"/>
      <w:sz w:val="32"/>
      <w:szCs w:val="20"/>
    </w:rPr>
  </w:style>
  <w:style w:type="character" w:customStyle="1" w:styleId="233">
    <w:name w:val="二级目录 Char"/>
    <w:link w:val="234"/>
    <w:qFormat/>
    <w:uiPriority w:val="0"/>
    <w:rPr>
      <w:b/>
      <w:sz w:val="30"/>
      <w:szCs w:val="28"/>
    </w:rPr>
  </w:style>
  <w:style w:type="paragraph" w:customStyle="1" w:styleId="234">
    <w:name w:val="二级目录"/>
    <w:next w:val="1"/>
    <w:link w:val="233"/>
    <w:qFormat/>
    <w:uiPriority w:val="0"/>
    <w:pPr>
      <w:numPr>
        <w:ilvl w:val="0"/>
        <w:numId w:val="2"/>
      </w:numPr>
      <w:tabs>
        <w:tab w:val="left" w:pos="1145"/>
      </w:tabs>
      <w:outlineLvl w:val="1"/>
    </w:pPr>
    <w:rPr>
      <w:rFonts w:ascii="Times New Roman" w:hAnsi="Times New Roman" w:eastAsia="宋体" w:cs="Times New Roman"/>
      <w:b/>
      <w:sz w:val="30"/>
      <w:szCs w:val="28"/>
      <w:lang w:val="en-US" w:eastAsia="zh-CN" w:bidi="ar-SA"/>
    </w:rPr>
  </w:style>
  <w:style w:type="character" w:customStyle="1" w:styleId="235">
    <w:name w:val="列出段落 Char"/>
    <w:link w:val="236"/>
    <w:qFormat/>
    <w:uiPriority w:val="0"/>
    <w:rPr>
      <w:rFonts w:ascii="Calibri" w:hAnsi="Calibri"/>
      <w:sz w:val="24"/>
      <w:szCs w:val="24"/>
      <w:lang w:eastAsia="en-US" w:bidi="en-US"/>
    </w:rPr>
  </w:style>
  <w:style w:type="paragraph" w:customStyle="1" w:styleId="236">
    <w:name w:val="列出段落1"/>
    <w:basedOn w:val="1"/>
    <w:link w:val="235"/>
    <w:qFormat/>
    <w:uiPriority w:val="0"/>
    <w:pPr>
      <w:widowControl/>
      <w:ind w:left="720"/>
      <w:contextualSpacing/>
      <w:jc w:val="left"/>
    </w:pPr>
    <w:rPr>
      <w:rFonts w:ascii="Calibri" w:hAnsi="Calibri"/>
      <w:sz w:val="24"/>
      <w:szCs w:val="24"/>
      <w:lang w:eastAsia="en-US" w:bidi="en-US"/>
    </w:rPr>
  </w:style>
  <w:style w:type="character" w:customStyle="1" w:styleId="237">
    <w:name w:val="font5 Char"/>
    <w:qFormat/>
    <w:uiPriority w:val="0"/>
    <w:rPr>
      <w:rFonts w:ascii="宋体" w:hAnsi="宋体" w:eastAsia="宋体"/>
      <w:sz w:val="28"/>
      <w:szCs w:val="28"/>
      <w:lang w:val="en-US" w:eastAsia="zh-CN" w:bidi="ar-SA"/>
    </w:rPr>
  </w:style>
  <w:style w:type="paragraph" w:customStyle="1" w:styleId="238">
    <w:name w:val="正文空2字"/>
    <w:basedOn w:val="239"/>
    <w:qFormat/>
    <w:uiPriority w:val="99"/>
    <w:pPr>
      <w:widowControl w:val="0"/>
      <w:spacing w:line="560" w:lineRule="exact"/>
      <w:ind w:firstLine="640"/>
    </w:pPr>
    <w:rPr>
      <w:rFonts w:ascii="仿宋_GB2312" w:hAnsi="仿宋_GB2312" w:cs="仿宋_GB2312"/>
      <w:lang w:val="zh-TW"/>
    </w:rPr>
  </w:style>
  <w:style w:type="paragraph" w:customStyle="1" w:styleId="239">
    <w:name w:val="左对齐正文"/>
    <w:qFormat/>
    <w:uiPriority w:val="99"/>
    <w:rPr>
      <w:rFonts w:ascii="Calibri" w:hAnsi="Calibri" w:eastAsia="仿宋_GB2312" w:cs="Calibri"/>
      <w:sz w:val="32"/>
      <w:szCs w:val="32"/>
      <w:lang w:val="en-US" w:eastAsia="zh-CN" w:bidi="ar-SA"/>
    </w:rPr>
  </w:style>
  <w:style w:type="paragraph" w:customStyle="1" w:styleId="240">
    <w:name w:val="正文_15_0"/>
    <w:qFormat/>
    <w:uiPriority w:val="0"/>
    <w:pPr>
      <w:widowControl w:val="0"/>
      <w:jc w:val="both"/>
    </w:pPr>
    <w:rPr>
      <w:rFonts w:ascii="Calibri" w:hAnsi="Calibri" w:eastAsia="宋体" w:cs="Times New Roman"/>
      <w:sz w:val="21"/>
      <w:szCs w:val="22"/>
      <w:lang w:val="en-US" w:eastAsia="zh-CN" w:bidi="ar-SA"/>
    </w:rPr>
  </w:style>
  <w:style w:type="paragraph" w:customStyle="1" w:styleId="241">
    <w:name w:val="正文_14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42">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43">
    <w:name w:val="普通正文"/>
    <w:basedOn w:val="1"/>
    <w:qFormat/>
    <w:uiPriority w:val="0"/>
    <w:pPr>
      <w:spacing w:before="120" w:after="120" w:line="360" w:lineRule="auto"/>
      <w:ind w:firstLine="480"/>
      <w:jc w:val="left"/>
    </w:pPr>
    <w:rPr>
      <w:rFonts w:ascii="Arial" w:hAnsi="Arial"/>
      <w:sz w:val="24"/>
      <w:szCs w:val="24"/>
    </w:rPr>
  </w:style>
  <w:style w:type="paragraph" w:customStyle="1" w:styleId="244">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45">
    <w:name w:val="标题3"/>
    <w:basedOn w:val="1"/>
    <w:next w:val="1"/>
    <w:qFormat/>
    <w:uiPriority w:val="0"/>
    <w:pPr>
      <w:spacing w:line="590" w:lineRule="atLeast"/>
      <w:ind w:firstLine="624"/>
    </w:pPr>
    <w:rPr>
      <w:rFonts w:ascii="方正黑体_GBK" w:eastAsia="方正黑体_GBK"/>
      <w:sz w:val="32"/>
      <w:szCs w:val="32"/>
    </w:rPr>
  </w:style>
  <w:style w:type="paragraph" w:customStyle="1" w:styleId="246">
    <w:name w:val="正文_12_0_0_0_0"/>
    <w:basedOn w:val="1"/>
    <w:qFormat/>
    <w:uiPriority w:val="0"/>
    <w:rPr>
      <w:szCs w:val="24"/>
    </w:rPr>
  </w:style>
  <w:style w:type="paragraph" w:customStyle="1" w:styleId="247">
    <w:name w:val="部分1"/>
    <w:basedOn w:val="1"/>
    <w:qFormat/>
    <w:uiPriority w:val="0"/>
    <w:pPr>
      <w:keepNext/>
      <w:pageBreakBefore/>
      <w:tabs>
        <w:tab w:val="left" w:pos="720"/>
      </w:tabs>
      <w:spacing w:line="360" w:lineRule="auto"/>
      <w:jc w:val="center"/>
      <w:outlineLvl w:val="0"/>
    </w:pPr>
    <w:rPr>
      <w:rFonts w:eastAsia="黑体"/>
      <w:b/>
      <w:sz w:val="36"/>
      <w:szCs w:val="20"/>
    </w:rPr>
  </w:style>
  <w:style w:type="paragraph" w:customStyle="1" w:styleId="248">
    <w:name w:val="正文_14_0"/>
    <w:qFormat/>
    <w:uiPriority w:val="0"/>
    <w:pPr>
      <w:widowControl w:val="0"/>
      <w:jc w:val="both"/>
    </w:pPr>
    <w:rPr>
      <w:rFonts w:ascii="Calibri" w:hAnsi="Calibri" w:eastAsia="宋体" w:cs="Times New Roman"/>
      <w:sz w:val="21"/>
      <w:szCs w:val="22"/>
      <w:lang w:val="en-US" w:eastAsia="zh-CN" w:bidi="ar-SA"/>
    </w:rPr>
  </w:style>
  <w:style w:type="paragraph" w:customStyle="1" w:styleId="249">
    <w:name w:val="正文2"/>
    <w:basedOn w:val="1"/>
    <w:qFormat/>
    <w:uiPriority w:val="0"/>
    <w:pPr>
      <w:spacing w:before="156" w:line="360" w:lineRule="auto"/>
      <w:ind w:firstLine="510"/>
    </w:pPr>
    <w:rPr>
      <w:sz w:val="24"/>
      <w:szCs w:val="20"/>
    </w:rPr>
  </w:style>
  <w:style w:type="paragraph" w:customStyle="1" w:styleId="250">
    <w:name w:val="附录1"/>
    <w:qFormat/>
    <w:uiPriority w:val="0"/>
    <w:pPr>
      <w:tabs>
        <w:tab w:val="left" w:pos="907"/>
      </w:tabs>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251">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252">
    <w:name w:val="Normal_12_0"/>
    <w:qFormat/>
    <w:uiPriority w:val="0"/>
    <w:pPr>
      <w:widowControl w:val="0"/>
      <w:jc w:val="both"/>
    </w:pPr>
    <w:rPr>
      <w:rFonts w:ascii="Calibri" w:hAnsi="Calibri" w:eastAsia="宋体" w:cs="Times New Roman"/>
      <w:sz w:val="21"/>
      <w:szCs w:val="22"/>
      <w:lang w:val="en-US" w:eastAsia="zh-CN" w:bidi="ar-SA"/>
    </w:rPr>
  </w:style>
  <w:style w:type="paragraph" w:customStyle="1" w:styleId="253">
    <w:name w:val="4"/>
    <w:basedOn w:val="1"/>
    <w:next w:val="38"/>
    <w:qFormat/>
    <w:uiPriority w:val="0"/>
    <w:pPr>
      <w:spacing w:line="360" w:lineRule="auto"/>
      <w:ind w:firstLine="420"/>
    </w:pPr>
    <w:rPr>
      <w:color w:val="FF0000"/>
      <w:sz w:val="24"/>
      <w:szCs w:val="24"/>
    </w:rPr>
  </w:style>
  <w:style w:type="paragraph" w:customStyle="1" w:styleId="254">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55">
    <w:name w:val="正文_2"/>
    <w:qFormat/>
    <w:uiPriority w:val="0"/>
    <w:pPr>
      <w:widowControl w:val="0"/>
      <w:jc w:val="both"/>
    </w:pPr>
    <w:rPr>
      <w:rFonts w:ascii="Calibri" w:hAnsi="Calibri" w:eastAsia="宋体" w:cs="Times New Roman"/>
      <w:sz w:val="21"/>
      <w:szCs w:val="22"/>
      <w:lang w:val="en-US" w:eastAsia="zh-CN" w:bidi="ar-SA"/>
    </w:rPr>
  </w:style>
  <w:style w:type="paragraph" w:customStyle="1" w:styleId="256">
    <w:name w:val="修订1"/>
    <w:semiHidden/>
    <w:qFormat/>
    <w:uiPriority w:val="99"/>
    <w:rPr>
      <w:rFonts w:ascii="Times New Roman" w:hAnsi="Times New Roman" w:eastAsia="宋体" w:cs="Times New Roman"/>
      <w:sz w:val="21"/>
      <w:szCs w:val="21"/>
      <w:lang w:val="en-US" w:eastAsia="zh-CN" w:bidi="ar-SA"/>
    </w:rPr>
  </w:style>
  <w:style w:type="paragraph" w:customStyle="1" w:styleId="257">
    <w:name w:val="正文_8_1"/>
    <w:qFormat/>
    <w:uiPriority w:val="0"/>
    <w:pPr>
      <w:widowControl w:val="0"/>
      <w:jc w:val="both"/>
    </w:pPr>
    <w:rPr>
      <w:rFonts w:ascii="Calibri" w:hAnsi="Calibri" w:eastAsia="宋体" w:cs="Times New Roman"/>
      <w:sz w:val="21"/>
      <w:szCs w:val="22"/>
      <w:lang w:val="en-US" w:eastAsia="zh-CN" w:bidi="ar-SA"/>
    </w:rPr>
  </w:style>
  <w:style w:type="paragraph" w:customStyle="1" w:styleId="258">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259">
    <w:name w:val="table_1stline"/>
    <w:basedOn w:val="1"/>
    <w:qFormat/>
    <w:uiPriority w:val="0"/>
    <w:pPr>
      <w:widowControl/>
      <w:spacing w:before="120"/>
      <w:jc w:val="left"/>
    </w:pPr>
    <w:rPr>
      <w:bCs/>
      <w:sz w:val="20"/>
      <w:szCs w:val="20"/>
      <w:lang w:val="de-DE" w:eastAsia="de-DE"/>
    </w:rPr>
  </w:style>
  <w:style w:type="paragraph" w:customStyle="1" w:styleId="260">
    <w:name w:val="正文_12_0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61">
    <w:name w:val="正文文本12"/>
    <w:basedOn w:val="1"/>
    <w:qFormat/>
    <w:uiPriority w:val="1"/>
    <w:pPr>
      <w:ind w:left="120"/>
    </w:pPr>
    <w:rPr>
      <w:rFonts w:ascii="宋体" w:hAnsi="宋体" w:cs="宋体"/>
      <w:lang w:val="zh-CN" w:bidi="zh-CN"/>
    </w:rPr>
  </w:style>
  <w:style w:type="paragraph" w:customStyle="1" w:styleId="262">
    <w:name w:val="Normal_0"/>
    <w:qFormat/>
    <w:uiPriority w:val="0"/>
    <w:rPr>
      <w:rFonts w:ascii="黑体" w:hAnsi="黑体" w:eastAsia="黑体" w:cs="Times New Roman"/>
      <w:b/>
      <w:sz w:val="32"/>
      <w:szCs w:val="24"/>
      <w:lang w:val="en-US" w:eastAsia="zh-CN" w:bidi="ar-SA"/>
    </w:rPr>
  </w:style>
  <w:style w:type="paragraph" w:customStyle="1" w:styleId="263">
    <w:name w:val="Normal_6_0"/>
    <w:qFormat/>
    <w:uiPriority w:val="0"/>
    <w:rPr>
      <w:rFonts w:ascii="黑体" w:hAnsi="黑体" w:eastAsia="黑体" w:cs="黑体"/>
      <w:b/>
      <w:sz w:val="32"/>
      <w:szCs w:val="24"/>
      <w:lang w:val="en-US" w:eastAsia="zh-CN" w:bidi="ar-SA"/>
    </w:rPr>
  </w:style>
  <w:style w:type="paragraph" w:customStyle="1" w:styleId="264">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65">
    <w:name w:val="Char Char Char Char"/>
    <w:basedOn w:val="16"/>
    <w:qFormat/>
    <w:uiPriority w:val="0"/>
    <w:pPr>
      <w:spacing w:line="360" w:lineRule="auto"/>
    </w:pPr>
    <w:rPr>
      <w:rFonts w:ascii="Tahoma" w:hAnsi="Tahoma"/>
      <w:sz w:val="24"/>
      <w:szCs w:val="24"/>
    </w:rPr>
  </w:style>
  <w:style w:type="paragraph" w:customStyle="1" w:styleId="266">
    <w:name w:val="正文_9_0"/>
    <w:qFormat/>
    <w:uiPriority w:val="0"/>
    <w:pPr>
      <w:widowControl w:val="0"/>
      <w:jc w:val="both"/>
    </w:pPr>
    <w:rPr>
      <w:rFonts w:ascii="Calibri" w:hAnsi="Calibri" w:eastAsia="宋体" w:cs="Times New Roman"/>
      <w:sz w:val="21"/>
      <w:szCs w:val="22"/>
      <w:lang w:val="en-US" w:eastAsia="zh-CN" w:bidi="ar-SA"/>
    </w:rPr>
  </w:style>
  <w:style w:type="paragraph" w:customStyle="1" w:styleId="267">
    <w:name w:val="样式1"/>
    <w:basedOn w:val="1"/>
    <w:qFormat/>
    <w:uiPriority w:val="0"/>
    <w:pPr>
      <w:numPr>
        <w:ilvl w:val="0"/>
        <w:numId w:val="3"/>
      </w:numPr>
    </w:pPr>
    <w:rPr>
      <w:rFonts w:ascii="宋体" w:hAnsi="宋体"/>
    </w:rPr>
  </w:style>
  <w:style w:type="paragraph" w:customStyle="1" w:styleId="268">
    <w:name w:val="Body Text(ch)"/>
    <w:basedOn w:val="1"/>
    <w:next w:val="19"/>
    <w:qFormat/>
    <w:uiPriority w:val="0"/>
    <w:pPr>
      <w:spacing w:after="120"/>
    </w:pPr>
    <w:rPr>
      <w:rFonts w:ascii="宋体" w:hAnsi="Arial"/>
      <w:bCs/>
      <w:iCs/>
      <w:szCs w:val="24"/>
    </w:rPr>
  </w:style>
  <w:style w:type="paragraph" w:customStyle="1" w:styleId="269">
    <w:name w:val="Normal_20"/>
    <w:qFormat/>
    <w:uiPriority w:val="0"/>
    <w:rPr>
      <w:rFonts w:ascii="黑体" w:hAnsi="黑体" w:eastAsia="黑体" w:cs="黑体"/>
      <w:b/>
      <w:sz w:val="32"/>
      <w:szCs w:val="24"/>
      <w:lang w:val="en-US" w:eastAsia="zh-CN" w:bidi="ar-SA"/>
    </w:rPr>
  </w:style>
  <w:style w:type="paragraph" w:customStyle="1" w:styleId="270">
    <w:name w:val="Normal_5_0"/>
    <w:qFormat/>
    <w:uiPriority w:val="0"/>
    <w:pPr>
      <w:widowControl w:val="0"/>
      <w:jc w:val="both"/>
    </w:pPr>
    <w:rPr>
      <w:rFonts w:ascii="Calibri" w:hAnsi="Calibri" w:eastAsia="宋体" w:cs="Times New Roman"/>
      <w:sz w:val="21"/>
      <w:szCs w:val="22"/>
      <w:lang w:val="en-US" w:eastAsia="zh-CN" w:bidi="ar-SA"/>
    </w:rPr>
  </w:style>
  <w:style w:type="paragraph" w:customStyle="1" w:styleId="271">
    <w:name w:val="索引 41"/>
    <w:basedOn w:val="1"/>
    <w:next w:val="1"/>
    <w:semiHidden/>
    <w:qFormat/>
    <w:uiPriority w:val="0"/>
    <w:pPr>
      <w:ind w:left="1260"/>
    </w:pPr>
    <w:rPr>
      <w:rFonts w:ascii="Calibri" w:hAnsi="Calibri" w:eastAsia="Calibri" w:cs="宋体"/>
      <w:sz w:val="20"/>
      <w:lang w:val="zh-CN"/>
    </w:rPr>
  </w:style>
  <w:style w:type="paragraph" w:customStyle="1" w:styleId="272">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273">
    <w:name w:val="Char Char Char Char Char Char Char Char Char Char"/>
    <w:basedOn w:val="1"/>
    <w:qFormat/>
    <w:uiPriority w:val="0"/>
    <w:pPr>
      <w:spacing w:line="360" w:lineRule="auto"/>
    </w:pPr>
    <w:rPr>
      <w:sz w:val="24"/>
      <w:szCs w:val="20"/>
    </w:rPr>
  </w:style>
  <w:style w:type="paragraph" w:customStyle="1" w:styleId="274">
    <w:name w:val="Char"/>
    <w:basedOn w:val="16"/>
    <w:qFormat/>
    <w:uiPriority w:val="0"/>
    <w:rPr>
      <w:rFonts w:ascii="Tahoma" w:hAnsi="Tahoma"/>
      <w:sz w:val="24"/>
      <w:szCs w:val="24"/>
    </w:rPr>
  </w:style>
  <w:style w:type="paragraph" w:customStyle="1" w:styleId="275">
    <w:name w:val="Normal_1_2"/>
    <w:qFormat/>
    <w:uiPriority w:val="0"/>
    <w:rPr>
      <w:rFonts w:ascii="Times New Roman" w:hAnsi="Times New Roman" w:eastAsia="Times New Roman" w:cs="Times New Roman"/>
      <w:sz w:val="24"/>
      <w:szCs w:val="24"/>
      <w:lang w:val="en-US" w:eastAsia="zh-CN" w:bidi="ar-SA"/>
    </w:rPr>
  </w:style>
  <w:style w:type="paragraph" w:customStyle="1" w:styleId="276">
    <w:name w:val="Normal_18_0"/>
    <w:qFormat/>
    <w:uiPriority w:val="0"/>
    <w:rPr>
      <w:rFonts w:ascii="黑体" w:hAnsi="黑体" w:eastAsia="黑体" w:cs="黑体"/>
      <w:b/>
      <w:sz w:val="32"/>
      <w:szCs w:val="24"/>
      <w:lang w:val="en-US" w:eastAsia="zh-CN" w:bidi="ar-SA"/>
    </w:rPr>
  </w:style>
  <w:style w:type="paragraph" w:customStyle="1" w:styleId="277">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78">
    <w:name w:val="table_lines"/>
    <w:basedOn w:val="1"/>
    <w:qFormat/>
    <w:uiPriority w:val="0"/>
    <w:pPr>
      <w:widowControl/>
      <w:jc w:val="left"/>
    </w:pPr>
    <w:rPr>
      <w:sz w:val="20"/>
      <w:szCs w:val="20"/>
      <w:lang w:val="de-DE" w:eastAsia="de-DE"/>
    </w:rPr>
  </w:style>
  <w:style w:type="paragraph" w:customStyle="1" w:styleId="279">
    <w:name w:val="正文_1_0_0_0_0"/>
    <w:qFormat/>
    <w:uiPriority w:val="0"/>
    <w:pPr>
      <w:widowControl w:val="0"/>
      <w:jc w:val="both"/>
    </w:pPr>
    <w:rPr>
      <w:rFonts w:ascii="Times New Roman" w:hAnsi="Times New Roman" w:eastAsia="宋体" w:cs="Times New Roman"/>
      <w:sz w:val="21"/>
      <w:lang w:val="en-US" w:eastAsia="zh-CN" w:bidi="ar-SA"/>
    </w:rPr>
  </w:style>
  <w:style w:type="paragraph" w:customStyle="1" w:styleId="280">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81">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82">
    <w:name w:val="Normal_13_0"/>
    <w:qFormat/>
    <w:uiPriority w:val="0"/>
    <w:rPr>
      <w:rFonts w:ascii="黑体" w:hAnsi="黑体" w:eastAsia="黑体" w:cs="黑体"/>
      <w:b/>
      <w:sz w:val="32"/>
      <w:szCs w:val="24"/>
      <w:lang w:val="en-US" w:eastAsia="zh-CN" w:bidi="ar-SA"/>
    </w:rPr>
  </w:style>
  <w:style w:type="paragraph" w:customStyle="1" w:styleId="283">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284">
    <w:name w:val="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285">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86">
    <w:name w:val="首行缩进"/>
    <w:basedOn w:val="1"/>
    <w:qFormat/>
    <w:uiPriority w:val="0"/>
    <w:pPr>
      <w:ind w:firstLine="480"/>
    </w:pPr>
    <w:rPr>
      <w:lang w:val="zh-CN"/>
    </w:rPr>
  </w:style>
  <w:style w:type="paragraph" w:customStyle="1" w:styleId="287">
    <w:name w:val="Char Char Char Char1"/>
    <w:basedOn w:val="16"/>
    <w:qFormat/>
    <w:uiPriority w:val="0"/>
    <w:pPr>
      <w:spacing w:line="360" w:lineRule="auto"/>
    </w:pPr>
    <w:rPr>
      <w:rFonts w:ascii="Tahoma" w:hAnsi="Tahoma"/>
      <w:sz w:val="24"/>
      <w:szCs w:val="24"/>
    </w:rPr>
  </w:style>
  <w:style w:type="paragraph" w:customStyle="1" w:styleId="288">
    <w:name w:val="Char1"/>
    <w:basedOn w:val="1"/>
    <w:qFormat/>
    <w:uiPriority w:val="0"/>
    <w:pPr>
      <w:tabs>
        <w:tab w:val="left" w:pos="360"/>
      </w:tabs>
      <w:ind w:firstLine="200"/>
    </w:pPr>
    <w:rPr>
      <w:sz w:val="28"/>
      <w:szCs w:val="30"/>
    </w:rPr>
  </w:style>
  <w:style w:type="paragraph" w:customStyle="1" w:styleId="289">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90">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291">
    <w:name w:val="列出段落_2"/>
    <w:basedOn w:val="257"/>
    <w:qFormat/>
    <w:uiPriority w:val="34"/>
    <w:pPr>
      <w:ind w:firstLine="420"/>
    </w:pPr>
  </w:style>
  <w:style w:type="paragraph" w:customStyle="1" w:styleId="292">
    <w:name w:val="正文_16_0_0"/>
    <w:next w:val="251"/>
    <w:qFormat/>
    <w:uiPriority w:val="0"/>
    <w:pPr>
      <w:widowControl w:val="0"/>
      <w:jc w:val="both"/>
    </w:pPr>
    <w:rPr>
      <w:rFonts w:ascii="Calibri" w:hAnsi="Calibri" w:eastAsia="宋体" w:cs="Times New Roman"/>
      <w:sz w:val="21"/>
      <w:szCs w:val="22"/>
      <w:lang w:val="en-US" w:eastAsia="zh-CN" w:bidi="ar-SA"/>
    </w:rPr>
  </w:style>
  <w:style w:type="paragraph" w:customStyle="1" w:styleId="293">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table" w:customStyle="1" w:styleId="294">
    <w:name w:val="Table Normal"/>
    <w:qFormat/>
    <w:uiPriority w:val="0"/>
    <w:tblPr>
      <w:tblCellMar>
        <w:top w:w="0" w:type="dxa"/>
        <w:left w:w="0" w:type="dxa"/>
        <w:bottom w:w="0" w:type="dxa"/>
        <w:right w:w="0" w:type="dxa"/>
      </w:tblCellMar>
    </w:tblPr>
  </w:style>
  <w:style w:type="paragraph" w:customStyle="1" w:styleId="295">
    <w:name w:val="正文_7_1_0"/>
    <w:qFormat/>
    <w:uiPriority w:val="0"/>
    <w:pPr>
      <w:widowControl w:val="0"/>
      <w:jc w:val="both"/>
    </w:pPr>
    <w:rPr>
      <w:rFonts w:ascii="Calibri" w:hAnsi="Calibri" w:eastAsia="宋体" w:cs="Times New Roman"/>
      <w:sz w:val="21"/>
      <w:szCs w:val="22"/>
      <w:lang w:val="en-US" w:eastAsia="zh-CN" w:bidi="ar-SA"/>
    </w:rPr>
  </w:style>
  <w:style w:type="paragraph" w:customStyle="1" w:styleId="296">
    <w:name w:val="纯文本_0_0"/>
    <w:basedOn w:val="295"/>
    <w:unhideWhenUsed/>
    <w:qFormat/>
    <w:uiPriority w:val="0"/>
    <w:rPr>
      <w:rFonts w:ascii="宋体" w:hAnsi="Courier New"/>
      <w:sz w:val="20"/>
      <w:szCs w:val="21"/>
    </w:rPr>
  </w:style>
  <w:style w:type="paragraph" w:customStyle="1" w:styleId="297">
    <w:name w:val="正文_8_0"/>
    <w:qFormat/>
    <w:uiPriority w:val="0"/>
    <w:pPr>
      <w:widowControl w:val="0"/>
      <w:jc w:val="both"/>
    </w:pPr>
    <w:rPr>
      <w:rFonts w:ascii="Calibri" w:hAnsi="Calibri" w:eastAsia="宋体" w:cs="Times New Roman"/>
      <w:sz w:val="21"/>
      <w:szCs w:val="22"/>
      <w:lang w:val="en-US" w:eastAsia="zh-CN" w:bidi="ar-SA"/>
    </w:rPr>
  </w:style>
  <w:style w:type="paragraph" w:customStyle="1" w:styleId="298">
    <w:name w:val="正文_3"/>
    <w:next w:val="299"/>
    <w:qFormat/>
    <w:uiPriority w:val="0"/>
    <w:pPr>
      <w:widowControl w:val="0"/>
      <w:jc w:val="both"/>
    </w:pPr>
    <w:rPr>
      <w:rFonts w:ascii="Calibri" w:hAnsi="Calibri" w:eastAsia="宋体" w:cs="Times New Roman"/>
      <w:sz w:val="21"/>
      <w:szCs w:val="22"/>
      <w:lang w:val="en-US" w:eastAsia="zh-CN" w:bidi="ar-SA"/>
    </w:rPr>
  </w:style>
  <w:style w:type="paragraph" w:customStyle="1" w:styleId="299">
    <w:name w:val="正文首行缩进 2_1"/>
    <w:next w:val="300"/>
    <w:qFormat/>
    <w:uiPriority w:val="0"/>
    <w:pPr>
      <w:widowControl w:val="0"/>
      <w:spacing w:after="120"/>
      <w:ind w:left="200" w:firstLine="200"/>
      <w:jc w:val="both"/>
    </w:pPr>
    <w:rPr>
      <w:rFonts w:ascii="Times New Roman" w:hAnsi="Calibri" w:eastAsia="仿宋_GB2312" w:cs="Times New Roman"/>
      <w:sz w:val="32"/>
      <w:szCs w:val="24"/>
      <w:lang w:val="en-US" w:eastAsia="zh-CN" w:bidi="ar-SA"/>
    </w:rPr>
  </w:style>
  <w:style w:type="paragraph" w:customStyle="1" w:styleId="300">
    <w:name w:val="xl53_0"/>
    <w:next w:val="298"/>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customStyle="1" w:styleId="301">
    <w:name w:val="脚注文本_0"/>
    <w:basedOn w:val="298"/>
    <w:next w:val="302"/>
    <w:qFormat/>
    <w:uiPriority w:val="0"/>
    <w:pPr>
      <w:jc w:val="left"/>
    </w:pPr>
    <w:rPr>
      <w:rFonts w:ascii="宋体"/>
      <w:bCs/>
      <w:sz w:val="18"/>
      <w:szCs w:val="18"/>
    </w:rPr>
  </w:style>
  <w:style w:type="paragraph" w:customStyle="1" w:styleId="302">
    <w:name w:val="索引 5_0"/>
    <w:basedOn w:val="298"/>
    <w:next w:val="298"/>
    <w:qFormat/>
    <w:uiPriority w:val="0"/>
    <w:pPr>
      <w:ind w:left="800"/>
    </w:pPr>
  </w:style>
  <w:style w:type="paragraph" w:customStyle="1" w:styleId="303">
    <w:name w:val="公文1级标题"/>
    <w:basedOn w:val="3"/>
    <w:next w:val="304"/>
    <w:qFormat/>
    <w:uiPriority w:val="0"/>
    <w:pPr>
      <w:keepNext w:val="0"/>
      <w:spacing w:line="600" w:lineRule="exact"/>
      <w:ind w:firstLine="640"/>
      <w:jc w:val="left"/>
    </w:pPr>
    <w:rPr>
      <w:rFonts w:ascii="Times New Roman" w:eastAsia="方正黑体_GBK"/>
      <w:sz w:val="32"/>
      <w:szCs w:val="32"/>
    </w:rPr>
  </w:style>
  <w:style w:type="paragraph" w:customStyle="1" w:styleId="304">
    <w:name w:val="公文正文"/>
    <w:basedOn w:val="1"/>
    <w:qFormat/>
    <w:uiPriority w:val="0"/>
    <w:pPr>
      <w:spacing w:line="580" w:lineRule="exact"/>
    </w:pPr>
    <w:rPr>
      <w:rFonts w:eastAsia="方正仿宋_GBK"/>
      <w:sz w:val="32"/>
      <w:szCs w:val="32"/>
    </w:rPr>
  </w:style>
  <w:style w:type="paragraph" w:customStyle="1" w:styleId="305">
    <w:name w:val="Normal_8_0"/>
    <w:qFormat/>
    <w:uiPriority w:val="0"/>
    <w:rPr>
      <w:rFonts w:ascii="Times New Roman" w:hAnsi="Times New Roman" w:eastAsia="Times New Roman" w:cs="Times New Roman"/>
      <w:sz w:val="24"/>
      <w:szCs w:val="24"/>
      <w:lang w:val="en-US" w:eastAsia="zh-CN" w:bidi="ar-SA"/>
    </w:rPr>
  </w:style>
  <w:style w:type="paragraph" w:customStyle="1" w:styleId="306">
    <w:name w:val="Normal_9_0"/>
    <w:qFormat/>
    <w:uiPriority w:val="0"/>
    <w:rPr>
      <w:rFonts w:ascii="Times New Roman" w:hAnsi="Times New Roman" w:eastAsia="Times New Roman" w:cs="Times New Roman"/>
      <w:sz w:val="24"/>
      <w:szCs w:val="24"/>
      <w:lang w:val="en-US" w:eastAsia="zh-CN" w:bidi="ar-SA"/>
    </w:rPr>
  </w:style>
  <w:style w:type="paragraph" w:customStyle="1" w:styleId="307">
    <w:name w:val="正文_3_0"/>
    <w:qFormat/>
    <w:uiPriority w:val="0"/>
    <w:pPr>
      <w:widowControl w:val="0"/>
      <w:jc w:val="both"/>
    </w:pPr>
    <w:rPr>
      <w:rFonts w:ascii="Calibri" w:hAnsi="Calibri" w:eastAsia="宋体" w:cs="Times New Roman"/>
      <w:sz w:val="21"/>
      <w:szCs w:val="22"/>
      <w:lang w:val="en-US" w:eastAsia="zh-CN" w:bidi="ar-SA"/>
    </w:rPr>
  </w:style>
  <w:style w:type="paragraph" w:customStyle="1" w:styleId="308">
    <w:name w:val="正文文本缩进_1"/>
    <w:next w:val="299"/>
    <w:qFormat/>
    <w:uiPriority w:val="0"/>
    <w:pPr>
      <w:widowControl w:val="0"/>
      <w:ind w:firstLine="225"/>
      <w:jc w:val="both"/>
    </w:pPr>
    <w:rPr>
      <w:rFonts w:ascii="仿宋_GB2312" w:hAnsi="Calibri" w:eastAsia="仿宋_GB2312" w:cs="Times New Roman"/>
      <w:sz w:val="32"/>
      <w:szCs w:val="22"/>
      <w:lang w:val="en-US" w:eastAsia="zh-CN" w:bidi="ar-SA"/>
    </w:rPr>
  </w:style>
  <w:style w:type="paragraph" w:customStyle="1" w:styleId="309">
    <w:name w:val="正文_18"/>
    <w:next w:val="308"/>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54</Pages>
  <Words>459</Words>
  <Characters>497</Characters>
  <Lines>316</Lines>
  <Paragraphs>89</Paragraphs>
  <TotalTime>4</TotalTime>
  <ScaleCrop>false</ScaleCrop>
  <LinksUpToDate>false</LinksUpToDate>
  <CharactersWithSpaces>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2024-11-20T11:42:00Z</dcterms:created>
  <dc:creator>Administrator</dc:creator>
  <cp:lastModifiedBy>26</cp:lastModifiedBy>
  <dcterms:modified xsi:type="dcterms:W3CDTF">2026-05-09T03:17:44Z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eyJoZGlkIjoiYmQwOTQ4MzVhNGIyMzhkZTJhNmMzNjcyODdmMWM4OTMiLCJ1c2VySWQiOiIzNDMwNzM5NTkifQ==</vt:lpwstr>
  </property>
  <property fmtid="{D5CDD505-2E9C-101B-9397-08002B2CF9AE}" pid="3" name="KSOProductBuildVer">
    <vt:lpwstr>2052-12.1.0.25225</vt:lpwstr>
  </property>
  <property fmtid="{D5CDD505-2E9C-101B-9397-08002B2CF9AE}" pid="4" name="ICV">
    <vt:lpwstr>D1C7D89CD9D44DC4A2BA3CA8BBEC7C0B_13</vt:lpwstr>
  </property>
</Properties>
</file>