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97B97">
      <w:pPr>
        <w:spacing w:before="120" w:after="120" w:line="360" w:lineRule="auto"/>
        <w:jc w:val="left"/>
        <w:rPr>
          <w:rFonts w:ascii="Times New Roman" w:hAnsi="Times New Roman" w:eastAsia="黑体"/>
          <w:b/>
          <w:bCs/>
          <w:color w:val="auto"/>
          <w:sz w:val="84"/>
          <w:szCs w:val="24"/>
        </w:rPr>
      </w:pPr>
    </w:p>
    <w:p w14:paraId="7C3E9567">
      <w:pPr>
        <w:spacing w:before="120" w:after="120" w:line="360" w:lineRule="auto"/>
        <w:jc w:val="left"/>
        <w:rPr>
          <w:rFonts w:ascii="Times New Roman" w:hAnsi="Times New Roman" w:eastAsia="黑体"/>
          <w:b/>
          <w:bCs/>
          <w:color w:val="auto"/>
          <w:sz w:val="84"/>
          <w:szCs w:val="24"/>
        </w:rPr>
      </w:pPr>
    </w:p>
    <w:p w14:paraId="5C9BA33F">
      <w:pPr>
        <w:spacing w:before="120" w:after="120" w:line="360" w:lineRule="auto"/>
        <w:jc w:val="center"/>
        <w:rPr>
          <w:rFonts w:ascii="Times New Roman" w:hAnsi="Times New Roman" w:eastAsia="黑体"/>
          <w:b/>
          <w:bCs/>
          <w:color w:val="auto"/>
          <w:sz w:val="84"/>
          <w:szCs w:val="24"/>
        </w:rPr>
      </w:pPr>
      <w:r>
        <w:rPr>
          <w:rFonts w:hint="eastAsia" w:ascii="Times New Roman" w:hAnsi="Times New Roman" w:eastAsia="黑体"/>
          <w:b/>
          <w:bCs/>
          <w:color w:val="auto"/>
          <w:sz w:val="84"/>
          <w:szCs w:val="24"/>
        </w:rPr>
        <w:t>竞争性磋商文件</w:t>
      </w:r>
    </w:p>
    <w:p w14:paraId="6FE6BF13">
      <w:pPr>
        <w:spacing w:before="120" w:after="120" w:line="360" w:lineRule="auto"/>
        <w:jc w:val="center"/>
        <w:rPr>
          <w:rFonts w:hint="eastAsia" w:ascii="Times New Roman" w:hAnsi="Times New Roman" w:eastAsia="宋体"/>
          <w:b/>
          <w:bCs/>
          <w:color w:val="auto"/>
          <w:sz w:val="32"/>
          <w:szCs w:val="24"/>
          <w:lang w:eastAsia="zh-CN"/>
        </w:rPr>
      </w:pPr>
      <w:r>
        <w:rPr>
          <w:rFonts w:hint="eastAsia" w:ascii="Times New Roman" w:hAnsi="Times New Roman"/>
          <w:b/>
          <w:bCs/>
          <w:color w:val="auto"/>
          <w:sz w:val="32"/>
          <w:szCs w:val="24"/>
        </w:rPr>
        <w:t>项目名称：</w:t>
      </w:r>
      <w:r>
        <w:rPr>
          <w:rFonts w:hint="eastAsia" w:ascii="Times New Roman" w:hAnsi="Times New Roman"/>
          <w:b/>
          <w:bCs/>
          <w:color w:val="auto"/>
          <w:sz w:val="32"/>
          <w:szCs w:val="24"/>
          <w:lang w:eastAsia="zh-CN"/>
        </w:rPr>
        <w:t>“泗洪县智慧城管平台提升行动”维保服务采购项目</w:t>
      </w:r>
    </w:p>
    <w:p w14:paraId="244DEAA4">
      <w:pPr>
        <w:spacing w:before="120" w:after="120" w:line="360" w:lineRule="auto"/>
        <w:jc w:val="center"/>
        <w:rPr>
          <w:rFonts w:ascii="Times New Roman" w:hAnsi="Times New Roman"/>
          <w:b/>
          <w:bCs/>
          <w:color w:val="auto"/>
          <w:sz w:val="32"/>
          <w:szCs w:val="24"/>
        </w:rPr>
      </w:pPr>
      <w:r>
        <w:rPr>
          <w:rFonts w:hint="eastAsia" w:ascii="Times New Roman" w:hAnsi="Times New Roman"/>
          <w:b/>
          <w:bCs/>
          <w:color w:val="auto"/>
          <w:sz w:val="32"/>
          <w:szCs w:val="24"/>
        </w:rPr>
        <w:t>项目编号：JSZC-321324-SQMB-C2026-0001</w:t>
      </w:r>
    </w:p>
    <w:p w14:paraId="17E1C87C">
      <w:pPr>
        <w:spacing w:before="120" w:after="120" w:line="360" w:lineRule="auto"/>
        <w:jc w:val="center"/>
        <w:rPr>
          <w:rFonts w:ascii="Times New Roman" w:hAnsi="Times New Roman"/>
          <w:b/>
          <w:color w:val="auto"/>
          <w:sz w:val="30"/>
          <w:szCs w:val="30"/>
        </w:rPr>
      </w:pPr>
      <w:r>
        <w:rPr>
          <w:rFonts w:hint="eastAsia" w:ascii="Times New Roman" w:hAnsi="Times New Roman"/>
          <w:b/>
          <w:bCs/>
          <w:color w:val="auto"/>
          <w:sz w:val="32"/>
          <w:szCs w:val="24"/>
        </w:rPr>
        <w:t>（</w:t>
      </w:r>
      <w:r>
        <w:rPr>
          <w:rFonts w:hint="eastAsia" w:ascii="Times New Roman" w:hAnsi="Times New Roman"/>
          <w:b/>
          <w:bCs/>
          <w:color w:val="auto"/>
          <w:sz w:val="32"/>
          <w:szCs w:val="24"/>
          <w:u w:val="single"/>
        </w:rPr>
        <w:t>服务</w:t>
      </w:r>
      <w:r>
        <w:rPr>
          <w:rFonts w:hint="eastAsia" w:ascii="Times New Roman" w:hAnsi="Times New Roman"/>
          <w:b/>
          <w:bCs/>
          <w:color w:val="auto"/>
          <w:sz w:val="32"/>
          <w:szCs w:val="24"/>
        </w:rPr>
        <w:t>类项目，本项目</w:t>
      </w:r>
      <w:r>
        <w:rPr>
          <w:rFonts w:hint="eastAsia" w:ascii="Times New Roman" w:hAnsi="Times New Roman"/>
          <w:b/>
          <w:bCs/>
          <w:color w:val="auto"/>
          <w:sz w:val="32"/>
          <w:szCs w:val="24"/>
          <w:u w:val="single"/>
        </w:rPr>
        <w:t>专</w:t>
      </w:r>
      <w:r>
        <w:rPr>
          <w:rFonts w:hint="eastAsia" w:ascii="Times New Roman" w:hAnsi="Times New Roman"/>
          <w:b/>
          <w:bCs/>
          <w:color w:val="auto"/>
          <w:sz w:val="32"/>
          <w:szCs w:val="24"/>
        </w:rPr>
        <w:t>门面向中小企业）</w:t>
      </w:r>
    </w:p>
    <w:p w14:paraId="3BE9C2D5">
      <w:pPr>
        <w:spacing w:line="360" w:lineRule="auto"/>
        <w:jc w:val="left"/>
        <w:rPr>
          <w:rFonts w:ascii="Times New Roman" w:hAnsi="Times New Roman"/>
          <w:color w:val="auto"/>
          <w:sz w:val="24"/>
          <w:szCs w:val="24"/>
        </w:rPr>
      </w:pPr>
    </w:p>
    <w:p w14:paraId="79700F88">
      <w:pPr>
        <w:spacing w:line="360" w:lineRule="auto"/>
        <w:jc w:val="left"/>
        <w:rPr>
          <w:rFonts w:ascii="Times New Roman" w:hAnsi="Times New Roman"/>
          <w:color w:val="auto"/>
          <w:sz w:val="24"/>
          <w:szCs w:val="24"/>
        </w:rPr>
      </w:pPr>
    </w:p>
    <w:p w14:paraId="54D2BED9">
      <w:pPr>
        <w:spacing w:line="360" w:lineRule="auto"/>
        <w:jc w:val="left"/>
        <w:rPr>
          <w:rFonts w:ascii="Times New Roman" w:hAnsi="Times New Roman"/>
          <w:color w:val="auto"/>
          <w:sz w:val="24"/>
          <w:szCs w:val="24"/>
        </w:rPr>
      </w:pPr>
    </w:p>
    <w:p w14:paraId="091AB7E7">
      <w:pPr>
        <w:spacing w:line="360" w:lineRule="auto"/>
        <w:jc w:val="left"/>
        <w:rPr>
          <w:rFonts w:ascii="Times New Roman" w:hAnsi="Times New Roman"/>
          <w:color w:val="auto"/>
          <w:sz w:val="24"/>
          <w:szCs w:val="24"/>
        </w:rPr>
      </w:pPr>
    </w:p>
    <w:p w14:paraId="747CDA12">
      <w:pPr>
        <w:spacing w:line="360" w:lineRule="auto"/>
        <w:jc w:val="left"/>
        <w:rPr>
          <w:rFonts w:ascii="Times New Roman" w:hAnsi="Times New Roman"/>
          <w:color w:val="auto"/>
          <w:sz w:val="24"/>
          <w:szCs w:val="24"/>
        </w:rPr>
      </w:pPr>
    </w:p>
    <w:p w14:paraId="57029FA3">
      <w:pPr>
        <w:spacing w:line="360" w:lineRule="auto"/>
        <w:jc w:val="left"/>
        <w:rPr>
          <w:rFonts w:ascii="Times New Roman" w:hAnsi="Times New Roman"/>
          <w:color w:val="auto"/>
          <w:sz w:val="24"/>
          <w:szCs w:val="24"/>
        </w:rPr>
      </w:pPr>
    </w:p>
    <w:p w14:paraId="49A877EF">
      <w:pPr>
        <w:pStyle w:val="213"/>
        <w:jc w:val="center"/>
        <w:rPr>
          <w:rFonts w:hint="eastAsia" w:ascii="Times New Roman" w:hAnsi="Times New Roman" w:eastAsia="宋体"/>
          <w:b/>
          <w:bCs/>
          <w:color w:val="auto"/>
          <w:sz w:val="32"/>
          <w:u w:val="single"/>
          <w:lang w:eastAsia="zh-CN"/>
        </w:rPr>
      </w:pPr>
      <w:r>
        <w:rPr>
          <w:rFonts w:hint="eastAsia" w:ascii="Times New Roman" w:hAnsi="Times New Roman"/>
          <w:b/>
          <w:bCs/>
          <w:color w:val="auto"/>
          <w:sz w:val="32"/>
        </w:rPr>
        <w:t>采购人：</w:t>
      </w:r>
      <w:r>
        <w:rPr>
          <w:rFonts w:hint="eastAsia" w:ascii="Times New Roman" w:hAnsi="Times New Roman"/>
          <w:b/>
          <w:bCs/>
          <w:color w:val="auto"/>
          <w:sz w:val="32"/>
          <w:u w:val="single"/>
          <w:lang w:eastAsia="zh-CN"/>
        </w:rPr>
        <w:t>泗洪县城市管理局</w:t>
      </w:r>
    </w:p>
    <w:p w14:paraId="32E6E1EC">
      <w:pPr>
        <w:pStyle w:val="213"/>
        <w:jc w:val="center"/>
        <w:rPr>
          <w:rFonts w:hint="eastAsia" w:ascii="Times New Roman" w:hAnsi="Times New Roman" w:eastAsia="宋体"/>
          <w:b/>
          <w:bCs/>
          <w:color w:val="auto"/>
          <w:sz w:val="32"/>
          <w:u w:val="single"/>
          <w:lang w:eastAsia="zh-CN"/>
        </w:rPr>
      </w:pPr>
      <w:r>
        <w:rPr>
          <w:rFonts w:hint="eastAsia" w:ascii="Times New Roman" w:hAnsi="Times New Roman"/>
          <w:b/>
          <w:bCs/>
          <w:color w:val="auto"/>
          <w:sz w:val="32"/>
        </w:rPr>
        <w:t>采购代理机构：</w:t>
      </w:r>
      <w:r>
        <w:rPr>
          <w:rFonts w:hint="eastAsia" w:ascii="Times New Roman" w:hAnsi="Times New Roman"/>
          <w:b/>
          <w:bCs/>
          <w:color w:val="auto"/>
          <w:sz w:val="32"/>
          <w:u w:val="single"/>
          <w:lang w:eastAsia="zh-CN"/>
        </w:rPr>
        <w:t>江苏明博项目管理有限公司</w:t>
      </w:r>
    </w:p>
    <w:p w14:paraId="6136D042">
      <w:pPr>
        <w:pStyle w:val="213"/>
        <w:ind w:firstLine="2570"/>
        <w:jc w:val="both"/>
        <w:rPr>
          <w:rFonts w:ascii="Times New Roman" w:hAnsi="Times New Roman"/>
          <w:b/>
          <w:bCs/>
          <w:color w:val="auto"/>
          <w:sz w:val="32"/>
        </w:rPr>
      </w:pPr>
      <w:r>
        <w:rPr>
          <w:rFonts w:hint="eastAsia" w:ascii="Times New Roman" w:hAnsi="Times New Roman"/>
          <w:b/>
          <w:bCs/>
          <w:color w:val="auto"/>
          <w:sz w:val="32"/>
          <w:u w:val="single"/>
        </w:rPr>
        <w:t xml:space="preserve"> 2026</w:t>
      </w:r>
      <w:r>
        <w:rPr>
          <w:rFonts w:hint="eastAsia" w:ascii="Times New Roman" w:hAnsi="Times New Roman"/>
          <w:b/>
          <w:bCs/>
          <w:color w:val="auto"/>
          <w:sz w:val="32"/>
        </w:rPr>
        <w:t>年</w:t>
      </w:r>
      <w:r>
        <w:rPr>
          <w:rFonts w:hint="eastAsia" w:ascii="Times New Roman" w:hAnsi="Times New Roman"/>
          <w:b/>
          <w:bCs/>
          <w:color w:val="auto"/>
          <w:sz w:val="32"/>
          <w:u w:val="single"/>
        </w:rPr>
        <w:t xml:space="preserve"> 06</w:t>
      </w:r>
      <w:r>
        <w:rPr>
          <w:rFonts w:hint="eastAsia" w:ascii="Times New Roman" w:hAnsi="Times New Roman"/>
          <w:b/>
          <w:bCs/>
          <w:color w:val="auto"/>
          <w:sz w:val="32"/>
        </w:rPr>
        <w:t>月</w:t>
      </w:r>
      <w:r>
        <w:rPr>
          <w:rFonts w:hint="eastAsia" w:ascii="Times New Roman" w:hAnsi="Times New Roman"/>
          <w:b/>
          <w:bCs/>
          <w:color w:val="auto"/>
          <w:sz w:val="32"/>
          <w:u w:val="single"/>
        </w:rPr>
        <w:t xml:space="preserve"> 02</w:t>
      </w:r>
      <w:r>
        <w:rPr>
          <w:rFonts w:hint="eastAsia" w:ascii="Times New Roman" w:hAnsi="Times New Roman"/>
          <w:b/>
          <w:bCs/>
          <w:color w:val="auto"/>
          <w:sz w:val="32"/>
        </w:rPr>
        <w:t>日</w:t>
      </w:r>
    </w:p>
    <w:p w14:paraId="3DD35F74">
      <w:pPr>
        <w:spacing w:before="120" w:after="120" w:line="360" w:lineRule="auto"/>
        <w:jc w:val="left"/>
        <w:rPr>
          <w:rFonts w:ascii="Times New Roman" w:hAnsi="Times New Roman"/>
          <w:color w:val="auto"/>
          <w:sz w:val="24"/>
          <w:szCs w:val="24"/>
          <w:u w:val="single"/>
        </w:rPr>
      </w:pPr>
      <w:r>
        <w:rPr>
          <w:rFonts w:hint="eastAsia" w:ascii="Times New Roman" w:hAnsi="Times New Roman"/>
          <w:color w:val="auto"/>
          <w:sz w:val="24"/>
          <w:szCs w:val="24"/>
        </w:rPr>
        <w:t xml:space="preserve">                        </w:t>
      </w:r>
    </w:p>
    <w:p w14:paraId="089D3F2E">
      <w:pPr>
        <w:spacing w:before="120" w:after="120" w:line="360" w:lineRule="auto"/>
        <w:jc w:val="center"/>
        <w:rPr>
          <w:rFonts w:ascii="Times New Roman" w:hAnsi="Times New Roman"/>
          <w:color w:val="auto"/>
          <w:sz w:val="24"/>
          <w:szCs w:val="24"/>
        </w:rPr>
      </w:pPr>
    </w:p>
    <w:p w14:paraId="5185A15C">
      <w:pPr>
        <w:spacing w:line="480" w:lineRule="auto"/>
        <w:jc w:val="center"/>
        <w:outlineLvl w:val="0"/>
        <w:rPr>
          <w:rFonts w:ascii="Times New Roman" w:hAnsi="Times New Roman" w:eastAsia="黑体"/>
          <w:b/>
          <w:color w:val="auto"/>
          <w:sz w:val="28"/>
          <w:szCs w:val="28"/>
        </w:rPr>
      </w:pPr>
      <w:r>
        <w:rPr>
          <w:rFonts w:ascii="Times New Roman" w:hAnsi="Times New Roman"/>
          <w:color w:val="auto"/>
          <w:szCs w:val="21"/>
        </w:rPr>
        <w:br w:type="page" w:clear="all"/>
      </w:r>
      <w:bookmarkStart w:id="0" w:name="_Toc178176113"/>
      <w:bookmarkStart w:id="1" w:name="_Toc178176070"/>
      <w:bookmarkStart w:id="2" w:name="_Toc2430"/>
      <w:bookmarkStart w:id="3" w:name="_Toc178176052"/>
      <w:bookmarkStart w:id="4" w:name="_Toc120614210"/>
      <w:bookmarkStart w:id="5" w:name="_Toc16938516"/>
      <w:bookmarkStart w:id="6" w:name="_Toc513029200"/>
      <w:bookmarkStart w:id="7" w:name="_Toc523127445"/>
      <w:bookmarkStart w:id="8" w:name="_Toc479757206"/>
      <w:bookmarkStart w:id="9" w:name="_Toc20823272"/>
      <w:r>
        <w:rPr>
          <w:rFonts w:hint="eastAsia" w:ascii="Times New Roman" w:hAnsi="Times New Roman" w:eastAsia="黑体"/>
          <w:b/>
          <w:color w:val="auto"/>
          <w:sz w:val="28"/>
          <w:szCs w:val="28"/>
        </w:rPr>
        <w:t>总  目  录</w:t>
      </w:r>
      <w:bookmarkEnd w:id="0"/>
      <w:bookmarkEnd w:id="1"/>
      <w:bookmarkEnd w:id="2"/>
      <w:bookmarkEnd w:id="3"/>
    </w:p>
    <w:p w14:paraId="1AB6EE0D">
      <w:pPr>
        <w:pStyle w:val="29"/>
        <w:tabs>
          <w:tab w:val="right" w:leader="dot" w:pos="8306"/>
        </w:tabs>
        <w:rPr>
          <w:color w:val="auto"/>
        </w:rPr>
      </w:pPr>
      <w:r>
        <w:rPr>
          <w:rFonts w:ascii="Times New Roman" w:hAnsi="Times New Roman"/>
          <w:color w:val="auto"/>
          <w:sz w:val="28"/>
          <w:szCs w:val="28"/>
        </w:rPr>
        <w:fldChar w:fldCharType="begin"/>
      </w:r>
      <w:r>
        <w:rPr>
          <w:rFonts w:ascii="Times New Roman" w:hAnsi="Times New Roman"/>
          <w:color w:val="auto"/>
          <w:sz w:val="28"/>
          <w:szCs w:val="28"/>
        </w:rPr>
        <w:instrText xml:space="preserve"> TOC \o "1-1" \h \z \u </w:instrText>
      </w:r>
      <w:r>
        <w:rPr>
          <w:rFonts w:ascii="Times New Roman" w:hAnsi="Times New Roman"/>
          <w:color w:val="auto"/>
          <w:sz w:val="28"/>
          <w:szCs w:val="28"/>
        </w:rPr>
        <w:fldChar w:fldCharType="separate"/>
      </w:r>
      <w:r>
        <w:rPr>
          <w:rFonts w:ascii="Times New Roman" w:hAnsi="Times New Roman"/>
          <w:color w:val="auto"/>
          <w:szCs w:val="28"/>
        </w:rPr>
        <w:fldChar w:fldCharType="begin"/>
      </w:r>
      <w:r>
        <w:rPr>
          <w:rFonts w:ascii="Times New Roman" w:hAnsi="Times New Roman"/>
          <w:color w:val="auto"/>
          <w:szCs w:val="28"/>
        </w:rPr>
        <w:instrText xml:space="preserve"> HYPERLINK \l _Toc2430 </w:instrText>
      </w:r>
      <w:r>
        <w:rPr>
          <w:rFonts w:ascii="Times New Roman" w:hAnsi="Times New Roman"/>
          <w:color w:val="auto"/>
          <w:szCs w:val="28"/>
        </w:rPr>
        <w:fldChar w:fldCharType="separate"/>
      </w:r>
      <w:r>
        <w:rPr>
          <w:rFonts w:hint="eastAsia" w:ascii="Times New Roman" w:hAnsi="Times New Roman" w:eastAsia="黑体"/>
          <w:color w:val="auto"/>
          <w:szCs w:val="28"/>
        </w:rPr>
        <w:t>总  目  录</w:t>
      </w:r>
      <w:r>
        <w:rPr>
          <w:color w:val="auto"/>
        </w:rPr>
        <w:tab/>
      </w:r>
      <w:r>
        <w:rPr>
          <w:color w:val="auto"/>
        </w:rPr>
        <w:fldChar w:fldCharType="begin"/>
      </w:r>
      <w:r>
        <w:rPr>
          <w:color w:val="auto"/>
        </w:rPr>
        <w:instrText xml:space="preserve"> PAGEREF _Toc2430 \h </w:instrText>
      </w:r>
      <w:r>
        <w:rPr>
          <w:color w:val="auto"/>
        </w:rPr>
        <w:fldChar w:fldCharType="separate"/>
      </w:r>
      <w:r>
        <w:rPr>
          <w:color w:val="auto"/>
        </w:rPr>
        <w:t>2</w:t>
      </w:r>
      <w:r>
        <w:rPr>
          <w:color w:val="auto"/>
        </w:rPr>
        <w:fldChar w:fldCharType="end"/>
      </w:r>
      <w:r>
        <w:rPr>
          <w:rFonts w:ascii="Times New Roman" w:hAnsi="Times New Roman"/>
          <w:color w:val="auto"/>
          <w:szCs w:val="28"/>
        </w:rPr>
        <w:fldChar w:fldCharType="end"/>
      </w:r>
    </w:p>
    <w:p w14:paraId="7ADEDE0D">
      <w:pPr>
        <w:pStyle w:val="29"/>
        <w:tabs>
          <w:tab w:val="right" w:leader="dot" w:pos="8306"/>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_Toc27486 </w:instrText>
      </w:r>
      <w:r>
        <w:rPr>
          <w:rFonts w:ascii="Times New Roman" w:hAnsi="Times New Roman"/>
          <w:color w:val="auto"/>
          <w:szCs w:val="28"/>
        </w:rPr>
        <w:fldChar w:fldCharType="separate"/>
      </w:r>
      <w:r>
        <w:rPr>
          <w:rFonts w:hint="eastAsia" w:ascii="Times New Roman" w:hAnsi="Times New Roman" w:eastAsia="黑体"/>
          <w:color w:val="auto"/>
          <w:szCs w:val="44"/>
        </w:rPr>
        <w:t>第一章  磋商公告</w:t>
      </w:r>
      <w:r>
        <w:rPr>
          <w:color w:val="auto"/>
        </w:rPr>
        <w:tab/>
      </w:r>
      <w:r>
        <w:rPr>
          <w:color w:val="auto"/>
        </w:rPr>
        <w:fldChar w:fldCharType="begin"/>
      </w:r>
      <w:r>
        <w:rPr>
          <w:color w:val="auto"/>
        </w:rPr>
        <w:instrText xml:space="preserve"> PAGEREF _Toc27486 \h </w:instrText>
      </w:r>
      <w:r>
        <w:rPr>
          <w:color w:val="auto"/>
        </w:rPr>
        <w:fldChar w:fldCharType="separate"/>
      </w:r>
      <w:r>
        <w:rPr>
          <w:color w:val="auto"/>
        </w:rPr>
        <w:t>3</w:t>
      </w:r>
      <w:r>
        <w:rPr>
          <w:color w:val="auto"/>
        </w:rPr>
        <w:fldChar w:fldCharType="end"/>
      </w:r>
      <w:r>
        <w:rPr>
          <w:rFonts w:ascii="Times New Roman" w:hAnsi="Times New Roman"/>
          <w:color w:val="auto"/>
          <w:szCs w:val="28"/>
        </w:rPr>
        <w:fldChar w:fldCharType="end"/>
      </w:r>
    </w:p>
    <w:p w14:paraId="1352B76C">
      <w:pPr>
        <w:pStyle w:val="29"/>
        <w:tabs>
          <w:tab w:val="right" w:leader="dot" w:pos="8306"/>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_Toc22169 </w:instrText>
      </w:r>
      <w:r>
        <w:rPr>
          <w:rFonts w:ascii="Times New Roman" w:hAnsi="Times New Roman"/>
          <w:color w:val="auto"/>
          <w:szCs w:val="28"/>
        </w:rPr>
        <w:fldChar w:fldCharType="separate"/>
      </w:r>
      <w:r>
        <w:rPr>
          <w:rFonts w:hint="eastAsia" w:ascii="Times New Roman" w:hAnsi="Times New Roman" w:eastAsia="黑体" w:cs="Arial"/>
          <w:bCs/>
          <w:color w:val="auto"/>
          <w:szCs w:val="44"/>
        </w:rPr>
        <w:t>第二章  供应商须知</w:t>
      </w:r>
      <w:r>
        <w:rPr>
          <w:color w:val="auto"/>
        </w:rPr>
        <w:tab/>
      </w:r>
      <w:r>
        <w:rPr>
          <w:color w:val="auto"/>
        </w:rPr>
        <w:fldChar w:fldCharType="begin"/>
      </w:r>
      <w:r>
        <w:rPr>
          <w:color w:val="auto"/>
        </w:rPr>
        <w:instrText xml:space="preserve"> PAGEREF _Toc22169 \h </w:instrText>
      </w:r>
      <w:r>
        <w:rPr>
          <w:color w:val="auto"/>
        </w:rPr>
        <w:fldChar w:fldCharType="separate"/>
      </w:r>
      <w:r>
        <w:rPr>
          <w:color w:val="auto"/>
        </w:rPr>
        <w:t>7</w:t>
      </w:r>
      <w:r>
        <w:rPr>
          <w:color w:val="auto"/>
        </w:rPr>
        <w:fldChar w:fldCharType="end"/>
      </w:r>
      <w:r>
        <w:rPr>
          <w:rFonts w:ascii="Times New Roman" w:hAnsi="Times New Roman"/>
          <w:color w:val="auto"/>
          <w:szCs w:val="28"/>
        </w:rPr>
        <w:fldChar w:fldCharType="end"/>
      </w:r>
    </w:p>
    <w:p w14:paraId="2B873A4B">
      <w:pPr>
        <w:pStyle w:val="29"/>
        <w:tabs>
          <w:tab w:val="right" w:leader="dot" w:pos="8306"/>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_Toc18376 </w:instrText>
      </w:r>
      <w:r>
        <w:rPr>
          <w:rFonts w:ascii="Times New Roman" w:hAnsi="Times New Roman"/>
          <w:color w:val="auto"/>
          <w:szCs w:val="28"/>
        </w:rPr>
        <w:fldChar w:fldCharType="separate"/>
      </w:r>
      <w:r>
        <w:rPr>
          <w:rFonts w:hint="eastAsia" w:ascii="Times New Roman" w:hAnsi="Times New Roman" w:eastAsia="黑体"/>
          <w:bCs/>
          <w:color w:val="auto"/>
          <w:szCs w:val="28"/>
        </w:rPr>
        <w:t>第三章  合同文本</w:t>
      </w:r>
      <w:r>
        <w:rPr>
          <w:color w:val="auto"/>
        </w:rPr>
        <w:tab/>
      </w:r>
      <w:r>
        <w:rPr>
          <w:color w:val="auto"/>
        </w:rPr>
        <w:fldChar w:fldCharType="begin"/>
      </w:r>
      <w:r>
        <w:rPr>
          <w:color w:val="auto"/>
        </w:rPr>
        <w:instrText xml:space="preserve"> PAGEREF _Toc18376 \h </w:instrText>
      </w:r>
      <w:r>
        <w:rPr>
          <w:color w:val="auto"/>
        </w:rPr>
        <w:fldChar w:fldCharType="separate"/>
      </w:r>
      <w:r>
        <w:rPr>
          <w:color w:val="auto"/>
        </w:rPr>
        <w:t>26</w:t>
      </w:r>
      <w:r>
        <w:rPr>
          <w:color w:val="auto"/>
        </w:rPr>
        <w:fldChar w:fldCharType="end"/>
      </w:r>
      <w:r>
        <w:rPr>
          <w:rFonts w:ascii="Times New Roman" w:hAnsi="Times New Roman"/>
          <w:color w:val="auto"/>
          <w:szCs w:val="28"/>
        </w:rPr>
        <w:fldChar w:fldCharType="end"/>
      </w:r>
    </w:p>
    <w:p w14:paraId="493683BC">
      <w:pPr>
        <w:pStyle w:val="29"/>
        <w:tabs>
          <w:tab w:val="right" w:leader="dot" w:pos="8306"/>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_Toc27466 </w:instrText>
      </w:r>
      <w:r>
        <w:rPr>
          <w:rFonts w:ascii="Times New Roman" w:hAnsi="Times New Roman"/>
          <w:color w:val="auto"/>
          <w:szCs w:val="28"/>
        </w:rPr>
        <w:fldChar w:fldCharType="separate"/>
      </w:r>
      <w:r>
        <w:rPr>
          <w:rFonts w:hint="eastAsia" w:ascii="Times New Roman" w:hAnsi="Times New Roman" w:eastAsia="黑体" w:cs="Courier New"/>
          <w:bCs/>
          <w:color w:val="auto"/>
          <w:szCs w:val="21"/>
        </w:rPr>
        <w:t>第四章  采购需求</w:t>
      </w:r>
      <w:r>
        <w:rPr>
          <w:color w:val="auto"/>
        </w:rPr>
        <w:tab/>
      </w:r>
      <w:r>
        <w:rPr>
          <w:color w:val="auto"/>
        </w:rPr>
        <w:fldChar w:fldCharType="begin"/>
      </w:r>
      <w:r>
        <w:rPr>
          <w:color w:val="auto"/>
        </w:rPr>
        <w:instrText xml:space="preserve"> PAGEREF _Toc27466 \h </w:instrText>
      </w:r>
      <w:r>
        <w:rPr>
          <w:color w:val="auto"/>
        </w:rPr>
        <w:fldChar w:fldCharType="separate"/>
      </w:r>
      <w:r>
        <w:rPr>
          <w:color w:val="auto"/>
        </w:rPr>
        <w:t>31</w:t>
      </w:r>
      <w:r>
        <w:rPr>
          <w:color w:val="auto"/>
        </w:rPr>
        <w:fldChar w:fldCharType="end"/>
      </w:r>
      <w:r>
        <w:rPr>
          <w:rFonts w:ascii="Times New Roman" w:hAnsi="Times New Roman"/>
          <w:color w:val="auto"/>
          <w:szCs w:val="28"/>
        </w:rPr>
        <w:fldChar w:fldCharType="end"/>
      </w:r>
    </w:p>
    <w:p w14:paraId="06A8218B">
      <w:pPr>
        <w:pStyle w:val="29"/>
        <w:tabs>
          <w:tab w:val="right" w:leader="dot" w:pos="8306"/>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_Toc11397 </w:instrText>
      </w:r>
      <w:r>
        <w:rPr>
          <w:rFonts w:ascii="Times New Roman" w:hAnsi="Times New Roman"/>
          <w:color w:val="auto"/>
          <w:szCs w:val="28"/>
        </w:rPr>
        <w:fldChar w:fldCharType="separate"/>
      </w:r>
      <w:r>
        <w:rPr>
          <w:rFonts w:hint="eastAsia" w:ascii="Times New Roman" w:hAnsi="Times New Roman" w:eastAsia="黑体"/>
          <w:bCs/>
          <w:color w:val="auto"/>
          <w:szCs w:val="28"/>
        </w:rPr>
        <w:t>第五章  评审方法与评审标准</w:t>
      </w:r>
      <w:r>
        <w:rPr>
          <w:color w:val="auto"/>
        </w:rPr>
        <w:tab/>
      </w:r>
      <w:r>
        <w:rPr>
          <w:color w:val="auto"/>
        </w:rPr>
        <w:fldChar w:fldCharType="begin"/>
      </w:r>
      <w:r>
        <w:rPr>
          <w:color w:val="auto"/>
        </w:rPr>
        <w:instrText xml:space="preserve"> PAGEREF _Toc11397 \h </w:instrText>
      </w:r>
      <w:r>
        <w:rPr>
          <w:color w:val="auto"/>
        </w:rPr>
        <w:fldChar w:fldCharType="separate"/>
      </w:r>
      <w:r>
        <w:rPr>
          <w:color w:val="auto"/>
        </w:rPr>
        <w:t>44</w:t>
      </w:r>
      <w:r>
        <w:rPr>
          <w:color w:val="auto"/>
        </w:rPr>
        <w:fldChar w:fldCharType="end"/>
      </w:r>
      <w:r>
        <w:rPr>
          <w:rFonts w:ascii="Times New Roman" w:hAnsi="Times New Roman"/>
          <w:color w:val="auto"/>
          <w:szCs w:val="28"/>
        </w:rPr>
        <w:fldChar w:fldCharType="end"/>
      </w:r>
    </w:p>
    <w:p w14:paraId="5004C804">
      <w:pPr>
        <w:pStyle w:val="29"/>
        <w:tabs>
          <w:tab w:val="right" w:leader="dot" w:pos="8306"/>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_Toc29374 </w:instrText>
      </w:r>
      <w:r>
        <w:rPr>
          <w:rFonts w:ascii="Times New Roman" w:hAnsi="Times New Roman"/>
          <w:color w:val="auto"/>
          <w:szCs w:val="28"/>
        </w:rPr>
        <w:fldChar w:fldCharType="separate"/>
      </w:r>
      <w:r>
        <w:rPr>
          <w:rFonts w:hint="eastAsia" w:ascii="Times New Roman" w:hAnsi="Times New Roman" w:eastAsia="黑体"/>
          <w:bCs/>
          <w:color w:val="auto"/>
          <w:szCs w:val="28"/>
        </w:rPr>
        <w:t>第六章 响应文件格式</w:t>
      </w:r>
      <w:r>
        <w:rPr>
          <w:color w:val="auto"/>
        </w:rPr>
        <w:tab/>
      </w:r>
      <w:r>
        <w:rPr>
          <w:color w:val="auto"/>
        </w:rPr>
        <w:fldChar w:fldCharType="begin"/>
      </w:r>
      <w:r>
        <w:rPr>
          <w:color w:val="auto"/>
        </w:rPr>
        <w:instrText xml:space="preserve"> PAGEREF _Toc29374 \h </w:instrText>
      </w:r>
      <w:r>
        <w:rPr>
          <w:color w:val="auto"/>
        </w:rPr>
        <w:fldChar w:fldCharType="separate"/>
      </w:r>
      <w:r>
        <w:rPr>
          <w:color w:val="auto"/>
        </w:rPr>
        <w:t>49</w:t>
      </w:r>
      <w:r>
        <w:rPr>
          <w:color w:val="auto"/>
        </w:rPr>
        <w:fldChar w:fldCharType="end"/>
      </w:r>
      <w:r>
        <w:rPr>
          <w:rFonts w:ascii="Times New Roman" w:hAnsi="Times New Roman"/>
          <w:color w:val="auto"/>
          <w:szCs w:val="28"/>
        </w:rPr>
        <w:fldChar w:fldCharType="end"/>
      </w:r>
    </w:p>
    <w:p w14:paraId="5D598BAE">
      <w:pPr>
        <w:rPr>
          <w:rFonts w:ascii="Times New Roman" w:hAnsi="Times New Roman"/>
          <w:color w:val="auto"/>
          <w:sz w:val="28"/>
          <w:szCs w:val="28"/>
        </w:rPr>
      </w:pPr>
      <w:r>
        <w:rPr>
          <w:rFonts w:ascii="Times New Roman" w:hAnsi="Times New Roman"/>
          <w:color w:val="auto"/>
          <w:szCs w:val="28"/>
        </w:rPr>
        <w:fldChar w:fldCharType="end"/>
      </w:r>
    </w:p>
    <w:p w14:paraId="4017C3CC">
      <w:pPr>
        <w:rPr>
          <w:rFonts w:ascii="Times New Roman" w:hAnsi="Times New Roman"/>
          <w:color w:val="auto"/>
          <w:szCs w:val="21"/>
        </w:rPr>
      </w:pPr>
    </w:p>
    <w:p w14:paraId="7512BAC0">
      <w:pPr>
        <w:rPr>
          <w:rFonts w:ascii="Times New Roman" w:hAnsi="Times New Roman"/>
          <w:color w:val="auto"/>
          <w:szCs w:val="21"/>
        </w:rPr>
      </w:pPr>
    </w:p>
    <w:p w14:paraId="35AB8BBD">
      <w:pPr>
        <w:rPr>
          <w:rFonts w:ascii="Times New Roman" w:hAnsi="Times New Roman"/>
          <w:color w:val="auto"/>
          <w:szCs w:val="21"/>
        </w:rPr>
      </w:pPr>
    </w:p>
    <w:p w14:paraId="7E52064D">
      <w:pPr>
        <w:rPr>
          <w:rFonts w:ascii="Times New Roman" w:hAnsi="Times New Roman"/>
          <w:color w:val="auto"/>
          <w:szCs w:val="21"/>
        </w:rPr>
      </w:pPr>
    </w:p>
    <w:p w14:paraId="3FDA1537">
      <w:pPr>
        <w:rPr>
          <w:rFonts w:ascii="Times New Roman" w:hAnsi="Times New Roman"/>
          <w:color w:val="auto"/>
          <w:szCs w:val="21"/>
        </w:rPr>
      </w:pPr>
    </w:p>
    <w:p w14:paraId="239282CE">
      <w:pPr>
        <w:rPr>
          <w:rFonts w:ascii="Times New Roman" w:hAnsi="Times New Roman"/>
          <w:color w:val="auto"/>
          <w:szCs w:val="21"/>
        </w:rPr>
      </w:pPr>
    </w:p>
    <w:p w14:paraId="266B9292">
      <w:pPr>
        <w:rPr>
          <w:rFonts w:ascii="Times New Roman" w:hAnsi="Times New Roman"/>
          <w:color w:val="auto"/>
          <w:szCs w:val="21"/>
        </w:rPr>
      </w:pPr>
    </w:p>
    <w:p w14:paraId="6DD9CEE3">
      <w:pPr>
        <w:rPr>
          <w:rFonts w:ascii="Times New Roman" w:hAnsi="Times New Roman"/>
          <w:color w:val="auto"/>
          <w:szCs w:val="21"/>
        </w:rPr>
      </w:pPr>
    </w:p>
    <w:p w14:paraId="2B67F6D3">
      <w:pPr>
        <w:rPr>
          <w:rFonts w:ascii="Times New Roman" w:hAnsi="Times New Roman"/>
          <w:color w:val="auto"/>
          <w:szCs w:val="21"/>
        </w:rPr>
      </w:pPr>
    </w:p>
    <w:p w14:paraId="4B72CB58">
      <w:pPr>
        <w:rPr>
          <w:rFonts w:ascii="Times New Roman" w:hAnsi="Times New Roman"/>
          <w:color w:val="auto"/>
          <w:szCs w:val="21"/>
        </w:rPr>
      </w:pPr>
    </w:p>
    <w:p w14:paraId="34DB8EE3">
      <w:pPr>
        <w:rPr>
          <w:rFonts w:ascii="Times New Roman" w:hAnsi="Times New Roman"/>
          <w:color w:val="auto"/>
          <w:szCs w:val="21"/>
        </w:rPr>
      </w:pPr>
    </w:p>
    <w:p w14:paraId="132C2DD9">
      <w:pPr>
        <w:rPr>
          <w:rFonts w:ascii="Times New Roman" w:hAnsi="Times New Roman"/>
          <w:color w:val="auto"/>
          <w:szCs w:val="21"/>
        </w:rPr>
      </w:pPr>
    </w:p>
    <w:p w14:paraId="776F78F9">
      <w:pPr>
        <w:rPr>
          <w:rFonts w:ascii="Times New Roman" w:hAnsi="Times New Roman"/>
          <w:color w:val="auto"/>
          <w:szCs w:val="21"/>
        </w:rPr>
      </w:pPr>
    </w:p>
    <w:p w14:paraId="4A6EA6E3">
      <w:pPr>
        <w:rPr>
          <w:rFonts w:ascii="Times New Roman" w:hAnsi="Times New Roman"/>
          <w:color w:val="auto"/>
          <w:szCs w:val="21"/>
        </w:rPr>
      </w:pPr>
    </w:p>
    <w:p w14:paraId="243653B9">
      <w:pPr>
        <w:rPr>
          <w:rFonts w:ascii="Times New Roman" w:hAnsi="Times New Roman"/>
          <w:color w:val="auto"/>
          <w:szCs w:val="21"/>
        </w:rPr>
      </w:pPr>
    </w:p>
    <w:p w14:paraId="40C4E615">
      <w:pPr>
        <w:rPr>
          <w:rFonts w:ascii="Times New Roman" w:hAnsi="Times New Roman"/>
          <w:color w:val="auto"/>
          <w:szCs w:val="21"/>
        </w:rPr>
      </w:pPr>
    </w:p>
    <w:p w14:paraId="3D691A7C">
      <w:pPr>
        <w:rPr>
          <w:rFonts w:ascii="Times New Roman" w:hAnsi="Times New Roman"/>
          <w:color w:val="auto"/>
          <w:szCs w:val="21"/>
        </w:rPr>
      </w:pPr>
    </w:p>
    <w:p w14:paraId="66603CE2">
      <w:pPr>
        <w:rPr>
          <w:rFonts w:ascii="Times New Roman" w:hAnsi="Times New Roman"/>
          <w:color w:val="auto"/>
          <w:szCs w:val="21"/>
        </w:rPr>
      </w:pPr>
    </w:p>
    <w:p w14:paraId="60985193">
      <w:pPr>
        <w:rPr>
          <w:rFonts w:ascii="Times New Roman" w:hAnsi="Times New Roman"/>
          <w:color w:val="auto"/>
          <w:szCs w:val="21"/>
        </w:rPr>
      </w:pPr>
    </w:p>
    <w:p w14:paraId="7ED720D0">
      <w:pPr>
        <w:rPr>
          <w:rFonts w:ascii="Times New Roman" w:hAnsi="Times New Roman"/>
          <w:color w:val="auto"/>
          <w:szCs w:val="21"/>
        </w:rPr>
      </w:pPr>
    </w:p>
    <w:p w14:paraId="72744C94">
      <w:pPr>
        <w:rPr>
          <w:rFonts w:ascii="Times New Roman" w:hAnsi="Times New Roman"/>
          <w:color w:val="auto"/>
          <w:szCs w:val="21"/>
        </w:rPr>
      </w:pPr>
    </w:p>
    <w:p w14:paraId="61F86219">
      <w:pPr>
        <w:rPr>
          <w:rFonts w:ascii="Times New Roman" w:hAnsi="Times New Roman"/>
          <w:color w:val="auto"/>
          <w:szCs w:val="21"/>
        </w:rPr>
      </w:pPr>
    </w:p>
    <w:p w14:paraId="7596CD77">
      <w:pPr>
        <w:rPr>
          <w:rFonts w:ascii="Times New Roman" w:hAnsi="Times New Roman"/>
          <w:color w:val="auto"/>
          <w:szCs w:val="21"/>
        </w:rPr>
      </w:pPr>
    </w:p>
    <w:p w14:paraId="7E4CD0EB">
      <w:pPr>
        <w:rPr>
          <w:rFonts w:ascii="Times New Roman" w:hAnsi="Times New Roman"/>
          <w:color w:val="auto"/>
          <w:szCs w:val="21"/>
        </w:rPr>
      </w:pPr>
    </w:p>
    <w:p w14:paraId="5C531BA3">
      <w:pPr>
        <w:rPr>
          <w:rFonts w:ascii="Times New Roman" w:hAnsi="Times New Roman"/>
          <w:color w:val="auto"/>
          <w:szCs w:val="21"/>
        </w:rPr>
      </w:pPr>
    </w:p>
    <w:p w14:paraId="28866C20">
      <w:pPr>
        <w:rPr>
          <w:rFonts w:ascii="Times New Roman" w:hAnsi="Times New Roman"/>
          <w:color w:val="auto"/>
          <w:szCs w:val="21"/>
        </w:rPr>
      </w:pPr>
    </w:p>
    <w:p w14:paraId="74C8D053">
      <w:pPr>
        <w:rPr>
          <w:rFonts w:ascii="Times New Roman" w:hAnsi="Times New Roman"/>
          <w:color w:val="auto"/>
          <w:szCs w:val="21"/>
        </w:rPr>
        <w:sectPr>
          <w:footerReference r:id="rId3" w:type="default"/>
          <w:pgSz w:w="11906" w:h="16838"/>
          <w:pgMar w:top="1440" w:right="1800" w:bottom="1440" w:left="1800" w:header="851" w:footer="992" w:gutter="0"/>
          <w:cols w:space="425" w:num="1"/>
          <w:docGrid w:linePitch="360" w:charSpace="0"/>
        </w:sectPr>
      </w:pPr>
    </w:p>
    <w:p w14:paraId="758B4C72">
      <w:pPr>
        <w:keepNext/>
        <w:jc w:val="center"/>
        <w:outlineLvl w:val="0"/>
        <w:rPr>
          <w:rFonts w:ascii="Times New Roman" w:hAnsi="Times New Roman" w:eastAsia="黑体"/>
          <w:bCs/>
          <w:color w:val="auto"/>
          <w:sz w:val="44"/>
          <w:szCs w:val="44"/>
        </w:rPr>
      </w:pPr>
      <w:bookmarkStart w:id="10" w:name="_Toc27486"/>
      <w:r>
        <w:rPr>
          <w:rFonts w:hint="eastAsia" w:ascii="Times New Roman" w:hAnsi="Times New Roman" w:eastAsia="黑体"/>
          <w:color w:val="auto"/>
          <w:sz w:val="44"/>
          <w:szCs w:val="44"/>
        </w:rPr>
        <w:t xml:space="preserve">第一章  </w:t>
      </w:r>
      <w:bookmarkEnd w:id="4"/>
      <w:r>
        <w:rPr>
          <w:rFonts w:hint="eastAsia" w:ascii="Times New Roman" w:hAnsi="Times New Roman" w:eastAsia="黑体"/>
          <w:color w:val="auto"/>
          <w:sz w:val="44"/>
          <w:szCs w:val="44"/>
        </w:rPr>
        <w:t>磋商公告</w:t>
      </w:r>
      <w:bookmarkEnd w:id="10"/>
    </w:p>
    <w:p w14:paraId="3A197D2F">
      <w:pPr>
        <w:pBdr>
          <w:top w:val="single" w:color="auto" w:sz="4" w:space="1"/>
          <w:left w:val="single" w:color="auto" w:sz="4" w:space="4"/>
          <w:bottom w:val="single" w:color="auto" w:sz="4" w:space="1"/>
          <w:right w:val="single" w:color="auto" w:sz="4" w:space="4"/>
        </w:pBdr>
        <w:spacing w:line="360" w:lineRule="auto"/>
        <w:rPr>
          <w:rFonts w:ascii="宋体" w:hAnsi="宋体" w:cs="宋体"/>
          <w:color w:val="auto"/>
          <w:sz w:val="24"/>
        </w:rPr>
      </w:pPr>
      <w:r>
        <w:rPr>
          <w:rFonts w:hint="eastAsia" w:ascii="宋体" w:hAnsi="宋体" w:cs="宋体"/>
          <w:color w:val="auto"/>
          <w:sz w:val="24"/>
        </w:rPr>
        <w:t>项目概况</w:t>
      </w:r>
    </w:p>
    <w:p w14:paraId="36975B54">
      <w:pPr>
        <w:pBdr>
          <w:top w:val="single" w:color="auto" w:sz="4" w:space="1"/>
          <w:left w:val="single" w:color="auto" w:sz="4" w:space="4"/>
          <w:bottom w:val="single" w:color="auto" w:sz="4" w:space="1"/>
          <w:right w:val="single" w:color="auto" w:sz="4" w:space="4"/>
        </w:pBdr>
        <w:spacing w:line="360" w:lineRule="auto"/>
        <w:ind w:firstLine="480"/>
        <w:rPr>
          <w:rFonts w:ascii="Times New Roman" w:hAnsi="Times New Roman"/>
          <w:color w:val="auto"/>
          <w:sz w:val="24"/>
          <w:szCs w:val="24"/>
        </w:rPr>
      </w:pPr>
      <w:r>
        <w:rPr>
          <w:rFonts w:hint="eastAsia" w:ascii="宋体" w:hAnsi="宋体" w:cs="宋体"/>
          <w:color w:val="auto"/>
          <w:sz w:val="24"/>
          <w:lang w:eastAsia="zh-CN"/>
        </w:rPr>
        <w:t>“泗洪县智慧城管平台提升行动”维保服务采购项目</w:t>
      </w:r>
      <w:r>
        <w:rPr>
          <w:rFonts w:hint="eastAsia" w:ascii="宋体" w:hAnsi="宋体" w:cs="宋体"/>
          <w:color w:val="auto"/>
          <w:sz w:val="24"/>
          <w:szCs w:val="24"/>
        </w:rPr>
        <w:t>[JSZC-321324-SQMB-C2026-0001]</w:t>
      </w:r>
      <w:r>
        <w:rPr>
          <w:rFonts w:hint="eastAsia" w:ascii="宋体" w:hAnsi="宋体" w:cs="宋体"/>
          <w:color w:val="auto"/>
          <w:sz w:val="24"/>
        </w:rPr>
        <w:t>招标项目的潜在供应商应在竞争性磋商文件提供的时间内，通过“苏采云”系统（网址：http：//jszfcg.jsczt.cn/）或宿迁市政府采购网点击“政府采购管理交易系统（苏采云）”，使用CA锁进入系统从“项目参与”--“采购项目”菜单中，找到本项目获取采购文件（后缀名为“.kedt”）。获取磋商文件，并于2026年</w:t>
      </w:r>
      <w:r>
        <w:rPr>
          <w:rFonts w:hint="eastAsia" w:ascii="宋体" w:hAnsi="宋体" w:cs="宋体"/>
          <w:color w:val="auto"/>
          <w:sz w:val="24"/>
          <w:lang w:val="en-US" w:eastAsia="zh-CN"/>
        </w:rPr>
        <w:t>6</w:t>
      </w:r>
      <w:r>
        <w:rPr>
          <w:rFonts w:hint="eastAsia" w:ascii="宋体" w:hAnsi="宋体" w:cs="宋体"/>
          <w:color w:val="auto"/>
          <w:sz w:val="24"/>
        </w:rPr>
        <w:t>月16日09时00分（北京时间）前递交响应文件。</w:t>
      </w:r>
    </w:p>
    <w:p w14:paraId="38EB0ACC">
      <w:pPr>
        <w:keepNext/>
        <w:keepLines/>
        <w:spacing w:line="360" w:lineRule="auto"/>
        <w:ind w:firstLine="498"/>
        <w:outlineLvl w:val="2"/>
        <w:rPr>
          <w:rFonts w:ascii="Times New Roman" w:hAnsi="Times New Roman"/>
          <w:b/>
          <w:bCs/>
          <w:color w:val="auto"/>
          <w:sz w:val="32"/>
          <w:szCs w:val="32"/>
        </w:rPr>
      </w:pPr>
      <w:bookmarkStart w:id="11" w:name="_Toc28359079"/>
      <w:bookmarkStart w:id="12" w:name="_Toc35393621"/>
      <w:bookmarkStart w:id="13" w:name="_Toc38985263"/>
      <w:bookmarkStart w:id="14" w:name="_Toc35393790"/>
      <w:bookmarkStart w:id="15" w:name="_Toc28359002"/>
      <w:bookmarkStart w:id="16" w:name="_Hlk24379207"/>
      <w:r>
        <w:rPr>
          <w:rFonts w:hint="eastAsia" w:ascii="Times New Roman" w:hAnsi="Times New Roman"/>
          <w:b/>
          <w:bCs/>
          <w:color w:val="auto"/>
          <w:sz w:val="32"/>
          <w:szCs w:val="32"/>
        </w:rPr>
        <w:t>一、项目基本情况</w:t>
      </w:r>
      <w:bookmarkEnd w:id="11"/>
      <w:bookmarkEnd w:id="12"/>
      <w:bookmarkEnd w:id="13"/>
      <w:bookmarkEnd w:id="14"/>
      <w:bookmarkEnd w:id="15"/>
    </w:p>
    <w:p w14:paraId="2B4EE9A0">
      <w:pPr>
        <w:spacing w:line="360" w:lineRule="auto"/>
        <w:ind w:firstLine="480"/>
        <w:rPr>
          <w:rFonts w:hint="eastAsia" w:ascii="Times New Roman" w:hAnsi="Times New Roman"/>
          <w:color w:val="auto"/>
          <w:sz w:val="24"/>
          <w:szCs w:val="24"/>
          <w:lang w:val="en-US" w:eastAsia="zh-CN"/>
        </w:rPr>
      </w:pPr>
      <w:r>
        <w:rPr>
          <w:rFonts w:hint="eastAsia" w:ascii="Times New Roman" w:hAnsi="Times New Roman"/>
          <w:color w:val="auto"/>
          <w:sz w:val="24"/>
          <w:szCs w:val="24"/>
        </w:rPr>
        <w:t>1.项目编号：JSZC-321324-SQMB-C2026-0001</w:t>
      </w:r>
    </w:p>
    <w:p w14:paraId="7810EA7F">
      <w:pPr>
        <w:spacing w:line="360" w:lineRule="auto"/>
        <w:ind w:firstLine="480"/>
        <w:rPr>
          <w:rFonts w:hint="eastAsia" w:ascii="Times New Roman" w:hAnsi="Times New Roman" w:eastAsia="宋体"/>
          <w:color w:val="auto"/>
          <w:sz w:val="24"/>
          <w:szCs w:val="24"/>
          <w:lang w:eastAsia="zh-CN"/>
        </w:rPr>
      </w:pPr>
      <w:r>
        <w:rPr>
          <w:rFonts w:hint="eastAsia" w:ascii="Times New Roman" w:hAnsi="Times New Roman"/>
          <w:color w:val="auto"/>
          <w:sz w:val="24"/>
          <w:szCs w:val="24"/>
        </w:rPr>
        <w:t>2.项目名称：</w:t>
      </w:r>
      <w:bookmarkEnd w:id="16"/>
      <w:r>
        <w:rPr>
          <w:rFonts w:hint="eastAsia" w:ascii="Times New Roman" w:hAnsi="Times New Roman"/>
          <w:color w:val="auto"/>
          <w:sz w:val="24"/>
          <w:szCs w:val="24"/>
          <w:lang w:eastAsia="zh-CN"/>
        </w:rPr>
        <w:t>“泗洪县智慧城管平台提升行动”维保服务采购项目</w:t>
      </w:r>
    </w:p>
    <w:p w14:paraId="3BAFDFCD">
      <w:pPr>
        <w:pageBreakBefore w:val="0"/>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3.预算金额：</w:t>
      </w:r>
      <w:r>
        <w:rPr>
          <w:rFonts w:hint="eastAsia" w:ascii="Times New Roman" w:hAnsi="Times New Roman"/>
          <w:color w:val="auto"/>
          <w:sz w:val="24"/>
          <w:szCs w:val="24"/>
          <w:lang w:val="en-US" w:eastAsia="zh-CN"/>
        </w:rPr>
        <w:t>239.159</w:t>
      </w:r>
      <w:r>
        <w:rPr>
          <w:rFonts w:hint="eastAsia" w:ascii="Times New Roman" w:hAnsi="Times New Roman"/>
          <w:color w:val="auto"/>
          <w:sz w:val="24"/>
          <w:szCs w:val="24"/>
        </w:rPr>
        <w:t>万元</w:t>
      </w:r>
    </w:p>
    <w:p w14:paraId="40BC3C3B">
      <w:pPr>
        <w:spacing w:line="360" w:lineRule="auto"/>
        <w:ind w:firstLine="480"/>
        <w:rPr>
          <w:rFonts w:ascii="Times New Roman" w:hAnsi="Times New Roman"/>
          <w:color w:val="auto"/>
          <w:sz w:val="24"/>
          <w:szCs w:val="24"/>
        </w:rPr>
      </w:pPr>
      <w:r>
        <w:rPr>
          <w:rFonts w:hint="eastAsia" w:ascii="Times New Roman" w:hAnsi="Times New Roman" w:cs="宋体"/>
          <w:color w:val="auto"/>
          <w:sz w:val="24"/>
          <w:szCs w:val="24"/>
        </w:rPr>
        <w:t>4</w:t>
      </w:r>
      <w:r>
        <w:rPr>
          <w:rFonts w:ascii="Times New Roman" w:hAnsi="Times New Roman" w:cs="宋体"/>
          <w:color w:val="auto"/>
          <w:sz w:val="24"/>
          <w:szCs w:val="24"/>
        </w:rPr>
        <w:t>.</w:t>
      </w:r>
      <w:r>
        <w:rPr>
          <w:rFonts w:hint="eastAsia" w:ascii="Times New Roman" w:hAnsi="Times New Roman"/>
          <w:color w:val="auto"/>
          <w:sz w:val="24"/>
          <w:szCs w:val="24"/>
        </w:rPr>
        <w:t>本项目</w:t>
      </w:r>
      <w:r>
        <w:rPr>
          <w:rFonts w:hint="eastAsia" w:ascii="Times New Roman" w:hAnsi="Times New Roman"/>
          <w:color w:val="auto"/>
          <w:sz w:val="24"/>
          <w:szCs w:val="24"/>
          <w:u w:val="single"/>
        </w:rPr>
        <w:t xml:space="preserve"> 设定 </w:t>
      </w:r>
      <w:r>
        <w:rPr>
          <w:rFonts w:hint="eastAsia" w:ascii="Times New Roman" w:hAnsi="Times New Roman"/>
          <w:color w:val="auto"/>
          <w:sz w:val="24"/>
          <w:szCs w:val="24"/>
        </w:rPr>
        <w:t>最高限价，最高限价为</w:t>
      </w:r>
      <w:r>
        <w:rPr>
          <w:rFonts w:hint="eastAsia" w:ascii="Times New Roman" w:hAnsi="Times New Roman"/>
          <w:color w:val="auto"/>
          <w:sz w:val="24"/>
          <w:szCs w:val="24"/>
          <w:lang w:val="en-US" w:eastAsia="zh-CN"/>
        </w:rPr>
        <w:t>239.159</w:t>
      </w:r>
      <w:r>
        <w:rPr>
          <w:rFonts w:hint="eastAsia" w:ascii="Times New Roman" w:hAnsi="Times New Roman"/>
          <w:color w:val="auto"/>
          <w:sz w:val="24"/>
          <w:szCs w:val="24"/>
        </w:rPr>
        <w:t>万元，高于最高限价按无效标处理。</w:t>
      </w:r>
    </w:p>
    <w:p w14:paraId="6DC3ED29">
      <w:pPr>
        <w:pageBreakBefore w:val="0"/>
        <w:spacing w:line="480" w:lineRule="auto"/>
        <w:ind w:firstLine="480"/>
        <w:rPr>
          <w:rFonts w:hint="eastAsia" w:ascii="宋体" w:hAnsi="宋体" w:eastAsia="宋体" w:cs="宋体"/>
          <w:color w:val="auto"/>
          <w:sz w:val="24"/>
          <w:szCs w:val="24"/>
          <w:highlight w:val="none"/>
          <w:u w:val="single"/>
          <w:lang w:eastAsia="zh-CN"/>
        </w:rPr>
      </w:pPr>
      <w:r>
        <w:rPr>
          <w:rFonts w:ascii="Times New Roman" w:hAnsi="Times New Roman"/>
          <w:color w:val="auto"/>
          <w:sz w:val="24"/>
          <w:szCs w:val="24"/>
        </w:rPr>
        <w:t>5</w:t>
      </w:r>
      <w:r>
        <w:rPr>
          <w:rFonts w:hint="eastAsia" w:ascii="Times New Roman" w:hAnsi="Times New Roman"/>
          <w:color w:val="auto"/>
          <w:sz w:val="24"/>
          <w:szCs w:val="24"/>
        </w:rPr>
        <w:t>.采购需求：</w:t>
      </w:r>
      <w:r>
        <w:rPr>
          <w:rFonts w:hint="eastAsia" w:ascii="宋体" w:hAnsi="宋体" w:cs="宋体"/>
          <w:color w:val="auto"/>
          <w:sz w:val="24"/>
          <w:szCs w:val="24"/>
          <w:highlight w:val="none"/>
          <w:lang w:eastAsia="zh-CN"/>
        </w:rPr>
        <w:t>“泗洪县智慧城管平台提升行动”维保服务采购项目</w:t>
      </w:r>
      <w:r>
        <w:rPr>
          <w:rFonts w:hint="eastAsia" w:ascii="宋体" w:hAnsi="宋体" w:cs="宋体"/>
          <w:color w:val="auto"/>
          <w:sz w:val="24"/>
          <w:szCs w:val="24"/>
          <w:highlight w:val="none"/>
        </w:rPr>
        <w:t>，包括</w:t>
      </w:r>
      <w:r>
        <w:rPr>
          <w:rFonts w:hint="eastAsia" w:ascii="宋体" w:hAnsi="宋体" w:cs="宋体"/>
          <w:color w:val="auto"/>
          <w:sz w:val="24"/>
          <w:szCs w:val="24"/>
          <w:highlight w:val="none"/>
          <w:lang w:val="en-US" w:eastAsia="zh-CN"/>
        </w:rPr>
        <w:t>泗</w:t>
      </w:r>
      <w:r>
        <w:rPr>
          <w:rFonts w:hint="eastAsia" w:ascii="宋体" w:hAnsi="宋体" w:cs="宋体"/>
          <w:color w:val="auto"/>
          <w:sz w:val="24"/>
          <w:szCs w:val="24"/>
          <w:highlight w:val="none"/>
          <w:lang w:eastAsia="zh-CN"/>
        </w:rPr>
        <w:t>洪县智慧城管</w:t>
      </w:r>
      <w:r>
        <w:rPr>
          <w:rFonts w:hint="eastAsia" w:ascii="宋体" w:hAnsi="宋体" w:cs="宋体"/>
          <w:color w:val="auto"/>
          <w:sz w:val="24"/>
          <w:szCs w:val="24"/>
          <w:highlight w:val="none"/>
          <w:lang w:val="en-US" w:eastAsia="zh-CN"/>
        </w:rPr>
        <w:t>平台维保及升级提升，硬件配套维保服务、设备采购；监控及设备间线路改造</w:t>
      </w:r>
      <w:r>
        <w:rPr>
          <w:rFonts w:hint="eastAsia" w:ascii="宋体" w:hAnsi="宋体" w:cs="宋体"/>
          <w:color w:val="auto"/>
          <w:sz w:val="24"/>
          <w:szCs w:val="24"/>
          <w:highlight w:val="none"/>
          <w:lang w:eastAsia="zh-CN"/>
        </w:rPr>
        <w:t>，设备</w:t>
      </w:r>
      <w:r>
        <w:rPr>
          <w:rFonts w:hint="eastAsia" w:ascii="宋体" w:hAnsi="宋体" w:cs="宋体"/>
          <w:color w:val="auto"/>
          <w:sz w:val="24"/>
          <w:szCs w:val="24"/>
          <w:highlight w:val="none"/>
          <w:lang w:val="en-US" w:eastAsia="zh-CN"/>
        </w:rPr>
        <w:t>间</w:t>
      </w:r>
      <w:r>
        <w:rPr>
          <w:rFonts w:hint="eastAsia" w:ascii="宋体" w:hAnsi="宋体" w:cs="宋体"/>
          <w:color w:val="auto"/>
          <w:sz w:val="24"/>
          <w:szCs w:val="24"/>
          <w:highlight w:val="none"/>
          <w:lang w:eastAsia="zh-CN"/>
        </w:rPr>
        <w:t>维保服务</w:t>
      </w:r>
      <w:r>
        <w:rPr>
          <w:rFonts w:hint="eastAsia" w:ascii="宋体" w:hAnsi="宋体" w:cs="宋体"/>
          <w:color w:val="auto"/>
          <w:sz w:val="24"/>
          <w:szCs w:val="24"/>
          <w:highlight w:val="none"/>
          <w:lang w:val="en-US" w:eastAsia="zh-CN"/>
        </w:rPr>
        <w:t>等</w:t>
      </w:r>
      <w:r>
        <w:rPr>
          <w:rFonts w:hint="eastAsia" w:ascii="宋体" w:hAnsi="宋体" w:cs="宋体"/>
          <w:color w:val="auto"/>
          <w:sz w:val="24"/>
          <w:szCs w:val="24"/>
          <w:highlight w:val="none"/>
        </w:rPr>
        <w:t>（详细内容见本磋商文件第四章）</w:t>
      </w:r>
      <w:r>
        <w:rPr>
          <w:rFonts w:hint="eastAsia" w:ascii="宋体" w:hAnsi="宋体" w:cs="宋体"/>
          <w:color w:val="auto"/>
          <w:sz w:val="24"/>
          <w:szCs w:val="24"/>
          <w:highlight w:val="none"/>
          <w:lang w:eastAsia="zh-CN"/>
        </w:rPr>
        <w:t>。</w:t>
      </w:r>
    </w:p>
    <w:p w14:paraId="08C8FEB1">
      <w:pPr>
        <w:spacing w:line="360" w:lineRule="auto"/>
        <w:ind w:firstLine="480"/>
        <w:rPr>
          <w:rFonts w:hint="eastAsia" w:ascii="Times New Roman" w:hAnsi="Times New Roman" w:eastAsia="宋体"/>
          <w:b/>
          <w:bCs/>
          <w:color w:val="auto"/>
          <w:sz w:val="24"/>
          <w:szCs w:val="24"/>
          <w:lang w:eastAsia="zh-CN"/>
        </w:rPr>
      </w:pPr>
      <w:r>
        <w:rPr>
          <w:rFonts w:hint="eastAsia" w:ascii="Times New Roman" w:hAnsi="Times New Roman"/>
          <w:color w:val="auto"/>
          <w:sz w:val="24"/>
          <w:szCs w:val="24"/>
        </w:rPr>
        <w:t>6.合同履行期限：</w:t>
      </w:r>
      <w:r>
        <w:rPr>
          <w:rFonts w:hint="eastAsia" w:ascii="宋体" w:hAnsi="宋体" w:cs="宋体"/>
          <w:color w:val="auto"/>
          <w:sz w:val="24"/>
          <w:szCs w:val="24"/>
        </w:rPr>
        <w:t>合同签订后</w:t>
      </w:r>
      <w:r>
        <w:rPr>
          <w:rFonts w:hint="eastAsia" w:ascii="宋体" w:hAnsi="宋体" w:cs="宋体"/>
          <w:color w:val="auto"/>
          <w:sz w:val="24"/>
          <w:szCs w:val="24"/>
          <w:lang w:val="en-US" w:eastAsia="zh-CN"/>
        </w:rPr>
        <w:t>2</w:t>
      </w:r>
      <w:r>
        <w:rPr>
          <w:rFonts w:hint="eastAsia" w:ascii="宋体" w:hAnsi="宋体" w:cs="宋体"/>
          <w:color w:val="auto"/>
          <w:sz w:val="24"/>
          <w:szCs w:val="24"/>
        </w:rPr>
        <w:t>年</w:t>
      </w:r>
      <w:r>
        <w:rPr>
          <w:rFonts w:hint="eastAsia" w:ascii="宋体" w:hAnsi="宋体" w:cs="宋体"/>
          <w:color w:val="auto"/>
          <w:sz w:val="24"/>
          <w:szCs w:val="24"/>
          <w:lang w:eastAsia="zh-CN"/>
        </w:rPr>
        <w:t>。</w:t>
      </w:r>
    </w:p>
    <w:p w14:paraId="63D4A99C">
      <w:pPr>
        <w:spacing w:line="360" w:lineRule="auto"/>
        <w:ind w:firstLine="480"/>
        <w:rPr>
          <w:rFonts w:ascii="Times New Roman" w:hAnsi="Times New Roman"/>
          <w:color w:val="auto"/>
          <w:sz w:val="24"/>
          <w:szCs w:val="24"/>
          <w:u w:val="single"/>
        </w:rPr>
      </w:pPr>
      <w:r>
        <w:rPr>
          <w:rFonts w:hint="eastAsia" w:ascii="Times New Roman" w:hAnsi="Times New Roman"/>
          <w:color w:val="auto"/>
          <w:sz w:val="24"/>
          <w:szCs w:val="24"/>
        </w:rPr>
        <w:t>7.本项目</w:t>
      </w:r>
      <w:r>
        <w:rPr>
          <w:rFonts w:hint="eastAsia" w:ascii="Times New Roman" w:hAnsi="Times New Roman"/>
          <w:color w:val="auto"/>
          <w:sz w:val="24"/>
          <w:szCs w:val="24"/>
          <w:u w:val="single"/>
        </w:rPr>
        <w:t xml:space="preserve"> 不接受 </w:t>
      </w:r>
      <w:r>
        <w:rPr>
          <w:rFonts w:hint="eastAsia" w:ascii="Times New Roman" w:hAnsi="Times New Roman"/>
          <w:color w:val="auto"/>
          <w:sz w:val="24"/>
          <w:szCs w:val="24"/>
        </w:rPr>
        <w:t>联合体参与磋商。</w:t>
      </w:r>
    </w:p>
    <w:p w14:paraId="21D34EB7">
      <w:pPr>
        <w:keepNext/>
        <w:keepLines/>
        <w:spacing w:line="360" w:lineRule="auto"/>
        <w:ind w:firstLine="498"/>
        <w:outlineLvl w:val="2"/>
        <w:rPr>
          <w:rFonts w:ascii="Times New Roman" w:hAnsi="Times New Roman"/>
          <w:b/>
          <w:bCs/>
          <w:color w:val="auto"/>
          <w:sz w:val="32"/>
          <w:szCs w:val="32"/>
        </w:rPr>
      </w:pPr>
      <w:bookmarkStart w:id="17" w:name="_Toc38985264"/>
      <w:bookmarkStart w:id="18" w:name="_Toc28359080"/>
      <w:bookmarkStart w:id="19" w:name="_Toc35393622"/>
      <w:bookmarkStart w:id="20" w:name="_Toc28359003"/>
      <w:bookmarkStart w:id="21" w:name="_Toc35393791"/>
      <w:r>
        <w:rPr>
          <w:rFonts w:hint="eastAsia" w:ascii="Times New Roman" w:hAnsi="Times New Roman"/>
          <w:b/>
          <w:bCs/>
          <w:color w:val="auto"/>
          <w:sz w:val="32"/>
          <w:szCs w:val="32"/>
        </w:rPr>
        <w:t>二、申请人的资格要求：</w:t>
      </w:r>
      <w:bookmarkEnd w:id="17"/>
      <w:bookmarkEnd w:id="18"/>
      <w:bookmarkEnd w:id="19"/>
      <w:bookmarkEnd w:id="20"/>
      <w:bookmarkEnd w:id="21"/>
    </w:p>
    <w:p w14:paraId="414F2057">
      <w:pPr>
        <w:spacing w:line="360" w:lineRule="auto"/>
        <w:ind w:firstLine="480"/>
        <w:rPr>
          <w:rFonts w:ascii="Times New Roman" w:hAnsi="Times New Roman"/>
          <w:color w:val="auto"/>
          <w:sz w:val="24"/>
          <w:szCs w:val="24"/>
        </w:rPr>
      </w:pPr>
      <w:bookmarkStart w:id="22" w:name="_Toc28359081"/>
      <w:bookmarkStart w:id="23" w:name="_Toc38985265"/>
      <w:bookmarkStart w:id="24" w:name="_Toc35393623"/>
      <w:bookmarkStart w:id="25" w:name="_Toc28359004"/>
      <w:bookmarkStart w:id="26" w:name="_Toc35393792"/>
      <w:r>
        <w:rPr>
          <w:rFonts w:hint="eastAsia" w:ascii="Times New Roman" w:hAnsi="Times New Roman"/>
          <w:color w:val="auto"/>
          <w:sz w:val="24"/>
          <w:szCs w:val="24"/>
        </w:rPr>
        <w:t>（一</w:t>
      </w:r>
      <w:r>
        <w:rPr>
          <w:rFonts w:ascii="Times New Roman" w:hAnsi="Times New Roman"/>
          <w:color w:val="auto"/>
          <w:sz w:val="24"/>
          <w:szCs w:val="24"/>
        </w:rPr>
        <w:t>）</w:t>
      </w:r>
      <w:r>
        <w:rPr>
          <w:rFonts w:hint="eastAsia" w:ascii="Times New Roman" w:hAnsi="Times New Roman"/>
          <w:color w:val="auto"/>
          <w:sz w:val="24"/>
          <w:szCs w:val="24"/>
        </w:rPr>
        <w:t>通用</w:t>
      </w:r>
      <w:r>
        <w:rPr>
          <w:rFonts w:ascii="Times New Roman" w:hAnsi="Times New Roman"/>
          <w:color w:val="auto"/>
          <w:sz w:val="24"/>
          <w:szCs w:val="24"/>
        </w:rPr>
        <w:t>资格要求</w:t>
      </w:r>
    </w:p>
    <w:p w14:paraId="1B306473">
      <w:pPr>
        <w:spacing w:line="360" w:lineRule="auto"/>
        <w:ind w:firstLine="480"/>
        <w:rPr>
          <w:rFonts w:hint="eastAsia" w:ascii="Times New Roman" w:hAnsi="Times New Roman" w:eastAsia="宋体"/>
          <w:color w:val="auto"/>
          <w:sz w:val="24"/>
          <w:szCs w:val="24"/>
          <w:lang w:eastAsia="zh-CN"/>
        </w:rPr>
      </w:pPr>
      <w:r>
        <w:rPr>
          <w:rFonts w:hint="eastAsia" w:ascii="Times New Roman" w:hAnsi="Times New Roman"/>
          <w:color w:val="auto"/>
          <w:sz w:val="24"/>
          <w:szCs w:val="24"/>
        </w:rPr>
        <w:t>1.具备《中华人民共和国政府采购法》第二十二条第一款规定的6项条件（按要求提供声明及信用承诺）</w:t>
      </w:r>
      <w:r>
        <w:rPr>
          <w:rFonts w:hint="eastAsia" w:ascii="Times New Roman" w:hAnsi="Times New Roman"/>
          <w:color w:val="auto"/>
          <w:sz w:val="24"/>
          <w:szCs w:val="24"/>
          <w:lang w:eastAsia="zh-CN"/>
        </w:rPr>
        <w:t>；</w:t>
      </w:r>
    </w:p>
    <w:p w14:paraId="700E523E">
      <w:pPr>
        <w:spacing w:line="360" w:lineRule="auto"/>
        <w:ind w:firstLine="480"/>
        <w:rPr>
          <w:rFonts w:ascii="Times New Roman" w:hAnsi="Times New Roman"/>
          <w:color w:val="auto"/>
          <w:sz w:val="24"/>
          <w:szCs w:val="24"/>
        </w:rPr>
      </w:pPr>
      <w:r>
        <w:rPr>
          <w:rFonts w:hint="eastAsia" w:ascii="Times New Roman" w:hAnsi="Times New Roman"/>
          <w:color w:val="auto"/>
          <w:sz w:val="24"/>
          <w:szCs w:val="24"/>
        </w:rPr>
        <w:t>2.信用信息。</w:t>
      </w:r>
    </w:p>
    <w:p w14:paraId="5FB47783">
      <w:pPr>
        <w:spacing w:line="360" w:lineRule="auto"/>
        <w:ind w:firstLine="480"/>
        <w:rPr>
          <w:rFonts w:ascii="Times New Roman" w:hAnsi="Times New Roman"/>
          <w:color w:val="auto"/>
          <w:sz w:val="24"/>
          <w:szCs w:val="24"/>
        </w:rPr>
      </w:pPr>
      <w:r>
        <w:rPr>
          <w:rFonts w:hint="eastAsia" w:ascii="Times New Roman" w:hAnsi="Times New Roman"/>
          <w:color w:val="auto"/>
          <w:sz w:val="24"/>
          <w:szCs w:val="24"/>
        </w:rPr>
        <w:t xml:space="preserve">信用信息查询渠道：“信用中国”网（www.creditchina.gov.cn）、“中国政府采购”网（www.ccgp.gov.cn）、江苏政府采购网（www.ccgp-jiangsu.gov.cn）。    </w:t>
      </w:r>
    </w:p>
    <w:p w14:paraId="7800C734">
      <w:pPr>
        <w:spacing w:line="360" w:lineRule="auto"/>
        <w:ind w:firstLine="480"/>
        <w:rPr>
          <w:rFonts w:ascii="Times New Roman" w:hAnsi="Times New Roman"/>
          <w:color w:val="auto"/>
          <w:sz w:val="36"/>
          <w:szCs w:val="36"/>
        </w:rPr>
      </w:pPr>
      <w:r>
        <w:rPr>
          <w:rFonts w:hint="eastAsia" w:ascii="Times New Roman" w:hAnsi="Times New Roman"/>
          <w:color w:val="auto"/>
          <w:sz w:val="24"/>
          <w:szCs w:val="24"/>
        </w:rPr>
        <w:t>信用信息的使用规则：</w:t>
      </w:r>
      <w:r>
        <w:rPr>
          <w:rFonts w:hint="eastAsia" w:ascii="宋体" w:hAnsi="宋体" w:cs="宋体"/>
          <w:color w:val="auto"/>
          <w:sz w:val="24"/>
        </w:rPr>
        <w:t>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p>
    <w:p w14:paraId="063DED80">
      <w:pPr>
        <w:spacing w:line="360" w:lineRule="auto"/>
        <w:ind w:firstLine="480"/>
        <w:rPr>
          <w:rFonts w:hint="eastAsia" w:ascii="宋体" w:hAnsi="宋体" w:eastAsia="宋体" w:cs="宋体"/>
          <w:b/>
          <w:bCs/>
          <w:color w:val="auto"/>
          <w:sz w:val="24"/>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供应商代理人(授权委托人)必须为本单位正式员工，并在响应文件中提供投标截止日前6个月内由本单位为其缴纳的任意1个月社会养老保险证明。</w:t>
      </w:r>
    </w:p>
    <w:p w14:paraId="2633E6C5">
      <w:pPr>
        <w:spacing w:line="360" w:lineRule="auto"/>
        <w:ind w:firstLine="480"/>
      </w:pPr>
      <w:r>
        <w:rPr>
          <w:rFonts w:hint="eastAsia" w:ascii="宋体" w:hAnsi="宋体" w:eastAsia="宋体" w:cs="宋体"/>
          <w:color w:val="auto"/>
          <w:sz w:val="24"/>
        </w:rPr>
        <w:t>4.不接受联合体投标</w:t>
      </w:r>
    </w:p>
    <w:p w14:paraId="4CA01DBA">
      <w:pPr>
        <w:numPr>
          <w:ilvl w:val="0"/>
          <w:numId w:val="0"/>
        </w:numPr>
        <w:spacing w:line="360" w:lineRule="auto"/>
        <w:ind w:firstLine="480"/>
        <w:rPr>
          <w:rFonts w:hint="eastAsia" w:ascii="Times New Roman" w:hAnsi="Times New Roman"/>
          <w:color w:val="auto"/>
          <w:sz w:val="24"/>
          <w:szCs w:val="24"/>
          <w:lang w:val="en-US" w:eastAsia="zh-CN"/>
        </w:rPr>
      </w:pPr>
      <w:r>
        <w:rPr>
          <w:rFonts w:hint="eastAsia" w:ascii="Times New Roman" w:hAnsi="Times New Roman"/>
          <w:color w:val="auto"/>
          <w:sz w:val="24"/>
          <w:szCs w:val="24"/>
        </w:rPr>
        <w:t>（二）落实政府采购政策需满足的资格要求：</w:t>
      </w:r>
      <w:bookmarkStart w:id="27" w:name="OLE_LINK10"/>
      <w:r>
        <w:rPr>
          <w:rFonts w:hint="eastAsia" w:ascii="Times New Roman" w:hAnsi="Times New Roman"/>
          <w:color w:val="auto"/>
          <w:sz w:val="24"/>
          <w:szCs w:val="24"/>
        </w:rPr>
        <w:t>本项目为专门面向中小企业采购的项目，供应商须为中小微企业、监狱企业、残疾人福利性单位（须提供《中小企业或残疾人福利性单位声明函,或监狱企业证明文件》）。非中</w:t>
      </w:r>
      <w:r>
        <w:rPr>
          <w:rFonts w:hint="eastAsia" w:ascii="Times New Roman" w:hAnsi="Times New Roman"/>
          <w:color w:val="auto"/>
          <w:sz w:val="24"/>
          <w:szCs w:val="24"/>
          <w:lang w:eastAsia="zh-CN"/>
        </w:rPr>
        <w:t>、</w:t>
      </w:r>
      <w:r>
        <w:rPr>
          <w:rFonts w:hint="eastAsia" w:ascii="Times New Roman" w:hAnsi="Times New Roman"/>
          <w:color w:val="auto"/>
          <w:sz w:val="24"/>
          <w:szCs w:val="24"/>
        </w:rPr>
        <w:t>小</w:t>
      </w: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微</w:t>
      </w:r>
      <w:r>
        <w:rPr>
          <w:rFonts w:hint="eastAsia" w:ascii="Times New Roman" w:hAnsi="Times New Roman"/>
          <w:color w:val="auto"/>
          <w:sz w:val="24"/>
          <w:szCs w:val="24"/>
        </w:rPr>
        <w:t>型企业参与本项</w:t>
      </w:r>
      <w:r>
        <w:rPr>
          <w:rFonts w:hint="eastAsia" w:ascii="Times New Roman" w:hAnsi="Times New Roman"/>
          <w:color w:val="auto"/>
          <w:sz w:val="24"/>
          <w:szCs w:val="24"/>
          <w:lang w:val="en-US" w:eastAsia="zh-CN"/>
        </w:rPr>
        <w:t>目投标，将作无效标处理。</w:t>
      </w:r>
      <w:bookmarkEnd w:id="27"/>
    </w:p>
    <w:p w14:paraId="4122B7AE">
      <w:pPr>
        <w:numPr>
          <w:ilvl w:val="0"/>
          <w:numId w:val="0"/>
        </w:numPr>
        <w:spacing w:line="360" w:lineRule="auto"/>
        <w:ind w:firstLine="480"/>
        <w:rPr>
          <w:rFonts w:ascii="Times New Roman" w:hAnsi="Times New Roman"/>
          <w:color w:val="auto"/>
          <w:sz w:val="24"/>
          <w:szCs w:val="24"/>
        </w:rPr>
      </w:pP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三</w:t>
      </w:r>
      <w:r>
        <w:rPr>
          <w:rFonts w:hint="eastAsia" w:ascii="Times New Roman" w:hAnsi="Times New Roman"/>
          <w:color w:val="auto"/>
          <w:sz w:val="24"/>
          <w:szCs w:val="24"/>
          <w:lang w:eastAsia="zh-CN"/>
        </w:rPr>
        <w:t>）</w:t>
      </w:r>
      <w:r>
        <w:rPr>
          <w:rFonts w:hint="eastAsia" w:ascii="Times New Roman" w:hAnsi="Times New Roman"/>
          <w:color w:val="auto"/>
          <w:sz w:val="24"/>
          <w:szCs w:val="24"/>
        </w:rPr>
        <w:t>本项目的特定资格要求：</w:t>
      </w:r>
      <w:r>
        <w:rPr>
          <w:rFonts w:hint="eastAsia"/>
          <w:color w:val="auto"/>
          <w:sz w:val="24"/>
          <w:szCs w:val="24"/>
        </w:rPr>
        <w:t>无。</w:t>
      </w:r>
    </w:p>
    <w:p w14:paraId="29124074">
      <w:pPr>
        <w:keepNext/>
        <w:keepLines/>
        <w:spacing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三、获取</w:t>
      </w:r>
      <w:bookmarkEnd w:id="22"/>
      <w:bookmarkEnd w:id="23"/>
      <w:bookmarkEnd w:id="24"/>
      <w:bookmarkEnd w:id="25"/>
      <w:bookmarkEnd w:id="26"/>
      <w:r>
        <w:rPr>
          <w:rFonts w:hint="eastAsia" w:ascii="Times New Roman" w:hAnsi="Times New Roman"/>
          <w:b/>
          <w:bCs/>
          <w:color w:val="auto"/>
          <w:sz w:val="32"/>
          <w:szCs w:val="32"/>
        </w:rPr>
        <w:t>磋商文件</w:t>
      </w:r>
    </w:p>
    <w:p w14:paraId="4D981131">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color w:val="auto"/>
        </w:rPr>
      </w:pPr>
      <w:bookmarkStart w:id="28" w:name="_Toc28359005"/>
      <w:bookmarkStart w:id="29" w:name="_Toc28359082"/>
      <w:bookmarkStart w:id="30" w:name="_Toc35393793"/>
      <w:bookmarkStart w:id="31" w:name="_Toc38985266"/>
      <w:bookmarkStart w:id="32" w:name="_Toc35393624"/>
      <w:r>
        <w:rPr>
          <w:rFonts w:hint="eastAsia" w:ascii="宋体" w:hAnsi="宋体" w:eastAsia="宋体" w:cs="宋体"/>
          <w:color w:val="auto"/>
          <w:sz w:val="24"/>
          <w:lang w:val="en-US" w:eastAsia="zh-CN"/>
        </w:rPr>
        <w:t>1.时间</w:t>
      </w:r>
      <w:r>
        <w:rPr>
          <w:rFonts w:ascii="Times New Roman" w:hAnsi="Times New Roman"/>
          <w:color w:val="auto"/>
          <w:sz w:val="24"/>
        </w:rPr>
        <w:t>：自磋商文件公告发布之日起5个工作日</w:t>
      </w:r>
      <w:r>
        <w:rPr>
          <w:rFonts w:hint="eastAsia" w:ascii="宋体" w:hAnsi="宋体" w:cs="宋体"/>
          <w:color w:val="auto"/>
          <w:sz w:val="24"/>
        </w:rPr>
        <w:t>。</w:t>
      </w:r>
    </w:p>
    <w:p w14:paraId="367A76B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auto"/>
        </w:rPr>
      </w:pPr>
      <w:r>
        <w:rPr>
          <w:rFonts w:hint="eastAsia" w:ascii="宋体" w:hAnsi="宋体" w:cs="宋体"/>
          <w:color w:val="auto"/>
          <w:sz w:val="24"/>
          <w:lang w:val="en-US" w:eastAsia="zh-CN"/>
        </w:rPr>
        <w:t>2.</w:t>
      </w:r>
      <w:r>
        <w:rPr>
          <w:rFonts w:hint="eastAsia" w:ascii="宋体" w:hAnsi="宋体" w:cs="宋体"/>
          <w:color w:val="auto"/>
          <w:sz w:val="24"/>
        </w:rPr>
        <w:t>地点：供应商应在竞争性磋商文件提供的时间内，通过“苏采云”系统（网址：</w:t>
      </w:r>
      <w:r>
        <w:rPr>
          <w:rFonts w:ascii="Times New Roman" w:hAnsi="Times New Roman"/>
          <w:color w:val="auto"/>
          <w:sz w:val="24"/>
        </w:rPr>
        <w:t>http://jszfcg.jsczt.cn/</w:t>
      </w:r>
      <w:r>
        <w:rPr>
          <w:rFonts w:hint="eastAsia" w:ascii="宋体" w:hAnsi="宋体" w:cs="宋体"/>
          <w:color w:val="auto"/>
          <w:sz w:val="24"/>
        </w:rPr>
        <w:t>）或宿迁市政府采购网点击“政府采购管理交易系统（苏采云）”，使用CA锁进入系统从“项目参与”--“采购项目”菜单中，找到本项目获取采购文件（后缀名为“</w:t>
      </w:r>
      <w:r>
        <w:rPr>
          <w:rFonts w:ascii="Times New Roman" w:hAnsi="Times New Roman"/>
          <w:color w:val="auto"/>
          <w:sz w:val="24"/>
        </w:rPr>
        <w:t>.kedt</w:t>
      </w:r>
      <w:r>
        <w:rPr>
          <w:rFonts w:hint="eastAsia" w:ascii="宋体" w:hAnsi="宋体" w:cs="宋体"/>
          <w:color w:val="auto"/>
          <w:sz w:val="24"/>
        </w:rPr>
        <w:t>”）。 </w:t>
      </w:r>
    </w:p>
    <w:p w14:paraId="4A0CE379">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方式</w:t>
      </w:r>
      <w:r>
        <w:rPr>
          <w:rFonts w:ascii="Times New Roman" w:hAnsi="Times New Roman"/>
          <w:color w:val="auto"/>
          <w:sz w:val="24"/>
        </w:rPr>
        <w:t>：</w:t>
      </w:r>
      <w:r>
        <w:rPr>
          <w:rFonts w:hint="eastAsia" w:ascii="Times New Roman" w:hAnsi="Times New Roman"/>
          <w:color w:val="auto"/>
          <w:sz w:val="24"/>
        </w:rPr>
        <w:t>供应商</w:t>
      </w:r>
      <w:r>
        <w:rPr>
          <w:rFonts w:ascii="Times New Roman" w:hAnsi="Times New Roman"/>
          <w:color w:val="auto"/>
          <w:sz w:val="24"/>
        </w:rPr>
        <w:t>应在</w:t>
      </w:r>
      <w:r>
        <w:rPr>
          <w:rFonts w:hint="eastAsia" w:ascii="Times New Roman" w:hAnsi="Times New Roman"/>
          <w:color w:val="auto"/>
          <w:sz w:val="24"/>
        </w:rPr>
        <w:t>竞争性磋商</w:t>
      </w:r>
      <w:r>
        <w:rPr>
          <w:rFonts w:ascii="Times New Roman" w:hAnsi="Times New Roman"/>
          <w:color w:val="auto"/>
          <w:sz w:val="24"/>
        </w:rPr>
        <w:t>文件提供的时间内，通过</w:t>
      </w:r>
      <w:r>
        <w:rPr>
          <w:rFonts w:ascii="Times New Roman" w:hAnsi="Times New Roman" w:eastAsia="Times New Roman"/>
          <w:color w:val="auto"/>
          <w:sz w:val="24"/>
        </w:rPr>
        <w:t>“</w:t>
      </w:r>
      <w:r>
        <w:rPr>
          <w:rFonts w:ascii="Times New Roman" w:hAnsi="Times New Roman"/>
          <w:color w:val="auto"/>
          <w:sz w:val="24"/>
        </w:rPr>
        <w:t>苏采云</w:t>
      </w:r>
      <w:r>
        <w:rPr>
          <w:rFonts w:ascii="Times New Roman" w:hAnsi="Times New Roman" w:eastAsia="Times New Roman"/>
          <w:color w:val="auto"/>
          <w:sz w:val="24"/>
        </w:rPr>
        <w:t>”</w:t>
      </w:r>
      <w:r>
        <w:rPr>
          <w:rFonts w:ascii="Times New Roman" w:hAnsi="Times New Roman"/>
          <w:color w:val="auto"/>
          <w:sz w:val="24"/>
        </w:rPr>
        <w:t>系统（网址：http://jszfcg.jsczt.cn/）</w:t>
      </w:r>
      <w:r>
        <w:rPr>
          <w:rFonts w:hint="eastAsia" w:ascii="宋体" w:hAnsi="宋体" w:cs="宋体"/>
          <w:color w:val="auto"/>
          <w:sz w:val="24"/>
        </w:rPr>
        <w:t>或宿迁市政府采购网点击“政府采购管理交易系统（苏采云）”，使用CA锁进入系统从“项目参与”--“采购项目”菜单中，找到本项目获取采购文件（后缀名为“</w:t>
      </w:r>
      <w:r>
        <w:rPr>
          <w:rFonts w:ascii="Times New Roman" w:hAnsi="Times New Roman"/>
          <w:color w:val="auto"/>
          <w:sz w:val="24"/>
        </w:rPr>
        <w:t>.kedt</w:t>
      </w:r>
      <w:r>
        <w:rPr>
          <w:rFonts w:hint="eastAsia" w:ascii="宋体" w:hAnsi="宋体" w:cs="宋体"/>
          <w:color w:val="auto"/>
          <w:sz w:val="24"/>
        </w:rPr>
        <w:t>”）</w:t>
      </w:r>
      <w:r>
        <w:rPr>
          <w:rFonts w:ascii="Times New Roman" w:hAnsi="Times New Roman"/>
          <w:color w:val="auto"/>
          <w:sz w:val="24"/>
        </w:rPr>
        <w:t>。</w:t>
      </w:r>
    </w:p>
    <w:p w14:paraId="6BB39CB7">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color w:val="auto"/>
          <w:sz w:val="24"/>
        </w:rPr>
      </w:pPr>
      <w:r>
        <w:rPr>
          <w:rFonts w:hint="eastAsia" w:ascii="宋体" w:hAnsi="宋体" w:eastAsia="宋体" w:cs="宋体"/>
          <w:color w:val="auto"/>
          <w:sz w:val="24"/>
          <w:lang w:val="en-US" w:eastAsia="zh-CN"/>
        </w:rPr>
        <w:t>4.本项目共</w:t>
      </w:r>
      <w:r>
        <w:rPr>
          <w:rFonts w:hint="eastAsia" w:ascii="Times New Roman" w:hAnsi="Times New Roman"/>
          <w:color w:val="auto"/>
          <w:sz w:val="24"/>
        </w:rPr>
        <w:t>分一个包。投标人参与多个采购包投标的，应按采购包分别获取</w:t>
      </w:r>
      <w:r>
        <w:rPr>
          <w:rFonts w:hint="eastAsia" w:ascii="Times New Roman" w:hAnsi="Times New Roman"/>
          <w:color w:val="auto"/>
          <w:sz w:val="24"/>
          <w:lang w:val="en-US" w:eastAsia="zh-CN"/>
        </w:rPr>
        <w:t>磋商文件</w:t>
      </w:r>
      <w:r>
        <w:rPr>
          <w:rFonts w:hint="eastAsia" w:ascii="Times New Roman" w:hAnsi="Times New Roman"/>
          <w:color w:val="auto"/>
          <w:sz w:val="24"/>
        </w:rPr>
        <w:t>。投标人未按要求获取</w:t>
      </w:r>
      <w:r>
        <w:rPr>
          <w:rFonts w:hint="eastAsia" w:ascii="Times New Roman" w:hAnsi="Times New Roman"/>
          <w:color w:val="auto"/>
          <w:sz w:val="24"/>
          <w:lang w:val="en-US" w:eastAsia="zh-CN"/>
        </w:rPr>
        <w:t>磋商文件</w:t>
      </w:r>
      <w:r>
        <w:rPr>
          <w:rFonts w:hint="eastAsia" w:ascii="Times New Roman" w:hAnsi="Times New Roman"/>
          <w:color w:val="auto"/>
          <w:sz w:val="24"/>
        </w:rPr>
        <w:t>导致无法投标的，后果自负（其投标文件不予接受）。</w:t>
      </w:r>
    </w:p>
    <w:p w14:paraId="4A0E3B4D">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color w:val="auto"/>
        </w:rPr>
      </w:pPr>
      <w:r>
        <w:rPr>
          <w:rFonts w:ascii="Times New Roman" w:hAnsi="Times New Roman"/>
          <w:color w:val="auto"/>
          <w:sz w:val="24"/>
        </w:rPr>
        <w:t>售价：</w:t>
      </w:r>
      <w:r>
        <w:rPr>
          <w:rFonts w:ascii="Times New Roman" w:hAnsi="Times New Roman" w:eastAsia="Times New Roman"/>
          <w:color w:val="auto"/>
          <w:sz w:val="24"/>
        </w:rPr>
        <w:t>0.00</w:t>
      </w:r>
      <w:r>
        <w:rPr>
          <w:rFonts w:ascii="Times New Roman" w:hAnsi="Times New Roman"/>
          <w:color w:val="auto"/>
          <w:sz w:val="24"/>
        </w:rPr>
        <w:t>元</w:t>
      </w:r>
      <w:r>
        <w:rPr>
          <w:rFonts w:ascii="Times New Roman" w:hAnsi="Times New Roman" w:eastAsia="Times New Roman"/>
          <w:color w:val="auto"/>
          <w:sz w:val="24"/>
        </w:rPr>
        <w:t> </w:t>
      </w:r>
      <w:r>
        <w:rPr>
          <w:rFonts w:hint="eastAsia" w:ascii="宋体" w:hAnsi="宋体" w:cs="宋体"/>
          <w:color w:val="auto"/>
          <w:sz w:val="24"/>
        </w:rPr>
        <w:t>。</w:t>
      </w:r>
    </w:p>
    <w:p w14:paraId="342D36E1">
      <w:pPr>
        <w:keepNext/>
        <w:keepLines/>
        <w:spacing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四、提交</w:t>
      </w:r>
      <w:bookmarkEnd w:id="28"/>
      <w:bookmarkEnd w:id="29"/>
      <w:r>
        <w:rPr>
          <w:rFonts w:hint="eastAsia" w:ascii="Times New Roman" w:hAnsi="Times New Roman"/>
          <w:b/>
          <w:bCs/>
          <w:color w:val="auto"/>
          <w:sz w:val="32"/>
          <w:szCs w:val="32"/>
        </w:rPr>
        <w:t>响应文件截止时间</w:t>
      </w:r>
      <w:bookmarkEnd w:id="30"/>
      <w:bookmarkEnd w:id="31"/>
      <w:bookmarkEnd w:id="32"/>
    </w:p>
    <w:p w14:paraId="12DADBDD">
      <w:pPr>
        <w:spacing w:line="360" w:lineRule="auto"/>
        <w:ind w:firstLine="480"/>
        <w:rPr>
          <w:rFonts w:ascii="Times New Roman" w:hAnsi="Times New Roman"/>
          <w:bCs/>
          <w:color w:val="auto"/>
          <w:sz w:val="24"/>
          <w:szCs w:val="24"/>
        </w:rPr>
      </w:pPr>
      <w:r>
        <w:rPr>
          <w:rFonts w:hint="eastAsia" w:ascii="Times New Roman" w:hAnsi="Times New Roman"/>
          <w:bCs/>
          <w:color w:val="auto"/>
          <w:sz w:val="24"/>
          <w:szCs w:val="24"/>
        </w:rPr>
        <w:t>1.提交响应文件截止时间、磋商时间：</w:t>
      </w:r>
      <w:r>
        <w:rPr>
          <w:rFonts w:hint="eastAsia" w:ascii="Times New Roman" w:hAnsi="Times New Roman"/>
          <w:bCs/>
          <w:color w:val="auto"/>
          <w:sz w:val="24"/>
          <w:szCs w:val="24"/>
          <w:u w:val="single"/>
        </w:rPr>
        <w:t>2026年</w:t>
      </w:r>
      <w:r>
        <w:rPr>
          <w:rFonts w:hint="eastAsia" w:ascii="Times New Roman" w:hAnsi="Times New Roman"/>
          <w:bCs/>
          <w:color w:val="auto"/>
          <w:sz w:val="24"/>
          <w:szCs w:val="24"/>
          <w:u w:val="single"/>
          <w:lang w:val="en-US" w:eastAsia="zh-CN"/>
        </w:rPr>
        <w:t>6</w:t>
      </w:r>
      <w:r>
        <w:rPr>
          <w:rFonts w:hint="eastAsia" w:ascii="Times New Roman" w:hAnsi="Times New Roman"/>
          <w:bCs/>
          <w:color w:val="auto"/>
          <w:sz w:val="24"/>
          <w:szCs w:val="24"/>
          <w:u w:val="single"/>
        </w:rPr>
        <w:t>月</w:t>
      </w:r>
      <w:r>
        <w:rPr>
          <w:rFonts w:hint="eastAsia" w:ascii="Times New Roman" w:hAnsi="Times New Roman"/>
          <w:bCs/>
          <w:color w:val="auto"/>
          <w:sz w:val="24"/>
          <w:szCs w:val="24"/>
          <w:u w:val="single"/>
          <w:lang w:val="en-US" w:eastAsia="zh-CN"/>
        </w:rPr>
        <w:t>16</w:t>
      </w:r>
      <w:r>
        <w:rPr>
          <w:rFonts w:hint="eastAsia" w:ascii="Times New Roman" w:hAnsi="Times New Roman"/>
          <w:bCs/>
          <w:color w:val="auto"/>
          <w:sz w:val="24"/>
          <w:szCs w:val="24"/>
          <w:u w:val="single"/>
        </w:rPr>
        <w:t>日9点00分</w:t>
      </w:r>
      <w:r>
        <w:rPr>
          <w:rFonts w:hint="eastAsia" w:ascii="Times New Roman" w:hAnsi="Times New Roman"/>
          <w:bCs/>
          <w:color w:val="auto"/>
          <w:sz w:val="24"/>
          <w:szCs w:val="24"/>
        </w:rPr>
        <w:t>（北京时间）。</w:t>
      </w:r>
    </w:p>
    <w:p w14:paraId="75D1D0D7">
      <w:pPr>
        <w:spacing w:line="360" w:lineRule="auto"/>
        <w:ind w:firstLine="480"/>
        <w:rPr>
          <w:rFonts w:ascii="Times New Roman" w:hAnsi="Times New Roman" w:cs="仿宋_GB2312"/>
          <w:color w:val="auto"/>
          <w:sz w:val="24"/>
          <w:szCs w:val="24"/>
        </w:rPr>
      </w:pPr>
      <w:r>
        <w:rPr>
          <w:rFonts w:hint="eastAsia" w:ascii="Times New Roman" w:hAnsi="Times New Roman" w:cs="仿宋_GB2312"/>
          <w:color w:val="auto"/>
          <w:sz w:val="24"/>
          <w:szCs w:val="28"/>
        </w:rPr>
        <w:t>2.地点：“苏采云”政府采购交易系统网上开标大厅。</w:t>
      </w:r>
    </w:p>
    <w:p w14:paraId="736374B3">
      <w:pPr>
        <w:spacing w:line="360" w:lineRule="auto"/>
        <w:ind w:firstLine="480"/>
        <w:rPr>
          <w:color w:val="auto"/>
        </w:rPr>
      </w:pPr>
      <w:r>
        <w:rPr>
          <w:rFonts w:hint="eastAsia" w:ascii="Times New Roman" w:hAnsi="Times New Roman" w:cs="仿宋_GB2312"/>
          <w:b/>
          <w:bCs/>
          <w:color w:val="auto"/>
          <w:sz w:val="32"/>
          <w:szCs w:val="32"/>
        </w:rPr>
        <w:t>五、开启</w:t>
      </w:r>
    </w:p>
    <w:p w14:paraId="178DDA6D">
      <w:pPr>
        <w:spacing w:line="360" w:lineRule="auto"/>
        <w:ind w:firstLine="480"/>
        <w:rPr>
          <w:color w:val="auto"/>
        </w:rPr>
      </w:pPr>
      <w:r>
        <w:rPr>
          <w:rFonts w:hint="eastAsia" w:ascii="Times New Roman" w:hAnsi="Times New Roman" w:cs="仿宋_GB2312"/>
          <w:color w:val="auto"/>
          <w:sz w:val="24"/>
          <w:szCs w:val="28"/>
        </w:rPr>
        <w:t>时间：2026</w:t>
      </w:r>
      <w:r>
        <w:rPr>
          <w:rFonts w:hint="eastAsia" w:ascii="Times New Roman" w:hAnsi="Times New Roman" w:cs="仿宋_GB2312"/>
          <w:color w:val="auto"/>
          <w:sz w:val="24"/>
          <w:szCs w:val="28"/>
          <w:lang w:val="en-US" w:eastAsia="zh-CN"/>
        </w:rPr>
        <w:t>年06月16日</w:t>
      </w:r>
      <w:r>
        <w:rPr>
          <w:rFonts w:hint="eastAsia" w:ascii="Times New Roman" w:hAnsi="Times New Roman" w:cs="仿宋_GB2312"/>
          <w:color w:val="auto"/>
          <w:sz w:val="24"/>
          <w:szCs w:val="28"/>
        </w:rPr>
        <w:t xml:space="preserve"> 09:</w:t>
      </w:r>
      <w:r>
        <w:rPr>
          <w:rFonts w:hint="eastAsia" w:ascii="Times New Roman" w:hAnsi="Times New Roman" w:cs="仿宋_GB2312"/>
          <w:color w:val="auto"/>
          <w:sz w:val="24"/>
          <w:szCs w:val="28"/>
          <w:lang w:val="en-US" w:eastAsia="zh-CN"/>
        </w:rPr>
        <w:t>0</w:t>
      </w:r>
      <w:r>
        <w:rPr>
          <w:rFonts w:hint="eastAsia" w:ascii="Times New Roman" w:hAnsi="Times New Roman" w:cs="仿宋_GB2312"/>
          <w:color w:val="auto"/>
          <w:sz w:val="24"/>
          <w:szCs w:val="28"/>
        </w:rPr>
        <w:t>0 （北京时间）</w:t>
      </w:r>
    </w:p>
    <w:p w14:paraId="20A2C371">
      <w:pPr>
        <w:spacing w:line="360" w:lineRule="auto"/>
        <w:ind w:firstLine="480"/>
        <w:rPr>
          <w:rFonts w:ascii="Times New Roman" w:hAnsi="Times New Roman" w:cs="仿宋_GB2312"/>
          <w:color w:val="auto"/>
          <w:sz w:val="24"/>
          <w:szCs w:val="24"/>
        </w:rPr>
      </w:pPr>
      <w:r>
        <w:rPr>
          <w:rFonts w:hint="eastAsia" w:ascii="Times New Roman" w:hAnsi="Times New Roman" w:cs="仿宋_GB2312"/>
          <w:color w:val="auto"/>
          <w:sz w:val="24"/>
          <w:szCs w:val="28"/>
        </w:rPr>
        <w:t>地点：泗洪县泗洪开标</w:t>
      </w:r>
      <w:r>
        <w:rPr>
          <w:rFonts w:hint="eastAsia" w:ascii="Times New Roman" w:hAnsi="Times New Roman" w:cs="仿宋_GB2312"/>
          <w:color w:val="auto"/>
          <w:sz w:val="24"/>
          <w:szCs w:val="28"/>
          <w:lang w:val="en-US" w:eastAsia="zh-CN"/>
        </w:rPr>
        <w:t>四</w:t>
      </w:r>
      <w:r>
        <w:rPr>
          <w:rFonts w:hint="eastAsia" w:ascii="Times New Roman" w:hAnsi="Times New Roman" w:cs="仿宋_GB2312"/>
          <w:color w:val="auto"/>
          <w:sz w:val="24"/>
          <w:szCs w:val="28"/>
        </w:rPr>
        <w:t>厅</w:t>
      </w:r>
    </w:p>
    <w:p w14:paraId="7AADB6BE">
      <w:pPr>
        <w:keepNext/>
        <w:keepLines/>
        <w:spacing w:line="360" w:lineRule="auto"/>
        <w:ind w:firstLine="498"/>
        <w:outlineLvl w:val="2"/>
        <w:rPr>
          <w:rFonts w:ascii="Times New Roman" w:hAnsi="Times New Roman"/>
          <w:b/>
          <w:bCs/>
          <w:color w:val="auto"/>
          <w:sz w:val="32"/>
          <w:szCs w:val="32"/>
        </w:rPr>
      </w:pPr>
      <w:bookmarkStart w:id="33" w:name="_Toc28359084"/>
      <w:bookmarkStart w:id="34" w:name="_Toc35393794"/>
      <w:bookmarkStart w:id="35" w:name="_Toc38985267"/>
      <w:bookmarkStart w:id="36" w:name="_Toc35393625"/>
      <w:bookmarkStart w:id="37" w:name="_Toc28359007"/>
      <w:r>
        <w:rPr>
          <w:rFonts w:hint="eastAsia" w:ascii="Times New Roman" w:hAnsi="Times New Roman"/>
          <w:b/>
          <w:bCs/>
          <w:color w:val="auto"/>
          <w:sz w:val="32"/>
          <w:szCs w:val="32"/>
        </w:rPr>
        <w:t>六、公告期限</w:t>
      </w:r>
      <w:bookmarkEnd w:id="33"/>
      <w:bookmarkEnd w:id="34"/>
      <w:bookmarkEnd w:id="35"/>
      <w:bookmarkEnd w:id="36"/>
      <w:bookmarkEnd w:id="37"/>
    </w:p>
    <w:p w14:paraId="0AE8C712">
      <w:pPr>
        <w:spacing w:line="360" w:lineRule="auto"/>
        <w:ind w:firstLine="540"/>
        <w:rPr>
          <w:rFonts w:ascii="Times New Roman" w:hAnsi="Times New Roman" w:cs="仿宋_GB2312"/>
          <w:color w:val="auto"/>
          <w:sz w:val="24"/>
          <w:szCs w:val="28"/>
        </w:rPr>
      </w:pPr>
      <w:bookmarkStart w:id="38" w:name="_Toc35393795"/>
      <w:bookmarkStart w:id="39" w:name="_Toc35393626"/>
      <w:bookmarkStart w:id="40" w:name="_Toc38985268"/>
      <w:r>
        <w:rPr>
          <w:rFonts w:hint="eastAsia" w:ascii="Times New Roman" w:hAnsi="Times New Roman" w:cs="仿宋_GB2312"/>
          <w:color w:val="auto"/>
          <w:sz w:val="24"/>
          <w:szCs w:val="28"/>
        </w:rPr>
        <w:t>自本公告发布之日起3个工作日。</w:t>
      </w:r>
    </w:p>
    <w:p w14:paraId="0C9B46FF">
      <w:pPr>
        <w:keepNext/>
        <w:keepLines/>
        <w:spacing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七、其他补充事宜</w:t>
      </w:r>
      <w:bookmarkEnd w:id="38"/>
      <w:bookmarkEnd w:id="39"/>
      <w:bookmarkEnd w:id="40"/>
    </w:p>
    <w:p w14:paraId="5CA1BC14">
      <w:pPr>
        <w:spacing w:line="360" w:lineRule="auto"/>
        <w:ind w:firstLine="480"/>
        <w:rPr>
          <w:rFonts w:ascii="Times New Roman" w:hAnsi="Times New Roman"/>
          <w:color w:val="auto"/>
          <w:sz w:val="24"/>
        </w:rPr>
      </w:pPr>
      <w:bookmarkStart w:id="41" w:name="EB64e1f522fd8c43fcb4d3ba471386b3e7"/>
      <w:r>
        <w:rPr>
          <w:rFonts w:hint="eastAsia" w:ascii="Times New Roman" w:hAnsi="Times New Roman"/>
          <w:color w:val="auto"/>
          <w:sz w:val="24"/>
        </w:rPr>
        <w:t>1.财政部门监督电话：</w:t>
      </w:r>
      <w:r>
        <w:rPr>
          <w:rFonts w:ascii="Times New Roman" w:hAnsi="Times New Roman" w:eastAsia="Times New Roman"/>
          <w:color w:val="auto"/>
          <w:sz w:val="24"/>
        </w:rPr>
        <w:t>0527-88359233</w:t>
      </w:r>
      <w:r>
        <w:rPr>
          <w:rFonts w:hint="eastAsia" w:ascii="Times New Roman" w:hAnsi="Times New Roman"/>
          <w:color w:val="auto"/>
          <w:sz w:val="24"/>
        </w:rPr>
        <w:t>。</w:t>
      </w:r>
    </w:p>
    <w:p w14:paraId="1ED9AD2F">
      <w:pPr>
        <w:spacing w:line="36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rPr>
        <w:t>2.“CA”数字证书办理：“苏采云”系统目前仅支持“苏采云”系统下的政务CA。省内各地区办理的“苏采云”系统下的政务CA全省通用。宿迁地区CA数字证书办理联系方式：</w:t>
      </w:r>
      <w:r>
        <w:rPr>
          <w:rFonts w:hint="eastAsia" w:ascii="Times New Roman" w:hAnsi="Times New Roman" w:eastAsia="宋体" w:cs="Times New Roman"/>
          <w:color w:val="auto"/>
          <w:sz w:val="24"/>
          <w:lang w:val="en-US" w:eastAsia="zh-CN"/>
        </w:rPr>
        <w:t>15115607509；</w:t>
      </w:r>
    </w:p>
    <w:p w14:paraId="768D0EA9">
      <w:pPr>
        <w:spacing w:line="360" w:lineRule="auto"/>
        <w:ind w:firstLine="480"/>
        <w:rPr>
          <w:rFonts w:hint="eastAsia" w:ascii="Times New Roman" w:hAnsi="Times New Roman"/>
          <w:color w:val="auto"/>
          <w:sz w:val="24"/>
          <w:lang w:val="en-US" w:eastAsia="zh-CN"/>
        </w:rPr>
      </w:pPr>
      <w:r>
        <w:rPr>
          <w:rFonts w:hint="eastAsia" w:ascii="Times New Roman" w:hAnsi="Times New Roman" w:eastAsia="宋体" w:cs="Times New Roman"/>
          <w:color w:val="auto"/>
          <w:sz w:val="24"/>
          <w:lang w:eastAsia="zh-CN"/>
        </w:rPr>
        <w:t>电子签章和临时锁办理</w:t>
      </w:r>
      <w:r>
        <w:rPr>
          <w:rFonts w:hint="eastAsia" w:ascii="Times New Roman" w:hAnsi="Times New Roman" w:eastAsia="宋体" w:cs="Times New Roman"/>
          <w:color w:val="auto"/>
          <w:sz w:val="24"/>
          <w:lang w:val="en-US" w:eastAsia="zh-CN"/>
        </w:rPr>
        <w:t>联系方式：</w:t>
      </w:r>
      <w:r>
        <w:rPr>
          <w:rFonts w:hint="eastAsia" w:ascii="Times New Roman" w:hAnsi="Times New Roman" w:eastAsia="宋体" w:cs="Times New Roman"/>
          <w:color w:val="auto"/>
          <w:sz w:val="24"/>
          <w:lang w:eastAsia="zh-CN"/>
        </w:rPr>
        <w:t>18351098172。</w:t>
      </w:r>
    </w:p>
    <w:p w14:paraId="0C470892">
      <w:pPr>
        <w:pStyle w:val="214"/>
        <w:spacing w:line="360" w:lineRule="auto"/>
        <w:ind w:firstLine="480"/>
        <w:rPr>
          <w:rFonts w:ascii="Times New Roman" w:hAnsi="Times New Roman" w:eastAsia="宋体" w:cs="Times New Roman"/>
          <w:color w:val="auto"/>
          <w:sz w:val="24"/>
          <w:szCs w:val="21"/>
          <w:lang w:val="en-US"/>
        </w:rPr>
      </w:pPr>
      <w:r>
        <w:rPr>
          <w:rFonts w:hint="eastAsia" w:ascii="Times New Roman" w:hAnsi="Times New Roman" w:eastAsia="宋体" w:cs="Times New Roman"/>
          <w:color w:val="auto"/>
          <w:sz w:val="24"/>
          <w:szCs w:val="21"/>
          <w:lang w:val="en-US"/>
        </w:rPr>
        <w:t>3.宿迁地区“苏采云”技术支持客服电话：0527-84363067、0519-86722806。</w:t>
      </w:r>
    </w:p>
    <w:p w14:paraId="3BA8D2A5">
      <w:pPr>
        <w:pStyle w:val="214"/>
        <w:spacing w:line="360" w:lineRule="auto"/>
        <w:ind w:firstLine="480"/>
        <w:rPr>
          <w:rFonts w:ascii="Times New Roman" w:hAnsi="Times New Roman" w:eastAsia="宋体" w:cs="Times New Roman"/>
          <w:color w:val="auto"/>
          <w:spacing w:val="-6"/>
          <w:sz w:val="24"/>
          <w:szCs w:val="21"/>
          <w:lang w:val="en-US"/>
        </w:rPr>
      </w:pPr>
      <w:r>
        <w:rPr>
          <w:rFonts w:hint="eastAsia" w:ascii="Times New Roman" w:hAnsi="Times New Roman" w:eastAsia="宋体" w:cs="Times New Roman"/>
          <w:color w:val="auto"/>
          <w:sz w:val="24"/>
          <w:szCs w:val="21"/>
          <w:lang w:val="en-US"/>
        </w:rPr>
        <w:t>4.如果供应商通过苏采云系统参与政府采购项目，相关操作手册详见链接：</w:t>
      </w:r>
      <w:r>
        <w:rPr>
          <w:color w:val="auto"/>
        </w:rPr>
        <w:fldChar w:fldCharType="begin"/>
      </w:r>
      <w:r>
        <w:rPr>
          <w:color w:val="auto"/>
        </w:rPr>
        <w:instrText xml:space="preserve"> HYPERLINK "http://www.ccgp-jiangsu.gov.cn/jiangsu/zlxz/ee/ee3a4bc5a3454aa2b0d9312230633ce9.html。" \o "http://www.ccgp-jiangsu.gov.cn/jiangsu/zlxz/ee/ee3a4bc5a3454aa2b0d9312230633ce9.html。" </w:instrText>
      </w:r>
      <w:r>
        <w:rPr>
          <w:color w:val="auto"/>
        </w:rPr>
        <w:fldChar w:fldCharType="separate"/>
      </w:r>
      <w:r>
        <w:rPr>
          <w:rFonts w:hint="eastAsia" w:ascii="Times New Roman" w:hAnsi="Times New Roman" w:eastAsia="宋体" w:cs="Times New Roman"/>
          <w:color w:val="auto"/>
          <w:sz w:val="24"/>
          <w:szCs w:val="21"/>
          <w:u w:val="single"/>
          <w:lang w:val="en-US"/>
        </w:rPr>
        <w:t>http://www.ccgp-jiangsu.gov.cn/jiangsu/zlxz/ee/ee3a4bc5a3454aa2b0d9312230633ce9.html。</w:t>
      </w:r>
      <w:bookmarkEnd w:id="41"/>
      <w:r>
        <w:rPr>
          <w:rFonts w:hint="eastAsia" w:ascii="Times New Roman" w:hAnsi="Times New Roman" w:eastAsia="宋体" w:cs="Times New Roman"/>
          <w:color w:val="auto"/>
          <w:sz w:val="24"/>
          <w:szCs w:val="21"/>
          <w:u w:val="single"/>
          <w:lang w:val="en-US"/>
        </w:rPr>
        <w:fldChar w:fldCharType="end"/>
      </w:r>
    </w:p>
    <w:p w14:paraId="585FC61D">
      <w:pPr>
        <w:pStyle w:val="214"/>
        <w:spacing w:line="360" w:lineRule="auto"/>
        <w:ind w:firstLine="480"/>
        <w:rPr>
          <w:rFonts w:ascii="Times New Roman" w:hAnsi="Times New Roman" w:eastAsia="宋体" w:cs="宋体"/>
          <w:color w:val="auto"/>
          <w:sz w:val="24"/>
          <w:szCs w:val="24"/>
        </w:rPr>
      </w:pPr>
      <w:r>
        <w:rPr>
          <w:rFonts w:hint="eastAsia" w:ascii="Times New Roman" w:hAnsi="Times New Roman" w:eastAsia="宋体"/>
          <w:color w:val="auto"/>
          <w:sz w:val="24"/>
          <w:lang w:val="en-US"/>
        </w:rPr>
        <w:t>5</w:t>
      </w:r>
      <w:r>
        <w:rPr>
          <w:rFonts w:hint="eastAsia" w:ascii="Times New Roman" w:hAnsi="Times New Roman" w:eastAsia="宋体"/>
          <w:color w:val="auto"/>
          <w:sz w:val="24"/>
        </w:rPr>
        <w:t>.现场勘察及答疑：本项目不组织集中勘察及答疑，供应商如对采购需求有疑问，请咨询采购单位联系人。</w:t>
      </w:r>
    </w:p>
    <w:p w14:paraId="4A635C08">
      <w:pPr>
        <w:keepNext/>
        <w:keepLines/>
        <w:spacing w:line="360" w:lineRule="auto"/>
        <w:ind w:firstLine="498"/>
        <w:outlineLvl w:val="2"/>
        <w:rPr>
          <w:rFonts w:ascii="Times New Roman" w:hAnsi="Times New Roman"/>
          <w:b/>
          <w:bCs/>
          <w:color w:val="auto"/>
          <w:sz w:val="32"/>
          <w:szCs w:val="32"/>
        </w:rPr>
      </w:pPr>
      <w:bookmarkStart w:id="42" w:name="_Toc28359008"/>
      <w:bookmarkStart w:id="43" w:name="_Toc35393796"/>
      <w:bookmarkStart w:id="44" w:name="_Toc38985269"/>
      <w:bookmarkStart w:id="45" w:name="_Toc28359085"/>
      <w:bookmarkStart w:id="46" w:name="_Toc35393627"/>
      <w:r>
        <w:rPr>
          <w:rFonts w:hint="eastAsia" w:ascii="Times New Roman" w:hAnsi="Times New Roman"/>
          <w:b/>
          <w:bCs/>
          <w:color w:val="auto"/>
          <w:sz w:val="32"/>
          <w:szCs w:val="32"/>
        </w:rPr>
        <w:t>八、本次磋商联系方式</w:t>
      </w:r>
      <w:bookmarkEnd w:id="42"/>
      <w:bookmarkEnd w:id="43"/>
      <w:bookmarkEnd w:id="44"/>
      <w:bookmarkEnd w:id="45"/>
      <w:bookmarkEnd w:id="46"/>
    </w:p>
    <w:p w14:paraId="476BD3B9">
      <w:pPr>
        <w:widowControl/>
        <w:spacing w:line="360" w:lineRule="auto"/>
        <w:ind w:firstLine="480"/>
        <w:jc w:val="left"/>
        <w:rPr>
          <w:rFonts w:ascii="Times New Roman" w:hAnsi="Times New Roman" w:cs="宋体"/>
          <w:color w:val="auto"/>
          <w:sz w:val="24"/>
          <w:szCs w:val="24"/>
        </w:rPr>
      </w:pPr>
      <w:r>
        <w:rPr>
          <w:rFonts w:hint="eastAsia" w:ascii="Times New Roman" w:hAnsi="Times New Roman" w:cs="宋体"/>
          <w:color w:val="auto"/>
          <w:sz w:val="24"/>
          <w:szCs w:val="24"/>
        </w:rPr>
        <w:t>1.采购人信息</w:t>
      </w:r>
    </w:p>
    <w:p w14:paraId="03EB67D6">
      <w:pPr>
        <w:widowControl/>
        <w:spacing w:line="360" w:lineRule="auto"/>
        <w:ind w:firstLine="480"/>
        <w:jc w:val="lef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名称：</w:t>
      </w:r>
      <w:r>
        <w:rPr>
          <w:rFonts w:hint="eastAsia" w:ascii="Times New Roman" w:hAnsi="Times New Roman" w:cs="宋体"/>
          <w:color w:val="auto"/>
          <w:sz w:val="24"/>
          <w:szCs w:val="24"/>
          <w:lang w:eastAsia="zh-CN"/>
        </w:rPr>
        <w:t>泗洪县城市管理局</w:t>
      </w:r>
    </w:p>
    <w:p w14:paraId="088E117F">
      <w:pPr>
        <w:widowControl/>
        <w:spacing w:line="360" w:lineRule="auto"/>
        <w:ind w:firstLine="480"/>
        <w:jc w:val="left"/>
        <w:rPr>
          <w:rFonts w:ascii="Times New Roman" w:hAnsi="Times New Roman" w:cs="宋体"/>
          <w:color w:val="auto"/>
          <w:sz w:val="24"/>
          <w:szCs w:val="24"/>
        </w:rPr>
      </w:pPr>
      <w:r>
        <w:rPr>
          <w:rFonts w:hint="eastAsia" w:ascii="Times New Roman" w:hAnsi="Times New Roman" w:cs="宋体"/>
          <w:color w:val="auto"/>
          <w:sz w:val="24"/>
          <w:szCs w:val="24"/>
        </w:rPr>
        <w:t>地址：</w:t>
      </w:r>
      <w:r>
        <w:rPr>
          <w:rFonts w:hint="eastAsia" w:ascii="Times New Roman" w:hAnsi="Times New Roman"/>
          <w:color w:val="auto"/>
          <w:sz w:val="24"/>
          <w:szCs w:val="24"/>
          <w:lang w:eastAsia="zh-CN"/>
        </w:rPr>
        <w:t>江苏省宿迁市泗洪县青阳街道体育南路34号</w:t>
      </w:r>
      <w:r>
        <w:rPr>
          <w:rFonts w:hint="eastAsia" w:ascii="Times New Roman" w:hAnsi="Times New Roman" w:cs="宋体"/>
          <w:color w:val="auto"/>
          <w:sz w:val="24"/>
          <w:szCs w:val="24"/>
        </w:rPr>
        <w:t xml:space="preserve"> </w:t>
      </w:r>
    </w:p>
    <w:p w14:paraId="2F27A43E">
      <w:pPr>
        <w:widowControl/>
        <w:spacing w:line="360" w:lineRule="auto"/>
        <w:ind w:firstLine="480"/>
        <w:jc w:val="lef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联系人：</w:t>
      </w:r>
      <w:r>
        <w:rPr>
          <w:rFonts w:hint="eastAsia" w:ascii="Times New Roman" w:hAnsi="Times New Roman" w:cs="宋体"/>
          <w:color w:val="auto"/>
          <w:sz w:val="24"/>
          <w:szCs w:val="24"/>
          <w:lang w:eastAsia="zh-CN"/>
        </w:rPr>
        <w:t xml:space="preserve">王军波  </w:t>
      </w:r>
    </w:p>
    <w:p w14:paraId="68F2E68B">
      <w:pPr>
        <w:widowControl/>
        <w:spacing w:line="360" w:lineRule="auto"/>
        <w:ind w:firstLine="480"/>
        <w:jc w:val="lef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联系方式：</w:t>
      </w:r>
      <w:r>
        <w:rPr>
          <w:rFonts w:hint="eastAsia" w:ascii="Times New Roman" w:hAnsi="Times New Roman" w:cs="宋体"/>
          <w:color w:val="auto"/>
          <w:sz w:val="24"/>
          <w:szCs w:val="24"/>
          <w:lang w:eastAsia="zh-CN"/>
        </w:rPr>
        <w:t>15951098054</w:t>
      </w:r>
    </w:p>
    <w:p w14:paraId="46FBAC99">
      <w:pPr>
        <w:widowControl/>
        <w:spacing w:line="360" w:lineRule="auto"/>
        <w:ind w:firstLine="480"/>
        <w:jc w:val="left"/>
        <w:rPr>
          <w:rFonts w:ascii="Times New Roman" w:hAnsi="Times New Roman"/>
          <w:color w:val="auto"/>
          <w:sz w:val="24"/>
          <w:szCs w:val="24"/>
        </w:rPr>
      </w:pPr>
      <w:bookmarkStart w:id="47" w:name="_Toc28359087"/>
      <w:bookmarkStart w:id="48" w:name="_Toc28359010"/>
      <w:r>
        <w:rPr>
          <w:rFonts w:ascii="Times New Roman" w:hAnsi="Times New Roman"/>
          <w:color w:val="auto"/>
          <w:sz w:val="24"/>
          <w:szCs w:val="24"/>
        </w:rPr>
        <w:t>2.采购代理机构信息</w:t>
      </w:r>
    </w:p>
    <w:p w14:paraId="317B6251">
      <w:pPr>
        <w:widowControl/>
        <w:spacing w:line="360" w:lineRule="auto"/>
        <w:ind w:firstLine="480"/>
        <w:jc w:val="left"/>
        <w:rPr>
          <w:rFonts w:hint="eastAsia" w:ascii="Times New Roman" w:hAnsi="Times New Roman" w:eastAsia="宋体" w:cs="宋体"/>
          <w:color w:val="auto"/>
          <w:sz w:val="24"/>
          <w:szCs w:val="24"/>
          <w:lang w:eastAsia="zh-CN"/>
        </w:rPr>
      </w:pPr>
      <w:r>
        <w:rPr>
          <w:rFonts w:ascii="Times New Roman" w:hAnsi="Times New Roman" w:cs="宋体"/>
          <w:color w:val="auto"/>
          <w:sz w:val="24"/>
          <w:szCs w:val="24"/>
        </w:rPr>
        <w:t>名 称：</w:t>
      </w:r>
      <w:r>
        <w:rPr>
          <w:rFonts w:hint="eastAsia" w:ascii="Times New Roman" w:hAnsi="Times New Roman" w:cs="宋体"/>
          <w:color w:val="auto"/>
          <w:sz w:val="24"/>
          <w:szCs w:val="24"/>
          <w:lang w:eastAsia="zh-CN"/>
        </w:rPr>
        <w:t>江苏明博项目管理有限公司（</w:t>
      </w:r>
      <w:r>
        <w:rPr>
          <w:rFonts w:hint="eastAsia" w:ascii="Times New Roman" w:hAnsi="Times New Roman" w:cs="宋体"/>
          <w:color w:val="auto"/>
          <w:sz w:val="24"/>
          <w:szCs w:val="24"/>
          <w:lang w:val="en-US" w:eastAsia="zh-CN"/>
        </w:rPr>
        <w:t>宿迁</w:t>
      </w:r>
      <w:r>
        <w:rPr>
          <w:rFonts w:hint="eastAsia" w:ascii="Times New Roman" w:hAnsi="Times New Roman" w:cs="宋体"/>
          <w:color w:val="auto"/>
          <w:sz w:val="24"/>
          <w:szCs w:val="24"/>
          <w:lang w:eastAsia="zh-CN"/>
        </w:rPr>
        <w:t>）</w:t>
      </w:r>
    </w:p>
    <w:p w14:paraId="1413A0D3">
      <w:pPr>
        <w:widowControl/>
        <w:spacing w:line="360" w:lineRule="auto"/>
        <w:ind w:firstLine="480"/>
        <w:jc w:val="left"/>
        <w:rPr>
          <w:rFonts w:hint="eastAsia" w:ascii="Times New Roman" w:hAnsi="Times New Roman" w:eastAsia="宋体" w:cs="宋体"/>
          <w:color w:val="auto"/>
          <w:sz w:val="24"/>
          <w:szCs w:val="24"/>
          <w:lang w:eastAsia="zh-CN"/>
        </w:rPr>
      </w:pPr>
      <w:r>
        <w:rPr>
          <w:rFonts w:ascii="Times New Roman" w:hAnsi="Times New Roman" w:cs="宋体"/>
          <w:color w:val="auto"/>
          <w:sz w:val="24"/>
          <w:szCs w:val="24"/>
        </w:rPr>
        <w:t>地　址：</w:t>
      </w:r>
      <w:r>
        <w:rPr>
          <w:rFonts w:hint="eastAsia" w:ascii="Times New Roman" w:hAnsi="Times New Roman" w:cs="宋体"/>
          <w:color w:val="auto"/>
          <w:sz w:val="24"/>
          <w:szCs w:val="24"/>
          <w:lang w:eastAsia="zh-CN"/>
        </w:rPr>
        <w:t>泗洪县泰山南路7-23号</w:t>
      </w:r>
    </w:p>
    <w:p w14:paraId="3B74BD58">
      <w:pPr>
        <w:widowControl/>
        <w:spacing w:line="360" w:lineRule="auto"/>
        <w:ind w:firstLine="480"/>
        <w:jc w:val="left"/>
        <w:rPr>
          <w:rFonts w:hint="eastAsia" w:ascii="Times New Roman" w:hAnsi="Times New Roman" w:eastAsia="宋体" w:cs="宋体"/>
          <w:color w:val="auto"/>
          <w:sz w:val="24"/>
          <w:szCs w:val="24"/>
          <w:lang w:eastAsia="zh-CN"/>
        </w:rPr>
      </w:pPr>
      <w:r>
        <w:rPr>
          <w:rFonts w:ascii="Times New Roman" w:hAnsi="Times New Roman" w:cs="宋体"/>
          <w:color w:val="auto"/>
          <w:sz w:val="24"/>
          <w:szCs w:val="24"/>
        </w:rPr>
        <w:t>联系人：</w:t>
      </w:r>
      <w:r>
        <w:rPr>
          <w:rFonts w:hint="eastAsia" w:ascii="Times New Roman" w:hAnsi="Times New Roman" w:cs="宋体"/>
          <w:color w:val="auto"/>
          <w:sz w:val="24"/>
          <w:szCs w:val="24"/>
          <w:lang w:eastAsia="zh-CN"/>
        </w:rPr>
        <w:t>石明枫</w:t>
      </w:r>
    </w:p>
    <w:p w14:paraId="628EB199">
      <w:pPr>
        <w:widowControl/>
        <w:spacing w:line="360" w:lineRule="auto"/>
        <w:ind w:firstLine="480"/>
        <w:jc w:val="left"/>
        <w:rPr>
          <w:rFonts w:hint="eastAsia" w:ascii="Times New Roman" w:hAnsi="Times New Roman" w:eastAsia="宋体" w:cs="宋体"/>
          <w:color w:val="auto"/>
          <w:sz w:val="24"/>
          <w:szCs w:val="24"/>
          <w:lang w:eastAsia="zh-CN"/>
        </w:rPr>
      </w:pPr>
      <w:r>
        <w:rPr>
          <w:rFonts w:ascii="Times New Roman" w:hAnsi="Times New Roman" w:cs="宋体"/>
          <w:color w:val="auto"/>
          <w:sz w:val="24"/>
          <w:szCs w:val="24"/>
        </w:rPr>
        <w:t>联系方式：</w:t>
      </w:r>
      <w:r>
        <w:rPr>
          <w:rFonts w:hint="eastAsia" w:ascii="Times New Roman" w:hAnsi="Times New Roman" w:cs="宋体"/>
          <w:color w:val="auto"/>
          <w:sz w:val="24"/>
          <w:szCs w:val="24"/>
          <w:lang w:eastAsia="zh-CN"/>
        </w:rPr>
        <w:t>15651397897</w:t>
      </w:r>
    </w:p>
    <w:p w14:paraId="19547D72">
      <w:pPr>
        <w:widowControl/>
        <w:spacing w:line="360" w:lineRule="auto"/>
        <w:ind w:firstLine="480"/>
        <w:jc w:val="left"/>
        <w:rPr>
          <w:rFonts w:ascii="Times New Roman" w:hAnsi="Times New Roman" w:cs="宋体"/>
          <w:color w:val="auto"/>
          <w:sz w:val="24"/>
          <w:szCs w:val="24"/>
        </w:rPr>
      </w:pPr>
      <w:r>
        <w:rPr>
          <w:rFonts w:ascii="Times New Roman" w:hAnsi="Times New Roman" w:cs="宋体"/>
          <w:color w:val="auto"/>
          <w:sz w:val="24"/>
          <w:szCs w:val="24"/>
        </w:rPr>
        <w:t>3.项目联系方式</w:t>
      </w:r>
    </w:p>
    <w:p w14:paraId="288C2332">
      <w:pPr>
        <w:widowControl/>
        <w:spacing w:line="360" w:lineRule="auto"/>
        <w:ind w:firstLine="480"/>
        <w:jc w:val="left"/>
        <w:rPr>
          <w:rFonts w:hint="eastAsia" w:ascii="Times New Roman" w:hAnsi="Times New Roman" w:eastAsia="宋体" w:cs="宋体"/>
          <w:color w:val="auto"/>
          <w:sz w:val="24"/>
          <w:szCs w:val="24"/>
          <w:lang w:eastAsia="zh-CN"/>
        </w:rPr>
      </w:pPr>
      <w:r>
        <w:rPr>
          <w:rFonts w:ascii="Times New Roman" w:hAnsi="Times New Roman" w:cs="宋体"/>
          <w:color w:val="auto"/>
          <w:sz w:val="24"/>
          <w:szCs w:val="24"/>
        </w:rPr>
        <w:t>项目联系人：</w:t>
      </w:r>
      <w:r>
        <w:rPr>
          <w:rFonts w:hint="eastAsia" w:ascii="Times New Roman" w:hAnsi="Times New Roman" w:cs="宋体"/>
          <w:color w:val="auto"/>
          <w:sz w:val="24"/>
          <w:szCs w:val="24"/>
          <w:lang w:eastAsia="zh-CN"/>
        </w:rPr>
        <w:t>石明枫</w:t>
      </w:r>
    </w:p>
    <w:p w14:paraId="7CFA8DC5">
      <w:pPr>
        <w:widowControl/>
        <w:spacing w:line="360" w:lineRule="auto"/>
        <w:ind w:firstLine="480"/>
        <w:jc w:val="lef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联系方式：</w:t>
      </w:r>
      <w:bookmarkEnd w:id="47"/>
      <w:bookmarkEnd w:id="48"/>
      <w:r>
        <w:rPr>
          <w:rFonts w:hint="eastAsia" w:ascii="Times New Roman" w:hAnsi="Times New Roman" w:cs="宋体"/>
          <w:color w:val="auto"/>
          <w:sz w:val="24"/>
          <w:szCs w:val="24"/>
          <w:lang w:eastAsia="zh-CN"/>
        </w:rPr>
        <w:t>15651397897</w:t>
      </w:r>
    </w:p>
    <w:p w14:paraId="50571081">
      <w:pPr>
        <w:keepNext/>
        <w:keepLines/>
        <w:spacing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九、其他</w:t>
      </w:r>
    </w:p>
    <w:p w14:paraId="082986D9">
      <w:pPr>
        <w:tabs>
          <w:tab w:val="left" w:pos="900"/>
        </w:tabs>
        <w:spacing w:line="360" w:lineRule="auto"/>
        <w:ind w:firstLine="480"/>
        <w:rPr>
          <w:rFonts w:ascii="Times New Roman" w:hAnsi="Times New Roman"/>
          <w:bCs/>
          <w:color w:val="auto"/>
          <w:sz w:val="24"/>
          <w:szCs w:val="24"/>
        </w:rPr>
      </w:pPr>
      <w:r>
        <w:rPr>
          <w:rFonts w:ascii="Times New Roman" w:hAnsi="Times New Roman"/>
          <w:bCs/>
          <w:color w:val="auto"/>
          <w:sz w:val="24"/>
          <w:szCs w:val="24"/>
        </w:rPr>
        <w:t>1</w:t>
      </w:r>
      <w:r>
        <w:rPr>
          <w:rFonts w:hint="eastAsia" w:ascii="Times New Roman" w:hAnsi="Times New Roman"/>
          <w:bCs/>
          <w:color w:val="auto"/>
          <w:sz w:val="24"/>
          <w:szCs w:val="24"/>
        </w:rPr>
        <w:t>.有关本次采购的事项若存在变动或修改，敬请及时关注“宿迁市政府采购网”等平台更正公告。</w:t>
      </w:r>
    </w:p>
    <w:p w14:paraId="53CAA42B">
      <w:pPr>
        <w:tabs>
          <w:tab w:val="left" w:pos="900"/>
        </w:tabs>
        <w:spacing w:line="360" w:lineRule="auto"/>
        <w:ind w:firstLine="480"/>
        <w:rPr>
          <w:rFonts w:ascii="Times New Roman" w:hAnsi="Times New Roman"/>
          <w:color w:val="auto"/>
          <w:sz w:val="24"/>
          <w:szCs w:val="24"/>
        </w:rPr>
      </w:pPr>
      <w:r>
        <w:rPr>
          <w:rFonts w:hint="eastAsia" w:ascii="Times New Roman" w:hAnsi="Times New Roman"/>
          <w:bCs/>
          <w:color w:val="auto"/>
          <w:sz w:val="24"/>
          <w:szCs w:val="24"/>
        </w:rPr>
        <w:t>2.本次磋商不收取磋商保证金。</w:t>
      </w:r>
    </w:p>
    <w:p w14:paraId="62C5036D">
      <w:pPr>
        <w:keepNext/>
        <w:keepLines/>
        <w:spacing w:before="260" w:after="260" w:line="415" w:lineRule="auto"/>
        <w:jc w:val="center"/>
        <w:outlineLvl w:val="0"/>
        <w:rPr>
          <w:rFonts w:ascii="Times New Roman" w:hAnsi="Times New Roman" w:eastAsia="黑体" w:cs="Arial"/>
          <w:b/>
          <w:bCs/>
          <w:color w:val="auto"/>
          <w:sz w:val="44"/>
          <w:szCs w:val="44"/>
        </w:rPr>
      </w:pPr>
      <w:bookmarkStart w:id="49" w:name="_Toc120614211"/>
      <w:r>
        <w:rPr>
          <w:rFonts w:hint="eastAsia" w:ascii="Times New Roman" w:hAnsi="Times New Roman" w:eastAsia="黑体" w:cs="Arial"/>
          <w:b/>
          <w:bCs/>
          <w:color w:val="auto"/>
          <w:sz w:val="44"/>
          <w:szCs w:val="44"/>
        </w:rPr>
        <w:br w:type="page" w:clear="all"/>
      </w:r>
      <w:bookmarkStart w:id="50" w:name="_Toc22169"/>
      <w:r>
        <w:rPr>
          <w:rFonts w:hint="eastAsia" w:ascii="Times New Roman" w:hAnsi="Times New Roman" w:eastAsia="黑体" w:cs="Arial"/>
          <w:b/>
          <w:bCs/>
          <w:color w:val="auto"/>
          <w:sz w:val="44"/>
          <w:szCs w:val="44"/>
        </w:rPr>
        <w:t xml:space="preserve">第二章  </w:t>
      </w:r>
      <w:bookmarkEnd w:id="5"/>
      <w:bookmarkEnd w:id="6"/>
      <w:bookmarkEnd w:id="7"/>
      <w:bookmarkEnd w:id="8"/>
      <w:bookmarkEnd w:id="9"/>
      <w:bookmarkEnd w:id="49"/>
      <w:r>
        <w:rPr>
          <w:rFonts w:hint="eastAsia" w:ascii="Times New Roman" w:hAnsi="Times New Roman" w:eastAsia="黑体" w:cs="Arial"/>
          <w:b/>
          <w:bCs/>
          <w:color w:val="auto"/>
          <w:sz w:val="44"/>
          <w:szCs w:val="44"/>
        </w:rPr>
        <w:t>供应商须知</w:t>
      </w:r>
      <w:bookmarkEnd w:id="50"/>
    </w:p>
    <w:p w14:paraId="055D1602">
      <w:pPr>
        <w:pStyle w:val="5"/>
        <w:spacing w:before="0" w:after="120" w:line="520" w:lineRule="exact"/>
        <w:rPr>
          <w:rFonts w:eastAsia="宋体"/>
          <w:bCs/>
          <w:color w:val="auto"/>
        </w:rPr>
      </w:pPr>
      <w:bookmarkStart w:id="51" w:name="_Toc4529"/>
      <w:bookmarkStart w:id="52" w:name="_Toc513029203"/>
      <w:bookmarkStart w:id="53" w:name="_Toc20823275"/>
      <w:bookmarkStart w:id="54" w:name="_Toc16938519"/>
      <w:bookmarkStart w:id="55" w:name="_Toc120614214"/>
      <w:r>
        <w:rPr>
          <w:rFonts w:hint="eastAsia" w:eastAsia="宋体"/>
          <w:bCs/>
          <w:color w:val="auto"/>
        </w:rPr>
        <w:t>投标人须知前附表：</w:t>
      </w:r>
      <w:bookmarkEnd w:id="51"/>
    </w:p>
    <w:tbl>
      <w:tblPr>
        <w:tblStyle w:val="40"/>
        <w:tblpPr w:leftFromText="180" w:rightFromText="180" w:vertAnchor="text" w:horzAnchor="page" w:tblpX="1530" w:tblpY="22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694"/>
        <w:gridCol w:w="6912"/>
      </w:tblGrid>
      <w:tr w14:paraId="5CE92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3BEADC1A">
            <w:pPr>
              <w:jc w:val="center"/>
              <w:rPr>
                <w:rFonts w:ascii="仿宋_GB2312" w:hAnsi="仿宋"/>
                <w:b/>
                <w:color w:val="auto"/>
                <w:sz w:val="24"/>
                <w:szCs w:val="24"/>
              </w:rPr>
            </w:pPr>
            <w:bookmarkStart w:id="56" w:name="_Toc29262"/>
            <w:bookmarkStart w:id="57" w:name="_Toc81575191"/>
            <w:bookmarkStart w:id="58" w:name="_Toc81575154"/>
            <w:r>
              <w:rPr>
                <w:rFonts w:hint="eastAsia" w:ascii="仿宋_GB2312" w:hAnsi="仿宋"/>
                <w:b/>
                <w:color w:val="auto"/>
                <w:sz w:val="24"/>
                <w:szCs w:val="24"/>
              </w:rPr>
              <w:t>序号</w:t>
            </w:r>
          </w:p>
        </w:tc>
        <w:tc>
          <w:tcPr>
            <w:tcW w:w="1694" w:type="dxa"/>
            <w:tcBorders>
              <w:top w:val="single" w:color="auto" w:sz="4" w:space="0"/>
              <w:left w:val="nil"/>
              <w:bottom w:val="single" w:color="auto" w:sz="4" w:space="0"/>
              <w:right w:val="single" w:color="auto" w:sz="4" w:space="0"/>
            </w:tcBorders>
            <w:noWrap w:val="0"/>
            <w:vAlign w:val="center"/>
          </w:tcPr>
          <w:p w14:paraId="7FEEF23F">
            <w:pPr>
              <w:jc w:val="center"/>
              <w:rPr>
                <w:rFonts w:ascii="仿宋_GB2312" w:hAnsi="仿宋"/>
                <w:b/>
                <w:color w:val="auto"/>
                <w:sz w:val="24"/>
                <w:szCs w:val="24"/>
              </w:rPr>
            </w:pPr>
            <w:r>
              <w:rPr>
                <w:rFonts w:hint="eastAsia" w:ascii="仿宋_GB2312" w:hAnsi="仿宋"/>
                <w:b/>
                <w:color w:val="auto"/>
                <w:sz w:val="24"/>
                <w:szCs w:val="24"/>
              </w:rPr>
              <w:t>内容</w:t>
            </w:r>
          </w:p>
        </w:tc>
        <w:tc>
          <w:tcPr>
            <w:tcW w:w="6912" w:type="dxa"/>
            <w:tcBorders>
              <w:top w:val="single" w:color="auto" w:sz="4" w:space="0"/>
              <w:left w:val="nil"/>
              <w:bottom w:val="single" w:color="auto" w:sz="4" w:space="0"/>
              <w:right w:val="single" w:color="auto" w:sz="4" w:space="0"/>
            </w:tcBorders>
            <w:noWrap w:val="0"/>
            <w:vAlign w:val="center"/>
          </w:tcPr>
          <w:p w14:paraId="43349697">
            <w:pPr>
              <w:jc w:val="center"/>
              <w:rPr>
                <w:rFonts w:ascii="仿宋_GB2312" w:hAnsi="仿宋"/>
                <w:b/>
                <w:color w:val="auto"/>
                <w:sz w:val="24"/>
                <w:szCs w:val="24"/>
              </w:rPr>
            </w:pPr>
            <w:r>
              <w:rPr>
                <w:rFonts w:hint="eastAsia" w:ascii="仿宋_GB2312" w:hAnsi="仿宋"/>
                <w:b/>
                <w:color w:val="auto"/>
                <w:sz w:val="24"/>
                <w:szCs w:val="24"/>
              </w:rPr>
              <w:t>说明及要求</w:t>
            </w:r>
          </w:p>
        </w:tc>
      </w:tr>
      <w:tr w14:paraId="2CEF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2C765506">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1</w:t>
            </w:r>
          </w:p>
        </w:tc>
        <w:tc>
          <w:tcPr>
            <w:tcW w:w="1694" w:type="dxa"/>
            <w:tcBorders>
              <w:top w:val="single" w:color="auto" w:sz="4" w:space="0"/>
              <w:left w:val="nil"/>
              <w:bottom w:val="single" w:color="auto" w:sz="4" w:space="0"/>
              <w:right w:val="single" w:color="auto" w:sz="4" w:space="0"/>
            </w:tcBorders>
            <w:noWrap w:val="0"/>
            <w:vAlign w:val="center"/>
          </w:tcPr>
          <w:p w14:paraId="1D457995">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项目属性</w:t>
            </w:r>
          </w:p>
        </w:tc>
        <w:tc>
          <w:tcPr>
            <w:tcW w:w="6912" w:type="dxa"/>
            <w:tcBorders>
              <w:top w:val="single" w:color="auto" w:sz="4" w:space="0"/>
              <w:left w:val="nil"/>
              <w:bottom w:val="single" w:color="auto" w:sz="4" w:space="0"/>
              <w:right w:val="single" w:color="auto" w:sz="4" w:space="0"/>
            </w:tcBorders>
            <w:noWrap w:val="0"/>
            <w:vAlign w:val="center"/>
          </w:tcPr>
          <w:p w14:paraId="113BA2F9">
            <w:pPr>
              <w:spacing w:line="400" w:lineRule="exact"/>
              <w:jc w:val="left"/>
              <w:rPr>
                <w:rFonts w:ascii="Times New Roman" w:hAnsi="Times New Roman"/>
                <w:color w:val="auto"/>
                <w:sz w:val="24"/>
                <w:szCs w:val="24"/>
              </w:rPr>
            </w:pPr>
            <w:r>
              <w:rPr>
                <w:rFonts w:ascii="Times New Roman" w:hAnsi="Times New Roman"/>
                <w:color w:val="auto"/>
                <w:sz w:val="24"/>
                <w:szCs w:val="24"/>
              </w:rPr>
              <w:t>本项目</w:t>
            </w:r>
            <w:bookmarkStart w:id="59" w:name="EB9a5853ee094f4f0ea6ec3169265f6f2c"/>
            <w:r>
              <w:rPr>
                <w:rFonts w:ascii="Times New Roman" w:hAnsi="Times New Roman"/>
                <w:color w:val="auto"/>
                <w:sz w:val="24"/>
                <w:szCs w:val="24"/>
              </w:rPr>
              <w:t>属性按以下第</w:t>
            </w:r>
            <w:bookmarkEnd w:id="59"/>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2</w:t>
            </w:r>
            <w:r>
              <w:rPr>
                <w:rFonts w:ascii="Times New Roman" w:hAnsi="Times New Roman"/>
                <w:color w:val="auto"/>
                <w:sz w:val="24"/>
                <w:szCs w:val="24"/>
                <w:u w:val="single"/>
              </w:rPr>
              <w:t xml:space="preserve"> </w:t>
            </w:r>
            <w:r>
              <w:rPr>
                <w:rFonts w:ascii="Times New Roman" w:hAnsi="Times New Roman"/>
                <w:color w:val="auto"/>
                <w:sz w:val="24"/>
                <w:szCs w:val="24"/>
              </w:rPr>
              <w:t>种确定：</w:t>
            </w:r>
          </w:p>
          <w:p w14:paraId="11B40EDC">
            <w:pPr>
              <w:spacing w:line="400" w:lineRule="exact"/>
              <w:jc w:val="left"/>
              <w:rPr>
                <w:rFonts w:ascii="Times New Roman" w:hAnsi="Times New Roman"/>
                <w:color w:val="auto"/>
                <w:sz w:val="24"/>
                <w:szCs w:val="24"/>
              </w:rPr>
            </w:pPr>
            <w:r>
              <w:rPr>
                <w:rFonts w:ascii="Times New Roman" w:hAnsi="Times New Roman"/>
                <w:color w:val="auto"/>
                <w:sz w:val="24"/>
                <w:szCs w:val="24"/>
              </w:rPr>
              <w:t>1.货物</w:t>
            </w:r>
            <w:bookmarkStart w:id="60" w:name="EBd5c6c026f9674c39b21b31ecd0c1e7fa"/>
            <w:r>
              <w:rPr>
                <w:rFonts w:ascii="Times New Roman" w:hAnsi="Times New Roman"/>
                <w:color w:val="auto"/>
                <w:sz w:val="24"/>
                <w:szCs w:val="24"/>
              </w:rPr>
              <w:t>采购</w:t>
            </w:r>
            <w:r>
              <w:rPr>
                <w:rFonts w:hint="eastAsia" w:ascii="Times New Roman" w:hAnsi="Times New Roman"/>
                <w:color w:val="auto"/>
                <w:sz w:val="24"/>
                <w:szCs w:val="24"/>
                <w:lang w:eastAsia="zh-CN"/>
              </w:rPr>
              <w:t>；</w:t>
            </w:r>
            <w:r>
              <w:rPr>
                <w:rFonts w:ascii="Times New Roman" w:hAnsi="Times New Roman"/>
                <w:color w:val="auto"/>
                <w:sz w:val="24"/>
                <w:szCs w:val="24"/>
              </w:rPr>
              <w:t>2.</w:t>
            </w:r>
            <w:bookmarkEnd w:id="60"/>
            <w:r>
              <w:rPr>
                <w:rFonts w:ascii="Times New Roman" w:hAnsi="Times New Roman"/>
                <w:color w:val="auto"/>
                <w:sz w:val="24"/>
                <w:szCs w:val="24"/>
              </w:rPr>
              <w:t>服务</w:t>
            </w:r>
            <w:bookmarkStart w:id="61" w:name="EBf7d2a4f44ecb4166a93ea852e73be69f"/>
            <w:r>
              <w:rPr>
                <w:rFonts w:ascii="Times New Roman" w:hAnsi="Times New Roman"/>
                <w:color w:val="auto"/>
                <w:sz w:val="24"/>
                <w:szCs w:val="24"/>
              </w:rPr>
              <w:t>采购</w:t>
            </w:r>
            <w:r>
              <w:rPr>
                <w:rFonts w:hint="eastAsia" w:ascii="Times New Roman" w:hAnsi="Times New Roman"/>
                <w:color w:val="auto"/>
                <w:sz w:val="24"/>
                <w:szCs w:val="24"/>
                <w:lang w:eastAsia="zh-CN"/>
              </w:rPr>
              <w:t>；</w:t>
            </w:r>
            <w:r>
              <w:rPr>
                <w:rFonts w:ascii="Times New Roman" w:hAnsi="Times New Roman"/>
                <w:color w:val="auto"/>
                <w:sz w:val="24"/>
                <w:szCs w:val="24"/>
              </w:rPr>
              <w:t>3.</w:t>
            </w:r>
            <w:bookmarkEnd w:id="61"/>
            <w:r>
              <w:rPr>
                <w:rFonts w:ascii="Times New Roman" w:hAnsi="Times New Roman"/>
                <w:color w:val="auto"/>
                <w:sz w:val="24"/>
                <w:szCs w:val="24"/>
              </w:rPr>
              <w:t>工程采购。</w:t>
            </w:r>
          </w:p>
        </w:tc>
      </w:tr>
      <w:tr w14:paraId="6D3F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76CB0E3">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2</w:t>
            </w:r>
          </w:p>
        </w:tc>
        <w:tc>
          <w:tcPr>
            <w:tcW w:w="1694" w:type="dxa"/>
            <w:tcBorders>
              <w:top w:val="single" w:color="auto" w:sz="4" w:space="0"/>
              <w:left w:val="nil"/>
              <w:bottom w:val="single" w:color="auto" w:sz="4" w:space="0"/>
              <w:right w:val="single" w:color="auto" w:sz="4" w:space="0"/>
            </w:tcBorders>
            <w:noWrap w:val="0"/>
            <w:vAlign w:val="center"/>
          </w:tcPr>
          <w:p w14:paraId="609AC936">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投标有效期</w:t>
            </w:r>
          </w:p>
        </w:tc>
        <w:tc>
          <w:tcPr>
            <w:tcW w:w="6912" w:type="dxa"/>
            <w:tcBorders>
              <w:top w:val="single" w:color="auto" w:sz="4" w:space="0"/>
              <w:left w:val="nil"/>
              <w:bottom w:val="single" w:color="auto" w:sz="4" w:space="0"/>
              <w:right w:val="single" w:color="auto" w:sz="4" w:space="0"/>
            </w:tcBorders>
            <w:noWrap w:val="0"/>
            <w:vAlign w:val="center"/>
          </w:tcPr>
          <w:p w14:paraId="0B04852A">
            <w:pPr>
              <w:spacing w:line="400" w:lineRule="exact"/>
              <w:jc w:val="left"/>
              <w:rPr>
                <w:rFonts w:ascii="Times New Roman" w:hAnsi="Times New Roman"/>
                <w:color w:val="auto"/>
                <w:sz w:val="24"/>
                <w:szCs w:val="24"/>
              </w:rPr>
            </w:pPr>
            <w:bookmarkStart w:id="62" w:name="EBd40b5fb42f2944a3b45e579ce3941f02"/>
            <w:bookmarkEnd w:id="62"/>
            <w:r>
              <w:rPr>
                <w:rFonts w:ascii="Times New Roman" w:hAnsi="Times New Roman"/>
                <w:color w:val="auto"/>
                <w:sz w:val="24"/>
                <w:szCs w:val="24"/>
              </w:rPr>
              <w:t>60日（从提交投标文件截止之日起算）</w:t>
            </w:r>
          </w:p>
        </w:tc>
      </w:tr>
      <w:tr w14:paraId="02F43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59F1990">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3</w:t>
            </w:r>
          </w:p>
        </w:tc>
        <w:tc>
          <w:tcPr>
            <w:tcW w:w="1694" w:type="dxa"/>
            <w:tcBorders>
              <w:top w:val="single" w:color="auto" w:sz="4" w:space="0"/>
              <w:left w:val="nil"/>
              <w:bottom w:val="single" w:color="auto" w:sz="4" w:space="0"/>
              <w:right w:val="single" w:color="auto" w:sz="4" w:space="0"/>
            </w:tcBorders>
            <w:noWrap w:val="0"/>
            <w:vAlign w:val="center"/>
          </w:tcPr>
          <w:p w14:paraId="36BF4913">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投标文件份数</w:t>
            </w:r>
          </w:p>
        </w:tc>
        <w:tc>
          <w:tcPr>
            <w:tcW w:w="6912" w:type="dxa"/>
            <w:tcBorders>
              <w:top w:val="single" w:color="auto" w:sz="4" w:space="0"/>
              <w:left w:val="nil"/>
              <w:bottom w:val="single" w:color="auto" w:sz="4" w:space="0"/>
              <w:right w:val="single" w:color="auto" w:sz="4" w:space="0"/>
            </w:tcBorders>
            <w:noWrap w:val="0"/>
            <w:vAlign w:val="center"/>
          </w:tcPr>
          <w:p w14:paraId="0CDB5FCE">
            <w:pPr>
              <w:spacing w:line="400" w:lineRule="exact"/>
              <w:jc w:val="left"/>
              <w:rPr>
                <w:rFonts w:ascii="Times New Roman" w:hAnsi="Times New Roman"/>
                <w:color w:val="auto"/>
                <w:sz w:val="24"/>
                <w:szCs w:val="24"/>
              </w:rPr>
            </w:pPr>
            <w:r>
              <w:rPr>
                <w:rFonts w:ascii="Times New Roman" w:hAnsi="Times New Roman"/>
                <w:color w:val="auto"/>
                <w:sz w:val="24"/>
                <w:szCs w:val="24"/>
              </w:rPr>
              <w:t>提交加密电子投标文件</w:t>
            </w:r>
            <w:r>
              <w:rPr>
                <w:rFonts w:ascii="Times New Roman" w:hAnsi="Times New Roman"/>
                <w:color w:val="auto"/>
                <w:sz w:val="24"/>
                <w:szCs w:val="24"/>
                <w:u w:val="single"/>
              </w:rPr>
              <w:t xml:space="preserve"> 1 </w:t>
            </w:r>
            <w:r>
              <w:rPr>
                <w:rFonts w:ascii="Times New Roman" w:hAnsi="Times New Roman"/>
                <w:color w:val="auto"/>
                <w:sz w:val="24"/>
                <w:szCs w:val="24"/>
              </w:rPr>
              <w:t>份。</w:t>
            </w:r>
          </w:p>
        </w:tc>
      </w:tr>
      <w:tr w14:paraId="34C5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8A00C63">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4</w:t>
            </w:r>
          </w:p>
        </w:tc>
        <w:tc>
          <w:tcPr>
            <w:tcW w:w="1694" w:type="dxa"/>
            <w:tcBorders>
              <w:top w:val="single" w:color="auto" w:sz="4" w:space="0"/>
              <w:left w:val="nil"/>
              <w:bottom w:val="single" w:color="auto" w:sz="4" w:space="0"/>
              <w:right w:val="single" w:color="auto" w:sz="4" w:space="0"/>
            </w:tcBorders>
            <w:noWrap w:val="0"/>
            <w:vAlign w:val="center"/>
          </w:tcPr>
          <w:p w14:paraId="7D8CE535">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开标</w:t>
            </w:r>
          </w:p>
        </w:tc>
        <w:tc>
          <w:tcPr>
            <w:tcW w:w="6912" w:type="dxa"/>
            <w:tcBorders>
              <w:top w:val="single" w:color="auto" w:sz="4" w:space="0"/>
              <w:left w:val="nil"/>
              <w:bottom w:val="single" w:color="auto" w:sz="4" w:space="0"/>
              <w:right w:val="single" w:color="auto" w:sz="4" w:space="0"/>
            </w:tcBorders>
            <w:noWrap w:val="0"/>
            <w:vAlign w:val="center"/>
          </w:tcPr>
          <w:p w14:paraId="2028761D">
            <w:pPr>
              <w:spacing w:line="400" w:lineRule="exact"/>
              <w:jc w:val="left"/>
              <w:rPr>
                <w:rFonts w:ascii="Times New Roman" w:hAnsi="Times New Roman"/>
                <w:color w:val="auto"/>
                <w:sz w:val="24"/>
                <w:szCs w:val="24"/>
              </w:rPr>
            </w:pPr>
            <w:r>
              <w:rPr>
                <w:rFonts w:hint="eastAsia" w:ascii="宋体" w:hAnsi="宋体" w:cs="宋体"/>
                <w:color w:val="auto"/>
                <w:sz w:val="24"/>
                <w:szCs w:val="24"/>
              </w:rPr>
              <w:t>“苏采云”</w:t>
            </w:r>
            <w:r>
              <w:rPr>
                <w:rFonts w:ascii="Times New Roman" w:hAnsi="Times New Roman"/>
                <w:color w:val="auto"/>
                <w:sz w:val="24"/>
                <w:szCs w:val="24"/>
              </w:rPr>
              <w:t>政府采购交易系统网上开标大厅进行不见面开标。</w:t>
            </w:r>
          </w:p>
        </w:tc>
      </w:tr>
      <w:tr w14:paraId="5CC1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737613AC">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5</w:t>
            </w:r>
          </w:p>
        </w:tc>
        <w:tc>
          <w:tcPr>
            <w:tcW w:w="1694" w:type="dxa"/>
            <w:tcBorders>
              <w:top w:val="single" w:color="auto" w:sz="4" w:space="0"/>
              <w:left w:val="nil"/>
              <w:bottom w:val="single" w:color="auto" w:sz="4" w:space="0"/>
              <w:right w:val="single" w:color="auto" w:sz="4" w:space="0"/>
            </w:tcBorders>
            <w:noWrap w:val="0"/>
            <w:vAlign w:val="center"/>
          </w:tcPr>
          <w:p w14:paraId="54F38B15">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进口产品</w:t>
            </w:r>
          </w:p>
        </w:tc>
        <w:tc>
          <w:tcPr>
            <w:tcW w:w="6912" w:type="dxa"/>
            <w:tcBorders>
              <w:top w:val="single" w:color="auto" w:sz="4" w:space="0"/>
              <w:left w:val="nil"/>
              <w:bottom w:val="single" w:color="auto" w:sz="4" w:space="0"/>
              <w:right w:val="single" w:color="auto" w:sz="4" w:space="0"/>
            </w:tcBorders>
            <w:noWrap w:val="0"/>
            <w:vAlign w:val="center"/>
          </w:tcPr>
          <w:p w14:paraId="573952D5">
            <w:pPr>
              <w:spacing w:line="400" w:lineRule="exact"/>
              <w:jc w:val="left"/>
              <w:rPr>
                <w:rFonts w:ascii="Times New Roman" w:hAnsi="Times New Roman"/>
                <w:color w:val="auto"/>
                <w:sz w:val="24"/>
                <w:szCs w:val="24"/>
              </w:rPr>
            </w:pPr>
            <w:r>
              <w:rPr>
                <w:rFonts w:ascii="Times New Roman" w:hAnsi="Times New Roman"/>
                <w:color w:val="auto"/>
                <w:sz w:val="24"/>
                <w:szCs w:val="24"/>
              </w:rPr>
              <w:t>按以下第</w:t>
            </w:r>
            <w:r>
              <w:rPr>
                <w:rFonts w:ascii="Times New Roman" w:hAnsi="Times New Roman"/>
                <w:color w:val="auto"/>
                <w:sz w:val="24"/>
                <w:szCs w:val="24"/>
                <w:u w:val="single"/>
              </w:rPr>
              <w:t xml:space="preserve"> 2 </w:t>
            </w:r>
            <w:r>
              <w:rPr>
                <w:rFonts w:ascii="Times New Roman" w:hAnsi="Times New Roman"/>
                <w:color w:val="auto"/>
                <w:sz w:val="24"/>
                <w:szCs w:val="24"/>
              </w:rPr>
              <w:t>种方式确定：</w:t>
            </w:r>
          </w:p>
          <w:p w14:paraId="734D476A">
            <w:pPr>
              <w:widowControl/>
              <w:spacing w:line="360" w:lineRule="exact"/>
              <w:jc w:val="left"/>
              <w:rPr>
                <w:rFonts w:hint="eastAsia" w:ascii="Times New Roman" w:hAnsi="Times New Roman" w:eastAsia="宋体"/>
                <w:color w:val="auto"/>
                <w:sz w:val="24"/>
                <w:szCs w:val="24"/>
                <w:lang w:eastAsia="zh-CN"/>
              </w:rPr>
            </w:pPr>
            <w:r>
              <w:rPr>
                <w:rFonts w:ascii="Times New Roman" w:hAnsi="Times New Roman"/>
                <w:color w:val="auto"/>
                <w:sz w:val="24"/>
                <w:szCs w:val="24"/>
              </w:rPr>
              <w:t>1.接受进口产品。</w:t>
            </w:r>
            <w:r>
              <w:rPr>
                <w:rFonts w:ascii="Times New Roman" w:hAnsi="Times New Roman"/>
                <w:color w:val="auto"/>
                <w:sz w:val="24"/>
              </w:rPr>
              <w:t>应当符合《政府采购进口产品管理办法》（财库〔2007〕119号）、《关于政府采购进口产品管理有关问题的通知》（财办库〔2008〕248号）等相关规定</w:t>
            </w:r>
            <w:r>
              <w:rPr>
                <w:rFonts w:hint="eastAsia" w:ascii="Times New Roman" w:hAnsi="Times New Roman"/>
                <w:color w:val="auto"/>
                <w:sz w:val="24"/>
                <w:szCs w:val="24"/>
                <w:lang w:eastAsia="zh-CN"/>
              </w:rPr>
              <w:t>；</w:t>
            </w:r>
          </w:p>
          <w:p w14:paraId="59146B3C">
            <w:pPr>
              <w:spacing w:line="400" w:lineRule="exact"/>
              <w:jc w:val="left"/>
              <w:rPr>
                <w:rFonts w:ascii="Times New Roman" w:hAnsi="Times New Roman"/>
                <w:color w:val="auto"/>
                <w:sz w:val="24"/>
                <w:szCs w:val="24"/>
              </w:rPr>
            </w:pPr>
            <w:r>
              <w:rPr>
                <w:rFonts w:ascii="Times New Roman" w:hAnsi="Times New Roman"/>
                <w:color w:val="auto"/>
                <w:sz w:val="24"/>
                <w:szCs w:val="24"/>
              </w:rPr>
              <w:t>2.不接受进口产品。</w:t>
            </w:r>
          </w:p>
        </w:tc>
      </w:tr>
      <w:tr w14:paraId="74764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F4655CD">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6</w:t>
            </w:r>
          </w:p>
        </w:tc>
        <w:tc>
          <w:tcPr>
            <w:tcW w:w="1694" w:type="dxa"/>
            <w:tcBorders>
              <w:top w:val="single" w:color="auto" w:sz="4" w:space="0"/>
              <w:left w:val="nil"/>
              <w:bottom w:val="single" w:color="auto" w:sz="4" w:space="0"/>
              <w:right w:val="single" w:color="auto" w:sz="4" w:space="0"/>
            </w:tcBorders>
            <w:noWrap w:val="0"/>
            <w:vAlign w:val="center"/>
          </w:tcPr>
          <w:p w14:paraId="6C539AF0">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评标办法</w:t>
            </w:r>
          </w:p>
        </w:tc>
        <w:tc>
          <w:tcPr>
            <w:tcW w:w="6912" w:type="dxa"/>
            <w:tcBorders>
              <w:top w:val="single" w:color="auto" w:sz="4" w:space="0"/>
              <w:left w:val="nil"/>
              <w:bottom w:val="single" w:color="auto" w:sz="4" w:space="0"/>
              <w:right w:val="single" w:color="auto" w:sz="4" w:space="0"/>
            </w:tcBorders>
            <w:noWrap w:val="0"/>
            <w:vAlign w:val="center"/>
          </w:tcPr>
          <w:p w14:paraId="17E64E9C">
            <w:pPr>
              <w:spacing w:line="400" w:lineRule="exact"/>
              <w:jc w:val="left"/>
              <w:rPr>
                <w:rFonts w:ascii="Times New Roman" w:hAnsi="Times New Roman"/>
                <w:color w:val="auto"/>
                <w:sz w:val="24"/>
                <w:szCs w:val="24"/>
              </w:rPr>
            </w:pPr>
            <w:r>
              <w:rPr>
                <w:rFonts w:ascii="Times New Roman" w:hAnsi="Times New Roman"/>
                <w:color w:val="auto"/>
                <w:sz w:val="24"/>
                <w:szCs w:val="24"/>
              </w:rPr>
              <w:t>具体评标办法详见磋商文件第三章。</w:t>
            </w:r>
          </w:p>
          <w:p w14:paraId="429B367E">
            <w:pPr>
              <w:spacing w:line="400" w:lineRule="exact"/>
              <w:jc w:val="left"/>
              <w:rPr>
                <w:rFonts w:ascii="Times New Roman" w:hAnsi="Times New Roman"/>
                <w:color w:val="auto"/>
                <w:sz w:val="24"/>
                <w:szCs w:val="24"/>
              </w:rPr>
            </w:pPr>
            <w:r>
              <w:rPr>
                <w:rFonts w:ascii="Times New Roman" w:hAnsi="Times New Roman"/>
                <w:color w:val="auto"/>
                <w:sz w:val="24"/>
                <w:szCs w:val="24"/>
              </w:rPr>
              <w:t>评标委员会依据磋商文件规定的评标办法和标准推荐</w:t>
            </w:r>
            <w:r>
              <w:rPr>
                <w:rFonts w:ascii="Times New Roman" w:hAnsi="Times New Roman"/>
                <w:color w:val="auto"/>
                <w:sz w:val="24"/>
                <w:szCs w:val="24"/>
                <w:u w:val="single"/>
              </w:rPr>
              <w:t xml:space="preserve"> 3 </w:t>
            </w:r>
            <w:r>
              <w:rPr>
                <w:rFonts w:ascii="Times New Roman" w:hAnsi="Times New Roman"/>
                <w:color w:val="auto"/>
                <w:sz w:val="24"/>
                <w:szCs w:val="24"/>
              </w:rPr>
              <w:t>名中标候选人。</w:t>
            </w:r>
          </w:p>
        </w:tc>
      </w:tr>
      <w:tr w14:paraId="1694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B7EDEC4">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7</w:t>
            </w:r>
          </w:p>
        </w:tc>
        <w:tc>
          <w:tcPr>
            <w:tcW w:w="1694" w:type="dxa"/>
            <w:tcBorders>
              <w:top w:val="single" w:color="auto" w:sz="4" w:space="0"/>
              <w:left w:val="nil"/>
              <w:bottom w:val="single" w:color="auto" w:sz="4" w:space="0"/>
              <w:right w:val="single" w:color="auto" w:sz="4" w:space="0"/>
            </w:tcBorders>
            <w:noWrap w:val="0"/>
            <w:vAlign w:val="center"/>
          </w:tcPr>
          <w:p w14:paraId="106502C8">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确定中标人</w:t>
            </w:r>
          </w:p>
        </w:tc>
        <w:tc>
          <w:tcPr>
            <w:tcW w:w="6912" w:type="dxa"/>
            <w:tcBorders>
              <w:top w:val="single" w:color="auto" w:sz="4" w:space="0"/>
              <w:left w:val="nil"/>
              <w:bottom w:val="single" w:color="auto" w:sz="4" w:space="0"/>
              <w:right w:val="single" w:color="auto" w:sz="4" w:space="0"/>
            </w:tcBorders>
            <w:noWrap w:val="0"/>
            <w:vAlign w:val="center"/>
          </w:tcPr>
          <w:p w14:paraId="4DB17F6C">
            <w:pPr>
              <w:spacing w:line="400" w:lineRule="exact"/>
              <w:jc w:val="left"/>
              <w:rPr>
                <w:rFonts w:ascii="Times New Roman" w:hAnsi="Times New Roman"/>
                <w:color w:val="auto"/>
                <w:sz w:val="24"/>
                <w:szCs w:val="24"/>
              </w:rPr>
            </w:pPr>
            <w:r>
              <w:rPr>
                <w:rFonts w:ascii="Times New Roman" w:hAnsi="Times New Roman"/>
                <w:color w:val="auto"/>
                <w:sz w:val="24"/>
                <w:szCs w:val="24"/>
              </w:rPr>
              <w:t>按以下第</w:t>
            </w:r>
            <w:r>
              <w:rPr>
                <w:rFonts w:ascii="Times New Roman" w:hAnsi="Times New Roman"/>
                <w:color w:val="auto"/>
                <w:sz w:val="24"/>
                <w:szCs w:val="24"/>
                <w:u w:val="single"/>
              </w:rPr>
              <w:t xml:space="preserve"> 1 </w:t>
            </w:r>
            <w:r>
              <w:rPr>
                <w:rFonts w:ascii="Times New Roman" w:hAnsi="Times New Roman"/>
                <w:color w:val="auto"/>
                <w:sz w:val="24"/>
                <w:szCs w:val="24"/>
              </w:rPr>
              <w:t>种方式确定中标人：</w:t>
            </w:r>
          </w:p>
          <w:p w14:paraId="7C49C43B">
            <w:pPr>
              <w:spacing w:line="400" w:lineRule="exact"/>
              <w:jc w:val="left"/>
              <w:rPr>
                <w:rFonts w:hint="eastAsia" w:ascii="Times New Roman" w:hAnsi="Times New Roman" w:eastAsia="宋体"/>
                <w:color w:val="auto"/>
                <w:sz w:val="24"/>
                <w:szCs w:val="24"/>
                <w:lang w:eastAsia="zh-CN"/>
              </w:rPr>
            </w:pPr>
            <w:r>
              <w:rPr>
                <w:rFonts w:ascii="Times New Roman" w:hAnsi="Times New Roman"/>
                <w:color w:val="auto"/>
                <w:sz w:val="24"/>
                <w:szCs w:val="24"/>
              </w:rPr>
              <w:t>1.采购人按规定在评标委员会推荐的中标候选人中确定中标人</w:t>
            </w:r>
            <w:r>
              <w:rPr>
                <w:rFonts w:hint="eastAsia" w:ascii="Times New Roman" w:hAnsi="Times New Roman"/>
                <w:color w:val="auto"/>
                <w:sz w:val="24"/>
                <w:szCs w:val="24"/>
                <w:lang w:eastAsia="zh-CN"/>
              </w:rPr>
              <w:t>；</w:t>
            </w:r>
          </w:p>
          <w:p w14:paraId="48C6A08A">
            <w:pPr>
              <w:spacing w:line="400" w:lineRule="exact"/>
              <w:jc w:val="left"/>
              <w:rPr>
                <w:rFonts w:ascii="Times New Roman" w:hAnsi="Times New Roman"/>
                <w:color w:val="auto"/>
                <w:sz w:val="24"/>
                <w:szCs w:val="24"/>
              </w:rPr>
            </w:pPr>
            <w:r>
              <w:rPr>
                <w:rFonts w:ascii="Times New Roman" w:hAnsi="Times New Roman"/>
                <w:color w:val="auto"/>
                <w:sz w:val="24"/>
                <w:szCs w:val="24"/>
              </w:rPr>
              <w:t>2.采购人授权评标委员会直接确定中标人。</w:t>
            </w:r>
          </w:p>
        </w:tc>
      </w:tr>
      <w:tr w14:paraId="26B0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5357A34">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8</w:t>
            </w:r>
          </w:p>
        </w:tc>
        <w:tc>
          <w:tcPr>
            <w:tcW w:w="1694" w:type="dxa"/>
            <w:tcBorders>
              <w:top w:val="single" w:color="auto" w:sz="4" w:space="0"/>
              <w:left w:val="nil"/>
              <w:bottom w:val="single" w:color="auto" w:sz="4" w:space="0"/>
              <w:right w:val="single" w:color="auto" w:sz="4" w:space="0"/>
            </w:tcBorders>
            <w:noWrap w:val="0"/>
            <w:vAlign w:val="center"/>
          </w:tcPr>
          <w:p w14:paraId="43297F25">
            <w:pPr>
              <w:spacing w:line="400" w:lineRule="exact"/>
              <w:jc w:val="center"/>
              <w:rPr>
                <w:rFonts w:ascii="Times New Roman" w:hAnsi="Times New Roman" w:cs="仿宋"/>
                <w:color w:val="auto"/>
                <w:sz w:val="24"/>
                <w:szCs w:val="24"/>
              </w:rPr>
            </w:pPr>
            <w:r>
              <w:rPr>
                <w:rFonts w:hint="eastAsia" w:ascii="Times New Roman" w:hAnsi="Times New Roman"/>
                <w:color w:val="auto"/>
                <w:sz w:val="24"/>
                <w:szCs w:val="24"/>
              </w:rPr>
              <w:t>分包要求</w:t>
            </w:r>
          </w:p>
        </w:tc>
        <w:tc>
          <w:tcPr>
            <w:tcW w:w="6912" w:type="dxa"/>
            <w:tcBorders>
              <w:top w:val="single" w:color="auto" w:sz="4" w:space="0"/>
              <w:left w:val="nil"/>
              <w:bottom w:val="single" w:color="auto" w:sz="4" w:space="0"/>
              <w:right w:val="single" w:color="auto" w:sz="4" w:space="0"/>
            </w:tcBorders>
            <w:noWrap w:val="0"/>
            <w:vAlign w:val="center"/>
          </w:tcPr>
          <w:p w14:paraId="0DEF8BB2">
            <w:pPr>
              <w:spacing w:line="400" w:lineRule="exact"/>
              <w:jc w:val="left"/>
              <w:rPr>
                <w:rFonts w:ascii="Times New Roman" w:hAnsi="Times New Roman"/>
                <w:color w:val="auto"/>
                <w:sz w:val="24"/>
                <w:szCs w:val="24"/>
              </w:rPr>
            </w:pPr>
            <w:bookmarkStart w:id="63" w:name="EBebac1462c5d9459fbda8a75065c2455d"/>
            <w:r>
              <w:rPr>
                <w:rFonts w:hint="eastAsia" w:ascii="Times New Roman" w:hAnsi="Times New Roman"/>
                <w:color w:val="auto"/>
                <w:sz w:val="24"/>
                <w:szCs w:val="24"/>
              </w:rPr>
              <w:t>本项目的非主体、非关键性工作是否允许分包</w:t>
            </w:r>
            <w:bookmarkEnd w:id="63"/>
            <w:r>
              <w:rPr>
                <w:rFonts w:hint="eastAsia" w:ascii="Times New Roman" w:hAnsi="Times New Roman"/>
                <w:color w:val="auto"/>
                <w:sz w:val="24"/>
                <w:szCs w:val="24"/>
              </w:rPr>
              <w:t>按以下第</w:t>
            </w:r>
            <w:r>
              <w:rPr>
                <w:rFonts w:hint="eastAsia" w:ascii="Times New Roman" w:hAnsi="Times New Roman"/>
                <w:color w:val="auto"/>
                <w:sz w:val="24"/>
                <w:szCs w:val="24"/>
                <w:u w:val="single"/>
                <w:lang w:val="en-US" w:eastAsia="zh-CN"/>
              </w:rPr>
              <w:t>2</w:t>
            </w:r>
            <w:r>
              <w:rPr>
                <w:rFonts w:hint="eastAsia" w:ascii="Times New Roman" w:hAnsi="Times New Roman"/>
                <w:color w:val="auto"/>
                <w:sz w:val="24"/>
                <w:szCs w:val="24"/>
              </w:rPr>
              <w:t>种方式确定：</w:t>
            </w:r>
          </w:p>
          <w:p w14:paraId="046A6A4A">
            <w:pPr>
              <w:spacing w:line="400" w:lineRule="exact"/>
              <w:jc w:val="left"/>
              <w:rPr>
                <w:rFonts w:ascii="Times New Roman" w:hAnsi="Times New Roman"/>
                <w:color w:val="auto"/>
                <w:sz w:val="24"/>
                <w:szCs w:val="24"/>
              </w:rPr>
            </w:pPr>
            <w:r>
              <w:rPr>
                <w:rFonts w:hint="eastAsia" w:ascii="Times New Roman" w:hAnsi="Times New Roman"/>
                <w:color w:val="auto"/>
                <w:sz w:val="24"/>
                <w:szCs w:val="24"/>
              </w:rPr>
              <w:t>1.允许分包，</w:t>
            </w:r>
            <w:bookmarkStart w:id="64" w:name="EB512ba06683724173802e2aae54a26079"/>
            <w:r>
              <w:rPr>
                <w:rFonts w:hint="eastAsia" w:ascii="Times New Roman" w:hAnsi="Times New Roman"/>
                <w:color w:val="auto"/>
                <w:sz w:val="24"/>
                <w:szCs w:val="24"/>
              </w:rPr>
              <w:t>允许大中型企业向一家或者多家小微企业分包，分包具体内容、金额或比例：</w:t>
            </w:r>
            <w:bookmarkEnd w:id="64"/>
            <w:r>
              <w:rPr>
                <w:rFonts w:hint="eastAsia" w:ascii="Times New Roman" w:hAnsi="Times New Roman"/>
                <w:color w:val="auto"/>
                <w:sz w:val="24"/>
                <w:szCs w:val="24"/>
                <w:lang w:val="en-US" w:eastAsia="zh-CN"/>
              </w:rPr>
              <w:t>/</w:t>
            </w:r>
            <w:r>
              <w:rPr>
                <w:rFonts w:hint="eastAsia" w:ascii="Times New Roman" w:hAnsi="Times New Roman"/>
                <w:color w:val="auto"/>
                <w:sz w:val="24"/>
                <w:szCs w:val="24"/>
              </w:rPr>
              <w:t>。</w:t>
            </w:r>
          </w:p>
          <w:p w14:paraId="1483D906">
            <w:pPr>
              <w:spacing w:line="400" w:lineRule="exact"/>
              <w:jc w:val="left"/>
              <w:rPr>
                <w:rFonts w:ascii="Times New Roman" w:hAnsi="Times New Roman" w:cs="仿宋"/>
                <w:color w:val="auto"/>
                <w:sz w:val="24"/>
                <w:szCs w:val="24"/>
              </w:rPr>
            </w:pPr>
            <w:r>
              <w:rPr>
                <w:rFonts w:hint="eastAsia" w:ascii="Times New Roman" w:hAnsi="Times New Roman"/>
                <w:color w:val="auto"/>
                <w:sz w:val="24"/>
                <w:szCs w:val="24"/>
              </w:rPr>
              <w:t>2.不允许分包。</w:t>
            </w:r>
          </w:p>
        </w:tc>
      </w:tr>
      <w:tr w14:paraId="2AF0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3771773E">
            <w:pPr>
              <w:spacing w:line="400" w:lineRule="exact"/>
              <w:jc w:val="center"/>
              <w:rPr>
                <w:rFonts w:cs="仿宋"/>
                <w:color w:val="auto"/>
                <w:sz w:val="24"/>
                <w:szCs w:val="24"/>
              </w:rPr>
            </w:pPr>
            <w:r>
              <w:rPr>
                <w:rFonts w:hint="eastAsia" w:ascii="Times New Roman" w:hAnsi="Times New Roman" w:cs="仿宋"/>
                <w:color w:val="auto"/>
                <w:sz w:val="24"/>
                <w:szCs w:val="24"/>
              </w:rPr>
              <w:t>9</w:t>
            </w:r>
          </w:p>
        </w:tc>
        <w:tc>
          <w:tcPr>
            <w:tcW w:w="1694" w:type="dxa"/>
            <w:tcBorders>
              <w:top w:val="single" w:color="auto" w:sz="4" w:space="0"/>
              <w:left w:val="nil"/>
              <w:bottom w:val="single" w:color="auto" w:sz="4" w:space="0"/>
              <w:right w:val="single" w:color="auto" w:sz="4" w:space="0"/>
            </w:tcBorders>
            <w:noWrap w:val="0"/>
            <w:vAlign w:val="center"/>
          </w:tcPr>
          <w:p w14:paraId="59ABB2E0">
            <w:pPr>
              <w:spacing w:line="400" w:lineRule="exact"/>
              <w:jc w:val="center"/>
              <w:rPr>
                <w:rFonts w:cs="仿宋"/>
                <w:color w:val="auto"/>
                <w:sz w:val="24"/>
                <w:szCs w:val="24"/>
              </w:rPr>
            </w:pPr>
            <w:r>
              <w:rPr>
                <w:rFonts w:hint="eastAsia" w:ascii="Times New Roman" w:hAnsi="Times New Roman" w:cs="仿宋"/>
                <w:color w:val="auto"/>
                <w:sz w:val="24"/>
                <w:szCs w:val="24"/>
              </w:rPr>
              <w:t>专家评审劳务报酬支付标准、方式及周期</w:t>
            </w:r>
          </w:p>
        </w:tc>
        <w:tc>
          <w:tcPr>
            <w:tcW w:w="6912" w:type="dxa"/>
            <w:tcBorders>
              <w:top w:val="single" w:color="auto" w:sz="4" w:space="0"/>
              <w:left w:val="nil"/>
              <w:bottom w:val="single" w:color="auto" w:sz="4" w:space="0"/>
              <w:right w:val="single" w:color="auto" w:sz="4" w:space="0"/>
            </w:tcBorders>
            <w:noWrap w:val="0"/>
            <w:vAlign w:val="center"/>
          </w:tcPr>
          <w:p w14:paraId="5552EA23">
            <w:pPr>
              <w:spacing w:line="400" w:lineRule="exact"/>
              <w:jc w:val="left"/>
              <w:rPr>
                <w:rFonts w:cs="仿宋"/>
                <w:color w:val="auto"/>
                <w:sz w:val="24"/>
                <w:szCs w:val="24"/>
              </w:rPr>
            </w:pPr>
            <w:r>
              <w:rPr>
                <w:rFonts w:hint="eastAsia" w:ascii="Times New Roman" w:hAnsi="Times New Roman" w:cs="仿宋"/>
                <w:color w:val="auto"/>
                <w:sz w:val="24"/>
                <w:szCs w:val="24"/>
              </w:rPr>
              <w:t>支付标准：参照《宿迁市政府采购专家评审费发放标准》宿财购〔2018〕32号支付，（2小时以内200元/人</w:t>
            </w:r>
            <w:r>
              <w:rPr>
                <w:rFonts w:hint="eastAsia" w:ascii="Times New Roman" w:hAnsi="Times New Roman" w:cs="仿宋"/>
                <w:color w:val="auto"/>
                <w:sz w:val="24"/>
                <w:szCs w:val="24"/>
                <w:lang w:eastAsia="zh-CN"/>
              </w:rPr>
              <w:t>；</w:t>
            </w:r>
            <w:r>
              <w:rPr>
                <w:rFonts w:hint="eastAsia" w:ascii="Times New Roman" w:hAnsi="Times New Roman" w:cs="仿宋"/>
                <w:color w:val="auto"/>
                <w:sz w:val="24"/>
                <w:szCs w:val="24"/>
              </w:rPr>
              <w:t>超过2小时不足8小时的，按100元/人·小时计算</w:t>
            </w:r>
            <w:r>
              <w:rPr>
                <w:rFonts w:hint="eastAsia" w:ascii="Times New Roman" w:hAnsi="Times New Roman" w:cs="仿宋"/>
                <w:color w:val="auto"/>
                <w:sz w:val="24"/>
                <w:szCs w:val="24"/>
                <w:lang w:eastAsia="zh-CN"/>
              </w:rPr>
              <w:t>；</w:t>
            </w:r>
            <w:r>
              <w:rPr>
                <w:rFonts w:hint="eastAsia" w:ascii="Times New Roman" w:hAnsi="Times New Roman" w:cs="仿宋"/>
                <w:color w:val="auto"/>
                <w:sz w:val="24"/>
                <w:szCs w:val="24"/>
              </w:rPr>
              <w:t>连续评审超过8小时，超出部分按200元/人·小时计算。）</w:t>
            </w:r>
          </w:p>
          <w:p w14:paraId="7CD34FC1">
            <w:pPr>
              <w:spacing w:line="400" w:lineRule="exact"/>
              <w:jc w:val="left"/>
              <w:rPr>
                <w:rFonts w:cs="仿宋"/>
                <w:color w:val="auto"/>
                <w:sz w:val="24"/>
                <w:szCs w:val="24"/>
              </w:rPr>
            </w:pPr>
            <w:r>
              <w:rPr>
                <w:rFonts w:hint="eastAsia" w:ascii="Times New Roman" w:hAnsi="Times New Roman" w:cs="仿宋"/>
                <w:color w:val="auto"/>
                <w:sz w:val="24"/>
                <w:szCs w:val="24"/>
              </w:rPr>
              <w:t>支付方式及周期：费用由采购人通过预算一体化系统支付评审费，支付周期不超过评审结束后</w:t>
            </w:r>
            <w:r>
              <w:rPr>
                <w:rFonts w:hint="eastAsia" w:ascii="Times New Roman" w:hAnsi="Times New Roman" w:cs="仿宋"/>
                <w:color w:val="auto"/>
                <w:sz w:val="24"/>
                <w:szCs w:val="24"/>
                <w:lang w:val="en-US" w:eastAsia="zh-CN"/>
              </w:rPr>
              <w:t>30</w:t>
            </w:r>
            <w:r>
              <w:rPr>
                <w:rFonts w:hint="eastAsia" w:ascii="Times New Roman" w:hAnsi="Times New Roman" w:cs="仿宋"/>
                <w:color w:val="auto"/>
                <w:sz w:val="24"/>
                <w:szCs w:val="24"/>
              </w:rPr>
              <w:t>个工作日。</w:t>
            </w:r>
          </w:p>
        </w:tc>
      </w:tr>
      <w:tr w14:paraId="1A09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608CCD5">
            <w:pPr>
              <w:spacing w:line="400" w:lineRule="exact"/>
              <w:jc w:val="center"/>
              <w:rPr>
                <w:rFonts w:ascii="Times New Roman" w:hAnsi="Times New Roman" w:cs="仿宋"/>
                <w:color w:val="auto"/>
                <w:sz w:val="24"/>
                <w:szCs w:val="24"/>
              </w:rPr>
            </w:pPr>
            <w:r>
              <w:rPr>
                <w:rFonts w:hint="eastAsia" w:ascii="Times New Roman" w:hAnsi="Times New Roman"/>
                <w:color w:val="auto"/>
                <w:sz w:val="24"/>
                <w:szCs w:val="24"/>
              </w:rPr>
              <w:t>10</w:t>
            </w:r>
          </w:p>
        </w:tc>
        <w:tc>
          <w:tcPr>
            <w:tcW w:w="1694" w:type="dxa"/>
            <w:tcBorders>
              <w:top w:val="single" w:color="auto" w:sz="4" w:space="0"/>
              <w:left w:val="nil"/>
              <w:bottom w:val="single" w:color="auto" w:sz="4" w:space="0"/>
              <w:right w:val="single" w:color="auto" w:sz="4" w:space="0"/>
            </w:tcBorders>
            <w:noWrap w:val="0"/>
            <w:vAlign w:val="center"/>
          </w:tcPr>
          <w:p w14:paraId="3B45F92B">
            <w:pPr>
              <w:spacing w:line="40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其他</w:t>
            </w:r>
            <w:bookmarkEnd w:id="56"/>
            <w:bookmarkEnd w:id="57"/>
            <w:bookmarkEnd w:id="58"/>
          </w:p>
        </w:tc>
        <w:tc>
          <w:tcPr>
            <w:tcW w:w="6912" w:type="dxa"/>
            <w:tcBorders>
              <w:top w:val="single" w:color="auto" w:sz="4" w:space="0"/>
              <w:left w:val="nil"/>
              <w:bottom w:val="single" w:color="auto" w:sz="4" w:space="0"/>
              <w:right w:val="single" w:color="auto" w:sz="4" w:space="0"/>
            </w:tcBorders>
            <w:noWrap w:val="0"/>
            <w:vAlign w:val="center"/>
          </w:tcPr>
          <w:p w14:paraId="66F42A26">
            <w:pPr>
              <w:spacing w:line="400" w:lineRule="exact"/>
              <w:jc w:val="left"/>
              <w:rPr>
                <w:rFonts w:ascii="Times New Roman" w:hAnsi="Times New Roman" w:cs="仿宋"/>
                <w:color w:val="auto"/>
                <w:sz w:val="24"/>
                <w:szCs w:val="24"/>
              </w:rPr>
            </w:pPr>
            <w:r>
              <w:rPr>
                <w:rFonts w:hint="eastAsia" w:ascii="Times New Roman" w:hAnsi="Times New Roman" w:eastAsia="宋体" w:cs="仿宋"/>
                <w:color w:val="auto"/>
                <w:sz w:val="24"/>
                <w:szCs w:val="24"/>
              </w:rPr>
              <w:t>信用信息查询截止时间：资格审查结束前。由采购人在资格审查现场查询信用信息，网页截屏打印，查询结果留存并归档</w:t>
            </w:r>
            <w:r>
              <w:rPr>
                <w:rFonts w:hint="eastAsia" w:ascii="仿宋" w:hAnsi="仿宋" w:eastAsia="仿宋" w:cs="仿宋"/>
                <w:color w:val="auto"/>
                <w:sz w:val="24"/>
                <w:highlight w:val="none"/>
                <w:lang w:bidi="ar-SA"/>
              </w:rPr>
              <w:t>。</w:t>
            </w:r>
            <w:bookmarkEnd w:id="52"/>
            <w:bookmarkEnd w:id="53"/>
            <w:bookmarkEnd w:id="54"/>
            <w:bookmarkEnd w:id="55"/>
          </w:p>
        </w:tc>
      </w:tr>
    </w:tbl>
    <w:p w14:paraId="77ED1292">
      <w:pPr>
        <w:keepNext/>
        <w:keepLines/>
        <w:spacing w:line="560" w:lineRule="exact"/>
        <w:ind w:firstLine="498"/>
        <w:outlineLvl w:val="2"/>
        <w:rPr>
          <w:rFonts w:ascii="Times New Roman" w:hAnsi="Times New Roman"/>
          <w:b/>
          <w:bCs/>
          <w:color w:val="auto"/>
          <w:sz w:val="32"/>
          <w:szCs w:val="32"/>
        </w:rPr>
      </w:pPr>
      <w:bookmarkStart w:id="65" w:name="_Toc479757207"/>
      <w:bookmarkStart w:id="66" w:name="_Toc120614221"/>
      <w:bookmarkStart w:id="67" w:name="_Toc20823314"/>
      <w:bookmarkStart w:id="68" w:name="_Toc513029242"/>
      <w:bookmarkStart w:id="69" w:name="_Toc16938558"/>
      <w:r>
        <w:rPr>
          <w:rFonts w:hint="eastAsia" w:ascii="Times New Roman" w:hAnsi="Times New Roman"/>
          <w:b/>
          <w:bCs/>
          <w:color w:val="auto"/>
          <w:sz w:val="32"/>
          <w:szCs w:val="32"/>
        </w:rPr>
        <w:t>一、总则</w:t>
      </w:r>
    </w:p>
    <w:p w14:paraId="1596B50A">
      <w:pPr>
        <w:keepNext/>
        <w:keepLines/>
        <w:spacing w:line="560" w:lineRule="exact"/>
        <w:ind w:firstLine="420"/>
        <w:outlineLvl w:val="3"/>
        <w:rPr>
          <w:rFonts w:ascii="Times New Roman" w:hAnsi="Times New Roman" w:eastAsia="黑体" w:cs="Arial"/>
          <w:color w:val="auto"/>
          <w:sz w:val="28"/>
          <w:szCs w:val="28"/>
        </w:rPr>
      </w:pPr>
      <w:bookmarkStart w:id="70" w:name="_Hlt16619475"/>
      <w:bookmarkEnd w:id="70"/>
      <w:bookmarkStart w:id="71" w:name="_Toc458694821"/>
      <w:bookmarkStart w:id="72" w:name="_Toc16938520"/>
      <w:bookmarkStart w:id="73" w:name="_Toc513029204"/>
      <w:bookmarkStart w:id="74" w:name="_Toc20823276"/>
      <w:r>
        <w:rPr>
          <w:rFonts w:hint="eastAsia" w:ascii="Times New Roman" w:hAnsi="Times New Roman" w:eastAsia="黑体" w:cs="Arial"/>
          <w:color w:val="auto"/>
          <w:sz w:val="28"/>
          <w:szCs w:val="28"/>
        </w:rPr>
        <w:t>1</w:t>
      </w:r>
      <w:bookmarkEnd w:id="71"/>
      <w:r>
        <w:rPr>
          <w:rFonts w:hint="eastAsia" w:ascii="Times New Roman" w:hAnsi="Times New Roman" w:eastAsia="黑体" w:cs="Arial"/>
          <w:color w:val="auto"/>
          <w:sz w:val="28"/>
          <w:szCs w:val="28"/>
        </w:rPr>
        <w:t>、采购方式</w:t>
      </w:r>
      <w:bookmarkEnd w:id="72"/>
      <w:bookmarkEnd w:id="73"/>
      <w:bookmarkEnd w:id="74"/>
    </w:p>
    <w:p w14:paraId="361FFD7D">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1.1本次政府采购活动采取竞争性磋商(以下简称磋商)方式，本磋商文件仅适用于磋商公告中所述项目。</w:t>
      </w:r>
    </w:p>
    <w:p w14:paraId="2982CC3A">
      <w:pPr>
        <w:keepNext/>
        <w:keepLines/>
        <w:spacing w:line="560" w:lineRule="exact"/>
        <w:ind w:firstLine="420"/>
        <w:outlineLvl w:val="3"/>
        <w:rPr>
          <w:rFonts w:ascii="Times New Roman" w:hAnsi="Times New Roman" w:eastAsia="黑体" w:cs="Arial"/>
          <w:color w:val="auto"/>
          <w:sz w:val="28"/>
          <w:szCs w:val="28"/>
        </w:rPr>
      </w:pPr>
      <w:bookmarkStart w:id="75" w:name="_Toc20823277"/>
      <w:bookmarkStart w:id="76" w:name="_Toc16938521"/>
      <w:bookmarkStart w:id="77" w:name="_Toc513029205"/>
      <w:r>
        <w:rPr>
          <w:rFonts w:hint="eastAsia" w:ascii="Times New Roman" w:hAnsi="Times New Roman" w:eastAsia="黑体" w:cs="Arial"/>
          <w:color w:val="auto"/>
          <w:sz w:val="28"/>
          <w:szCs w:val="28"/>
        </w:rPr>
        <w:t>2、合格的</w:t>
      </w:r>
      <w:bookmarkEnd w:id="75"/>
      <w:bookmarkEnd w:id="76"/>
      <w:bookmarkEnd w:id="77"/>
      <w:r>
        <w:rPr>
          <w:rFonts w:hint="eastAsia" w:ascii="Times New Roman" w:hAnsi="Times New Roman" w:eastAsia="黑体" w:cs="Arial"/>
          <w:color w:val="auto"/>
          <w:sz w:val="28"/>
          <w:szCs w:val="28"/>
        </w:rPr>
        <w:t>供应商</w:t>
      </w:r>
    </w:p>
    <w:p w14:paraId="4424BEA6">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2.1满足磋商公告中供应商资格要求的规定。</w:t>
      </w:r>
    </w:p>
    <w:p w14:paraId="187C26CC">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2.2满足本磋商文件实质性要求和条件的规定。</w:t>
      </w:r>
    </w:p>
    <w:p w14:paraId="62A57110">
      <w:pPr>
        <w:keepNext/>
        <w:keepLines/>
        <w:spacing w:line="560" w:lineRule="exact"/>
        <w:ind w:firstLine="420"/>
        <w:outlineLvl w:val="3"/>
        <w:rPr>
          <w:rFonts w:ascii="Times New Roman" w:hAnsi="Times New Roman" w:eastAsia="黑体" w:cs="Arial"/>
          <w:color w:val="auto"/>
          <w:sz w:val="28"/>
          <w:szCs w:val="28"/>
        </w:rPr>
      </w:pPr>
      <w:bookmarkStart w:id="78" w:name="_Toc20823278"/>
      <w:bookmarkStart w:id="79" w:name="_Toc513029206"/>
      <w:bookmarkStart w:id="80" w:name="_Toc16938522"/>
      <w:r>
        <w:rPr>
          <w:rFonts w:hint="eastAsia" w:ascii="Times New Roman" w:hAnsi="Times New Roman" w:eastAsia="黑体" w:cs="Arial"/>
          <w:color w:val="auto"/>
          <w:sz w:val="28"/>
          <w:szCs w:val="28"/>
        </w:rPr>
        <w:t>3、适用法律</w:t>
      </w:r>
      <w:bookmarkEnd w:id="78"/>
      <w:bookmarkEnd w:id="79"/>
      <w:bookmarkEnd w:id="80"/>
    </w:p>
    <w:p w14:paraId="38564141">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3.1本次磋商及由此产生的合同受中华人民共和国有关的法律法规制约和保护。</w:t>
      </w:r>
    </w:p>
    <w:p w14:paraId="29C6CD46">
      <w:pPr>
        <w:keepNext/>
        <w:keepLines/>
        <w:spacing w:line="560" w:lineRule="exact"/>
        <w:ind w:firstLine="420"/>
        <w:outlineLvl w:val="3"/>
        <w:rPr>
          <w:rFonts w:ascii="Times New Roman" w:hAnsi="Times New Roman" w:eastAsia="黑体" w:cs="Arial"/>
          <w:color w:val="auto"/>
          <w:sz w:val="28"/>
          <w:szCs w:val="28"/>
        </w:rPr>
      </w:pPr>
      <w:bookmarkStart w:id="81" w:name="_Toc20823279"/>
      <w:bookmarkStart w:id="82" w:name="_Toc462564067"/>
      <w:bookmarkStart w:id="83" w:name="_Toc16938523"/>
      <w:bookmarkStart w:id="84" w:name="_Toc513029207"/>
      <w:r>
        <w:rPr>
          <w:rFonts w:hint="eastAsia" w:ascii="Times New Roman" w:hAnsi="Times New Roman" w:eastAsia="黑体" w:cs="Arial"/>
          <w:color w:val="auto"/>
          <w:sz w:val="28"/>
          <w:szCs w:val="28"/>
        </w:rPr>
        <w:t>4、磋商费用</w:t>
      </w:r>
      <w:bookmarkEnd w:id="81"/>
      <w:bookmarkEnd w:id="82"/>
      <w:bookmarkEnd w:id="83"/>
      <w:bookmarkEnd w:id="84"/>
    </w:p>
    <w:p w14:paraId="68D58708">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4.1供应商应自行承担所有与参加本次磋商有关的费用，无论磋商过程中的做法和结果如何，采购代理机构在任何情况下均无义务和责任承担这些费用。</w:t>
      </w:r>
    </w:p>
    <w:p w14:paraId="55826BB9">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4.2代理费用收取方式及标准：按以下第</w:t>
      </w:r>
      <w:r>
        <w:rPr>
          <w:rFonts w:hint="eastAsia" w:ascii="Times New Roman" w:hAnsi="Times New Roman"/>
          <w:color w:val="auto"/>
          <w:sz w:val="24"/>
          <w:szCs w:val="21"/>
          <w:u w:val="single"/>
        </w:rPr>
        <w:t>4.2.2</w:t>
      </w:r>
      <w:r>
        <w:rPr>
          <w:rFonts w:hint="eastAsia" w:ascii="Times New Roman" w:hAnsi="Times New Roman"/>
          <w:color w:val="auto"/>
          <w:sz w:val="24"/>
          <w:szCs w:val="21"/>
        </w:rPr>
        <w:t>种方式执行</w:t>
      </w:r>
    </w:p>
    <w:p w14:paraId="601B8CFF">
      <w:pPr>
        <w:spacing w:line="560" w:lineRule="exact"/>
        <w:ind w:firstLine="480"/>
        <w:rPr>
          <w:rFonts w:ascii="Times New Roman" w:hAnsi="Times New Roman"/>
          <w:color w:val="auto"/>
          <w:sz w:val="24"/>
          <w:szCs w:val="21"/>
          <w:lang w:val="zh-CN"/>
        </w:rPr>
      </w:pPr>
      <w:r>
        <w:rPr>
          <w:rFonts w:hint="eastAsia" w:ascii="Times New Roman" w:hAnsi="Times New Roman"/>
          <w:color w:val="auto"/>
          <w:sz w:val="24"/>
          <w:szCs w:val="21"/>
          <w:lang w:val="zh-CN"/>
        </w:rPr>
        <w:t>4.2.1无需支付；</w:t>
      </w:r>
    </w:p>
    <w:p w14:paraId="3D70DAED">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lang w:val="zh-CN"/>
        </w:rPr>
        <w:t>4.2.2具体方式及标准为：</w:t>
      </w:r>
      <w:r>
        <w:rPr>
          <w:rFonts w:hint="eastAsia" w:ascii="宋体" w:hAnsi="宋体" w:cs="宋体"/>
          <w:color w:val="auto"/>
          <w:sz w:val="24"/>
          <w:szCs w:val="21"/>
          <w:u w:val="single"/>
        </w:rPr>
        <w:t>按照苏政采协[2024]20号文标准收取代理费，代理费用由采购人支付，支付方式可以通过转账或数字人民币等方式</w:t>
      </w:r>
      <w:r>
        <w:rPr>
          <w:rFonts w:hint="eastAsia" w:ascii="Times New Roman" w:hAnsi="Times New Roman"/>
          <w:color w:val="auto"/>
          <w:sz w:val="24"/>
          <w:szCs w:val="21"/>
        </w:rPr>
        <w:t xml:space="preserve">。             </w:t>
      </w:r>
    </w:p>
    <w:p w14:paraId="1FE78DF1">
      <w:pPr>
        <w:keepNext/>
        <w:keepLines/>
        <w:spacing w:line="560" w:lineRule="exact"/>
        <w:ind w:firstLine="602"/>
        <w:outlineLvl w:val="3"/>
        <w:rPr>
          <w:rFonts w:ascii="Times New Roman" w:hAnsi="Times New Roman" w:eastAsia="黑体" w:cs="Arial"/>
          <w:color w:val="auto"/>
          <w:sz w:val="28"/>
          <w:szCs w:val="28"/>
        </w:rPr>
      </w:pPr>
      <w:r>
        <w:rPr>
          <w:rFonts w:hint="eastAsia" w:ascii="Times New Roman" w:hAnsi="Times New Roman" w:eastAsia="黑体" w:cs="Arial"/>
          <w:b/>
          <w:bCs/>
          <w:color w:val="auto"/>
          <w:sz w:val="30"/>
          <w:szCs w:val="28"/>
        </w:rPr>
        <w:t>5、</w:t>
      </w:r>
      <w:r>
        <w:rPr>
          <w:rFonts w:hint="eastAsia" w:ascii="Times New Roman" w:hAnsi="Times New Roman" w:eastAsia="黑体" w:cs="Arial"/>
          <w:color w:val="auto"/>
          <w:sz w:val="28"/>
          <w:szCs w:val="28"/>
        </w:rPr>
        <w:t>磋商文件的约束力</w:t>
      </w:r>
    </w:p>
    <w:p w14:paraId="12D8E23E">
      <w:pPr>
        <w:spacing w:line="560" w:lineRule="exact"/>
        <w:ind w:firstLine="480"/>
        <w:rPr>
          <w:rFonts w:ascii="Times New Roman" w:hAnsi="Times New Roman"/>
          <w:color w:val="auto"/>
          <w:sz w:val="24"/>
          <w:szCs w:val="24"/>
        </w:rPr>
      </w:pPr>
      <w:r>
        <w:rPr>
          <w:rFonts w:hint="eastAsia" w:ascii="Times New Roman" w:hAnsi="Times New Roman"/>
          <w:bCs/>
          <w:color w:val="auto"/>
          <w:sz w:val="24"/>
          <w:szCs w:val="24"/>
        </w:rPr>
        <w:t>5.1</w:t>
      </w:r>
      <w:r>
        <w:rPr>
          <w:rFonts w:hint="eastAsia" w:ascii="Times New Roman" w:hAnsi="Times New Roman"/>
          <w:color w:val="auto"/>
          <w:sz w:val="24"/>
          <w:szCs w:val="24"/>
        </w:rPr>
        <w:t>供应商一旦参加本项目采购活动，即被认为接受了本磋商文件的规定和约束。</w:t>
      </w:r>
    </w:p>
    <w:p w14:paraId="78815615">
      <w:pPr>
        <w:keepNext/>
        <w:keepLines/>
        <w:spacing w:line="560" w:lineRule="exact"/>
        <w:ind w:firstLine="321"/>
        <w:outlineLvl w:val="2"/>
        <w:rPr>
          <w:rFonts w:ascii="Times New Roman" w:hAnsi="Times New Roman"/>
          <w:b/>
          <w:bCs/>
          <w:color w:val="auto"/>
          <w:sz w:val="32"/>
          <w:szCs w:val="32"/>
        </w:rPr>
      </w:pPr>
      <w:bookmarkStart w:id="85" w:name="_Toc120614215"/>
      <w:bookmarkStart w:id="86" w:name="_Toc513029209"/>
      <w:bookmarkStart w:id="87" w:name="_Toc16938525"/>
      <w:bookmarkStart w:id="88" w:name="_Toc20823281"/>
      <w:r>
        <w:rPr>
          <w:rFonts w:hint="eastAsia" w:ascii="Times New Roman" w:hAnsi="Times New Roman"/>
          <w:b/>
          <w:bCs/>
          <w:color w:val="auto"/>
          <w:sz w:val="32"/>
          <w:szCs w:val="32"/>
        </w:rPr>
        <w:t>二、</w:t>
      </w:r>
      <w:bookmarkEnd w:id="85"/>
      <w:bookmarkEnd w:id="86"/>
      <w:bookmarkEnd w:id="87"/>
      <w:bookmarkEnd w:id="88"/>
      <w:r>
        <w:rPr>
          <w:rFonts w:hint="eastAsia" w:ascii="Times New Roman" w:hAnsi="Times New Roman"/>
          <w:b/>
          <w:bCs/>
          <w:color w:val="auto"/>
          <w:sz w:val="32"/>
          <w:szCs w:val="32"/>
        </w:rPr>
        <w:t>磋商文件</w:t>
      </w:r>
    </w:p>
    <w:p w14:paraId="78D810BC">
      <w:pPr>
        <w:keepNext/>
        <w:keepLines/>
        <w:spacing w:line="560" w:lineRule="exact"/>
        <w:ind w:firstLine="420"/>
        <w:outlineLvl w:val="3"/>
        <w:rPr>
          <w:rFonts w:ascii="Times New Roman" w:hAnsi="Times New Roman" w:eastAsia="黑体" w:cs="Arial"/>
          <w:color w:val="auto"/>
          <w:sz w:val="28"/>
          <w:szCs w:val="28"/>
        </w:rPr>
      </w:pPr>
      <w:bookmarkStart w:id="89" w:name="_Toc20823282"/>
      <w:bookmarkStart w:id="90" w:name="_Toc513029210"/>
      <w:bookmarkStart w:id="91" w:name="_Toc16938526"/>
      <w:r>
        <w:rPr>
          <w:rFonts w:hint="eastAsia" w:ascii="Times New Roman" w:hAnsi="Times New Roman" w:eastAsia="黑体" w:cs="Arial"/>
          <w:color w:val="auto"/>
          <w:sz w:val="28"/>
          <w:szCs w:val="28"/>
        </w:rPr>
        <w:t>6、磋商文件构成</w:t>
      </w:r>
      <w:bookmarkEnd w:id="89"/>
      <w:bookmarkEnd w:id="90"/>
      <w:bookmarkEnd w:id="91"/>
    </w:p>
    <w:p w14:paraId="6F77F918">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6.1磋商文件由以下部分组成：</w:t>
      </w:r>
    </w:p>
    <w:p w14:paraId="60B80EC8">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（1）磋商公告</w:t>
      </w:r>
    </w:p>
    <w:p w14:paraId="1BFBA794">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（2）供应商须知</w:t>
      </w:r>
    </w:p>
    <w:p w14:paraId="25E22431">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（3）合同文本</w:t>
      </w:r>
    </w:p>
    <w:p w14:paraId="7BB2C5F2">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（4）采购需求</w:t>
      </w:r>
    </w:p>
    <w:p w14:paraId="0F4E5D26">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（5）评审方法与评审标准</w:t>
      </w:r>
    </w:p>
    <w:p w14:paraId="1A16F1DD">
      <w:pPr>
        <w:spacing w:line="560" w:lineRule="exact"/>
        <w:ind w:firstLine="480"/>
        <w:rPr>
          <w:rFonts w:ascii="Times New Roman" w:hAnsi="Times New Roman"/>
          <w:bCs/>
          <w:color w:val="auto"/>
          <w:sz w:val="24"/>
          <w:szCs w:val="24"/>
        </w:rPr>
      </w:pPr>
      <w:r>
        <w:rPr>
          <w:rFonts w:hint="eastAsia" w:ascii="Times New Roman" w:hAnsi="Times New Roman"/>
          <w:bCs/>
          <w:color w:val="auto"/>
          <w:sz w:val="24"/>
          <w:szCs w:val="24"/>
        </w:rPr>
        <w:t>（6）响应文件格式</w:t>
      </w:r>
    </w:p>
    <w:p w14:paraId="03D472E6">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请仔细检查磋商文件是否齐全，如有缺漏请立即与采购代理机构联系解决。</w:t>
      </w:r>
    </w:p>
    <w:p w14:paraId="06E75579">
      <w:pPr>
        <w:spacing w:line="560" w:lineRule="exact"/>
        <w:ind w:firstLine="480"/>
        <w:rPr>
          <w:rFonts w:ascii="Times New Roman" w:hAnsi="Times New Roman"/>
          <w:color w:val="auto"/>
          <w:sz w:val="24"/>
          <w:szCs w:val="21"/>
        </w:rPr>
      </w:pPr>
      <w:r>
        <w:rPr>
          <w:rFonts w:hint="eastAsia" w:ascii="Times New Roman" w:hAnsi="Times New Roman"/>
          <w:bCs/>
          <w:color w:val="auto"/>
          <w:sz w:val="24"/>
          <w:szCs w:val="21"/>
        </w:rPr>
        <w:t>6.2</w:t>
      </w:r>
      <w:r>
        <w:rPr>
          <w:rFonts w:hint="eastAsia" w:ascii="Times New Roman" w:hAnsi="Times New Roman"/>
          <w:color w:val="auto"/>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07417A6">
      <w:pPr>
        <w:keepNext/>
        <w:keepLines/>
        <w:spacing w:line="560" w:lineRule="exact"/>
        <w:ind w:firstLine="560"/>
        <w:outlineLvl w:val="3"/>
        <w:rPr>
          <w:rFonts w:ascii="Times New Roman" w:hAnsi="Times New Roman" w:eastAsia="黑体" w:cs="Arial"/>
          <w:color w:val="auto"/>
          <w:sz w:val="28"/>
          <w:szCs w:val="28"/>
        </w:rPr>
      </w:pPr>
      <w:bookmarkStart w:id="92" w:name="_Toc20823283"/>
      <w:bookmarkStart w:id="93" w:name="_Toc16938527"/>
      <w:bookmarkStart w:id="94" w:name="_Toc513029211"/>
      <w:bookmarkStart w:id="95" w:name="_Toc462564070"/>
      <w:r>
        <w:rPr>
          <w:rFonts w:hint="eastAsia" w:ascii="Times New Roman" w:hAnsi="Times New Roman" w:eastAsia="黑体" w:cs="Arial"/>
          <w:color w:val="auto"/>
          <w:sz w:val="28"/>
          <w:szCs w:val="28"/>
        </w:rPr>
        <w:t>7、磋商文件的澄清</w:t>
      </w:r>
      <w:bookmarkEnd w:id="92"/>
      <w:bookmarkEnd w:id="93"/>
      <w:bookmarkEnd w:id="94"/>
      <w:bookmarkEnd w:id="95"/>
    </w:p>
    <w:p w14:paraId="3071D4B0">
      <w:pPr>
        <w:spacing w:line="560" w:lineRule="exact"/>
        <w:ind w:firstLine="480"/>
        <w:rPr>
          <w:rFonts w:ascii="Times New Roman" w:hAnsi="Times New Roman"/>
          <w:color w:val="auto"/>
          <w:sz w:val="24"/>
          <w:szCs w:val="24"/>
        </w:rPr>
      </w:pPr>
      <w:r>
        <w:rPr>
          <w:rFonts w:hint="eastAsia" w:ascii="Times New Roman" w:hAnsi="Times New Roman"/>
          <w:bCs/>
          <w:color w:val="auto"/>
          <w:sz w:val="24"/>
          <w:szCs w:val="21"/>
        </w:rPr>
        <w:t>7.1</w:t>
      </w:r>
      <w:r>
        <w:rPr>
          <w:rFonts w:hint="eastAsia" w:ascii="Times New Roman" w:hAnsi="Times New Roman"/>
          <w:color w:val="auto"/>
          <w:sz w:val="24"/>
          <w:szCs w:val="21"/>
        </w:rPr>
        <w:t>任何要求对磋商文件进行澄清的供应商，应在磋商截止期5日</w:t>
      </w:r>
      <w:r>
        <w:rPr>
          <w:rFonts w:hint="eastAsia" w:ascii="Times New Roman" w:hAnsi="Times New Roman"/>
          <w:color w:val="auto"/>
          <w:sz w:val="24"/>
          <w:szCs w:val="24"/>
        </w:rPr>
        <w:t>前</w:t>
      </w:r>
      <w:r>
        <w:rPr>
          <w:rFonts w:hint="eastAsia" w:ascii="Times New Roman" w:hAnsi="Times New Roman"/>
          <w:color w:val="auto"/>
          <w:sz w:val="24"/>
          <w:szCs w:val="21"/>
        </w:rPr>
        <w:t>按磋商公告中的通讯地址，以书面形式通知采购代理机构。</w:t>
      </w:r>
    </w:p>
    <w:p w14:paraId="14AA1DDA">
      <w:pPr>
        <w:keepNext/>
        <w:keepLines/>
        <w:spacing w:line="560" w:lineRule="exact"/>
        <w:ind w:firstLine="560"/>
        <w:outlineLvl w:val="3"/>
        <w:rPr>
          <w:rFonts w:ascii="Times New Roman" w:hAnsi="Times New Roman" w:eastAsia="黑体" w:cs="Arial"/>
          <w:color w:val="auto"/>
          <w:sz w:val="28"/>
          <w:szCs w:val="28"/>
        </w:rPr>
      </w:pPr>
      <w:bookmarkStart w:id="96" w:name="_Toc20823284"/>
      <w:bookmarkStart w:id="97" w:name="_Toc513029212"/>
      <w:bookmarkStart w:id="98" w:name="_Toc16938528"/>
      <w:bookmarkStart w:id="99" w:name="_Toc462564071"/>
      <w:r>
        <w:rPr>
          <w:rFonts w:hint="eastAsia" w:ascii="Times New Roman" w:hAnsi="Times New Roman" w:eastAsia="黑体" w:cs="Arial"/>
          <w:color w:val="auto"/>
          <w:sz w:val="28"/>
          <w:szCs w:val="28"/>
        </w:rPr>
        <w:t>8、磋商文件的澄清和修改</w:t>
      </w:r>
      <w:bookmarkEnd w:id="96"/>
      <w:bookmarkEnd w:id="97"/>
      <w:bookmarkEnd w:id="98"/>
      <w:bookmarkEnd w:id="99"/>
    </w:p>
    <w:p w14:paraId="6F44F6B5">
      <w:pPr>
        <w:spacing w:line="560" w:lineRule="exact"/>
        <w:ind w:firstLine="480"/>
        <w:rPr>
          <w:rFonts w:ascii="Times New Roman" w:hAnsi="Times New Roman"/>
          <w:bCs/>
          <w:color w:val="auto"/>
          <w:sz w:val="24"/>
        </w:rPr>
      </w:pPr>
      <w:r>
        <w:rPr>
          <w:rFonts w:hint="eastAsia" w:ascii="Times New Roman" w:hAnsi="Times New Roman"/>
          <w:bCs/>
          <w:color w:val="auto"/>
          <w:sz w:val="24"/>
        </w:rPr>
        <w:t>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rPr>
        <w:t>提交首次响应文件截止时间</w:t>
      </w:r>
      <w:r>
        <w:rPr>
          <w:rFonts w:hint="eastAsia" w:ascii="Times New Roman" w:hAnsi="Times New Roman"/>
          <w:bCs/>
          <w:color w:val="auto"/>
          <w:sz w:val="24"/>
        </w:rPr>
        <w:t>至少</w:t>
      </w:r>
      <w:r>
        <w:rPr>
          <w:rFonts w:ascii="Times New Roman" w:hAnsi="Times New Roman"/>
          <w:bCs/>
          <w:color w:val="auto"/>
          <w:sz w:val="24"/>
        </w:rPr>
        <w:t>5</w:t>
      </w:r>
      <w:r>
        <w:rPr>
          <w:rFonts w:hint="eastAsia" w:ascii="Times New Roman" w:hAnsi="Times New Roman"/>
          <w:bCs/>
          <w:color w:val="auto"/>
          <w:sz w:val="24"/>
        </w:rPr>
        <w:t>日前发出；不足</w:t>
      </w:r>
      <w:r>
        <w:rPr>
          <w:rFonts w:ascii="Times New Roman" w:hAnsi="Times New Roman"/>
          <w:bCs/>
          <w:color w:val="auto"/>
          <w:sz w:val="24"/>
        </w:rPr>
        <w:t>5</w:t>
      </w:r>
      <w:r>
        <w:rPr>
          <w:rFonts w:hint="eastAsia" w:ascii="Times New Roman" w:hAnsi="Times New Roman"/>
          <w:bCs/>
          <w:color w:val="auto"/>
          <w:sz w:val="24"/>
        </w:rPr>
        <w:t>日的，采购代理机构应当顺延</w:t>
      </w:r>
      <w:r>
        <w:rPr>
          <w:rFonts w:hint="eastAsia" w:ascii="Times New Roman" w:hAnsi="Times New Roman"/>
          <w:color w:val="auto"/>
          <w:sz w:val="24"/>
          <w:szCs w:val="21"/>
        </w:rPr>
        <w:t>提交首次响应文件截止时间</w:t>
      </w:r>
      <w:r>
        <w:rPr>
          <w:rFonts w:hint="eastAsia" w:ascii="Times New Roman" w:hAnsi="Times New Roman"/>
          <w:bCs/>
          <w:color w:val="auto"/>
          <w:sz w:val="24"/>
        </w:rPr>
        <w:t>。</w:t>
      </w:r>
    </w:p>
    <w:p w14:paraId="41811670">
      <w:pPr>
        <w:spacing w:line="560" w:lineRule="exact"/>
        <w:ind w:firstLine="480"/>
        <w:rPr>
          <w:rFonts w:ascii="Times New Roman" w:hAnsi="Times New Roman"/>
          <w:bCs/>
          <w:color w:val="auto"/>
          <w:sz w:val="24"/>
        </w:rPr>
      </w:pPr>
      <w:r>
        <w:rPr>
          <w:rFonts w:hint="eastAsia" w:ascii="Times New Roman" w:hAnsi="Times New Roman"/>
          <w:bCs/>
          <w:color w:val="auto"/>
          <w:sz w:val="24"/>
        </w:rPr>
        <w:t>8.2</w:t>
      </w:r>
      <w:r>
        <w:rPr>
          <w:rFonts w:hint="eastAsia" w:ascii="Times New Roman" w:hAnsi="Times New Roman"/>
          <w:color w:val="auto"/>
          <w:sz w:val="24"/>
          <w:szCs w:val="21"/>
        </w:rPr>
        <w:t>在响应文件提交截止时间前</w:t>
      </w:r>
      <w:r>
        <w:rPr>
          <w:rFonts w:hint="eastAsia" w:ascii="Times New Roman" w:hAnsi="Times New Roman"/>
          <w:bCs/>
          <w:color w:val="auto"/>
          <w:sz w:val="24"/>
        </w:rPr>
        <w:t>，采购代理机构可以对磋商文件进行修改。</w:t>
      </w:r>
    </w:p>
    <w:p w14:paraId="774BC903">
      <w:pPr>
        <w:spacing w:line="560" w:lineRule="exact"/>
        <w:ind w:firstLine="480"/>
        <w:rPr>
          <w:rFonts w:ascii="Times New Roman" w:hAnsi="Times New Roman"/>
          <w:bCs/>
          <w:color w:val="auto"/>
          <w:sz w:val="24"/>
        </w:rPr>
      </w:pPr>
      <w:r>
        <w:rPr>
          <w:rFonts w:hint="eastAsia" w:ascii="Times New Roman" w:hAnsi="Times New Roman"/>
          <w:bCs/>
          <w:color w:val="auto"/>
          <w:sz w:val="24"/>
        </w:rPr>
        <w:t>8.3采购代理机构有权按照法定的要求推迟响应文件递交截止日期和磋商日期。</w:t>
      </w:r>
    </w:p>
    <w:p w14:paraId="30283D26">
      <w:pPr>
        <w:spacing w:line="560" w:lineRule="exact"/>
        <w:ind w:firstLine="480"/>
        <w:rPr>
          <w:rFonts w:ascii="Times New Roman" w:hAnsi="Times New Roman"/>
          <w:bCs/>
          <w:color w:val="auto"/>
          <w:sz w:val="24"/>
        </w:rPr>
      </w:pPr>
      <w:r>
        <w:rPr>
          <w:rFonts w:hint="eastAsia" w:ascii="Times New Roman" w:hAnsi="Times New Roman"/>
          <w:bCs/>
          <w:color w:val="auto"/>
          <w:sz w:val="24"/>
        </w:rPr>
        <w:t>8.4磋商文件的修改将在原公告媒体上发布更正公告，</w:t>
      </w:r>
      <w:r>
        <w:rPr>
          <w:rFonts w:hint="eastAsia" w:ascii="Times New Roman" w:hAnsi="Times New Roman"/>
          <w:color w:val="auto"/>
          <w:sz w:val="24"/>
          <w:szCs w:val="21"/>
        </w:rPr>
        <w:t>更正公告内容将作为磋商文件的组成部分</w:t>
      </w:r>
      <w:r>
        <w:rPr>
          <w:rFonts w:hint="eastAsia" w:ascii="Times New Roman" w:hAnsi="Times New Roman"/>
          <w:bCs/>
          <w:color w:val="auto"/>
          <w:sz w:val="24"/>
        </w:rPr>
        <w:t>，并对供应商具有约束力，发布的更正公告视同为以书面形式通知所有获取竞争性磋商文件的潜在供应商。</w:t>
      </w:r>
    </w:p>
    <w:p w14:paraId="3F5E2F77">
      <w:pPr>
        <w:spacing w:line="560" w:lineRule="exact"/>
        <w:ind w:firstLine="480"/>
        <w:rPr>
          <w:rFonts w:ascii="Times New Roman" w:hAnsi="Times New Roman"/>
          <w:bCs/>
          <w:color w:val="auto"/>
          <w:sz w:val="24"/>
        </w:rPr>
      </w:pPr>
      <w:r>
        <w:rPr>
          <w:rFonts w:hint="eastAsia" w:ascii="Times New Roman" w:hAnsi="Times New Roman"/>
          <w:bCs/>
          <w:color w:val="auto"/>
          <w:sz w:val="24"/>
        </w:rPr>
        <w:t>8.5供应商应及时登录“苏采云”系统获取澄清答疑文件（修改后磋商文件），如因供应商原因未能及时下载澄清和修改后的磋商文件，由此造成的相关责任，由供应商承担。</w:t>
      </w:r>
    </w:p>
    <w:p w14:paraId="35B1832E">
      <w:pPr>
        <w:keepNext/>
        <w:keepLines/>
        <w:spacing w:line="560" w:lineRule="exact"/>
        <w:ind w:firstLine="482"/>
        <w:outlineLvl w:val="2"/>
        <w:rPr>
          <w:rFonts w:ascii="Times New Roman" w:hAnsi="Times New Roman"/>
          <w:b/>
          <w:bCs/>
          <w:color w:val="auto"/>
          <w:sz w:val="32"/>
          <w:szCs w:val="32"/>
        </w:rPr>
      </w:pPr>
      <w:bookmarkStart w:id="100" w:name="_Toc16938529"/>
      <w:bookmarkStart w:id="101" w:name="_Toc120614216"/>
      <w:bookmarkStart w:id="102" w:name="_Toc462564072"/>
      <w:bookmarkStart w:id="103" w:name="_Toc20823285"/>
      <w:bookmarkStart w:id="104" w:name="_Toc513029213"/>
      <w:r>
        <w:rPr>
          <w:rFonts w:hint="eastAsia" w:ascii="Times New Roman" w:hAnsi="Times New Roman"/>
          <w:b/>
          <w:bCs/>
          <w:color w:val="auto"/>
          <w:sz w:val="32"/>
          <w:szCs w:val="32"/>
        </w:rPr>
        <w:t>三、响应文件的编制</w:t>
      </w:r>
      <w:bookmarkEnd w:id="100"/>
      <w:bookmarkEnd w:id="101"/>
      <w:bookmarkEnd w:id="102"/>
      <w:bookmarkEnd w:id="103"/>
      <w:bookmarkEnd w:id="104"/>
    </w:p>
    <w:p w14:paraId="46DBAAFD">
      <w:pPr>
        <w:keepNext/>
        <w:keepLines/>
        <w:spacing w:line="560" w:lineRule="exact"/>
        <w:ind w:firstLine="560"/>
        <w:outlineLvl w:val="3"/>
        <w:rPr>
          <w:rFonts w:ascii="Times New Roman" w:hAnsi="Times New Roman" w:eastAsia="黑体" w:cs="Arial"/>
          <w:b/>
          <w:color w:val="auto"/>
          <w:sz w:val="28"/>
          <w:szCs w:val="28"/>
        </w:rPr>
      </w:pPr>
      <w:bookmarkStart w:id="105" w:name="_Toc20823286"/>
      <w:bookmarkStart w:id="106" w:name="_Toc16938530"/>
      <w:bookmarkStart w:id="107" w:name="_Toc462564073"/>
      <w:bookmarkStart w:id="108" w:name="_Toc513029214"/>
      <w:r>
        <w:rPr>
          <w:rFonts w:hint="eastAsia" w:ascii="Times New Roman" w:hAnsi="Times New Roman" w:eastAsia="黑体" w:cs="Arial"/>
          <w:color w:val="auto"/>
          <w:sz w:val="28"/>
          <w:szCs w:val="28"/>
        </w:rPr>
        <w:t>9、响应文件的语言及度量衡单位</w:t>
      </w:r>
      <w:bookmarkEnd w:id="105"/>
      <w:bookmarkEnd w:id="106"/>
      <w:bookmarkEnd w:id="107"/>
      <w:bookmarkEnd w:id="108"/>
    </w:p>
    <w:p w14:paraId="77936739">
      <w:pPr>
        <w:spacing w:line="560" w:lineRule="exact"/>
        <w:ind w:firstLine="480"/>
        <w:rPr>
          <w:rFonts w:ascii="Times New Roman" w:hAnsi="Times New Roman"/>
          <w:color w:val="auto"/>
          <w:sz w:val="24"/>
          <w:szCs w:val="21"/>
        </w:rPr>
      </w:pPr>
      <w:r>
        <w:rPr>
          <w:rFonts w:hint="eastAsia" w:ascii="Times New Roman" w:hAnsi="Times New Roman"/>
          <w:bCs/>
          <w:color w:val="auto"/>
          <w:sz w:val="24"/>
          <w:szCs w:val="21"/>
        </w:rPr>
        <w:t>9.1</w:t>
      </w:r>
      <w:r>
        <w:rPr>
          <w:rFonts w:hint="eastAsia" w:ascii="Times New Roman" w:hAnsi="Times New Roman"/>
          <w:color w:val="auto"/>
          <w:sz w:val="24"/>
          <w:szCs w:val="21"/>
        </w:rPr>
        <w:t>供应商提交的响应文件以及供应商与采购代理机构就有关磋商的所有来往通知、函件和文件均应使用</w:t>
      </w:r>
      <w:r>
        <w:rPr>
          <w:rFonts w:hint="eastAsia" w:ascii="Times New Roman" w:hAnsi="Times New Roman"/>
          <w:b/>
          <w:bCs/>
          <w:color w:val="auto"/>
          <w:sz w:val="24"/>
          <w:szCs w:val="21"/>
        </w:rPr>
        <w:t>简体中文</w:t>
      </w:r>
      <w:r>
        <w:rPr>
          <w:rFonts w:hint="eastAsia" w:ascii="Times New Roman" w:hAnsi="Times New Roman"/>
          <w:color w:val="auto"/>
          <w:sz w:val="24"/>
          <w:szCs w:val="21"/>
        </w:rPr>
        <w:t>。</w:t>
      </w:r>
    </w:p>
    <w:p w14:paraId="34DA02AD">
      <w:pPr>
        <w:spacing w:line="560" w:lineRule="exact"/>
        <w:ind w:firstLine="480"/>
        <w:rPr>
          <w:rFonts w:ascii="Times New Roman" w:hAnsi="Times New Roman"/>
          <w:color w:val="auto"/>
          <w:sz w:val="24"/>
          <w:szCs w:val="21"/>
        </w:rPr>
      </w:pPr>
      <w:r>
        <w:rPr>
          <w:rFonts w:hint="eastAsia" w:ascii="Times New Roman" w:hAnsi="Times New Roman"/>
          <w:bCs/>
          <w:color w:val="auto"/>
          <w:sz w:val="24"/>
          <w:szCs w:val="21"/>
        </w:rPr>
        <w:t>9.2</w:t>
      </w:r>
      <w:r>
        <w:rPr>
          <w:rFonts w:hint="eastAsia" w:ascii="Times New Roman" w:hAnsi="Times New Roman"/>
          <w:color w:val="auto"/>
          <w:sz w:val="24"/>
          <w:szCs w:val="21"/>
        </w:rPr>
        <w:t>除技术性能另有规定外，响应文件所使用的度量衡单位，均须采用国家法定计量单位。</w:t>
      </w:r>
    </w:p>
    <w:p w14:paraId="59462B95">
      <w:pPr>
        <w:keepNext/>
        <w:keepLines/>
        <w:spacing w:line="560" w:lineRule="exact"/>
        <w:ind w:firstLine="420"/>
        <w:outlineLvl w:val="3"/>
        <w:rPr>
          <w:rFonts w:ascii="Times New Roman" w:hAnsi="Times New Roman" w:eastAsia="黑体" w:cs="Arial"/>
          <w:color w:val="auto"/>
          <w:sz w:val="28"/>
          <w:szCs w:val="28"/>
        </w:rPr>
      </w:pPr>
      <w:bookmarkStart w:id="109" w:name="_Toc20823287"/>
      <w:bookmarkStart w:id="110" w:name="_Toc462564074"/>
      <w:bookmarkStart w:id="111" w:name="_Toc16938531"/>
      <w:bookmarkStart w:id="112" w:name="_Toc513029215"/>
      <w:r>
        <w:rPr>
          <w:rFonts w:hint="eastAsia" w:ascii="Times New Roman" w:hAnsi="Times New Roman" w:eastAsia="黑体" w:cs="Arial"/>
          <w:color w:val="auto"/>
          <w:sz w:val="28"/>
          <w:szCs w:val="28"/>
        </w:rPr>
        <w:t>10、响应文件构成</w:t>
      </w:r>
      <w:bookmarkEnd w:id="109"/>
      <w:bookmarkEnd w:id="110"/>
      <w:bookmarkEnd w:id="111"/>
      <w:bookmarkEnd w:id="112"/>
    </w:p>
    <w:p w14:paraId="442EDCE6">
      <w:pPr>
        <w:spacing w:line="560" w:lineRule="exact"/>
        <w:ind w:firstLine="480"/>
        <w:rPr>
          <w:rFonts w:ascii="Times New Roman" w:hAnsi="Times New Roman"/>
          <w:bCs/>
          <w:color w:val="auto"/>
          <w:sz w:val="24"/>
        </w:rPr>
      </w:pPr>
      <w:r>
        <w:rPr>
          <w:rFonts w:hint="eastAsia" w:ascii="Times New Roman" w:hAnsi="Times New Roman"/>
          <w:bCs/>
          <w:color w:val="auto"/>
          <w:sz w:val="24"/>
          <w:szCs w:val="21"/>
        </w:rPr>
        <w:t>10.1</w:t>
      </w:r>
      <w:r>
        <w:rPr>
          <w:rFonts w:hint="eastAsia" w:ascii="Times New Roman" w:hAnsi="Times New Roman"/>
          <w:bCs/>
          <w:color w:val="auto"/>
          <w:sz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C203C87">
      <w:pPr>
        <w:spacing w:line="560" w:lineRule="exact"/>
        <w:ind w:firstLine="480"/>
        <w:rPr>
          <w:rFonts w:ascii="Times New Roman" w:hAnsi="Times New Roman"/>
          <w:color w:val="auto"/>
          <w:sz w:val="24"/>
          <w:szCs w:val="21"/>
        </w:rPr>
      </w:pPr>
      <w:r>
        <w:rPr>
          <w:rFonts w:hint="eastAsia" w:ascii="Times New Roman" w:hAnsi="Times New Roman"/>
          <w:bCs/>
          <w:color w:val="auto"/>
          <w:sz w:val="24"/>
          <w:lang w:val="zh-CN"/>
        </w:rPr>
        <w:t>各供应商在编制</w:t>
      </w:r>
      <w:r>
        <w:rPr>
          <w:rFonts w:hint="eastAsia" w:ascii="Times New Roman" w:hAnsi="Times New Roman"/>
          <w:bCs/>
          <w:color w:val="auto"/>
          <w:sz w:val="24"/>
        </w:rPr>
        <w:t>响应文件</w:t>
      </w:r>
      <w:r>
        <w:rPr>
          <w:rFonts w:hint="eastAsia" w:ascii="Times New Roman" w:hAnsi="Times New Roman"/>
          <w:bCs/>
          <w:color w:val="auto"/>
          <w:sz w:val="24"/>
          <w:lang w:val="zh-CN"/>
        </w:rPr>
        <w:t>时请按照磋商文件第六</w:t>
      </w:r>
      <w:r>
        <w:rPr>
          <w:rFonts w:hint="eastAsia" w:ascii="Times New Roman" w:hAnsi="Times New Roman"/>
          <w:bCs/>
          <w:color w:val="auto"/>
          <w:sz w:val="24"/>
        </w:rPr>
        <w:t>章</w:t>
      </w:r>
      <w:r>
        <w:rPr>
          <w:rFonts w:hint="eastAsia" w:ascii="Times New Roman" w:hAnsi="Times New Roman"/>
          <w:bCs/>
          <w:color w:val="auto"/>
          <w:sz w:val="24"/>
          <w:lang w:val="zh-CN"/>
        </w:rPr>
        <w:t>规定的格式进行，混乱的编排导致</w:t>
      </w:r>
      <w:r>
        <w:rPr>
          <w:rFonts w:hint="eastAsia" w:ascii="Times New Roman" w:hAnsi="Times New Roman"/>
          <w:bCs/>
          <w:color w:val="auto"/>
          <w:sz w:val="24"/>
        </w:rPr>
        <w:t>响应</w:t>
      </w:r>
      <w:r>
        <w:rPr>
          <w:rFonts w:hint="eastAsia" w:ascii="Times New Roman" w:hAnsi="Times New Roman"/>
          <w:bCs/>
          <w:color w:val="auto"/>
          <w:sz w:val="24"/>
          <w:lang w:val="zh-CN"/>
        </w:rPr>
        <w:t>文件被误读或磋商小组查找不到有效文件是供应商的风险。</w:t>
      </w:r>
    </w:p>
    <w:p w14:paraId="29BEF6D1">
      <w:pPr>
        <w:spacing w:line="560" w:lineRule="exact"/>
        <w:ind w:firstLine="480"/>
        <w:rPr>
          <w:rFonts w:ascii="Times New Roman" w:hAnsi="Times New Roman"/>
          <w:color w:val="auto"/>
          <w:sz w:val="24"/>
        </w:rPr>
      </w:pPr>
      <w:r>
        <w:rPr>
          <w:rFonts w:hint="eastAsia" w:ascii="Times New Roman" w:hAnsi="Times New Roman"/>
          <w:color w:val="auto"/>
          <w:sz w:val="24"/>
          <w:szCs w:val="21"/>
        </w:rPr>
        <w:t>10.2</w:t>
      </w:r>
      <w:r>
        <w:rPr>
          <w:rFonts w:hint="eastAsia" w:ascii="Times New Roman" w:hAnsi="Times New Roman"/>
          <w:color w:val="auto"/>
          <w:sz w:val="24"/>
        </w:rPr>
        <w:t>供应商编写的响应文件应包括资格证明文件、响应及偏离表、其他证明文件、响应声明及承诺函、开标一览表等部分。</w:t>
      </w:r>
    </w:p>
    <w:p w14:paraId="15344EA9">
      <w:pPr>
        <w:spacing w:line="560" w:lineRule="exact"/>
        <w:ind w:firstLine="480"/>
        <w:rPr>
          <w:rFonts w:ascii="Times New Roman" w:hAnsi="Times New Roman"/>
          <w:bCs/>
          <w:color w:val="auto"/>
          <w:sz w:val="24"/>
        </w:rPr>
      </w:pPr>
      <w:r>
        <w:rPr>
          <w:rFonts w:hint="eastAsia" w:ascii="Times New Roman" w:hAnsi="Times New Roman"/>
          <w:bCs/>
          <w:color w:val="auto"/>
          <w:sz w:val="24"/>
        </w:rPr>
        <w:t>10.3响应文件须加盖电子签章之处，应按要求加盖</w:t>
      </w:r>
      <w:r>
        <w:rPr>
          <w:rFonts w:hint="eastAsia" w:ascii="Times New Roman" w:hAnsi="Times New Roman"/>
          <w:bCs/>
          <w:color w:val="auto"/>
          <w:sz w:val="24"/>
          <w:lang w:val="zh-CN"/>
        </w:rPr>
        <w:t>供应商</w:t>
      </w:r>
      <w:r>
        <w:rPr>
          <w:rFonts w:hint="eastAsia" w:ascii="Times New Roman" w:hAnsi="Times New Roman"/>
          <w:bCs/>
          <w:color w:val="auto"/>
          <w:sz w:val="24"/>
        </w:rPr>
        <w:t>数字证书的电子签章。其他需要盖章但未明确要求电子签章的，</w:t>
      </w:r>
      <w:r>
        <w:rPr>
          <w:rFonts w:hint="eastAsia" w:ascii="Times New Roman" w:hAnsi="Times New Roman"/>
          <w:bCs/>
          <w:color w:val="auto"/>
          <w:sz w:val="24"/>
          <w:lang w:val="zh-CN"/>
        </w:rPr>
        <w:t>供应商</w:t>
      </w:r>
      <w:r>
        <w:rPr>
          <w:rFonts w:hint="eastAsia" w:ascii="Times New Roman" w:hAnsi="Times New Roman"/>
          <w:bCs/>
          <w:color w:val="auto"/>
          <w:sz w:val="24"/>
        </w:rPr>
        <w:t xml:space="preserve">可按要求加盖公章后上传材料电子件或直接加盖电子签章。 </w:t>
      </w:r>
    </w:p>
    <w:p w14:paraId="11191FE8">
      <w:pPr>
        <w:spacing w:line="560" w:lineRule="exact"/>
        <w:ind w:firstLine="480"/>
        <w:rPr>
          <w:rFonts w:ascii="Times New Roman" w:hAnsi="Times New Roman"/>
          <w:bCs/>
          <w:color w:val="auto"/>
          <w:sz w:val="24"/>
        </w:rPr>
      </w:pPr>
      <w:r>
        <w:rPr>
          <w:rFonts w:hint="eastAsia" w:ascii="Times New Roman" w:hAnsi="Times New Roman"/>
          <w:bCs/>
          <w:color w:val="auto"/>
          <w:sz w:val="24"/>
        </w:rPr>
        <w:t>10.4本项目通过“苏采云”系统进行电子招标投标，即</w:t>
      </w:r>
      <w:r>
        <w:rPr>
          <w:rFonts w:hint="eastAsia" w:ascii="Times New Roman" w:hAnsi="Times New Roman"/>
          <w:bCs/>
          <w:color w:val="auto"/>
          <w:sz w:val="24"/>
          <w:lang w:val="zh-CN"/>
        </w:rPr>
        <w:t>供应商</w:t>
      </w:r>
      <w:r>
        <w:rPr>
          <w:rFonts w:hint="eastAsia" w:ascii="Times New Roman" w:hAnsi="Times New Roman"/>
          <w:bCs/>
          <w:color w:val="auto"/>
          <w:sz w:val="24"/>
        </w:rPr>
        <w:t>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lang w:val="zh-CN"/>
        </w:rPr>
        <w:t>供应商</w:t>
      </w:r>
      <w:r>
        <w:rPr>
          <w:rFonts w:hint="eastAsia" w:ascii="Times New Roman" w:hAnsi="Times New Roman"/>
          <w:bCs/>
          <w:color w:val="auto"/>
          <w:sz w:val="24"/>
        </w:rPr>
        <w:t>，按照无效响应处理</w:t>
      </w:r>
      <w:r>
        <w:rPr>
          <w:rFonts w:hint="eastAsia" w:ascii="宋体" w:hAnsi="宋体" w:cs="宋体"/>
          <w:bCs/>
          <w:color w:val="auto"/>
          <w:sz w:val="24"/>
        </w:rPr>
        <w:t>(因“苏采云”系统导致解密失败的除外)</w:t>
      </w:r>
      <w:r>
        <w:rPr>
          <w:rFonts w:hint="eastAsia" w:ascii="Times New Roman" w:hAnsi="Times New Roman"/>
          <w:bCs/>
          <w:color w:val="auto"/>
          <w:sz w:val="24"/>
        </w:rPr>
        <w:t>。</w:t>
      </w:r>
    </w:p>
    <w:p w14:paraId="02A4A645">
      <w:pPr>
        <w:spacing w:line="560" w:lineRule="exact"/>
        <w:ind w:firstLine="480"/>
        <w:rPr>
          <w:rFonts w:ascii="Times New Roman" w:hAnsi="Times New Roman"/>
          <w:bCs/>
          <w:color w:val="auto"/>
          <w:sz w:val="24"/>
        </w:rPr>
      </w:pPr>
      <w:r>
        <w:rPr>
          <w:rFonts w:hint="eastAsia" w:ascii="Times New Roman" w:hAnsi="Times New Roman"/>
          <w:bCs/>
          <w:color w:val="auto"/>
          <w:sz w:val="24"/>
        </w:rPr>
        <w:t>10.5如标书制作工具中格式和内容与“宿迁市政府采购网”发布的磋商文件不一致，请以“宿迁市政府采购网”发布的磋商文件为准。</w:t>
      </w:r>
    </w:p>
    <w:p w14:paraId="0BA772BA">
      <w:pPr>
        <w:spacing w:line="560" w:lineRule="exact"/>
        <w:ind w:firstLine="480"/>
        <w:rPr>
          <w:rFonts w:ascii="Times New Roman" w:hAnsi="Times New Roman"/>
          <w:bCs/>
          <w:color w:val="auto"/>
          <w:sz w:val="24"/>
        </w:rPr>
      </w:pPr>
      <w:r>
        <w:rPr>
          <w:rFonts w:hint="eastAsia" w:ascii="Times New Roman" w:hAnsi="Times New Roman"/>
          <w:bCs/>
          <w:color w:val="auto"/>
          <w:sz w:val="24"/>
        </w:rPr>
        <w:t xml:space="preserve">10.6成交后按相关要求提供与电子响应文件一致的纸质打印响应文件2份。 </w:t>
      </w:r>
    </w:p>
    <w:p w14:paraId="4231519D">
      <w:pPr>
        <w:spacing w:line="560" w:lineRule="exact"/>
        <w:ind w:firstLine="480"/>
        <w:rPr>
          <w:rFonts w:ascii="Times New Roman" w:hAnsi="Times New Roman"/>
          <w:color w:val="auto"/>
          <w:sz w:val="24"/>
        </w:rPr>
      </w:pPr>
      <w:bookmarkStart w:id="113" w:name="EBc50e2bb832bb43068403b10c1cce6141"/>
      <w:r>
        <w:rPr>
          <w:rFonts w:hint="eastAsia" w:ascii="Times New Roman" w:hAnsi="Times New Roman"/>
          <w:bCs/>
          <w:color w:val="auto"/>
          <w:sz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3"/>
    </w:p>
    <w:p w14:paraId="74C56555">
      <w:pPr>
        <w:keepNext/>
        <w:keepLines/>
        <w:spacing w:line="560" w:lineRule="exact"/>
        <w:ind w:firstLine="420"/>
        <w:outlineLvl w:val="3"/>
        <w:rPr>
          <w:rFonts w:ascii="Times New Roman" w:hAnsi="Times New Roman" w:eastAsia="黑体" w:cs="Arial"/>
          <w:color w:val="auto"/>
          <w:sz w:val="28"/>
          <w:szCs w:val="28"/>
        </w:rPr>
      </w:pPr>
      <w:bookmarkStart w:id="114" w:name="_Hlt26670360"/>
      <w:bookmarkEnd w:id="114"/>
      <w:bookmarkStart w:id="115" w:name="_Hlt26668975"/>
      <w:bookmarkEnd w:id="115"/>
      <w:bookmarkStart w:id="116" w:name="_Hlt26954838"/>
      <w:bookmarkEnd w:id="116"/>
      <w:bookmarkStart w:id="117" w:name="_Toc49090507"/>
      <w:bookmarkStart w:id="118" w:name="_Toc513029216"/>
      <w:bookmarkStart w:id="119" w:name="_Toc14577354"/>
      <w:bookmarkStart w:id="120" w:name="_Toc513029219"/>
      <w:bookmarkStart w:id="121" w:name="_Toc49090509"/>
      <w:bookmarkStart w:id="122" w:name="_Toc14577357"/>
      <w:bookmarkStart w:id="123" w:name="_Toc49090508"/>
      <w:bookmarkStart w:id="124" w:name="_Toc14577355"/>
      <w:r>
        <w:rPr>
          <w:rFonts w:hint="eastAsia" w:ascii="Times New Roman" w:hAnsi="Times New Roman" w:eastAsia="黑体" w:cs="Arial"/>
          <w:color w:val="auto"/>
          <w:sz w:val="28"/>
          <w:szCs w:val="28"/>
        </w:rPr>
        <w:t>11、证明磋商响应标的符合磋商文件规定的文件</w:t>
      </w:r>
      <w:bookmarkEnd w:id="117"/>
      <w:bookmarkEnd w:id="118"/>
      <w:bookmarkEnd w:id="119"/>
      <w:bookmarkEnd w:id="120"/>
      <w:bookmarkEnd w:id="121"/>
      <w:bookmarkEnd w:id="122"/>
    </w:p>
    <w:p w14:paraId="4F9B2E60">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11.1供应商应按照磋商文件要求提交证明文件，证明其及磋商响应标的符合磋商文件规定。</w:t>
      </w:r>
    </w:p>
    <w:p w14:paraId="39AA1E03">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11.2磋商文件对证明文件无明确形式要求的，证明文件可以以文字资料、图纸和数据等形式提交。</w:t>
      </w:r>
      <w:bookmarkEnd w:id="123"/>
      <w:bookmarkEnd w:id="124"/>
    </w:p>
    <w:p w14:paraId="6811CF1F">
      <w:pPr>
        <w:keepNext/>
        <w:keepLines/>
        <w:spacing w:line="560" w:lineRule="exact"/>
        <w:ind w:firstLine="420"/>
        <w:outlineLvl w:val="3"/>
        <w:rPr>
          <w:rFonts w:ascii="Times New Roman" w:hAnsi="Times New Roman" w:eastAsia="黑体" w:cs="Arial"/>
          <w:color w:val="auto"/>
          <w:sz w:val="28"/>
          <w:szCs w:val="28"/>
        </w:rPr>
      </w:pPr>
      <w:r>
        <w:rPr>
          <w:rFonts w:hint="eastAsia" w:ascii="Times New Roman" w:hAnsi="Times New Roman" w:eastAsia="黑体" w:cs="Arial"/>
          <w:color w:val="auto"/>
          <w:sz w:val="28"/>
          <w:szCs w:val="28"/>
        </w:rPr>
        <w:t>12、明细报价表</w:t>
      </w:r>
    </w:p>
    <w:p w14:paraId="2998656C">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12.1</w:t>
      </w:r>
      <w:r>
        <w:rPr>
          <w:rFonts w:hint="eastAsia" w:ascii="Times New Roman" w:hAnsi="Times New Roman"/>
          <w:color w:val="auto"/>
          <w:sz w:val="24"/>
          <w:szCs w:val="21"/>
        </w:rPr>
        <w:t>供应商应按照磋商文件规定格式填报明细报价表。</w:t>
      </w:r>
    </w:p>
    <w:p w14:paraId="190C39D2">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12.2</w:t>
      </w:r>
      <w:r>
        <w:rPr>
          <w:rFonts w:hint="eastAsia" w:ascii="Times New Roman" w:hAnsi="Times New Roman"/>
          <w:bCs/>
          <w:color w:val="auto"/>
          <w:sz w:val="24"/>
          <w:szCs w:val="21"/>
        </w:rPr>
        <w:t>磋商货币。响应文件中的单价和总价无特殊规定的采用人民币报价，以元为单位标注。</w:t>
      </w:r>
      <w:r>
        <w:rPr>
          <w:rFonts w:hint="eastAsia" w:ascii="Times New Roman" w:hAnsi="Times New Roman"/>
          <w:color w:val="auto"/>
          <w:sz w:val="24"/>
          <w:szCs w:val="21"/>
        </w:rPr>
        <w:t>磋商文件中另有规定的按规定执行。</w:t>
      </w:r>
    </w:p>
    <w:p w14:paraId="681F18A5">
      <w:pPr>
        <w:spacing w:line="560" w:lineRule="exact"/>
        <w:ind w:firstLine="480"/>
        <w:rPr>
          <w:rFonts w:ascii="Times New Roman" w:hAnsi="Times New Roman"/>
          <w:bCs/>
          <w:color w:val="auto"/>
          <w:sz w:val="24"/>
          <w:szCs w:val="21"/>
        </w:rPr>
      </w:pPr>
      <w:r>
        <w:rPr>
          <w:rFonts w:hint="eastAsia" w:ascii="Times New Roman" w:hAnsi="Times New Roman"/>
          <w:bCs/>
          <w:color w:val="auto"/>
          <w:sz w:val="24"/>
        </w:rPr>
        <w:t>12.3本项目不接受备选的投标方案或有选择的报价，只允许有一个报价。供应商响应文件中的报价作为首次报价，不公开；以最后报价作为评审价。</w:t>
      </w:r>
      <w:r>
        <w:rPr>
          <w:rFonts w:hint="eastAsia" w:ascii="宋体" w:hAnsi="宋体" w:cs="宋体"/>
          <w:bCs/>
          <w:color w:val="auto"/>
          <w:sz w:val="24"/>
          <w:szCs w:val="24"/>
        </w:rPr>
        <w:t>投标人的投标价，</w:t>
      </w:r>
      <w:r>
        <w:rPr>
          <w:rFonts w:hint="eastAsia"/>
          <w:color w:val="auto"/>
          <w:sz w:val="24"/>
          <w:szCs w:val="24"/>
        </w:rPr>
        <w:t>费用为完成本项目的相关任务的全部费用，包含但不限于：采样和检测综合服务所需要的服务费、样品购买费、各种税费、人工、保险、劳保、利润、税金及合同包含的所有风险、责任等各项应有的所有费用。</w:t>
      </w:r>
    </w:p>
    <w:p w14:paraId="17373CE0">
      <w:pPr>
        <w:keepNext/>
        <w:keepLines/>
        <w:spacing w:line="560" w:lineRule="exact"/>
        <w:ind w:firstLine="420"/>
        <w:outlineLvl w:val="3"/>
        <w:rPr>
          <w:rFonts w:ascii="Times New Roman" w:hAnsi="Times New Roman" w:eastAsia="黑体" w:cs="Arial"/>
          <w:color w:val="auto"/>
          <w:sz w:val="28"/>
          <w:szCs w:val="28"/>
        </w:rPr>
      </w:pPr>
      <w:bookmarkStart w:id="125" w:name="_Hlt26954848"/>
      <w:bookmarkEnd w:id="125"/>
      <w:bookmarkStart w:id="126" w:name="_Hlt26954846"/>
      <w:bookmarkEnd w:id="126"/>
      <w:bookmarkStart w:id="127" w:name="_Hlt26670486"/>
      <w:bookmarkEnd w:id="127"/>
      <w:bookmarkStart w:id="128" w:name="_Hlt26954731"/>
      <w:bookmarkEnd w:id="128"/>
      <w:bookmarkStart w:id="129" w:name="_Hlt26670482"/>
      <w:bookmarkEnd w:id="129"/>
      <w:r>
        <w:rPr>
          <w:rFonts w:hint="eastAsia" w:ascii="Times New Roman" w:hAnsi="Times New Roman" w:eastAsia="黑体" w:cs="Arial"/>
          <w:color w:val="auto"/>
          <w:sz w:val="28"/>
          <w:szCs w:val="28"/>
        </w:rPr>
        <w:t>13、技术要求响应及偏离表、商务要求响应及偏离表</w:t>
      </w:r>
    </w:p>
    <w:p w14:paraId="0B69A290">
      <w:pPr>
        <w:spacing w:line="560" w:lineRule="exact"/>
        <w:ind w:firstLine="480"/>
        <w:rPr>
          <w:rFonts w:ascii="Times New Roman" w:hAnsi="Times New Roman" w:cs="宋体"/>
          <w:color w:val="auto"/>
          <w:sz w:val="24"/>
          <w:szCs w:val="21"/>
          <w:lang w:val="zh-CN"/>
        </w:rPr>
      </w:pPr>
      <w:r>
        <w:rPr>
          <w:rFonts w:ascii="Times New Roman" w:hAnsi="Times New Roman" w:cs="宋体"/>
          <w:bCs/>
          <w:color w:val="auto"/>
          <w:sz w:val="24"/>
          <w:szCs w:val="21"/>
          <w:lang w:val="zh-CN"/>
        </w:rPr>
        <w:t>1</w:t>
      </w:r>
      <w:r>
        <w:rPr>
          <w:rFonts w:hint="eastAsia" w:ascii="Times New Roman" w:hAnsi="Times New Roman" w:cs="宋体"/>
          <w:bCs/>
          <w:color w:val="auto"/>
          <w:sz w:val="24"/>
          <w:szCs w:val="21"/>
          <w:lang w:val="zh-CN"/>
        </w:rPr>
        <w:t>3</w:t>
      </w:r>
      <w:r>
        <w:rPr>
          <w:rFonts w:ascii="Times New Roman" w:hAnsi="Times New Roman" w:cs="宋体"/>
          <w:bCs/>
          <w:color w:val="auto"/>
          <w:sz w:val="24"/>
          <w:szCs w:val="21"/>
          <w:lang w:val="zh-CN"/>
        </w:rPr>
        <w:t>.1</w:t>
      </w:r>
      <w:r>
        <w:rPr>
          <w:rFonts w:hint="eastAsia" w:ascii="Times New Roman" w:hAnsi="Times New Roman" w:cs="宋体"/>
          <w:color w:val="auto"/>
          <w:sz w:val="24"/>
          <w:szCs w:val="21"/>
          <w:lang w:val="zh-CN"/>
        </w:rPr>
        <w:t>供应商需对磋商文件中的技术要求与商务要求逐项作出响应或偏离，并说明原因。</w:t>
      </w:r>
    </w:p>
    <w:p w14:paraId="2E3B59E3">
      <w:pPr>
        <w:spacing w:line="560" w:lineRule="exact"/>
        <w:ind w:firstLine="480"/>
        <w:rPr>
          <w:rFonts w:ascii="Times New Roman" w:hAnsi="Times New Roman" w:cs="宋体"/>
          <w:color w:val="auto"/>
          <w:sz w:val="24"/>
          <w:szCs w:val="21"/>
          <w:lang w:val="zh-CN"/>
        </w:rPr>
      </w:pPr>
      <w:r>
        <w:rPr>
          <w:rFonts w:hint="eastAsia" w:ascii="Times New Roman" w:hAnsi="Times New Roman" w:cs="宋体"/>
          <w:color w:val="auto"/>
          <w:sz w:val="24"/>
          <w:szCs w:val="21"/>
          <w:lang w:val="zh-CN"/>
        </w:rPr>
        <w:t>13.2供应商可在响应文件中提供认为需要的其他技术文件或说明。</w:t>
      </w:r>
    </w:p>
    <w:p w14:paraId="4B0EB13D">
      <w:pPr>
        <w:keepNext/>
        <w:keepLines/>
        <w:spacing w:line="560" w:lineRule="exact"/>
        <w:ind w:firstLine="420"/>
        <w:outlineLvl w:val="3"/>
        <w:rPr>
          <w:rFonts w:ascii="Times New Roman" w:hAnsi="Times New Roman" w:eastAsia="黑体" w:cs="Arial"/>
          <w:color w:val="auto"/>
          <w:sz w:val="28"/>
          <w:szCs w:val="28"/>
        </w:rPr>
      </w:pPr>
      <w:r>
        <w:rPr>
          <w:rFonts w:hint="eastAsia" w:ascii="Times New Roman" w:hAnsi="Times New Roman" w:eastAsia="黑体" w:cs="Arial"/>
          <w:color w:val="auto"/>
          <w:sz w:val="28"/>
          <w:szCs w:val="28"/>
        </w:rPr>
        <w:t>14、服务承诺、培训计划、人员安排及其他</w:t>
      </w:r>
    </w:p>
    <w:p w14:paraId="4A467E52">
      <w:pPr>
        <w:spacing w:line="560" w:lineRule="exact"/>
        <w:ind w:firstLine="480"/>
        <w:rPr>
          <w:rFonts w:ascii="Times New Roman" w:hAnsi="Times New Roman"/>
          <w:color w:val="auto"/>
          <w:sz w:val="24"/>
          <w:szCs w:val="24"/>
        </w:rPr>
      </w:pPr>
      <w:r>
        <w:rPr>
          <w:rFonts w:hint="eastAsia" w:ascii="Times New Roman" w:hAnsi="Times New Roman"/>
          <w:bCs/>
          <w:color w:val="auto"/>
          <w:sz w:val="24"/>
          <w:szCs w:val="24"/>
        </w:rPr>
        <w:t>14.1</w:t>
      </w:r>
      <w:r>
        <w:rPr>
          <w:rFonts w:hint="eastAsia" w:ascii="Times New Roman" w:hAnsi="Times New Roman"/>
          <w:color w:val="auto"/>
          <w:sz w:val="24"/>
          <w:szCs w:val="24"/>
        </w:rPr>
        <w:t>供应商需根据磋商文件要求提供有关售后服务的管理制度，售后服务机构的分布情况，售后服务人员的数量、素质、技术水平及售后服务的反应能力等。</w:t>
      </w:r>
    </w:p>
    <w:p w14:paraId="1C37BFDF">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14.2供应商需根据磋商文件要求提供培训计划。</w:t>
      </w:r>
    </w:p>
    <w:p w14:paraId="258A783D">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14.3供应商需根据磋商文件要求提供</w:t>
      </w:r>
      <w:r>
        <w:rPr>
          <w:rFonts w:hint="eastAsia" w:ascii="Times New Roman" w:hAnsi="Times New Roman" w:cs="宋体"/>
          <w:color w:val="auto"/>
          <w:sz w:val="24"/>
          <w:szCs w:val="21"/>
          <w:lang w:val="zh-CN"/>
        </w:rPr>
        <w:t>磋商响应标的的主要组成部分、功能设计、实现思路及关键技术等。</w:t>
      </w:r>
    </w:p>
    <w:p w14:paraId="5E9E6F57">
      <w:pPr>
        <w:keepNext/>
        <w:keepLines/>
        <w:spacing w:line="560" w:lineRule="exact"/>
        <w:ind w:firstLine="420"/>
        <w:outlineLvl w:val="3"/>
        <w:rPr>
          <w:rFonts w:ascii="Times New Roman" w:hAnsi="Times New Roman" w:eastAsia="黑体" w:cs="Arial"/>
          <w:color w:val="auto"/>
          <w:sz w:val="28"/>
          <w:szCs w:val="28"/>
        </w:rPr>
      </w:pPr>
      <w:bookmarkStart w:id="130" w:name="_Toc14577359"/>
      <w:bookmarkStart w:id="131" w:name="_Toc49090510"/>
      <w:r>
        <w:rPr>
          <w:rFonts w:hint="eastAsia" w:ascii="Times New Roman" w:hAnsi="Times New Roman" w:eastAsia="黑体" w:cs="Arial"/>
          <w:color w:val="auto"/>
          <w:sz w:val="28"/>
          <w:szCs w:val="28"/>
        </w:rPr>
        <w:t>15、磋商响应函</w:t>
      </w:r>
    </w:p>
    <w:p w14:paraId="5F956CC4">
      <w:pPr>
        <w:spacing w:line="560" w:lineRule="exact"/>
        <w:ind w:firstLine="480"/>
        <w:rPr>
          <w:rFonts w:ascii="Times New Roman" w:hAnsi="Times New Roman"/>
          <w:color w:val="auto"/>
          <w:sz w:val="24"/>
          <w:szCs w:val="21"/>
        </w:rPr>
      </w:pPr>
      <w:r>
        <w:rPr>
          <w:rFonts w:hint="eastAsia" w:ascii="Times New Roman" w:hAnsi="Times New Roman"/>
          <w:bCs/>
          <w:color w:val="auto"/>
          <w:sz w:val="24"/>
          <w:szCs w:val="21"/>
        </w:rPr>
        <w:t>15.1</w:t>
      </w:r>
      <w:r>
        <w:rPr>
          <w:rFonts w:hint="eastAsia" w:ascii="Times New Roman" w:hAnsi="Times New Roman"/>
          <w:color w:val="auto"/>
          <w:sz w:val="24"/>
          <w:szCs w:val="21"/>
        </w:rPr>
        <w:t>供应商应按照磋商文件中提供的格式完整、正确填写磋商响应函。</w:t>
      </w:r>
      <w:bookmarkEnd w:id="130"/>
      <w:bookmarkEnd w:id="131"/>
    </w:p>
    <w:p w14:paraId="570EB0EC">
      <w:pPr>
        <w:keepNext/>
        <w:keepLines/>
        <w:spacing w:line="560" w:lineRule="exact"/>
        <w:ind w:firstLine="420"/>
        <w:outlineLvl w:val="3"/>
        <w:rPr>
          <w:rFonts w:ascii="Times New Roman" w:hAnsi="Times New Roman" w:eastAsia="黑体" w:cs="Arial"/>
          <w:color w:val="auto"/>
          <w:sz w:val="28"/>
          <w:szCs w:val="28"/>
        </w:rPr>
      </w:pPr>
      <w:bookmarkStart w:id="132" w:name="_Toc14577360"/>
      <w:bookmarkStart w:id="133" w:name="_Toc49090511"/>
      <w:r>
        <w:rPr>
          <w:rFonts w:hint="eastAsia" w:ascii="Times New Roman" w:hAnsi="Times New Roman" w:eastAsia="黑体" w:cs="Arial"/>
          <w:color w:val="auto"/>
          <w:sz w:val="28"/>
          <w:szCs w:val="28"/>
        </w:rPr>
        <w:t>16、磋商有效期</w:t>
      </w:r>
      <w:bookmarkEnd w:id="132"/>
      <w:bookmarkEnd w:id="133"/>
    </w:p>
    <w:p w14:paraId="27C930F0">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16.1磋商有效期为提交响应文件截止之日后</w:t>
      </w:r>
      <w:r>
        <w:rPr>
          <w:rFonts w:hint="eastAsia" w:ascii="Times New Roman" w:hAnsi="Times New Roman"/>
          <w:b/>
          <w:color w:val="auto"/>
          <w:sz w:val="24"/>
          <w:szCs w:val="21"/>
          <w:u w:val="single"/>
        </w:rPr>
        <w:t>六十（60）天</w:t>
      </w:r>
      <w:r>
        <w:rPr>
          <w:rFonts w:hint="eastAsia" w:ascii="Times New Roman" w:hAnsi="Times New Roman"/>
          <w:bCs/>
          <w:color w:val="auto"/>
          <w:sz w:val="24"/>
          <w:szCs w:val="21"/>
        </w:rPr>
        <w:t>。磋商有效期比规定短的将被视为非实质性响应磋商文件而予以拒绝。</w:t>
      </w:r>
    </w:p>
    <w:p w14:paraId="37089DF0">
      <w:pPr>
        <w:keepNext/>
        <w:keepLines/>
        <w:spacing w:line="560" w:lineRule="exact"/>
        <w:ind w:firstLine="420"/>
        <w:outlineLvl w:val="3"/>
        <w:rPr>
          <w:rFonts w:ascii="Times New Roman" w:hAnsi="Times New Roman" w:eastAsia="黑体" w:cs="Arial"/>
          <w:color w:val="auto"/>
          <w:sz w:val="28"/>
          <w:szCs w:val="28"/>
        </w:rPr>
      </w:pPr>
      <w:r>
        <w:rPr>
          <w:rFonts w:hint="eastAsia" w:ascii="Times New Roman" w:hAnsi="Times New Roman" w:eastAsia="黑体" w:cs="Arial"/>
          <w:color w:val="auto"/>
          <w:sz w:val="28"/>
          <w:szCs w:val="28"/>
        </w:rPr>
        <w:t>1</w:t>
      </w:r>
      <w:r>
        <w:rPr>
          <w:rFonts w:ascii="Times New Roman" w:hAnsi="Times New Roman" w:eastAsia="黑体" w:cs="Arial"/>
          <w:color w:val="auto"/>
          <w:sz w:val="28"/>
          <w:szCs w:val="28"/>
        </w:rPr>
        <w:t>7</w:t>
      </w:r>
      <w:r>
        <w:rPr>
          <w:rFonts w:hint="eastAsia" w:ascii="Times New Roman" w:hAnsi="Times New Roman" w:eastAsia="黑体" w:cs="Arial"/>
          <w:color w:val="auto"/>
          <w:sz w:val="28"/>
          <w:szCs w:val="28"/>
        </w:rPr>
        <w:t>、磋商有效期的延长</w:t>
      </w:r>
    </w:p>
    <w:p w14:paraId="3FBB5F77">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17.1在特殊情况下，</w:t>
      </w:r>
      <w:r>
        <w:rPr>
          <w:rFonts w:hint="eastAsia" w:ascii="Times New Roman" w:hAnsi="Times New Roman"/>
          <w:color w:val="auto"/>
          <w:sz w:val="24"/>
          <w:szCs w:val="21"/>
        </w:rPr>
        <w:t>采购代理机构</w:t>
      </w:r>
      <w:r>
        <w:rPr>
          <w:rFonts w:hint="eastAsia" w:ascii="Times New Roman" w:hAnsi="Times New Roman"/>
          <w:bCs/>
          <w:color w:val="auto"/>
          <w:sz w:val="24"/>
          <w:szCs w:val="21"/>
        </w:rPr>
        <w:t>于原磋商有效期满之前，可向供应商提出延长磋商有效期的要求。这种要求与答复均应采用书面形式。供应商可以拒绝</w:t>
      </w:r>
      <w:r>
        <w:rPr>
          <w:rFonts w:hint="eastAsia" w:ascii="Times New Roman" w:hAnsi="Times New Roman"/>
          <w:color w:val="auto"/>
          <w:sz w:val="24"/>
          <w:szCs w:val="21"/>
        </w:rPr>
        <w:t>采购代理机构</w:t>
      </w:r>
      <w:r>
        <w:rPr>
          <w:rFonts w:hint="eastAsia" w:ascii="Times New Roman" w:hAnsi="Times New Roman"/>
          <w:bCs/>
          <w:color w:val="auto"/>
          <w:sz w:val="24"/>
          <w:szCs w:val="21"/>
        </w:rPr>
        <w:t>的这一要求而放弃磋商，同意延长磋商有效期的供应商既不能要求也不允许修改其响应文件。</w:t>
      </w:r>
      <w:r>
        <w:rPr>
          <w:rFonts w:hint="eastAsia" w:ascii="Times New Roman" w:hAnsi="Times New Roman"/>
          <w:color w:val="auto"/>
          <w:sz w:val="24"/>
          <w:szCs w:val="24"/>
        </w:rPr>
        <w:t>受磋商有效期约束的所有权利与义务均延长至新的有效期</w:t>
      </w:r>
      <w:r>
        <w:rPr>
          <w:rFonts w:hint="eastAsia" w:ascii="Times New Roman" w:hAnsi="Times New Roman"/>
          <w:bCs/>
          <w:color w:val="auto"/>
          <w:sz w:val="24"/>
          <w:szCs w:val="21"/>
        </w:rPr>
        <w:t>。</w:t>
      </w:r>
    </w:p>
    <w:p w14:paraId="48086820">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1</w:t>
      </w:r>
      <w:r>
        <w:rPr>
          <w:rFonts w:ascii="Times New Roman" w:hAnsi="Times New Roman"/>
          <w:bCs/>
          <w:color w:val="auto"/>
          <w:sz w:val="24"/>
          <w:szCs w:val="21"/>
        </w:rPr>
        <w:t>7.2</w:t>
      </w:r>
      <w:r>
        <w:rPr>
          <w:rFonts w:hint="eastAsia" w:ascii="Times New Roman" w:hAnsi="Times New Roman"/>
          <w:color w:val="auto"/>
          <w:sz w:val="24"/>
        </w:rPr>
        <w:t>成交人的响应文件作为项目合同的附件，其有效期至成交人全部合同义务履行完毕为止。</w:t>
      </w:r>
    </w:p>
    <w:p w14:paraId="39C4AF8B">
      <w:pPr>
        <w:keepNext/>
        <w:keepLines/>
        <w:spacing w:line="560" w:lineRule="exact"/>
        <w:ind w:firstLine="482"/>
        <w:outlineLvl w:val="2"/>
        <w:rPr>
          <w:rFonts w:ascii="Times New Roman" w:hAnsi="Times New Roman"/>
          <w:b/>
          <w:bCs/>
          <w:color w:val="auto"/>
          <w:sz w:val="32"/>
          <w:szCs w:val="32"/>
        </w:rPr>
      </w:pPr>
      <w:bookmarkStart w:id="134" w:name="_Hlt26954739"/>
      <w:bookmarkEnd w:id="134"/>
      <w:bookmarkStart w:id="135" w:name="_Hlt26954852"/>
      <w:bookmarkEnd w:id="135"/>
      <w:bookmarkStart w:id="136" w:name="_Toc120614217"/>
      <w:bookmarkStart w:id="137" w:name="_Toc16938540"/>
      <w:bookmarkStart w:id="138" w:name="_Toc513029224"/>
      <w:bookmarkStart w:id="139" w:name="_Toc20823296"/>
      <w:r>
        <w:rPr>
          <w:rFonts w:hint="eastAsia" w:ascii="Times New Roman" w:hAnsi="Times New Roman"/>
          <w:b/>
          <w:bCs/>
          <w:color w:val="auto"/>
          <w:sz w:val="32"/>
          <w:szCs w:val="32"/>
        </w:rPr>
        <w:t>四、响应文件的递交</w:t>
      </w:r>
      <w:bookmarkEnd w:id="136"/>
      <w:bookmarkEnd w:id="137"/>
      <w:bookmarkEnd w:id="138"/>
      <w:bookmarkEnd w:id="139"/>
    </w:p>
    <w:p w14:paraId="06D1747D">
      <w:pPr>
        <w:keepNext/>
        <w:keepLines/>
        <w:spacing w:line="560" w:lineRule="exact"/>
        <w:ind w:firstLine="560"/>
        <w:outlineLvl w:val="3"/>
        <w:rPr>
          <w:rFonts w:ascii="Times New Roman" w:hAnsi="Times New Roman" w:eastAsia="黑体" w:cs="Arial"/>
          <w:color w:val="auto"/>
          <w:sz w:val="28"/>
          <w:szCs w:val="28"/>
        </w:rPr>
      </w:pPr>
      <w:bookmarkStart w:id="140" w:name="_Toc16938541"/>
      <w:bookmarkStart w:id="141" w:name="_Toc513029225"/>
      <w:bookmarkStart w:id="142" w:name="_Toc462564084"/>
      <w:bookmarkStart w:id="143" w:name="_Toc20823297"/>
      <w:r>
        <w:rPr>
          <w:rFonts w:hint="eastAsia" w:ascii="Times New Roman" w:hAnsi="Times New Roman" w:eastAsia="黑体" w:cs="Arial"/>
          <w:color w:val="auto"/>
          <w:sz w:val="28"/>
          <w:szCs w:val="28"/>
        </w:rPr>
        <w:t>1</w:t>
      </w:r>
      <w:r>
        <w:rPr>
          <w:rFonts w:ascii="Times New Roman" w:hAnsi="Times New Roman" w:eastAsia="黑体" w:cs="Arial"/>
          <w:color w:val="auto"/>
          <w:sz w:val="28"/>
          <w:szCs w:val="28"/>
        </w:rPr>
        <w:t>8</w:t>
      </w:r>
      <w:r>
        <w:rPr>
          <w:rFonts w:hint="eastAsia" w:ascii="Times New Roman" w:hAnsi="Times New Roman" w:eastAsia="黑体" w:cs="Arial"/>
          <w:color w:val="auto"/>
          <w:sz w:val="28"/>
          <w:szCs w:val="28"/>
        </w:rPr>
        <w:t>、电子磋商</w:t>
      </w:r>
      <w:bookmarkEnd w:id="140"/>
      <w:bookmarkEnd w:id="141"/>
      <w:bookmarkEnd w:id="142"/>
      <w:bookmarkEnd w:id="143"/>
      <w:r>
        <w:rPr>
          <w:rFonts w:hint="eastAsia" w:ascii="Times New Roman" w:hAnsi="Times New Roman" w:eastAsia="黑体" w:cs="Arial"/>
          <w:color w:val="auto"/>
          <w:sz w:val="28"/>
          <w:szCs w:val="28"/>
        </w:rPr>
        <w:t>响应文件的递交</w:t>
      </w:r>
    </w:p>
    <w:p w14:paraId="094EFE86">
      <w:pPr>
        <w:keepNext/>
        <w:keepLines/>
        <w:spacing w:line="560" w:lineRule="exact"/>
        <w:ind w:firstLine="480"/>
        <w:outlineLvl w:val="3"/>
        <w:rPr>
          <w:rFonts w:ascii="Times New Roman" w:hAnsi="Times New Roman"/>
          <w:bCs/>
          <w:color w:val="auto"/>
          <w:sz w:val="24"/>
          <w:szCs w:val="21"/>
        </w:rPr>
      </w:pPr>
      <w:r>
        <w:rPr>
          <w:rFonts w:hint="eastAsia" w:ascii="Times New Roman" w:hAnsi="Times New Roman"/>
          <w:bCs/>
          <w:color w:val="auto"/>
          <w:sz w:val="24"/>
          <w:szCs w:val="21"/>
        </w:rPr>
        <w:t>18.1供应商应当按照《操作手册》规定，在提交响应文件截止时间前</w:t>
      </w:r>
      <w:r>
        <w:rPr>
          <w:rFonts w:ascii="Times New Roman" w:hAnsi="Times New Roman"/>
          <w:bCs/>
          <w:color w:val="auto"/>
          <w:sz w:val="24"/>
          <w:szCs w:val="21"/>
        </w:rPr>
        <w:t>制作</w:t>
      </w:r>
      <w:r>
        <w:rPr>
          <w:rFonts w:hint="eastAsia" w:ascii="Times New Roman" w:hAnsi="Times New Roman"/>
          <w:bCs/>
          <w:color w:val="auto"/>
          <w:sz w:val="24"/>
          <w:szCs w:val="21"/>
        </w:rPr>
        <w:t>并上传电子响应文件。</w:t>
      </w:r>
      <w:bookmarkStart w:id="144" w:name="_Toc20823298"/>
      <w:bookmarkStart w:id="145" w:name="_Toc16938542"/>
      <w:bookmarkStart w:id="146" w:name="_Toc513029226"/>
    </w:p>
    <w:p w14:paraId="517E317E">
      <w:pPr>
        <w:spacing w:line="560" w:lineRule="exact"/>
        <w:ind w:firstLine="480"/>
        <w:rPr>
          <w:rFonts w:ascii="Times New Roman" w:hAnsi="Times New Roman"/>
          <w:color w:val="auto"/>
          <w:sz w:val="24"/>
        </w:rPr>
      </w:pPr>
      <w:r>
        <w:rPr>
          <w:rFonts w:hint="eastAsia" w:ascii="Times New Roman" w:hAnsi="Times New Roman"/>
          <w:color w:val="auto"/>
          <w:sz w:val="24"/>
        </w:rPr>
        <w:t>1</w:t>
      </w:r>
      <w:r>
        <w:rPr>
          <w:rFonts w:ascii="Times New Roman" w:hAnsi="Times New Roman"/>
          <w:color w:val="auto"/>
          <w:sz w:val="24"/>
        </w:rPr>
        <w:t>8.2</w:t>
      </w:r>
      <w:r>
        <w:rPr>
          <w:rFonts w:hint="eastAsia" w:ascii="Times New Roman" w:hAnsi="Times New Roman"/>
          <w:color w:val="auto"/>
          <w:sz w:val="24"/>
        </w:rPr>
        <w:t>供应商通过“苏采云”系统不见面开标大厅在线参与开标活动。</w:t>
      </w:r>
    </w:p>
    <w:p w14:paraId="49526039">
      <w:pPr>
        <w:spacing w:line="560" w:lineRule="exact"/>
        <w:ind w:firstLine="480"/>
        <w:rPr>
          <w:rFonts w:ascii="Times New Roman" w:hAnsi="Times New Roman"/>
          <w:color w:val="auto"/>
          <w:sz w:val="24"/>
        </w:rPr>
      </w:pPr>
      <w:r>
        <w:rPr>
          <w:rFonts w:hint="eastAsia" w:ascii="Times New Roman" w:hAnsi="Times New Roman"/>
          <w:color w:val="auto"/>
          <w:sz w:val="24"/>
        </w:rPr>
        <w:t>（具体操作详见《“苏采云”系统供应商操作手册》，网址链接http://www.ccgp-jiangsu.gov.cn//webfile/jiangsu/202311/1699268553318052447.pdf）</w:t>
      </w:r>
    </w:p>
    <w:p w14:paraId="0045BFA9">
      <w:pPr>
        <w:keepNext/>
        <w:keepLines/>
        <w:spacing w:line="560" w:lineRule="exact"/>
        <w:ind w:firstLine="560"/>
        <w:outlineLvl w:val="3"/>
        <w:rPr>
          <w:rFonts w:ascii="Times New Roman" w:hAnsi="Times New Roman" w:eastAsia="黑体" w:cs="Arial"/>
          <w:bCs/>
          <w:color w:val="auto"/>
          <w:sz w:val="24"/>
          <w:szCs w:val="28"/>
        </w:rPr>
      </w:pPr>
      <w:r>
        <w:rPr>
          <w:rFonts w:ascii="Times New Roman" w:hAnsi="Times New Roman" w:eastAsia="黑体" w:cs="Arial"/>
          <w:bCs/>
          <w:color w:val="auto"/>
          <w:sz w:val="28"/>
          <w:szCs w:val="28"/>
        </w:rPr>
        <w:t>19</w:t>
      </w:r>
      <w:r>
        <w:rPr>
          <w:rFonts w:hint="eastAsia" w:ascii="Times New Roman" w:hAnsi="Times New Roman" w:eastAsia="黑体" w:cs="Arial"/>
          <w:bCs/>
          <w:color w:val="auto"/>
          <w:sz w:val="28"/>
          <w:szCs w:val="28"/>
        </w:rPr>
        <w:t>、提交响应文件截止时间</w:t>
      </w:r>
      <w:bookmarkEnd w:id="144"/>
      <w:bookmarkEnd w:id="145"/>
      <w:bookmarkEnd w:id="146"/>
    </w:p>
    <w:p w14:paraId="3930E41C">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19.1供应商上传电子响应文件的时间不得迟于磋商公告中规定的提交响应文件截止时间。</w:t>
      </w:r>
    </w:p>
    <w:p w14:paraId="03FDC4E0">
      <w:pPr>
        <w:spacing w:line="560" w:lineRule="exact"/>
        <w:ind w:firstLine="480"/>
        <w:rPr>
          <w:rFonts w:ascii="Times New Roman" w:hAnsi="Times New Roman"/>
          <w:bCs/>
          <w:color w:val="auto"/>
          <w:sz w:val="24"/>
          <w:szCs w:val="21"/>
        </w:rPr>
      </w:pPr>
      <w:r>
        <w:rPr>
          <w:rFonts w:ascii="Times New Roman" w:hAnsi="Times New Roman"/>
          <w:color w:val="auto"/>
          <w:sz w:val="24"/>
          <w:szCs w:val="21"/>
        </w:rPr>
        <w:t>19</w:t>
      </w:r>
      <w:r>
        <w:rPr>
          <w:rFonts w:hint="eastAsia" w:ascii="Times New Roman" w:hAnsi="Times New Roman"/>
          <w:color w:val="auto"/>
          <w:sz w:val="24"/>
          <w:szCs w:val="21"/>
        </w:rPr>
        <w:t>.2采购代理机构</w:t>
      </w:r>
      <w:r>
        <w:rPr>
          <w:rFonts w:hint="eastAsia" w:ascii="Times New Roman" w:hAnsi="Times New Roman"/>
          <w:bCs/>
          <w:color w:val="auto"/>
          <w:sz w:val="24"/>
          <w:szCs w:val="21"/>
        </w:rPr>
        <w:t>可以按照规定，通过修改磋商文件酌情延长提交响应文件截止日期，在此情况下，供应商的所有权利和义务以及供应商受制的截止日期均应以延长后新的截止日期为准。</w:t>
      </w:r>
    </w:p>
    <w:p w14:paraId="3F84C9E5">
      <w:pPr>
        <w:keepNext/>
        <w:keepLines/>
        <w:spacing w:line="560" w:lineRule="exact"/>
        <w:ind w:firstLine="420"/>
        <w:outlineLvl w:val="3"/>
        <w:rPr>
          <w:rFonts w:ascii="Times New Roman" w:hAnsi="Times New Roman" w:eastAsia="黑体" w:cs="Arial"/>
          <w:color w:val="auto"/>
          <w:sz w:val="28"/>
          <w:szCs w:val="28"/>
        </w:rPr>
      </w:pPr>
      <w:bookmarkStart w:id="147" w:name="_Toc513029227"/>
      <w:bookmarkStart w:id="148" w:name="_Toc20823299"/>
      <w:bookmarkStart w:id="149" w:name="_Toc16938543"/>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0</w:t>
      </w:r>
      <w:r>
        <w:rPr>
          <w:rFonts w:hint="eastAsia" w:ascii="Times New Roman" w:hAnsi="Times New Roman" w:eastAsia="黑体" w:cs="Arial"/>
          <w:color w:val="auto"/>
          <w:sz w:val="28"/>
          <w:szCs w:val="28"/>
        </w:rPr>
        <w:t>、响应文件</w:t>
      </w:r>
      <w:bookmarkEnd w:id="147"/>
      <w:bookmarkEnd w:id="148"/>
      <w:bookmarkEnd w:id="149"/>
      <w:r>
        <w:rPr>
          <w:rFonts w:hint="eastAsia" w:ascii="Times New Roman" w:hAnsi="Times New Roman" w:eastAsia="黑体" w:cs="Arial"/>
          <w:color w:val="auto"/>
          <w:sz w:val="28"/>
          <w:szCs w:val="28"/>
        </w:rPr>
        <w:t>的拒收</w:t>
      </w:r>
    </w:p>
    <w:p w14:paraId="62D172E0">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20.1</w:t>
      </w:r>
      <w:r>
        <w:rPr>
          <w:rFonts w:hint="eastAsia" w:ascii="Times New Roman" w:hAnsi="Times New Roman"/>
          <w:color w:val="auto"/>
          <w:sz w:val="24"/>
          <w:szCs w:val="21"/>
        </w:rPr>
        <w:t>采购代理机构</w:t>
      </w:r>
      <w:r>
        <w:rPr>
          <w:rFonts w:hint="eastAsia" w:ascii="Times New Roman" w:hAnsi="Times New Roman"/>
          <w:bCs/>
          <w:color w:val="auto"/>
          <w:sz w:val="24"/>
          <w:szCs w:val="21"/>
        </w:rPr>
        <w:t>拒绝接收在其规定的提交响应文件截止时间后上传的任何电子响应文件。</w:t>
      </w:r>
      <w:r>
        <w:rPr>
          <w:rFonts w:hint="eastAsia" w:ascii="Times New Roman" w:hAnsi="Times New Roman"/>
          <w:bCs/>
          <w:color w:val="auto"/>
          <w:sz w:val="24"/>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3289F7B3">
      <w:pPr>
        <w:keepNext/>
        <w:keepLines/>
        <w:spacing w:line="560" w:lineRule="exact"/>
        <w:ind w:firstLine="420"/>
        <w:outlineLvl w:val="3"/>
        <w:rPr>
          <w:rFonts w:ascii="Times New Roman" w:hAnsi="Times New Roman" w:eastAsia="黑体" w:cs="Arial"/>
          <w:color w:val="auto"/>
          <w:sz w:val="28"/>
          <w:szCs w:val="28"/>
        </w:rPr>
      </w:pPr>
      <w:bookmarkStart w:id="150" w:name="_Toc16938544"/>
      <w:bookmarkStart w:id="151" w:name="_Toc513029228"/>
      <w:bookmarkStart w:id="152" w:name="_Toc20823300"/>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1</w:t>
      </w:r>
      <w:r>
        <w:rPr>
          <w:rFonts w:hint="eastAsia" w:ascii="Times New Roman" w:hAnsi="Times New Roman" w:eastAsia="黑体" w:cs="Arial"/>
          <w:color w:val="auto"/>
          <w:sz w:val="28"/>
          <w:szCs w:val="28"/>
        </w:rPr>
        <w:t>、响应文件的撤回和修改</w:t>
      </w:r>
      <w:bookmarkEnd w:id="150"/>
      <w:bookmarkEnd w:id="151"/>
      <w:bookmarkEnd w:id="152"/>
    </w:p>
    <w:p w14:paraId="04FBFFB8">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1</w:t>
      </w:r>
      <w:r>
        <w:rPr>
          <w:rFonts w:hint="eastAsia" w:ascii="Times New Roman" w:hAnsi="Times New Roman"/>
          <w:color w:val="auto"/>
          <w:sz w:val="24"/>
          <w:szCs w:val="21"/>
        </w:rPr>
        <w:t>.1响应文件的撤回</w:t>
      </w:r>
    </w:p>
    <w:p w14:paraId="54AB1833">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1</w:t>
      </w:r>
      <w:r>
        <w:rPr>
          <w:rFonts w:hint="eastAsia" w:ascii="Times New Roman" w:hAnsi="Times New Roman"/>
          <w:color w:val="auto"/>
          <w:sz w:val="24"/>
          <w:szCs w:val="21"/>
        </w:rPr>
        <w:t>.1.1电子响应文件的撤回</w:t>
      </w:r>
    </w:p>
    <w:p w14:paraId="3A6BAB76">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供应商可在</w:t>
      </w:r>
      <w:r>
        <w:rPr>
          <w:rFonts w:hint="eastAsia" w:ascii="Times New Roman" w:hAnsi="Times New Roman"/>
          <w:bCs/>
          <w:color w:val="auto"/>
          <w:sz w:val="24"/>
          <w:szCs w:val="21"/>
        </w:rPr>
        <w:t>提交响应文件</w:t>
      </w:r>
      <w:r>
        <w:rPr>
          <w:rFonts w:hint="eastAsia" w:ascii="Times New Roman" w:hAnsi="Times New Roman"/>
          <w:color w:val="auto"/>
          <w:sz w:val="24"/>
          <w:szCs w:val="21"/>
        </w:rPr>
        <w:t>截止时间前，撤回其电子响应文件，具体操作方法见《操作手册》。</w:t>
      </w:r>
    </w:p>
    <w:p w14:paraId="0496CB47">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2</w:t>
      </w:r>
      <w:r>
        <w:rPr>
          <w:rFonts w:ascii="Times New Roman" w:hAnsi="Times New Roman"/>
          <w:color w:val="auto"/>
          <w:sz w:val="24"/>
          <w:szCs w:val="24"/>
        </w:rPr>
        <w:t>1</w:t>
      </w:r>
      <w:r>
        <w:rPr>
          <w:rFonts w:hint="eastAsia" w:ascii="Times New Roman" w:hAnsi="Times New Roman"/>
          <w:color w:val="auto"/>
          <w:sz w:val="24"/>
          <w:szCs w:val="24"/>
        </w:rPr>
        <w:t>.1.</w:t>
      </w:r>
      <w:r>
        <w:rPr>
          <w:rFonts w:ascii="Times New Roman" w:hAnsi="Times New Roman"/>
          <w:color w:val="auto"/>
          <w:sz w:val="24"/>
          <w:szCs w:val="24"/>
        </w:rPr>
        <w:t>2</w:t>
      </w:r>
      <w:r>
        <w:rPr>
          <w:rFonts w:hint="eastAsia" w:ascii="Times New Roman" w:hAnsi="Times New Roman"/>
          <w:color w:val="auto"/>
          <w:sz w:val="24"/>
          <w:szCs w:val="24"/>
        </w:rPr>
        <w:t>供应商撤回电子响应文件，则认为其不再参与本项目磋商活动。</w:t>
      </w:r>
    </w:p>
    <w:p w14:paraId="3850B791">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2</w:t>
      </w:r>
      <w:r>
        <w:rPr>
          <w:rFonts w:ascii="Times New Roman" w:hAnsi="Times New Roman"/>
          <w:color w:val="auto"/>
          <w:sz w:val="24"/>
          <w:szCs w:val="24"/>
        </w:rPr>
        <w:t>1</w:t>
      </w:r>
      <w:r>
        <w:rPr>
          <w:rFonts w:hint="eastAsia" w:ascii="Times New Roman" w:hAnsi="Times New Roman"/>
          <w:color w:val="auto"/>
          <w:sz w:val="24"/>
          <w:szCs w:val="24"/>
        </w:rPr>
        <w:t>.2响应文件的修改</w:t>
      </w:r>
    </w:p>
    <w:p w14:paraId="2F73B1A1">
      <w:pPr>
        <w:spacing w:line="560" w:lineRule="exact"/>
        <w:ind w:firstLine="480"/>
        <w:rPr>
          <w:rFonts w:ascii="Times New Roman" w:hAnsi="Times New Roman"/>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1</w:t>
      </w:r>
      <w:r>
        <w:rPr>
          <w:rFonts w:hint="eastAsia" w:ascii="Times New Roman" w:hAnsi="Times New Roman"/>
          <w:color w:val="auto"/>
          <w:sz w:val="24"/>
          <w:szCs w:val="21"/>
        </w:rPr>
        <w:t>.2.1供应商可在</w:t>
      </w:r>
      <w:r>
        <w:rPr>
          <w:rFonts w:hint="eastAsia" w:ascii="Times New Roman" w:hAnsi="Times New Roman"/>
          <w:bCs/>
          <w:color w:val="auto"/>
          <w:sz w:val="24"/>
          <w:szCs w:val="21"/>
        </w:rPr>
        <w:t>提交响应文件</w:t>
      </w:r>
      <w:r>
        <w:rPr>
          <w:rFonts w:hint="eastAsia" w:ascii="Times New Roman" w:hAnsi="Times New Roman"/>
          <w:color w:val="auto"/>
          <w:sz w:val="24"/>
          <w:szCs w:val="21"/>
        </w:rPr>
        <w:t>截止时间前，对其电子响应文件进行修改，具体操作方法见《操作手册》。</w:t>
      </w:r>
    </w:p>
    <w:p w14:paraId="3333934B">
      <w:pPr>
        <w:spacing w:line="560" w:lineRule="exact"/>
        <w:ind w:firstLine="480"/>
        <w:rPr>
          <w:rFonts w:ascii="Times New Roman" w:hAnsi="Times New Roman"/>
          <w:bCs/>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1</w:t>
      </w:r>
      <w:r>
        <w:rPr>
          <w:rFonts w:hint="eastAsia" w:ascii="Times New Roman" w:hAnsi="Times New Roman"/>
          <w:color w:val="auto"/>
          <w:sz w:val="24"/>
          <w:szCs w:val="21"/>
        </w:rPr>
        <w:t>.2.2</w:t>
      </w:r>
      <w:r>
        <w:rPr>
          <w:rFonts w:hint="eastAsia" w:ascii="Times New Roman" w:hAnsi="Times New Roman"/>
          <w:bCs/>
          <w:color w:val="auto"/>
          <w:sz w:val="24"/>
          <w:szCs w:val="21"/>
        </w:rPr>
        <w:t>在提交响应文件截止时间之后，供应商不得对其电子响应文件作任何修改。</w:t>
      </w:r>
    </w:p>
    <w:p w14:paraId="35544C99">
      <w:pPr>
        <w:spacing w:line="560" w:lineRule="exact"/>
        <w:ind w:firstLine="480"/>
        <w:rPr>
          <w:rFonts w:ascii="Times New Roman" w:hAnsi="Times New Roman"/>
          <w:bCs/>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1</w:t>
      </w:r>
      <w:r>
        <w:rPr>
          <w:rFonts w:hint="eastAsia" w:ascii="Times New Roman" w:hAnsi="Times New Roman"/>
          <w:color w:val="auto"/>
          <w:sz w:val="24"/>
          <w:szCs w:val="21"/>
        </w:rPr>
        <w:t>.3</w:t>
      </w:r>
      <w:r>
        <w:rPr>
          <w:rFonts w:hint="eastAsia" w:ascii="Times New Roman" w:hAnsi="Times New Roman"/>
          <w:bCs/>
          <w:color w:val="auto"/>
          <w:sz w:val="24"/>
          <w:szCs w:val="21"/>
        </w:rPr>
        <w:t>在提交响应文件截止时间至磋商文件中规定的磋商有效期满之间的这段时间内，供应商不得撤回其响应文件。</w:t>
      </w:r>
    </w:p>
    <w:p w14:paraId="17A4010B">
      <w:pPr>
        <w:keepNext/>
        <w:keepLines/>
        <w:spacing w:line="560" w:lineRule="exact"/>
        <w:ind w:firstLine="482"/>
        <w:outlineLvl w:val="2"/>
        <w:rPr>
          <w:rFonts w:ascii="Times New Roman" w:hAnsi="Times New Roman"/>
          <w:b/>
          <w:bCs/>
          <w:color w:val="auto"/>
          <w:sz w:val="32"/>
          <w:szCs w:val="32"/>
        </w:rPr>
      </w:pPr>
      <w:bookmarkStart w:id="153" w:name="_Toc20823301"/>
      <w:bookmarkStart w:id="154" w:name="_Toc16938545"/>
      <w:bookmarkStart w:id="155" w:name="_Toc513029229"/>
      <w:bookmarkStart w:id="156" w:name="_Toc120614218"/>
      <w:r>
        <w:rPr>
          <w:rFonts w:hint="eastAsia" w:ascii="Times New Roman" w:hAnsi="Times New Roman"/>
          <w:b/>
          <w:bCs/>
          <w:color w:val="auto"/>
          <w:sz w:val="32"/>
          <w:szCs w:val="32"/>
        </w:rPr>
        <w:t>五、响应文件的解密与评审</w:t>
      </w:r>
      <w:bookmarkEnd w:id="153"/>
      <w:bookmarkEnd w:id="154"/>
      <w:bookmarkEnd w:id="155"/>
      <w:bookmarkEnd w:id="156"/>
    </w:p>
    <w:p w14:paraId="76BE7057">
      <w:pPr>
        <w:keepNext/>
        <w:keepLines/>
        <w:spacing w:line="560" w:lineRule="exact"/>
        <w:ind w:firstLine="420"/>
        <w:outlineLvl w:val="3"/>
        <w:rPr>
          <w:rFonts w:ascii="Times New Roman" w:hAnsi="Times New Roman" w:eastAsia="黑体" w:cs="Arial"/>
          <w:color w:val="auto"/>
          <w:sz w:val="28"/>
          <w:szCs w:val="28"/>
        </w:rPr>
      </w:pPr>
      <w:bookmarkStart w:id="157" w:name="_Toc513029230"/>
      <w:bookmarkStart w:id="158" w:name="_Toc20823302"/>
      <w:bookmarkStart w:id="159" w:name="_Toc16938546"/>
      <w:r>
        <w:rPr>
          <w:rFonts w:hint="eastAsia" w:ascii="Times New Roman" w:hAnsi="Times New Roman" w:eastAsia="黑体" w:cs="Arial"/>
          <w:color w:val="auto"/>
          <w:sz w:val="28"/>
          <w:szCs w:val="28"/>
        </w:rPr>
        <w:t>22、</w:t>
      </w:r>
      <w:bookmarkEnd w:id="157"/>
      <w:bookmarkEnd w:id="158"/>
      <w:bookmarkEnd w:id="159"/>
      <w:r>
        <w:rPr>
          <w:rFonts w:hint="eastAsia" w:ascii="Times New Roman" w:hAnsi="Times New Roman" w:eastAsia="黑体" w:cs="Arial"/>
          <w:color w:val="auto"/>
          <w:sz w:val="28"/>
          <w:szCs w:val="28"/>
        </w:rPr>
        <w:t>响应文件解密</w:t>
      </w:r>
    </w:p>
    <w:p w14:paraId="4590AF9F">
      <w:pPr>
        <w:spacing w:line="560" w:lineRule="exact"/>
        <w:ind w:firstLine="360"/>
        <w:rPr>
          <w:rFonts w:ascii="Times New Roman" w:hAnsi="Times New Roman"/>
          <w:color w:val="auto"/>
          <w:szCs w:val="21"/>
        </w:rPr>
      </w:pPr>
      <w:r>
        <w:rPr>
          <w:rFonts w:hint="eastAsia" w:ascii="Times New Roman" w:hAnsi="Times New Roman"/>
          <w:color w:val="auto"/>
          <w:sz w:val="24"/>
          <w:szCs w:val="21"/>
        </w:rPr>
        <w:t>2</w:t>
      </w:r>
      <w:r>
        <w:rPr>
          <w:rFonts w:ascii="Times New Roman" w:hAnsi="Times New Roman"/>
          <w:color w:val="auto"/>
          <w:sz w:val="24"/>
          <w:szCs w:val="21"/>
        </w:rPr>
        <w:t>2</w:t>
      </w:r>
      <w:r>
        <w:rPr>
          <w:rFonts w:hint="eastAsia" w:ascii="Times New Roman" w:hAnsi="Times New Roman"/>
          <w:color w:val="auto"/>
          <w:sz w:val="24"/>
          <w:szCs w:val="21"/>
        </w:rPr>
        <w:t>.1</w:t>
      </w:r>
      <w:r>
        <w:rPr>
          <w:rFonts w:hint="eastAsia" w:ascii="Times New Roman" w:hAnsi="Times New Roman"/>
          <w:color w:val="auto"/>
          <w:sz w:val="24"/>
          <w:szCs w:val="24"/>
        </w:rPr>
        <w:t>供应商应当</w:t>
      </w:r>
      <w:r>
        <w:rPr>
          <w:rFonts w:hint="eastAsia" w:ascii="Times New Roman" w:hAnsi="Times New Roman"/>
          <w:color w:val="auto"/>
          <w:sz w:val="24"/>
          <w:szCs w:val="21"/>
        </w:rPr>
        <w:t>按照《“苏采云”系统供应商操作手册》规定</w:t>
      </w:r>
      <w:r>
        <w:rPr>
          <w:rFonts w:hint="eastAsia" w:ascii="Times New Roman" w:hAnsi="Times New Roman"/>
          <w:color w:val="auto"/>
          <w:sz w:val="24"/>
          <w:szCs w:val="24"/>
        </w:rPr>
        <w:t>，参加磋商活动和在苏采云系统规定的时间内对磋商响应文件进行解密。</w:t>
      </w:r>
    </w:p>
    <w:p w14:paraId="5DE2B0B5">
      <w:pPr>
        <w:keepNext/>
        <w:keepLines/>
        <w:spacing w:line="560" w:lineRule="exact"/>
        <w:ind w:firstLine="420"/>
        <w:outlineLvl w:val="3"/>
        <w:rPr>
          <w:rFonts w:ascii="Times New Roman" w:hAnsi="Times New Roman" w:eastAsia="黑体" w:cs="Arial"/>
          <w:color w:val="auto"/>
          <w:sz w:val="28"/>
          <w:szCs w:val="28"/>
        </w:rPr>
      </w:pPr>
      <w:bookmarkStart w:id="160" w:name="_Toc16938547"/>
      <w:bookmarkStart w:id="161" w:name="_Toc20823303"/>
      <w:bookmarkStart w:id="162" w:name="_Toc513029231"/>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3</w:t>
      </w:r>
      <w:r>
        <w:rPr>
          <w:rFonts w:hint="eastAsia" w:ascii="Times New Roman" w:hAnsi="Times New Roman" w:eastAsia="黑体" w:cs="Arial"/>
          <w:color w:val="auto"/>
          <w:sz w:val="28"/>
          <w:szCs w:val="28"/>
        </w:rPr>
        <w:t>、磋商小组</w:t>
      </w:r>
    </w:p>
    <w:p w14:paraId="32F356EC">
      <w:pPr>
        <w:spacing w:line="560" w:lineRule="exact"/>
        <w:ind w:firstLine="480"/>
        <w:rPr>
          <w:rFonts w:ascii="Times New Roman" w:hAnsi="Times New Roman"/>
          <w:b/>
          <w:color w:val="auto"/>
          <w:sz w:val="24"/>
          <w:szCs w:val="24"/>
        </w:rPr>
      </w:pPr>
      <w:r>
        <w:rPr>
          <w:rFonts w:hint="eastAsia" w:ascii="Times New Roman" w:hAnsi="Times New Roman"/>
          <w:color w:val="auto"/>
          <w:sz w:val="24"/>
          <w:szCs w:val="24"/>
        </w:rPr>
        <w:t>2</w:t>
      </w:r>
      <w:r>
        <w:rPr>
          <w:rFonts w:ascii="Times New Roman" w:hAnsi="Times New Roman"/>
          <w:color w:val="auto"/>
          <w:sz w:val="24"/>
          <w:szCs w:val="24"/>
        </w:rPr>
        <w:t>3</w:t>
      </w:r>
      <w:r>
        <w:rPr>
          <w:rFonts w:hint="eastAsia" w:ascii="Times New Roman" w:hAnsi="Times New Roman"/>
          <w:color w:val="auto"/>
          <w:sz w:val="24"/>
          <w:szCs w:val="24"/>
        </w:rPr>
        <w:t>.1</w:t>
      </w:r>
      <w:r>
        <w:rPr>
          <w:rFonts w:hint="eastAsia" w:ascii="Times New Roman" w:hAnsi="Times New Roman"/>
          <w:color w:val="auto"/>
          <w:sz w:val="24"/>
          <w:szCs w:val="21"/>
        </w:rPr>
        <w:t>采购代理机构</w:t>
      </w:r>
      <w:r>
        <w:rPr>
          <w:rFonts w:hint="eastAsia" w:ascii="Times New Roman" w:hAnsi="Times New Roman"/>
          <w:color w:val="auto"/>
          <w:sz w:val="24"/>
          <w:szCs w:val="24"/>
        </w:rPr>
        <w:t>将组织磋商小组对响应文件进行评审。磋商小组由采购人代表和有关技术、经济等方面的专家组成，且人员构成符合政府采购有关规定。</w:t>
      </w:r>
    </w:p>
    <w:p w14:paraId="423FB3EC">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2</w:t>
      </w:r>
      <w:r>
        <w:rPr>
          <w:rFonts w:ascii="Times New Roman" w:hAnsi="Times New Roman"/>
          <w:color w:val="auto"/>
          <w:sz w:val="24"/>
          <w:szCs w:val="24"/>
        </w:rPr>
        <w:t>3</w:t>
      </w:r>
      <w:r>
        <w:rPr>
          <w:rFonts w:hint="eastAsia" w:ascii="Times New Roman" w:hAnsi="Times New Roman"/>
          <w:color w:val="auto"/>
          <w:sz w:val="24"/>
          <w:szCs w:val="24"/>
        </w:rPr>
        <w:t>.2磋商小组独立工作，负责评审所有响应文件并确定成交侯选人。</w:t>
      </w:r>
    </w:p>
    <w:p w14:paraId="493347DC">
      <w:pPr>
        <w:keepNext/>
        <w:keepLines/>
        <w:spacing w:line="560" w:lineRule="exact"/>
        <w:ind w:firstLine="420"/>
        <w:outlineLvl w:val="3"/>
        <w:rPr>
          <w:rFonts w:ascii="Times New Roman" w:hAnsi="Times New Roman" w:eastAsia="黑体" w:cs="Arial"/>
          <w:color w:val="auto"/>
          <w:sz w:val="28"/>
          <w:szCs w:val="28"/>
        </w:rPr>
      </w:pPr>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4</w:t>
      </w:r>
      <w:r>
        <w:rPr>
          <w:rFonts w:hint="eastAsia" w:ascii="Times New Roman" w:hAnsi="Times New Roman" w:eastAsia="黑体" w:cs="Arial"/>
          <w:color w:val="auto"/>
          <w:sz w:val="28"/>
          <w:szCs w:val="28"/>
        </w:rPr>
        <w:t>、评审过程的保密与公正</w:t>
      </w:r>
      <w:bookmarkEnd w:id="160"/>
      <w:bookmarkEnd w:id="161"/>
      <w:bookmarkEnd w:id="162"/>
    </w:p>
    <w:p w14:paraId="69D181DC">
      <w:pPr>
        <w:spacing w:line="560" w:lineRule="exact"/>
        <w:ind w:firstLine="480"/>
        <w:rPr>
          <w:rFonts w:ascii="Times New Roman" w:hAnsi="Times New Roman"/>
          <w:bCs/>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4</w:t>
      </w:r>
      <w:r>
        <w:rPr>
          <w:rFonts w:hint="eastAsia" w:ascii="Times New Roman" w:hAnsi="Times New Roman"/>
          <w:color w:val="auto"/>
          <w:sz w:val="24"/>
          <w:szCs w:val="21"/>
        </w:rPr>
        <w:t>.1</w:t>
      </w:r>
      <w:r>
        <w:rPr>
          <w:rFonts w:hint="eastAsia" w:ascii="Times New Roman" w:hAnsi="Times New Roman"/>
          <w:bCs/>
          <w:color w:val="auto"/>
          <w:sz w:val="24"/>
          <w:szCs w:val="21"/>
        </w:rPr>
        <w:t>磋商小组、采购人和</w:t>
      </w:r>
      <w:r>
        <w:rPr>
          <w:rFonts w:hint="eastAsia" w:ascii="Times New Roman" w:hAnsi="Times New Roman"/>
          <w:color w:val="auto"/>
          <w:sz w:val="24"/>
          <w:szCs w:val="21"/>
        </w:rPr>
        <w:t>采购代理机构</w:t>
      </w:r>
      <w:r>
        <w:rPr>
          <w:rFonts w:hint="eastAsia" w:ascii="Times New Roman" w:hAnsi="Times New Roman"/>
          <w:bCs/>
          <w:color w:val="auto"/>
          <w:sz w:val="24"/>
          <w:szCs w:val="21"/>
        </w:rPr>
        <w:t>工作人员、相关监督人员等与评审工作有关的人员，对评审情况以及在评审过程中获悉的国家秘密、商业秘密负有保密责任。</w:t>
      </w:r>
    </w:p>
    <w:p w14:paraId="7E369599">
      <w:pPr>
        <w:spacing w:line="560" w:lineRule="exact"/>
        <w:ind w:firstLine="480"/>
        <w:rPr>
          <w:rFonts w:ascii="Times New Roman" w:hAnsi="Times New Roman"/>
          <w:color w:val="auto"/>
          <w:sz w:val="24"/>
          <w:szCs w:val="24"/>
        </w:rPr>
      </w:pPr>
      <w:r>
        <w:rPr>
          <w:rFonts w:hint="eastAsia" w:ascii="Times New Roman" w:hAnsi="Times New Roman"/>
          <w:color w:val="auto"/>
          <w:sz w:val="24"/>
          <w:szCs w:val="21"/>
        </w:rPr>
        <w:t>2</w:t>
      </w:r>
      <w:r>
        <w:rPr>
          <w:rFonts w:ascii="Times New Roman" w:hAnsi="Times New Roman"/>
          <w:color w:val="auto"/>
          <w:sz w:val="24"/>
          <w:szCs w:val="21"/>
        </w:rPr>
        <w:t>4</w:t>
      </w:r>
      <w:r>
        <w:rPr>
          <w:rFonts w:hint="eastAsia" w:ascii="Times New Roman" w:hAnsi="Times New Roman"/>
          <w:color w:val="auto"/>
          <w:sz w:val="24"/>
          <w:szCs w:val="21"/>
        </w:rPr>
        <w:t>.2</w:t>
      </w:r>
      <w:r>
        <w:rPr>
          <w:rFonts w:hint="eastAsia" w:ascii="Times New Roman" w:hAnsi="Times New Roman"/>
          <w:color w:val="auto"/>
          <w:sz w:val="24"/>
          <w:szCs w:val="24"/>
        </w:rPr>
        <w:t>在评审过程中，供应商不得以任何行为影响磋商评审过程，否则其响应文件将被作为无效响应文件。</w:t>
      </w:r>
    </w:p>
    <w:p w14:paraId="43644771">
      <w:pPr>
        <w:spacing w:line="560" w:lineRule="exact"/>
        <w:ind w:firstLine="480"/>
        <w:rPr>
          <w:rFonts w:ascii="Times New Roman" w:hAnsi="Times New Roman"/>
          <w:color w:val="auto"/>
          <w:sz w:val="24"/>
          <w:szCs w:val="24"/>
        </w:rPr>
      </w:pPr>
      <w:r>
        <w:rPr>
          <w:rFonts w:hint="eastAsia" w:ascii="Times New Roman" w:hAnsi="Times New Roman"/>
          <w:color w:val="auto"/>
          <w:sz w:val="24"/>
          <w:szCs w:val="21"/>
        </w:rPr>
        <w:t>2</w:t>
      </w:r>
      <w:r>
        <w:rPr>
          <w:rFonts w:ascii="Times New Roman" w:hAnsi="Times New Roman"/>
          <w:color w:val="auto"/>
          <w:sz w:val="24"/>
          <w:szCs w:val="21"/>
        </w:rPr>
        <w:t>4</w:t>
      </w:r>
      <w:r>
        <w:rPr>
          <w:rFonts w:hint="eastAsia" w:ascii="Times New Roman" w:hAnsi="Times New Roman"/>
          <w:color w:val="auto"/>
          <w:sz w:val="24"/>
          <w:szCs w:val="21"/>
        </w:rPr>
        <w:t>.3</w:t>
      </w:r>
      <w:r>
        <w:rPr>
          <w:rFonts w:hint="eastAsia" w:ascii="Times New Roman" w:hAnsi="Times New Roman"/>
          <w:color w:val="auto"/>
          <w:sz w:val="24"/>
          <w:szCs w:val="24"/>
        </w:rPr>
        <w:t>在项目评审期间，</w:t>
      </w:r>
      <w:r>
        <w:rPr>
          <w:rFonts w:hint="eastAsia" w:ascii="Times New Roman" w:hAnsi="Times New Roman"/>
          <w:color w:val="auto"/>
          <w:sz w:val="24"/>
          <w:szCs w:val="21"/>
        </w:rPr>
        <w:t>采购代理机构</w:t>
      </w:r>
      <w:r>
        <w:rPr>
          <w:rFonts w:hint="eastAsia" w:ascii="Times New Roman" w:hAnsi="Times New Roman"/>
          <w:color w:val="auto"/>
          <w:sz w:val="24"/>
          <w:szCs w:val="24"/>
        </w:rPr>
        <w:t>将设专门人员与供应商联系。</w:t>
      </w:r>
    </w:p>
    <w:p w14:paraId="65B7CE09">
      <w:pPr>
        <w:spacing w:line="560" w:lineRule="exact"/>
        <w:ind w:firstLine="480"/>
        <w:rPr>
          <w:rFonts w:ascii="Times New Roman" w:hAnsi="Times New Roman"/>
          <w:color w:val="auto"/>
          <w:sz w:val="24"/>
          <w:szCs w:val="24"/>
        </w:rPr>
      </w:pPr>
      <w:r>
        <w:rPr>
          <w:rFonts w:ascii="Times New Roman" w:hAnsi="Times New Roman"/>
          <w:color w:val="auto"/>
          <w:sz w:val="24"/>
          <w:szCs w:val="24"/>
        </w:rPr>
        <w:t>24</w:t>
      </w:r>
      <w:r>
        <w:rPr>
          <w:rFonts w:hint="eastAsia" w:ascii="Times New Roman" w:hAnsi="Times New Roman"/>
          <w:color w:val="auto"/>
          <w:sz w:val="24"/>
          <w:szCs w:val="24"/>
        </w:rPr>
        <w:t>.4</w:t>
      </w:r>
      <w:r>
        <w:rPr>
          <w:rFonts w:hint="eastAsia" w:ascii="Times New Roman" w:hAnsi="Times New Roman"/>
          <w:color w:val="auto"/>
          <w:sz w:val="24"/>
          <w:szCs w:val="21"/>
        </w:rPr>
        <w:t>采购代理机构</w:t>
      </w:r>
      <w:r>
        <w:rPr>
          <w:rFonts w:hint="eastAsia" w:ascii="Times New Roman" w:hAnsi="Times New Roman"/>
          <w:color w:val="auto"/>
          <w:sz w:val="24"/>
          <w:szCs w:val="24"/>
        </w:rPr>
        <w:t>和磋商小组不向未成交的供应商解释未成交原因，也不公布评审过程中的相关细节。</w:t>
      </w:r>
    </w:p>
    <w:p w14:paraId="02993829">
      <w:pPr>
        <w:keepNext/>
        <w:keepLines/>
        <w:spacing w:line="560" w:lineRule="exact"/>
        <w:ind w:firstLine="420"/>
        <w:outlineLvl w:val="3"/>
        <w:rPr>
          <w:rFonts w:ascii="Times New Roman" w:hAnsi="Times New Roman" w:eastAsia="黑体" w:cs="Arial"/>
          <w:color w:val="auto"/>
          <w:sz w:val="28"/>
          <w:szCs w:val="28"/>
        </w:rPr>
      </w:pPr>
      <w:bookmarkStart w:id="163" w:name="_Toc513029232"/>
      <w:bookmarkStart w:id="164" w:name="_Toc16938548"/>
      <w:bookmarkStart w:id="165" w:name="_Toc20823304"/>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5</w:t>
      </w:r>
      <w:r>
        <w:rPr>
          <w:rFonts w:hint="eastAsia" w:ascii="Times New Roman" w:hAnsi="Times New Roman" w:eastAsia="黑体" w:cs="Arial"/>
          <w:color w:val="auto"/>
          <w:sz w:val="28"/>
          <w:szCs w:val="28"/>
        </w:rPr>
        <w:t>、评审过程中的的澄清</w:t>
      </w:r>
      <w:bookmarkEnd w:id="163"/>
      <w:bookmarkEnd w:id="164"/>
      <w:bookmarkEnd w:id="165"/>
    </w:p>
    <w:p w14:paraId="632E6710">
      <w:pPr>
        <w:spacing w:line="560" w:lineRule="exact"/>
        <w:ind w:firstLine="480"/>
        <w:rPr>
          <w:rFonts w:ascii="Times New Roman" w:hAnsi="Times New Roman" w:cs="宋体"/>
          <w:color w:val="auto"/>
          <w:sz w:val="24"/>
          <w:szCs w:val="24"/>
        </w:rPr>
      </w:pPr>
      <w:r>
        <w:rPr>
          <w:rFonts w:hint="eastAsia" w:ascii="Times New Roman" w:hAnsi="Times New Roman" w:cs="宋体"/>
          <w:color w:val="auto"/>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9FE5999">
      <w:pPr>
        <w:spacing w:line="560" w:lineRule="exact"/>
        <w:ind w:firstLine="480"/>
        <w:rPr>
          <w:rFonts w:ascii="Times New Roman" w:hAnsi="Times New Roman" w:cs="宋体"/>
          <w:color w:val="auto"/>
          <w:sz w:val="24"/>
          <w:szCs w:val="24"/>
        </w:rPr>
      </w:pPr>
      <w:r>
        <w:rPr>
          <w:rFonts w:hint="eastAsia" w:ascii="Times New Roman" w:hAnsi="Times New Roman" w:cs="宋体"/>
          <w:color w:val="auto"/>
          <w:sz w:val="24"/>
          <w:szCs w:val="24"/>
        </w:rPr>
        <w:t>磋商小组并非对每个供应商都作澄清要求。</w:t>
      </w:r>
    </w:p>
    <w:p w14:paraId="50E59D69">
      <w:pPr>
        <w:spacing w:line="560" w:lineRule="exact"/>
        <w:ind w:firstLine="480"/>
        <w:rPr>
          <w:rFonts w:ascii="Times New Roman" w:hAnsi="Times New Roman" w:cs="宋体"/>
          <w:color w:val="auto"/>
          <w:sz w:val="24"/>
          <w:szCs w:val="24"/>
        </w:rPr>
      </w:pPr>
      <w:r>
        <w:rPr>
          <w:rFonts w:hint="eastAsia" w:ascii="Times New Roman" w:hAnsi="Times New Roman" w:cs="宋体"/>
          <w:color w:val="auto"/>
          <w:sz w:val="24"/>
          <w:szCs w:val="24"/>
        </w:rPr>
        <w:t>2</w:t>
      </w:r>
      <w:r>
        <w:rPr>
          <w:rFonts w:ascii="Times New Roman" w:hAnsi="Times New Roman" w:cs="宋体"/>
          <w:color w:val="auto"/>
          <w:sz w:val="24"/>
          <w:szCs w:val="24"/>
        </w:rPr>
        <w:t>5</w:t>
      </w:r>
      <w:r>
        <w:rPr>
          <w:rFonts w:hint="eastAsia" w:ascii="Times New Roman" w:hAnsi="Times New Roman" w:cs="宋体"/>
          <w:color w:val="auto"/>
          <w:sz w:val="24"/>
          <w:szCs w:val="24"/>
        </w:rPr>
        <w:t>.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auto"/>
          <w:sz w:val="24"/>
          <w:szCs w:val="24"/>
        </w:rPr>
        <w:t>操作</w:t>
      </w:r>
      <w:r>
        <w:rPr>
          <w:rFonts w:hint="eastAsia" w:ascii="Times New Roman" w:hAnsi="Times New Roman" w:cs="宋体"/>
          <w:color w:val="auto"/>
          <w:sz w:val="24"/>
          <w:szCs w:val="24"/>
        </w:rPr>
        <w:t>方式</w:t>
      </w:r>
      <w:r>
        <w:rPr>
          <w:rFonts w:ascii="Times New Roman" w:hAnsi="Times New Roman" w:cs="宋体"/>
          <w:color w:val="auto"/>
          <w:sz w:val="24"/>
          <w:szCs w:val="24"/>
        </w:rPr>
        <w:t>见</w:t>
      </w:r>
      <w:r>
        <w:rPr>
          <w:rFonts w:hint="eastAsia" w:ascii="Times New Roman" w:hAnsi="Times New Roman" w:cs="宋体"/>
          <w:color w:val="auto"/>
          <w:sz w:val="24"/>
          <w:szCs w:val="24"/>
        </w:rPr>
        <w:t>《操作手册》。</w:t>
      </w:r>
    </w:p>
    <w:p w14:paraId="2AEEE8C4">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2</w:t>
      </w:r>
      <w:r>
        <w:rPr>
          <w:rFonts w:ascii="Times New Roman" w:hAnsi="Times New Roman"/>
          <w:color w:val="auto"/>
          <w:sz w:val="24"/>
          <w:szCs w:val="24"/>
        </w:rPr>
        <w:t>5</w:t>
      </w:r>
      <w:r>
        <w:rPr>
          <w:rFonts w:hint="eastAsia" w:ascii="Times New Roman" w:hAnsi="Times New Roman"/>
          <w:color w:val="auto"/>
          <w:sz w:val="24"/>
          <w:szCs w:val="24"/>
        </w:rPr>
        <w:t>.3接到磋商小组澄清、说明和更正要求的供应商如未按规定做出澄清、说明和更正，其风险由供应商自行承担。</w:t>
      </w:r>
    </w:p>
    <w:p w14:paraId="398EB6C1">
      <w:pPr>
        <w:keepNext/>
        <w:keepLines/>
        <w:spacing w:line="560" w:lineRule="exact"/>
        <w:ind w:firstLine="420"/>
        <w:outlineLvl w:val="3"/>
        <w:rPr>
          <w:rFonts w:ascii="Times New Roman" w:hAnsi="Times New Roman" w:eastAsia="黑体" w:cs="Arial"/>
          <w:color w:val="auto"/>
          <w:sz w:val="28"/>
          <w:szCs w:val="28"/>
        </w:rPr>
      </w:pPr>
      <w:bookmarkStart w:id="166" w:name="_Toc20823305"/>
      <w:bookmarkStart w:id="167" w:name="_Toc16938549"/>
      <w:bookmarkStart w:id="168" w:name="_Toc513029233"/>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6</w:t>
      </w:r>
      <w:r>
        <w:rPr>
          <w:rFonts w:hint="eastAsia" w:ascii="Times New Roman" w:hAnsi="Times New Roman" w:eastAsia="黑体" w:cs="Arial"/>
          <w:color w:val="auto"/>
          <w:sz w:val="28"/>
          <w:szCs w:val="28"/>
        </w:rPr>
        <w:t>、对响应文件的审</w:t>
      </w:r>
      <w:bookmarkEnd w:id="166"/>
      <w:bookmarkEnd w:id="167"/>
      <w:bookmarkEnd w:id="168"/>
      <w:r>
        <w:rPr>
          <w:rFonts w:hint="eastAsia" w:ascii="Times New Roman" w:hAnsi="Times New Roman" w:eastAsia="黑体" w:cs="Arial"/>
          <w:color w:val="auto"/>
          <w:sz w:val="28"/>
          <w:szCs w:val="28"/>
        </w:rPr>
        <w:t>查</w:t>
      </w:r>
    </w:p>
    <w:p w14:paraId="11FE128E">
      <w:pPr>
        <w:spacing w:line="560" w:lineRule="exact"/>
        <w:ind w:firstLine="480"/>
        <w:rPr>
          <w:rFonts w:ascii="Times New Roman" w:hAnsi="Times New Roman"/>
          <w:bCs/>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6</w:t>
      </w:r>
      <w:r>
        <w:rPr>
          <w:rFonts w:hint="eastAsia" w:ascii="Times New Roman" w:hAnsi="Times New Roman"/>
          <w:color w:val="auto"/>
          <w:sz w:val="24"/>
          <w:szCs w:val="21"/>
        </w:rPr>
        <w:t>.1</w:t>
      </w:r>
      <w:r>
        <w:rPr>
          <w:rFonts w:hint="eastAsia" w:ascii="Times New Roman" w:hAnsi="Times New Roman"/>
          <w:bCs/>
          <w:color w:val="auto"/>
          <w:sz w:val="24"/>
          <w:szCs w:val="21"/>
        </w:rPr>
        <w:t>响应文件审查分为资格审查和符合性审查。</w:t>
      </w:r>
    </w:p>
    <w:p w14:paraId="160454B4">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w:t>
      </w:r>
      <w:r>
        <w:rPr>
          <w:rFonts w:ascii="Times New Roman" w:hAnsi="Times New Roman"/>
          <w:bCs/>
          <w:color w:val="auto"/>
          <w:sz w:val="24"/>
          <w:szCs w:val="21"/>
        </w:rPr>
        <w:t>6</w:t>
      </w:r>
      <w:r>
        <w:rPr>
          <w:rFonts w:hint="eastAsia" w:ascii="Times New Roman" w:hAnsi="Times New Roman"/>
          <w:bCs/>
          <w:color w:val="auto"/>
          <w:sz w:val="24"/>
          <w:szCs w:val="21"/>
        </w:rPr>
        <w:t>.1.1资格审查：由磋商小组依据法律法规和磋商文件的规定，对响应文件中的资格证明文件进行审查，以确定供应商是否具备参加磋商的资格。</w:t>
      </w:r>
    </w:p>
    <w:p w14:paraId="46DD6D9D">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磋商小组在进行资格审查的同时，将在“信用中国”网站（www.creditchina.gov.cn）查询供应商的信用记录，以确定供应商是否具备磋商资格</w:t>
      </w:r>
      <w:r>
        <w:rPr>
          <w:rFonts w:hint="eastAsia" w:ascii="Times New Roman" w:hAnsi="Times New Roman"/>
          <w:bCs/>
          <w:color w:val="auto"/>
          <w:sz w:val="24"/>
          <w:szCs w:val="21"/>
          <w:lang w:eastAsia="zh-CN"/>
        </w:rPr>
        <w:t>，</w:t>
      </w:r>
      <w:r>
        <w:rPr>
          <w:rFonts w:hint="eastAsia" w:ascii="Times New Roman" w:hAnsi="Times New Roman"/>
          <w:bCs/>
          <w:color w:val="auto"/>
          <w:sz w:val="24"/>
          <w:szCs w:val="21"/>
        </w:rPr>
        <w:t>查询结果留存并归档。</w:t>
      </w:r>
    </w:p>
    <w:p w14:paraId="389CD07F">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75AACA5">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w:t>
      </w:r>
      <w:r>
        <w:rPr>
          <w:rFonts w:ascii="Times New Roman" w:hAnsi="Times New Roman"/>
          <w:bCs/>
          <w:color w:val="auto"/>
          <w:sz w:val="24"/>
          <w:szCs w:val="21"/>
        </w:rPr>
        <w:t>6</w:t>
      </w:r>
      <w:r>
        <w:rPr>
          <w:rFonts w:hint="eastAsia" w:ascii="Times New Roman" w:hAnsi="Times New Roman"/>
          <w:bCs/>
          <w:color w:val="auto"/>
          <w:sz w:val="24"/>
          <w:szCs w:val="21"/>
        </w:rPr>
        <w:t>.1.2符合性审查：依据磋商文件的规定，由磋商小组从响应文件的有效性、完整性和对磋商文件的响应程度进行审查，以确定是否对磋商文件的实质性要求作出响应。</w:t>
      </w:r>
    </w:p>
    <w:p w14:paraId="056DBED0">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w:t>
      </w:r>
      <w:r>
        <w:rPr>
          <w:rFonts w:ascii="Times New Roman" w:hAnsi="Times New Roman"/>
          <w:bCs/>
          <w:color w:val="auto"/>
          <w:sz w:val="24"/>
          <w:szCs w:val="21"/>
        </w:rPr>
        <w:t>6</w:t>
      </w:r>
      <w:r>
        <w:rPr>
          <w:rFonts w:hint="eastAsia" w:ascii="Times New Roman" w:hAnsi="Times New Roman"/>
          <w:bCs/>
          <w:color w:val="auto"/>
          <w:sz w:val="24"/>
          <w:szCs w:val="21"/>
        </w:rPr>
        <w:t>.1.3未通过资格审查或符合性审查的供应商，磋商小组将在</w:t>
      </w:r>
      <w:r>
        <w:rPr>
          <w:rFonts w:hint="eastAsia" w:ascii="Times New Roman" w:hAnsi="Times New Roman"/>
          <w:color w:val="auto"/>
          <w:sz w:val="24"/>
          <w:szCs w:val="24"/>
        </w:rPr>
        <w:t>苏采云系统</w:t>
      </w:r>
      <w:r>
        <w:rPr>
          <w:rFonts w:hint="eastAsia" w:ascii="Times New Roman" w:hAnsi="Times New Roman"/>
          <w:bCs/>
          <w:color w:val="auto"/>
          <w:sz w:val="24"/>
          <w:szCs w:val="21"/>
        </w:rPr>
        <w:t>中告知未通过资格审查或符合性审查的原因，评审结束后，磋商小组将不再告知未通过资格审查或符合性审查的原因。</w:t>
      </w:r>
    </w:p>
    <w:p w14:paraId="527B5813">
      <w:pPr>
        <w:spacing w:line="560" w:lineRule="exact"/>
        <w:ind w:firstLine="480"/>
        <w:rPr>
          <w:rFonts w:ascii="Times New Roman" w:hAnsi="Times New Roman"/>
          <w:color w:val="auto"/>
          <w:sz w:val="24"/>
          <w:szCs w:val="24"/>
        </w:rPr>
      </w:pPr>
      <w:r>
        <w:rPr>
          <w:rFonts w:hint="eastAsia" w:ascii="Times New Roman" w:hAnsi="Times New Roman"/>
          <w:color w:val="auto"/>
          <w:sz w:val="24"/>
          <w:szCs w:val="21"/>
        </w:rPr>
        <w:t>2</w:t>
      </w:r>
      <w:r>
        <w:rPr>
          <w:rFonts w:ascii="Times New Roman" w:hAnsi="Times New Roman"/>
          <w:color w:val="auto"/>
          <w:sz w:val="24"/>
          <w:szCs w:val="21"/>
        </w:rPr>
        <w:t>6</w:t>
      </w:r>
      <w:r>
        <w:rPr>
          <w:rFonts w:hint="eastAsia" w:ascii="Times New Roman" w:hAnsi="Times New Roman"/>
          <w:color w:val="auto"/>
          <w:sz w:val="24"/>
          <w:szCs w:val="21"/>
        </w:rPr>
        <w:t>.2</w:t>
      </w:r>
      <w:r>
        <w:rPr>
          <w:rFonts w:hint="eastAsia" w:ascii="Times New Roman" w:hAnsi="Times New Roman"/>
          <w:color w:val="auto"/>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64C21948">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rPr>
        <w:t>采购代理机构</w:t>
      </w:r>
      <w:r>
        <w:rPr>
          <w:rFonts w:hint="eastAsia" w:ascii="Times New Roman" w:hAnsi="Times New Roman"/>
          <w:color w:val="auto"/>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D41FB94">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26.3未实质性响应磋商文件的情形</w:t>
      </w:r>
    </w:p>
    <w:p w14:paraId="3E7323D6">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26.3.1供应商在</w:t>
      </w:r>
      <w:r>
        <w:rPr>
          <w:rFonts w:hint="eastAsia" w:ascii="Times New Roman" w:hAnsi="Times New Roman"/>
          <w:color w:val="auto"/>
          <w:sz w:val="24"/>
          <w:szCs w:val="24"/>
        </w:rPr>
        <w:t>苏采云系统</w:t>
      </w:r>
      <w:r>
        <w:rPr>
          <w:rFonts w:hint="eastAsia" w:ascii="Times New Roman" w:hAnsi="Times New Roman"/>
          <w:bCs/>
          <w:color w:val="auto"/>
          <w:sz w:val="24"/>
          <w:szCs w:val="21"/>
        </w:rPr>
        <w:t>规定的时间内未成功解密电子响应文件的。</w:t>
      </w:r>
    </w:p>
    <w:p w14:paraId="4B341FFA">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26.3.2供应商未按照磋商文件要求上传电子响应文件的。</w:t>
      </w:r>
    </w:p>
    <w:p w14:paraId="24B1E6FF">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26.3.3同一供应商提交两个（含两个）以上不同的响应文件或者最后报价的。</w:t>
      </w:r>
    </w:p>
    <w:p w14:paraId="31FB66BB">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26.3.4供应商不具备磋商文件中规定资格要求的。</w:t>
      </w:r>
    </w:p>
    <w:p w14:paraId="3D32DA79">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26.3.5供应商的最后报价超过了采购预算。</w:t>
      </w:r>
    </w:p>
    <w:p w14:paraId="4746FBBB">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26.3.6不符合磋商文件中规定的实质性要求和条件的</w:t>
      </w:r>
      <w:r>
        <w:rPr>
          <w:rFonts w:hint="eastAsia" w:ascii="Times New Roman" w:hAnsi="Times New Roman"/>
          <w:bCs/>
          <w:color w:val="auto"/>
          <w:sz w:val="24"/>
        </w:rPr>
        <w:t>（</w:t>
      </w:r>
      <w:r>
        <w:rPr>
          <w:rFonts w:hint="eastAsia" w:ascii="Times New Roman" w:hAnsi="Times New Roman"/>
          <w:bCs/>
          <w:color w:val="auto"/>
          <w:sz w:val="24"/>
          <w:u w:val="single"/>
        </w:rPr>
        <w:t>打“★”内容</w:t>
      </w:r>
      <w:r>
        <w:rPr>
          <w:rFonts w:hint="eastAsia"/>
          <w:bCs/>
          <w:color w:val="auto"/>
          <w:sz w:val="24"/>
          <w:u w:val="single"/>
        </w:rPr>
        <w:t>为实质性</w:t>
      </w:r>
      <w:r>
        <w:rPr>
          <w:rFonts w:hint="eastAsia" w:ascii="Times New Roman" w:hAnsi="Times New Roman"/>
          <w:bCs/>
          <w:color w:val="auto"/>
          <w:sz w:val="24"/>
          <w:u w:val="single"/>
        </w:rPr>
        <w:t>要求和条件）。</w:t>
      </w:r>
    </w:p>
    <w:p w14:paraId="579D4FA8">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0665511">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26.3.8响应文件含有采购人不能接受的附加条件的。</w:t>
      </w:r>
    </w:p>
    <w:p w14:paraId="3D97F7B1">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BF75752">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26.3.10响应文件未按照磋商文件要求加盖CA电子公章的。</w:t>
      </w:r>
    </w:p>
    <w:p w14:paraId="1C5C7D0A">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26.4未实质性响应磋商文件的响应文件按无效响应处理。</w:t>
      </w:r>
    </w:p>
    <w:p w14:paraId="1422A45D">
      <w:pPr>
        <w:spacing w:line="560" w:lineRule="exact"/>
        <w:ind w:firstLine="480"/>
        <w:rPr>
          <w:rFonts w:ascii="Times New Roman" w:hAnsi="Times New Roman"/>
          <w:bCs/>
          <w:color w:val="auto"/>
          <w:sz w:val="24"/>
          <w:szCs w:val="21"/>
        </w:rPr>
      </w:pPr>
      <w:r>
        <w:rPr>
          <w:rFonts w:hint="eastAsia" w:ascii="Times New Roman" w:hAnsi="Times New Roman"/>
          <w:color w:val="auto"/>
          <w:sz w:val="24"/>
          <w:szCs w:val="21"/>
        </w:rPr>
        <w:t>2</w:t>
      </w:r>
      <w:r>
        <w:rPr>
          <w:rFonts w:ascii="Times New Roman" w:hAnsi="Times New Roman"/>
          <w:color w:val="auto"/>
          <w:sz w:val="24"/>
          <w:szCs w:val="21"/>
        </w:rPr>
        <w:t>6</w:t>
      </w:r>
      <w:r>
        <w:rPr>
          <w:rFonts w:hint="eastAsia" w:ascii="Times New Roman" w:hAnsi="Times New Roman"/>
          <w:color w:val="auto"/>
          <w:sz w:val="24"/>
          <w:szCs w:val="21"/>
        </w:rPr>
        <w:t>.5</w:t>
      </w:r>
      <w:r>
        <w:rPr>
          <w:rFonts w:hint="eastAsia" w:ascii="Times New Roman" w:hAnsi="Times New Roman"/>
          <w:bCs/>
          <w:color w:val="auto"/>
          <w:sz w:val="24"/>
          <w:szCs w:val="21"/>
        </w:rPr>
        <w:t>如果响应文件实质上没有响应磋商文件的要求，磋商小组将予以拒绝，供应商不得通过修改或撤销不合要求的偏离或保留而使其成为实质性响应的文件。</w:t>
      </w:r>
    </w:p>
    <w:p w14:paraId="02D59684">
      <w:pPr>
        <w:spacing w:line="560" w:lineRule="exact"/>
        <w:ind w:firstLine="480"/>
        <w:rPr>
          <w:rFonts w:ascii="Times New Roman" w:hAnsi="Times New Roman"/>
          <w:color w:val="auto"/>
          <w:sz w:val="24"/>
          <w:szCs w:val="21"/>
        </w:rPr>
      </w:pPr>
      <w:bookmarkStart w:id="169" w:name="_Toc16938550"/>
      <w:bookmarkStart w:id="170" w:name="_Toc20823306"/>
      <w:bookmarkStart w:id="171" w:name="_Toc513029234"/>
      <w:r>
        <w:rPr>
          <w:rFonts w:hint="eastAsia" w:ascii="Times New Roman" w:hAnsi="Times New Roman"/>
          <w:color w:val="auto"/>
          <w:sz w:val="24"/>
          <w:szCs w:val="21"/>
        </w:rPr>
        <w:t>2</w:t>
      </w:r>
      <w:r>
        <w:rPr>
          <w:rFonts w:ascii="Times New Roman" w:hAnsi="Times New Roman"/>
          <w:color w:val="auto"/>
          <w:sz w:val="24"/>
          <w:szCs w:val="21"/>
        </w:rPr>
        <w:t>6</w:t>
      </w:r>
      <w:r>
        <w:rPr>
          <w:rFonts w:hint="eastAsia" w:ascii="Times New Roman" w:hAnsi="Times New Roman"/>
          <w:color w:val="auto"/>
          <w:sz w:val="24"/>
          <w:szCs w:val="21"/>
        </w:rPr>
        <w:t>.6供应商在项目评审全过程中应保持通讯畅通，并安排专人与采购代理机构及磋商小组联系。</w:t>
      </w:r>
    </w:p>
    <w:p w14:paraId="27B4E889">
      <w:pPr>
        <w:spacing w:line="560" w:lineRule="exact"/>
        <w:ind w:firstLine="420"/>
        <w:rPr>
          <w:color w:val="auto"/>
          <w:sz w:val="24"/>
        </w:rPr>
      </w:pPr>
      <w:r>
        <w:rPr>
          <w:rFonts w:hint="eastAsia" w:ascii="Times New Roman" w:hAnsi="Times New Roman"/>
          <w:color w:val="auto"/>
          <w:sz w:val="24"/>
          <w:szCs w:val="21"/>
        </w:rPr>
        <w:t>26.7</w:t>
      </w:r>
      <w:r>
        <w:rPr>
          <w:rFonts w:hint="eastAsia" w:ascii="Times New Roman" w:hAnsi="Times New Roman" w:cs="仿宋"/>
          <w:b/>
          <w:bCs/>
          <w:color w:val="auto"/>
          <w:sz w:val="24"/>
        </w:rPr>
        <w:t>异常低价投标审查</w:t>
      </w:r>
    </w:p>
    <w:p w14:paraId="1E8FCF4F">
      <w:pPr>
        <w:spacing w:line="560" w:lineRule="exact"/>
        <w:ind w:firstLine="420"/>
        <w:rPr>
          <w:color w:val="auto"/>
          <w:sz w:val="24"/>
        </w:rPr>
      </w:pPr>
      <w:r>
        <w:rPr>
          <w:rFonts w:hint="eastAsia"/>
          <w:color w:val="auto"/>
          <w:sz w:val="24"/>
        </w:rPr>
        <w:t>26.7.1评审过程中出现下列情形之一的，评审委员会应当启动异常低价投标（响应）审查程序：</w:t>
      </w:r>
    </w:p>
    <w:p w14:paraId="5E90D25D">
      <w:pPr>
        <w:spacing w:line="560" w:lineRule="exact"/>
        <w:ind w:firstLine="480"/>
        <w:rPr>
          <w:bCs/>
          <w:color w:val="auto"/>
          <w:sz w:val="24"/>
        </w:rPr>
      </w:pPr>
      <w:r>
        <w:rPr>
          <w:rFonts w:hint="eastAsia" w:ascii="Times New Roman" w:hAnsi="Times New Roman"/>
          <w:bCs/>
          <w:color w:val="auto"/>
          <w:sz w:val="24"/>
        </w:rPr>
        <w:t>（1）投标</w:t>
      </w:r>
      <w:r>
        <w:rPr>
          <w:rFonts w:hint="eastAsia"/>
          <w:bCs/>
          <w:color w:val="auto"/>
          <w:sz w:val="24"/>
        </w:rPr>
        <w:t>（响应）</w:t>
      </w:r>
      <w:r>
        <w:rPr>
          <w:rFonts w:hint="eastAsia" w:ascii="Times New Roman" w:hAnsi="Times New Roman"/>
          <w:bCs/>
          <w:color w:val="auto"/>
          <w:sz w:val="24"/>
        </w:rPr>
        <w:t>报价低于全部通过符合性审查供应商投标</w:t>
      </w:r>
      <w:r>
        <w:rPr>
          <w:rFonts w:hint="eastAsia"/>
          <w:bCs/>
          <w:color w:val="auto"/>
          <w:sz w:val="24"/>
        </w:rPr>
        <w:t>（响应）</w:t>
      </w:r>
      <w:r>
        <w:rPr>
          <w:rFonts w:hint="eastAsia" w:ascii="Times New Roman" w:hAnsi="Times New Roman"/>
          <w:bCs/>
          <w:color w:val="auto"/>
          <w:sz w:val="24"/>
        </w:rPr>
        <w:t>报价平均值65%的，即投标</w:t>
      </w:r>
      <w:r>
        <w:rPr>
          <w:rFonts w:hint="eastAsia"/>
          <w:bCs/>
          <w:color w:val="auto"/>
          <w:sz w:val="24"/>
        </w:rPr>
        <w:t>（响应）</w:t>
      </w:r>
      <w:r>
        <w:rPr>
          <w:rFonts w:hint="eastAsia" w:ascii="Times New Roman" w:hAnsi="Times New Roman"/>
          <w:bCs/>
          <w:color w:val="auto"/>
          <w:sz w:val="24"/>
        </w:rPr>
        <w:t>报价&lt;全部通过符合性审查供应商投标</w:t>
      </w:r>
      <w:r>
        <w:rPr>
          <w:rFonts w:hint="eastAsia"/>
          <w:bCs/>
          <w:color w:val="auto"/>
          <w:sz w:val="24"/>
        </w:rPr>
        <w:t>（响应）</w:t>
      </w:r>
      <w:r>
        <w:rPr>
          <w:rFonts w:hint="eastAsia" w:ascii="Times New Roman" w:hAnsi="Times New Roman"/>
          <w:bCs/>
          <w:color w:val="auto"/>
          <w:sz w:val="24"/>
        </w:rPr>
        <w:t>报价平均值×65%；</w:t>
      </w:r>
    </w:p>
    <w:p w14:paraId="187EFF2E">
      <w:pPr>
        <w:spacing w:line="560" w:lineRule="exact"/>
        <w:ind w:firstLine="480"/>
        <w:rPr>
          <w:bCs/>
          <w:color w:val="auto"/>
          <w:sz w:val="24"/>
        </w:rPr>
      </w:pPr>
      <w:r>
        <w:rPr>
          <w:rFonts w:hint="eastAsia" w:ascii="Times New Roman" w:hAnsi="Times New Roman"/>
          <w:bCs/>
          <w:color w:val="auto"/>
          <w:sz w:val="24"/>
        </w:rPr>
        <w:t>（2）投标(响应)报价低于通过符合性审查的次低报价供应商投标</w:t>
      </w:r>
      <w:r>
        <w:rPr>
          <w:rFonts w:hint="eastAsia"/>
          <w:bCs/>
          <w:color w:val="auto"/>
          <w:sz w:val="24"/>
        </w:rPr>
        <w:t>（响应）</w:t>
      </w:r>
      <w:r>
        <w:rPr>
          <w:rFonts w:hint="eastAsia" w:ascii="Times New Roman" w:hAnsi="Times New Roman"/>
          <w:bCs/>
          <w:color w:val="auto"/>
          <w:sz w:val="24"/>
        </w:rPr>
        <w:t>报价65%的，即投标</w:t>
      </w:r>
      <w:r>
        <w:rPr>
          <w:rFonts w:hint="eastAsia"/>
          <w:bCs/>
          <w:color w:val="auto"/>
          <w:sz w:val="24"/>
        </w:rPr>
        <w:t>（响应）</w:t>
      </w:r>
      <w:r>
        <w:rPr>
          <w:rFonts w:hint="eastAsia" w:ascii="Times New Roman" w:hAnsi="Times New Roman"/>
          <w:bCs/>
          <w:color w:val="auto"/>
          <w:sz w:val="24"/>
        </w:rPr>
        <w:t>报价&lt;通过符合性审查的次低报价供应商投标</w:t>
      </w:r>
      <w:r>
        <w:rPr>
          <w:rFonts w:hint="eastAsia"/>
          <w:bCs/>
          <w:color w:val="auto"/>
          <w:sz w:val="24"/>
        </w:rPr>
        <w:t>（响应）</w:t>
      </w:r>
      <w:r>
        <w:rPr>
          <w:rFonts w:hint="eastAsia" w:ascii="Times New Roman" w:hAnsi="Times New Roman"/>
          <w:bCs/>
          <w:color w:val="auto"/>
          <w:sz w:val="24"/>
        </w:rPr>
        <w:t>报价×65%；</w:t>
      </w:r>
    </w:p>
    <w:p w14:paraId="19DE5B68">
      <w:pPr>
        <w:spacing w:line="560" w:lineRule="exact"/>
        <w:ind w:firstLine="480"/>
        <w:rPr>
          <w:bCs/>
          <w:color w:val="auto"/>
          <w:sz w:val="24"/>
        </w:rPr>
      </w:pPr>
      <w:r>
        <w:rPr>
          <w:rFonts w:hint="eastAsia" w:ascii="Times New Roman" w:hAnsi="Times New Roman"/>
          <w:bCs/>
          <w:color w:val="auto"/>
          <w:sz w:val="24"/>
        </w:rPr>
        <w:t>（3）投标</w:t>
      </w:r>
      <w:r>
        <w:rPr>
          <w:rFonts w:hint="eastAsia"/>
          <w:bCs/>
          <w:color w:val="auto"/>
          <w:sz w:val="24"/>
        </w:rPr>
        <w:t>（响应）</w:t>
      </w:r>
      <w:r>
        <w:rPr>
          <w:rFonts w:hint="eastAsia" w:ascii="Times New Roman" w:hAnsi="Times New Roman"/>
          <w:bCs/>
          <w:color w:val="auto"/>
          <w:sz w:val="24"/>
        </w:rPr>
        <w:t>报价低于采购项目最高限价65%的，即投标</w:t>
      </w:r>
      <w:r>
        <w:rPr>
          <w:rFonts w:hint="eastAsia"/>
          <w:bCs/>
          <w:color w:val="auto"/>
          <w:sz w:val="24"/>
        </w:rPr>
        <w:t>（响应）</w:t>
      </w:r>
      <w:r>
        <w:rPr>
          <w:rFonts w:hint="eastAsia" w:ascii="Times New Roman" w:hAnsi="Times New Roman"/>
          <w:bCs/>
          <w:color w:val="auto"/>
          <w:sz w:val="24"/>
        </w:rPr>
        <w:t>报价&lt;采购项目最高限价×65%；</w:t>
      </w:r>
    </w:p>
    <w:p w14:paraId="1C0CF9EC">
      <w:pPr>
        <w:spacing w:line="560" w:lineRule="exact"/>
        <w:ind w:firstLine="480"/>
        <w:rPr>
          <w:bCs/>
          <w:color w:val="auto"/>
          <w:sz w:val="24"/>
        </w:rPr>
      </w:pPr>
      <w:r>
        <w:rPr>
          <w:rFonts w:hint="eastAsia" w:ascii="Times New Roman" w:hAnsi="Times New Roman"/>
          <w:bCs/>
          <w:color w:val="auto"/>
          <w:sz w:val="24"/>
        </w:rPr>
        <w:t>（4）评审委员会基于专业判断，认为供应商报价过低，有可能影响产品质量或者不能诚信履约的其他情形。</w:t>
      </w:r>
    </w:p>
    <w:p w14:paraId="6234496E">
      <w:pPr>
        <w:spacing w:line="560" w:lineRule="exact"/>
        <w:ind w:firstLine="480"/>
        <w:rPr>
          <w:bCs/>
          <w:color w:val="auto"/>
          <w:sz w:val="24"/>
        </w:rPr>
      </w:pPr>
      <w:r>
        <w:rPr>
          <w:rFonts w:hint="eastAsia" w:ascii="Times New Roman" w:hAnsi="Times New Roman"/>
          <w:bCs/>
          <w:color w:val="auto"/>
          <w:sz w:val="24"/>
        </w:rPr>
        <w:t>相关法律法规对供应商报价有规定的，从其规定。</w:t>
      </w:r>
    </w:p>
    <w:p w14:paraId="14E28B77">
      <w:pPr>
        <w:spacing w:line="560" w:lineRule="exact"/>
        <w:ind w:firstLine="480"/>
        <w:rPr>
          <w:bCs/>
          <w:color w:val="auto"/>
          <w:sz w:val="24"/>
        </w:rPr>
      </w:pPr>
      <w:r>
        <w:rPr>
          <w:rFonts w:hint="eastAsia" w:ascii="Times New Roman" w:hAnsi="Times New Roman"/>
          <w:bCs/>
          <w:color w:val="auto"/>
          <w:sz w:val="24"/>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0ACAF7">
      <w:pPr>
        <w:spacing w:line="560" w:lineRule="exact"/>
        <w:ind w:firstLine="480"/>
        <w:rPr>
          <w:rFonts w:ascii="Times New Roman" w:hAnsi="Times New Roman"/>
          <w:color w:val="auto"/>
          <w:sz w:val="24"/>
          <w:szCs w:val="21"/>
        </w:rPr>
      </w:pPr>
      <w:r>
        <w:rPr>
          <w:rFonts w:hint="eastAsia" w:ascii="Times New Roman" w:hAnsi="Times New Roman"/>
          <w:bCs/>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B36BF5">
      <w:pPr>
        <w:keepNext/>
        <w:keepLines/>
        <w:spacing w:line="560" w:lineRule="exact"/>
        <w:ind w:firstLine="420"/>
        <w:outlineLvl w:val="3"/>
        <w:rPr>
          <w:rFonts w:ascii="Times New Roman" w:hAnsi="Times New Roman" w:eastAsia="黑体" w:cs="Arial"/>
          <w:color w:val="auto"/>
          <w:sz w:val="28"/>
          <w:szCs w:val="28"/>
        </w:rPr>
      </w:pPr>
      <w:r>
        <w:rPr>
          <w:rFonts w:hint="eastAsia" w:ascii="Times New Roman" w:hAnsi="Times New Roman" w:eastAsia="黑体" w:cs="Arial"/>
          <w:color w:val="auto"/>
          <w:sz w:val="28"/>
          <w:szCs w:val="28"/>
        </w:rPr>
        <w:t>2</w:t>
      </w:r>
      <w:r>
        <w:rPr>
          <w:rFonts w:ascii="Times New Roman" w:hAnsi="Times New Roman" w:eastAsia="黑体" w:cs="Arial"/>
          <w:color w:val="auto"/>
          <w:sz w:val="28"/>
          <w:szCs w:val="28"/>
        </w:rPr>
        <w:t>7</w:t>
      </w:r>
      <w:r>
        <w:rPr>
          <w:rFonts w:hint="eastAsia" w:ascii="Times New Roman" w:hAnsi="Times New Roman" w:eastAsia="黑体" w:cs="Arial"/>
          <w:color w:val="auto"/>
          <w:sz w:val="28"/>
          <w:szCs w:val="28"/>
        </w:rPr>
        <w:t>、</w:t>
      </w:r>
      <w:bookmarkEnd w:id="169"/>
      <w:bookmarkEnd w:id="170"/>
      <w:bookmarkEnd w:id="171"/>
      <w:r>
        <w:rPr>
          <w:rFonts w:hint="eastAsia" w:ascii="Times New Roman" w:hAnsi="Times New Roman" w:eastAsia="黑体" w:cs="Arial"/>
          <w:color w:val="auto"/>
          <w:sz w:val="28"/>
          <w:szCs w:val="28"/>
        </w:rPr>
        <w:t>磋商程序及评审方法和评审标准</w:t>
      </w:r>
    </w:p>
    <w:p w14:paraId="056222DB">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27.1磋商程序</w:t>
      </w:r>
    </w:p>
    <w:p w14:paraId="79691FEA">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4C5E5B1">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AD03FE7">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27.1.2</w:t>
      </w:r>
      <w:r>
        <w:rPr>
          <w:rFonts w:ascii="Times New Roman" w:hAnsi="Times New Roman"/>
          <w:color w:val="auto"/>
          <w:sz w:val="24"/>
          <w:szCs w:val="24"/>
        </w:rPr>
        <w:t>磋商文件能够详细列明采购标的的技术、服务要求的，磋商结束后，磋商小组</w:t>
      </w:r>
      <w:r>
        <w:rPr>
          <w:rFonts w:hint="eastAsia" w:ascii="Times New Roman" w:hAnsi="Times New Roman"/>
          <w:color w:val="auto"/>
          <w:sz w:val="24"/>
          <w:szCs w:val="24"/>
        </w:rPr>
        <w:t>将在苏采云系统向所有</w:t>
      </w:r>
      <w:r>
        <w:rPr>
          <w:rFonts w:ascii="Times New Roman" w:hAnsi="Times New Roman"/>
          <w:color w:val="auto"/>
          <w:sz w:val="24"/>
          <w:szCs w:val="24"/>
        </w:rPr>
        <w:t>实质性响应的供应商</w:t>
      </w:r>
      <w:r>
        <w:rPr>
          <w:rFonts w:hint="eastAsia" w:ascii="Times New Roman" w:hAnsi="Times New Roman"/>
          <w:color w:val="auto"/>
          <w:sz w:val="24"/>
          <w:szCs w:val="24"/>
        </w:rPr>
        <w:t>发布“最后报价要求函”及最后报价格式表，</w:t>
      </w:r>
      <w:r>
        <w:rPr>
          <w:rFonts w:ascii="Times New Roman" w:hAnsi="Times New Roman"/>
          <w:color w:val="auto"/>
          <w:sz w:val="24"/>
          <w:szCs w:val="24"/>
        </w:rPr>
        <w:t>要求所有实质性响应的供应商在规定时间内提交最后报价。</w:t>
      </w:r>
    </w:p>
    <w:p w14:paraId="21288287">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571297C">
      <w:pPr>
        <w:tabs>
          <w:tab w:val="left" w:pos="900"/>
        </w:tabs>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198ED54">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rPr>
        <w:t>已提交响应文件的供应商，在提交最后报价之前，可以根据磋商情况退出磋商</w:t>
      </w:r>
      <w:r>
        <w:rPr>
          <w:rFonts w:hint="eastAsia" w:ascii="Times New Roman" w:hAnsi="Times New Roman"/>
          <w:color w:val="auto"/>
          <w:sz w:val="24"/>
          <w:szCs w:val="24"/>
        </w:rPr>
        <w:t>，并在苏采云系统中提交“退出磋商函”并加盖CA电子公章</w:t>
      </w:r>
      <w:r>
        <w:rPr>
          <w:rFonts w:ascii="Times New Roman" w:hAnsi="Times New Roman"/>
          <w:color w:val="auto"/>
          <w:sz w:val="24"/>
          <w:szCs w:val="24"/>
        </w:rPr>
        <w:t>。</w:t>
      </w:r>
    </w:p>
    <w:p w14:paraId="64CC5189">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27.2 评审方法和评审标准</w:t>
      </w:r>
    </w:p>
    <w:p w14:paraId="1A61C089">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27.2.1评审方法。经磋商确定最终采购需求和提交最后报价的供应商后，由磋商小组采用综合评分法对提交最后报价的供应商的响应文件和最后报价进行综合评分。</w:t>
      </w:r>
    </w:p>
    <w:p w14:paraId="5084B9DC">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16A6A79">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27.2.2评审标准</w:t>
      </w:r>
    </w:p>
    <w:p w14:paraId="28620A33">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见本磋商文件第五章规定。</w:t>
      </w:r>
    </w:p>
    <w:p w14:paraId="13BAFC23">
      <w:pPr>
        <w:tabs>
          <w:tab w:val="left" w:pos="900"/>
        </w:tabs>
        <w:spacing w:line="560" w:lineRule="exact"/>
        <w:ind w:firstLine="477"/>
        <w:rPr>
          <w:rFonts w:ascii="Times New Roman" w:hAnsi="Times New Roman"/>
          <w:color w:val="auto"/>
          <w:sz w:val="24"/>
          <w:szCs w:val="24"/>
        </w:rPr>
      </w:pPr>
      <w:r>
        <w:rPr>
          <w:rFonts w:hint="eastAsia" w:ascii="Times New Roman" w:hAnsi="Times New Roman"/>
          <w:color w:val="auto"/>
          <w:sz w:val="24"/>
          <w:szCs w:val="24"/>
        </w:rPr>
        <w:t>27.3采购活动终止的情况</w:t>
      </w:r>
    </w:p>
    <w:p w14:paraId="703DDD6B">
      <w:pPr>
        <w:tabs>
          <w:tab w:val="left" w:pos="900"/>
        </w:tabs>
        <w:spacing w:line="560" w:lineRule="exact"/>
        <w:ind w:firstLine="360"/>
        <w:rPr>
          <w:rFonts w:ascii="Times New Roman" w:hAnsi="Times New Roman"/>
          <w:color w:val="auto"/>
          <w:sz w:val="24"/>
          <w:szCs w:val="24"/>
        </w:rPr>
      </w:pPr>
      <w:r>
        <w:rPr>
          <w:rFonts w:hint="eastAsia" w:ascii="Times New Roman" w:hAnsi="Times New Roman"/>
          <w:color w:val="auto"/>
          <w:sz w:val="24"/>
          <w:szCs w:val="24"/>
        </w:rPr>
        <w:t>出现下列情形之一的，本次竞争性磋商采购活动将被终止：</w:t>
      </w:r>
    </w:p>
    <w:p w14:paraId="4540400F">
      <w:pPr>
        <w:tabs>
          <w:tab w:val="left" w:pos="900"/>
        </w:tabs>
        <w:spacing w:line="560" w:lineRule="exact"/>
        <w:ind w:firstLine="360"/>
        <w:rPr>
          <w:rFonts w:ascii="Times New Roman" w:hAnsi="Times New Roman"/>
          <w:color w:val="auto"/>
          <w:sz w:val="24"/>
          <w:szCs w:val="24"/>
        </w:rPr>
      </w:pPr>
      <w:r>
        <w:rPr>
          <w:rFonts w:hint="eastAsia" w:ascii="Times New Roman" w:hAnsi="Times New Roman"/>
          <w:color w:val="auto"/>
          <w:sz w:val="24"/>
          <w:szCs w:val="24"/>
        </w:rPr>
        <w:t>27.3.1因情况变化，不再符合规定的竞争性磋商采购方式适用情形的。</w:t>
      </w:r>
    </w:p>
    <w:p w14:paraId="770B02D7">
      <w:pPr>
        <w:tabs>
          <w:tab w:val="left" w:pos="900"/>
        </w:tabs>
        <w:spacing w:line="560" w:lineRule="exact"/>
        <w:ind w:firstLine="360"/>
        <w:rPr>
          <w:rFonts w:ascii="Times New Roman" w:hAnsi="Times New Roman"/>
          <w:color w:val="auto"/>
          <w:sz w:val="24"/>
          <w:szCs w:val="24"/>
        </w:rPr>
      </w:pPr>
      <w:r>
        <w:rPr>
          <w:rFonts w:hint="eastAsia" w:ascii="Times New Roman" w:hAnsi="Times New Roman"/>
          <w:color w:val="auto"/>
          <w:sz w:val="24"/>
          <w:szCs w:val="24"/>
        </w:rPr>
        <w:t>27.3.2出现影响采购公正的违法、违规行为的。</w:t>
      </w:r>
    </w:p>
    <w:p w14:paraId="776FA4F4">
      <w:pPr>
        <w:tabs>
          <w:tab w:val="left" w:pos="900"/>
        </w:tabs>
        <w:spacing w:line="560" w:lineRule="exact"/>
        <w:ind w:firstLine="360"/>
        <w:rPr>
          <w:rFonts w:ascii="Times New Roman" w:hAnsi="Times New Roman"/>
          <w:color w:val="auto"/>
          <w:sz w:val="24"/>
          <w:szCs w:val="24"/>
        </w:rPr>
      </w:pPr>
      <w:r>
        <w:rPr>
          <w:rFonts w:hint="eastAsia" w:ascii="Times New Roman" w:hAnsi="Times New Roman"/>
          <w:color w:val="auto"/>
          <w:sz w:val="24"/>
          <w:szCs w:val="24"/>
        </w:rPr>
        <w:t>27.3.3除本磋商文件第二章第27.1.2条第三款规定的情形外，在采购过程中符合要求的供应商或者最后报价未超过采购预算的供应商不足3家的。</w:t>
      </w:r>
    </w:p>
    <w:p w14:paraId="66D978BB">
      <w:pPr>
        <w:tabs>
          <w:tab w:val="left" w:pos="900"/>
        </w:tabs>
        <w:spacing w:line="560" w:lineRule="exact"/>
        <w:ind w:firstLine="360"/>
        <w:rPr>
          <w:rFonts w:ascii="Times New Roman" w:hAnsi="Times New Roman" w:cs="宋体"/>
          <w:color w:val="auto"/>
          <w:sz w:val="24"/>
          <w:szCs w:val="24"/>
        </w:rPr>
      </w:pPr>
      <w:r>
        <w:rPr>
          <w:rFonts w:hint="eastAsia" w:ascii="Times New Roman" w:hAnsi="Times New Roman" w:cs="宋体"/>
          <w:color w:val="auto"/>
          <w:sz w:val="24"/>
          <w:szCs w:val="24"/>
        </w:rPr>
        <w:t>27.3.4在</w:t>
      </w:r>
      <w:r>
        <w:rPr>
          <w:rFonts w:hint="eastAsia" w:ascii="Times New Roman" w:hAnsi="Times New Roman"/>
          <w:color w:val="auto"/>
          <w:sz w:val="24"/>
          <w:szCs w:val="24"/>
        </w:rPr>
        <w:t>苏采云系统</w:t>
      </w:r>
      <w:r>
        <w:rPr>
          <w:rFonts w:hint="eastAsia" w:ascii="Times New Roman" w:hAnsi="Times New Roman" w:cs="宋体"/>
          <w:color w:val="auto"/>
          <w:sz w:val="24"/>
          <w:szCs w:val="24"/>
        </w:rPr>
        <w:t>规定时间内成功解密电子响应文件的供应商不足3家的。</w:t>
      </w:r>
    </w:p>
    <w:p w14:paraId="7C007D42">
      <w:pPr>
        <w:keepNext/>
        <w:keepLines/>
        <w:spacing w:line="560" w:lineRule="exact"/>
        <w:ind w:firstLine="482"/>
        <w:outlineLvl w:val="2"/>
        <w:rPr>
          <w:rFonts w:ascii="Times New Roman" w:hAnsi="Times New Roman"/>
          <w:b/>
          <w:bCs/>
          <w:color w:val="auto"/>
          <w:sz w:val="32"/>
          <w:szCs w:val="32"/>
        </w:rPr>
      </w:pPr>
      <w:bookmarkStart w:id="172" w:name="_Toc16938551"/>
      <w:bookmarkStart w:id="173" w:name="_Toc20823307"/>
      <w:bookmarkStart w:id="174" w:name="_Toc513029235"/>
      <w:bookmarkStart w:id="175" w:name="_Toc120614219"/>
      <w:r>
        <w:rPr>
          <w:rFonts w:hint="eastAsia" w:ascii="Times New Roman" w:hAnsi="Times New Roman"/>
          <w:b/>
          <w:bCs/>
          <w:color w:val="auto"/>
          <w:sz w:val="32"/>
          <w:szCs w:val="32"/>
        </w:rPr>
        <w:t>六、</w:t>
      </w:r>
      <w:bookmarkEnd w:id="172"/>
      <w:bookmarkEnd w:id="173"/>
      <w:bookmarkEnd w:id="174"/>
      <w:bookmarkEnd w:id="175"/>
      <w:r>
        <w:rPr>
          <w:rFonts w:hint="eastAsia" w:ascii="Times New Roman" w:hAnsi="Times New Roman"/>
          <w:b/>
          <w:bCs/>
          <w:color w:val="auto"/>
          <w:sz w:val="32"/>
          <w:szCs w:val="32"/>
        </w:rPr>
        <w:t>成交</w:t>
      </w:r>
    </w:p>
    <w:p w14:paraId="5D2E2491">
      <w:pPr>
        <w:keepNext/>
        <w:keepLines/>
        <w:spacing w:line="560" w:lineRule="exact"/>
        <w:ind w:firstLine="600"/>
        <w:outlineLvl w:val="3"/>
        <w:rPr>
          <w:rFonts w:ascii="Times New Roman" w:hAnsi="Times New Roman" w:eastAsia="黑体"/>
          <w:bCs/>
          <w:color w:val="auto"/>
          <w:sz w:val="30"/>
          <w:szCs w:val="30"/>
        </w:rPr>
      </w:pPr>
      <w:bookmarkStart w:id="176" w:name="_Toc513029238"/>
      <w:bookmarkStart w:id="177" w:name="_Toc16938554"/>
      <w:bookmarkStart w:id="178" w:name="_Toc20823310"/>
      <w:r>
        <w:rPr>
          <w:rFonts w:hint="eastAsia" w:ascii="Times New Roman" w:hAnsi="Times New Roman" w:eastAsia="黑体"/>
          <w:bCs/>
          <w:color w:val="auto"/>
          <w:sz w:val="30"/>
          <w:szCs w:val="30"/>
        </w:rPr>
        <w:t>2</w:t>
      </w:r>
      <w:r>
        <w:rPr>
          <w:rFonts w:ascii="Times New Roman" w:hAnsi="Times New Roman" w:eastAsia="黑体"/>
          <w:bCs/>
          <w:color w:val="auto"/>
          <w:sz w:val="30"/>
          <w:szCs w:val="30"/>
        </w:rPr>
        <w:t>8</w:t>
      </w:r>
      <w:r>
        <w:rPr>
          <w:rFonts w:hint="eastAsia" w:ascii="Times New Roman" w:hAnsi="Times New Roman" w:eastAsia="黑体"/>
          <w:bCs/>
          <w:color w:val="auto"/>
          <w:sz w:val="30"/>
          <w:szCs w:val="30"/>
        </w:rPr>
        <w:t>、</w:t>
      </w:r>
      <w:bookmarkEnd w:id="176"/>
      <w:r>
        <w:rPr>
          <w:rFonts w:hint="eastAsia" w:ascii="Times New Roman" w:hAnsi="Times New Roman" w:eastAsia="黑体"/>
          <w:bCs/>
          <w:color w:val="auto"/>
          <w:sz w:val="30"/>
          <w:szCs w:val="30"/>
        </w:rPr>
        <w:t>确定</w:t>
      </w:r>
      <w:bookmarkEnd w:id="177"/>
      <w:bookmarkEnd w:id="178"/>
      <w:r>
        <w:rPr>
          <w:rFonts w:hint="eastAsia" w:ascii="Times New Roman" w:hAnsi="Times New Roman" w:eastAsia="黑体"/>
          <w:bCs/>
          <w:color w:val="auto"/>
          <w:sz w:val="30"/>
          <w:szCs w:val="30"/>
        </w:rPr>
        <w:t>成交单位</w:t>
      </w:r>
    </w:p>
    <w:p w14:paraId="7EE9E85B">
      <w:pPr>
        <w:tabs>
          <w:tab w:val="left" w:pos="900"/>
        </w:tabs>
        <w:spacing w:line="560" w:lineRule="exact"/>
        <w:ind w:firstLine="477"/>
        <w:rPr>
          <w:rFonts w:ascii="Times New Roman" w:hAnsi="Times New Roman"/>
          <w:color w:val="auto"/>
          <w:sz w:val="24"/>
          <w:szCs w:val="21"/>
        </w:rPr>
      </w:pPr>
      <w:r>
        <w:rPr>
          <w:rFonts w:hint="eastAsia" w:ascii="Times New Roman" w:hAnsi="Times New Roman"/>
          <w:bCs/>
          <w:color w:val="auto"/>
          <w:sz w:val="24"/>
          <w:szCs w:val="21"/>
        </w:rPr>
        <w:t>2</w:t>
      </w:r>
      <w:r>
        <w:rPr>
          <w:rFonts w:ascii="Times New Roman" w:hAnsi="Times New Roman"/>
          <w:bCs/>
          <w:color w:val="auto"/>
          <w:sz w:val="24"/>
          <w:szCs w:val="21"/>
        </w:rPr>
        <w:t>8</w:t>
      </w:r>
      <w:r>
        <w:rPr>
          <w:rFonts w:hint="eastAsia" w:ascii="Times New Roman" w:hAnsi="Times New Roman"/>
          <w:bCs/>
          <w:color w:val="auto"/>
          <w:sz w:val="24"/>
          <w:szCs w:val="21"/>
        </w:rPr>
        <w:t>.1</w:t>
      </w:r>
      <w:r>
        <w:rPr>
          <w:rFonts w:hint="eastAsia" w:ascii="Times New Roman" w:hAnsi="Times New Roman"/>
          <w:color w:val="auto"/>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77E0FA8">
      <w:pPr>
        <w:tabs>
          <w:tab w:val="left" w:pos="900"/>
        </w:tabs>
        <w:spacing w:line="560" w:lineRule="exact"/>
        <w:ind w:firstLine="477"/>
        <w:rPr>
          <w:rFonts w:ascii="Times New Roman" w:hAnsi="Times New Roman"/>
          <w:bCs/>
          <w:color w:val="auto"/>
          <w:sz w:val="24"/>
          <w:szCs w:val="21"/>
        </w:rPr>
      </w:pPr>
      <w:r>
        <w:rPr>
          <w:rFonts w:hint="eastAsia" w:ascii="Times New Roman" w:hAnsi="Times New Roman"/>
          <w:bCs/>
          <w:color w:val="auto"/>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A66CB56">
      <w:pPr>
        <w:tabs>
          <w:tab w:val="left" w:pos="900"/>
        </w:tabs>
        <w:spacing w:line="560" w:lineRule="exact"/>
        <w:ind w:firstLine="477"/>
        <w:rPr>
          <w:rFonts w:ascii="Times New Roman" w:hAnsi="Times New Roman"/>
          <w:bCs/>
          <w:color w:val="auto"/>
          <w:sz w:val="24"/>
          <w:szCs w:val="21"/>
        </w:rPr>
      </w:pPr>
      <w:r>
        <w:rPr>
          <w:rFonts w:hint="eastAsia" w:ascii="Times New Roman" w:hAnsi="Times New Roman"/>
          <w:bCs/>
          <w:color w:val="auto"/>
          <w:sz w:val="24"/>
          <w:szCs w:val="21"/>
        </w:rPr>
        <w:t>2</w:t>
      </w:r>
      <w:r>
        <w:rPr>
          <w:rFonts w:ascii="Times New Roman" w:hAnsi="Times New Roman"/>
          <w:bCs/>
          <w:color w:val="auto"/>
          <w:sz w:val="24"/>
          <w:szCs w:val="21"/>
        </w:rPr>
        <w:t>8</w:t>
      </w:r>
      <w:r>
        <w:rPr>
          <w:rFonts w:hint="eastAsia" w:ascii="Times New Roman" w:hAnsi="Times New Roman"/>
          <w:bCs/>
          <w:color w:val="auto"/>
          <w:sz w:val="24"/>
          <w:szCs w:val="21"/>
        </w:rPr>
        <w:t>.2采购人从评审报告提出的成交候选供应商中，按照排序由高到低的原则确定成交供应商。</w:t>
      </w:r>
    </w:p>
    <w:p w14:paraId="06CEF8B8">
      <w:pPr>
        <w:spacing w:line="560" w:lineRule="exact"/>
        <w:ind w:firstLine="480"/>
        <w:rPr>
          <w:rFonts w:ascii="Times New Roman" w:hAnsi="Times New Roman"/>
          <w:bCs/>
          <w:color w:val="auto"/>
          <w:sz w:val="24"/>
          <w:lang w:val="zh-CN"/>
        </w:rPr>
      </w:pPr>
      <w:r>
        <w:rPr>
          <w:rFonts w:hint="eastAsia" w:ascii="Times New Roman" w:hAnsi="Times New Roman"/>
          <w:bCs/>
          <w:color w:val="auto"/>
          <w:sz w:val="24"/>
          <w:lang w:val="zh-CN"/>
        </w:rPr>
        <w:t>按以下第</w:t>
      </w:r>
      <w:r>
        <w:rPr>
          <w:rFonts w:hint="eastAsia" w:ascii="Times New Roman" w:hAnsi="Times New Roman"/>
          <w:bCs/>
          <w:color w:val="auto"/>
          <w:sz w:val="24"/>
          <w:u w:val="single"/>
          <w:lang w:val="zh-CN"/>
        </w:rPr>
        <w:t>（</w:t>
      </w:r>
      <w:r>
        <w:rPr>
          <w:rFonts w:hint="eastAsia" w:ascii="Times New Roman" w:hAnsi="Times New Roman"/>
          <w:bCs/>
          <w:color w:val="auto"/>
          <w:sz w:val="24"/>
          <w:u w:val="single"/>
        </w:rPr>
        <w:t>2</w:t>
      </w:r>
      <w:r>
        <w:rPr>
          <w:rFonts w:hint="eastAsia" w:ascii="Times New Roman" w:hAnsi="Times New Roman"/>
          <w:bCs/>
          <w:color w:val="auto"/>
          <w:sz w:val="24"/>
          <w:u w:val="single"/>
          <w:lang w:val="zh-CN"/>
        </w:rPr>
        <w:t>）</w:t>
      </w:r>
      <w:r>
        <w:rPr>
          <w:rFonts w:hint="eastAsia" w:ascii="Times New Roman" w:hAnsi="Times New Roman"/>
          <w:bCs/>
          <w:color w:val="auto"/>
          <w:sz w:val="24"/>
          <w:lang w:val="zh-CN"/>
        </w:rPr>
        <w:t>种方式确定成交供应商</w:t>
      </w:r>
    </w:p>
    <w:p w14:paraId="20818851">
      <w:pPr>
        <w:spacing w:line="560" w:lineRule="exact"/>
        <w:ind w:firstLine="480"/>
        <w:rPr>
          <w:rFonts w:ascii="Times New Roman" w:hAnsi="Times New Roman"/>
          <w:bCs/>
          <w:color w:val="auto"/>
          <w:sz w:val="24"/>
          <w:lang w:val="zh-CN"/>
        </w:rPr>
      </w:pPr>
      <w:r>
        <w:rPr>
          <w:rFonts w:hint="eastAsia" w:ascii="Times New Roman" w:hAnsi="Times New Roman"/>
          <w:bCs/>
          <w:color w:val="auto"/>
          <w:sz w:val="24"/>
          <w:lang w:val="zh-CN"/>
        </w:rPr>
        <w:t>（1）磋商小组直接确定排名第一的</w:t>
      </w:r>
      <w:r>
        <w:rPr>
          <w:rFonts w:hint="eastAsia" w:ascii="Times New Roman" w:hAnsi="Times New Roman"/>
          <w:bCs/>
          <w:color w:val="auto"/>
          <w:sz w:val="24"/>
          <w:szCs w:val="21"/>
        </w:rPr>
        <w:t>成交候选供应商</w:t>
      </w:r>
      <w:r>
        <w:rPr>
          <w:rFonts w:hint="eastAsia" w:ascii="Times New Roman" w:hAnsi="Times New Roman"/>
          <w:bCs/>
          <w:color w:val="auto"/>
          <w:sz w:val="24"/>
          <w:lang w:val="zh-CN"/>
        </w:rPr>
        <w:t>为成交供应商；</w:t>
      </w:r>
    </w:p>
    <w:p w14:paraId="3D136DFC">
      <w:pPr>
        <w:spacing w:line="560" w:lineRule="exact"/>
        <w:ind w:firstLine="480"/>
        <w:rPr>
          <w:rFonts w:ascii="Times New Roman" w:hAnsi="Times New Roman"/>
          <w:bCs/>
          <w:color w:val="auto"/>
          <w:sz w:val="24"/>
          <w:lang w:val="zh-CN"/>
        </w:rPr>
      </w:pPr>
      <w:r>
        <w:rPr>
          <w:rFonts w:hint="eastAsia" w:ascii="Times New Roman" w:hAnsi="Times New Roman"/>
          <w:bCs/>
          <w:color w:val="auto"/>
          <w:sz w:val="24"/>
          <w:lang w:val="zh-CN"/>
        </w:rPr>
        <w:t>（2）采购人</w:t>
      </w:r>
      <w:r>
        <w:rPr>
          <w:rFonts w:hint="eastAsia" w:ascii="Times New Roman" w:hAnsi="Times New Roman"/>
          <w:bCs/>
          <w:color w:val="auto"/>
          <w:sz w:val="24"/>
          <w:szCs w:val="21"/>
        </w:rPr>
        <w:t>从评审报告提出</w:t>
      </w:r>
      <w:r>
        <w:rPr>
          <w:rFonts w:hint="eastAsia" w:ascii="Times New Roman" w:hAnsi="Times New Roman"/>
          <w:bCs/>
          <w:color w:val="auto"/>
          <w:sz w:val="24"/>
          <w:lang w:val="zh-CN"/>
        </w:rPr>
        <w:t>的</w:t>
      </w:r>
      <w:r>
        <w:rPr>
          <w:rFonts w:hint="eastAsia" w:ascii="Times New Roman" w:hAnsi="Times New Roman"/>
          <w:bCs/>
          <w:color w:val="auto"/>
          <w:sz w:val="24"/>
          <w:szCs w:val="21"/>
        </w:rPr>
        <w:t>成交候选供应商</w:t>
      </w:r>
      <w:r>
        <w:rPr>
          <w:rFonts w:hint="eastAsia" w:ascii="Times New Roman" w:hAnsi="Times New Roman"/>
          <w:bCs/>
          <w:color w:val="auto"/>
          <w:sz w:val="24"/>
          <w:lang w:val="zh-CN"/>
        </w:rPr>
        <w:t>中按顺序确定成交供应商。</w:t>
      </w:r>
    </w:p>
    <w:p w14:paraId="53C525DF">
      <w:pPr>
        <w:tabs>
          <w:tab w:val="left" w:pos="900"/>
        </w:tabs>
        <w:spacing w:line="560" w:lineRule="exact"/>
        <w:ind w:firstLine="477"/>
        <w:rPr>
          <w:rFonts w:ascii="Times New Roman" w:hAnsi="Times New Roman"/>
          <w:bCs/>
          <w:color w:val="auto"/>
          <w:sz w:val="24"/>
          <w:szCs w:val="21"/>
        </w:rPr>
      </w:pPr>
      <w:r>
        <w:rPr>
          <w:rFonts w:hint="eastAsia" w:ascii="Times New Roman" w:hAnsi="Times New Roman"/>
          <w:bCs/>
          <w:color w:val="auto"/>
          <w:sz w:val="24"/>
          <w:lang w:val="zh-CN"/>
        </w:rPr>
        <w:t>按第</w:t>
      </w:r>
      <w:r>
        <w:rPr>
          <w:rFonts w:hint="eastAsia" w:ascii="Times New Roman" w:hAnsi="Times New Roman"/>
          <w:bCs/>
          <w:color w:val="auto"/>
          <w:sz w:val="24"/>
        </w:rPr>
        <w:t>2</w:t>
      </w:r>
      <w:r>
        <w:rPr>
          <w:rFonts w:hint="eastAsia" w:ascii="Times New Roman" w:hAnsi="Times New Roman"/>
          <w:bCs/>
          <w:color w:val="auto"/>
          <w:sz w:val="24"/>
          <w:lang w:val="zh-CN"/>
        </w:rPr>
        <w:t>种方式确定成交供应商的，</w:t>
      </w:r>
      <w:r>
        <w:rPr>
          <w:rFonts w:hint="eastAsia" w:ascii="Times New Roman" w:hAnsi="Times New Roman"/>
          <w:bCs/>
          <w:color w:val="auto"/>
          <w:sz w:val="24"/>
        </w:rPr>
        <w:t>采购代理机构</w:t>
      </w:r>
      <w:r>
        <w:rPr>
          <w:rFonts w:hint="eastAsia" w:ascii="Times New Roman" w:hAnsi="Times New Roman"/>
          <w:bCs/>
          <w:color w:val="auto"/>
          <w:sz w:val="24"/>
          <w:lang w:val="zh-CN"/>
        </w:rPr>
        <w:t>自评审结束之日起两个工作日内将评审报告送交采购人，采购人自收到评审报告之日起五个工作日内在评审报告推荐的</w:t>
      </w:r>
      <w:r>
        <w:rPr>
          <w:rFonts w:hint="eastAsia" w:ascii="Times New Roman" w:hAnsi="Times New Roman"/>
          <w:bCs/>
          <w:color w:val="auto"/>
          <w:sz w:val="24"/>
          <w:szCs w:val="21"/>
        </w:rPr>
        <w:t>成交候选供应商</w:t>
      </w:r>
      <w:r>
        <w:rPr>
          <w:rFonts w:hint="eastAsia" w:ascii="Times New Roman" w:hAnsi="Times New Roman"/>
          <w:bCs/>
          <w:color w:val="auto"/>
          <w:sz w:val="24"/>
          <w:lang w:val="zh-CN"/>
        </w:rPr>
        <w:t>中按顺序确定成交供应商。</w:t>
      </w:r>
    </w:p>
    <w:p w14:paraId="4C4A8C42">
      <w:pPr>
        <w:tabs>
          <w:tab w:val="left" w:pos="900"/>
        </w:tabs>
        <w:spacing w:line="560" w:lineRule="exact"/>
        <w:ind w:firstLine="477"/>
        <w:rPr>
          <w:rFonts w:ascii="Times New Roman" w:hAnsi="Times New Roman"/>
          <w:bCs/>
          <w:color w:val="auto"/>
          <w:sz w:val="24"/>
          <w:szCs w:val="21"/>
        </w:rPr>
      </w:pPr>
      <w:r>
        <w:rPr>
          <w:rFonts w:hint="eastAsia" w:ascii="Times New Roman" w:hAnsi="Times New Roman"/>
          <w:bCs/>
          <w:color w:val="auto"/>
          <w:sz w:val="24"/>
          <w:szCs w:val="21"/>
        </w:rPr>
        <w:t>2</w:t>
      </w:r>
      <w:r>
        <w:rPr>
          <w:rFonts w:ascii="Times New Roman" w:hAnsi="Times New Roman"/>
          <w:bCs/>
          <w:color w:val="auto"/>
          <w:sz w:val="24"/>
          <w:szCs w:val="21"/>
        </w:rPr>
        <w:t>8.3</w:t>
      </w:r>
      <w:r>
        <w:rPr>
          <w:rFonts w:hint="eastAsia" w:ascii="Times New Roman" w:hAnsi="Times New Roman"/>
          <w:bCs/>
          <w:color w:val="auto"/>
          <w:sz w:val="24"/>
          <w:szCs w:val="21"/>
        </w:rPr>
        <w:t>成交供应商确定后，采购代理机构将在“宿迁市政府采购网”发布成交结果公告，公告期限为1个工作日。</w:t>
      </w:r>
    </w:p>
    <w:p w14:paraId="5BDC8C1D">
      <w:pPr>
        <w:tabs>
          <w:tab w:val="left" w:pos="900"/>
        </w:tabs>
        <w:spacing w:line="560" w:lineRule="exact"/>
        <w:ind w:firstLine="477"/>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若有充分证据证明，成交供应商出现下列情况之一的，一经查实，将被取消成交资格：</w:t>
      </w:r>
    </w:p>
    <w:p w14:paraId="4F6BB661">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.1提供虚假材料谋取成交的。</w:t>
      </w:r>
    </w:p>
    <w:p w14:paraId="6BC6DF44">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.2与评审专家、采购人、其他供应商或者</w:t>
      </w:r>
      <w:r>
        <w:rPr>
          <w:rFonts w:hint="eastAsia" w:ascii="Times New Roman" w:hAnsi="Times New Roman"/>
          <w:color w:val="auto"/>
          <w:sz w:val="24"/>
          <w:szCs w:val="21"/>
        </w:rPr>
        <w:t>采购代理机构</w:t>
      </w:r>
      <w:r>
        <w:rPr>
          <w:rFonts w:hint="eastAsia" w:ascii="Times New Roman" w:hAnsi="Times New Roman"/>
          <w:bCs/>
          <w:color w:val="auto"/>
          <w:sz w:val="24"/>
          <w:szCs w:val="21"/>
        </w:rPr>
        <w:t>工作人员恶意串通的。</w:t>
      </w:r>
    </w:p>
    <w:p w14:paraId="2447B4A3">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.3向评审专家、采购人或</w:t>
      </w:r>
      <w:r>
        <w:rPr>
          <w:rFonts w:hint="eastAsia" w:ascii="Times New Roman" w:hAnsi="Times New Roman"/>
          <w:color w:val="auto"/>
          <w:sz w:val="24"/>
          <w:szCs w:val="21"/>
        </w:rPr>
        <w:t>采购代理机构</w:t>
      </w:r>
      <w:r>
        <w:rPr>
          <w:rFonts w:hint="eastAsia" w:ascii="Times New Roman" w:hAnsi="Times New Roman"/>
          <w:bCs/>
          <w:color w:val="auto"/>
          <w:sz w:val="24"/>
          <w:szCs w:val="21"/>
        </w:rPr>
        <w:t>工作人员行贿或者提供其他不正当利益的。</w:t>
      </w:r>
    </w:p>
    <w:p w14:paraId="669B8734">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.4恶意竞争，最后报价明显低于其自身合理成本且又无法提供证明的。</w:t>
      </w:r>
    </w:p>
    <w:p w14:paraId="6336A49C">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.5不满足本磋商文件规定的实质性要求，但在评审过程中又未被磋商小组发现的。</w:t>
      </w:r>
    </w:p>
    <w:p w14:paraId="3A36C42B">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.6成交后无正当理由拒不与采购人签订政府采购合同或者未按照磋商文件确定的事项签订政府采购合同的。</w:t>
      </w:r>
    </w:p>
    <w:p w14:paraId="221162BD">
      <w:pPr>
        <w:spacing w:line="560" w:lineRule="exact"/>
        <w:ind w:firstLine="480"/>
        <w:rPr>
          <w:rFonts w:ascii="Times New Roman" w:hAnsi="Times New Roman"/>
          <w:bCs/>
          <w:color w:val="auto"/>
          <w:sz w:val="24"/>
          <w:szCs w:val="21"/>
        </w:rPr>
      </w:pPr>
      <w:r>
        <w:rPr>
          <w:rFonts w:hint="eastAsia" w:ascii="Times New Roman" w:hAnsi="Times New Roman"/>
          <w:bCs/>
          <w:color w:val="auto"/>
          <w:sz w:val="24"/>
          <w:szCs w:val="21"/>
        </w:rPr>
        <w:t>28.</w:t>
      </w:r>
      <w:r>
        <w:rPr>
          <w:rFonts w:ascii="Times New Roman" w:hAnsi="Times New Roman"/>
          <w:bCs/>
          <w:color w:val="auto"/>
          <w:sz w:val="24"/>
          <w:szCs w:val="21"/>
        </w:rPr>
        <w:t>4</w:t>
      </w:r>
      <w:r>
        <w:rPr>
          <w:rFonts w:hint="eastAsia" w:ascii="Times New Roman" w:hAnsi="Times New Roman"/>
          <w:bCs/>
          <w:color w:val="auto"/>
          <w:sz w:val="24"/>
          <w:szCs w:val="21"/>
        </w:rPr>
        <w:t>.7将政府采购合同转包的。</w:t>
      </w:r>
    </w:p>
    <w:p w14:paraId="388ADD51">
      <w:pPr>
        <w:keepNext/>
        <w:keepLines/>
        <w:spacing w:line="560" w:lineRule="exact"/>
        <w:ind w:firstLine="600"/>
        <w:outlineLvl w:val="3"/>
        <w:rPr>
          <w:rFonts w:ascii="Times New Roman" w:hAnsi="Times New Roman" w:eastAsia="黑体"/>
          <w:bCs/>
          <w:color w:val="auto"/>
          <w:sz w:val="30"/>
          <w:szCs w:val="30"/>
        </w:rPr>
      </w:pPr>
      <w:bookmarkStart w:id="179" w:name="_Toc200451960"/>
      <w:r>
        <w:rPr>
          <w:rFonts w:ascii="Times New Roman" w:hAnsi="Times New Roman" w:eastAsia="黑体"/>
          <w:bCs/>
          <w:color w:val="auto"/>
          <w:sz w:val="30"/>
          <w:szCs w:val="30"/>
        </w:rPr>
        <w:t>29</w:t>
      </w:r>
      <w:r>
        <w:rPr>
          <w:rFonts w:hint="eastAsia" w:ascii="Times New Roman" w:hAnsi="Times New Roman" w:eastAsia="黑体"/>
          <w:bCs/>
          <w:color w:val="auto"/>
          <w:sz w:val="30"/>
          <w:szCs w:val="30"/>
        </w:rPr>
        <w:t>、质疑处理</w:t>
      </w:r>
      <w:bookmarkEnd w:id="179"/>
    </w:p>
    <w:p w14:paraId="40FA5ADD">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.1提出质疑的供应商应当是参与所质疑项目采购活动的供应商。潜在供应商依法获取其可质疑的采购文件的，可以对采购文件提出质疑。</w:t>
      </w:r>
    </w:p>
    <w:p w14:paraId="4158727C">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5C4B860">
      <w:pPr>
        <w:spacing w:line="560" w:lineRule="exact"/>
        <w:ind w:firstLine="480"/>
        <w:rPr>
          <w:rFonts w:ascii="Times New Roman" w:hAnsi="Times New Roman" w:cs="宋体"/>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.2.1</w:t>
      </w:r>
      <w:r>
        <w:rPr>
          <w:rFonts w:ascii="Times New Roman" w:hAnsi="Times New Roman" w:cs="宋体"/>
          <w:color w:val="auto"/>
          <w:sz w:val="24"/>
          <w:szCs w:val="24"/>
        </w:rPr>
        <w:t>对可以质疑的采购文件提出质疑的，为收到采购文件之日或者采购文件公告期限届满之日</w:t>
      </w:r>
      <w:r>
        <w:rPr>
          <w:rFonts w:hint="eastAsia" w:ascii="Times New Roman" w:hAnsi="Times New Roman" w:cs="宋体"/>
          <w:color w:val="auto"/>
          <w:sz w:val="24"/>
          <w:szCs w:val="24"/>
        </w:rPr>
        <w:t>。</w:t>
      </w:r>
    </w:p>
    <w:p w14:paraId="0A67E2AA">
      <w:pPr>
        <w:spacing w:line="560" w:lineRule="exact"/>
        <w:ind w:firstLine="480"/>
        <w:rPr>
          <w:rFonts w:ascii="Times New Roman" w:hAnsi="Times New Roman" w:cs="宋体"/>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.2.2</w:t>
      </w:r>
      <w:r>
        <w:rPr>
          <w:rFonts w:ascii="Times New Roman" w:hAnsi="Times New Roman" w:cs="宋体"/>
          <w:color w:val="auto"/>
          <w:sz w:val="24"/>
          <w:szCs w:val="24"/>
        </w:rPr>
        <w:t>对采购过程提出质疑的，为各采购程序环节结束之日</w:t>
      </w:r>
      <w:r>
        <w:rPr>
          <w:rFonts w:hint="eastAsia" w:ascii="Times New Roman" w:hAnsi="Times New Roman" w:cs="宋体"/>
          <w:color w:val="auto"/>
          <w:sz w:val="24"/>
          <w:szCs w:val="24"/>
        </w:rPr>
        <w:t>。</w:t>
      </w:r>
    </w:p>
    <w:p w14:paraId="4D357711">
      <w:pPr>
        <w:spacing w:line="560" w:lineRule="exact"/>
        <w:ind w:firstLine="480"/>
        <w:rPr>
          <w:rFonts w:ascii="Times New Roman" w:hAnsi="Times New Roman" w:cs="宋体"/>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.2.3</w:t>
      </w:r>
      <w:r>
        <w:rPr>
          <w:rFonts w:ascii="Times New Roman" w:hAnsi="Times New Roman" w:cs="宋体"/>
          <w:color w:val="auto"/>
          <w:sz w:val="24"/>
          <w:szCs w:val="24"/>
        </w:rPr>
        <w:t>对成交结果提出质疑的，为成交结果公告期限届满之日。</w:t>
      </w:r>
    </w:p>
    <w:p w14:paraId="73C465D0">
      <w:pPr>
        <w:spacing w:line="560" w:lineRule="exact"/>
        <w:ind w:firstLine="480"/>
        <w:rPr>
          <w:rFonts w:ascii="Times New Roman" w:hAnsi="Times New Roman" w:cs="宋体"/>
          <w:color w:val="auto"/>
          <w:sz w:val="24"/>
          <w:szCs w:val="24"/>
        </w:rPr>
      </w:pPr>
      <w:r>
        <w:rPr>
          <w:rFonts w:hint="eastAsia" w:ascii="Times New Roman" w:hAnsi="Times New Roman" w:cs="宋体"/>
          <w:color w:val="auto"/>
          <w:sz w:val="24"/>
          <w:szCs w:val="24"/>
        </w:rPr>
        <w:t>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rPr>
        <w:t>采购代理机构</w:t>
      </w:r>
      <w:r>
        <w:rPr>
          <w:rFonts w:hint="eastAsia" w:ascii="Times New Roman" w:hAnsi="Times New Roman" w:cs="宋体"/>
          <w:color w:val="auto"/>
          <w:sz w:val="24"/>
          <w:szCs w:val="24"/>
        </w:rPr>
        <w:t>、</w:t>
      </w:r>
      <w:r>
        <w:rPr>
          <w:rFonts w:ascii="Times New Roman" w:hAnsi="Times New Roman" w:cs="宋体"/>
          <w:color w:val="auto"/>
          <w:sz w:val="24"/>
          <w:szCs w:val="24"/>
        </w:rPr>
        <w:t>采购人</w:t>
      </w:r>
      <w:r>
        <w:rPr>
          <w:rFonts w:hint="eastAsia" w:ascii="Times New Roman" w:hAnsi="Times New Roman" w:cs="宋体"/>
          <w:color w:val="auto"/>
          <w:sz w:val="24"/>
          <w:szCs w:val="24"/>
        </w:rPr>
        <w:t>将只对供应商第一次质疑作出答复。</w:t>
      </w:r>
    </w:p>
    <w:p w14:paraId="77CB1BC0">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224B2BCA">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.4供应商应以书面形式向采购人或者其委托的采购代理机构提出质疑。质疑超出采购机构代理范围的，供应商应当向采购人提出。</w:t>
      </w:r>
    </w:p>
    <w:p w14:paraId="76F18401">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接收质疑函的方式：现场接收或邮寄接收。</w:t>
      </w:r>
    </w:p>
    <w:p w14:paraId="528705CF">
      <w:pPr>
        <w:spacing w:line="560" w:lineRule="exact"/>
        <w:ind w:firstLine="480"/>
        <w:rPr>
          <w:rFonts w:hint="eastAsia" w:ascii="Times New Roman" w:hAnsi="Times New Roman" w:eastAsia="宋体"/>
          <w:color w:val="auto"/>
          <w:sz w:val="24"/>
          <w:szCs w:val="24"/>
          <w:u w:val="single"/>
          <w:lang w:eastAsia="zh-CN"/>
        </w:rPr>
      </w:pPr>
      <w:r>
        <w:rPr>
          <w:rFonts w:hint="eastAsia" w:ascii="Times New Roman" w:hAnsi="Times New Roman"/>
          <w:color w:val="auto"/>
          <w:sz w:val="24"/>
          <w:szCs w:val="24"/>
        </w:rPr>
        <w:t>联系部门：</w:t>
      </w:r>
      <w:r>
        <w:rPr>
          <w:rFonts w:hint="eastAsia" w:ascii="Times New Roman" w:hAnsi="Times New Roman"/>
          <w:color w:val="auto"/>
          <w:sz w:val="24"/>
          <w:szCs w:val="24"/>
          <w:u w:val="single"/>
          <w:lang w:eastAsia="zh-CN"/>
        </w:rPr>
        <w:t>泗洪县城市管理局</w:t>
      </w:r>
      <w:r>
        <w:rPr>
          <w:rFonts w:hint="eastAsia" w:ascii="Times New Roman" w:hAnsi="Times New Roman"/>
          <w:color w:val="auto"/>
          <w:sz w:val="24"/>
          <w:szCs w:val="24"/>
          <w:u w:val="single"/>
        </w:rPr>
        <w:t>、</w:t>
      </w:r>
      <w:r>
        <w:rPr>
          <w:rFonts w:hint="eastAsia" w:ascii="Times New Roman" w:hAnsi="Times New Roman"/>
          <w:color w:val="auto"/>
          <w:sz w:val="24"/>
          <w:szCs w:val="24"/>
          <w:u w:val="single"/>
          <w:lang w:eastAsia="zh-CN"/>
        </w:rPr>
        <w:t>江苏明博项目管理有限公司</w:t>
      </w:r>
    </w:p>
    <w:p w14:paraId="7947C871">
      <w:pPr>
        <w:spacing w:line="560" w:lineRule="exact"/>
        <w:ind w:firstLine="480"/>
        <w:rPr>
          <w:rFonts w:hint="default" w:ascii="Times New Roman" w:hAnsi="Times New Roman" w:eastAsia="宋体"/>
          <w:color w:val="auto"/>
          <w:sz w:val="24"/>
          <w:szCs w:val="24"/>
          <w:u w:val="single"/>
          <w:lang w:val="en-US" w:eastAsia="zh-CN"/>
        </w:rPr>
      </w:pPr>
      <w:r>
        <w:rPr>
          <w:rFonts w:hint="eastAsia" w:ascii="Times New Roman" w:hAnsi="Times New Roman"/>
          <w:color w:val="auto"/>
          <w:sz w:val="24"/>
          <w:szCs w:val="24"/>
        </w:rPr>
        <w:t>联系电话：</w:t>
      </w:r>
      <w:r>
        <w:rPr>
          <w:rFonts w:hint="eastAsia" w:ascii="Times New Roman" w:hAnsi="Times New Roman" w:eastAsia="宋体"/>
          <w:color w:val="auto"/>
          <w:sz w:val="24"/>
          <w:szCs w:val="24"/>
          <w:u w:val="single"/>
          <w:lang w:val="en-US" w:eastAsia="zh-CN"/>
        </w:rPr>
        <w:t>15951098054、156</w:t>
      </w:r>
      <w:r>
        <w:rPr>
          <w:rFonts w:hint="eastAsia" w:ascii="Times New Roman" w:hAnsi="Times New Roman"/>
          <w:color w:val="auto"/>
          <w:sz w:val="24"/>
          <w:szCs w:val="24"/>
          <w:u w:val="single"/>
          <w:lang w:val="en-US" w:eastAsia="zh-CN"/>
        </w:rPr>
        <w:t>51397897</w:t>
      </w:r>
    </w:p>
    <w:p w14:paraId="4B3749D5">
      <w:pPr>
        <w:spacing w:line="560" w:lineRule="exact"/>
        <w:ind w:firstLine="480"/>
        <w:rPr>
          <w:rFonts w:hint="eastAsia" w:ascii="Times New Roman" w:hAnsi="Times New Roman" w:eastAsia="宋体"/>
          <w:color w:val="auto"/>
          <w:sz w:val="24"/>
          <w:szCs w:val="24"/>
          <w:u w:val="single"/>
          <w:lang w:val="en-US" w:eastAsia="zh-CN"/>
        </w:rPr>
      </w:pPr>
      <w:r>
        <w:rPr>
          <w:rFonts w:hint="eastAsia" w:ascii="Times New Roman" w:hAnsi="Times New Roman" w:eastAsia="宋体"/>
          <w:color w:val="auto"/>
          <w:sz w:val="24"/>
          <w:szCs w:val="24"/>
        </w:rPr>
        <w:t>通讯地址：</w:t>
      </w:r>
      <w:r>
        <w:rPr>
          <w:rFonts w:hint="eastAsia" w:ascii="Times New Roman" w:hAnsi="Times New Roman" w:eastAsia="宋体"/>
          <w:color w:val="auto"/>
          <w:sz w:val="24"/>
          <w:szCs w:val="24"/>
          <w:u w:val="single"/>
          <w:lang w:val="en-US" w:eastAsia="zh-CN"/>
        </w:rPr>
        <w:t>江苏省宿迁市泗洪县青阳街道体育南路34号</w:t>
      </w:r>
      <w:r>
        <w:rPr>
          <w:rFonts w:hint="eastAsia" w:ascii="Times New Roman" w:hAnsi="Times New Roman" w:eastAsia="宋体"/>
          <w:color w:val="auto"/>
          <w:sz w:val="24"/>
          <w:szCs w:val="24"/>
          <w:u w:val="none"/>
          <w:lang w:val="en-US" w:eastAsia="zh-CN"/>
        </w:rPr>
        <w:t>，</w:t>
      </w:r>
      <w:r>
        <w:rPr>
          <w:rFonts w:hint="eastAsia" w:ascii="Times New Roman" w:hAnsi="Times New Roman" w:eastAsia="宋体"/>
          <w:color w:val="auto"/>
          <w:sz w:val="24"/>
          <w:szCs w:val="24"/>
          <w:u w:val="single"/>
          <w:lang w:val="en-US" w:eastAsia="zh-CN"/>
        </w:rPr>
        <w:t>泗洪县泰山南路7-23号</w:t>
      </w:r>
    </w:p>
    <w:p w14:paraId="10112841">
      <w:pPr>
        <w:spacing w:line="560" w:lineRule="exact"/>
        <w:ind w:firstLine="480"/>
        <w:rPr>
          <w:rFonts w:ascii="Times New Roman" w:hAnsi="Times New Roman"/>
          <w:color w:val="auto"/>
          <w:sz w:val="24"/>
          <w:szCs w:val="24"/>
        </w:rPr>
      </w:pPr>
      <w:r>
        <w:rPr>
          <w:rFonts w:hint="eastAsia" w:ascii="Times New Roman" w:hAnsi="Times New Roman" w:eastAsia="宋体"/>
          <w:color w:val="auto"/>
          <w:sz w:val="24"/>
          <w:szCs w:val="24"/>
        </w:rPr>
        <w:t>29</w:t>
      </w:r>
      <w:r>
        <w:rPr>
          <w:rFonts w:hint="eastAsia" w:ascii="Times New Roman" w:hAnsi="Times New Roman"/>
          <w:color w:val="auto"/>
          <w:sz w:val="24"/>
          <w:szCs w:val="24"/>
        </w:rPr>
        <w:t>.5 以下情形的质疑不予受理</w:t>
      </w:r>
    </w:p>
    <w:p w14:paraId="0FF23EE0">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.5.1内容不符合《政府采购质疑和投诉办法》第十二条规定的质疑。</w:t>
      </w:r>
    </w:p>
    <w:p w14:paraId="61DFA6C2">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.5.2超出政府采购法定期限的质疑。</w:t>
      </w:r>
    </w:p>
    <w:p w14:paraId="1385B9F1">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.5.3以传真、电子邮件等方式递交的非原件形式的质疑。</w:t>
      </w:r>
    </w:p>
    <w:p w14:paraId="0788C1A7">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.5.4未参加磋商活动的供应商或在磋商活动中自身权益未受到损害的供应商所提出的质疑。</w:t>
      </w:r>
    </w:p>
    <w:p w14:paraId="562010AD">
      <w:pPr>
        <w:spacing w:line="560" w:lineRule="exact"/>
        <w:ind w:firstLine="480"/>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.5.5供应商组成联合体参加磋商，联合体中任何一方或多方未按要求签字、盖章、加盖公章的质疑。</w:t>
      </w:r>
    </w:p>
    <w:p w14:paraId="0F221EF3">
      <w:pPr>
        <w:spacing w:line="560" w:lineRule="exact"/>
        <w:ind w:firstLine="468"/>
        <w:rPr>
          <w:rFonts w:ascii="Times New Roman" w:hAnsi="Times New Roman"/>
          <w:color w:val="auto"/>
          <w:sz w:val="24"/>
          <w:szCs w:val="24"/>
        </w:rPr>
      </w:pPr>
      <w:r>
        <w:rPr>
          <w:rFonts w:ascii="Times New Roman" w:hAnsi="Times New Roman"/>
          <w:color w:val="auto"/>
          <w:sz w:val="24"/>
          <w:szCs w:val="24"/>
        </w:rPr>
        <w:t>29</w:t>
      </w:r>
      <w:r>
        <w:rPr>
          <w:rFonts w:hint="eastAsia" w:ascii="Times New Roman" w:hAnsi="Times New Roman"/>
          <w:color w:val="auto"/>
          <w:sz w:val="24"/>
          <w:szCs w:val="24"/>
        </w:rPr>
        <w:t>.6供应商提出书面质疑必须有理、有据，不得捏造事实、提供虚假材料进行恶意质疑。否则，一经查实，</w:t>
      </w:r>
      <w:r>
        <w:rPr>
          <w:rFonts w:hint="eastAsia" w:ascii="Times New Roman" w:hAnsi="Times New Roman"/>
          <w:color w:val="auto"/>
          <w:sz w:val="24"/>
          <w:szCs w:val="21"/>
        </w:rPr>
        <w:t>采购代理机构</w:t>
      </w:r>
      <w:r>
        <w:rPr>
          <w:rFonts w:hint="eastAsia" w:ascii="Times New Roman" w:hAnsi="Times New Roman"/>
          <w:color w:val="auto"/>
          <w:sz w:val="24"/>
          <w:szCs w:val="24"/>
        </w:rPr>
        <w:t>有权依据政府采购的有关规定，报请政府采购监管部门对该供应商进行相应的行政处罚和记录该供应商的失信信息。</w:t>
      </w:r>
    </w:p>
    <w:p w14:paraId="19316D02">
      <w:pPr>
        <w:spacing w:line="560" w:lineRule="exact"/>
        <w:ind w:firstLine="468"/>
        <w:rPr>
          <w:rFonts w:ascii="Times New Roman" w:hAnsi="Times New Roman"/>
          <w:color w:val="auto"/>
          <w:sz w:val="24"/>
          <w:szCs w:val="24"/>
        </w:rPr>
      </w:pPr>
      <w:r>
        <w:rPr>
          <w:rFonts w:ascii="Times New Roman" w:hAnsi="Times New Roman"/>
          <w:color w:val="auto"/>
          <w:sz w:val="24"/>
          <w:szCs w:val="24"/>
        </w:rPr>
        <w:t>29.7</w:t>
      </w:r>
      <w:r>
        <w:rPr>
          <w:rFonts w:hint="eastAsia" w:ascii="Times New Roman" w:hAnsi="Times New Roman"/>
          <w:color w:val="auto"/>
          <w:sz w:val="24"/>
          <w:szCs w:val="24"/>
        </w:rPr>
        <w:t>质疑供应商对采购人、采购代理机构的答复不满意，或者采购人、采购代理机构未在规定时间内作出答复的，可以在答复期满后15个工作日内向同级财政部门提起投诉。</w:t>
      </w:r>
    </w:p>
    <w:p w14:paraId="6545CD24">
      <w:pPr>
        <w:keepNext/>
        <w:keepLines/>
        <w:spacing w:line="560" w:lineRule="exact"/>
        <w:ind w:firstLine="600"/>
        <w:outlineLvl w:val="3"/>
        <w:rPr>
          <w:rFonts w:ascii="Times New Roman" w:hAnsi="Times New Roman" w:eastAsia="黑体"/>
          <w:bCs/>
          <w:color w:val="auto"/>
          <w:sz w:val="30"/>
          <w:szCs w:val="30"/>
        </w:rPr>
      </w:pPr>
      <w:r>
        <w:rPr>
          <w:rFonts w:hint="eastAsia" w:ascii="Times New Roman" w:hAnsi="Times New Roman" w:eastAsia="黑体"/>
          <w:bCs/>
          <w:color w:val="auto"/>
          <w:sz w:val="30"/>
          <w:szCs w:val="30"/>
        </w:rPr>
        <w:t>3</w:t>
      </w:r>
      <w:r>
        <w:rPr>
          <w:rFonts w:ascii="Times New Roman" w:hAnsi="Times New Roman" w:eastAsia="黑体"/>
          <w:bCs/>
          <w:color w:val="auto"/>
          <w:sz w:val="30"/>
          <w:szCs w:val="30"/>
        </w:rPr>
        <w:t>0</w:t>
      </w:r>
      <w:r>
        <w:rPr>
          <w:rFonts w:hint="eastAsia" w:ascii="Times New Roman" w:hAnsi="Times New Roman" w:eastAsia="黑体"/>
          <w:bCs/>
          <w:color w:val="auto"/>
          <w:sz w:val="30"/>
          <w:szCs w:val="30"/>
        </w:rPr>
        <w:t>、成交通知书</w:t>
      </w:r>
    </w:p>
    <w:p w14:paraId="66B90963">
      <w:pPr>
        <w:spacing w:line="560" w:lineRule="exact"/>
        <w:ind w:firstLine="600"/>
        <w:rPr>
          <w:rFonts w:ascii="Times New Roman" w:hAnsi="Times New Roman"/>
          <w:color w:val="auto"/>
          <w:sz w:val="24"/>
          <w:szCs w:val="24"/>
        </w:rPr>
      </w:pPr>
      <w:r>
        <w:rPr>
          <w:rFonts w:ascii="Times New Roman" w:hAnsi="Times New Roman"/>
          <w:color w:val="auto"/>
          <w:sz w:val="24"/>
          <w:szCs w:val="24"/>
        </w:rPr>
        <w:t>3</w:t>
      </w:r>
      <w:r>
        <w:rPr>
          <w:rFonts w:hint="eastAsia" w:ascii="Times New Roman" w:hAnsi="Times New Roman"/>
          <w:color w:val="auto"/>
          <w:sz w:val="24"/>
          <w:szCs w:val="24"/>
        </w:rPr>
        <w:t>0</w:t>
      </w:r>
      <w:r>
        <w:rPr>
          <w:rFonts w:ascii="Times New Roman" w:hAnsi="Times New Roman"/>
          <w:color w:val="auto"/>
          <w:sz w:val="24"/>
          <w:szCs w:val="24"/>
        </w:rPr>
        <w:t>.1</w:t>
      </w:r>
      <w:r>
        <w:rPr>
          <w:rFonts w:hint="eastAsia" w:ascii="Times New Roman" w:hAnsi="Times New Roman"/>
          <w:color w:val="auto"/>
          <w:sz w:val="24"/>
          <w:szCs w:val="24"/>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352D525D">
      <w:pPr>
        <w:spacing w:line="560" w:lineRule="exact"/>
        <w:ind w:firstLine="600"/>
        <w:rPr>
          <w:rFonts w:ascii="Times New Roman" w:hAnsi="Times New Roman"/>
          <w:color w:val="auto"/>
          <w:sz w:val="24"/>
          <w:szCs w:val="24"/>
        </w:rPr>
      </w:pPr>
      <w:r>
        <w:rPr>
          <w:rFonts w:hint="eastAsia" w:ascii="Times New Roman" w:hAnsi="Times New Roman"/>
          <w:color w:val="auto"/>
          <w:sz w:val="24"/>
          <w:szCs w:val="24"/>
        </w:rPr>
        <w:t>3</w:t>
      </w:r>
      <w:r>
        <w:rPr>
          <w:rFonts w:ascii="Times New Roman" w:hAnsi="Times New Roman"/>
          <w:color w:val="auto"/>
          <w:sz w:val="24"/>
          <w:szCs w:val="24"/>
        </w:rPr>
        <w:t>0</w:t>
      </w:r>
      <w:r>
        <w:rPr>
          <w:rFonts w:hint="eastAsia" w:ascii="Times New Roman" w:hAnsi="Times New Roman"/>
          <w:color w:val="auto"/>
          <w:sz w:val="24"/>
          <w:szCs w:val="24"/>
        </w:rPr>
        <w:t>.2成交通知书将是合同的一个组成部分。对采购人和成交供应商均具有法律效力。成交通知书发出后，采购人改变成交结果的，或者成交供应商放弃成交项目的，应当依法承担法律责任。</w:t>
      </w:r>
    </w:p>
    <w:p w14:paraId="40A86F31">
      <w:pPr>
        <w:keepNext/>
        <w:keepLines/>
        <w:spacing w:line="560" w:lineRule="exact"/>
        <w:outlineLvl w:val="2"/>
        <w:rPr>
          <w:rFonts w:ascii="Times New Roman" w:hAnsi="Times New Roman"/>
          <w:b/>
          <w:bCs/>
          <w:color w:val="auto"/>
          <w:sz w:val="32"/>
          <w:szCs w:val="32"/>
        </w:rPr>
      </w:pPr>
      <w:bookmarkStart w:id="180" w:name="_Toc16938552"/>
      <w:bookmarkStart w:id="181" w:name="_Toc20823308"/>
      <w:bookmarkStart w:id="182" w:name="_Toc120614220"/>
      <w:bookmarkStart w:id="183" w:name="_Toc513029236"/>
      <w:r>
        <w:rPr>
          <w:rFonts w:hint="eastAsia" w:ascii="Times New Roman" w:hAnsi="Times New Roman"/>
          <w:b/>
          <w:bCs/>
          <w:color w:val="auto"/>
          <w:sz w:val="32"/>
          <w:szCs w:val="32"/>
        </w:rPr>
        <w:t>七、授予合同</w:t>
      </w:r>
      <w:bookmarkEnd w:id="180"/>
      <w:bookmarkEnd w:id="181"/>
      <w:bookmarkEnd w:id="182"/>
      <w:bookmarkEnd w:id="183"/>
    </w:p>
    <w:p w14:paraId="500362A1">
      <w:pPr>
        <w:keepNext/>
        <w:keepLines/>
        <w:spacing w:line="560" w:lineRule="exact"/>
        <w:ind w:firstLine="600"/>
        <w:outlineLvl w:val="3"/>
        <w:rPr>
          <w:rFonts w:ascii="Times New Roman" w:hAnsi="Times New Roman" w:eastAsia="黑体"/>
          <w:bCs/>
          <w:color w:val="auto"/>
          <w:sz w:val="30"/>
          <w:szCs w:val="30"/>
        </w:rPr>
      </w:pPr>
      <w:bookmarkStart w:id="184" w:name="_Toc513029237"/>
      <w:bookmarkStart w:id="185" w:name="_Toc20823309"/>
      <w:bookmarkStart w:id="186" w:name="_Toc16938553"/>
      <w:r>
        <w:rPr>
          <w:rFonts w:hint="eastAsia" w:ascii="Times New Roman" w:hAnsi="Times New Roman" w:eastAsia="黑体"/>
          <w:bCs/>
          <w:color w:val="auto"/>
          <w:sz w:val="30"/>
          <w:szCs w:val="30"/>
        </w:rPr>
        <w:t>3</w:t>
      </w:r>
      <w:r>
        <w:rPr>
          <w:rFonts w:ascii="Times New Roman" w:hAnsi="Times New Roman" w:eastAsia="黑体"/>
          <w:bCs/>
          <w:color w:val="auto"/>
          <w:sz w:val="30"/>
          <w:szCs w:val="30"/>
        </w:rPr>
        <w:t>1</w:t>
      </w:r>
      <w:r>
        <w:rPr>
          <w:rFonts w:hint="eastAsia" w:ascii="Times New Roman" w:hAnsi="Times New Roman" w:eastAsia="黑体"/>
          <w:bCs/>
          <w:color w:val="auto"/>
          <w:sz w:val="30"/>
          <w:szCs w:val="30"/>
        </w:rPr>
        <w:t>. 签订合同</w:t>
      </w:r>
    </w:p>
    <w:p w14:paraId="1B3AB868">
      <w:pPr>
        <w:spacing w:line="560" w:lineRule="exact"/>
        <w:ind w:firstLine="600"/>
        <w:rPr>
          <w:rFonts w:ascii="Times New Roman" w:hAnsi="Times New Roman"/>
          <w:color w:val="auto"/>
          <w:sz w:val="24"/>
          <w:szCs w:val="24"/>
        </w:rPr>
      </w:pPr>
      <w:r>
        <w:rPr>
          <w:rFonts w:hint="eastAsia" w:ascii="Times New Roman" w:hAnsi="Times New Roman"/>
          <w:bCs/>
          <w:color w:val="auto"/>
          <w:sz w:val="24"/>
          <w:szCs w:val="24"/>
        </w:rPr>
        <w:t>3</w:t>
      </w:r>
      <w:r>
        <w:rPr>
          <w:rFonts w:ascii="Times New Roman" w:hAnsi="Times New Roman"/>
          <w:bCs/>
          <w:color w:val="auto"/>
          <w:sz w:val="24"/>
          <w:szCs w:val="24"/>
        </w:rPr>
        <w:t>1</w:t>
      </w:r>
      <w:r>
        <w:rPr>
          <w:rFonts w:hint="eastAsia" w:ascii="Times New Roman" w:hAnsi="Times New Roman"/>
          <w:color w:val="auto"/>
          <w:sz w:val="24"/>
          <w:szCs w:val="24"/>
        </w:rPr>
        <w:t>.l成交供应商应当在成交通知书发出之日起1</w:t>
      </w:r>
      <w:r>
        <w:rPr>
          <w:rFonts w:ascii="Times New Roman" w:hAnsi="Times New Roman"/>
          <w:color w:val="auto"/>
          <w:sz w:val="24"/>
          <w:szCs w:val="24"/>
        </w:rPr>
        <w:t>5</w:t>
      </w:r>
      <w:r>
        <w:rPr>
          <w:rFonts w:hint="eastAsia" w:ascii="Times New Roman" w:hAnsi="Times New Roman"/>
          <w:color w:val="auto"/>
          <w:sz w:val="24"/>
          <w:szCs w:val="24"/>
        </w:rPr>
        <w:t>日内，按照磋商文件确定的事项与采购人签订政府采购合同。</w:t>
      </w:r>
    </w:p>
    <w:p w14:paraId="4E2A0A86">
      <w:pPr>
        <w:spacing w:line="560" w:lineRule="exact"/>
        <w:ind w:firstLine="600"/>
        <w:rPr>
          <w:rFonts w:ascii="Times New Roman" w:hAnsi="Times New Roman"/>
          <w:color w:val="auto"/>
          <w:sz w:val="24"/>
          <w:szCs w:val="24"/>
        </w:rPr>
      </w:pPr>
      <w:r>
        <w:rPr>
          <w:rFonts w:hint="eastAsia" w:ascii="Times New Roman" w:hAnsi="Times New Roman"/>
          <w:color w:val="auto"/>
          <w:sz w:val="24"/>
          <w:szCs w:val="24"/>
        </w:rPr>
        <w:t>3</w:t>
      </w:r>
      <w:r>
        <w:rPr>
          <w:rFonts w:ascii="Times New Roman" w:hAnsi="Times New Roman"/>
          <w:color w:val="auto"/>
          <w:sz w:val="24"/>
          <w:szCs w:val="24"/>
        </w:rPr>
        <w:t>1</w:t>
      </w:r>
      <w:r>
        <w:rPr>
          <w:rFonts w:hint="eastAsia" w:ascii="Times New Roman" w:hAnsi="Times New Roman"/>
          <w:color w:val="auto"/>
          <w:sz w:val="24"/>
          <w:szCs w:val="24"/>
        </w:rPr>
        <w:t>.2磋商文件、成交供应商的响应文件及磋商过程中有关澄清、承诺文件均应作为合同附件。</w:t>
      </w:r>
    </w:p>
    <w:p w14:paraId="002CC311">
      <w:pPr>
        <w:spacing w:line="560" w:lineRule="exact"/>
        <w:ind w:firstLine="600"/>
        <w:rPr>
          <w:rFonts w:ascii="Times New Roman" w:hAnsi="Times New Roman"/>
          <w:color w:val="auto"/>
          <w:sz w:val="24"/>
          <w:szCs w:val="24"/>
        </w:rPr>
      </w:pPr>
      <w:r>
        <w:rPr>
          <w:rFonts w:hint="eastAsia" w:ascii="Times New Roman" w:hAnsi="Times New Roman"/>
          <w:color w:val="auto"/>
          <w:sz w:val="24"/>
          <w:szCs w:val="24"/>
        </w:rPr>
        <w:t>3</w:t>
      </w:r>
      <w:r>
        <w:rPr>
          <w:rFonts w:ascii="Times New Roman" w:hAnsi="Times New Roman"/>
          <w:color w:val="auto"/>
          <w:sz w:val="24"/>
          <w:szCs w:val="24"/>
        </w:rPr>
        <w:t>1</w:t>
      </w:r>
      <w:r>
        <w:rPr>
          <w:rFonts w:hint="eastAsia" w:ascii="Times New Roman" w:hAnsi="Times New Roman"/>
          <w:color w:val="auto"/>
          <w:sz w:val="24"/>
          <w:szCs w:val="24"/>
        </w:rPr>
        <w:t>.3签订合同后，成交供应商不得将合同标的进行转包。未经采购人同意，成交供应商也不得采用分包形式履行合同</w:t>
      </w:r>
      <w:r>
        <w:rPr>
          <w:rFonts w:hint="eastAsia" w:ascii="Times New Roman" w:hAnsi="Times New Roman"/>
          <w:color w:val="auto"/>
          <w:sz w:val="24"/>
          <w:szCs w:val="24"/>
          <w:lang w:eastAsia="zh-CN"/>
        </w:rPr>
        <w:t>，</w:t>
      </w:r>
      <w:r>
        <w:rPr>
          <w:rFonts w:hint="eastAsia" w:ascii="Times New Roman" w:hAnsi="Times New Roman"/>
          <w:color w:val="auto"/>
          <w:sz w:val="24"/>
          <w:szCs w:val="24"/>
        </w:rPr>
        <w:t>否则采购人有权终止合同。转包或分包造成采购人损失的，成交供应商应承担相应赔偿责任。</w:t>
      </w:r>
    </w:p>
    <w:p w14:paraId="562E7D53">
      <w:pPr>
        <w:spacing w:line="560" w:lineRule="exact"/>
        <w:ind w:firstLine="600"/>
        <w:rPr>
          <w:rFonts w:ascii="Times New Roman" w:hAnsi="Times New Roman"/>
          <w:color w:val="auto"/>
          <w:sz w:val="24"/>
          <w:szCs w:val="24"/>
        </w:rPr>
      </w:pPr>
      <w:r>
        <w:rPr>
          <w:rFonts w:hint="eastAsia" w:ascii="Times New Roman" w:hAnsi="Times New Roman"/>
          <w:color w:val="auto"/>
          <w:sz w:val="24"/>
          <w:szCs w:val="24"/>
        </w:rPr>
        <w:t>31.4本项目的非主体、非关键性工作是否允许分包按以下第</w:t>
      </w:r>
      <w:r>
        <w:rPr>
          <w:rFonts w:hint="eastAsia" w:ascii="Times New Roman" w:hAnsi="Times New Roman"/>
          <w:color w:val="auto"/>
          <w:sz w:val="24"/>
          <w:szCs w:val="24"/>
          <w:u w:val="single"/>
        </w:rPr>
        <w:t xml:space="preserve"> 2 </w:t>
      </w:r>
      <w:r>
        <w:rPr>
          <w:rFonts w:hint="eastAsia" w:ascii="Times New Roman" w:hAnsi="Times New Roman"/>
          <w:color w:val="auto"/>
          <w:sz w:val="24"/>
          <w:szCs w:val="24"/>
        </w:rPr>
        <w:t>种方式确定：</w:t>
      </w:r>
    </w:p>
    <w:p w14:paraId="0AC91AF8">
      <w:pPr>
        <w:spacing w:line="560" w:lineRule="exact"/>
        <w:ind w:firstLine="720"/>
        <w:rPr>
          <w:rFonts w:ascii="Times New Roman" w:hAnsi="Times New Roman"/>
          <w:color w:val="auto"/>
          <w:sz w:val="24"/>
          <w:szCs w:val="24"/>
          <w:u w:val="single"/>
        </w:rPr>
      </w:pPr>
      <w:r>
        <w:rPr>
          <w:rFonts w:hint="eastAsia" w:ascii="Times New Roman" w:hAnsi="Times New Roman"/>
          <w:color w:val="auto"/>
          <w:sz w:val="24"/>
          <w:szCs w:val="24"/>
        </w:rPr>
        <w:t>1.允许分包，允许大中型企业向一家或者多家小微企业分包，分包具体内容、金额或比例：</w:t>
      </w:r>
      <w:r>
        <w:rPr>
          <w:rFonts w:hint="eastAsia" w:ascii="Times New Roman" w:hAnsi="Times New Roman"/>
          <w:color w:val="auto"/>
          <w:sz w:val="24"/>
          <w:szCs w:val="24"/>
          <w:u w:val="single"/>
        </w:rPr>
        <w:t xml:space="preserve"> / </w:t>
      </w:r>
      <w:r>
        <w:rPr>
          <w:rFonts w:hint="eastAsia" w:ascii="Times New Roman" w:hAnsi="Times New Roman"/>
          <w:color w:val="auto"/>
          <w:sz w:val="24"/>
          <w:szCs w:val="24"/>
        </w:rPr>
        <w:t>；</w:t>
      </w:r>
    </w:p>
    <w:p w14:paraId="28547FCA">
      <w:pPr>
        <w:spacing w:line="560" w:lineRule="exact"/>
        <w:ind w:firstLine="600"/>
        <w:rPr>
          <w:rFonts w:ascii="Times New Roman" w:hAnsi="Times New Roman"/>
          <w:color w:val="auto"/>
          <w:sz w:val="24"/>
          <w:szCs w:val="24"/>
        </w:rPr>
      </w:pPr>
      <w:r>
        <w:rPr>
          <w:rFonts w:hint="eastAsia" w:ascii="Times New Roman" w:hAnsi="Times New Roman"/>
          <w:color w:val="auto"/>
          <w:sz w:val="24"/>
          <w:szCs w:val="24"/>
        </w:rPr>
        <w:t xml:space="preserve"> 2.不允许分包。未经采购人同意，成交供应商也不得采用分包形式履行合同</w:t>
      </w:r>
      <w:r>
        <w:rPr>
          <w:rFonts w:hint="eastAsia" w:ascii="Times New Roman" w:hAnsi="Times New Roman"/>
          <w:color w:val="auto"/>
          <w:sz w:val="24"/>
          <w:szCs w:val="24"/>
          <w:lang w:eastAsia="zh-CN"/>
        </w:rPr>
        <w:t>，</w:t>
      </w:r>
      <w:r>
        <w:rPr>
          <w:rFonts w:hint="eastAsia" w:ascii="Times New Roman" w:hAnsi="Times New Roman"/>
          <w:color w:val="auto"/>
          <w:sz w:val="24"/>
          <w:szCs w:val="24"/>
        </w:rPr>
        <w:t>否则采购人有权终止合同。转包或分包造成采购人损失的，成交供应商应承担相应赔偿责任。</w:t>
      </w:r>
    </w:p>
    <w:p w14:paraId="531356AB">
      <w:pPr>
        <w:spacing w:line="560" w:lineRule="exact"/>
        <w:ind w:firstLine="480"/>
        <w:rPr>
          <w:rFonts w:ascii="Times New Roman" w:hAnsi="Times New Roman"/>
          <w:bCs/>
          <w:color w:val="auto"/>
          <w:sz w:val="24"/>
        </w:rPr>
      </w:pPr>
      <w:r>
        <w:rPr>
          <w:rFonts w:hint="eastAsia" w:ascii="Times New Roman" w:hAnsi="Times New Roman"/>
          <w:bCs/>
          <w:color w:val="auto"/>
          <w:sz w:val="24"/>
        </w:rPr>
        <w:t>31.</w:t>
      </w:r>
      <w:r>
        <w:rPr>
          <w:rFonts w:ascii="Times New Roman" w:hAnsi="Times New Roman"/>
          <w:bCs/>
          <w:color w:val="auto"/>
          <w:sz w:val="24"/>
        </w:rPr>
        <w:t>5</w:t>
      </w:r>
      <w:r>
        <w:rPr>
          <w:rFonts w:hint="eastAsia" w:ascii="Times New Roman" w:hAnsi="Times New Roman"/>
          <w:bCs/>
          <w:color w:val="auto"/>
          <w:sz w:val="24"/>
        </w:rPr>
        <w:t>履约保证金</w:t>
      </w:r>
    </w:p>
    <w:p w14:paraId="7A3D9326">
      <w:pPr>
        <w:spacing w:line="560" w:lineRule="exact"/>
        <w:ind w:firstLine="480"/>
        <w:rPr>
          <w:rFonts w:ascii="Times New Roman" w:hAnsi="Times New Roman"/>
          <w:bCs/>
          <w:color w:val="auto"/>
          <w:sz w:val="24"/>
          <w:lang w:val="zh-CN"/>
        </w:rPr>
      </w:pPr>
      <w:r>
        <w:rPr>
          <w:rFonts w:hint="eastAsia" w:ascii="Times New Roman" w:hAnsi="Times New Roman"/>
          <w:bCs/>
          <w:color w:val="auto"/>
          <w:sz w:val="24"/>
          <w:lang w:val="zh-CN"/>
        </w:rPr>
        <w:t>按照以下第</w:t>
      </w:r>
      <w:r>
        <w:rPr>
          <w:rFonts w:hint="eastAsia" w:ascii="Times New Roman" w:hAnsi="Times New Roman"/>
          <w:bCs/>
          <w:color w:val="auto"/>
          <w:sz w:val="24"/>
          <w:u w:val="single"/>
        </w:rPr>
        <w:t xml:space="preserve"> </w:t>
      </w:r>
      <w:r>
        <w:rPr>
          <w:rFonts w:hint="eastAsia" w:ascii="Times New Roman" w:hAnsi="Times New Roman"/>
          <w:bCs/>
          <w:color w:val="auto"/>
          <w:sz w:val="24"/>
          <w:u w:val="single"/>
          <w:lang w:val="zh-CN"/>
        </w:rPr>
        <w:t>(</w:t>
      </w:r>
      <w:r>
        <w:rPr>
          <w:rFonts w:hint="eastAsia" w:ascii="Times New Roman" w:hAnsi="Times New Roman"/>
          <w:bCs/>
          <w:color w:val="auto"/>
          <w:sz w:val="24"/>
          <w:u w:val="single"/>
          <w:lang w:val="en-US" w:eastAsia="zh-CN"/>
        </w:rPr>
        <w:t>1</w:t>
      </w:r>
      <w:r>
        <w:rPr>
          <w:rFonts w:hint="eastAsia" w:ascii="Times New Roman" w:hAnsi="Times New Roman"/>
          <w:bCs/>
          <w:color w:val="auto"/>
          <w:sz w:val="24"/>
          <w:u w:val="single"/>
          <w:lang w:val="zh-CN"/>
        </w:rPr>
        <w:t>)</w:t>
      </w:r>
      <w:r>
        <w:rPr>
          <w:rFonts w:hint="eastAsia" w:ascii="Times New Roman" w:hAnsi="Times New Roman"/>
          <w:bCs/>
          <w:color w:val="auto"/>
          <w:sz w:val="24"/>
          <w:u w:val="single"/>
        </w:rPr>
        <w:t xml:space="preserve"> </w:t>
      </w:r>
      <w:r>
        <w:rPr>
          <w:rFonts w:hint="eastAsia" w:ascii="Times New Roman" w:hAnsi="Times New Roman"/>
          <w:bCs/>
          <w:color w:val="auto"/>
          <w:sz w:val="24"/>
          <w:lang w:val="zh-CN"/>
        </w:rPr>
        <w:t>方式确定履约保证收取方式。</w:t>
      </w:r>
    </w:p>
    <w:p w14:paraId="4A3557A6">
      <w:pPr>
        <w:spacing w:line="560" w:lineRule="exact"/>
        <w:ind w:firstLine="480"/>
        <w:rPr>
          <w:rFonts w:ascii="Times New Roman" w:hAnsi="Times New Roman"/>
          <w:bCs/>
          <w:color w:val="auto"/>
          <w:sz w:val="24"/>
          <w:lang w:val="zh-CN"/>
        </w:rPr>
      </w:pPr>
      <w:r>
        <w:rPr>
          <w:rFonts w:hint="eastAsia" w:ascii="Times New Roman" w:hAnsi="Times New Roman"/>
          <w:bCs/>
          <w:color w:val="auto"/>
          <w:sz w:val="24"/>
          <w:lang w:val="zh-CN"/>
        </w:rPr>
        <w:t>(1)不收取履约保证金。</w:t>
      </w:r>
    </w:p>
    <w:p w14:paraId="3ABC5B06">
      <w:pPr>
        <w:spacing w:line="560" w:lineRule="exact"/>
        <w:ind w:firstLine="480"/>
        <w:rPr>
          <w:bCs/>
          <w:color w:val="auto"/>
          <w:sz w:val="24"/>
          <w:lang w:val="zh-CN"/>
        </w:rPr>
      </w:pPr>
      <w:r>
        <w:rPr>
          <w:rFonts w:hint="eastAsia" w:ascii="Times New Roman" w:hAnsi="Times New Roman"/>
          <w:bCs/>
          <w:color w:val="auto"/>
          <w:sz w:val="24"/>
          <w:lang w:val="zh-CN"/>
        </w:rPr>
        <w:t>(2)</w:t>
      </w:r>
      <w:r>
        <w:rPr>
          <w:rFonts w:hint="eastAsia"/>
          <w:bCs/>
          <w:color w:val="auto"/>
          <w:sz w:val="24"/>
          <w:lang w:val="zh-CN"/>
        </w:rPr>
        <w:t>履约保证金应在采购合同签订前提交，履约保证金的金额：</w:t>
      </w:r>
      <w:r>
        <w:rPr>
          <w:rFonts w:ascii="Times New Roman" w:hAnsi="Times New Roman"/>
          <w:color w:val="auto"/>
          <w:sz w:val="24"/>
          <w:szCs w:val="24"/>
          <w:u w:val="single"/>
        </w:rPr>
        <w:t>按采购合同</w:t>
      </w:r>
      <w:r>
        <w:rPr>
          <w:rFonts w:hint="eastAsia" w:ascii="Times New Roman" w:hAnsi="Times New Roman"/>
          <w:color w:val="auto"/>
          <w:sz w:val="24"/>
          <w:szCs w:val="24"/>
          <w:u w:val="single"/>
        </w:rPr>
        <w:t>金额</w:t>
      </w:r>
      <w:r>
        <w:rPr>
          <w:rFonts w:ascii="Times New Roman" w:hAnsi="Times New Roman"/>
          <w:color w:val="auto"/>
          <w:sz w:val="24"/>
          <w:szCs w:val="24"/>
          <w:u w:val="single"/>
        </w:rPr>
        <w:t>的</w:t>
      </w:r>
      <w:r>
        <w:rPr>
          <w:rFonts w:hint="eastAsia" w:ascii="Times New Roman" w:hAnsi="Times New Roman"/>
          <w:color w:val="auto"/>
          <w:sz w:val="24"/>
          <w:szCs w:val="24"/>
          <w:u w:val="single"/>
          <w:lang w:val="en-US" w:eastAsia="zh-CN"/>
        </w:rPr>
        <w:t>/</w:t>
      </w:r>
      <w:r>
        <w:rPr>
          <w:rFonts w:ascii="Times New Roman" w:hAnsi="Times New Roman"/>
          <w:color w:val="auto"/>
          <w:sz w:val="24"/>
          <w:szCs w:val="24"/>
          <w:u w:val="single"/>
        </w:rPr>
        <w:t>%（使用江苏政府采购电子履约保函（保险）代替缴纳履约保证金，按采购合同</w:t>
      </w:r>
      <w:r>
        <w:rPr>
          <w:rFonts w:hint="eastAsia" w:ascii="Times New Roman" w:hAnsi="Times New Roman"/>
          <w:color w:val="auto"/>
          <w:sz w:val="24"/>
          <w:szCs w:val="24"/>
          <w:u w:val="single"/>
        </w:rPr>
        <w:t>金额</w:t>
      </w:r>
      <w:r>
        <w:rPr>
          <w:rFonts w:ascii="Times New Roman" w:hAnsi="Times New Roman"/>
          <w:color w:val="auto"/>
          <w:sz w:val="24"/>
          <w:szCs w:val="24"/>
          <w:u w:val="single"/>
        </w:rPr>
        <w:t>的1.2%）计取</w:t>
      </w:r>
      <w:r>
        <w:rPr>
          <w:rFonts w:hint="eastAsia"/>
          <w:bCs/>
          <w:color w:val="auto"/>
          <w:sz w:val="24"/>
          <w:lang w:val="zh-CN"/>
        </w:rPr>
        <w:t>。除银行电汇、网上银行、数字人民币外，</w:t>
      </w:r>
      <w:r>
        <w:rPr>
          <w:rFonts w:hint="eastAsia"/>
          <w:bCs/>
          <w:color w:val="auto"/>
          <w:sz w:val="24"/>
        </w:rPr>
        <w:t>供应商</w:t>
      </w:r>
      <w:r>
        <w:rPr>
          <w:rFonts w:hint="eastAsia"/>
          <w:bCs/>
          <w:color w:val="auto"/>
          <w:sz w:val="24"/>
          <w:lang w:val="zh-CN"/>
        </w:rPr>
        <w:t>还可选用银行保函、担保公司的保证担保或保险公司的保证保险等多种形式向采购人缴纳；</w:t>
      </w:r>
    </w:p>
    <w:p w14:paraId="058BCAA3">
      <w:pPr>
        <w:keepNext/>
        <w:keepLines/>
        <w:spacing w:line="560" w:lineRule="exact"/>
        <w:ind w:firstLine="600"/>
        <w:outlineLvl w:val="3"/>
        <w:rPr>
          <w:rFonts w:ascii="Times New Roman" w:hAnsi="Times New Roman" w:eastAsia="黑体"/>
          <w:bCs/>
          <w:color w:val="auto"/>
          <w:sz w:val="30"/>
          <w:szCs w:val="30"/>
        </w:rPr>
      </w:pPr>
      <w:r>
        <w:rPr>
          <w:rFonts w:hint="eastAsia" w:ascii="Times New Roman" w:hAnsi="Times New Roman" w:eastAsia="黑体"/>
          <w:bCs/>
          <w:color w:val="auto"/>
          <w:sz w:val="30"/>
          <w:szCs w:val="30"/>
        </w:rPr>
        <w:t>3</w:t>
      </w:r>
      <w:r>
        <w:rPr>
          <w:rFonts w:ascii="Times New Roman" w:hAnsi="Times New Roman" w:eastAsia="黑体"/>
          <w:bCs/>
          <w:color w:val="auto"/>
          <w:sz w:val="30"/>
          <w:szCs w:val="30"/>
        </w:rPr>
        <w:t>2</w:t>
      </w:r>
      <w:r>
        <w:rPr>
          <w:rFonts w:hint="eastAsia" w:ascii="Times New Roman" w:hAnsi="Times New Roman" w:eastAsia="黑体"/>
          <w:bCs/>
          <w:color w:val="auto"/>
          <w:sz w:val="30"/>
          <w:szCs w:val="30"/>
        </w:rPr>
        <w:t>、标的物的追加</w:t>
      </w:r>
    </w:p>
    <w:p w14:paraId="573A5971">
      <w:pPr>
        <w:spacing w:line="560" w:lineRule="exact"/>
        <w:ind w:firstLine="480"/>
        <w:rPr>
          <w:rFonts w:ascii="Times New Roman" w:hAnsi="Times New Roman"/>
          <w:color w:val="auto"/>
          <w:sz w:val="24"/>
          <w:szCs w:val="24"/>
        </w:rPr>
      </w:pPr>
      <w:r>
        <w:rPr>
          <w:rFonts w:hint="eastAsia" w:ascii="Times New Roman" w:hAnsi="Times New Roman"/>
          <w:color w:val="auto"/>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4"/>
      <w:bookmarkEnd w:id="185"/>
      <w:bookmarkEnd w:id="186"/>
    </w:p>
    <w:p w14:paraId="5533DDC9">
      <w:pPr>
        <w:keepNext/>
        <w:keepLines/>
        <w:spacing w:line="560" w:lineRule="exact"/>
        <w:ind w:firstLine="600"/>
        <w:outlineLvl w:val="3"/>
        <w:rPr>
          <w:rFonts w:ascii="Times New Roman" w:hAnsi="Times New Roman" w:eastAsia="黑体"/>
          <w:bCs/>
          <w:color w:val="auto"/>
          <w:sz w:val="30"/>
          <w:szCs w:val="30"/>
        </w:rPr>
      </w:pPr>
      <w:r>
        <w:rPr>
          <w:rFonts w:hint="eastAsia" w:ascii="Times New Roman" w:hAnsi="Times New Roman" w:eastAsia="黑体"/>
          <w:bCs/>
          <w:color w:val="auto"/>
          <w:sz w:val="30"/>
          <w:szCs w:val="30"/>
        </w:rPr>
        <w:t>3</w:t>
      </w:r>
      <w:r>
        <w:rPr>
          <w:rFonts w:ascii="Times New Roman" w:hAnsi="Times New Roman" w:eastAsia="黑体"/>
          <w:bCs/>
          <w:color w:val="auto"/>
          <w:sz w:val="30"/>
          <w:szCs w:val="30"/>
        </w:rPr>
        <w:t>3</w:t>
      </w:r>
      <w:r>
        <w:rPr>
          <w:rFonts w:hint="eastAsia" w:ascii="Times New Roman" w:hAnsi="Times New Roman" w:eastAsia="黑体"/>
          <w:bCs/>
          <w:color w:val="auto"/>
          <w:sz w:val="30"/>
          <w:szCs w:val="30"/>
        </w:rPr>
        <w:t>、政府采购履约资金扶持政策</w:t>
      </w:r>
    </w:p>
    <w:p w14:paraId="3768FA75">
      <w:pPr>
        <w:spacing w:line="560" w:lineRule="exact"/>
        <w:ind w:firstLine="480"/>
        <w:rPr>
          <w:rFonts w:ascii="Times New Roman" w:hAnsi="Times New Roman"/>
          <w:color w:val="auto"/>
          <w:szCs w:val="21"/>
        </w:rPr>
      </w:pPr>
      <w:r>
        <w:rPr>
          <w:rFonts w:hint="eastAsia" w:ascii="Times New Roman" w:hAnsi="Times New Roman"/>
          <w:bCs/>
          <w:color w:val="auto"/>
          <w:sz w:val="24"/>
        </w:rPr>
        <w:t>33.1</w:t>
      </w:r>
      <w:r>
        <w:rPr>
          <w:rFonts w:hint="eastAsia" w:ascii="Times New Roman" w:hAnsi="Times New Roman"/>
          <w:bCs/>
          <w:color w:val="auto"/>
          <w:sz w:val="24"/>
          <w:lang w:val="zh-CN"/>
        </w:rPr>
        <w:t>根据江苏省财政厅 中国人民银行南京分行《关于深入推进政府采购线上合同信用融资工作的通知》（苏财购〔2021〕82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58DA70A8">
      <w:pPr>
        <w:pStyle w:val="8"/>
        <w:spacing w:before="0" w:after="0" w:line="560" w:lineRule="exact"/>
        <w:ind w:firstLine="602"/>
        <w:rPr>
          <w:rFonts w:ascii="Times New Roman" w:hAnsi="Times New Roman" w:cs="Times New Roman"/>
          <w:b w:val="0"/>
          <w:bCs w:val="0"/>
          <w:color w:val="auto"/>
          <w:sz w:val="30"/>
          <w:szCs w:val="30"/>
        </w:rPr>
      </w:pPr>
      <w:r>
        <w:rPr>
          <w:rFonts w:hint="eastAsia" w:ascii="Times New Roman" w:hAnsi="Times New Roman" w:cs="Times New Roman"/>
          <w:b w:val="0"/>
          <w:bCs w:val="0"/>
          <w:color w:val="auto"/>
          <w:sz w:val="30"/>
          <w:szCs w:val="30"/>
        </w:rPr>
        <w:t>3</w:t>
      </w:r>
      <w:r>
        <w:rPr>
          <w:rFonts w:ascii="Times New Roman" w:hAnsi="Times New Roman" w:cs="Times New Roman"/>
          <w:b w:val="0"/>
          <w:bCs w:val="0"/>
          <w:color w:val="auto"/>
          <w:sz w:val="30"/>
          <w:szCs w:val="30"/>
        </w:rPr>
        <w:t>4</w:t>
      </w:r>
      <w:r>
        <w:rPr>
          <w:rFonts w:hint="eastAsia" w:ascii="Times New Roman" w:hAnsi="Times New Roman" w:cs="Times New Roman"/>
          <w:b w:val="0"/>
          <w:bCs w:val="0"/>
          <w:color w:val="auto"/>
          <w:sz w:val="30"/>
          <w:szCs w:val="30"/>
        </w:rPr>
        <w:t>、验收</w:t>
      </w:r>
    </w:p>
    <w:p w14:paraId="181AF2C2">
      <w:pPr>
        <w:spacing w:line="560" w:lineRule="exact"/>
        <w:ind w:firstLine="482"/>
        <w:rPr>
          <w:rFonts w:ascii="Times New Roman" w:hAnsi="Times New Roman"/>
          <w:bCs/>
          <w:color w:val="auto"/>
          <w:sz w:val="24"/>
        </w:rPr>
      </w:pPr>
      <w:r>
        <w:rPr>
          <w:rFonts w:hint="eastAsia" w:ascii="Times New Roman" w:hAnsi="Times New Roman"/>
          <w:bCs/>
          <w:color w:val="auto"/>
          <w:sz w:val="24"/>
        </w:rPr>
        <w:t>3</w:t>
      </w:r>
      <w:r>
        <w:rPr>
          <w:rFonts w:ascii="Times New Roman" w:hAnsi="Times New Roman"/>
          <w:bCs/>
          <w:color w:val="auto"/>
          <w:sz w:val="24"/>
        </w:rPr>
        <w:t>4</w:t>
      </w:r>
      <w:r>
        <w:rPr>
          <w:rFonts w:hint="eastAsia" w:ascii="Times New Roman" w:hAnsi="Times New Roman"/>
          <w:bCs/>
          <w:color w:val="auto"/>
          <w:sz w:val="24"/>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5B2E5C47">
      <w:pPr>
        <w:spacing w:line="560" w:lineRule="exact"/>
        <w:ind w:firstLine="482"/>
        <w:rPr>
          <w:rFonts w:ascii="Times New Roman" w:hAnsi="Times New Roman"/>
          <w:bCs/>
          <w:color w:val="auto"/>
          <w:sz w:val="24"/>
        </w:rPr>
      </w:pPr>
      <w:r>
        <w:rPr>
          <w:rFonts w:hint="eastAsia" w:ascii="Times New Roman" w:hAnsi="Times New Roman"/>
          <w:bCs/>
          <w:color w:val="auto"/>
          <w:sz w:val="24"/>
        </w:rPr>
        <w:t>3</w:t>
      </w:r>
      <w:r>
        <w:rPr>
          <w:rFonts w:ascii="Times New Roman" w:hAnsi="Times New Roman"/>
          <w:bCs/>
          <w:color w:val="auto"/>
          <w:sz w:val="24"/>
        </w:rPr>
        <w:t>4</w:t>
      </w:r>
      <w:r>
        <w:rPr>
          <w:rFonts w:hint="eastAsia" w:ascii="Times New Roman" w:hAnsi="Times New Roman"/>
          <w:bCs/>
          <w:color w:val="auto"/>
          <w:sz w:val="24"/>
        </w:rPr>
        <w:t>.2采购人可以邀请参加本项目的其他供应商或者第三方机构参与验收。参与验收的供应商或者第三方机构的意见作为验收书的参考资料一并存档。</w:t>
      </w:r>
    </w:p>
    <w:p w14:paraId="1A791EA9">
      <w:pPr>
        <w:spacing w:line="560" w:lineRule="exact"/>
        <w:ind w:firstLine="482"/>
        <w:rPr>
          <w:rFonts w:ascii="Times New Roman" w:hAnsi="Times New Roman"/>
          <w:bCs/>
          <w:color w:val="auto"/>
          <w:sz w:val="24"/>
        </w:rPr>
      </w:pPr>
      <w:r>
        <w:rPr>
          <w:rFonts w:hint="eastAsia" w:ascii="Times New Roman" w:hAnsi="Times New Roman"/>
          <w:bCs/>
          <w:color w:val="auto"/>
          <w:sz w:val="24"/>
        </w:rPr>
        <w:t>3</w:t>
      </w:r>
      <w:r>
        <w:rPr>
          <w:rFonts w:ascii="Times New Roman" w:hAnsi="Times New Roman"/>
          <w:bCs/>
          <w:color w:val="auto"/>
          <w:sz w:val="24"/>
        </w:rPr>
        <w:t>4</w:t>
      </w:r>
      <w:r>
        <w:rPr>
          <w:rFonts w:hint="eastAsia" w:ascii="Times New Roman" w:hAnsi="Times New Roman"/>
          <w:bCs/>
          <w:color w:val="auto"/>
          <w:sz w:val="24"/>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F9741DB">
      <w:pPr>
        <w:spacing w:line="560" w:lineRule="exact"/>
        <w:ind w:firstLine="482"/>
        <w:rPr>
          <w:rFonts w:ascii="Times New Roman" w:hAnsi="Times New Roman" w:cs="宋体"/>
          <w:color w:val="auto"/>
          <w:sz w:val="24"/>
        </w:rPr>
      </w:pPr>
      <w:r>
        <w:rPr>
          <w:rFonts w:hint="eastAsia" w:ascii="Times New Roman" w:hAnsi="Times New Roman"/>
          <w:bCs/>
          <w:color w:val="auto"/>
          <w:sz w:val="24"/>
        </w:rPr>
        <w:t>3</w:t>
      </w:r>
      <w:r>
        <w:rPr>
          <w:rFonts w:ascii="Times New Roman" w:hAnsi="Times New Roman"/>
          <w:bCs/>
          <w:color w:val="auto"/>
          <w:sz w:val="24"/>
        </w:rPr>
        <w:t>4</w:t>
      </w:r>
      <w:r>
        <w:rPr>
          <w:rFonts w:hint="eastAsia" w:ascii="Times New Roman" w:hAnsi="Times New Roman"/>
          <w:bCs/>
          <w:color w:val="auto"/>
          <w:sz w:val="24"/>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3C76CB8">
      <w:pPr>
        <w:spacing w:line="560" w:lineRule="exact"/>
        <w:ind w:firstLine="482"/>
        <w:rPr>
          <w:rFonts w:ascii="Times New Roman" w:hAnsi="Times New Roman"/>
          <w:bCs/>
          <w:color w:val="auto"/>
          <w:sz w:val="24"/>
        </w:rPr>
      </w:pPr>
      <w:r>
        <w:rPr>
          <w:rFonts w:hint="eastAsia" w:ascii="Times New Roman" w:hAnsi="Times New Roman"/>
          <w:bCs/>
          <w:color w:val="auto"/>
          <w:sz w:val="30"/>
          <w:szCs w:val="30"/>
        </w:rPr>
        <w:t>3</w:t>
      </w:r>
      <w:r>
        <w:rPr>
          <w:rFonts w:ascii="Times New Roman" w:hAnsi="Times New Roman"/>
          <w:bCs/>
          <w:color w:val="auto"/>
          <w:sz w:val="30"/>
          <w:szCs w:val="30"/>
        </w:rPr>
        <w:t>5</w:t>
      </w:r>
      <w:r>
        <w:rPr>
          <w:rFonts w:hint="eastAsia" w:ascii="Times New Roman" w:hAnsi="Times New Roman"/>
          <w:bCs/>
          <w:color w:val="auto"/>
          <w:sz w:val="30"/>
          <w:szCs w:val="30"/>
        </w:rPr>
        <w:t>、</w:t>
      </w:r>
      <w:r>
        <w:rPr>
          <w:rFonts w:hint="eastAsia" w:ascii="Times New Roman" w:hAnsi="Times New Roman" w:eastAsia="黑体"/>
          <w:bCs/>
          <w:color w:val="auto"/>
          <w:sz w:val="30"/>
          <w:szCs w:val="30"/>
        </w:rPr>
        <w:t>付款</w:t>
      </w:r>
    </w:p>
    <w:p w14:paraId="47F1C4C8">
      <w:pPr>
        <w:spacing w:line="560" w:lineRule="exact"/>
        <w:ind w:firstLine="480"/>
        <w:rPr>
          <w:rFonts w:ascii="Times New Roman" w:hAnsi="Times New Roman"/>
          <w:bCs/>
          <w:color w:val="auto"/>
          <w:sz w:val="24"/>
        </w:rPr>
      </w:pPr>
      <w:bookmarkStart w:id="187" w:name="EBec7f529f50594afd871ea9378869e456"/>
      <w:r>
        <w:rPr>
          <w:rFonts w:ascii="Times New Roman" w:hAnsi="Times New Roman"/>
          <w:bCs/>
          <w:color w:val="auto"/>
          <w:sz w:val="24"/>
        </w:rPr>
        <w:t>按照以下确定的付款方式，采购人及时办理付款手续。对于满足合同约定支付条件的，自收到发票后10个工作日内将资金支付到合同约定的供应商账户或供应商数字人民币账户。</w:t>
      </w:r>
      <w:bookmarkEnd w:id="187"/>
    </w:p>
    <w:p w14:paraId="70627855">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预付款：合同金额的</w:t>
      </w:r>
      <w:r>
        <w:rPr>
          <w:rFonts w:hint="eastAsia" w:ascii="Times New Roman" w:hAnsi="Times New Roman" w:eastAsia="宋体"/>
          <w:bCs/>
          <w:color w:val="auto"/>
          <w:sz w:val="24"/>
          <w:u w:val="single"/>
          <w:lang w:val="zh-CN" w:eastAsia="zh-CN"/>
        </w:rPr>
        <w:t xml:space="preserve"> </w:t>
      </w:r>
      <w:r>
        <w:rPr>
          <w:rFonts w:hint="eastAsia" w:ascii="Times New Roman" w:hAnsi="Times New Roman" w:eastAsia="宋体"/>
          <w:bCs/>
          <w:color w:val="auto"/>
          <w:sz w:val="24"/>
          <w:u w:val="single"/>
          <w:lang w:val="en-US" w:eastAsia="zh-CN"/>
        </w:rPr>
        <w:t>40</w:t>
      </w:r>
      <w:r>
        <w:rPr>
          <w:rFonts w:hint="eastAsia" w:ascii="Times New Roman" w:hAnsi="Times New Roman" w:eastAsia="宋体"/>
          <w:bCs/>
          <w:color w:val="auto"/>
          <w:sz w:val="24"/>
          <w:u w:val="single"/>
          <w:lang w:val="zh-CN" w:eastAsia="zh-CN"/>
        </w:rPr>
        <w:t xml:space="preserve">% </w:t>
      </w:r>
      <w:r>
        <w:rPr>
          <w:rFonts w:hint="eastAsia" w:ascii="Times New Roman" w:hAnsi="Times New Roman" w:eastAsia="宋体"/>
          <w:bCs/>
          <w:color w:val="auto"/>
          <w:sz w:val="24"/>
          <w:lang w:val="zh-CN" w:eastAsia="zh-CN"/>
        </w:rPr>
        <w:t xml:space="preserve">，合同签订后按规定支付； </w:t>
      </w:r>
    </w:p>
    <w:p w14:paraId="7AEF1ED0">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进度款：运营维护满一年后付至合同价的</w:t>
      </w:r>
      <w:r>
        <w:rPr>
          <w:rFonts w:hint="eastAsia" w:ascii="Times New Roman" w:hAnsi="Times New Roman" w:eastAsia="宋体"/>
          <w:bCs/>
          <w:color w:val="auto"/>
          <w:sz w:val="24"/>
          <w:u w:val="single"/>
          <w:lang w:val="zh-CN" w:eastAsia="zh-CN"/>
        </w:rPr>
        <w:t>70%</w:t>
      </w:r>
      <w:r>
        <w:rPr>
          <w:rFonts w:hint="eastAsia" w:ascii="Times New Roman" w:hAnsi="Times New Roman" w:eastAsia="宋体"/>
          <w:bCs/>
          <w:color w:val="auto"/>
          <w:sz w:val="24"/>
          <w:lang w:val="zh-CN" w:eastAsia="zh-CN"/>
        </w:rPr>
        <w:t>；运营维护期结束后付至合同价的</w:t>
      </w:r>
      <w:r>
        <w:rPr>
          <w:rFonts w:hint="eastAsia" w:ascii="Times New Roman" w:hAnsi="Times New Roman" w:eastAsia="宋体"/>
          <w:bCs/>
          <w:color w:val="auto"/>
          <w:sz w:val="24"/>
          <w:u w:val="single"/>
          <w:lang w:val="zh-CN" w:eastAsia="zh-CN"/>
        </w:rPr>
        <w:t>100%</w:t>
      </w:r>
      <w:r>
        <w:rPr>
          <w:rFonts w:hint="eastAsia" w:ascii="Times New Roman" w:hAnsi="Times New Roman" w:eastAsia="宋体"/>
          <w:bCs/>
          <w:color w:val="auto"/>
          <w:sz w:val="24"/>
          <w:lang w:val="zh-CN" w:eastAsia="zh-CN"/>
        </w:rPr>
        <w:t>；</w:t>
      </w:r>
    </w:p>
    <w:p w14:paraId="2BED62D0">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备注：</w:t>
      </w:r>
    </w:p>
    <w:p w14:paraId="09761C5A">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 xml:space="preserve">(1)可以采用数字人民币支付。 </w:t>
      </w:r>
    </w:p>
    <w:p w14:paraId="5A305029">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 xml:space="preserve">(2)资金支付的时间:收到供应商发票后 10 个工作日内。 </w:t>
      </w:r>
    </w:p>
    <w:p w14:paraId="1F7DB620">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 xml:space="preserve">(3)资金支付的条件:满足相应阶段的要求且收到供应商发票。 </w:t>
      </w:r>
    </w:p>
    <w:p w14:paraId="492F4ADD">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 xml:space="preserve">(4)当采购数量与实际使用数量不一致时，供应商应根据实际使用量供货，合同的最终结算金额按实际使用量乘以成交单价进行计算。 </w:t>
      </w:r>
    </w:p>
    <w:p w14:paraId="254428D1">
      <w:pPr>
        <w:spacing w:line="560" w:lineRule="exact"/>
        <w:ind w:firstLine="480"/>
        <w:rPr>
          <w:rFonts w:hint="eastAsia" w:ascii="Times New Roman" w:hAnsi="Times New Roman" w:eastAsia="宋体"/>
          <w:bCs/>
          <w:color w:val="auto"/>
          <w:sz w:val="24"/>
          <w:lang w:val="zh-CN" w:eastAsia="zh-CN"/>
        </w:rPr>
      </w:pPr>
      <w:r>
        <w:rPr>
          <w:rFonts w:hint="eastAsia" w:ascii="Times New Roman" w:hAnsi="Times New Roman" w:eastAsia="宋体"/>
          <w:bCs/>
          <w:color w:val="auto"/>
          <w:sz w:val="24"/>
          <w:lang w:val="zh-CN" w:eastAsia="zh-CN"/>
        </w:rPr>
        <w:t xml:space="preserve">(5)在签订合同时，供应商明确表示无需预付款或者主动要求降低预付款比例的，采购人可不适用前述规定。 </w:t>
      </w:r>
    </w:p>
    <w:p w14:paraId="1A3AA9E2">
      <w:pPr>
        <w:pStyle w:val="6"/>
        <w:ind w:left="0" w:firstLine="0"/>
        <w:rPr>
          <w:rFonts w:hint="eastAsia" w:ascii="Times New Roman"/>
          <w:bCs/>
          <w:color w:val="auto"/>
          <w:sz w:val="24"/>
        </w:rPr>
      </w:pPr>
    </w:p>
    <w:p w14:paraId="62C04FDF">
      <w:pPr>
        <w:keepNext/>
        <w:ind w:firstLine="2640"/>
        <w:outlineLvl w:val="0"/>
        <w:rPr>
          <w:rFonts w:ascii="Times New Roman" w:hAnsi="Times New Roman" w:eastAsia="黑体"/>
          <w:color w:val="auto"/>
          <w:sz w:val="44"/>
          <w:szCs w:val="44"/>
        </w:rPr>
      </w:pPr>
    </w:p>
    <w:p w14:paraId="29B1F3F5">
      <w:pPr>
        <w:keepNext/>
        <w:ind w:firstLine="2640"/>
        <w:outlineLvl w:val="0"/>
        <w:rPr>
          <w:highlight w:val="none"/>
        </w:rPr>
      </w:pPr>
    </w:p>
    <w:p w14:paraId="36D0325C">
      <w:pPr>
        <w:keepNext/>
        <w:ind w:firstLine="2640"/>
        <w:outlineLvl w:val="0"/>
        <w:rPr>
          <w:highlight w:val="none"/>
        </w:rPr>
      </w:pPr>
      <w:bookmarkStart w:id="188" w:name="_Toc18376"/>
      <w:r>
        <w:rPr>
          <w:rFonts w:hint="eastAsia" w:ascii="Times New Roman" w:hAnsi="Times New Roman" w:eastAsia="黑体"/>
          <w:bCs/>
          <w:color w:val="auto"/>
          <w:sz w:val="44"/>
          <w:szCs w:val="28"/>
        </w:rPr>
        <w:t>第三章  合同</w:t>
      </w:r>
      <w:bookmarkEnd w:id="65"/>
      <w:bookmarkEnd w:id="66"/>
      <w:bookmarkEnd w:id="67"/>
      <w:bookmarkEnd w:id="68"/>
      <w:bookmarkEnd w:id="69"/>
      <w:r>
        <w:rPr>
          <w:rFonts w:hint="eastAsia" w:ascii="Times New Roman" w:hAnsi="Times New Roman" w:eastAsia="黑体"/>
          <w:bCs/>
          <w:color w:val="auto"/>
          <w:sz w:val="44"/>
          <w:szCs w:val="28"/>
        </w:rPr>
        <w:t>文本</w:t>
      </w:r>
      <w:bookmarkEnd w:id="188"/>
    </w:p>
    <w:p w14:paraId="4112C03A">
      <w:pPr>
        <w:pStyle w:val="17"/>
        <w:jc w:val="center"/>
        <w:rPr>
          <w:rFonts w:hint="eastAsia" w:ascii="Times New Roman" w:hAnsi="Times New Roman" w:eastAsia="宋体" w:cs="Times New Roman"/>
          <w:b/>
          <w:bCs/>
          <w:color w:val="auto"/>
          <w:sz w:val="32"/>
          <w:szCs w:val="32"/>
          <w:lang w:val="en-US" w:eastAsia="zh-CN" w:bidi="ar-SA"/>
        </w:rPr>
      </w:pPr>
      <w:bookmarkStart w:id="189" w:name="_Hlt16619369"/>
      <w:bookmarkEnd w:id="189"/>
      <w:bookmarkStart w:id="190" w:name="OLE_LINK25"/>
      <w:bookmarkStart w:id="191" w:name="_Hlt16619350"/>
      <w:bookmarkStart w:id="192" w:name="_Toc20823346"/>
      <w:bookmarkStart w:id="193" w:name="_Toc16938590"/>
      <w:bookmarkStart w:id="194" w:name="_Toc120614244"/>
      <w:r>
        <w:rPr>
          <w:rFonts w:hint="eastAsia" w:ascii="Times New Roman" w:hAnsi="Times New Roman" w:eastAsia="宋体" w:cs="Times New Roman"/>
          <w:b/>
          <w:bCs/>
          <w:color w:val="auto"/>
          <w:sz w:val="32"/>
          <w:szCs w:val="32"/>
          <w:lang w:val="en-US" w:eastAsia="zh-CN" w:bidi="ar-SA"/>
        </w:rPr>
        <w:t>“泗洪县智慧城管平台提升行动”维保服务采购项目</w:t>
      </w:r>
    </w:p>
    <w:p w14:paraId="487B394F">
      <w:pPr>
        <w:pStyle w:val="6"/>
        <w:jc w:val="center"/>
        <w:rPr>
          <w:rFonts w:hint="default"/>
          <w:color w:val="auto"/>
          <w:lang w:val="en-US" w:eastAsia="zh-CN"/>
        </w:rPr>
      </w:pPr>
      <w:r>
        <w:rPr>
          <w:rFonts w:hint="eastAsia"/>
          <w:b/>
          <w:bCs/>
          <w:color w:val="auto"/>
          <w:sz w:val="36"/>
          <w:szCs w:val="36"/>
          <w:lang w:val="en-US" w:eastAsia="zh-CN"/>
        </w:rPr>
        <w:t>政府采购合同</w:t>
      </w:r>
    </w:p>
    <w:p w14:paraId="5C662164">
      <w:pPr>
        <w:pStyle w:val="240"/>
        <w:spacing w:line="480" w:lineRule="exact"/>
        <w:rPr>
          <w:rFonts w:hint="default"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采购单位（全称）：</w:t>
      </w:r>
      <w:r>
        <w:rPr>
          <w:rFonts w:hint="eastAsia" w:ascii="宋体" w:hAnsi="宋体" w:eastAsia="宋体" w:cs="宋体"/>
          <w:color w:val="auto"/>
          <w:sz w:val="22"/>
          <w:szCs w:val="21"/>
          <w:highlight w:val="none"/>
          <w:u w:val="single"/>
          <w:lang w:val="en-US" w:eastAsia="zh-CN" w:bidi="ar-SA"/>
        </w:rPr>
        <w:t xml:space="preserve">                          </w:t>
      </w:r>
      <w:r>
        <w:rPr>
          <w:rFonts w:hint="eastAsia" w:ascii="宋体" w:hAnsi="宋体" w:eastAsia="宋体" w:cs="宋体"/>
          <w:color w:val="auto"/>
          <w:sz w:val="22"/>
          <w:szCs w:val="21"/>
          <w:highlight w:val="none"/>
          <w:lang w:val="en-US" w:eastAsia="zh-CN" w:bidi="ar-SA"/>
        </w:rPr>
        <w:t xml:space="preserve"> （简称甲方）</w:t>
      </w:r>
    </w:p>
    <w:p w14:paraId="289B29A5">
      <w:pPr>
        <w:pStyle w:val="240"/>
        <w:spacing w:line="480" w:lineRule="exact"/>
        <w:rPr>
          <w:rFonts w:hint="default"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中标供应商（全称）：</w:t>
      </w:r>
      <w:r>
        <w:rPr>
          <w:rFonts w:hint="eastAsia" w:ascii="宋体" w:hAnsi="宋体" w:eastAsia="宋体" w:cs="宋体"/>
          <w:color w:val="auto"/>
          <w:sz w:val="22"/>
          <w:szCs w:val="21"/>
          <w:highlight w:val="none"/>
          <w:u w:val="single"/>
          <w:lang w:val="en-US" w:eastAsia="zh-CN" w:bidi="ar-SA"/>
        </w:rPr>
        <w:t xml:space="preserve">                        </w:t>
      </w:r>
      <w:r>
        <w:rPr>
          <w:rFonts w:hint="eastAsia" w:ascii="宋体" w:hAnsi="宋体" w:eastAsia="宋体" w:cs="宋体"/>
          <w:color w:val="auto"/>
          <w:sz w:val="22"/>
          <w:szCs w:val="21"/>
          <w:highlight w:val="none"/>
          <w:lang w:val="en-US" w:eastAsia="zh-CN" w:bidi="ar-SA"/>
        </w:rPr>
        <w:t xml:space="preserve"> （简称乙方）</w:t>
      </w:r>
    </w:p>
    <w:p w14:paraId="3AF24BB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依照</w:t>
      </w:r>
      <w:bookmarkStart w:id="195" w:name="OLE_LINK58"/>
      <w:r>
        <w:rPr>
          <w:rFonts w:hint="eastAsia" w:ascii="宋体" w:hAnsi="宋体" w:eastAsia="宋体" w:cs="宋体"/>
          <w:color w:val="auto"/>
          <w:sz w:val="22"/>
          <w:highlight w:val="none"/>
          <w:lang w:val="en-US" w:eastAsia="zh-CN"/>
        </w:rPr>
        <w:t>《中华人民共和国政府采购法》、《中华人民共和国民法典》</w:t>
      </w:r>
      <w:bookmarkEnd w:id="195"/>
      <w:r>
        <w:rPr>
          <w:rFonts w:hint="eastAsia" w:ascii="宋体" w:hAnsi="宋体" w:eastAsia="宋体" w:cs="宋体"/>
          <w:color w:val="auto"/>
          <w:sz w:val="22"/>
          <w:highlight w:val="none"/>
          <w:lang w:val="en-US" w:eastAsia="zh-CN"/>
        </w:rPr>
        <w:t>及其他有关法律、行政法规，遵循平等、自愿、公平和诚实信用的原则，双方就项目编号</w:t>
      </w:r>
      <w:r>
        <w:rPr>
          <w:rFonts w:hint="eastAsia" w:ascii="宋体" w:hAnsi="宋体" w:eastAsia="宋体" w:cs="宋体"/>
          <w:color w:val="auto"/>
          <w:sz w:val="22"/>
          <w:highlight w:val="none"/>
          <w:u w:val="single"/>
          <w:lang w:val="zh-CN" w:eastAsia="zh-CN"/>
        </w:rPr>
        <w:t xml:space="preserve">     </w:t>
      </w:r>
      <w:r>
        <w:rPr>
          <w:rFonts w:hint="eastAsia" w:ascii="宋体" w:hAnsi="宋体" w:eastAsia="宋体" w:cs="宋体"/>
          <w:color w:val="auto"/>
          <w:sz w:val="22"/>
          <w:highlight w:val="none"/>
          <w:u w:val="none"/>
          <w:lang w:val="en-US" w:eastAsia="zh-CN"/>
        </w:rPr>
        <w:t>号</w:t>
      </w:r>
      <w:r>
        <w:rPr>
          <w:rFonts w:hint="eastAsia" w:ascii="宋体" w:hAnsi="宋体" w:eastAsia="宋体" w:cs="宋体"/>
          <w:color w:val="auto"/>
          <w:sz w:val="22"/>
          <w:highlight w:val="none"/>
          <w:u w:val="single"/>
          <w:lang w:val="zh-CN" w:eastAsia="zh-CN"/>
        </w:rPr>
        <w:t xml:space="preserve">    </w:t>
      </w:r>
      <w:r>
        <w:rPr>
          <w:rFonts w:hint="eastAsia" w:ascii="宋体" w:hAnsi="宋体" w:eastAsia="宋体" w:cs="宋体"/>
          <w:color w:val="auto"/>
          <w:sz w:val="22"/>
          <w:highlight w:val="none"/>
          <w:lang w:val="en-US" w:eastAsia="zh-CN"/>
        </w:rPr>
        <w:t>项目相关事项协商一致，达成如下合同条款：</w:t>
      </w:r>
    </w:p>
    <w:p w14:paraId="002382B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b/>
          <w:bCs/>
          <w:color w:val="auto"/>
          <w:sz w:val="22"/>
          <w:highlight w:val="none"/>
          <w:lang w:val="zh-CN" w:eastAsia="zh-CN"/>
        </w:rPr>
      </w:pPr>
      <w:r>
        <w:rPr>
          <w:rFonts w:hint="eastAsia" w:ascii="宋体" w:hAnsi="宋体" w:eastAsia="宋体" w:cs="宋体"/>
          <w:b/>
          <w:bCs/>
          <w:color w:val="auto"/>
          <w:sz w:val="22"/>
          <w:highlight w:val="none"/>
          <w:lang w:val="en-US" w:eastAsia="zh-CN"/>
        </w:rPr>
        <w:t>一、</w:t>
      </w:r>
      <w:r>
        <w:rPr>
          <w:rFonts w:hint="eastAsia" w:ascii="宋体" w:hAnsi="宋体" w:eastAsia="宋体" w:cs="宋体"/>
          <w:b/>
          <w:bCs/>
          <w:color w:val="auto"/>
          <w:sz w:val="22"/>
          <w:highlight w:val="none"/>
          <w:lang w:val="zh-CN" w:eastAsia="zh-CN"/>
        </w:rPr>
        <w:t>合同内容</w:t>
      </w:r>
    </w:p>
    <w:p w14:paraId="256E500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u w:val="single"/>
          <w:lang w:val="zh-CN" w:eastAsia="zh-CN"/>
        </w:rPr>
      </w:pPr>
      <w:r>
        <w:rPr>
          <w:rFonts w:hint="eastAsia" w:ascii="宋体" w:hAnsi="宋体" w:eastAsia="宋体" w:cs="宋体"/>
          <w:color w:val="auto"/>
          <w:sz w:val="22"/>
          <w:highlight w:val="none"/>
          <w:lang w:val="zh-CN" w:eastAsia="zh-CN"/>
        </w:rPr>
        <w:t>1.1 标的名称：</w:t>
      </w:r>
      <w:r>
        <w:rPr>
          <w:rFonts w:hint="eastAsia" w:ascii="宋体" w:hAnsi="宋体" w:cs="宋体"/>
          <w:color w:val="auto"/>
          <w:sz w:val="22"/>
          <w:highlight w:val="none"/>
          <w:u w:val="single"/>
          <w:lang w:val="zh-CN" w:eastAsia="zh-CN"/>
        </w:rPr>
        <w:t>“泗洪县智慧城管平台提升行动”维保服务采购项目</w:t>
      </w:r>
    </w:p>
    <w:p w14:paraId="0231606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u w:val="single"/>
          <w:lang w:val="zh-CN" w:eastAsia="zh-CN"/>
        </w:rPr>
      </w:pPr>
      <w:r>
        <w:rPr>
          <w:rFonts w:hint="eastAsia" w:ascii="宋体" w:hAnsi="宋体" w:eastAsia="宋体" w:cs="宋体"/>
          <w:color w:val="auto"/>
          <w:sz w:val="22"/>
          <w:highlight w:val="none"/>
          <w:lang w:val="zh-CN" w:eastAsia="zh-CN"/>
        </w:rPr>
        <w:t>1.2标的质量：</w:t>
      </w:r>
      <w:bookmarkStart w:id="196" w:name="OLE_LINK72"/>
      <w:r>
        <w:rPr>
          <w:rFonts w:hint="eastAsia" w:ascii="宋体" w:hAnsi="宋体" w:eastAsia="宋体" w:cs="宋体"/>
          <w:color w:val="auto"/>
          <w:sz w:val="22"/>
          <w:highlight w:val="none"/>
          <w:u w:val="single"/>
          <w:lang w:val="en-US" w:eastAsia="zh-CN"/>
        </w:rPr>
        <w:t>合格</w:t>
      </w:r>
      <w:bookmarkEnd w:id="196"/>
    </w:p>
    <w:p w14:paraId="7BB5E07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color w:val="auto"/>
          <w:highlight w:val="none"/>
          <w:lang w:val="zh-CN" w:eastAsia="zh-CN"/>
        </w:rPr>
      </w:pPr>
      <w:r>
        <w:rPr>
          <w:rFonts w:hint="eastAsia" w:ascii="宋体" w:hAnsi="宋体" w:eastAsia="宋体" w:cs="宋体"/>
          <w:color w:val="auto"/>
          <w:sz w:val="22"/>
          <w:highlight w:val="none"/>
          <w:lang w:val="zh-CN" w:eastAsia="zh-CN"/>
        </w:rPr>
        <w:t>1.3 标的数量（规模）：</w:t>
      </w:r>
      <w:r>
        <w:rPr>
          <w:rFonts w:hint="eastAsia" w:ascii="宋体" w:hAnsi="宋体" w:cs="宋体"/>
          <w:color w:val="auto"/>
          <w:sz w:val="22"/>
          <w:szCs w:val="21"/>
          <w:highlight w:val="none"/>
          <w:u w:val="single"/>
          <w:lang w:val="en-US" w:eastAsia="zh-CN" w:bidi="ar-SA"/>
        </w:rPr>
        <w:t>泗洪县智慧城管平台维保及升级提升，硬件配套维保服务、设备采购；监控及设备间线路改造，设备间维保服务等。</w:t>
      </w:r>
    </w:p>
    <w:p w14:paraId="2538BA6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1.4 履行时间（期限）：</w:t>
      </w:r>
      <w:r>
        <w:rPr>
          <w:rFonts w:hint="eastAsia" w:ascii="宋体" w:hAnsi="宋体" w:eastAsia="宋体" w:cs="宋体"/>
          <w:color w:val="auto"/>
          <w:sz w:val="22"/>
          <w:highlight w:val="none"/>
          <w:lang w:val="en-US" w:eastAsia="zh-CN"/>
        </w:rPr>
        <w:t>签订合同后</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u w:val="single"/>
          <w:lang w:val="en-US" w:eastAsia="zh-CN"/>
        </w:rPr>
        <w:t xml:space="preserve">90 </w:t>
      </w:r>
      <w:r>
        <w:rPr>
          <w:rFonts w:hint="eastAsia" w:ascii="宋体" w:hAnsi="宋体" w:eastAsia="宋体" w:cs="宋体"/>
          <w:color w:val="auto"/>
          <w:sz w:val="22"/>
          <w:highlight w:val="none"/>
          <w:u w:val="single"/>
          <w:lang w:val="en-US" w:eastAsia="zh-CN"/>
        </w:rPr>
        <w:t xml:space="preserve"> </w:t>
      </w:r>
      <w:r>
        <w:rPr>
          <w:rFonts w:hint="eastAsia" w:ascii="宋体" w:hAnsi="宋体" w:eastAsia="宋体" w:cs="宋体"/>
          <w:color w:val="auto"/>
          <w:sz w:val="22"/>
          <w:highlight w:val="none"/>
          <w:lang w:val="en-US" w:eastAsia="zh-CN"/>
        </w:rPr>
        <w:t>日历天内完成项目业务系统部署，保证系统稳定运行。项目免费维护期为</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u w:val="single"/>
          <w:lang w:val="en-US" w:eastAsia="zh-CN"/>
        </w:rPr>
        <w:t>2</w:t>
      </w:r>
      <w:r>
        <w:rPr>
          <w:rFonts w:hint="eastAsia" w:ascii="宋体" w:hAnsi="宋体" w:eastAsia="宋体" w:cs="宋体"/>
          <w:color w:val="auto"/>
          <w:sz w:val="22"/>
          <w:highlight w:val="none"/>
          <w:u w:val="single"/>
          <w:lang w:val="en-US" w:eastAsia="zh-CN"/>
        </w:rPr>
        <w:t xml:space="preserve"> </w:t>
      </w:r>
      <w:r>
        <w:rPr>
          <w:rFonts w:hint="eastAsia" w:ascii="宋体" w:hAnsi="宋体" w:eastAsia="宋体" w:cs="宋体"/>
          <w:color w:val="auto"/>
          <w:sz w:val="22"/>
          <w:highlight w:val="none"/>
          <w:lang w:val="en-US" w:eastAsia="zh-CN"/>
        </w:rPr>
        <w:t>年，自项目验收合格之日起计算（以《项目验收告》签署日期开始计算）。</w:t>
      </w:r>
    </w:p>
    <w:p w14:paraId="58D9077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zh-CN" w:eastAsia="zh-CN"/>
        </w:rPr>
        <w:t>1.5 履行地点：</w:t>
      </w:r>
      <w:r>
        <w:rPr>
          <w:rFonts w:hint="eastAsia" w:ascii="宋体" w:hAnsi="宋体" w:cs="宋体"/>
          <w:color w:val="auto"/>
          <w:sz w:val="22"/>
          <w:highlight w:val="none"/>
          <w:u w:val="single"/>
          <w:lang w:val="zh-CN" w:eastAsia="zh-CN"/>
        </w:rPr>
        <w:t>采购单位指定地点</w:t>
      </w:r>
      <w:r>
        <w:rPr>
          <w:rFonts w:hint="eastAsia" w:ascii="宋体" w:hAnsi="宋体" w:cs="宋体"/>
          <w:color w:val="auto"/>
          <w:sz w:val="22"/>
          <w:highlight w:val="none"/>
          <w:u w:val="single"/>
          <w:lang w:val="en-US" w:eastAsia="zh-CN"/>
        </w:rPr>
        <w:t>。</w:t>
      </w:r>
    </w:p>
    <w:p w14:paraId="1B0988AB">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color w:val="auto"/>
          <w:sz w:val="22"/>
          <w:highlight w:val="none"/>
          <w:u w:val="single"/>
          <w:lang w:val="en-US" w:eastAsia="zh-CN"/>
        </w:rPr>
      </w:pPr>
      <w:r>
        <w:rPr>
          <w:rFonts w:hint="eastAsia" w:ascii="宋体" w:hAnsi="宋体" w:eastAsia="宋体" w:cs="宋体"/>
          <w:color w:val="auto"/>
          <w:sz w:val="22"/>
          <w:highlight w:val="none"/>
          <w:lang w:val="zh-CN" w:eastAsia="zh-CN"/>
        </w:rPr>
        <w:t>1.6履行方式：</w:t>
      </w:r>
      <w:r>
        <w:rPr>
          <w:rFonts w:hint="eastAsia" w:ascii="宋体" w:hAnsi="宋体" w:eastAsia="宋体" w:cs="宋体"/>
          <w:color w:val="auto"/>
          <w:sz w:val="22"/>
          <w:highlight w:val="none"/>
          <w:u w:val="single"/>
          <w:lang w:val="en-US" w:eastAsia="zh-CN"/>
        </w:rPr>
        <w:t xml:space="preserve">              </w:t>
      </w:r>
    </w:p>
    <w:p w14:paraId="789C150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b/>
          <w:bCs/>
          <w:color w:val="auto"/>
          <w:sz w:val="22"/>
          <w:highlight w:val="none"/>
          <w:lang w:val="en-US" w:eastAsia="zh-CN"/>
        </w:rPr>
      </w:pPr>
      <w:bookmarkStart w:id="197" w:name="OLE_LINK3"/>
      <w:r>
        <w:rPr>
          <w:rFonts w:hint="eastAsia" w:ascii="宋体" w:hAnsi="宋体" w:eastAsia="宋体" w:cs="宋体"/>
          <w:b/>
          <w:bCs/>
          <w:color w:val="auto"/>
          <w:sz w:val="22"/>
          <w:highlight w:val="none"/>
          <w:lang w:val="en-US" w:eastAsia="zh-CN"/>
        </w:rPr>
        <w:t>二、合同金额</w:t>
      </w:r>
    </w:p>
    <w:p w14:paraId="506D35B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en-US" w:eastAsia="zh-CN"/>
        </w:rPr>
        <w:t>2.1 本合同金额为（大写）：____________圆（_______________元）人民币或其他币种。合同总价包括：完成本项目的相关任务的全部费用。</w:t>
      </w:r>
    </w:p>
    <w:p w14:paraId="17B5E10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b/>
          <w:bCs/>
          <w:color w:val="auto"/>
          <w:sz w:val="22"/>
          <w:highlight w:val="none"/>
          <w:lang w:val="zh-CN" w:eastAsia="zh-CN"/>
        </w:rPr>
      </w:pPr>
      <w:r>
        <w:rPr>
          <w:rFonts w:hint="eastAsia" w:ascii="宋体" w:hAnsi="宋体" w:eastAsia="宋体" w:cs="宋体"/>
          <w:b/>
          <w:bCs/>
          <w:color w:val="auto"/>
          <w:sz w:val="22"/>
          <w:highlight w:val="none"/>
          <w:lang w:val="zh-CN" w:eastAsia="zh-CN"/>
        </w:rPr>
        <w:t>三、技术资料</w:t>
      </w:r>
    </w:p>
    <w:p w14:paraId="6E5BEA2E">
      <w:pPr>
        <w:pBdr>
          <w:top w:val="none" w:color="000000" w:sz="0" w:space="0"/>
          <w:left w:val="none" w:color="000000" w:sz="0" w:space="0"/>
          <w:bottom w:val="none" w:color="000000" w:sz="0" w:space="0"/>
          <w:right w:val="none" w:color="000000" w:sz="0" w:space="0"/>
        </w:pBdr>
        <w:shd w:val="clear" w:color="auto" w:fill="auto"/>
        <w:spacing w:line="499" w:lineRule="atLeast"/>
        <w:ind w:firstLine="448"/>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3.1乙方应按招标文件规定的时间向甲方提供服务（包含与服务相关的货物）的有关技术资料。</w:t>
      </w:r>
    </w:p>
    <w:p w14:paraId="3C968CE2">
      <w:pPr>
        <w:pBdr>
          <w:top w:val="none" w:color="000000" w:sz="0" w:space="0"/>
          <w:left w:val="none" w:color="000000" w:sz="0" w:space="0"/>
          <w:bottom w:val="none" w:color="000000" w:sz="0" w:space="0"/>
          <w:right w:val="none" w:color="000000" w:sz="0" w:space="0"/>
        </w:pBdr>
        <w:shd w:val="clear" w:color="auto" w:fill="auto"/>
        <w:spacing w:line="499" w:lineRule="atLeast"/>
        <w:ind w:firstLine="448"/>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bookmarkEnd w:id="197"/>
    </w:p>
    <w:p w14:paraId="412D092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四、知识产权</w:t>
      </w:r>
    </w:p>
    <w:p w14:paraId="7D6A3AFB">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559EF51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五、产权担保</w:t>
      </w:r>
    </w:p>
    <w:p w14:paraId="10F096B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5.1 乙方保证所交付的服务（包含与服务相关的货物）的所有权完全属于乙方且无任何抵押、查封等产权瑕疵。</w:t>
      </w:r>
    </w:p>
    <w:p w14:paraId="5D83824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六</w:t>
      </w:r>
      <w:r>
        <w:rPr>
          <w:rFonts w:hint="eastAsia" w:ascii="宋体" w:hAnsi="宋体" w:eastAsia="宋体" w:cs="宋体"/>
          <w:b/>
          <w:bCs/>
          <w:color w:val="auto"/>
          <w:sz w:val="22"/>
          <w:highlight w:val="none"/>
          <w:lang w:val="zh-CN" w:eastAsia="zh-CN"/>
        </w:rPr>
        <w:t>、</w:t>
      </w:r>
      <w:r>
        <w:rPr>
          <w:rFonts w:hint="eastAsia" w:ascii="宋体" w:hAnsi="宋体" w:eastAsia="宋体" w:cs="宋体"/>
          <w:b/>
          <w:bCs/>
          <w:color w:val="auto"/>
          <w:sz w:val="22"/>
          <w:highlight w:val="none"/>
          <w:lang w:val="en-US" w:eastAsia="zh-CN"/>
        </w:rPr>
        <w:t>质量保证</w:t>
      </w:r>
    </w:p>
    <w:p w14:paraId="12322AA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7.1乙方所提供的服务必须符合国家有关标准和采购文件的要求，无国家标准的应符合行业标准，无行业标准的应符合企业标准。</w:t>
      </w:r>
    </w:p>
    <w:p w14:paraId="2928AF9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七、合同款项支付</w:t>
      </w:r>
    </w:p>
    <w:p w14:paraId="3881A9A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8.1合同款项的支付方式及进度安排</w:t>
      </w:r>
    </w:p>
    <w:p w14:paraId="35B7654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预付款：合同金额的</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u w:val="single"/>
          <w:lang w:val="en-US" w:eastAsia="zh-CN"/>
        </w:rPr>
        <w:t>40</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lang w:val="zh-CN" w:eastAsia="zh-CN"/>
        </w:rPr>
        <w:t xml:space="preserve">，合同签订后按规定支付； </w:t>
      </w:r>
    </w:p>
    <w:p w14:paraId="33BF5D3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进度款：运营维护满一年后付至合同价的70%；运营维护期结束后付至合同价的100%；备注: </w:t>
      </w:r>
    </w:p>
    <w:p w14:paraId="036314A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(1)可以采用数字人民币支付。 </w:t>
      </w:r>
    </w:p>
    <w:p w14:paraId="5DC1BA9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(2)资金支付的时间:收到供应商发票后 10 个工作日内。 </w:t>
      </w:r>
    </w:p>
    <w:p w14:paraId="240C26A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(3)资金支付的条件:满足相应阶段的要求且收到供应商发票。 </w:t>
      </w:r>
    </w:p>
    <w:p w14:paraId="751D68C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(4)当采购数量与实际使用数量不一致时，供应商应根据实际使用量供货，合同的最终结算金额按实际使用量乘以成交单价进行计算。 </w:t>
      </w:r>
    </w:p>
    <w:p w14:paraId="32544E0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(5)在签订合同时，供应商明确表示无需预付款或者主动要求降低预付款比例的，采购人可不适用前述规定。 </w:t>
      </w:r>
    </w:p>
    <w:p w14:paraId="5AEEB24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八、甲乙双方权利与义务</w:t>
      </w:r>
    </w:p>
    <w:p w14:paraId="1481782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1、乙方因自身原因导致合同无法继续履行，则视为乙方违约，甲方有权单方解除合同，并向乙方追偿损失。</w:t>
      </w:r>
    </w:p>
    <w:p w14:paraId="26E3388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2、项目服务过程中，甲方有权要求乙方撤换任何不称职的工作人员，乙方需在甲方要求的时间内完成替换，替换人员须具有与原人员能力相当或更高的资质和能力。如人员无法立即替换，则合同期限顺延。</w:t>
      </w:r>
    </w:p>
    <w:p w14:paraId="21CE07D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3、甲方应依照采购文件约定，向乙方提供技术服务所必须的信息、数据、资料，并负责为乙方提供必要的设备、工作场地、后勤设施等。</w:t>
      </w:r>
    </w:p>
    <w:p w14:paraId="3B582EB0">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4、甲方应在项目小组指派一名甲方员作为项目负责人，负责对乙方服务进行协调、监督，项目负责人应定期向甲方汇报，与乙方项目负责人沟通，并负责本合同项下服务和/或可交付成果物的组织验收工作。如乙方提供的服务达不到甲方要求的，甲方应及时将不符合要求的内容和原因通知乙方。</w:t>
      </w:r>
    </w:p>
    <w:p w14:paraId="24352E6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5、按照本合同的约定向乙方支付合同金额。</w:t>
      </w:r>
    </w:p>
    <w:p w14:paraId="40A1820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6、乙方应尽勤勉义务，严格执行项目服务计划，依照采购文件的约定交付服务或可交付成果。</w:t>
      </w:r>
    </w:p>
    <w:p w14:paraId="7121DB0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7、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自己任何责任。</w:t>
      </w:r>
    </w:p>
    <w:p w14:paraId="111385D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8、未经双方项目负责人书面确认或者甲方书面同意，乙方不得延迟项目工作的完期限或对咨询工作进行内容上的变更。如果乙方在提供技术服务的过程中发现影响计划执行的不利因素的，乙方应及时以书面形式通报给甲方。</w:t>
      </w:r>
    </w:p>
    <w:p w14:paraId="7175749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9、甲方告知不符合服务要求的内容和原因后，乙方应在甲方指定期限内完成整改，如整改后仍不符合要求的，甲方有权终止本合同。</w:t>
      </w:r>
    </w:p>
    <w:p w14:paraId="0B7D126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10、乙方应保证所提供的产品或服务没有侵害任何第三方的知识产权或其他正当权益。如有第三方指控甲方接受乙方提供的产品或服务侵犯了该方的知识产权或其他合法权利， 乙方应自费就上述指控为甲方辩护或进行妥善处理，并承担给甲方及第三方造成的一切损失（包括但不限于赔偿金、律师费、诉讼费等）。如乙方不为甲方辩护或不进行妥善处理，甲方可自行处理，甲方与第三方达成的和解协议或法院、仲裁机构作出的生效法律文书确定由甲方承担的责任，及甲方自行处理所支出的费用（包括但不限于律师费、案件受理费、执行费、差旅费等）由乙方承担。</w:t>
      </w:r>
    </w:p>
    <w:p w14:paraId="2851498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11、乙方应对其履行本合同所雇佣、安排的全部人员的安全事故承担责任。由于乙方或乙方人员原因在甲方办公场所内及其毗邻造成的第三者人身伤亡和财产损失，由乙方负责赔偿。</w:t>
      </w:r>
    </w:p>
    <w:p w14:paraId="0998F42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12、法律、法规规定的以及本合同项下的其他权利义务。</w:t>
      </w:r>
    </w:p>
    <w:p w14:paraId="0E84EF7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九、项目验收</w:t>
      </w:r>
    </w:p>
    <w:p w14:paraId="4057BC97">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10.1 甲方依法组织履约验收工作。</w:t>
      </w:r>
    </w:p>
    <w:p w14:paraId="51B2BF0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63B50A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10.3 对于实际使用人和甲方分离的项目，甲方邀请实际使用人参与验收。</w:t>
      </w:r>
    </w:p>
    <w:p w14:paraId="2783E9C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10.4 如有必要，甲方邀请参加本项目的其他投标人或第三方专业机构及专家参与验收，相关意见将作为验收书的参考资料。</w:t>
      </w:r>
    </w:p>
    <w:p w14:paraId="76442C36">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10.5 甲方成立验收小组，按照采购合同的约定对乙方的履约情况进行验收。</w:t>
      </w:r>
    </w:p>
    <w:p w14:paraId="6BA00AD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验收时，甲方按照采购合同的约定对每一项技术、服务、安全标准的履约情况进行确认。验收结束后，验收小组出具验收书，列明各项标准的验收情况及项目总体评价，由验收双方共同签署。验收结果与采购合同约定的资金支付。履约验收的各项资料存档备查。</w:t>
      </w:r>
    </w:p>
    <w:p w14:paraId="00480F4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10.6 验收合格的项目，甲方根据采购合同的约定及时向乙方支付合同款项。验收不合格的项目，甲方依法及时处理。采购合同的履行、违约责任和解决争议的方式等适用《</w:t>
      </w:r>
      <w:r>
        <w:rPr>
          <w:rFonts w:hint="eastAsia" w:ascii="宋体" w:hAnsi="宋体" w:eastAsia="宋体" w:cs="宋体"/>
          <w:color w:val="auto"/>
          <w:sz w:val="22"/>
          <w:highlight w:val="none"/>
          <w:lang w:val="en-US" w:eastAsia="zh-CN"/>
        </w:rPr>
        <w:t>中华人民共和国民法典</w:t>
      </w:r>
      <w:r>
        <w:rPr>
          <w:rFonts w:hint="eastAsia" w:ascii="宋体" w:hAnsi="宋体" w:cs="宋体"/>
          <w:color w:val="auto"/>
          <w:sz w:val="22"/>
          <w:highlight w:val="none"/>
          <w:lang w:val="zh-CN" w:eastAsia="zh-CN"/>
        </w:rPr>
        <w:t>》。乙方在履约过程中有政府采购法律法规规定的违法违规情形的，甲方将及时报告本级财政部门。</w:t>
      </w:r>
    </w:p>
    <w:p w14:paraId="5B8BCC76">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十、违约责任</w:t>
      </w:r>
    </w:p>
    <w:p w14:paraId="4263717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11.1 甲方无正当理由拒绝接受乙方提供服务的，甲方向乙方偿付拒绝接受服务合同价款总值</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u w:val="single"/>
          <w:lang w:val="en-US" w:eastAsia="zh-CN"/>
        </w:rPr>
        <w:t xml:space="preserve"> 0.1%  </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lang w:val="zh-CN" w:eastAsia="zh-CN"/>
        </w:rPr>
        <w:t>的违约金。</w:t>
      </w:r>
    </w:p>
    <w:p w14:paraId="12C1D7A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11.2 甲方无故逾期验收和办理合同款项支付手续的，甲方应按逾期付款总额</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u w:val="single"/>
          <w:lang w:val="en-US" w:eastAsia="zh-CN"/>
        </w:rPr>
        <w:t xml:space="preserve"> 0.1%</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lang w:val="zh-CN" w:eastAsia="zh-CN"/>
        </w:rPr>
        <w:t>每日向乙方支付违约金。</w:t>
      </w:r>
    </w:p>
    <w:p w14:paraId="5D76F41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11.3 乙方逾期提供服务的，乙方应按逾期提供服务合同总额每日</w:t>
      </w:r>
      <w:r>
        <w:rPr>
          <w:rFonts w:hint="eastAsia" w:ascii="宋体" w:hAnsi="宋体" w:cs="宋体"/>
          <w:color w:val="auto"/>
          <w:sz w:val="22"/>
          <w:highlight w:val="none"/>
          <w:u w:val="single"/>
          <w:lang w:val="en-US" w:eastAsia="zh-CN"/>
        </w:rPr>
        <w:t xml:space="preserve">   0.1%    </w:t>
      </w:r>
      <w:r>
        <w:rPr>
          <w:rFonts w:hint="eastAsia" w:ascii="宋体" w:hAnsi="宋体" w:cs="宋体"/>
          <w:color w:val="auto"/>
          <w:sz w:val="22"/>
          <w:highlight w:val="none"/>
          <w:lang w:val="zh-CN" w:eastAsia="zh-CN"/>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u w:val="single"/>
          <w:lang w:val="en-US" w:eastAsia="zh-CN"/>
        </w:rPr>
        <w:t xml:space="preserve"> 0.5% </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lang w:val="zh-CN" w:eastAsia="zh-CN"/>
        </w:rPr>
        <w:t xml:space="preserve">的违约金，如造成甲方损失超过违约金的，超出部分由乙方继续承担赔偿责任。 </w:t>
      </w:r>
    </w:p>
    <w:p w14:paraId="63B246A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val="zh-CN" w:eastAsia="zh-CN"/>
        </w:rPr>
      </w:pPr>
      <w:r>
        <w:rPr>
          <w:rFonts w:hint="eastAsia" w:ascii="宋体" w:hAnsi="宋体" w:cs="宋体"/>
          <w:color w:val="auto"/>
          <w:sz w:val="22"/>
          <w:highlight w:val="none"/>
          <w:lang w:val="zh-CN" w:eastAsia="zh-CN"/>
        </w:rPr>
        <w:t>11.4 乙方所提供服务的标准不符合合同规定及招标文件规定标准的，甲方有权拒绝接受服</w:t>
      </w:r>
      <w:r>
        <w:rPr>
          <w:rFonts w:hint="eastAsia" w:ascii="宋体" w:hAnsi="宋体" w:eastAsia="宋体" w:cs="宋体"/>
          <w:color w:val="auto"/>
          <w:sz w:val="22"/>
          <w:highlight w:val="none"/>
          <w:lang w:val="zh-CN" w:eastAsia="zh-CN"/>
        </w:rPr>
        <w:t>务，并可单方面解除合同。</w:t>
      </w:r>
    </w:p>
    <w:p w14:paraId="535A965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en-US" w:eastAsia="zh-CN"/>
        </w:rPr>
        <w:t>11.5质量：</w:t>
      </w:r>
      <w:r>
        <w:rPr>
          <w:rFonts w:hint="eastAsia" w:ascii="宋体" w:hAnsi="宋体" w:cs="宋体"/>
          <w:color w:val="auto"/>
          <w:sz w:val="22"/>
          <w:highlight w:val="none"/>
          <w:lang w:val="en-US" w:eastAsia="zh-CN"/>
        </w:rPr>
        <w:t>符合国家标准</w:t>
      </w:r>
      <w:r>
        <w:rPr>
          <w:rFonts w:hint="eastAsia" w:ascii="宋体" w:hAnsi="宋体" w:eastAsia="宋体" w:cs="宋体"/>
          <w:color w:val="auto"/>
          <w:sz w:val="22"/>
          <w:highlight w:val="none"/>
          <w:lang w:val="en-US" w:eastAsia="zh-CN"/>
        </w:rPr>
        <w:t>，否则甲方有权</w:t>
      </w:r>
      <w:r>
        <w:rPr>
          <w:rFonts w:hint="eastAsia" w:ascii="宋体" w:hAnsi="宋体" w:cs="宋体"/>
          <w:color w:val="auto"/>
          <w:sz w:val="22"/>
          <w:highlight w:val="none"/>
          <w:lang w:val="zh-CN" w:eastAsia="zh-CN"/>
        </w:rPr>
        <w:t>拒绝接受服</w:t>
      </w:r>
      <w:r>
        <w:rPr>
          <w:rFonts w:hint="eastAsia" w:ascii="宋体" w:hAnsi="宋体" w:eastAsia="宋体" w:cs="宋体"/>
          <w:color w:val="auto"/>
          <w:sz w:val="22"/>
          <w:highlight w:val="none"/>
          <w:lang w:val="zh-CN" w:eastAsia="zh-CN"/>
        </w:rPr>
        <w:t>务</w:t>
      </w:r>
      <w:r>
        <w:rPr>
          <w:rFonts w:hint="eastAsia" w:ascii="宋体" w:hAnsi="宋体" w:eastAsia="宋体" w:cs="宋体"/>
          <w:color w:val="auto"/>
          <w:sz w:val="22"/>
          <w:highlight w:val="none"/>
          <w:lang w:val="en-US" w:eastAsia="zh-CN"/>
        </w:rPr>
        <w:t>及与其相关的</w:t>
      </w:r>
      <w:r>
        <w:rPr>
          <w:rFonts w:hint="eastAsia" w:ascii="宋体" w:hAnsi="宋体" w:cs="宋体"/>
          <w:color w:val="auto"/>
          <w:sz w:val="22"/>
          <w:highlight w:val="none"/>
          <w:lang w:val="en-US" w:eastAsia="zh-CN"/>
        </w:rPr>
        <w:t>服务或</w:t>
      </w:r>
      <w:r>
        <w:rPr>
          <w:rFonts w:hint="eastAsia" w:ascii="宋体" w:hAnsi="宋体" w:eastAsia="宋体" w:cs="宋体"/>
          <w:color w:val="auto"/>
          <w:sz w:val="22"/>
          <w:highlight w:val="none"/>
          <w:lang w:val="en-US" w:eastAsia="zh-CN"/>
        </w:rPr>
        <w:t>货物</w:t>
      </w:r>
      <w:r>
        <w:rPr>
          <w:rFonts w:hint="eastAsia" w:ascii="宋体" w:hAnsi="宋体" w:eastAsia="宋体" w:cs="宋体"/>
          <w:color w:val="auto"/>
          <w:sz w:val="22"/>
          <w:highlight w:val="none"/>
          <w:lang w:val="zh-CN" w:eastAsia="zh-CN"/>
        </w:rPr>
        <w:t>，</w:t>
      </w:r>
      <w:r>
        <w:rPr>
          <w:rFonts w:hint="eastAsia" w:ascii="宋体" w:hAnsi="宋体" w:eastAsia="宋体" w:cs="宋体"/>
          <w:color w:val="auto"/>
          <w:sz w:val="22"/>
          <w:highlight w:val="none"/>
          <w:lang w:val="en-US" w:eastAsia="zh-CN"/>
        </w:rPr>
        <w:t>相关经济责任由乙方承担与甲方无关</w:t>
      </w:r>
      <w:r>
        <w:rPr>
          <w:rFonts w:hint="eastAsia" w:ascii="宋体" w:hAnsi="宋体" w:eastAsia="宋体" w:cs="宋体"/>
          <w:color w:val="auto"/>
          <w:sz w:val="22"/>
          <w:highlight w:val="none"/>
          <w:lang w:val="zh-CN" w:eastAsia="zh-CN"/>
        </w:rPr>
        <w:t>。</w:t>
      </w:r>
    </w:p>
    <w:p w14:paraId="500A7BC6">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十一、不可抗力事件处理</w:t>
      </w:r>
    </w:p>
    <w:p w14:paraId="2F85415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12.1 在合同有效期内，任何一方因不可抗力事件导致不能履行合同，则合同履行期可延长，其延长期与不可抗力影响期相同。</w:t>
      </w:r>
    </w:p>
    <w:p w14:paraId="7946D81B">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12.2 不可抗力事件发生后，应立即通知对方，并寄送有关权威机构出具的证明。</w:t>
      </w:r>
    </w:p>
    <w:p w14:paraId="4DA3953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12.3 不可抗力事件延续120天以上，双方应通过友好协商，确定是否继续履行合同。</w:t>
      </w:r>
    </w:p>
    <w:p w14:paraId="00600850">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zh-CN" w:eastAsia="zh-CN"/>
        </w:rPr>
      </w:pPr>
      <w:r>
        <w:rPr>
          <w:rFonts w:hint="eastAsia" w:ascii="宋体" w:hAnsi="宋体" w:cs="宋体"/>
          <w:b/>
          <w:bCs/>
          <w:color w:val="auto"/>
          <w:sz w:val="22"/>
          <w:highlight w:val="none"/>
          <w:lang w:val="en-US" w:eastAsia="zh-CN"/>
        </w:rPr>
        <w:t>十二</w:t>
      </w:r>
      <w:r>
        <w:rPr>
          <w:rFonts w:hint="eastAsia" w:ascii="宋体" w:hAnsi="宋体" w:cs="宋体"/>
          <w:b/>
          <w:bCs/>
          <w:color w:val="auto"/>
          <w:sz w:val="22"/>
          <w:highlight w:val="none"/>
          <w:lang w:val="zh-CN" w:eastAsia="zh-CN"/>
        </w:rPr>
        <w:t>、税费</w:t>
      </w:r>
    </w:p>
    <w:p w14:paraId="5CA41C9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color w:val="auto"/>
          <w:highlight w:val="none"/>
          <w:lang w:val="zh-CN" w:eastAsia="zh-CN"/>
        </w:rPr>
      </w:pPr>
      <w:r>
        <w:rPr>
          <w:rFonts w:hint="eastAsia" w:ascii="宋体" w:hAnsi="宋体" w:cs="宋体"/>
          <w:color w:val="auto"/>
          <w:sz w:val="22"/>
          <w:highlight w:val="none"/>
          <w:lang w:val="en-US" w:eastAsia="zh-CN"/>
        </w:rPr>
        <w:t>13</w:t>
      </w:r>
      <w:r>
        <w:rPr>
          <w:rFonts w:hint="eastAsia" w:ascii="宋体" w:hAnsi="宋体" w:cs="宋体"/>
          <w:color w:val="auto"/>
          <w:sz w:val="22"/>
          <w:highlight w:val="none"/>
          <w:lang w:val="zh-CN" w:eastAsia="zh-CN"/>
        </w:rPr>
        <w:t>.1本合同执行中相关的一切税费均由乙方负担。</w:t>
      </w:r>
    </w:p>
    <w:p w14:paraId="4B15DB7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十三、解决争议的方法</w:t>
      </w:r>
    </w:p>
    <w:p w14:paraId="73878F4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w:t>
      </w:r>
      <w:r>
        <w:rPr>
          <w:rFonts w:hint="eastAsia" w:ascii="宋体" w:hAnsi="宋体" w:cs="宋体"/>
          <w:color w:val="auto"/>
          <w:sz w:val="22"/>
          <w:highlight w:val="none"/>
          <w:lang w:val="en-US" w:eastAsia="zh-CN"/>
        </w:rPr>
        <w:t>4</w:t>
      </w:r>
      <w:r>
        <w:rPr>
          <w:rFonts w:hint="eastAsia" w:ascii="宋体" w:hAnsi="宋体" w:cs="宋体"/>
          <w:color w:val="auto"/>
          <w:sz w:val="22"/>
          <w:highlight w:val="none"/>
          <w:lang w:val="zh-CN" w:eastAsia="zh-CN"/>
        </w:rPr>
        <w:t>.1双方在签订、履行合同中所发生的一切争议，应通过友好协商解决。如协商不成，由甲方住所地人民法院管辖。</w:t>
      </w:r>
    </w:p>
    <w:p w14:paraId="31D85947">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十四、合同生效及其它</w:t>
      </w:r>
    </w:p>
    <w:p w14:paraId="6CEB47A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w:t>
      </w:r>
      <w:r>
        <w:rPr>
          <w:rFonts w:hint="eastAsia" w:ascii="宋体" w:hAnsi="宋体" w:cs="宋体"/>
          <w:color w:val="auto"/>
          <w:sz w:val="22"/>
          <w:highlight w:val="none"/>
          <w:lang w:val="en-US" w:eastAsia="zh-CN"/>
        </w:rPr>
        <w:t>5</w:t>
      </w:r>
      <w:r>
        <w:rPr>
          <w:rFonts w:hint="eastAsia" w:ascii="宋体" w:hAnsi="宋体" w:cs="宋体"/>
          <w:color w:val="auto"/>
          <w:sz w:val="22"/>
          <w:highlight w:val="none"/>
          <w:lang w:val="zh-CN" w:eastAsia="zh-CN"/>
        </w:rPr>
        <w:t>.1 合同经双方法定代表人或授权委托代表人签字并加盖单位公章后生效。</w:t>
      </w:r>
    </w:p>
    <w:p w14:paraId="1B9F38D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w:t>
      </w:r>
      <w:r>
        <w:rPr>
          <w:rFonts w:hint="eastAsia" w:ascii="宋体" w:hAnsi="宋体" w:cs="宋体"/>
          <w:color w:val="auto"/>
          <w:sz w:val="22"/>
          <w:highlight w:val="none"/>
          <w:lang w:val="en-US" w:eastAsia="zh-CN"/>
        </w:rPr>
        <w:t>5</w:t>
      </w:r>
      <w:r>
        <w:rPr>
          <w:rFonts w:hint="eastAsia" w:ascii="宋体" w:hAnsi="宋体" w:cs="宋体"/>
          <w:color w:val="auto"/>
          <w:sz w:val="22"/>
          <w:highlight w:val="none"/>
          <w:lang w:val="zh-CN" w:eastAsia="zh-CN"/>
        </w:rPr>
        <w:t>.2本合同未尽事宜，遵照《</w:t>
      </w:r>
      <w:r>
        <w:rPr>
          <w:rFonts w:hint="eastAsia" w:ascii="宋体" w:hAnsi="宋体" w:eastAsia="宋体" w:cs="宋体"/>
          <w:color w:val="auto"/>
          <w:sz w:val="22"/>
          <w:highlight w:val="none"/>
          <w:lang w:val="en-US" w:eastAsia="zh-CN"/>
        </w:rPr>
        <w:t>中华人民共和国民法典</w:t>
      </w:r>
      <w:r>
        <w:rPr>
          <w:rFonts w:hint="eastAsia" w:ascii="宋体" w:hAnsi="宋体" w:cs="宋体"/>
          <w:color w:val="auto"/>
          <w:sz w:val="22"/>
          <w:highlight w:val="none"/>
          <w:lang w:val="zh-CN" w:eastAsia="zh-CN"/>
        </w:rPr>
        <w:t>》、《</w:t>
      </w:r>
      <w:r>
        <w:rPr>
          <w:rFonts w:hint="eastAsia" w:ascii="宋体" w:hAnsi="宋体" w:eastAsia="宋体" w:cs="宋体"/>
          <w:color w:val="auto"/>
          <w:sz w:val="22"/>
          <w:highlight w:val="none"/>
          <w:lang w:val="en-US" w:eastAsia="zh-CN"/>
        </w:rPr>
        <w:t>中华人民共和国政府采购法</w:t>
      </w:r>
      <w:r>
        <w:rPr>
          <w:rFonts w:hint="eastAsia" w:ascii="宋体" w:hAnsi="宋体" w:cs="宋体"/>
          <w:color w:val="auto"/>
          <w:sz w:val="22"/>
          <w:highlight w:val="none"/>
          <w:lang w:val="zh-CN" w:eastAsia="zh-CN"/>
        </w:rPr>
        <w:t>》有关条文执行。</w:t>
      </w:r>
    </w:p>
    <w:p w14:paraId="527DF7A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1</w:t>
      </w:r>
      <w:r>
        <w:rPr>
          <w:rFonts w:hint="eastAsia" w:ascii="宋体" w:hAnsi="宋体" w:cs="宋体"/>
          <w:color w:val="auto"/>
          <w:sz w:val="22"/>
          <w:highlight w:val="none"/>
          <w:lang w:val="en-US" w:eastAsia="zh-CN"/>
        </w:rPr>
        <w:t>5</w:t>
      </w:r>
      <w:r>
        <w:rPr>
          <w:rFonts w:hint="eastAsia" w:ascii="宋体" w:hAnsi="宋体" w:cs="宋体"/>
          <w:color w:val="auto"/>
          <w:sz w:val="22"/>
          <w:highlight w:val="none"/>
          <w:lang w:val="zh-CN" w:eastAsia="zh-CN"/>
        </w:rPr>
        <w:t>.3 本合同正本一式</w:t>
      </w:r>
      <w:r>
        <w:rPr>
          <w:rFonts w:hint="eastAsia" w:ascii="宋体" w:hAnsi="宋体" w:cs="宋体"/>
          <w:color w:val="auto"/>
          <w:sz w:val="22"/>
          <w:highlight w:val="none"/>
          <w:lang w:val="en-US" w:eastAsia="zh-CN"/>
        </w:rPr>
        <w:t>陆</w:t>
      </w:r>
      <w:r>
        <w:rPr>
          <w:rFonts w:hint="eastAsia" w:ascii="宋体" w:hAnsi="宋体" w:cs="宋体"/>
          <w:color w:val="auto"/>
          <w:sz w:val="22"/>
          <w:highlight w:val="none"/>
          <w:lang w:val="zh-CN" w:eastAsia="zh-CN"/>
        </w:rPr>
        <w:t>份，具有同等法律效力，甲方、乙方各执</w:t>
      </w:r>
      <w:r>
        <w:rPr>
          <w:rFonts w:hint="eastAsia" w:ascii="宋体" w:hAnsi="宋体" w:cs="宋体"/>
          <w:color w:val="auto"/>
          <w:sz w:val="22"/>
          <w:highlight w:val="none"/>
          <w:lang w:val="en-US" w:eastAsia="zh-CN"/>
        </w:rPr>
        <w:t>叁</w:t>
      </w:r>
      <w:r>
        <w:rPr>
          <w:rFonts w:hint="eastAsia" w:ascii="宋体" w:hAnsi="宋体" w:cs="宋体"/>
          <w:color w:val="auto"/>
          <w:sz w:val="22"/>
          <w:highlight w:val="none"/>
          <w:lang w:val="zh-CN" w:eastAsia="zh-CN"/>
        </w:rPr>
        <w:t>份。</w:t>
      </w:r>
    </w:p>
    <w:p w14:paraId="18FCB0D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甲方：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val="zh-CN" w:eastAsia="zh-CN"/>
        </w:rPr>
        <w:t xml:space="preserve">   乙方： </w:t>
      </w:r>
    </w:p>
    <w:p w14:paraId="1269F1B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地址：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val="zh-CN" w:eastAsia="zh-CN"/>
        </w:rPr>
        <w:t xml:space="preserve">  地址： </w:t>
      </w:r>
    </w:p>
    <w:p w14:paraId="0C511A5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法定代表人或授权代表：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val="zh-CN" w:eastAsia="zh-CN"/>
        </w:rPr>
        <w:t xml:space="preserve">    法定代表人或授权代表：</w:t>
      </w:r>
    </w:p>
    <w:p w14:paraId="72AE6FFB">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联系电话：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val="zh-CN" w:eastAsia="zh-CN"/>
        </w:rPr>
        <w:t xml:space="preserve">  联系电话：          </w:t>
      </w:r>
    </w:p>
    <w:p w14:paraId="752A97A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Times New Roman" w:hAnsi="Times New Roman" w:eastAsia="黑体"/>
          <w:bCs/>
          <w:caps w:val="0"/>
          <w:color w:val="auto"/>
          <w:sz w:val="44"/>
          <w:highlight w:val="none"/>
        </w:rPr>
      </w:pPr>
      <w:r>
        <w:rPr>
          <w:rFonts w:hint="eastAsia" w:ascii="宋体" w:hAnsi="宋体" w:cs="宋体"/>
          <w:color w:val="auto"/>
          <w:sz w:val="22"/>
          <w:highlight w:val="none"/>
          <w:lang w:val="zh-CN" w:eastAsia="zh-CN"/>
        </w:rPr>
        <w:t xml:space="preserve">                                   签订日期：      年    月   日</w:t>
      </w:r>
      <w:bookmarkEnd w:id="190"/>
      <w:r>
        <w:rPr>
          <w:rFonts w:hint="eastAsia" w:ascii="宋体" w:hAnsi="宋体" w:cs="宋体"/>
          <w:b/>
          <w:color w:val="auto"/>
          <w:sz w:val="24"/>
        </w:rPr>
        <w:br w:type="page" w:clear="all"/>
      </w:r>
    </w:p>
    <w:p w14:paraId="50DFE64B">
      <w:pPr>
        <w:spacing w:before="120" w:after="120" w:line="0" w:lineRule="atLeast"/>
        <w:jc w:val="center"/>
        <w:outlineLvl w:val="0"/>
        <w:rPr>
          <w:rFonts w:ascii="Times New Roman" w:hAnsi="Times New Roman" w:eastAsia="黑体" w:cs="Courier New"/>
          <w:bCs/>
          <w:color w:val="auto"/>
          <w:sz w:val="44"/>
          <w:szCs w:val="21"/>
        </w:rPr>
      </w:pPr>
      <w:bookmarkStart w:id="198" w:name="_Toc27466"/>
      <w:r>
        <w:rPr>
          <w:rFonts w:hint="eastAsia" w:ascii="Times New Roman" w:hAnsi="Times New Roman" w:eastAsia="黑体" w:cs="Courier New"/>
          <w:bCs/>
          <w:color w:val="auto"/>
          <w:sz w:val="44"/>
          <w:szCs w:val="21"/>
        </w:rPr>
        <w:t>第</w:t>
      </w:r>
      <w:bookmarkEnd w:id="191"/>
      <w:r>
        <w:rPr>
          <w:rFonts w:hint="eastAsia" w:ascii="Times New Roman" w:hAnsi="Times New Roman" w:eastAsia="黑体" w:cs="Courier New"/>
          <w:bCs/>
          <w:color w:val="auto"/>
          <w:sz w:val="44"/>
          <w:szCs w:val="21"/>
        </w:rPr>
        <w:t>四章  采购需求</w:t>
      </w:r>
      <w:bookmarkEnd w:id="192"/>
      <w:bookmarkEnd w:id="193"/>
      <w:bookmarkEnd w:id="194"/>
      <w:bookmarkEnd w:id="198"/>
    </w:p>
    <w:p w14:paraId="65AB34CB">
      <w:pPr>
        <w:pageBreakBefore w:val="0"/>
        <w:widowControl w:val="0"/>
        <w:spacing w:line="560" w:lineRule="exact"/>
        <w:ind w:left="0" w:firstLine="482"/>
        <w:rPr>
          <w:rFonts w:hint="eastAsia" w:ascii="Times New Roman" w:hAnsi="Times New Roman" w:eastAsia="宋体" w:cs="Times New Roman"/>
          <w:b w:val="0"/>
          <w:bCs/>
          <w:caps w:val="0"/>
          <w:color w:val="auto"/>
          <w:sz w:val="24"/>
          <w:highlight w:val="none"/>
          <w:lang w:val="zh-CN" w:eastAsia="zh-CN"/>
        </w:rPr>
      </w:pPr>
      <w:r>
        <w:rPr>
          <w:rFonts w:hint="eastAsia" w:ascii="Times New Roman" w:hAnsi="Times New Roman" w:eastAsia="宋体" w:cs="Times New Roman"/>
          <w:b w:val="0"/>
          <w:bCs/>
          <w:caps w:val="0"/>
          <w:color w:val="auto"/>
          <w:sz w:val="24"/>
          <w:highlight w:val="none"/>
          <w:lang w:val="zh-CN" w:eastAsia="zh-CN"/>
        </w:rPr>
        <w:t>项目属性：</w:t>
      </w:r>
      <w:r>
        <w:rPr>
          <w:rFonts w:hint="eastAsia" w:eastAsia="宋体" w:cs="Times New Roman"/>
          <w:b w:val="0"/>
          <w:bCs/>
          <w:caps w:val="0"/>
          <w:color w:val="auto"/>
          <w:sz w:val="24"/>
          <w:highlight w:val="none"/>
          <w:u w:val="single"/>
          <w:lang w:val="en-US" w:eastAsia="zh-CN"/>
        </w:rPr>
        <w:t xml:space="preserve"> </w:t>
      </w:r>
      <w:r>
        <w:rPr>
          <w:rFonts w:hint="eastAsia" w:ascii="Times New Roman" w:hAnsi="Times New Roman" w:eastAsia="宋体" w:cs="Times New Roman"/>
          <w:b w:val="0"/>
          <w:bCs/>
          <w:caps w:val="0"/>
          <w:color w:val="auto"/>
          <w:sz w:val="24"/>
          <w:highlight w:val="none"/>
          <w:u w:val="single"/>
          <w:lang w:val="zh-CN" w:eastAsia="zh-CN"/>
        </w:rPr>
        <w:t>服务类项目</w:t>
      </w:r>
      <w:r>
        <w:rPr>
          <w:rFonts w:hint="eastAsia" w:eastAsia="宋体" w:cs="Times New Roman"/>
          <w:b w:val="0"/>
          <w:bCs/>
          <w:caps w:val="0"/>
          <w:color w:val="auto"/>
          <w:sz w:val="24"/>
          <w:highlight w:val="none"/>
          <w:u w:val="single"/>
          <w:lang w:val="en-US" w:eastAsia="zh-CN"/>
        </w:rPr>
        <w:t xml:space="preserve"> </w:t>
      </w:r>
      <w:r>
        <w:rPr>
          <w:rFonts w:hint="eastAsia" w:ascii="Times New Roman" w:hAnsi="Times New Roman" w:eastAsia="宋体" w:cs="Times New Roman"/>
          <w:b w:val="0"/>
          <w:bCs/>
          <w:caps w:val="0"/>
          <w:color w:val="auto"/>
          <w:sz w:val="24"/>
          <w:highlight w:val="none"/>
          <w:lang w:val="zh-CN" w:eastAsia="zh-CN"/>
        </w:rPr>
        <w:t>。</w:t>
      </w:r>
    </w:p>
    <w:p w14:paraId="2F7B36DB">
      <w:pPr>
        <w:pageBreakBefore w:val="0"/>
        <w:widowControl w:val="0"/>
        <w:spacing w:line="560" w:lineRule="exact"/>
        <w:ind w:left="0" w:firstLine="482"/>
        <w:rPr>
          <w:rFonts w:hint="eastAsia" w:ascii="Times New Roman" w:hAnsi="Times New Roman" w:eastAsia="宋体" w:cs="Times New Roman"/>
          <w:b w:val="0"/>
          <w:bCs/>
          <w:caps w:val="0"/>
          <w:color w:val="auto"/>
          <w:sz w:val="24"/>
          <w:highlight w:val="none"/>
          <w:lang w:val="zh-CN" w:eastAsia="zh-CN"/>
        </w:rPr>
      </w:pPr>
      <w:r>
        <w:rPr>
          <w:rFonts w:hint="eastAsia" w:ascii="Times New Roman" w:hAnsi="Times New Roman" w:eastAsia="宋体" w:cs="Times New Roman"/>
          <w:b w:val="0"/>
          <w:bCs/>
          <w:caps w:val="0"/>
          <w:color w:val="auto"/>
          <w:sz w:val="24"/>
          <w:highlight w:val="none"/>
          <w:lang w:val="zh-CN" w:eastAsia="zh-CN"/>
        </w:rPr>
        <w:t>本项目采购标的对应的中小企业划分标准所属行业：</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68"/>
        <w:gridCol w:w="2319"/>
      </w:tblGrid>
      <w:tr w14:paraId="08F71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6168" w:type="dxa"/>
            <w:noWrap w:val="0"/>
            <w:vAlign w:val="center"/>
          </w:tcPr>
          <w:p w14:paraId="69F25337">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采购标的</w:t>
            </w:r>
          </w:p>
        </w:tc>
        <w:tc>
          <w:tcPr>
            <w:tcW w:w="2319" w:type="dxa"/>
            <w:noWrap w:val="0"/>
            <w:vAlign w:val="center"/>
          </w:tcPr>
          <w:p w14:paraId="3113CAD4">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对应中小企业</w:t>
            </w:r>
          </w:p>
          <w:p w14:paraId="4B24C25A">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划分标准所属行业</w:t>
            </w:r>
          </w:p>
        </w:tc>
      </w:tr>
      <w:tr w14:paraId="1019D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6168" w:type="dxa"/>
            <w:noWrap w:val="0"/>
            <w:vAlign w:val="top"/>
          </w:tcPr>
          <w:p w14:paraId="0F31F1BB">
            <w:pPr>
              <w:tabs>
                <w:tab w:val="left" w:pos="2020"/>
              </w:tabs>
              <w:spacing w:line="48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“泗洪县智慧城管平台提升行动”维保服务采购项目</w:t>
            </w:r>
          </w:p>
        </w:tc>
        <w:tc>
          <w:tcPr>
            <w:tcW w:w="2319" w:type="dxa"/>
            <w:noWrap w:val="0"/>
            <w:vAlign w:val="center"/>
          </w:tcPr>
          <w:p w14:paraId="38892862">
            <w:pPr>
              <w:spacing w:line="3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软件和信息技术服务业</w:t>
            </w:r>
          </w:p>
        </w:tc>
      </w:tr>
    </w:tbl>
    <w:p w14:paraId="42B9D3CB">
      <w:pPr>
        <w:pageBreakBefore w:val="0"/>
        <w:widowControl w:val="0"/>
        <w:spacing w:line="560" w:lineRule="exact"/>
        <w:ind w:left="0" w:firstLine="482"/>
        <w:rPr>
          <w:rFonts w:hint="eastAsia" w:ascii="Times New Roman" w:hAnsi="Times New Roman" w:eastAsia="宋体" w:cs="Times New Roman"/>
          <w:b w:val="0"/>
          <w:bCs/>
          <w:caps w:val="0"/>
          <w:color w:val="auto"/>
          <w:sz w:val="24"/>
          <w:highlight w:val="none"/>
          <w:lang w:val="zh-CN" w:eastAsia="zh-CN"/>
        </w:rPr>
      </w:pPr>
      <w:r>
        <w:rPr>
          <w:rFonts w:hint="eastAsia" w:ascii="Times New Roman" w:hAnsi="Times New Roman" w:eastAsia="宋体" w:cs="Times New Roman"/>
          <w:b w:val="0"/>
          <w:bCs/>
          <w:caps w:val="0"/>
          <w:color w:val="auto"/>
          <w:sz w:val="24"/>
          <w:highlight w:val="none"/>
          <w:lang w:val="en-US" w:eastAsia="zh-CN"/>
        </w:rPr>
        <w:t>本项目</w:t>
      </w:r>
      <w:r>
        <w:rPr>
          <w:rFonts w:hint="eastAsia" w:ascii="Times New Roman" w:hAnsi="Times New Roman" w:eastAsia="宋体" w:cs="Times New Roman"/>
          <w:b w:val="0"/>
          <w:bCs/>
          <w:caps w:val="0"/>
          <w:color w:val="auto"/>
          <w:sz w:val="24"/>
          <w:highlight w:val="none"/>
          <w:u w:val="single"/>
          <w:lang w:val="en-US" w:eastAsia="zh-CN"/>
        </w:rPr>
        <w:t xml:space="preserve"> 不接受 </w:t>
      </w:r>
      <w:r>
        <w:rPr>
          <w:rFonts w:hint="eastAsia" w:ascii="Times New Roman" w:hAnsi="Times New Roman" w:eastAsia="宋体" w:cs="Times New Roman"/>
          <w:b w:val="0"/>
          <w:bCs/>
          <w:caps w:val="0"/>
          <w:color w:val="auto"/>
          <w:sz w:val="24"/>
          <w:highlight w:val="none"/>
          <w:lang w:val="en-US" w:eastAsia="zh-CN"/>
        </w:rPr>
        <w:t>进口产品。</w:t>
      </w:r>
    </w:p>
    <w:p w14:paraId="659D9D85">
      <w:pPr>
        <w:tabs>
          <w:tab w:val="left" w:pos="4680"/>
        </w:tabs>
        <w:spacing w:line="360" w:lineRule="auto"/>
        <w:ind w:firstLine="480"/>
        <w:rPr>
          <w:rFonts w:hint="eastAsia" w:ascii="仿宋" w:hAnsi="仿宋" w:eastAsia="仿宋" w:cs="仿宋"/>
          <w:b/>
          <w:bCs w:val="0"/>
          <w:color w:val="auto"/>
          <w:sz w:val="24"/>
          <w:szCs w:val="32"/>
          <w:highlight w:val="none"/>
          <w:lang w:val="zh-CN"/>
        </w:rPr>
      </w:pPr>
      <w:bookmarkStart w:id="199" w:name="OLE_LINK20"/>
      <w:r>
        <w:rPr>
          <w:rFonts w:hint="eastAsia" w:ascii="仿宋" w:hAnsi="仿宋" w:eastAsia="仿宋" w:cs="仿宋"/>
          <w:b/>
          <w:bCs w:val="0"/>
          <w:color w:val="auto"/>
          <w:sz w:val="24"/>
          <w:szCs w:val="32"/>
          <w:highlight w:val="none"/>
          <w:lang w:val="en-US" w:eastAsia="zh-CN"/>
        </w:rPr>
        <w:t>一、</w:t>
      </w:r>
      <w:r>
        <w:rPr>
          <w:rFonts w:hint="eastAsia" w:ascii="仿宋" w:hAnsi="仿宋" w:eastAsia="仿宋" w:cs="仿宋"/>
          <w:b/>
          <w:bCs w:val="0"/>
          <w:color w:val="auto"/>
          <w:sz w:val="24"/>
          <w:szCs w:val="32"/>
          <w:highlight w:val="none"/>
          <w:lang w:val="zh-CN"/>
        </w:rPr>
        <w:t xml:space="preserve">项目概况 </w:t>
      </w:r>
      <w:bookmarkEnd w:id="199"/>
    </w:p>
    <w:p w14:paraId="2008DD0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bookmarkStart w:id="200" w:name="OLE_LINK22"/>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一）</w:t>
      </w:r>
      <w:r>
        <w:rPr>
          <w:rFonts w:hint="eastAsia" w:ascii="宋体" w:hAnsi="宋体" w:cs="宋体"/>
          <w:color w:val="auto"/>
          <w:sz w:val="22"/>
          <w:highlight w:val="none"/>
          <w:lang w:val="zh-CN" w:eastAsia="zh-CN"/>
        </w:rPr>
        <w:t>本项目地点：</w:t>
      </w:r>
      <w:bookmarkStart w:id="201" w:name="OLE_LINK65"/>
      <w:r>
        <w:rPr>
          <w:rFonts w:hint="eastAsia" w:ascii="宋体" w:hAnsi="宋体" w:cs="宋体"/>
          <w:color w:val="auto"/>
          <w:sz w:val="22"/>
          <w:highlight w:val="none"/>
          <w:lang w:val="zh-CN" w:eastAsia="zh-CN"/>
        </w:rPr>
        <w:t>采购单位指定地点</w:t>
      </w:r>
      <w:bookmarkEnd w:id="201"/>
      <w:r>
        <w:rPr>
          <w:rFonts w:hint="eastAsia" w:ascii="宋体" w:hAnsi="宋体" w:cs="宋体"/>
          <w:color w:val="auto"/>
          <w:sz w:val="22"/>
          <w:highlight w:val="none"/>
          <w:lang w:val="zh-CN" w:eastAsia="zh-CN"/>
        </w:rPr>
        <w:t xml:space="preserve">。 </w:t>
      </w:r>
    </w:p>
    <w:p w14:paraId="418F804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cs="宋体"/>
          <w:color w:val="auto"/>
          <w:sz w:val="22"/>
          <w:highlight w:val="none"/>
          <w:lang w:val="en-US" w:eastAsia="zh-CN"/>
        </w:rPr>
      </w:pP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二</w:t>
      </w: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预算金额：239.159万元</w:t>
      </w:r>
    </w:p>
    <w:p w14:paraId="6671B8C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cs="宋体"/>
          <w:color w:val="auto"/>
          <w:sz w:val="22"/>
          <w:highlight w:val="none"/>
          <w:lang w:val="en-US" w:eastAsia="zh-CN"/>
        </w:rPr>
      </w:pP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三</w:t>
      </w:r>
      <w:r>
        <w:rPr>
          <w:rFonts w:hint="eastAsia" w:ascii="宋体" w:hAnsi="宋体" w:cs="宋体"/>
          <w:color w:val="auto"/>
          <w:sz w:val="22"/>
          <w:highlight w:val="none"/>
          <w:lang w:val="zh-CN" w:eastAsia="zh-CN"/>
        </w:rPr>
        <w:t>）采购范围：</w:t>
      </w:r>
      <w:bookmarkStart w:id="202" w:name="OLE_LINK26"/>
      <w:bookmarkStart w:id="203" w:name="OLE_LINK23"/>
      <w:r>
        <w:rPr>
          <w:rFonts w:hint="eastAsia" w:ascii="宋体" w:hAnsi="宋体" w:cs="宋体"/>
          <w:color w:val="auto"/>
          <w:sz w:val="22"/>
          <w:highlight w:val="none"/>
          <w:lang w:val="en-US" w:eastAsia="zh-CN"/>
        </w:rPr>
        <w:t>泗洪县城市管理局拟对“泗洪县智慧城管平台提升活动”进行维保。</w:t>
      </w:r>
      <w:bookmarkEnd w:id="202"/>
    </w:p>
    <w:p w14:paraId="69BC419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strike w:val="0"/>
          <w:color w:val="auto"/>
          <w:sz w:val="22"/>
          <w:highlight w:val="none"/>
          <w:lang w:val="en-US" w:eastAsia="zh-CN"/>
        </w:rPr>
      </w:pP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四</w:t>
      </w:r>
      <w:r>
        <w:rPr>
          <w:rFonts w:hint="eastAsia" w:ascii="宋体" w:hAnsi="宋体" w:cs="宋体"/>
          <w:color w:val="auto"/>
          <w:sz w:val="22"/>
          <w:highlight w:val="none"/>
          <w:lang w:val="zh-CN" w:eastAsia="zh-CN"/>
        </w:rPr>
        <w:t>）合同履行期限：</w:t>
      </w:r>
      <w:r>
        <w:rPr>
          <w:rFonts w:hint="eastAsia" w:ascii="宋体" w:hAnsi="宋体" w:cs="宋体"/>
          <w:color w:val="auto"/>
          <w:sz w:val="22"/>
          <w:highlight w:val="none"/>
          <w:lang w:val="en-US" w:eastAsia="zh-CN"/>
        </w:rPr>
        <w:t>签订合同后</w:t>
      </w:r>
      <w:r>
        <w:rPr>
          <w:rFonts w:hint="eastAsia" w:ascii="宋体" w:hAnsi="宋体" w:cs="宋体"/>
          <w:color w:val="auto"/>
          <w:sz w:val="22"/>
          <w:highlight w:val="none"/>
          <w:u w:val="single"/>
          <w:lang w:val="en-US" w:eastAsia="zh-CN"/>
        </w:rPr>
        <w:t xml:space="preserve">  90  </w:t>
      </w:r>
      <w:r>
        <w:rPr>
          <w:rFonts w:hint="eastAsia" w:ascii="宋体" w:hAnsi="宋体" w:cs="宋体"/>
          <w:color w:val="auto"/>
          <w:sz w:val="22"/>
          <w:highlight w:val="none"/>
          <w:lang w:val="en-US" w:eastAsia="zh-CN"/>
        </w:rPr>
        <w:t>日历天内完成项目业务系统部署，保证系统稳定运行</w:t>
      </w:r>
      <w:bookmarkStart w:id="204" w:name="OLE_LINK82"/>
      <w:r>
        <w:rPr>
          <w:rFonts w:hint="eastAsia" w:ascii="宋体" w:hAnsi="宋体" w:cs="宋体"/>
          <w:color w:val="auto"/>
          <w:sz w:val="22"/>
          <w:highlight w:val="none"/>
          <w:lang w:val="en-US" w:eastAsia="zh-CN"/>
        </w:rPr>
        <w:t>，</w:t>
      </w:r>
      <w:r>
        <w:rPr>
          <w:rFonts w:hint="eastAsia" w:ascii="宋体" w:hAnsi="宋体" w:cs="宋体"/>
          <w:strike w:val="0"/>
          <w:color w:val="auto"/>
          <w:sz w:val="22"/>
          <w:highlight w:val="none"/>
          <w:lang w:val="en-US" w:eastAsia="zh-CN"/>
        </w:rPr>
        <w:t>项目维护期</w:t>
      </w:r>
      <w:bookmarkEnd w:id="204"/>
      <w:r>
        <w:rPr>
          <w:rFonts w:hint="eastAsia" w:ascii="宋体" w:hAnsi="宋体" w:cs="宋体"/>
          <w:strike w:val="0"/>
          <w:color w:val="auto"/>
          <w:sz w:val="22"/>
          <w:highlight w:val="none"/>
          <w:lang w:val="en-US" w:eastAsia="zh-CN"/>
        </w:rPr>
        <w:t>为2年。</w:t>
      </w:r>
    </w:p>
    <w:p w14:paraId="1326F567">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五</w:t>
      </w:r>
      <w:r>
        <w:rPr>
          <w:rFonts w:hint="eastAsia" w:ascii="宋体" w:hAnsi="宋体" w:cs="宋体"/>
          <w:color w:val="auto"/>
          <w:sz w:val="22"/>
          <w:highlight w:val="none"/>
          <w:lang w:val="zh-CN" w:eastAsia="zh-CN"/>
        </w:rPr>
        <w:t>）</w:t>
      </w:r>
      <w:bookmarkStart w:id="205" w:name="OLE_LINK67"/>
      <w:r>
        <w:rPr>
          <w:rFonts w:hint="eastAsia" w:ascii="宋体" w:hAnsi="宋体" w:cs="宋体"/>
          <w:color w:val="auto"/>
          <w:sz w:val="22"/>
          <w:highlight w:val="none"/>
          <w:lang w:val="zh-CN" w:eastAsia="zh-CN"/>
        </w:rPr>
        <w:t xml:space="preserve">款项的支付方式及进度安排: </w:t>
      </w:r>
      <w:bookmarkEnd w:id="203"/>
    </w:p>
    <w:p w14:paraId="703E6150">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bookmarkStart w:id="206" w:name="OLE_LINK30"/>
      <w:r>
        <w:rPr>
          <w:rFonts w:hint="eastAsia" w:ascii="宋体" w:hAnsi="宋体" w:cs="宋体"/>
          <w:color w:val="auto"/>
          <w:sz w:val="22"/>
          <w:highlight w:val="none"/>
          <w:lang w:val="zh-CN" w:eastAsia="zh-CN"/>
        </w:rPr>
        <w:t>预付款：合同金额的</w:t>
      </w:r>
      <w:r>
        <w:rPr>
          <w:rFonts w:hint="eastAsia" w:ascii="宋体" w:hAnsi="宋体" w:cs="宋体"/>
          <w:color w:val="auto"/>
          <w:sz w:val="22"/>
          <w:highlight w:val="none"/>
          <w:u w:val="single"/>
          <w:lang w:val="zh-CN" w:eastAsia="zh-CN"/>
        </w:rPr>
        <w:t xml:space="preserve"> </w:t>
      </w:r>
      <w:r>
        <w:rPr>
          <w:rFonts w:hint="eastAsia" w:ascii="宋体" w:hAnsi="宋体" w:cs="宋体"/>
          <w:color w:val="auto"/>
          <w:sz w:val="22"/>
          <w:highlight w:val="none"/>
          <w:u w:val="single"/>
          <w:lang w:val="en-US" w:eastAsia="zh-CN"/>
        </w:rPr>
        <w:t>4</w:t>
      </w:r>
      <w:r>
        <w:rPr>
          <w:rFonts w:hint="eastAsia" w:ascii="宋体" w:hAnsi="宋体" w:cs="宋体"/>
          <w:color w:val="auto"/>
          <w:sz w:val="22"/>
          <w:highlight w:val="none"/>
          <w:u w:val="single"/>
          <w:lang w:val="zh-CN" w:eastAsia="zh-CN"/>
        </w:rPr>
        <w:t xml:space="preserve">0% </w:t>
      </w:r>
      <w:r>
        <w:rPr>
          <w:rFonts w:hint="eastAsia" w:ascii="宋体" w:hAnsi="宋体" w:cs="宋体"/>
          <w:color w:val="auto"/>
          <w:sz w:val="22"/>
          <w:highlight w:val="none"/>
          <w:lang w:val="zh-CN" w:eastAsia="zh-CN"/>
        </w:rPr>
        <w:t xml:space="preserve">，合同签订后按规定支付； </w:t>
      </w:r>
    </w:p>
    <w:p w14:paraId="3E439DA7">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u w:val="single"/>
          <w:lang w:val="zh-CN" w:eastAsia="zh-CN"/>
        </w:rPr>
      </w:pPr>
      <w:r>
        <w:rPr>
          <w:rFonts w:hint="eastAsia" w:ascii="宋体" w:hAnsi="宋体" w:cs="宋体"/>
          <w:color w:val="auto"/>
          <w:sz w:val="22"/>
          <w:highlight w:val="none"/>
          <w:lang w:val="zh-CN" w:eastAsia="zh-CN"/>
        </w:rPr>
        <w:t>进度款：</w:t>
      </w:r>
      <w:bookmarkStart w:id="207" w:name="OLE_LINK47"/>
      <w:r>
        <w:rPr>
          <w:rFonts w:hint="eastAsia" w:ascii="宋体" w:hAnsi="宋体" w:cs="宋体"/>
          <w:color w:val="auto"/>
          <w:sz w:val="22"/>
          <w:highlight w:val="none"/>
          <w:lang w:val="zh-CN" w:eastAsia="zh-CN"/>
        </w:rPr>
        <w:t>运营维护满一年后付至合同价的70%；运营维护期结束后付至合同价的100%；服务期限内支付时扣除考核费用。</w:t>
      </w:r>
    </w:p>
    <w:p w14:paraId="6A4D78D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备注: </w:t>
      </w:r>
    </w:p>
    <w:p w14:paraId="400D509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(1)可以采用数字人民币支付。 </w:t>
      </w:r>
    </w:p>
    <w:p w14:paraId="314A92C6">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(2)资金支付的时间:收到供应商发票后 10 个工作日内。 </w:t>
      </w:r>
    </w:p>
    <w:p w14:paraId="3E83D43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(3)资金支付的条件:满足相应阶段的要求且收到供应商发票。 </w:t>
      </w:r>
    </w:p>
    <w:p w14:paraId="281685B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 xml:space="preserve">(4)当采购数量与实际使用数量不一致时，供应商应根据实际使用量供货，合同的最终结算金额按实际使用量乘以成交单价进行计算。 </w:t>
      </w:r>
    </w:p>
    <w:p w14:paraId="740A41D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(5)在签订合同时，供应商明确表示无需预付款或者主动要求降低预付款比例的，采购人可不适用前述规定。</w:t>
      </w:r>
      <w:bookmarkEnd w:id="205"/>
      <w:bookmarkEnd w:id="206"/>
      <w:bookmarkEnd w:id="207"/>
    </w:p>
    <w:p w14:paraId="7A9E05F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六</w:t>
      </w:r>
      <w:r>
        <w:rPr>
          <w:rFonts w:hint="eastAsia" w:ascii="宋体" w:hAnsi="宋体" w:cs="宋体"/>
          <w:color w:val="auto"/>
          <w:sz w:val="22"/>
          <w:highlight w:val="none"/>
          <w:lang w:val="zh-CN" w:eastAsia="zh-CN"/>
        </w:rPr>
        <w:t>）</w:t>
      </w:r>
      <w:r>
        <w:rPr>
          <w:rFonts w:hint="eastAsia" w:ascii="宋体" w:hAnsi="宋体" w:cs="宋体"/>
          <w:color w:val="auto"/>
          <w:sz w:val="22"/>
          <w:highlight w:val="none"/>
          <w:lang w:val="en-US" w:eastAsia="zh-CN"/>
        </w:rPr>
        <w:t>质量：合格。</w:t>
      </w:r>
      <w:bookmarkEnd w:id="200"/>
    </w:p>
    <w:p w14:paraId="12680BD0">
      <w:pPr>
        <w:tabs>
          <w:tab w:val="left" w:pos="4680"/>
        </w:tabs>
        <w:spacing w:line="360" w:lineRule="auto"/>
        <w:ind w:firstLine="480"/>
        <w:rPr>
          <w:rFonts w:hint="eastAsia" w:ascii="仿宋" w:hAnsi="仿宋" w:eastAsia="仿宋" w:cs="仿宋"/>
          <w:b/>
          <w:bCs w:val="0"/>
          <w:color w:val="auto"/>
          <w:sz w:val="24"/>
          <w:szCs w:val="32"/>
          <w:highlight w:val="none"/>
          <w:lang w:val="en-US" w:eastAsia="zh-CN"/>
        </w:rPr>
      </w:pPr>
      <w:bookmarkStart w:id="208" w:name="OLE_LINK21"/>
      <w:r>
        <w:rPr>
          <w:rFonts w:hint="eastAsia" w:ascii="仿宋" w:hAnsi="仿宋" w:eastAsia="仿宋" w:cs="仿宋"/>
          <w:b/>
          <w:bCs w:val="0"/>
          <w:color w:val="auto"/>
          <w:sz w:val="24"/>
          <w:szCs w:val="32"/>
          <w:highlight w:val="none"/>
          <w:lang w:val="en-US" w:eastAsia="zh-CN"/>
        </w:rPr>
        <w:t>二 、采购清单及技术要</w:t>
      </w:r>
      <w:bookmarkEnd w:id="208"/>
      <w:r>
        <w:rPr>
          <w:rFonts w:hint="eastAsia" w:ascii="仿宋" w:hAnsi="仿宋" w:eastAsia="仿宋" w:cs="仿宋"/>
          <w:b/>
          <w:bCs w:val="0"/>
          <w:color w:val="auto"/>
          <w:sz w:val="24"/>
          <w:szCs w:val="32"/>
          <w:highlight w:val="none"/>
          <w:lang w:val="en-US" w:eastAsia="zh-CN"/>
        </w:rPr>
        <w:t>求</w:t>
      </w:r>
    </w:p>
    <w:tbl>
      <w:tblPr>
        <w:tblStyle w:val="40"/>
        <w:tblW w:w="83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91"/>
        <w:gridCol w:w="1726"/>
        <w:gridCol w:w="3721"/>
        <w:gridCol w:w="800"/>
        <w:gridCol w:w="900"/>
      </w:tblGrid>
      <w:tr w14:paraId="10DBE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5AC1C">
            <w:pPr>
              <w:keepNext w:val="0"/>
              <w:keepLines w:val="0"/>
              <w:widowControl/>
              <w:suppressLineNumbers w:val="0"/>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序号</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2177">
            <w:pPr>
              <w:keepNext w:val="0"/>
              <w:keepLines w:val="0"/>
              <w:widowControl/>
              <w:suppressLineNumbers w:val="0"/>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项目名称</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81C07">
            <w:pPr>
              <w:keepNext w:val="0"/>
              <w:keepLines w:val="0"/>
              <w:widowControl/>
              <w:suppressLineNumbers w:val="0"/>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规格参数</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BCFAC">
            <w:pPr>
              <w:keepNext w:val="0"/>
              <w:keepLines w:val="0"/>
              <w:widowControl/>
              <w:suppressLineNumbers w:val="0"/>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A708">
            <w:pPr>
              <w:keepNext w:val="0"/>
              <w:keepLines w:val="0"/>
              <w:widowControl/>
              <w:suppressLineNumbers w:val="0"/>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数量</w:t>
            </w:r>
          </w:p>
        </w:tc>
      </w:tr>
      <w:tr w14:paraId="23B28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833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571B7">
            <w:pPr>
              <w:keepNext w:val="0"/>
              <w:keepLines w:val="0"/>
              <w:widowControl/>
              <w:suppressLineNumbers w:val="0"/>
              <w:jc w:val="both"/>
              <w:rPr>
                <w:rFonts w:hint="eastAsia" w:ascii="宋体" w:hAnsi="宋体" w:eastAsia="宋体" w:cs="宋体"/>
                <w:b/>
                <w:bCs/>
                <w:i w:val="0"/>
                <w:iCs w:val="0"/>
                <w:color w:val="auto"/>
                <w:sz w:val="20"/>
                <w:szCs w:val="20"/>
                <w:u w:val="none"/>
                <w:lang w:val="en-US" w:eastAsia="zh-CN" w:bidi="ar"/>
              </w:rPr>
            </w:pPr>
            <w:r>
              <w:rPr>
                <w:rFonts w:hint="eastAsia" w:ascii="宋体" w:hAnsi="宋体" w:eastAsia="宋体" w:cs="宋体"/>
                <w:b/>
                <w:bCs/>
                <w:i w:val="0"/>
                <w:iCs w:val="0"/>
                <w:color w:val="auto"/>
                <w:sz w:val="20"/>
                <w:szCs w:val="20"/>
                <w:u w:val="none"/>
                <w:lang w:val="en-US" w:eastAsia="zh-CN" w:bidi="ar"/>
              </w:rPr>
              <w:t>一、室外监控</w:t>
            </w:r>
            <w:r>
              <w:rPr>
                <w:rFonts w:hint="eastAsia" w:ascii="宋体" w:hAnsi="宋体" w:cs="宋体"/>
                <w:b/>
                <w:bCs/>
                <w:i w:val="0"/>
                <w:iCs w:val="0"/>
                <w:color w:val="auto"/>
                <w:sz w:val="20"/>
                <w:szCs w:val="20"/>
                <w:u w:val="none"/>
                <w:lang w:val="en-US" w:eastAsia="zh-CN" w:bidi="ar"/>
              </w:rPr>
              <w:t>配套维保</w:t>
            </w:r>
          </w:p>
        </w:tc>
      </w:tr>
      <w:tr w14:paraId="3B9D0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C210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592C">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监控数据专线</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0375E">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#单条带宽不低于100M，服务期2年。</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17EDC">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条</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7D003">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148</w:t>
            </w:r>
          </w:p>
        </w:tc>
      </w:tr>
      <w:tr w14:paraId="4EFF9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AF28">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2</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AA4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室外监控电费</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2648F">
            <w:pPr>
              <w:keepNext w:val="0"/>
              <w:keepLines w:val="0"/>
              <w:widowControl/>
              <w:suppressLineNumbers w:val="0"/>
              <w:jc w:val="left"/>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#确保148路监控稳定供电，服务期2年</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1279">
            <w:pPr>
              <w:keepNext w:val="0"/>
              <w:keepLines w:val="0"/>
              <w:widowControl/>
              <w:suppressLineNumbers w:val="0"/>
              <w:jc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点</w:t>
            </w:r>
            <w:r>
              <w:rPr>
                <w:rFonts w:hint="eastAsia" w:ascii="宋体" w:hAnsi="宋体" w:cs="宋体"/>
                <w:i w:val="0"/>
                <w:iCs w:val="0"/>
                <w:color w:val="auto"/>
                <w:sz w:val="21"/>
                <w:szCs w:val="21"/>
                <w:u w:val="none"/>
                <w:lang w:val="en-US" w:eastAsia="zh-CN" w:bidi="ar"/>
              </w:rPr>
              <w:t>位</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2E3CA">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148</w:t>
            </w:r>
          </w:p>
        </w:tc>
      </w:tr>
      <w:tr w14:paraId="3E824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9A2D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3</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497A">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室外监控运维保障服务</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1CE3C">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提供日常故障维护团队，建立完善监控台账、材料编制装订</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日常巡检，平台巡查反馈，提升改造进行技术支持和现场指导;</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全面巡检（≥12次/年）：设备巡检，含高空作业、交通</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#3</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常规维护（每天根据故障点情况进行维修），监控设备、设施能否正常运行，整体监控效果是否达标</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空开跳闸送电、摄像头登高清洗、角度及状态调整;监控电源线老化及故障替换处理</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用电安全巡检，配套PVC保护套更换，及漏电测试</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网线老化及故障处理:及时更换老化网线及PVC管</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#5</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预算优先保障高频次巡检（覆盖率100%）与快速故障修复（≤8小时响应），预留15%弹性空间应对恶劣天气导致的设备异常。</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F207">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点</w:t>
            </w:r>
            <w:r>
              <w:rPr>
                <w:rFonts w:hint="eastAsia" w:ascii="宋体" w:hAnsi="宋体" w:cs="宋体"/>
                <w:i w:val="0"/>
                <w:iCs w:val="0"/>
                <w:color w:val="auto"/>
                <w:sz w:val="20"/>
                <w:szCs w:val="20"/>
                <w:u w:val="none"/>
                <w:lang w:val="en-US" w:eastAsia="zh-CN" w:bidi="ar"/>
              </w:rPr>
              <w:t>位</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FBB75">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128</w:t>
            </w:r>
          </w:p>
        </w:tc>
      </w:tr>
      <w:tr w14:paraId="1F8CB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A7859">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4</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382F">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监控摄像头</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29087">
            <w:pPr>
              <w:keepNext w:val="0"/>
              <w:keepLines w:val="0"/>
              <w:widowControl/>
              <w:numPr>
                <w:ilvl w:val="0"/>
                <w:numId w:val="0"/>
              </w:numPr>
              <w:suppressLineNumbers w:val="0"/>
              <w:jc w:val="left"/>
              <w:rPr>
                <w:rFonts w:hint="eastAsia" w:ascii="宋体" w:hAnsi="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1、</w:t>
            </w:r>
            <w:r>
              <w:rPr>
                <w:rFonts w:hint="eastAsia" w:ascii="宋体" w:hAnsi="宋体" w:eastAsia="宋体" w:cs="宋体"/>
                <w:i w:val="0"/>
                <w:iCs w:val="0"/>
                <w:color w:val="auto"/>
                <w:sz w:val="20"/>
                <w:szCs w:val="20"/>
                <w:u w:val="none"/>
                <w:lang w:val="en-US" w:eastAsia="zh-CN" w:bidi="ar"/>
              </w:rPr>
              <w:t>视频图像分辨率最大为2688×1520</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2、</w:t>
            </w:r>
            <w:r>
              <w:rPr>
                <w:rFonts w:hint="eastAsia" w:ascii="宋体" w:hAnsi="宋体" w:eastAsia="宋体" w:cs="宋体"/>
                <w:i w:val="0"/>
                <w:iCs w:val="0"/>
                <w:color w:val="auto"/>
                <w:sz w:val="20"/>
                <w:szCs w:val="20"/>
                <w:u w:val="none"/>
                <w:lang w:val="en-US" w:eastAsia="zh-CN" w:bidi="ar"/>
              </w:rPr>
              <w:t>最低照度：彩色≤0.0005lx，黑白≤0.0001lx</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3、</w:t>
            </w:r>
            <w:r>
              <w:rPr>
                <w:rFonts w:hint="eastAsia" w:ascii="宋体" w:hAnsi="宋体" w:eastAsia="宋体" w:cs="宋体"/>
                <w:i w:val="0"/>
                <w:iCs w:val="0"/>
                <w:color w:val="auto"/>
                <w:sz w:val="20"/>
                <w:szCs w:val="20"/>
                <w:u w:val="none"/>
                <w:lang w:val="en-US" w:eastAsia="zh-CN" w:bidi="ar"/>
              </w:rPr>
              <w:t>摄像机靶面尺寸不小于1/1.8英寸</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4、</w:t>
            </w:r>
            <w:r>
              <w:rPr>
                <w:rFonts w:hint="eastAsia" w:ascii="宋体" w:hAnsi="宋体" w:eastAsia="宋体" w:cs="宋体"/>
                <w:i w:val="0"/>
                <w:iCs w:val="0"/>
                <w:color w:val="auto"/>
                <w:sz w:val="20"/>
                <w:szCs w:val="20"/>
                <w:u w:val="none"/>
                <w:lang w:val="en-US" w:eastAsia="zh-CN" w:bidi="ar"/>
              </w:rPr>
              <w:t>摄像机内置镜头，支持不小于25倍光学变倍，镜头最大焦距不小于147mm</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5、</w:t>
            </w:r>
            <w:r>
              <w:rPr>
                <w:rFonts w:hint="eastAsia" w:ascii="宋体" w:hAnsi="宋体" w:eastAsia="宋体" w:cs="宋体"/>
                <w:i w:val="0"/>
                <w:iCs w:val="0"/>
                <w:color w:val="auto"/>
                <w:sz w:val="20"/>
                <w:szCs w:val="20"/>
                <w:u w:val="none"/>
                <w:lang w:val="en-US" w:eastAsia="zh-CN" w:bidi="ar"/>
              </w:rPr>
              <w:t>设备支持水平旋转范围0~360°连续旋转，垂直旋转范围-15°~90°</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6、</w:t>
            </w:r>
            <w:r>
              <w:rPr>
                <w:rFonts w:hint="eastAsia" w:ascii="宋体" w:hAnsi="宋体" w:eastAsia="宋体" w:cs="宋体"/>
                <w:i w:val="0"/>
                <w:iCs w:val="0"/>
                <w:color w:val="auto"/>
                <w:sz w:val="20"/>
                <w:szCs w:val="20"/>
                <w:u w:val="none"/>
                <w:lang w:val="en-US" w:eastAsia="zh-CN" w:bidi="ar"/>
              </w:rPr>
              <w:t>具有300个预置位，可设置8条巡航路径。支持预置位视频冻结功能</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7、</w:t>
            </w:r>
            <w:r>
              <w:rPr>
                <w:rFonts w:hint="eastAsia" w:ascii="宋体" w:hAnsi="宋体" w:eastAsia="宋体" w:cs="宋体"/>
                <w:i w:val="0"/>
                <w:iCs w:val="0"/>
                <w:color w:val="auto"/>
                <w:sz w:val="20"/>
                <w:szCs w:val="20"/>
                <w:u w:val="none"/>
                <w:lang w:val="en-US" w:eastAsia="zh-CN" w:bidi="ar"/>
              </w:rPr>
              <w:t>支持通过IE浏览器将视频编码格式设置为 H.265、H.264、MJPEG</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8、</w:t>
            </w:r>
            <w:r>
              <w:rPr>
                <w:rFonts w:hint="eastAsia" w:ascii="宋体" w:hAnsi="宋体" w:eastAsia="宋体" w:cs="宋体"/>
                <w:i w:val="0"/>
                <w:iCs w:val="0"/>
                <w:color w:val="auto"/>
                <w:sz w:val="20"/>
                <w:szCs w:val="20"/>
                <w:u w:val="none"/>
                <w:lang w:val="en-US" w:eastAsia="zh-CN" w:bidi="ar"/>
              </w:rPr>
              <w:t>内置GPU芯片</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9、</w:t>
            </w:r>
            <w:r>
              <w:rPr>
                <w:rFonts w:hint="eastAsia" w:ascii="宋体" w:hAnsi="宋体" w:eastAsia="宋体" w:cs="宋体"/>
                <w:i w:val="0"/>
                <w:iCs w:val="0"/>
                <w:color w:val="auto"/>
                <w:sz w:val="20"/>
                <w:szCs w:val="20"/>
                <w:u w:val="none"/>
                <w:lang w:val="en-US" w:eastAsia="zh-CN" w:bidi="ar"/>
              </w:rPr>
              <w:t>支持对监控画面中不小于15个人脸进行检测、跟踪并进行抓拍图片</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10、</w:t>
            </w:r>
            <w:r>
              <w:rPr>
                <w:rFonts w:hint="eastAsia" w:ascii="宋体" w:hAnsi="宋体" w:eastAsia="宋体" w:cs="宋体"/>
                <w:i w:val="0"/>
                <w:iCs w:val="0"/>
                <w:color w:val="auto"/>
                <w:sz w:val="20"/>
                <w:szCs w:val="20"/>
                <w:u w:val="none"/>
                <w:lang w:val="en-US" w:eastAsia="zh-CN" w:bidi="ar"/>
              </w:rPr>
              <w:t>支持同时对行人、非机动车、机动车进行检测，跟踪及抓拍，支持人脸与人体，车牌与车辆关联显示</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11、</w:t>
            </w:r>
            <w:r>
              <w:rPr>
                <w:rFonts w:hint="eastAsia" w:ascii="宋体" w:hAnsi="宋体" w:eastAsia="宋体" w:cs="宋体"/>
                <w:i w:val="0"/>
                <w:iCs w:val="0"/>
                <w:color w:val="auto"/>
                <w:sz w:val="20"/>
                <w:szCs w:val="20"/>
                <w:u w:val="none"/>
                <w:lang w:val="en-US" w:eastAsia="zh-CN" w:bidi="ar"/>
              </w:rPr>
              <w:t>支持人脸图片对比功能</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12、</w:t>
            </w:r>
            <w:r>
              <w:rPr>
                <w:rFonts w:hint="eastAsia" w:ascii="宋体" w:hAnsi="宋体" w:eastAsia="宋体" w:cs="宋体"/>
                <w:i w:val="0"/>
                <w:iCs w:val="0"/>
                <w:color w:val="auto"/>
                <w:sz w:val="20"/>
                <w:szCs w:val="20"/>
                <w:u w:val="none"/>
                <w:lang w:val="en-US" w:eastAsia="zh-CN" w:bidi="ar"/>
              </w:rPr>
              <w:t>支持对镜头前玻璃进行加热，去除玻璃上的冰状和水状附着物</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#13、支持AI-ISP图像质量提升功能，在低照度环境下，可自动调节预览场景视频画面中人脸、人体、车辆等目标及预览场景视频画面的区域曝光、亮度、色彩饱和度、对比度、锐度等</w:t>
            </w:r>
            <w:r>
              <w:rPr>
                <w:rFonts w:hint="eastAsia" w:ascii="宋体" w:hAnsi="宋体" w:cs="宋体"/>
                <w:i w:val="0"/>
                <w:iCs w:val="0"/>
                <w:color w:val="auto"/>
                <w:sz w:val="20"/>
                <w:szCs w:val="20"/>
                <w:u w:val="none"/>
                <w:lang w:val="en-US" w:eastAsia="zh-CN" w:bidi="ar"/>
              </w:rPr>
              <w:t>；</w:t>
            </w:r>
          </w:p>
          <w:p w14:paraId="4837F182">
            <w:pPr>
              <w:keepNext w:val="0"/>
              <w:keepLines w:val="0"/>
              <w:widowControl/>
              <w:numPr>
                <w:ilvl w:val="0"/>
                <w:numId w:val="0"/>
              </w:numPr>
              <w:suppressLineNumbers w:val="0"/>
              <w:jc w:val="left"/>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▲14、内置8GB eMMC，内置大模型算法芯片，可调用大模型算法检测并分类识别目标（人员、机动车、动物）</w:t>
            </w:r>
            <w:r>
              <w:rPr>
                <w:rFonts w:hint="eastAsia" w:ascii="宋体" w:hAnsi="宋体" w:cs="宋体"/>
                <w:i w:val="0"/>
                <w:iCs w:val="0"/>
                <w:color w:val="auto"/>
                <w:sz w:val="20"/>
                <w:szCs w:val="20"/>
                <w:u w:val="none"/>
                <w:lang w:val="en-US" w:eastAsia="zh-CN" w:bidi="ar"/>
              </w:rPr>
              <w:t>；（提供CMA认证的第三方权威机构出具的检测报告原件扫描件）</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▲15、支持大模型Smart事件功能，可检测设备最大水平视场角范围内距离设备100m处的人员，距离设备150m处的机动车</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夜晚可检测设备最大水平视场角范围内距离设备70m处的人员</w:t>
            </w:r>
            <w:r>
              <w:rPr>
                <w:rFonts w:hint="eastAsia" w:ascii="宋体" w:hAnsi="宋体" w:cs="宋体"/>
                <w:i w:val="0"/>
                <w:iCs w:val="0"/>
                <w:color w:val="auto"/>
                <w:sz w:val="20"/>
                <w:szCs w:val="20"/>
                <w:u w:val="none"/>
                <w:lang w:val="en-US" w:eastAsia="zh-CN" w:bidi="ar"/>
              </w:rPr>
              <w:t>；（提供CMA认证的第三方权威机构出具的检测报告原件扫描件）</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▲16、支持通过平台叠加属性信息 (人员属性、车辆属性、报警事件、设备属性等) 至全景图中，并可进行场景漫游、标记标绘、视频投影及视图联动</w:t>
            </w:r>
            <w:r>
              <w:rPr>
                <w:rFonts w:hint="eastAsia" w:ascii="宋体" w:hAnsi="宋体" w:cs="宋体"/>
                <w:i w:val="0"/>
                <w:iCs w:val="0"/>
                <w:color w:val="auto"/>
                <w:sz w:val="20"/>
                <w:szCs w:val="20"/>
                <w:u w:val="none"/>
                <w:lang w:val="en-US" w:eastAsia="zh-CN" w:bidi="ar"/>
              </w:rPr>
              <w:t>；（提供CMA认证的第三方权威机构出具的检测报告原件扫描件）</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17、</w:t>
            </w:r>
            <w:r>
              <w:rPr>
                <w:rFonts w:hint="eastAsia" w:ascii="宋体" w:hAnsi="宋体" w:eastAsia="宋体" w:cs="宋体"/>
                <w:i w:val="0"/>
                <w:iCs w:val="0"/>
                <w:color w:val="auto"/>
                <w:sz w:val="20"/>
                <w:szCs w:val="20"/>
                <w:u w:val="none"/>
                <w:lang w:val="en-US" w:eastAsia="zh-CN" w:bidi="ar"/>
              </w:rPr>
              <w:t>设备内置暖白光补光灯，在夜晚天气晴朗无遮挡的情况下，仅开启暖白光补光灯，可识别距离设备30m处的人体轮廓</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红外作用距离：可识别距离设备200m处的人体轮廓</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18、</w:t>
            </w:r>
            <w:r>
              <w:rPr>
                <w:rFonts w:hint="eastAsia" w:ascii="宋体" w:hAnsi="宋体" w:eastAsia="宋体" w:cs="宋体"/>
                <w:i w:val="0"/>
                <w:iCs w:val="0"/>
                <w:color w:val="auto"/>
                <w:sz w:val="20"/>
                <w:szCs w:val="20"/>
                <w:u w:val="none"/>
                <w:lang w:val="en-US" w:eastAsia="zh-CN" w:bidi="ar"/>
              </w:rPr>
              <w:t>具有2路报警输入、1路报警输出、1路音频输入、1路音频输出</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#19</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防护能力不低于IP66</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#20</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支持在-30 °C~65 °C范围内正常工作。</w:t>
            </w:r>
          </w:p>
          <w:p w14:paraId="72490106">
            <w:pPr>
              <w:keepNext w:val="0"/>
              <w:keepLines w:val="0"/>
              <w:widowControl/>
              <w:numPr>
                <w:ilvl w:val="0"/>
                <w:numId w:val="0"/>
              </w:numPr>
              <w:suppressLineNumbers w:val="0"/>
              <w:jc w:val="left"/>
              <w:rPr>
                <w:rFonts w:hint="default" w:ascii="宋体" w:hAnsi="宋体" w:eastAsia="宋体" w:cs="宋体"/>
                <w:i w:val="0"/>
                <w:iCs w:val="0"/>
                <w:color w:val="auto"/>
                <w:sz w:val="20"/>
                <w:szCs w:val="20"/>
                <w:u w:val="none"/>
                <w:lang w:val="en-US" w:eastAsia="zh-CN" w:bidi="ar"/>
              </w:rPr>
            </w:pPr>
            <w:r>
              <w:rPr>
                <w:rFonts w:hint="eastAsia" w:ascii="宋体" w:hAnsi="宋体" w:cs="宋体"/>
                <w:i w:val="0"/>
                <w:iCs w:val="0"/>
                <w:color w:val="auto"/>
                <w:sz w:val="20"/>
                <w:szCs w:val="20"/>
                <w:u w:val="none"/>
                <w:lang w:val="en-US" w:eastAsia="zh-CN" w:bidi="ar"/>
              </w:rPr>
              <w:t>★21、</w:t>
            </w:r>
            <w:r>
              <w:rPr>
                <w:rFonts w:hint="eastAsia" w:ascii="宋体" w:hAnsi="宋体" w:eastAsia="宋体" w:cs="宋体"/>
                <w:i w:val="0"/>
                <w:iCs w:val="0"/>
                <w:color w:val="auto"/>
                <w:sz w:val="20"/>
                <w:szCs w:val="20"/>
                <w:u w:val="none"/>
                <w:lang w:val="en-US" w:eastAsia="zh-CN" w:bidi="ar"/>
              </w:rPr>
              <w:t>设备支持</w:t>
            </w:r>
            <w:r>
              <w:rPr>
                <w:rFonts w:hint="eastAsia" w:ascii="宋体" w:hAnsi="宋体" w:cs="宋体"/>
                <w:i w:val="0"/>
                <w:iCs w:val="0"/>
                <w:color w:val="auto"/>
                <w:sz w:val="20"/>
                <w:szCs w:val="20"/>
                <w:u w:val="none"/>
                <w:lang w:val="en-US" w:eastAsia="zh-CN" w:bidi="ar"/>
              </w:rPr>
              <w:t>接入</w:t>
            </w:r>
            <w:r>
              <w:rPr>
                <w:rFonts w:hint="eastAsia" w:ascii="宋体" w:hAnsi="宋体" w:eastAsia="宋体" w:cs="宋体"/>
                <w:i w:val="0"/>
                <w:iCs w:val="0"/>
                <w:color w:val="auto"/>
                <w:sz w:val="20"/>
                <w:szCs w:val="20"/>
                <w:u w:val="none"/>
                <w:lang w:val="en-US" w:eastAsia="zh-CN" w:bidi="ar"/>
              </w:rPr>
              <w:t>泗洪县城市管理局城市运管服平台。（提供承诺函并加盖投标人公章）</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4D18">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台</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B4186">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20</w:t>
            </w:r>
          </w:p>
        </w:tc>
      </w:tr>
      <w:tr w14:paraId="3269A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597A">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5</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71D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配件及配套服务</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588E4">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#1、1000米RVV 2*1.0 平方监控电源线</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#2、3200米FS－RVV2*1.5 平方监控电源线</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#3、20处杆件损坏油漆修复服务</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#4、5箱超五类网线更换服务</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5</w:t>
            </w:r>
            <w:r>
              <w:rPr>
                <w:rFonts w:hint="eastAsia" w:ascii="宋体" w:hAnsi="宋体" w:eastAsia="宋体" w:cs="宋体"/>
                <w:i w:val="0"/>
                <w:iCs w:val="0"/>
                <w:color w:val="auto"/>
                <w:sz w:val="20"/>
                <w:szCs w:val="20"/>
                <w:u w:val="none"/>
                <w:lang w:val="en-US" w:eastAsia="zh-CN" w:bidi="ar"/>
              </w:rPr>
              <w:t>、20个空开更换服务</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6</w:t>
            </w:r>
            <w:r>
              <w:rPr>
                <w:rFonts w:hint="eastAsia" w:ascii="宋体" w:hAnsi="宋体" w:eastAsia="宋体" w:cs="宋体"/>
                <w:i w:val="0"/>
                <w:iCs w:val="0"/>
                <w:color w:val="auto"/>
                <w:sz w:val="20"/>
                <w:szCs w:val="20"/>
                <w:u w:val="none"/>
                <w:lang w:val="en-US" w:eastAsia="zh-CN" w:bidi="ar"/>
              </w:rPr>
              <w:t>、20个电源适配器更换服务</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7</w:t>
            </w:r>
            <w:r>
              <w:rPr>
                <w:rFonts w:hint="eastAsia" w:ascii="宋体" w:hAnsi="宋体" w:eastAsia="宋体" w:cs="宋体"/>
                <w:i w:val="0"/>
                <w:iCs w:val="0"/>
                <w:color w:val="auto"/>
                <w:sz w:val="20"/>
                <w:szCs w:val="20"/>
                <w:u w:val="none"/>
                <w:lang w:val="en-US" w:eastAsia="zh-CN" w:bidi="ar"/>
              </w:rPr>
              <w:t>、20个摄像机支架更换服务</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8</w:t>
            </w:r>
            <w:r>
              <w:rPr>
                <w:rFonts w:hint="eastAsia" w:ascii="宋体" w:hAnsi="宋体" w:eastAsia="宋体" w:cs="宋体"/>
                <w:i w:val="0"/>
                <w:iCs w:val="0"/>
                <w:color w:val="auto"/>
                <w:sz w:val="20"/>
                <w:szCs w:val="20"/>
                <w:u w:val="none"/>
                <w:lang w:val="en-US" w:eastAsia="zh-CN" w:bidi="ar"/>
              </w:rPr>
              <w:t>、20个摄像头安装，涉及登高作业及租赁登高设备，接电、安装调测等费用</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9</w:t>
            </w:r>
            <w:r>
              <w:rPr>
                <w:rFonts w:hint="eastAsia" w:ascii="宋体" w:hAnsi="宋体" w:eastAsia="宋体" w:cs="宋体"/>
                <w:i w:val="0"/>
                <w:iCs w:val="0"/>
                <w:color w:val="auto"/>
                <w:sz w:val="20"/>
                <w:szCs w:val="20"/>
                <w:u w:val="none"/>
                <w:lang w:val="en-US" w:eastAsia="zh-CN" w:bidi="ar"/>
              </w:rPr>
              <w:t>、20个点位2年维保费用</w:t>
            </w:r>
            <w:r>
              <w:rPr>
                <w:rFonts w:hint="eastAsia" w:ascii="宋体" w:hAnsi="宋体" w:cs="宋体"/>
                <w:i w:val="0"/>
                <w:iCs w:val="0"/>
                <w:color w:val="auto"/>
                <w:sz w:val="20"/>
                <w:szCs w:val="20"/>
                <w:u w:val="none"/>
                <w:lang w:val="en-US" w:eastAsia="zh-CN" w:bidi="ar"/>
              </w:rPr>
              <w:t>；</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DCE6">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项</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47F7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r>
      <w:tr w14:paraId="2D89F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33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432BF">
            <w:pPr>
              <w:keepNext w:val="0"/>
              <w:keepLines w:val="0"/>
              <w:widowControl/>
              <w:suppressLineNumbers w:val="0"/>
              <w:jc w:val="both"/>
              <w:rPr>
                <w:rFonts w:hint="default" w:ascii="宋体" w:hAnsi="宋体" w:eastAsia="宋体" w:cs="宋体"/>
                <w:b/>
                <w:bCs/>
                <w:i w:val="0"/>
                <w:iCs w:val="0"/>
                <w:color w:val="auto"/>
                <w:sz w:val="20"/>
                <w:szCs w:val="20"/>
                <w:u w:val="none"/>
                <w:lang w:val="en-US" w:eastAsia="zh-CN" w:bidi="ar-SA"/>
              </w:rPr>
            </w:pPr>
            <w:r>
              <w:rPr>
                <w:rFonts w:hint="eastAsia" w:ascii="宋体" w:hAnsi="宋体" w:eastAsia="宋体" w:cs="宋体"/>
                <w:b/>
                <w:bCs/>
                <w:i w:val="0"/>
                <w:iCs w:val="0"/>
                <w:color w:val="auto"/>
                <w:sz w:val="20"/>
                <w:szCs w:val="20"/>
                <w:u w:val="none"/>
                <w:lang w:val="en-US" w:eastAsia="zh-CN" w:bidi="ar"/>
              </w:rPr>
              <w:t>二、室外执法</w:t>
            </w:r>
            <w:r>
              <w:rPr>
                <w:rFonts w:hint="eastAsia" w:ascii="宋体" w:hAnsi="宋体" w:cs="宋体"/>
                <w:b/>
                <w:bCs/>
                <w:i w:val="0"/>
                <w:iCs w:val="0"/>
                <w:color w:val="auto"/>
                <w:sz w:val="20"/>
                <w:szCs w:val="20"/>
                <w:u w:val="none"/>
                <w:lang w:val="en-US" w:eastAsia="zh-CN" w:bidi="ar"/>
              </w:rPr>
              <w:t>系统维护</w:t>
            </w:r>
          </w:p>
        </w:tc>
      </w:tr>
      <w:tr w14:paraId="65E4E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0313">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6</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EAC1">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执法记录仪</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D51EE">
            <w:pPr>
              <w:keepNext w:val="0"/>
              <w:keepLines w:val="0"/>
              <w:widowControl/>
              <w:suppressLineNumbers w:val="0"/>
              <w:jc w:val="left"/>
              <w:rPr>
                <w:rFonts w:hint="eastAsia" w:ascii="宋体" w:hAnsi="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#1、支持重复充电次数应大于 300 次，充放电300 次时电池容量衰减不应大于20%</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#2、在正常工作条件下应能安全工作，受热后不应起火，点燃时不应蔓延，操作人员接触到可触及件时不应有烫伤的危险</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#3、正常工作条件下工作4h后，可触及零部件的温度不应超过该部件的允许温升值</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#4、非金属外囊的设备，其机壳经火焰燃烧5次，每次5s，不应烧着起火</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#5、配备USB MiniB和Type-C 数据转换线，外接数据线后支持通过Type-C 接口进行数据传输和充电</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#6、支持设备本地人脸识别功能</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支持静态人脸图像数据及批量导入人脸图像数据，导入数量≥80000 个;同一监视画面同时抓拍的人脸数量≥5 个:支持抓拍人脸分辨率≥152X158 分辨率人脸图像，抓拍图片人脸两眼间距最低有效像素≥60 像素，与底库图片进行对比，并给出提示对比信息</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#7、人脸抓拍有效距离≥4m;车牌抓拍有效距离≥10m</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8、支持与同一群组内设备之间实现群组对讲，同一时间只有一台设备可以讲话:支持与同一群组内设备实现一对一双向音视频通话;支持给同一群组内设备发送文字、图片、视频文件等消息;能够随时对用户进行动态的重新编组，可以把某些用户或用户组重新编成一个大组</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▲9、执法记录仪采用内置不可更换电池供电，在视频分辨率为 1280×720下满足连续摄录时间不小于17h</w:t>
            </w:r>
            <w:r>
              <w:rPr>
                <w:rFonts w:hint="eastAsia" w:ascii="宋体" w:hAnsi="宋体" w:cs="宋体"/>
                <w:i w:val="0"/>
                <w:iCs w:val="0"/>
                <w:color w:val="auto"/>
                <w:sz w:val="20"/>
                <w:szCs w:val="20"/>
                <w:u w:val="none"/>
                <w:lang w:val="en-US" w:eastAsia="zh-CN" w:bidi="ar"/>
              </w:rPr>
              <w:t>；（提供CMA认证的第三方权威机构出具的检测报告原件扫描件）</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#10、开启4G传输功能后，在视频分辨率1280×720下可连续续航传输视频时间不小于7h</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▲11、执法记录仪具备空录识别功能，可识别静止画面、无移动物体、连续 5 分钟视频为空录视频，并可在管理平台中进行统计管理，空录识别准确率不低于 85%</w:t>
            </w:r>
            <w:r>
              <w:rPr>
                <w:rFonts w:hint="eastAsia" w:ascii="宋体" w:hAnsi="宋体" w:cs="宋体"/>
                <w:i w:val="0"/>
                <w:iCs w:val="0"/>
                <w:color w:val="auto"/>
                <w:sz w:val="20"/>
                <w:szCs w:val="20"/>
                <w:u w:val="none"/>
                <w:lang w:val="en-US" w:eastAsia="zh-CN" w:bidi="ar"/>
              </w:rPr>
              <w:t>；（提供CMA认证的第三方权威机构出具的检测报告原件扫描件）</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#12、冷启动时间应该≤23s，热启动时间≤7s</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#13、执法记录仪应能预录85s，延录300s的视频信息</w:t>
            </w:r>
            <w:r>
              <w:rPr>
                <w:rFonts w:hint="eastAsia" w:ascii="宋体" w:hAnsi="宋体" w:cs="宋体"/>
                <w:i w:val="0"/>
                <w:iCs w:val="0"/>
                <w:color w:val="auto"/>
                <w:sz w:val="20"/>
                <w:szCs w:val="20"/>
                <w:u w:val="none"/>
                <w:lang w:val="en-US" w:eastAsia="zh-CN" w:bidi="ar"/>
              </w:rPr>
              <w:t>；</w:t>
            </w:r>
          </w:p>
          <w:p w14:paraId="7EE7A88C">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#14、执法记录仪支持运动计步功能。</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#15、设备支持和泗洪县城市管理局城市运管服平台对接，支持根据事件发生位置调度合适的人员快速处置问题，支持与指挥中心之间的视频联通。</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3CCD">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台</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BA39">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100</w:t>
            </w:r>
          </w:p>
        </w:tc>
      </w:tr>
      <w:tr w14:paraId="48159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09041">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7</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AD2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对讲机套餐服务</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869F8">
            <w:pPr>
              <w:keepNext w:val="0"/>
              <w:keepLines w:val="0"/>
              <w:widowControl/>
              <w:suppressLineNumbers w:val="0"/>
              <w:jc w:val="left"/>
              <w:rPr>
                <w:rFonts w:hint="eastAsia" w:ascii="宋体" w:hAnsi="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提供2年对讲套餐服务，套餐中包含1台对讲机，参数不低于：</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#1、音频格式：支撑ADPCM、G.7221c、G.711a、AACLC、OPUS等格式</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#2、防护等级：符合IP54</w:t>
            </w:r>
            <w:r>
              <w:rPr>
                <w:rFonts w:hint="eastAsia" w:ascii="宋体" w:hAnsi="宋体" w:cs="宋体"/>
                <w:i w:val="0"/>
                <w:iCs w:val="0"/>
                <w:color w:val="auto"/>
                <w:sz w:val="20"/>
                <w:szCs w:val="20"/>
                <w:u w:val="none"/>
                <w:lang w:val="en-US" w:eastAsia="zh-CN" w:bidi="ar"/>
              </w:rPr>
              <w:t>；</w:t>
            </w:r>
          </w:p>
          <w:p w14:paraId="503479A4">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#3、定位系统：支持北斗定位</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▲4、播发北斗系统与非北斗系统导航信号时，设备应能且仅能使用北斗系统导航信号进行定位并满足基本精度要求</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其中水平定位精度：不低于1.2m，垂直定位精度：不低于2.2m。（提供国家权威机构认定的北斗独立定位证书及检测报告）</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#5、实时位置查询：自带北斗定位系统能自动回传终端位置信息，可以在平台上实时查看运动轨迹</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#6、频道对讲：支持无限数量的频道，频道内可自由收听与发言</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支持多频道监听，除当前频道，还可额外监听2个其他频道，无需切换频道即可收听信息</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支持临时会话，终端可以向不在同一频道的1个或者多个用户发起呼叫，通话更加灵活。（提供产品彩页或官网证明）</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#7、提供进网许可证、无线电发射设备型号核准证书、3C证书</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#8、调度管理平台：提供调度管理平台，并支撑与泗洪县城市管理局城市运管服平台对接</w:t>
            </w:r>
            <w:r>
              <w:rPr>
                <w:rFonts w:hint="eastAsia" w:ascii="宋体" w:hAnsi="宋体" w:cs="宋体"/>
                <w:i w:val="0"/>
                <w:iCs w:val="0"/>
                <w:color w:val="auto"/>
                <w:sz w:val="20"/>
                <w:szCs w:val="20"/>
                <w:u w:val="none"/>
                <w:lang w:val="en-US" w:eastAsia="zh-CN" w:bidi="ar"/>
              </w:rPr>
              <w:t>；</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474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台</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4960F">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169</w:t>
            </w:r>
          </w:p>
        </w:tc>
      </w:tr>
      <w:tr w14:paraId="34593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1B61">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8</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F3E6">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执法记录仪流量</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C71A">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专用APN流量 20G/月，24个月</w:t>
            </w:r>
            <w:r>
              <w:rPr>
                <w:rFonts w:hint="eastAsia" w:ascii="宋体" w:hAnsi="宋体" w:cs="宋体"/>
                <w:i w:val="0"/>
                <w:iCs w:val="0"/>
                <w:color w:val="auto"/>
                <w:sz w:val="20"/>
                <w:szCs w:val="20"/>
                <w:u w:val="none"/>
                <w:lang w:val="en-US" w:eastAsia="zh-CN"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9BC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F7C7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106</w:t>
            </w:r>
          </w:p>
        </w:tc>
      </w:tr>
      <w:tr w14:paraId="6DE07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833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D1388">
            <w:pPr>
              <w:keepNext w:val="0"/>
              <w:keepLines w:val="0"/>
              <w:widowControl/>
              <w:suppressLineNumbers w:val="0"/>
              <w:jc w:val="both"/>
              <w:rPr>
                <w:rFonts w:hint="eastAsia" w:ascii="宋体" w:hAnsi="宋体" w:eastAsia="宋体" w:cs="宋体"/>
                <w:i w:val="0"/>
                <w:iCs w:val="0"/>
                <w:color w:val="auto"/>
                <w:sz w:val="20"/>
                <w:szCs w:val="20"/>
                <w:u w:val="none"/>
                <w:lang w:val="en-US" w:eastAsia="zh-CN" w:bidi="ar"/>
              </w:rPr>
            </w:pPr>
            <w:r>
              <w:rPr>
                <w:rFonts w:hint="eastAsia" w:ascii="宋体" w:hAnsi="宋体" w:cs="宋体"/>
                <w:b/>
                <w:bCs/>
                <w:i w:val="0"/>
                <w:iCs w:val="0"/>
                <w:color w:val="auto"/>
                <w:sz w:val="20"/>
                <w:szCs w:val="20"/>
                <w:u w:val="none"/>
                <w:lang w:val="en-US" w:eastAsia="zh-CN" w:bidi="ar"/>
              </w:rPr>
              <w:t>三</w:t>
            </w:r>
            <w:r>
              <w:rPr>
                <w:rFonts w:hint="eastAsia" w:ascii="宋体" w:hAnsi="宋体" w:eastAsia="宋体" w:cs="宋体"/>
                <w:b/>
                <w:bCs/>
                <w:i w:val="0"/>
                <w:iCs w:val="0"/>
                <w:color w:val="auto"/>
                <w:sz w:val="20"/>
                <w:szCs w:val="20"/>
                <w:u w:val="none"/>
                <w:lang w:val="en-US" w:eastAsia="zh-CN" w:bidi="ar"/>
              </w:rPr>
              <w:t>、无人机及配套服务</w:t>
            </w:r>
          </w:p>
        </w:tc>
      </w:tr>
      <w:tr w14:paraId="050CA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DC481">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9</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E67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无人机飞手培训</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923A">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#完成1人次无人机培训，并取得民用无人驾驶航空器操作员执照</w:t>
            </w:r>
            <w:r>
              <w:rPr>
                <w:rFonts w:hint="eastAsia" w:ascii="宋体" w:hAnsi="宋体" w:cs="宋体"/>
                <w:i w:val="0"/>
                <w:iCs w:val="0"/>
                <w:color w:val="auto"/>
                <w:sz w:val="20"/>
                <w:szCs w:val="20"/>
                <w:u w:val="none"/>
                <w:lang w:val="en-US" w:eastAsia="zh-CN"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E5E59">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人</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880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r>
      <w:tr w14:paraId="0822D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E35B">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10</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82286">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小型无人机保险</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AE20B">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#机损险（御2进阶版）+三责险，御2进阶版机损保额：28000元，</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御2进阶版三责保额：1000000元，无免赔额</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61FC">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年</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38AF">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2</w:t>
            </w:r>
          </w:p>
        </w:tc>
      </w:tr>
      <w:tr w14:paraId="724CF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77A0">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11</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9D44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大型无人机保险</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862B5">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#机损险（M300RTK、H20T）+三责险</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M300RTK无人机机损保额：</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45000元，H20T相机损保额:45000元，M300RTK无人机三责保额：1000000元，无免赔额</w:t>
            </w:r>
            <w:r>
              <w:rPr>
                <w:rFonts w:hint="eastAsia" w:ascii="宋体" w:hAnsi="宋体" w:cs="宋体"/>
                <w:i w:val="0"/>
                <w:iCs w:val="0"/>
                <w:color w:val="auto"/>
                <w:sz w:val="20"/>
                <w:szCs w:val="20"/>
                <w:u w:val="none"/>
                <w:lang w:val="en-US" w:eastAsia="zh-CN" w:bidi="ar"/>
              </w:rPr>
              <w:t>；</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854C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年</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D846E">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2</w:t>
            </w:r>
          </w:p>
        </w:tc>
      </w:tr>
      <w:tr w14:paraId="0695D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A6E9">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12</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4E6">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周边安全监控服务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D9C4A">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#保障无人机周边安全监控，包含20台400万摄像头。</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EEFDF">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2B8E7">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r>
      <w:tr w14:paraId="1BBF8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C8607">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13</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3B02B">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APN跨区专线</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99F3B">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#1、可承载组建城管专网、执法记录仪、车载移动设备大流量专线</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#2、市县数据对接、市县视频共享接口等市县VPN专线中转专线</w:t>
            </w:r>
            <w:r>
              <w:rPr>
                <w:rFonts w:hint="eastAsia" w:ascii="宋体" w:hAnsi="宋体" w:cs="宋体"/>
                <w:i w:val="0"/>
                <w:iCs w:val="0"/>
                <w:color w:val="auto"/>
                <w:sz w:val="20"/>
                <w:szCs w:val="20"/>
                <w:u w:val="none"/>
                <w:lang w:val="en-US" w:eastAsia="zh-CN" w:bidi="ar"/>
              </w:rPr>
              <w:t>；</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09D4B">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条</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612B">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2</w:t>
            </w:r>
          </w:p>
        </w:tc>
      </w:tr>
      <w:tr w14:paraId="36D69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33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8D82">
            <w:pPr>
              <w:keepNext w:val="0"/>
              <w:keepLines w:val="0"/>
              <w:widowControl/>
              <w:suppressLineNumbers w:val="0"/>
              <w:jc w:val="both"/>
              <w:rPr>
                <w:rFonts w:hint="eastAsia" w:ascii="宋体" w:hAnsi="宋体" w:eastAsia="宋体" w:cs="宋体"/>
                <w:i w:val="0"/>
                <w:iCs w:val="0"/>
                <w:color w:val="auto"/>
                <w:sz w:val="20"/>
                <w:szCs w:val="20"/>
                <w:u w:val="none"/>
                <w:lang w:val="en-US" w:eastAsia="zh-CN" w:bidi="ar"/>
              </w:rPr>
            </w:pPr>
            <w:r>
              <w:rPr>
                <w:rFonts w:hint="eastAsia" w:ascii="宋体" w:hAnsi="宋体" w:cs="宋体"/>
                <w:b/>
                <w:bCs/>
                <w:i w:val="0"/>
                <w:iCs w:val="0"/>
                <w:color w:val="auto"/>
                <w:sz w:val="20"/>
                <w:szCs w:val="20"/>
                <w:u w:val="none"/>
                <w:lang w:val="en-US" w:eastAsia="zh-CN" w:bidi="ar"/>
              </w:rPr>
              <w:t>四</w:t>
            </w:r>
            <w:r>
              <w:rPr>
                <w:rFonts w:hint="eastAsia" w:ascii="宋体" w:hAnsi="宋体" w:eastAsia="宋体" w:cs="宋体"/>
                <w:b/>
                <w:bCs/>
                <w:i w:val="0"/>
                <w:iCs w:val="0"/>
                <w:color w:val="auto"/>
                <w:sz w:val="20"/>
                <w:szCs w:val="20"/>
                <w:u w:val="none"/>
                <w:lang w:val="en-US" w:eastAsia="zh-CN" w:bidi="ar"/>
              </w:rPr>
              <w:t>、智慧城管平台维保服务</w:t>
            </w:r>
          </w:p>
        </w:tc>
      </w:tr>
      <w:tr w14:paraId="61008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33F5">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sz w:val="20"/>
                <w:szCs w:val="20"/>
                <w:u w:val="none"/>
                <w:lang w:val="en-US" w:eastAsia="zh-CN" w:bidi="ar"/>
              </w:rPr>
              <w:t>14</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CE22A">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平台维保及升级提升</w:t>
            </w:r>
          </w:p>
        </w:tc>
        <w:tc>
          <w:tcPr>
            <w:tcW w:w="372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E3555">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1、保障平台应用软件的稳定运行，提供技术服务，以充分满足运维要求：应用软件维保服务，对系统的更新部署并提供历史版本的备份，交付应用系统的相关系统文档</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#1）应用系统维护服务：对应用系统的相关系统整理、归档文档</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对系统的更新部署提供历史版本的备份</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应用软件维保服务:每天对应用服务之间的连接进行检查，WEB应用服务器和数据库服务器之间的连接</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无线服务器和数据库服务器之间的连接</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宿迁市级平台与泗洪县级平台之间的连通</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用户终端是否能正常访问应用地址</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每天进行各个服务器的运行状况检查，检查各服务是否运行正常以及接口运行状况是否正常</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检查主要的服务是否运行正常</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通过访问服务的地址，看是否能正常访问，如果有问题，检查中间件是否正常运行</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通过该地址，看是否能正常登录系统，如果无法正常登录，检查该应用服务器和数据库的连接是否正常</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检查服务器上的日志，分析是否有异常情况检查中间件日志，看运行过程中是否有GIS方面的请求异常</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检查应用服务的日志，看在业务运转过程中，是否有表单、流程操作异常</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检查服务器上的临时文件，进行定期清除各类日志文件，进行定期的整理和清除</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应用服务运行过程中的服务端的临时文件，进行定期清除</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每周一次进行所有的日志检查和分析</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每周一次进行临时文件的清理工作</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每天做好检查记录工作</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对于接口服务器上的一个月之前的正常的接口日志，需要进行清除</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2）、基础软件维护服务：基础软件的维护包括操作系统、系统服务、数据库服务、用户数据等各方面的维护。在系统日志、安全日志和应用程序日志中查看有没有特别异常的记录。操作系统都是有漏洞的，因此需要到微软的网站上下载最新的Service Pack(升级服务包)安装上，将安全漏洞及时补上。系统服务有很多，如WEB服务、GIS服务、DNS服务、DHCP服务、SMTP服务、FTP服务等，随着服务器提供的服务越来越多，系统也容易混乱，此时可能需要重新设定各个服务的参数，使之正常运行。数据库经过一段时间的运行，需要调整数据库性能，使之进入最优化状态。数据库中的数据是最重要的，这些数据库如果丢失，损失是巨大的，因此需要定期备份数据库</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经过一段时间的频繁使用，服务器可能存放了大量的数据。这些数据是非常宝贵的资源，所以需要加以整理，并刻成光盘永久保存起来，即使服务器有故障，也能恢复数据。</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w:t>
            </w:r>
            <w:r>
              <w:rPr>
                <w:rFonts w:hint="eastAsia" w:ascii="宋体" w:hAnsi="宋体" w:cs="宋体"/>
                <w:i w:val="0"/>
                <w:iCs w:val="0"/>
                <w:color w:val="auto"/>
                <w:sz w:val="20"/>
                <w:szCs w:val="20"/>
                <w:u w:val="none"/>
                <w:lang w:val="en-US" w:eastAsia="zh-CN" w:bidi="ar"/>
              </w:rPr>
              <w:t>3</w:t>
            </w:r>
            <w:r>
              <w:rPr>
                <w:rFonts w:hint="eastAsia" w:ascii="宋体" w:hAnsi="宋体" w:eastAsia="宋体" w:cs="宋体"/>
                <w:i w:val="0"/>
                <w:iCs w:val="0"/>
                <w:color w:val="auto"/>
                <w:sz w:val="20"/>
                <w:szCs w:val="20"/>
                <w:u w:val="none"/>
                <w:lang w:val="en-US" w:eastAsia="zh-CN" w:bidi="ar"/>
              </w:rPr>
              <w:t>）本次项目共享市级系统，需要定期根据市区共享系统的变化进行及时调整，并配合网信办等其他单位进行安全测试及补漏工作。</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4）对AI智能识别系统优化修改，提升AI智能动态感知能力：增加无人机动态视频识别能力，解决目前AI算法无法进行动态视频识别的问题，利用空中视角，在配有高清运动摄像头的情况下，可在空中对重点监控区域进行定点监控、拍摄，迅速发现违法建筑、建筑垃圾、大片白色垃圾、流动摊点、大货车售卖、裸土未覆盖、出店经营、乱堆物料、机动车违停等问题。</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#5）升级便民服务系统，增设“报事领积分”、“社区问题专栏”、“社区评价”</w:t>
            </w:r>
            <w:r>
              <w:rPr>
                <w:rFonts w:hint="eastAsia" w:ascii="宋体" w:hAnsi="宋体" w:cs="宋体"/>
                <w:i w:val="0"/>
                <w:iCs w:val="0"/>
                <w:color w:val="auto"/>
                <w:sz w:val="20"/>
                <w:szCs w:val="20"/>
                <w:u w:val="none"/>
                <w:lang w:val="en-US" w:eastAsia="zh-CN" w:bidi="ar"/>
              </w:rPr>
              <w:t>、“户外活动审批”、“装修垃圾监管”</w:t>
            </w:r>
            <w:r>
              <w:rPr>
                <w:rFonts w:hint="eastAsia" w:ascii="宋体" w:hAnsi="宋体" w:eastAsia="宋体" w:cs="宋体"/>
                <w:i w:val="0"/>
                <w:iCs w:val="0"/>
                <w:color w:val="auto"/>
                <w:sz w:val="20"/>
                <w:szCs w:val="20"/>
                <w:u w:val="none"/>
                <w:lang w:val="en-US" w:eastAsia="zh-CN" w:bidi="ar"/>
              </w:rPr>
              <w:t>等本土化功能，增加事件问题分类标签，简化上报步骤，激发社区居民“主人翁”参与感。</w:t>
            </w:r>
            <w:r>
              <w:rPr>
                <w:rFonts w:hint="eastAsia" w:ascii="宋体" w:hAnsi="宋体" w:eastAsia="宋体" w:cs="宋体"/>
                <w:i w:val="0"/>
                <w:iCs w:val="0"/>
                <w:color w:val="auto"/>
                <w:sz w:val="20"/>
                <w:szCs w:val="20"/>
                <w:u w:val="none"/>
                <w:lang w:val="en-US" w:eastAsia="zh-CN" w:bidi="ar"/>
              </w:rPr>
              <w:br w:type="textWrapping"/>
            </w:r>
            <w:r>
              <w:rPr>
                <w:rFonts w:hint="eastAsia" w:ascii="宋体" w:hAnsi="宋体" w:eastAsia="宋体" w:cs="宋体"/>
                <w:i w:val="0"/>
                <w:iCs w:val="0"/>
                <w:color w:val="auto"/>
                <w:sz w:val="20"/>
                <w:szCs w:val="20"/>
                <w:u w:val="none"/>
                <w:lang w:val="en-US" w:eastAsia="zh-CN" w:bidi="ar"/>
              </w:rPr>
              <w:t>#6）优化“城管通”移动终端功能配置，增设社区简易处置模块，针对辖区内占道经营、垃圾暴露、流动摊点、单车乱停等高频简易城市管理问题，建立“发现即处置”的快速响应机制，结果通过“城管通”APP现场反馈，实现社区内“微循环”自治。社区无法独立处置的问题，通过“城管通”APP上报后，由平台依据划定的权责清单，分拨至责任部门处置，平台全流程跟踪督办，数据同步汇总至运管服平台。</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345D">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项</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9100">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r>
      <w:tr w14:paraId="2E0A9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833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1AF3">
            <w:pPr>
              <w:keepNext w:val="0"/>
              <w:keepLines w:val="0"/>
              <w:widowControl/>
              <w:suppressLineNumbers w:val="0"/>
              <w:jc w:val="both"/>
              <w:rPr>
                <w:rFonts w:hint="eastAsia" w:ascii="宋体" w:hAnsi="宋体" w:eastAsia="宋体" w:cs="宋体"/>
                <w:i w:val="0"/>
                <w:iCs w:val="0"/>
                <w:color w:val="auto"/>
                <w:sz w:val="20"/>
                <w:szCs w:val="20"/>
                <w:u w:val="none"/>
                <w:lang w:val="en-US" w:eastAsia="zh-CN" w:bidi="ar"/>
              </w:rPr>
            </w:pPr>
            <w:r>
              <w:rPr>
                <w:rFonts w:hint="eastAsia" w:ascii="宋体" w:hAnsi="宋体" w:cs="宋体"/>
                <w:b/>
                <w:bCs/>
                <w:i w:val="0"/>
                <w:iCs w:val="0"/>
                <w:color w:val="auto"/>
                <w:sz w:val="20"/>
                <w:szCs w:val="20"/>
                <w:u w:val="none"/>
                <w:lang w:val="en-US" w:eastAsia="zh-CN" w:bidi="ar"/>
              </w:rPr>
              <w:t>五</w:t>
            </w:r>
            <w:r>
              <w:rPr>
                <w:rFonts w:hint="eastAsia" w:ascii="宋体" w:hAnsi="宋体" w:eastAsia="宋体" w:cs="宋体"/>
                <w:b/>
                <w:bCs/>
                <w:i w:val="0"/>
                <w:iCs w:val="0"/>
                <w:color w:val="auto"/>
                <w:sz w:val="20"/>
                <w:szCs w:val="20"/>
                <w:u w:val="none"/>
                <w:lang w:val="en-US" w:eastAsia="zh-CN" w:bidi="ar"/>
              </w:rPr>
              <w:t>、设备间后端设备及配套部分</w:t>
            </w:r>
          </w:p>
        </w:tc>
      </w:tr>
      <w:tr w14:paraId="58E5B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01607">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15</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FA9C5">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GPU服务器维保服务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17098">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#H3C.UniServer R4900 G3GPU服务器的维保服务，服务期2年。</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2F3E4">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项</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BDDD1">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r>
      <w:tr w14:paraId="30787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5A08">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16</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3609">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双系统智能采集站维保服务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D5B95">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#海康威视.ZCS-HIKH1双系统智能采集站的维保服务，服务期2年。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9988">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C198">
            <w:pPr>
              <w:jc w:val="center"/>
              <w:rPr>
                <w:rFonts w:hint="eastAsia" w:ascii="宋体" w:hAnsi="宋体" w:eastAsia="宋体" w:cs="宋体"/>
                <w:i w:val="0"/>
                <w:iCs w:val="0"/>
                <w:color w:val="auto"/>
                <w:sz w:val="20"/>
                <w:szCs w:val="20"/>
                <w:u w:val="none"/>
              </w:rPr>
            </w:pPr>
          </w:p>
        </w:tc>
      </w:tr>
      <w:tr w14:paraId="66C49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7D61">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17</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999C9">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移动取证系统维保服务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4B93C">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#海康威视.DS-MI7605-GA/M移动取证系统的维保服务，服务期2年。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5036">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3578">
            <w:pPr>
              <w:jc w:val="center"/>
              <w:rPr>
                <w:rFonts w:hint="eastAsia" w:ascii="宋体" w:hAnsi="宋体" w:eastAsia="宋体" w:cs="宋体"/>
                <w:i w:val="0"/>
                <w:iCs w:val="0"/>
                <w:color w:val="auto"/>
                <w:sz w:val="20"/>
                <w:szCs w:val="20"/>
                <w:u w:val="none"/>
              </w:rPr>
            </w:pPr>
          </w:p>
        </w:tc>
      </w:tr>
      <w:tr w14:paraId="58863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5A41">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18</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6774">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视频融合平台维保服务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C8D66">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#海康威视.Infovision iCM视频融合平台的维保服务，服务期2年。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C238">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A579D">
            <w:pPr>
              <w:jc w:val="center"/>
              <w:rPr>
                <w:rFonts w:hint="eastAsia" w:ascii="宋体" w:hAnsi="宋体" w:eastAsia="宋体" w:cs="宋体"/>
                <w:i w:val="0"/>
                <w:iCs w:val="0"/>
                <w:color w:val="auto"/>
                <w:sz w:val="20"/>
                <w:szCs w:val="20"/>
                <w:u w:val="none"/>
              </w:rPr>
            </w:pPr>
          </w:p>
        </w:tc>
      </w:tr>
      <w:tr w14:paraId="502B2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DC3EB">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19</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5473A">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网络存储设备维保服务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616FD">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#海康威视.DS-A71024R网络存储设备的维保服务，服务期2年。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AC695">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3BF8">
            <w:pPr>
              <w:jc w:val="center"/>
              <w:rPr>
                <w:rFonts w:hint="eastAsia" w:ascii="宋体" w:hAnsi="宋体" w:eastAsia="宋体" w:cs="宋体"/>
                <w:i w:val="0"/>
                <w:iCs w:val="0"/>
                <w:color w:val="auto"/>
                <w:sz w:val="20"/>
                <w:szCs w:val="20"/>
                <w:u w:val="none"/>
              </w:rPr>
            </w:pPr>
          </w:p>
        </w:tc>
      </w:tr>
      <w:tr w14:paraId="0569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841F5">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20</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EEF9">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监控服务器维保服务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D5365">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#海康威视.DS-VM21S-B从监控服务器的维保服务，服务期2年。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9C3D">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A762">
            <w:pPr>
              <w:jc w:val="center"/>
              <w:rPr>
                <w:rFonts w:hint="eastAsia" w:ascii="宋体" w:hAnsi="宋体" w:eastAsia="宋体" w:cs="宋体"/>
                <w:i w:val="0"/>
                <w:iCs w:val="0"/>
                <w:color w:val="auto"/>
                <w:sz w:val="20"/>
                <w:szCs w:val="20"/>
                <w:u w:val="none"/>
              </w:rPr>
            </w:pPr>
          </w:p>
        </w:tc>
      </w:tr>
      <w:tr w14:paraId="76FE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BA51">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sz w:val="20"/>
                <w:szCs w:val="20"/>
                <w:u w:val="none"/>
                <w:lang w:val="en-US" w:eastAsia="zh-CN" w:bidi="ar"/>
              </w:rPr>
              <w:t>21</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D07E1">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监控服务器维保服务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1C1B2">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#海康威视.DS-VM21S-B主监控服务器的维保服务，服务期2年。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AD6E">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85B7C">
            <w:pPr>
              <w:jc w:val="center"/>
              <w:rPr>
                <w:rFonts w:hint="eastAsia" w:ascii="宋体" w:hAnsi="宋体" w:eastAsia="宋体" w:cs="宋体"/>
                <w:i w:val="0"/>
                <w:iCs w:val="0"/>
                <w:color w:val="auto"/>
                <w:sz w:val="20"/>
                <w:szCs w:val="20"/>
                <w:u w:val="none"/>
              </w:rPr>
            </w:pPr>
          </w:p>
        </w:tc>
      </w:tr>
      <w:tr w14:paraId="201DC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451F">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22</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95A30">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UPS主机维保服务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2F55E">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#海康威视.DS-VM21S-B UPS主机的维保服务，服务期2年。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E8EB">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03EF8">
            <w:pPr>
              <w:jc w:val="center"/>
              <w:rPr>
                <w:rFonts w:hint="eastAsia" w:ascii="宋体" w:hAnsi="宋体" w:eastAsia="宋体" w:cs="宋体"/>
                <w:i w:val="0"/>
                <w:iCs w:val="0"/>
                <w:color w:val="auto"/>
                <w:sz w:val="20"/>
                <w:szCs w:val="20"/>
                <w:u w:val="none"/>
              </w:rPr>
            </w:pPr>
          </w:p>
        </w:tc>
      </w:tr>
      <w:tr w14:paraId="25B3E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7C32">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23</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A4125">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蓄电池维保服务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2C5BF">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#英威腾.MF100-12蓄电池的维保服务，服务期2年。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8C4F">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449D">
            <w:pPr>
              <w:jc w:val="center"/>
              <w:rPr>
                <w:rFonts w:hint="eastAsia" w:ascii="宋体" w:hAnsi="宋体" w:eastAsia="宋体" w:cs="宋体"/>
                <w:i w:val="0"/>
                <w:iCs w:val="0"/>
                <w:color w:val="auto"/>
                <w:sz w:val="20"/>
                <w:szCs w:val="20"/>
                <w:u w:val="none"/>
              </w:rPr>
            </w:pPr>
          </w:p>
        </w:tc>
      </w:tr>
      <w:tr w14:paraId="3C1E8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FE75">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24</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A735">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网络交换机维保服务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7F46F">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#迪普.LSW5662-SE网络交换机的维保服务，服务期2年。</w:t>
            </w: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F654">
            <w:pPr>
              <w:jc w:val="center"/>
              <w:rPr>
                <w:rFonts w:hint="eastAsia" w:ascii="宋体" w:hAnsi="宋体" w:eastAsia="宋体" w:cs="宋体"/>
                <w:i w:val="0"/>
                <w:iCs w:val="0"/>
                <w:color w:val="auto"/>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C67E">
            <w:pPr>
              <w:jc w:val="center"/>
              <w:rPr>
                <w:rFonts w:hint="eastAsia" w:ascii="宋体" w:hAnsi="宋体" w:eastAsia="宋体" w:cs="宋体"/>
                <w:i w:val="0"/>
                <w:iCs w:val="0"/>
                <w:color w:val="auto"/>
                <w:sz w:val="20"/>
                <w:szCs w:val="20"/>
                <w:u w:val="none"/>
              </w:rPr>
            </w:pPr>
          </w:p>
        </w:tc>
      </w:tr>
      <w:tr w14:paraId="3B954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EEA03">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25</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2782">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10平方电源线</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DFD2F">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#10平方电源线，ZCYJV10/16平方3+1阻燃电缆</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1734">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米</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C6E12">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10</w:t>
            </w:r>
          </w:p>
        </w:tc>
      </w:tr>
      <w:tr w14:paraId="1B2FC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95D2">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sz w:val="20"/>
                <w:szCs w:val="20"/>
                <w:u w:val="none"/>
                <w:lang w:val="en-US" w:eastAsia="zh-CN" w:bidi="ar"/>
              </w:rPr>
              <w:t>26</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ACED6">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10孔位机柜用电源分配插座</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072DC">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#10孔位≥10A机柜用电源分配插座</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15AF9">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ECB1">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10</w:t>
            </w:r>
          </w:p>
        </w:tc>
      </w:tr>
      <w:tr w14:paraId="5FAC0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35780">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sz w:val="20"/>
                <w:szCs w:val="20"/>
                <w:u w:val="none"/>
                <w:lang w:val="en-US" w:eastAsia="zh-CN" w:bidi="ar"/>
              </w:rPr>
              <w:t>27</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DE6CD">
            <w:pPr>
              <w:keepNext w:val="0"/>
              <w:keepLines w:val="0"/>
              <w:widowControl/>
              <w:suppressLineNumbers w:val="0"/>
              <w:jc w:val="cente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设备间机柜用电承载改造服务</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F16A9">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#设备间电源线改造及PDU安装调试</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9893">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A5BD">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1</w:t>
            </w:r>
          </w:p>
        </w:tc>
      </w:tr>
      <w:tr w14:paraId="6B97D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833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96808">
            <w:pPr>
              <w:keepNext w:val="0"/>
              <w:keepLines w:val="0"/>
              <w:widowControl/>
              <w:suppressLineNumbers w:val="0"/>
              <w:jc w:val="both"/>
              <w:rPr>
                <w:rFonts w:hint="eastAsia" w:ascii="宋体" w:hAnsi="宋体" w:eastAsia="宋体" w:cs="宋体"/>
                <w:i w:val="0"/>
                <w:iCs w:val="0"/>
                <w:color w:val="auto"/>
                <w:sz w:val="20"/>
                <w:szCs w:val="20"/>
                <w:u w:val="none"/>
                <w:lang w:val="en-US" w:eastAsia="zh-CN" w:bidi="ar"/>
              </w:rPr>
            </w:pPr>
            <w:r>
              <w:rPr>
                <w:rFonts w:hint="eastAsia" w:ascii="宋体" w:hAnsi="宋体" w:cs="宋体"/>
                <w:b/>
                <w:bCs/>
                <w:i w:val="0"/>
                <w:iCs w:val="0"/>
                <w:color w:val="auto"/>
                <w:sz w:val="20"/>
                <w:szCs w:val="20"/>
                <w:u w:val="none"/>
                <w:lang w:val="en-US" w:eastAsia="zh-CN" w:bidi="ar"/>
              </w:rPr>
              <w:t>六</w:t>
            </w:r>
            <w:r>
              <w:rPr>
                <w:rFonts w:hint="eastAsia" w:ascii="宋体" w:hAnsi="宋体" w:eastAsia="宋体" w:cs="宋体"/>
                <w:b/>
                <w:bCs/>
                <w:i w:val="0"/>
                <w:iCs w:val="0"/>
                <w:color w:val="auto"/>
                <w:sz w:val="20"/>
                <w:szCs w:val="20"/>
                <w:u w:val="none"/>
                <w:lang w:val="en-US" w:eastAsia="zh-CN" w:bidi="ar"/>
              </w:rPr>
              <w:t>、其它</w:t>
            </w:r>
            <w:r>
              <w:rPr>
                <w:rFonts w:hint="eastAsia" w:ascii="宋体" w:hAnsi="宋体" w:cs="宋体"/>
                <w:b/>
                <w:bCs/>
                <w:i w:val="0"/>
                <w:iCs w:val="0"/>
                <w:color w:val="auto"/>
                <w:sz w:val="20"/>
                <w:szCs w:val="20"/>
                <w:u w:val="none"/>
                <w:lang w:val="en-US" w:eastAsia="zh-CN" w:bidi="ar"/>
              </w:rPr>
              <w:t>维护</w:t>
            </w:r>
            <w:r>
              <w:rPr>
                <w:rFonts w:hint="eastAsia" w:ascii="宋体" w:hAnsi="宋体" w:eastAsia="宋体" w:cs="宋体"/>
                <w:b/>
                <w:bCs/>
                <w:i w:val="0"/>
                <w:iCs w:val="0"/>
                <w:color w:val="auto"/>
                <w:sz w:val="20"/>
                <w:szCs w:val="20"/>
                <w:u w:val="none"/>
                <w:lang w:val="en-US" w:eastAsia="zh-CN" w:bidi="ar"/>
              </w:rPr>
              <w:t>部分</w:t>
            </w:r>
          </w:p>
        </w:tc>
      </w:tr>
      <w:tr w14:paraId="2EC98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1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3BF9">
            <w:pPr>
              <w:keepNext w:val="0"/>
              <w:keepLines w:val="0"/>
              <w:widowControl/>
              <w:suppressLineNumbers w:val="0"/>
              <w:jc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sz w:val="20"/>
                <w:szCs w:val="20"/>
                <w:u w:val="none"/>
                <w:lang w:val="en-US" w:eastAsia="zh-CN" w:bidi="ar"/>
              </w:rPr>
              <w:t>28</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FAFA7">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接口短信费</w:t>
            </w:r>
          </w:p>
        </w:tc>
        <w:tc>
          <w:tcPr>
            <w:tcW w:w="3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5B7B1">
            <w:pPr>
              <w:keepNext w:val="0"/>
              <w:keepLines w:val="0"/>
              <w:widowControl/>
              <w:suppressLineNumbers w:val="0"/>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#支撑短信接口与多个系统对接：支持与非现场执法系统对接（一提醒二警告三处罚）确保执法流程的规范</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支持与平台登录接口对接，增加登录验证码校验，确保系统安全登录</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调度交办的任务及时、准确至一线执法人员</w:t>
            </w:r>
            <w:r>
              <w:rPr>
                <w:rFonts w:hint="eastAsia" w:ascii="宋体" w:hAnsi="宋体" w:cs="宋体"/>
                <w:i w:val="0"/>
                <w:iCs w:val="0"/>
                <w:color w:val="auto"/>
                <w:sz w:val="20"/>
                <w:szCs w:val="20"/>
                <w:u w:val="none"/>
                <w:lang w:val="en-US" w:eastAsia="zh-CN" w:bidi="ar"/>
              </w:rPr>
              <w:t>；</w:t>
            </w:r>
            <w:r>
              <w:rPr>
                <w:rFonts w:hint="eastAsia" w:ascii="宋体" w:hAnsi="宋体" w:eastAsia="宋体" w:cs="宋体"/>
                <w:i w:val="0"/>
                <w:iCs w:val="0"/>
                <w:color w:val="auto"/>
                <w:sz w:val="20"/>
                <w:szCs w:val="20"/>
                <w:u w:val="none"/>
                <w:lang w:val="en-US" w:eastAsia="zh-CN" w:bidi="ar"/>
              </w:rPr>
              <w:t>每年套餐包含10万条短信</w:t>
            </w:r>
            <w:r>
              <w:rPr>
                <w:rFonts w:hint="eastAsia" w:ascii="宋体" w:hAnsi="宋体" w:cs="宋体"/>
                <w:i w:val="0"/>
                <w:iCs w:val="0"/>
                <w:color w:val="auto"/>
                <w:sz w:val="20"/>
                <w:szCs w:val="20"/>
                <w:u w:val="none"/>
                <w:lang w:val="en-US" w:eastAsia="zh-CN"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3EE09">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年</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D884">
            <w:pPr>
              <w:keepNext w:val="0"/>
              <w:keepLines w:val="0"/>
              <w:widowControl/>
              <w:suppressLineNumbers w:val="0"/>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2</w:t>
            </w:r>
          </w:p>
        </w:tc>
      </w:tr>
    </w:tbl>
    <w:p w14:paraId="388F91F4">
      <w:pPr>
        <w:pBdr>
          <w:top w:val="none" w:color="000000" w:sz="0" w:space="0"/>
          <w:left w:val="none" w:color="000000" w:sz="0" w:space="0"/>
          <w:bottom w:val="none" w:color="000000" w:sz="0" w:space="0"/>
          <w:right w:val="none" w:color="000000" w:sz="0" w:space="0"/>
        </w:pBdr>
        <w:shd w:val="clear" w:color="auto" w:fill="auto"/>
        <w:spacing w:line="499" w:lineRule="atLeast"/>
        <w:ind w:firstLine="221"/>
        <w:rPr>
          <w:rFonts w:ascii="宋体" w:hAnsi="宋体" w:cs="宋体"/>
          <w:b/>
          <w:bCs/>
          <w:color w:val="auto"/>
          <w:sz w:val="22"/>
          <w:highlight w:val="none"/>
        </w:rPr>
      </w:pPr>
      <w:r>
        <w:rPr>
          <w:rFonts w:hint="eastAsia" w:ascii="宋体" w:hAnsi="宋体" w:cs="宋体"/>
          <w:b/>
          <w:bCs/>
          <w:color w:val="auto"/>
          <w:sz w:val="22"/>
          <w:highlight w:val="none"/>
        </w:rPr>
        <w:t>三、采购标的需实现的功能或者目标，以及为落实政府采购政策需满足的要求</w:t>
      </w:r>
    </w:p>
    <w:p w14:paraId="6FA1171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1、采购本国货物、工程和服务</w:t>
      </w:r>
    </w:p>
    <w:p w14:paraId="5F86ED86">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政府采购应当采购本国货物、工程和服务。</w:t>
      </w:r>
    </w:p>
    <w:p w14:paraId="1CC5304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2、节能、环保产品政策</w:t>
      </w:r>
    </w:p>
    <w:p w14:paraId="74784A3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w:t>
      </w:r>
    </w:p>
    <w:p w14:paraId="1FAAB9F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3、商品包装、快递包装政府采购需求标准（试行）</w:t>
      </w:r>
    </w:p>
    <w:p w14:paraId="5B7DE4D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w:t>
      </w:r>
      <w:bookmarkStart w:id="209" w:name="OLE_LINK50"/>
      <w:r>
        <w:rPr>
          <w:rFonts w:hint="eastAsia" w:ascii="宋体" w:hAnsi="宋体" w:cs="宋体"/>
          <w:color w:val="auto"/>
          <w:sz w:val="22"/>
          <w:highlight w:val="none"/>
        </w:rPr>
        <w:t>装。</w:t>
      </w:r>
    </w:p>
    <w:p w14:paraId="7EB2B0B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bookmarkStart w:id="210" w:name="OLE_LINK24"/>
      <w:r>
        <w:rPr>
          <w:rFonts w:hint="eastAsia" w:ascii="宋体" w:hAnsi="宋体" w:cs="宋体"/>
          <w:color w:val="auto"/>
          <w:sz w:val="22"/>
          <w:highlight w:val="none"/>
        </w:rPr>
        <w:t>4、绿色数据中心政府采购需求标准（试行）</w:t>
      </w:r>
    </w:p>
    <w:p w14:paraId="77F83F2C">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为加快数据中心绿色转型，根据财政部生态环境部工业和信息化部关于印发《绿色数据中心政府采购需求标准（试行）》的通知）</w:t>
      </w:r>
      <w:r>
        <w:rPr>
          <w:rFonts w:hint="eastAsia" w:ascii="宋体" w:hAnsi="宋体" w:cs="宋体"/>
          <w:color w:val="auto"/>
          <w:sz w:val="22"/>
          <w:highlight w:val="none"/>
          <w:lang w:eastAsia="zh-CN"/>
        </w:rPr>
        <w:t>，</w:t>
      </w:r>
      <w:r>
        <w:rPr>
          <w:rFonts w:hint="eastAsia" w:ascii="宋体" w:hAnsi="宋体" w:cs="宋体"/>
          <w:color w:val="auto"/>
          <w:sz w:val="22"/>
          <w:highlight w:val="none"/>
        </w:rPr>
        <w:t>本项目如涉及绿色数据中心，</w:t>
      </w:r>
      <w:r>
        <w:rPr>
          <w:rFonts w:hint="eastAsia" w:ascii="宋体" w:hAnsi="宋体" w:cs="宋体"/>
          <w:color w:val="auto"/>
          <w:sz w:val="22"/>
          <w:highlight w:val="none"/>
          <w:lang w:val="en-US" w:eastAsia="zh-CN"/>
        </w:rPr>
        <w:t>投标人应当提供符合需求标准的产品</w:t>
      </w:r>
      <w:r>
        <w:rPr>
          <w:rFonts w:hint="eastAsia" w:ascii="宋体" w:hAnsi="宋体" w:cs="宋体"/>
          <w:color w:val="auto"/>
          <w:sz w:val="22"/>
          <w:highlight w:val="none"/>
        </w:rPr>
        <w:t>。</w:t>
      </w:r>
      <w:bookmarkEnd w:id="209"/>
      <w:bookmarkEnd w:id="210"/>
    </w:p>
    <w:p w14:paraId="1D7AACF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b/>
          <w:bCs/>
          <w:color w:val="auto"/>
          <w:sz w:val="22"/>
          <w:highlight w:val="none"/>
        </w:rPr>
      </w:pPr>
      <w:r>
        <w:rPr>
          <w:rFonts w:hint="eastAsia" w:ascii="宋体" w:hAnsi="宋体" w:cs="宋体"/>
          <w:b/>
          <w:bCs/>
          <w:color w:val="auto"/>
          <w:sz w:val="22"/>
          <w:highlight w:val="none"/>
        </w:rPr>
        <w:t>四、项目要求</w:t>
      </w:r>
    </w:p>
    <w:p w14:paraId="1448945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b/>
          <w:bCs/>
          <w:color w:val="auto"/>
          <w:sz w:val="22"/>
          <w:highlight w:val="none"/>
        </w:rPr>
      </w:pPr>
      <w:r>
        <w:rPr>
          <w:rFonts w:hint="eastAsia" w:ascii="宋体" w:hAnsi="宋体" w:cs="宋体"/>
          <w:b/>
          <w:bCs/>
          <w:color w:val="auto"/>
          <w:sz w:val="22"/>
          <w:highlight w:val="none"/>
        </w:rPr>
        <w:t>（一）产品的包装、发运及运输要求</w:t>
      </w:r>
    </w:p>
    <w:p w14:paraId="2D214B4B">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投标人应在产品发运前对其进行满足运输距离、防潮、防震、防锈和防破损装卸等要求包装，以保证产品安全运达采购人指定地点。供应商所投产品需进行商品包装和快递包装的，应不低于《关于印发〈商品包装政府采购需求标准（试行）〉、〈快递包装政府采购需求标准（试行）〉的通知》（财办库〔2020〕123号）文件规定的参考标准。</w:t>
      </w:r>
    </w:p>
    <w:p w14:paraId="77AD60F0">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（2）使用说明书、质量检验证明书、随配附件和工具以及清单一并附于货物内。</w:t>
      </w:r>
    </w:p>
    <w:p w14:paraId="27A1280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（3）投标人在产品发运手续办理完毕后24小时内或货到采购人48小时前通知采购人，以准备接货。</w:t>
      </w:r>
    </w:p>
    <w:p w14:paraId="725538C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（4）产品在交付采购人前发生的风险均由投标人负责。</w:t>
      </w:r>
    </w:p>
    <w:p w14:paraId="7EC110E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（6）产品在规定的交付期限内由投标人送达采购人指定的地点视为交付，投标人同时需通知采购人产品已送达。</w:t>
      </w:r>
    </w:p>
    <w:p w14:paraId="42739CF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b/>
          <w:bCs/>
          <w:color w:val="auto"/>
          <w:sz w:val="22"/>
          <w:highlight w:val="none"/>
        </w:rPr>
      </w:pPr>
      <w:r>
        <w:rPr>
          <w:rFonts w:hint="eastAsia" w:ascii="宋体" w:hAnsi="宋体" w:cs="宋体"/>
          <w:b/>
          <w:bCs/>
          <w:color w:val="auto"/>
          <w:sz w:val="22"/>
          <w:highlight w:val="none"/>
        </w:rPr>
        <w:t>（二）培训要求</w:t>
      </w:r>
    </w:p>
    <w:p w14:paraId="14B3C83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w:t>
      </w:r>
    </w:p>
    <w:p w14:paraId="2362ADD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b/>
          <w:bCs/>
          <w:color w:val="auto"/>
          <w:sz w:val="22"/>
          <w:highlight w:val="none"/>
        </w:rPr>
      </w:pPr>
      <w:r>
        <w:rPr>
          <w:rFonts w:hint="eastAsia" w:ascii="宋体" w:hAnsi="宋体" w:cs="宋体"/>
          <w:b/>
          <w:bCs/>
          <w:color w:val="auto"/>
          <w:sz w:val="22"/>
          <w:highlight w:val="none"/>
        </w:rPr>
        <w:t>（三）供货、安装及质量要求</w:t>
      </w:r>
    </w:p>
    <w:p w14:paraId="392BF34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1、供货要求</w:t>
      </w:r>
    </w:p>
    <w:p w14:paraId="4D1B143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中标人应严格按照投标文件的有关规定提供合格商品，保证货物为全新、未使用的原装正品，货物上均有合格证，包括品牌的有关标志</w:t>
      </w:r>
      <w:r>
        <w:rPr>
          <w:rFonts w:hint="eastAsia" w:ascii="宋体" w:hAnsi="宋体" w:cs="宋体"/>
          <w:color w:val="auto"/>
          <w:sz w:val="22"/>
          <w:highlight w:val="none"/>
          <w:lang w:eastAsia="zh-CN"/>
        </w:rPr>
        <w:t>；</w:t>
      </w:r>
      <w:r>
        <w:rPr>
          <w:rFonts w:hint="eastAsia" w:ascii="宋体" w:hAnsi="宋体" w:cs="宋体"/>
          <w:color w:val="auto"/>
          <w:sz w:val="22"/>
          <w:highlight w:val="none"/>
        </w:rPr>
        <w:t>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02B927A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2、安装施工现场要求：</w:t>
      </w:r>
    </w:p>
    <w:p w14:paraId="6B2CBC2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eastAsia="zh-CN"/>
        </w:rPr>
      </w:pPr>
      <w:r>
        <w:rPr>
          <w:rFonts w:hint="eastAsia" w:ascii="宋体" w:hAnsi="宋体" w:cs="宋体"/>
          <w:color w:val="auto"/>
          <w:sz w:val="22"/>
          <w:highlight w:val="none"/>
        </w:rPr>
        <w:t>（1）标的物由中标方负责安装，现场调试。</w:t>
      </w:r>
      <w:r>
        <w:rPr>
          <w:rFonts w:hint="eastAsia" w:ascii="宋体" w:hAnsi="宋体" w:eastAsia="宋体" w:cs="宋体"/>
          <w:color w:val="auto"/>
          <w:sz w:val="22"/>
          <w:highlight w:val="none"/>
        </w:rPr>
        <w:t>中标方应派驻现场项目负责人及成员具备相关系统集成项目管理、信息安全、</w:t>
      </w:r>
      <w:r>
        <w:rPr>
          <w:rFonts w:hint="eastAsia" w:ascii="宋体" w:hAnsi="宋体" w:eastAsia="宋体" w:cs="宋体"/>
          <w:color w:val="auto"/>
          <w:sz w:val="22"/>
          <w:highlight w:val="none"/>
          <w:lang w:val="en-US" w:eastAsia="zh-CN"/>
        </w:rPr>
        <w:t>软件设计开发</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数据库系统管理、</w:t>
      </w:r>
      <w:r>
        <w:rPr>
          <w:rFonts w:hint="eastAsia" w:ascii="宋体" w:hAnsi="宋体" w:eastAsia="宋体" w:cs="宋体"/>
          <w:color w:val="auto"/>
          <w:sz w:val="22"/>
          <w:highlight w:val="none"/>
        </w:rPr>
        <w:t>网络</w:t>
      </w:r>
      <w:r>
        <w:rPr>
          <w:rFonts w:hint="eastAsia" w:ascii="宋体" w:hAnsi="宋体" w:cs="宋体"/>
          <w:color w:val="auto"/>
          <w:sz w:val="22"/>
          <w:highlight w:val="none"/>
          <w:lang w:val="en-US" w:eastAsia="zh-CN"/>
        </w:rPr>
        <w:t>工程</w:t>
      </w:r>
      <w:r>
        <w:rPr>
          <w:rFonts w:hint="eastAsia" w:ascii="宋体" w:hAnsi="宋体" w:eastAsia="宋体" w:cs="宋体"/>
          <w:color w:val="auto"/>
          <w:sz w:val="22"/>
          <w:highlight w:val="none"/>
        </w:rPr>
        <w:t>保障等专业技术能力</w:t>
      </w:r>
      <w:r>
        <w:rPr>
          <w:rFonts w:hint="eastAsia" w:ascii="宋体" w:hAnsi="宋体" w:cs="宋体"/>
          <w:color w:val="auto"/>
          <w:sz w:val="22"/>
          <w:highlight w:val="none"/>
        </w:rPr>
        <w:t>，所有安装货物质量必须严格按照国家规范及江苏省相应地方规范、招标文件、材料厂家的技术规范的有关要求执行</w:t>
      </w:r>
      <w:r>
        <w:rPr>
          <w:rFonts w:hint="eastAsia" w:ascii="宋体" w:hAnsi="宋体" w:cs="宋体"/>
          <w:color w:val="auto"/>
          <w:sz w:val="22"/>
          <w:highlight w:val="none"/>
          <w:lang w:eastAsia="zh-CN"/>
        </w:rPr>
        <w:t>；</w:t>
      </w:r>
    </w:p>
    <w:p w14:paraId="11A73E6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eastAsia="zh-CN"/>
        </w:rPr>
      </w:pPr>
      <w:r>
        <w:rPr>
          <w:rFonts w:hint="eastAsia" w:ascii="宋体" w:hAnsi="宋体" w:cs="宋体"/>
          <w:color w:val="auto"/>
          <w:sz w:val="22"/>
          <w:highlight w:val="none"/>
        </w:rPr>
        <w:t>（2）中标方应对安装施工安全、</w:t>
      </w:r>
      <w:r>
        <w:rPr>
          <w:rFonts w:hint="eastAsia" w:ascii="宋体" w:hAnsi="宋体" w:cs="宋体"/>
          <w:color w:val="auto"/>
          <w:sz w:val="22"/>
          <w:highlight w:val="none"/>
          <w:lang w:val="en-US" w:eastAsia="zh-CN"/>
        </w:rPr>
        <w:t>进度、</w:t>
      </w:r>
      <w:r>
        <w:rPr>
          <w:rFonts w:hint="eastAsia" w:ascii="宋体" w:hAnsi="宋体" w:cs="宋体"/>
          <w:color w:val="auto"/>
          <w:sz w:val="22"/>
          <w:highlight w:val="none"/>
        </w:rPr>
        <w:t>质量全面负责</w:t>
      </w:r>
      <w:r>
        <w:rPr>
          <w:rFonts w:hint="eastAsia" w:ascii="宋体" w:hAnsi="宋体" w:cs="宋体"/>
          <w:color w:val="auto"/>
          <w:sz w:val="22"/>
          <w:highlight w:val="none"/>
          <w:lang w:eastAsia="zh-CN"/>
        </w:rPr>
        <w:t>、</w:t>
      </w:r>
      <w:r>
        <w:rPr>
          <w:rFonts w:hint="eastAsia" w:ascii="宋体" w:hAnsi="宋体" w:cs="宋体"/>
          <w:color w:val="auto"/>
          <w:sz w:val="22"/>
          <w:highlight w:val="none"/>
          <w:lang w:val="en-US" w:eastAsia="zh-CN"/>
        </w:rPr>
        <w:t>保障系统正常运行</w:t>
      </w:r>
      <w:r>
        <w:rPr>
          <w:rFonts w:hint="eastAsia" w:ascii="宋体" w:hAnsi="宋体" w:cs="宋体"/>
          <w:color w:val="auto"/>
          <w:sz w:val="22"/>
          <w:highlight w:val="none"/>
        </w:rPr>
        <w:t>，并承担设备保护，如因中标方原因造成网络规划不合理、重大信息</w:t>
      </w:r>
      <w:r>
        <w:rPr>
          <w:rFonts w:hint="eastAsia" w:ascii="宋体" w:hAnsi="宋体" w:cs="宋体"/>
          <w:color w:val="auto"/>
          <w:sz w:val="22"/>
          <w:highlight w:val="none"/>
          <w:lang w:val="en-US" w:eastAsia="zh-CN"/>
        </w:rPr>
        <w:t>泄露</w:t>
      </w:r>
      <w:r>
        <w:rPr>
          <w:rFonts w:hint="eastAsia" w:ascii="宋体" w:hAnsi="宋体" w:cs="宋体"/>
          <w:color w:val="auto"/>
          <w:sz w:val="22"/>
          <w:highlight w:val="none"/>
        </w:rPr>
        <w:t>或网络安全事件、质量事故、设备损坏等，</w:t>
      </w:r>
      <w:r>
        <w:rPr>
          <w:rFonts w:hint="eastAsia" w:ascii="宋体" w:hAnsi="宋体" w:eastAsia="宋体" w:cs="宋体"/>
          <w:color w:val="auto"/>
          <w:sz w:val="22"/>
          <w:highlight w:val="none"/>
        </w:rPr>
        <w:t>中标方应承担一切经济法律责任</w:t>
      </w:r>
      <w:r>
        <w:rPr>
          <w:rFonts w:hint="eastAsia" w:ascii="宋体" w:hAnsi="宋体" w:eastAsia="宋体" w:cs="宋体"/>
          <w:color w:val="auto"/>
          <w:sz w:val="22"/>
          <w:highlight w:val="none"/>
          <w:lang w:eastAsia="zh-CN"/>
        </w:rPr>
        <w:t>。</w:t>
      </w:r>
    </w:p>
    <w:p w14:paraId="44E4E34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rPr>
      </w:pPr>
      <w:r>
        <w:rPr>
          <w:rFonts w:hint="eastAsia" w:ascii="宋体" w:hAnsi="宋体" w:cs="宋体"/>
          <w:color w:val="auto"/>
          <w:sz w:val="22"/>
          <w:highlight w:val="none"/>
        </w:rPr>
        <w:t>（3）中标方负责标的物合格、正常、安全使用。</w:t>
      </w:r>
    </w:p>
    <w:p w14:paraId="5CD1C4F2">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（4）中标方应遵守现场的一切规章制度，按照采购人要求文明施工，项目安装过程中的施工人员安全问题由中标单位全权负责，与采购人无关。</w:t>
      </w:r>
    </w:p>
    <w:p w14:paraId="2D95139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eastAsia="zh-CN"/>
        </w:rPr>
      </w:pPr>
      <w:r>
        <w:rPr>
          <w:rFonts w:hint="eastAsia" w:ascii="宋体" w:hAnsi="宋体" w:cs="宋体"/>
          <w:color w:val="auto"/>
          <w:sz w:val="22"/>
          <w:highlight w:val="none"/>
        </w:rPr>
        <w:t>（5）施工现场的协调工作由中标方负责，采购人配合</w:t>
      </w:r>
      <w:r>
        <w:rPr>
          <w:rFonts w:hint="eastAsia" w:ascii="宋体" w:hAnsi="宋体" w:cs="宋体"/>
          <w:color w:val="auto"/>
          <w:sz w:val="22"/>
          <w:highlight w:val="none"/>
          <w:lang w:eastAsia="zh-CN"/>
        </w:rPr>
        <w:t>；</w:t>
      </w:r>
    </w:p>
    <w:p w14:paraId="166BE966">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eastAsia="zh-CN"/>
        </w:rPr>
      </w:pPr>
      <w:r>
        <w:rPr>
          <w:rFonts w:hint="eastAsia" w:ascii="宋体" w:hAnsi="宋体" w:cs="宋体"/>
          <w:color w:val="auto"/>
          <w:sz w:val="22"/>
          <w:highlight w:val="none"/>
        </w:rPr>
        <w:t>（6）中标方负责对货物、安装货物（工具）等提供适当的保护、包装或覆盖等处理，负责保管、看护进场的货物及附配件，以免受损</w:t>
      </w:r>
      <w:r>
        <w:rPr>
          <w:rFonts w:hint="eastAsia" w:ascii="宋体" w:hAnsi="宋体" w:cs="宋体"/>
          <w:color w:val="auto"/>
          <w:sz w:val="22"/>
          <w:highlight w:val="none"/>
          <w:lang w:eastAsia="zh-CN"/>
        </w:rPr>
        <w:t>；</w:t>
      </w:r>
    </w:p>
    <w:p w14:paraId="4696256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eastAsia="zh-CN"/>
        </w:rPr>
      </w:pPr>
      <w:r>
        <w:rPr>
          <w:rFonts w:hint="eastAsia" w:ascii="宋体" w:hAnsi="宋体" w:cs="宋体"/>
          <w:color w:val="auto"/>
          <w:sz w:val="22"/>
          <w:highlight w:val="none"/>
        </w:rPr>
        <w:t>（7）在安装、调试期间或保修过程中，中标方负责及时清理现场垃圾</w:t>
      </w:r>
      <w:r>
        <w:rPr>
          <w:rFonts w:hint="eastAsia" w:ascii="宋体" w:hAnsi="宋体" w:cs="宋体"/>
          <w:color w:val="auto"/>
          <w:sz w:val="22"/>
          <w:highlight w:val="none"/>
          <w:lang w:eastAsia="zh-CN"/>
        </w:rPr>
        <w:t>；</w:t>
      </w:r>
    </w:p>
    <w:p w14:paraId="58752E4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3、产品质量要求：</w:t>
      </w:r>
    </w:p>
    <w:p w14:paraId="01AE070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（1）所有货物在到达安装现场时须经采购人代表验收后才可进行货物安装，验货时须提交该货物的质量合格证明，初步验收不代表对产品隐性质量问题的认可。</w:t>
      </w:r>
    </w:p>
    <w:p w14:paraId="283ACAC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highlight w:val="none"/>
          <w:lang w:eastAsia="zh-CN"/>
        </w:rPr>
      </w:pPr>
      <w:r>
        <w:rPr>
          <w:rFonts w:hint="eastAsia" w:ascii="宋体" w:hAnsi="宋体" w:cs="宋体"/>
          <w:color w:val="auto"/>
          <w:sz w:val="22"/>
          <w:highlight w:val="none"/>
        </w:rPr>
        <w:t>（2）所有货物、附（配）件应具备该类产品的功能要求，无瑕疵和缺陷，质量为合格产品，同时有明确的生产厂商或制造厂商</w:t>
      </w:r>
      <w:r>
        <w:rPr>
          <w:rFonts w:hint="eastAsia" w:ascii="宋体" w:hAnsi="宋体" w:cs="宋体"/>
          <w:color w:val="auto"/>
          <w:sz w:val="22"/>
          <w:highlight w:val="none"/>
          <w:lang w:eastAsia="zh-CN"/>
        </w:rPr>
        <w:t>；</w:t>
      </w:r>
    </w:p>
    <w:p w14:paraId="6D4C8EE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（3）缺陷保修：如果货物交付使用后，缺陷多次反复出现，中标方必须提出分析报告和解决方案，直到最后纠正缺陷。</w:t>
      </w:r>
    </w:p>
    <w:p w14:paraId="5FF217C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（4）如果是超出中标方的责任范围的疏忽、误操作等情况而导致的更换修正，应由中标方进行修理，其额外费用由双方协商承担。</w:t>
      </w:r>
    </w:p>
    <w:p w14:paraId="56245B6F">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b/>
          <w:bCs/>
          <w:color w:val="auto"/>
          <w:sz w:val="22"/>
          <w:highlight w:val="none"/>
        </w:rPr>
      </w:pPr>
      <w:r>
        <w:rPr>
          <w:rFonts w:hint="eastAsia" w:ascii="宋体" w:hAnsi="宋体" w:cs="宋体"/>
          <w:b/>
          <w:bCs/>
          <w:color w:val="auto"/>
          <w:sz w:val="22"/>
          <w:highlight w:val="none"/>
        </w:rPr>
        <w:t>（四）质量保证及</w:t>
      </w:r>
      <w:bookmarkStart w:id="211" w:name="OLE_LINK83"/>
      <w:r>
        <w:rPr>
          <w:rFonts w:hint="eastAsia" w:ascii="宋体" w:hAnsi="宋体" w:cs="宋体"/>
          <w:b/>
          <w:bCs/>
          <w:color w:val="auto"/>
          <w:sz w:val="22"/>
          <w:highlight w:val="none"/>
          <w:lang w:val="en-US" w:eastAsia="zh-CN"/>
        </w:rPr>
        <w:t>项目维护期</w:t>
      </w:r>
      <w:bookmarkEnd w:id="211"/>
    </w:p>
    <w:p w14:paraId="12AAE757">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color w:val="auto"/>
          <w:sz w:val="22"/>
          <w:highlight w:val="none"/>
          <w:lang w:val="en-US" w:eastAsia="zh-CN"/>
        </w:rPr>
      </w:pPr>
      <w:r>
        <w:rPr>
          <w:rFonts w:hint="eastAsia" w:ascii="宋体" w:hAnsi="宋体" w:cs="宋体"/>
          <w:color w:val="auto"/>
          <w:sz w:val="22"/>
          <w:highlight w:val="none"/>
        </w:rPr>
        <w:t>1、产品质量要求</w:t>
      </w:r>
    </w:p>
    <w:p w14:paraId="6A41022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1.1产品质量必须执行相关强制性执行标准，没有国家标准的执行行业标准。</w:t>
      </w:r>
    </w:p>
    <w:p w14:paraId="4BBE583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1.2保证提供的产品为原装正品。其它设备、辅料、配件及在整体设备安装和调试时不能缺少或必需的一切附属配件必须为专业生产企业的定型品牌产品，不得使用已经淘汰或拼凑、组装的伪劣、假冒部件及产品。</w:t>
      </w:r>
    </w:p>
    <w:p w14:paraId="6E246F2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ascii="宋体" w:hAnsi="宋体" w:cs="宋体"/>
          <w:color w:val="auto"/>
          <w:sz w:val="22"/>
          <w:highlight w:val="none"/>
        </w:rPr>
      </w:pPr>
      <w:r>
        <w:rPr>
          <w:rFonts w:hint="eastAsia" w:ascii="宋体" w:hAnsi="宋体" w:cs="宋体"/>
          <w:color w:val="auto"/>
          <w:sz w:val="22"/>
          <w:highlight w:val="none"/>
        </w:rPr>
        <w:t>1.3设备以生产厂家出具的质量保证及</w:t>
      </w:r>
      <w:bookmarkStart w:id="212" w:name="OLE_LINK84"/>
      <w:r>
        <w:rPr>
          <w:rFonts w:hint="eastAsia" w:ascii="宋体" w:hAnsi="宋体" w:cs="宋体"/>
          <w:color w:val="auto"/>
          <w:sz w:val="22"/>
          <w:highlight w:val="none"/>
          <w:lang w:val="en-US" w:eastAsia="zh-CN"/>
        </w:rPr>
        <w:t>项目维护期</w:t>
      </w:r>
      <w:bookmarkEnd w:id="212"/>
      <w:r>
        <w:rPr>
          <w:rFonts w:hint="eastAsia" w:ascii="宋体" w:hAnsi="宋体" w:cs="宋体"/>
          <w:color w:val="auto"/>
          <w:sz w:val="22"/>
          <w:highlight w:val="none"/>
        </w:rPr>
        <w:t>承诺书原件为准。验收通过之日起对所投产品运行维护期</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二</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年。在</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二</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年运行维护期内因质量问题包换。运行维护期内为甲方提供维修、保养、软件升级、同质备件及替换等，甲方不承担任何费用，乙方保证设备运行维护期内有效运行，运行维护期内为客户排除软硬件故障，与原厂商的服务结合起来，使客户方系统得到更好的维护与支持。</w:t>
      </w:r>
    </w:p>
    <w:p w14:paraId="27BB9F7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color w:val="auto"/>
        </w:rPr>
      </w:pPr>
      <w:r>
        <w:rPr>
          <w:rFonts w:hint="eastAsia" w:ascii="宋体" w:hAnsi="宋体" w:cs="宋体"/>
          <w:color w:val="auto"/>
          <w:sz w:val="22"/>
          <w:highlight w:val="none"/>
        </w:rPr>
        <w:t>2、</w:t>
      </w:r>
      <w:r>
        <w:rPr>
          <w:rFonts w:hint="eastAsia" w:ascii="宋体" w:hAnsi="宋体" w:cs="宋体"/>
          <w:color w:val="auto"/>
          <w:sz w:val="22"/>
          <w:highlight w:val="none"/>
          <w:lang w:val="en-US" w:eastAsia="zh-CN"/>
        </w:rPr>
        <w:t>项目维护期:</w:t>
      </w:r>
      <w:r>
        <w:rPr>
          <w:rFonts w:hint="eastAsia" w:ascii="宋体" w:hAnsi="宋体" w:cs="宋体"/>
          <w:color w:val="auto"/>
          <w:sz w:val="22"/>
          <w:highlight w:val="none"/>
          <w:u w:val="single"/>
          <w:lang w:val="en-US" w:eastAsia="zh-CN"/>
        </w:rPr>
        <w:t>二</w:t>
      </w:r>
      <w:r>
        <w:rPr>
          <w:rFonts w:hint="eastAsia" w:ascii="宋体" w:hAnsi="宋体" w:cs="宋体"/>
          <w:color w:val="auto"/>
          <w:sz w:val="22"/>
          <w:highlight w:val="none"/>
          <w:u w:val="single"/>
        </w:rPr>
        <w:t>年</w:t>
      </w:r>
      <w:r>
        <w:rPr>
          <w:rFonts w:hint="eastAsia" w:ascii="宋体" w:hAnsi="宋体" w:cs="宋体"/>
          <w:color w:val="auto"/>
          <w:sz w:val="22"/>
          <w:highlight w:val="none"/>
        </w:rPr>
        <w:t>。</w:t>
      </w:r>
    </w:p>
    <w:p w14:paraId="0875453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rPr>
        <w:t>（五）</w:t>
      </w:r>
      <w:r>
        <w:rPr>
          <w:rFonts w:hint="eastAsia" w:ascii="宋体" w:hAnsi="宋体" w:cs="宋体"/>
          <w:b/>
          <w:bCs/>
          <w:color w:val="auto"/>
          <w:sz w:val="22"/>
          <w:highlight w:val="none"/>
          <w:lang w:val="en-US" w:eastAsia="zh-CN"/>
        </w:rPr>
        <w:t>项目验收</w:t>
      </w:r>
    </w:p>
    <w:p w14:paraId="35E9EBB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en-US" w:eastAsia="zh-CN"/>
        </w:rPr>
        <w:t>1、</w:t>
      </w:r>
      <w:r>
        <w:rPr>
          <w:rFonts w:hint="eastAsia" w:ascii="宋体" w:hAnsi="宋体" w:cs="宋体"/>
          <w:color w:val="auto"/>
          <w:sz w:val="22"/>
          <w:highlight w:val="none"/>
          <w:lang w:val="zh-CN" w:eastAsia="zh-CN"/>
        </w:rPr>
        <w:t xml:space="preserve"> 甲方依法组织履约验收工作。</w:t>
      </w:r>
    </w:p>
    <w:p w14:paraId="2AD0574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en-US" w:eastAsia="zh-CN"/>
        </w:rPr>
        <w:t>2、</w:t>
      </w:r>
      <w:r>
        <w:rPr>
          <w:rFonts w:hint="eastAsia" w:ascii="宋体" w:hAnsi="宋体" w:cs="宋体"/>
          <w:color w:val="auto"/>
          <w:sz w:val="22"/>
          <w:highlight w:val="none"/>
          <w:lang w:val="zh-CN" w:eastAsia="zh-CN"/>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F7ABA94">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en-US" w:eastAsia="zh-CN"/>
        </w:rPr>
        <w:t>3、</w:t>
      </w:r>
      <w:r>
        <w:rPr>
          <w:rFonts w:hint="eastAsia" w:ascii="宋体" w:hAnsi="宋体" w:cs="宋体"/>
          <w:color w:val="auto"/>
          <w:sz w:val="22"/>
          <w:highlight w:val="none"/>
          <w:lang w:val="zh-CN" w:eastAsia="zh-CN"/>
        </w:rPr>
        <w:t>对于实际使用人和甲方分离的项目，甲方邀请实际使用人参与验收。</w:t>
      </w:r>
    </w:p>
    <w:p w14:paraId="30CF4C91">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en-US" w:eastAsia="zh-CN"/>
        </w:rPr>
        <w:t>4、</w:t>
      </w:r>
      <w:r>
        <w:rPr>
          <w:rFonts w:hint="eastAsia" w:ascii="宋体" w:hAnsi="宋体" w:cs="宋体"/>
          <w:color w:val="auto"/>
          <w:sz w:val="22"/>
          <w:highlight w:val="none"/>
          <w:lang w:val="zh-CN" w:eastAsia="zh-CN"/>
        </w:rPr>
        <w:t>甲方成立验收小组，按照采购合同的约定对乙方的履约情况进行验收。</w:t>
      </w:r>
    </w:p>
    <w:p w14:paraId="33FAA075">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cs="宋体"/>
          <w:color w:val="auto"/>
          <w:sz w:val="22"/>
          <w:highlight w:val="none"/>
          <w:lang w:val="zh-CN" w:eastAsia="zh-CN"/>
        </w:rPr>
      </w:pPr>
      <w:r>
        <w:rPr>
          <w:rFonts w:hint="eastAsia" w:ascii="宋体" w:hAnsi="宋体" w:cs="宋体"/>
          <w:color w:val="auto"/>
          <w:sz w:val="22"/>
          <w:highlight w:val="none"/>
          <w:lang w:val="zh-CN" w:eastAsia="zh-CN"/>
        </w:rPr>
        <w:t>验收时，甲方按照采购合同的约定对每一项技术、服务、安全标准的履约情况进行确认。验收结束后，验收小组出具验收书，列明各项标准的验收情况及项目总体评价，由验收双方共同签署。</w:t>
      </w:r>
    </w:p>
    <w:p w14:paraId="508B4689">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szCs w:val="21"/>
          <w:highlight w:val="none"/>
          <w:lang w:val="zh-CN" w:eastAsia="zh-CN"/>
        </w:rPr>
      </w:pPr>
      <w:bookmarkStart w:id="213" w:name="OLE_LINK94"/>
      <w:bookmarkStart w:id="214" w:name="OLE_LINK115"/>
      <w:r>
        <w:rPr>
          <w:rFonts w:hint="eastAsia" w:ascii="宋体" w:hAnsi="宋体" w:eastAsia="宋体" w:cs="宋体"/>
          <w:color w:val="auto"/>
          <w:sz w:val="22"/>
          <w:szCs w:val="21"/>
          <w:highlight w:val="none"/>
          <w:lang w:val="zh-CN" w:eastAsia="zh-CN"/>
        </w:rPr>
        <w:t>验收合格的项目</w:t>
      </w:r>
      <w:r>
        <w:rPr>
          <w:rFonts w:hint="eastAsia" w:ascii="宋体" w:hAnsi="宋体" w:cs="宋体"/>
          <w:color w:val="auto"/>
          <w:sz w:val="22"/>
          <w:szCs w:val="21"/>
          <w:highlight w:val="none"/>
          <w:lang w:val="zh-CN" w:eastAsia="zh-CN"/>
        </w:rPr>
        <w:t>，</w:t>
      </w:r>
      <w:r>
        <w:rPr>
          <w:rFonts w:hint="eastAsia" w:ascii="宋体" w:hAnsi="宋体" w:eastAsia="宋体" w:cs="宋体"/>
          <w:color w:val="auto"/>
          <w:sz w:val="22"/>
          <w:szCs w:val="21"/>
          <w:highlight w:val="none"/>
          <w:lang w:val="zh-CN" w:eastAsia="zh-CN"/>
        </w:rPr>
        <w:t>甲方根据采购合同的约定及时向乙方支付合同款项。验收不合格的项目，甲方依法及时处理。采购合同的履行、违约责任和解决争议的方式等适用《</w:t>
      </w:r>
      <w:r>
        <w:rPr>
          <w:rFonts w:hint="eastAsia" w:ascii="宋体" w:hAnsi="宋体" w:eastAsia="宋体" w:cs="宋体"/>
          <w:color w:val="auto"/>
          <w:sz w:val="22"/>
          <w:szCs w:val="21"/>
          <w:highlight w:val="none"/>
          <w:lang w:val="en-US" w:eastAsia="zh-CN"/>
        </w:rPr>
        <w:t>中华人民共和国民法典</w:t>
      </w:r>
      <w:r>
        <w:rPr>
          <w:rFonts w:hint="eastAsia" w:ascii="宋体" w:hAnsi="宋体" w:eastAsia="宋体" w:cs="宋体"/>
          <w:color w:val="auto"/>
          <w:sz w:val="22"/>
          <w:szCs w:val="21"/>
          <w:highlight w:val="none"/>
          <w:lang w:val="zh-CN" w:eastAsia="zh-CN"/>
        </w:rPr>
        <w:t>》。乙方在履约过程中有政府采购法律法规规定的违法违规情形的</w:t>
      </w:r>
      <w:r>
        <w:rPr>
          <w:rFonts w:hint="eastAsia" w:ascii="宋体" w:hAnsi="宋体" w:cs="宋体"/>
          <w:color w:val="auto"/>
          <w:sz w:val="22"/>
          <w:szCs w:val="21"/>
          <w:highlight w:val="none"/>
          <w:lang w:val="zh-CN" w:eastAsia="zh-CN"/>
        </w:rPr>
        <w:t>，</w:t>
      </w:r>
      <w:r>
        <w:rPr>
          <w:rFonts w:hint="eastAsia" w:ascii="宋体" w:hAnsi="宋体" w:eastAsia="宋体" w:cs="宋体"/>
          <w:color w:val="auto"/>
          <w:sz w:val="22"/>
          <w:szCs w:val="21"/>
          <w:highlight w:val="none"/>
          <w:lang w:val="zh-CN" w:eastAsia="zh-CN"/>
        </w:rPr>
        <w:t>甲方将及时报告本级财政部门。</w:t>
      </w:r>
    </w:p>
    <w:p w14:paraId="1612900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五、项目实施要求</w:t>
      </w:r>
      <w:bookmarkEnd w:id="213"/>
    </w:p>
    <w:p w14:paraId="374F7033">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eastAsia="宋体" w:cs="宋体"/>
          <w:color w:val="auto"/>
          <w:sz w:val="22"/>
          <w:szCs w:val="21"/>
          <w:highlight w:val="none"/>
          <w:lang w:val="zh-CN" w:eastAsia="zh-CN"/>
        </w:rPr>
        <w:t>投标人针对本项目提供项目实施方案，包括但不限于：</w:t>
      </w:r>
    </w:p>
    <w:p w14:paraId="1AA2BD86">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448"/>
        <w:rPr>
          <w:rFonts w:hint="eastAsia" w:ascii="宋体" w:hAnsi="宋体" w:eastAsia="宋体" w:cs="宋体"/>
          <w:color w:val="auto"/>
          <w:sz w:val="22"/>
          <w:szCs w:val="21"/>
          <w:highlight w:val="none"/>
          <w:lang w:val="zh-CN" w:eastAsia="zh-CN"/>
        </w:rPr>
      </w:pPr>
      <w:r>
        <w:rPr>
          <w:rFonts w:hint="eastAsia" w:ascii="宋体" w:hAnsi="宋体" w:eastAsia="宋体" w:cs="宋体"/>
          <w:color w:val="auto"/>
          <w:sz w:val="22"/>
          <w:szCs w:val="21"/>
          <w:highlight w:val="none"/>
          <w:lang w:val="en-US" w:eastAsia="zh-CN"/>
        </w:rPr>
        <w:t>1、</w:t>
      </w:r>
      <w:r>
        <w:rPr>
          <w:rFonts w:hint="eastAsia" w:ascii="宋体" w:hAnsi="宋体" w:eastAsia="宋体" w:cs="宋体"/>
          <w:color w:val="auto"/>
          <w:sz w:val="22"/>
          <w:szCs w:val="21"/>
          <w:highlight w:val="none"/>
          <w:lang w:val="zh-CN" w:eastAsia="zh-CN"/>
        </w:rPr>
        <w:t>项目</w:t>
      </w:r>
      <w:r>
        <w:rPr>
          <w:rFonts w:hint="eastAsia" w:ascii="宋体" w:hAnsi="宋体" w:eastAsia="宋体" w:cs="宋体"/>
          <w:color w:val="auto"/>
          <w:sz w:val="22"/>
          <w:szCs w:val="21"/>
          <w:highlight w:val="none"/>
          <w:lang w:val="en-US" w:eastAsia="zh-CN"/>
        </w:rPr>
        <w:t>现状</w:t>
      </w:r>
      <w:r>
        <w:rPr>
          <w:rFonts w:hint="eastAsia" w:ascii="宋体" w:hAnsi="宋体" w:eastAsia="宋体" w:cs="宋体"/>
          <w:color w:val="auto"/>
          <w:sz w:val="22"/>
          <w:szCs w:val="21"/>
          <w:highlight w:val="none"/>
          <w:lang w:val="zh-CN" w:eastAsia="zh-CN"/>
        </w:rPr>
        <w:t>需求分析：包括但不限于原系统建设及运行情况、系统建设原则，确定项目维护整体存在问题、实际需求和环境特点等内容；</w:t>
      </w:r>
    </w:p>
    <w:p w14:paraId="421C9645">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eastAsia="宋体" w:cs="宋体"/>
          <w:color w:val="auto"/>
          <w:sz w:val="22"/>
          <w:szCs w:val="21"/>
          <w:highlight w:val="none"/>
          <w:lang w:val="en-US" w:eastAsia="zh-CN"/>
        </w:rPr>
        <w:t xml:space="preserve">  2、</w:t>
      </w:r>
      <w:r>
        <w:rPr>
          <w:rFonts w:hint="eastAsia" w:ascii="宋体" w:hAnsi="宋体" w:eastAsia="宋体" w:cs="宋体"/>
          <w:color w:val="auto"/>
          <w:sz w:val="22"/>
          <w:szCs w:val="21"/>
          <w:highlight w:val="none"/>
          <w:lang w:val="zh-CN" w:eastAsia="zh-CN"/>
        </w:rPr>
        <w:t>整体维护服务内容：包括但不限于运维工作范围、维护服务内容、项目实施过程等内容；</w:t>
      </w:r>
    </w:p>
    <w:p w14:paraId="789A3574">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448"/>
        <w:rPr>
          <w:rFonts w:hint="default"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3、</w:t>
      </w:r>
      <w:r>
        <w:rPr>
          <w:rFonts w:hint="eastAsia" w:ascii="宋体" w:hAnsi="宋体" w:eastAsia="宋体" w:cs="宋体"/>
          <w:color w:val="auto"/>
          <w:sz w:val="22"/>
          <w:szCs w:val="21"/>
          <w:highlight w:val="none"/>
          <w:lang w:val="zh-CN" w:eastAsia="zh-CN"/>
        </w:rPr>
        <w:t>前端监控与AI智能识别系统、指挥协调系统对接维护：</w:t>
      </w:r>
      <w:r>
        <w:rPr>
          <w:rFonts w:hint="eastAsia" w:ascii="宋体" w:hAnsi="宋体" w:cs="宋体"/>
          <w:color w:val="auto"/>
          <w:sz w:val="22"/>
          <w:szCs w:val="21"/>
          <w:highlight w:val="none"/>
          <w:lang w:val="en-US" w:eastAsia="zh-CN"/>
        </w:rPr>
        <w:t>包括但不限前端监控与</w:t>
      </w:r>
      <w:r>
        <w:rPr>
          <w:rFonts w:hint="eastAsia" w:ascii="宋体" w:hAnsi="宋体" w:eastAsia="宋体" w:cs="宋体"/>
          <w:color w:val="auto"/>
          <w:sz w:val="22"/>
          <w:szCs w:val="21"/>
          <w:highlight w:val="none"/>
          <w:lang w:val="zh-CN" w:eastAsia="zh-CN"/>
        </w:rPr>
        <w:t>AI智能识别系统、指挥协调系统对接</w:t>
      </w:r>
      <w:r>
        <w:rPr>
          <w:rFonts w:hint="eastAsia" w:ascii="宋体" w:hAnsi="宋体" w:cs="宋体"/>
          <w:color w:val="auto"/>
          <w:sz w:val="22"/>
          <w:szCs w:val="21"/>
          <w:highlight w:val="none"/>
          <w:lang w:val="en-US" w:eastAsia="zh-CN"/>
        </w:rPr>
        <w:t>流程、内容及详细的对接，确保出现问题后能第一时间分析出故障，确保系统使用的平稳性、连贯性。</w:t>
      </w:r>
    </w:p>
    <w:p w14:paraId="5EE492D6">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eastAsia="宋体" w:cs="宋体"/>
          <w:color w:val="auto"/>
          <w:sz w:val="22"/>
          <w:szCs w:val="21"/>
          <w:highlight w:val="none"/>
          <w:lang w:val="en-US" w:eastAsia="zh-CN"/>
        </w:rPr>
        <w:t xml:space="preserve">  4、</w:t>
      </w:r>
      <w:r>
        <w:rPr>
          <w:rFonts w:hint="eastAsia" w:ascii="宋体" w:hAnsi="宋体" w:eastAsia="宋体" w:cs="宋体"/>
          <w:color w:val="auto"/>
          <w:sz w:val="22"/>
          <w:szCs w:val="21"/>
          <w:highlight w:val="none"/>
          <w:lang w:val="zh-CN" w:eastAsia="zh-CN"/>
        </w:rPr>
        <w:t>前端监控点位维护：包括但不限于提供前端监控整体维护思路、布局维护方案、阐述场景维护要素及功能保障等内容；</w:t>
      </w:r>
    </w:p>
    <w:p w14:paraId="2E1AE387">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eastAsia="宋体" w:cs="宋体"/>
          <w:color w:val="auto"/>
          <w:sz w:val="22"/>
          <w:szCs w:val="21"/>
          <w:highlight w:val="none"/>
          <w:lang w:val="en-US" w:eastAsia="zh-CN"/>
        </w:rPr>
        <w:t xml:space="preserve">  5、</w:t>
      </w:r>
      <w:r>
        <w:rPr>
          <w:rFonts w:hint="eastAsia" w:ascii="宋体" w:hAnsi="宋体" w:eastAsia="宋体" w:cs="宋体"/>
          <w:color w:val="auto"/>
          <w:sz w:val="22"/>
          <w:szCs w:val="21"/>
          <w:highlight w:val="none"/>
          <w:lang w:val="zh-CN" w:eastAsia="zh-CN"/>
        </w:rPr>
        <w:t>设备间设备维护：包括但不限于城管设备间设备情况及存在问题、整体网络拓扑图、设备间运行方案、故障响应与应急处置方案等内容；</w:t>
      </w:r>
    </w:p>
    <w:p w14:paraId="1577A295">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448"/>
        <w:rPr>
          <w:rFonts w:hint="eastAsia" w:ascii="宋体" w:hAnsi="宋体" w:cs="宋体"/>
          <w:color w:val="auto"/>
          <w:sz w:val="22"/>
          <w:szCs w:val="21"/>
          <w:highlight w:val="none"/>
          <w:lang w:val="zh-CN" w:eastAsia="zh-CN"/>
        </w:rPr>
      </w:pPr>
      <w:r>
        <w:rPr>
          <w:rFonts w:hint="eastAsia" w:ascii="宋体" w:hAnsi="宋体" w:eastAsia="宋体" w:cs="宋体"/>
          <w:color w:val="auto"/>
          <w:sz w:val="22"/>
          <w:szCs w:val="21"/>
          <w:highlight w:val="none"/>
          <w:lang w:val="en-US" w:eastAsia="zh-CN"/>
        </w:rPr>
        <w:t>6、</w:t>
      </w:r>
      <w:r>
        <w:rPr>
          <w:rFonts w:hint="default" w:ascii="宋体" w:hAnsi="宋体" w:eastAsia="宋体" w:cs="宋体"/>
          <w:color w:val="auto"/>
          <w:sz w:val="22"/>
          <w:szCs w:val="21"/>
          <w:highlight w:val="none"/>
          <w:lang w:val="zh-CN" w:eastAsia="zh-CN"/>
        </w:rPr>
        <w:t>整体平台维护及无人机AI识别提升</w:t>
      </w:r>
      <w:r>
        <w:rPr>
          <w:rFonts w:hint="eastAsia" w:ascii="宋体" w:hAnsi="宋体" w:eastAsia="宋体" w:cs="宋体"/>
          <w:color w:val="auto"/>
          <w:sz w:val="22"/>
          <w:szCs w:val="21"/>
          <w:highlight w:val="none"/>
          <w:lang w:val="zh-CN" w:eastAsia="zh-CN"/>
        </w:rPr>
        <w:t>：针对本项目提供软件平台的维护方案</w:t>
      </w:r>
      <w:r>
        <w:rPr>
          <w:rFonts w:hint="eastAsia" w:ascii="宋体" w:hAnsi="宋体" w:cs="宋体"/>
          <w:color w:val="auto"/>
          <w:sz w:val="22"/>
          <w:szCs w:val="21"/>
          <w:highlight w:val="none"/>
          <w:lang w:val="zh-CN" w:eastAsia="zh-CN"/>
        </w:rPr>
        <w:t>，</w:t>
      </w:r>
      <w:r>
        <w:rPr>
          <w:rFonts w:hint="eastAsia" w:ascii="宋体" w:hAnsi="宋体" w:cs="宋体"/>
          <w:color w:val="auto"/>
          <w:sz w:val="22"/>
          <w:szCs w:val="21"/>
          <w:highlight w:val="none"/>
          <w:lang w:val="en-US" w:eastAsia="zh-CN"/>
        </w:rPr>
        <w:t>以及针对</w:t>
      </w:r>
      <w:r>
        <w:rPr>
          <w:rFonts w:hint="eastAsia" w:ascii="宋体" w:hAnsi="宋体" w:eastAsia="宋体" w:cs="宋体"/>
          <w:color w:val="auto"/>
          <w:sz w:val="22"/>
          <w:szCs w:val="21"/>
          <w:highlight w:val="none"/>
          <w:lang w:val="zh-CN" w:eastAsia="zh-CN"/>
        </w:rPr>
        <w:t>本项目AI算法无法进行动态视频识别的问题，提出针对性提升方案，利用空中视角，在配有高清运动摄像头的情况下，可在空中对重点监控区域进行定点监控、拍摄，成为集视频监测、自动抓拍、图像分析、派遣等功能为一体的AI智能识别分析系统，实现对城管重点场景进行智能分析。</w:t>
      </w:r>
    </w:p>
    <w:p w14:paraId="333AD1AA">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default"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六、售后服务</w:t>
      </w:r>
    </w:p>
    <w:p w14:paraId="1D96E63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cs="宋体"/>
          <w:color w:val="auto"/>
          <w:sz w:val="22"/>
          <w:szCs w:val="21"/>
          <w:highlight w:val="none"/>
          <w:lang w:val="en-US" w:eastAsia="zh-CN"/>
        </w:rPr>
        <w:t>1、</w:t>
      </w:r>
      <w:r>
        <w:rPr>
          <w:rFonts w:hint="eastAsia" w:ascii="宋体" w:hAnsi="宋体" w:eastAsia="宋体" w:cs="宋体"/>
          <w:color w:val="auto"/>
          <w:sz w:val="22"/>
          <w:szCs w:val="21"/>
          <w:highlight w:val="none"/>
          <w:lang w:val="zh-CN" w:eastAsia="zh-CN"/>
        </w:rPr>
        <w:t>供应商须配备技术人员，服务电话，负责解答用户在设备使用中遇到的问题，及时提出解决问题的建议和操作方法，并能够及时派出技术人员，现场提供临时性应急保障及维修需求。</w:t>
      </w:r>
    </w:p>
    <w:p w14:paraId="2376D9A0">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cs="宋体"/>
          <w:color w:val="auto"/>
          <w:sz w:val="22"/>
          <w:szCs w:val="21"/>
          <w:highlight w:val="none"/>
          <w:lang w:val="en-US" w:eastAsia="zh-CN"/>
        </w:rPr>
        <w:t>2、</w:t>
      </w:r>
      <w:r>
        <w:rPr>
          <w:rFonts w:hint="eastAsia" w:ascii="宋体" w:hAnsi="宋体" w:eastAsia="宋体" w:cs="宋体"/>
          <w:color w:val="auto"/>
          <w:sz w:val="22"/>
          <w:szCs w:val="21"/>
          <w:highlight w:val="none"/>
          <w:lang w:val="en-US" w:eastAsia="zh-CN"/>
        </w:rPr>
        <w:t>项目维护期</w:t>
      </w:r>
      <w:r>
        <w:rPr>
          <w:rFonts w:hint="eastAsia" w:ascii="宋体" w:hAnsi="宋体" w:eastAsia="宋体" w:cs="宋体"/>
          <w:color w:val="auto"/>
          <w:sz w:val="22"/>
          <w:szCs w:val="21"/>
          <w:highlight w:val="none"/>
          <w:lang w:val="zh-CN" w:eastAsia="zh-CN"/>
        </w:rPr>
        <w:t>响应时间：中标方应提供7</w:t>
      </w:r>
      <w:r>
        <w:rPr>
          <w:rFonts w:hint="eastAsia" w:ascii="宋体" w:hAnsi="宋体" w:cs="宋体"/>
          <w:color w:val="auto"/>
          <w:sz w:val="22"/>
          <w:szCs w:val="21"/>
          <w:highlight w:val="none"/>
          <w:lang w:val="en-US" w:eastAsia="zh-CN"/>
        </w:rPr>
        <w:t>*</w:t>
      </w:r>
      <w:r>
        <w:rPr>
          <w:rFonts w:hint="eastAsia" w:ascii="宋体" w:hAnsi="宋体" w:eastAsia="宋体" w:cs="宋体"/>
          <w:color w:val="auto"/>
          <w:sz w:val="22"/>
          <w:szCs w:val="21"/>
          <w:highlight w:val="none"/>
          <w:lang w:val="zh-CN" w:eastAsia="zh-CN"/>
        </w:rPr>
        <w:t>24小时服务，接到临时性应急保障及故障报修电话后30分钟内电话响应，电话解决不了的，选派经验丰富的工作人员12小时内到现场进行保障、维修。</w:t>
      </w:r>
    </w:p>
    <w:p w14:paraId="713C7F08">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szCs w:val="21"/>
          <w:highlight w:val="none"/>
          <w:lang w:val="zh-CN" w:eastAsia="zh-CN"/>
        </w:rPr>
      </w:pPr>
      <w:r>
        <w:rPr>
          <w:rFonts w:hint="eastAsia" w:ascii="宋体" w:hAnsi="宋体" w:cs="宋体"/>
          <w:color w:val="auto"/>
          <w:sz w:val="22"/>
          <w:szCs w:val="21"/>
          <w:highlight w:val="none"/>
          <w:lang w:val="en-US" w:eastAsia="zh-CN"/>
        </w:rPr>
        <w:t>3、</w:t>
      </w:r>
      <w:r>
        <w:rPr>
          <w:rFonts w:hint="eastAsia" w:ascii="宋体" w:hAnsi="宋体" w:eastAsia="宋体" w:cs="宋体"/>
          <w:color w:val="auto"/>
          <w:sz w:val="22"/>
          <w:szCs w:val="21"/>
          <w:highlight w:val="none"/>
          <w:lang w:val="zh-CN" w:eastAsia="zh-CN"/>
        </w:rPr>
        <w:t>服务保证：自验收单上签字之日起计算</w:t>
      </w:r>
      <w:r>
        <w:rPr>
          <w:rFonts w:hint="eastAsia" w:ascii="宋体" w:hAnsi="宋体" w:cs="宋体"/>
          <w:color w:val="auto"/>
          <w:sz w:val="22"/>
          <w:szCs w:val="21"/>
          <w:highlight w:val="none"/>
          <w:lang w:val="zh-CN" w:eastAsia="zh-CN"/>
        </w:rPr>
        <w:t>，</w:t>
      </w:r>
      <w:r>
        <w:rPr>
          <w:rFonts w:hint="eastAsia" w:ascii="宋体" w:hAnsi="宋体" w:eastAsia="宋体" w:cs="宋体"/>
          <w:color w:val="auto"/>
          <w:sz w:val="22"/>
          <w:szCs w:val="21"/>
          <w:highlight w:val="none"/>
          <w:lang w:val="zh-CN" w:eastAsia="zh-CN"/>
        </w:rPr>
        <w:t>在规</w:t>
      </w:r>
      <w:bookmarkStart w:id="215" w:name="OLE_LINK85"/>
      <w:r>
        <w:rPr>
          <w:rFonts w:hint="eastAsia" w:ascii="宋体" w:hAnsi="宋体" w:eastAsia="宋体" w:cs="宋体"/>
          <w:color w:val="auto"/>
          <w:sz w:val="22"/>
          <w:szCs w:val="21"/>
          <w:highlight w:val="none"/>
          <w:lang w:val="zh-CN" w:eastAsia="zh-CN"/>
        </w:rPr>
        <w:t>定的</w:t>
      </w:r>
      <w:r>
        <w:rPr>
          <w:rFonts w:hint="eastAsia" w:ascii="宋体" w:hAnsi="宋体" w:eastAsia="宋体" w:cs="宋体"/>
          <w:color w:val="auto"/>
          <w:sz w:val="22"/>
          <w:szCs w:val="21"/>
          <w:highlight w:val="none"/>
          <w:lang w:val="en-US" w:eastAsia="zh-CN"/>
        </w:rPr>
        <w:t>项目维护期</w:t>
      </w:r>
      <w:r>
        <w:rPr>
          <w:rFonts w:hint="eastAsia" w:ascii="宋体" w:hAnsi="宋体" w:eastAsia="宋体" w:cs="宋体"/>
          <w:color w:val="auto"/>
          <w:sz w:val="22"/>
          <w:szCs w:val="21"/>
          <w:highlight w:val="none"/>
          <w:lang w:val="zh-CN" w:eastAsia="zh-CN"/>
        </w:rPr>
        <w:t>内，对</w:t>
      </w:r>
      <w:bookmarkEnd w:id="215"/>
      <w:r>
        <w:rPr>
          <w:rFonts w:hint="eastAsia" w:ascii="宋体" w:hAnsi="宋体" w:eastAsia="宋体" w:cs="宋体"/>
          <w:color w:val="auto"/>
          <w:sz w:val="22"/>
          <w:szCs w:val="21"/>
          <w:highlight w:val="none"/>
          <w:lang w:val="zh-CN" w:eastAsia="zh-CN"/>
        </w:rPr>
        <w:t>提供的产品进行维修，不收取任何额外费用；保修期间内，应保证提供每年至少2次的维护、检修服务，除易损件（出厂随机配备的备品、备件范围）外，各种设备经两次维修后仍不能正常使用，应更换同品牌、同型号设备。自更换之日起重新计算质量保证期限。</w:t>
      </w:r>
    </w:p>
    <w:p w14:paraId="0DC7909D">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color w:val="auto"/>
          <w:lang w:val="en-US" w:eastAsia="zh-CN"/>
        </w:rPr>
      </w:pPr>
      <w:r>
        <w:rPr>
          <w:rFonts w:hint="eastAsia" w:ascii="宋体" w:hAnsi="宋体" w:cs="宋体"/>
          <w:color w:val="auto"/>
          <w:sz w:val="22"/>
          <w:szCs w:val="21"/>
          <w:highlight w:val="none"/>
          <w:lang w:val="en-US" w:eastAsia="zh-CN"/>
        </w:rPr>
        <w:t>4、</w:t>
      </w:r>
      <w:r>
        <w:rPr>
          <w:rFonts w:hint="eastAsia" w:ascii="宋体" w:hAnsi="宋体" w:eastAsia="宋体" w:cs="宋体"/>
          <w:color w:val="auto"/>
          <w:sz w:val="22"/>
          <w:szCs w:val="21"/>
          <w:highlight w:val="none"/>
          <w:lang w:val="zh-CN" w:eastAsia="zh-CN"/>
        </w:rPr>
        <w:t>售后服务要求：中标方需编制维保方案提供本次采购的货物保修期内的合理、科学的维护和后续其他维护服务方案，</w:t>
      </w:r>
      <w:r>
        <w:rPr>
          <w:rFonts w:hint="eastAsia" w:ascii="宋体" w:hAnsi="宋体" w:eastAsia="宋体" w:cs="宋体"/>
          <w:color w:val="auto"/>
          <w:sz w:val="22"/>
          <w:szCs w:val="21"/>
          <w:highlight w:val="none"/>
          <w:lang w:val="en-US" w:eastAsia="zh-CN"/>
        </w:rPr>
        <w:t>项目维护期</w:t>
      </w:r>
      <w:r>
        <w:rPr>
          <w:rFonts w:hint="eastAsia" w:ascii="宋体" w:hAnsi="宋体" w:eastAsia="宋体" w:cs="宋体"/>
          <w:color w:val="auto"/>
          <w:sz w:val="22"/>
          <w:szCs w:val="21"/>
          <w:highlight w:val="none"/>
          <w:lang w:val="zh-CN" w:eastAsia="zh-CN"/>
        </w:rPr>
        <w:t>期满后，相关备品备件承诺不得高于市场价。</w:t>
      </w:r>
      <w:bookmarkEnd w:id="214"/>
    </w:p>
    <w:p w14:paraId="6CE6B5AE">
      <w:pPr>
        <w:pBdr>
          <w:top w:val="none" w:color="000000" w:sz="0" w:space="0"/>
          <w:left w:val="none" w:color="000000" w:sz="0" w:space="0"/>
          <w:bottom w:val="none" w:color="000000" w:sz="0" w:space="0"/>
          <w:right w:val="none" w:color="000000" w:sz="0" w:space="0"/>
        </w:pBdr>
        <w:shd w:val="clear" w:color="auto" w:fill="auto"/>
        <w:spacing w:line="499" w:lineRule="atLeast"/>
        <w:ind w:firstLine="220"/>
        <w:rPr>
          <w:rFonts w:hint="eastAsia" w:ascii="宋体" w:hAnsi="宋体" w:eastAsia="宋体" w:cs="宋体"/>
          <w:color w:val="auto"/>
          <w:sz w:val="22"/>
          <w:szCs w:val="21"/>
          <w:highlight w:val="none"/>
          <w:lang w:val="en-US" w:eastAsia="zh-CN"/>
        </w:rPr>
      </w:pPr>
      <w:r>
        <w:rPr>
          <w:rFonts w:hint="eastAsia" w:ascii="宋体" w:hAnsi="宋体" w:cs="宋体"/>
          <w:b/>
          <w:bCs/>
          <w:color w:val="auto"/>
          <w:sz w:val="22"/>
          <w:szCs w:val="21"/>
          <w:highlight w:val="none"/>
          <w:lang w:val="en-US" w:eastAsia="zh-CN"/>
        </w:rPr>
        <w:t>七、</w:t>
      </w:r>
      <w:r>
        <w:rPr>
          <w:rFonts w:hint="eastAsia" w:ascii="宋体" w:hAnsi="宋体" w:eastAsia="宋体" w:cs="宋体"/>
          <w:b/>
          <w:bCs/>
          <w:color w:val="auto"/>
          <w:sz w:val="22"/>
          <w:szCs w:val="21"/>
          <w:highlight w:val="none"/>
          <w:lang w:val="en-US" w:eastAsia="zh-CN"/>
        </w:rPr>
        <w:t>考核办法</w:t>
      </w:r>
    </w:p>
    <w:p w14:paraId="0F4DF778">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ind w:firstLine="220"/>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依据政府采购合同文件要求，明确中标供应商的权利和义务，保障本项目工作。对中标供应商进行定期考核，细则如下。</w:t>
      </w:r>
    </w:p>
    <w:p w14:paraId="710A2572">
      <w:pPr>
        <w:pBdr>
          <w:top w:val="none" w:color="000000" w:sz="0" w:space="0"/>
          <w:left w:val="none" w:color="000000" w:sz="0" w:space="0"/>
          <w:bottom w:val="none" w:color="000000" w:sz="0" w:space="0"/>
          <w:right w:val="none" w:color="000000" w:sz="0" w:space="0"/>
        </w:pBdr>
        <w:shd w:val="clear" w:color="auto" w:fill="auto"/>
        <w:tabs>
          <w:tab w:val="left" w:pos="2310"/>
        </w:tabs>
        <w:spacing w:line="499" w:lineRule="atLeast"/>
        <w:jc w:val="center"/>
        <w:rPr>
          <w:rStyle w:val="287"/>
          <w:rFonts w:hint="eastAsia" w:ascii="宋体" w:hAnsi="宋体" w:cs="仿宋"/>
          <w:b/>
          <w:color w:val="auto"/>
          <w:sz w:val="24"/>
          <w:szCs w:val="24"/>
          <w:highlight w:val="none"/>
          <w:lang w:val="zh-CN" w:eastAsia="zh-CN" w:bidi="ar-SA"/>
        </w:rPr>
      </w:pPr>
      <w:r>
        <w:rPr>
          <w:rStyle w:val="287"/>
          <w:rFonts w:hint="eastAsia" w:ascii="宋体" w:hAnsi="宋体" w:cs="仿宋"/>
          <w:b/>
          <w:color w:val="auto"/>
          <w:sz w:val="24"/>
          <w:szCs w:val="24"/>
          <w:highlight w:val="none"/>
          <w:lang w:val="zh-CN" w:eastAsia="zh-CN" w:bidi="ar-SA"/>
        </w:rPr>
        <w:t>考核办法（满分：100分）</w:t>
      </w:r>
    </w:p>
    <w:tbl>
      <w:tblPr>
        <w:tblStyle w:val="40"/>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215"/>
        <w:gridCol w:w="1155"/>
        <w:gridCol w:w="1200"/>
        <w:gridCol w:w="4226"/>
        <w:gridCol w:w="15"/>
      </w:tblGrid>
      <w:tr w14:paraId="3A2BB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537A65D3">
            <w:pPr>
              <w:pStyle w:val="286"/>
              <w:jc w:val="center"/>
              <w:rPr>
                <w:rStyle w:val="287"/>
                <w:rFonts w:hint="eastAsia" w:ascii="宋体" w:hAnsi="宋体" w:cs="仿宋"/>
                <w:b/>
                <w:color w:val="auto"/>
                <w:sz w:val="24"/>
                <w:szCs w:val="24"/>
                <w:highlight w:val="none"/>
              </w:rPr>
            </w:pPr>
            <w:r>
              <w:rPr>
                <w:rStyle w:val="287"/>
                <w:rFonts w:hint="eastAsia" w:ascii="宋体" w:hAnsi="宋体" w:cs="仿宋"/>
                <w:b/>
                <w:color w:val="auto"/>
                <w:sz w:val="24"/>
                <w:szCs w:val="24"/>
                <w:highlight w:val="none"/>
              </w:rPr>
              <w:t>序号</w:t>
            </w:r>
          </w:p>
        </w:tc>
        <w:tc>
          <w:tcPr>
            <w:tcW w:w="1215" w:type="dxa"/>
            <w:noWrap w:val="0"/>
            <w:vAlign w:val="center"/>
          </w:tcPr>
          <w:p w14:paraId="4B74BE87">
            <w:pPr>
              <w:pStyle w:val="286"/>
              <w:jc w:val="center"/>
              <w:rPr>
                <w:rStyle w:val="287"/>
                <w:rFonts w:hint="eastAsia" w:ascii="宋体" w:hAnsi="宋体" w:cs="仿宋"/>
                <w:b/>
                <w:color w:val="auto"/>
                <w:sz w:val="24"/>
                <w:szCs w:val="24"/>
                <w:highlight w:val="none"/>
              </w:rPr>
            </w:pPr>
            <w:r>
              <w:rPr>
                <w:rStyle w:val="287"/>
                <w:rFonts w:hint="eastAsia" w:ascii="宋体" w:hAnsi="宋体" w:cs="仿宋"/>
                <w:b/>
                <w:color w:val="auto"/>
                <w:sz w:val="24"/>
                <w:szCs w:val="24"/>
                <w:highlight w:val="none"/>
              </w:rPr>
              <w:t>考核项目</w:t>
            </w:r>
          </w:p>
        </w:tc>
        <w:tc>
          <w:tcPr>
            <w:tcW w:w="1155" w:type="dxa"/>
            <w:noWrap w:val="0"/>
            <w:vAlign w:val="center"/>
          </w:tcPr>
          <w:p w14:paraId="7C6DF060">
            <w:pPr>
              <w:pStyle w:val="286"/>
              <w:jc w:val="center"/>
              <w:rPr>
                <w:rStyle w:val="287"/>
                <w:rFonts w:hint="eastAsia" w:ascii="宋体" w:hAnsi="宋体" w:cs="仿宋"/>
                <w:b/>
                <w:color w:val="auto"/>
                <w:sz w:val="24"/>
                <w:szCs w:val="24"/>
                <w:highlight w:val="none"/>
              </w:rPr>
            </w:pPr>
            <w:r>
              <w:rPr>
                <w:rStyle w:val="287"/>
                <w:rFonts w:hint="eastAsia" w:ascii="宋体" w:hAnsi="宋体" w:cs="仿宋"/>
                <w:b/>
                <w:color w:val="auto"/>
                <w:sz w:val="24"/>
                <w:szCs w:val="24"/>
                <w:highlight w:val="none"/>
                <w:lang w:val="en-US" w:eastAsia="zh-CN"/>
              </w:rPr>
              <w:t>分值（分）</w:t>
            </w:r>
          </w:p>
        </w:tc>
        <w:tc>
          <w:tcPr>
            <w:tcW w:w="1200" w:type="dxa"/>
            <w:noWrap w:val="0"/>
            <w:vAlign w:val="center"/>
          </w:tcPr>
          <w:p w14:paraId="0241BDEE">
            <w:pPr>
              <w:pStyle w:val="286"/>
              <w:jc w:val="center"/>
              <w:rPr>
                <w:rStyle w:val="287"/>
                <w:rFonts w:hint="eastAsia" w:ascii="宋体" w:hAnsi="宋体" w:cs="仿宋"/>
                <w:b/>
                <w:color w:val="auto"/>
                <w:sz w:val="24"/>
                <w:szCs w:val="24"/>
                <w:highlight w:val="none"/>
              </w:rPr>
            </w:pPr>
            <w:r>
              <w:rPr>
                <w:rStyle w:val="287"/>
                <w:rFonts w:hint="eastAsia" w:ascii="宋体" w:hAnsi="宋体" w:cs="仿宋"/>
                <w:b/>
                <w:color w:val="auto"/>
                <w:sz w:val="24"/>
                <w:szCs w:val="24"/>
                <w:highlight w:val="none"/>
              </w:rPr>
              <w:t>考核内容</w:t>
            </w:r>
          </w:p>
        </w:tc>
        <w:tc>
          <w:tcPr>
            <w:tcW w:w="4241" w:type="dxa"/>
            <w:gridSpan w:val="2"/>
            <w:noWrap w:val="0"/>
            <w:vAlign w:val="center"/>
          </w:tcPr>
          <w:p w14:paraId="45818A39">
            <w:pPr>
              <w:pStyle w:val="286"/>
              <w:jc w:val="center"/>
              <w:rPr>
                <w:rStyle w:val="287"/>
                <w:rFonts w:hint="eastAsia" w:ascii="宋体" w:hAnsi="宋体" w:cs="仿宋"/>
                <w:b/>
                <w:color w:val="auto"/>
                <w:sz w:val="24"/>
                <w:szCs w:val="24"/>
                <w:highlight w:val="none"/>
              </w:rPr>
            </w:pPr>
            <w:r>
              <w:rPr>
                <w:rStyle w:val="287"/>
                <w:rFonts w:hint="eastAsia" w:ascii="宋体" w:hAnsi="宋体" w:cs="仿宋"/>
                <w:b/>
                <w:color w:val="auto"/>
                <w:sz w:val="24"/>
                <w:szCs w:val="24"/>
                <w:highlight w:val="none"/>
              </w:rPr>
              <w:t>考核标准</w:t>
            </w:r>
          </w:p>
        </w:tc>
      </w:tr>
      <w:tr w14:paraId="176FC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52588511">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2"/>
                <w:szCs w:val="22"/>
                <w:u w:val="none"/>
                <w:lang w:val="en-US" w:eastAsia="zh-CN" w:bidi="ar"/>
              </w:rPr>
              <w:t>1</w:t>
            </w:r>
          </w:p>
        </w:tc>
        <w:tc>
          <w:tcPr>
            <w:tcW w:w="1215" w:type="dxa"/>
            <w:noWrap w:val="0"/>
            <w:vAlign w:val="center"/>
          </w:tcPr>
          <w:p w14:paraId="69249148">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文明施工及运维服务考核</w:t>
            </w:r>
          </w:p>
        </w:tc>
        <w:tc>
          <w:tcPr>
            <w:tcW w:w="1155" w:type="dxa"/>
            <w:noWrap w:val="0"/>
            <w:vAlign w:val="center"/>
          </w:tcPr>
          <w:p w14:paraId="7291AFD5">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20</w:t>
            </w:r>
          </w:p>
        </w:tc>
        <w:tc>
          <w:tcPr>
            <w:tcW w:w="1200" w:type="dxa"/>
            <w:noWrap w:val="0"/>
            <w:vAlign w:val="center"/>
          </w:tcPr>
          <w:p w14:paraId="45254934">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安全文明施工及运维服务</w:t>
            </w:r>
          </w:p>
        </w:tc>
        <w:tc>
          <w:tcPr>
            <w:tcW w:w="4241" w:type="dxa"/>
            <w:gridSpan w:val="2"/>
            <w:noWrap w:val="0"/>
            <w:vAlign w:val="center"/>
          </w:tcPr>
          <w:p w14:paraId="3F746B28">
            <w:pPr>
              <w:keepNext w:val="0"/>
              <w:keepLines w:val="0"/>
              <w:widowControl/>
              <w:suppressLineNumbers w:val="0"/>
              <w:jc w:val="both"/>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贯彻“安全第一、预防为主”的安全生产和工作方针，保证施工人员在工作生产过程中的安全与健康，严防各类事故发生，以安全促生产，力求安全生产目标达到合格。全员安全培训、安全教育，不留安全盲角；进行施工安全技术交底；完善运维服务安全工作管理制度。</w:t>
            </w:r>
          </w:p>
        </w:tc>
      </w:tr>
      <w:tr w14:paraId="17ED2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66520DDE">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2"/>
                <w:szCs w:val="22"/>
                <w:u w:val="none"/>
                <w:lang w:val="en-US" w:eastAsia="zh-CN" w:bidi="ar"/>
              </w:rPr>
              <w:t>2</w:t>
            </w:r>
          </w:p>
        </w:tc>
        <w:tc>
          <w:tcPr>
            <w:tcW w:w="1215" w:type="dxa"/>
            <w:noWrap w:val="0"/>
            <w:vAlign w:val="center"/>
          </w:tcPr>
          <w:p w14:paraId="3318DFC7">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平台建设保障考核</w:t>
            </w:r>
          </w:p>
        </w:tc>
        <w:tc>
          <w:tcPr>
            <w:tcW w:w="1155" w:type="dxa"/>
            <w:noWrap w:val="0"/>
            <w:vAlign w:val="center"/>
          </w:tcPr>
          <w:p w14:paraId="28C0FF23">
            <w:pPr>
              <w:keepNext w:val="0"/>
              <w:keepLines w:val="0"/>
              <w:widowControl/>
              <w:suppressLineNumbers w:val="0"/>
              <w:jc w:val="center"/>
              <w:rPr>
                <w:rStyle w:val="287"/>
                <w:rFonts w:hint="eastAsia" w:ascii="宋体" w:hAnsi="宋体" w:cs="仿宋"/>
                <w:color w:val="auto"/>
                <w:sz w:val="24"/>
                <w:szCs w:val="24"/>
                <w:highlight w:val="none"/>
                <w:lang w:val="en-US" w:eastAsia="zh-CN"/>
              </w:rPr>
            </w:pPr>
            <w:r>
              <w:rPr>
                <w:rFonts w:hint="eastAsia" w:ascii="宋体" w:hAnsi="宋体" w:eastAsia="宋体" w:cs="宋体"/>
                <w:i w:val="0"/>
                <w:iCs w:val="0"/>
                <w:color w:val="auto"/>
                <w:sz w:val="21"/>
                <w:szCs w:val="21"/>
                <w:u w:val="none"/>
                <w:lang w:val="en-US" w:eastAsia="zh-CN" w:bidi="ar"/>
              </w:rPr>
              <w:t>10</w:t>
            </w:r>
          </w:p>
        </w:tc>
        <w:tc>
          <w:tcPr>
            <w:tcW w:w="1200" w:type="dxa"/>
            <w:noWrap w:val="0"/>
            <w:vAlign w:val="center"/>
          </w:tcPr>
          <w:p w14:paraId="4CE48C09">
            <w:pPr>
              <w:keepNext w:val="0"/>
              <w:keepLines w:val="0"/>
              <w:widowControl/>
              <w:suppressLineNumbers w:val="0"/>
              <w:jc w:val="center"/>
              <w:rPr>
                <w:rStyle w:val="287"/>
                <w:rFonts w:ascii="宋体" w:hAnsi="宋体" w:cs="仿宋"/>
                <w:color w:val="auto"/>
                <w:sz w:val="24"/>
                <w:szCs w:val="24"/>
                <w:highlight w:val="none"/>
                <w:lang w:val="en-US" w:eastAsia="zh-CN"/>
              </w:rPr>
            </w:pPr>
            <w:r>
              <w:rPr>
                <w:rFonts w:hint="eastAsia" w:ascii="宋体" w:hAnsi="宋体" w:eastAsia="宋体" w:cs="宋体"/>
                <w:i w:val="0"/>
                <w:iCs w:val="0"/>
                <w:color w:val="auto"/>
                <w:sz w:val="21"/>
                <w:szCs w:val="21"/>
                <w:u w:val="none"/>
                <w:lang w:val="en-US" w:eastAsia="zh-CN" w:bidi="ar"/>
              </w:rPr>
              <w:t>系统稳定性</w:t>
            </w:r>
          </w:p>
        </w:tc>
        <w:tc>
          <w:tcPr>
            <w:tcW w:w="4241" w:type="dxa"/>
            <w:gridSpan w:val="2"/>
            <w:noWrap w:val="0"/>
            <w:vAlign w:val="center"/>
          </w:tcPr>
          <w:p w14:paraId="297B4193">
            <w:pPr>
              <w:keepNext w:val="0"/>
              <w:keepLines w:val="0"/>
              <w:widowControl/>
              <w:suppressLineNumbers w:val="0"/>
              <w:jc w:val="both"/>
              <w:rPr>
                <w:rStyle w:val="287"/>
                <w:rFonts w:ascii="宋体" w:hAnsi="宋体" w:cs="仿宋"/>
                <w:color w:val="auto"/>
                <w:sz w:val="24"/>
                <w:szCs w:val="24"/>
                <w:highlight w:val="none"/>
                <w:lang w:val="en-US" w:eastAsia="zh-CN"/>
              </w:rPr>
            </w:pPr>
            <w:r>
              <w:rPr>
                <w:rStyle w:val="272"/>
                <w:color w:val="auto"/>
                <w:lang w:val="en-US" w:eastAsia="zh-CN" w:bidi="ar"/>
              </w:rPr>
              <w:t>关注极端天气、业务高峰等场景下的服务可用性，确保系统平稳运行，每年宕机时长</w:t>
            </w:r>
            <w:r>
              <w:rPr>
                <w:rStyle w:val="284"/>
                <w:rFonts w:eastAsia="宋体"/>
                <w:color w:val="auto"/>
                <w:lang w:val="en-US" w:eastAsia="zh-CN" w:bidi="ar"/>
              </w:rPr>
              <w:t>≤</w:t>
            </w:r>
            <w:r>
              <w:rPr>
                <w:rStyle w:val="272"/>
                <w:color w:val="auto"/>
                <w:lang w:val="en-US" w:eastAsia="zh-CN" w:bidi="ar"/>
              </w:rPr>
              <w:t>24小时/次，系统宕机次数≤5次/年，超出1次扣1分；</w:t>
            </w:r>
          </w:p>
        </w:tc>
      </w:tr>
      <w:tr w14:paraId="4FA72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5DE2F1BB">
            <w:pPr>
              <w:keepNext w:val="0"/>
              <w:keepLines w:val="0"/>
              <w:widowControl/>
              <w:suppressLineNumbers w:val="0"/>
              <w:jc w:val="center"/>
              <w:rPr>
                <w:rStyle w:val="287"/>
                <w:rFonts w:hint="eastAsia" w:ascii="宋体" w:hAnsi="宋体" w:eastAsia="宋体" w:cs="仿宋"/>
                <w:color w:val="auto"/>
                <w:sz w:val="24"/>
                <w:szCs w:val="24"/>
                <w:highlight w:val="none"/>
                <w:lang w:eastAsia="zh-CN"/>
              </w:rPr>
            </w:pPr>
            <w:r>
              <w:rPr>
                <w:rFonts w:hint="eastAsia" w:ascii="宋体" w:hAnsi="宋体" w:eastAsia="宋体" w:cs="宋体"/>
                <w:i w:val="0"/>
                <w:iCs w:val="0"/>
                <w:color w:val="auto"/>
                <w:sz w:val="22"/>
                <w:szCs w:val="22"/>
                <w:u w:val="none"/>
                <w:lang w:val="en-US" w:eastAsia="zh-CN" w:bidi="ar"/>
              </w:rPr>
              <w:t>3</w:t>
            </w:r>
          </w:p>
        </w:tc>
        <w:tc>
          <w:tcPr>
            <w:tcW w:w="1215" w:type="dxa"/>
            <w:noWrap w:val="0"/>
            <w:vAlign w:val="center"/>
          </w:tcPr>
          <w:p w14:paraId="56BD9349">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安全保障体系考核</w:t>
            </w:r>
          </w:p>
        </w:tc>
        <w:tc>
          <w:tcPr>
            <w:tcW w:w="1155" w:type="dxa"/>
            <w:noWrap w:val="0"/>
            <w:vAlign w:val="center"/>
          </w:tcPr>
          <w:p w14:paraId="646E9C90">
            <w:pPr>
              <w:keepNext w:val="0"/>
              <w:keepLines w:val="0"/>
              <w:widowControl/>
              <w:suppressLineNumbers w:val="0"/>
              <w:jc w:val="center"/>
              <w:rPr>
                <w:rFonts w:hint="eastAsia" w:ascii="宋体" w:hAnsi="宋体" w:cs="宋体"/>
                <w:b w:val="0"/>
                <w:bCs w:val="0"/>
                <w:color w:val="auto"/>
                <w:sz w:val="24"/>
                <w:szCs w:val="24"/>
                <w:highlight w:val="none"/>
                <w:shd w:val="clear" w:color="auto" w:fill="auto"/>
                <w:lang w:val="en-US" w:eastAsia="zh-CN"/>
              </w:rPr>
            </w:pPr>
            <w:r>
              <w:rPr>
                <w:rFonts w:hint="eastAsia" w:ascii="宋体" w:hAnsi="宋体" w:eastAsia="宋体" w:cs="宋体"/>
                <w:i w:val="0"/>
                <w:iCs w:val="0"/>
                <w:color w:val="auto"/>
                <w:sz w:val="21"/>
                <w:szCs w:val="21"/>
                <w:u w:val="none"/>
                <w:lang w:val="en-US" w:eastAsia="zh-CN" w:bidi="ar"/>
              </w:rPr>
              <w:t>10</w:t>
            </w:r>
          </w:p>
        </w:tc>
        <w:tc>
          <w:tcPr>
            <w:tcW w:w="1200" w:type="dxa"/>
            <w:noWrap w:val="0"/>
            <w:vAlign w:val="center"/>
          </w:tcPr>
          <w:p w14:paraId="69E7671B">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数据安全</w:t>
            </w:r>
          </w:p>
        </w:tc>
        <w:tc>
          <w:tcPr>
            <w:tcW w:w="4241" w:type="dxa"/>
            <w:gridSpan w:val="2"/>
            <w:noWrap w:val="0"/>
            <w:vAlign w:val="center"/>
          </w:tcPr>
          <w:p w14:paraId="423A4E73">
            <w:pPr>
              <w:keepNext w:val="0"/>
              <w:keepLines w:val="0"/>
              <w:widowControl/>
              <w:suppressLineNumbers w:val="0"/>
              <w:jc w:val="both"/>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1、数据不外泄，未经甲方同意不得向外单位泄露单位数据信息，每发现1次扣2分；</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eastAsia="宋体" w:cs="宋体"/>
                <w:i w:val="0"/>
                <w:iCs w:val="0"/>
                <w:color w:val="auto"/>
                <w:sz w:val="21"/>
                <w:szCs w:val="21"/>
                <w:u w:val="none"/>
                <w:lang w:val="en-US" w:eastAsia="zh-CN" w:bidi="ar"/>
              </w:rPr>
              <w:t>2、配合甲方，按照甲方要求完成系统账号与密码配置，确保密码安全不泄露，每发现1次扣2分；</w:t>
            </w:r>
          </w:p>
        </w:tc>
      </w:tr>
      <w:tr w14:paraId="651BC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vMerge w:val="restart"/>
            <w:noWrap w:val="0"/>
            <w:vAlign w:val="center"/>
          </w:tcPr>
          <w:p w14:paraId="3E31FCED">
            <w:pPr>
              <w:pStyle w:val="286"/>
              <w:jc w:val="center"/>
              <w:rPr>
                <w:rStyle w:val="287"/>
                <w:rFonts w:hint="eastAsia" w:ascii="宋体" w:hAnsi="宋体" w:eastAsia="宋体" w:cs="仿宋"/>
                <w:color w:val="auto"/>
                <w:sz w:val="24"/>
                <w:szCs w:val="24"/>
                <w:highlight w:val="none"/>
                <w:lang w:eastAsia="zh-CN"/>
              </w:rPr>
            </w:pPr>
            <w:r>
              <w:rPr>
                <w:rStyle w:val="287"/>
                <w:rFonts w:hint="eastAsia" w:ascii="宋体" w:hAnsi="宋体" w:cs="仿宋"/>
                <w:color w:val="auto"/>
                <w:sz w:val="24"/>
                <w:szCs w:val="24"/>
                <w:highlight w:val="none"/>
                <w:lang w:val="en-US" w:eastAsia="zh-CN"/>
              </w:rPr>
              <w:t>4</w:t>
            </w:r>
          </w:p>
        </w:tc>
        <w:tc>
          <w:tcPr>
            <w:tcW w:w="1215" w:type="dxa"/>
            <w:vMerge w:val="restart"/>
            <w:noWrap w:val="0"/>
            <w:vAlign w:val="center"/>
          </w:tcPr>
          <w:p w14:paraId="6AAB84E6">
            <w:pPr>
              <w:pStyle w:val="286"/>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故障响应与处置考核</w:t>
            </w:r>
          </w:p>
        </w:tc>
        <w:tc>
          <w:tcPr>
            <w:tcW w:w="1155" w:type="dxa"/>
            <w:noWrap w:val="0"/>
            <w:vAlign w:val="center"/>
          </w:tcPr>
          <w:p w14:paraId="7BBA7AEF">
            <w:pPr>
              <w:pStyle w:val="286"/>
              <w:jc w:val="center"/>
              <w:rPr>
                <w:rStyle w:val="287"/>
                <w:rFonts w:hint="default" w:ascii="宋体" w:hAnsi="宋体" w:eastAsia="宋体" w:cs="仿宋"/>
                <w:color w:val="auto"/>
                <w:sz w:val="24"/>
                <w:szCs w:val="24"/>
                <w:highlight w:val="none"/>
                <w:lang w:val="en-US" w:eastAsia="zh-CN"/>
              </w:rPr>
            </w:pPr>
            <w:r>
              <w:rPr>
                <w:rStyle w:val="287"/>
                <w:rFonts w:hint="eastAsia" w:ascii="宋体" w:hAnsi="宋体" w:cs="仿宋"/>
                <w:color w:val="auto"/>
                <w:sz w:val="24"/>
                <w:szCs w:val="24"/>
                <w:highlight w:val="none"/>
                <w:lang w:val="en-US" w:eastAsia="zh-CN"/>
              </w:rPr>
              <w:t>10</w:t>
            </w:r>
          </w:p>
        </w:tc>
        <w:tc>
          <w:tcPr>
            <w:tcW w:w="1200" w:type="dxa"/>
            <w:noWrap w:val="0"/>
            <w:vAlign w:val="center"/>
          </w:tcPr>
          <w:p w14:paraId="57D98A5F">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响应速度</w:t>
            </w:r>
          </w:p>
        </w:tc>
        <w:tc>
          <w:tcPr>
            <w:tcW w:w="4241" w:type="dxa"/>
            <w:gridSpan w:val="2"/>
            <w:noWrap w:val="0"/>
            <w:vAlign w:val="center"/>
          </w:tcPr>
          <w:p w14:paraId="34E82FFA">
            <w:pPr>
              <w:keepNext w:val="0"/>
              <w:keepLines w:val="0"/>
              <w:widowControl/>
              <w:suppressLineNumbers w:val="0"/>
              <w:jc w:val="both"/>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1、收到故障指令后1小时内提供远程支持，超时扣0.5分；</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eastAsia="宋体" w:cs="宋体"/>
                <w:i w:val="0"/>
                <w:iCs w:val="0"/>
                <w:color w:val="auto"/>
                <w:sz w:val="21"/>
                <w:szCs w:val="21"/>
                <w:u w:val="none"/>
                <w:lang w:val="en-US" w:eastAsia="zh-CN" w:bidi="ar"/>
              </w:rPr>
              <w:t>2、3个小时查明问题原因，超时扣0.5分；</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eastAsia="宋体" w:cs="宋体"/>
                <w:i w:val="0"/>
                <w:iCs w:val="0"/>
                <w:color w:val="auto"/>
                <w:sz w:val="21"/>
                <w:szCs w:val="21"/>
                <w:u w:val="none"/>
                <w:lang w:val="en-US" w:eastAsia="zh-CN" w:bidi="ar"/>
              </w:rPr>
              <w:t>3、24小时内解决一般故障，超时扣0.5分；</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eastAsia="宋体" w:cs="宋体"/>
                <w:i w:val="0"/>
                <w:iCs w:val="0"/>
                <w:color w:val="auto"/>
                <w:sz w:val="21"/>
                <w:szCs w:val="21"/>
                <w:u w:val="none"/>
                <w:lang w:val="en-US" w:eastAsia="zh-CN" w:bidi="ar"/>
              </w:rPr>
              <w:t>4、72小时内解决重大故障，超时扣1分；</w:t>
            </w:r>
          </w:p>
        </w:tc>
      </w:tr>
      <w:tr w14:paraId="4B9D9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8" w:type="dxa"/>
            <w:vMerge w:val="continue"/>
            <w:noWrap w:val="0"/>
            <w:vAlign w:val="center"/>
          </w:tcPr>
          <w:p w14:paraId="470C82FE">
            <w:pPr>
              <w:pStyle w:val="286"/>
              <w:jc w:val="center"/>
              <w:rPr>
                <w:rStyle w:val="287"/>
                <w:rFonts w:hint="eastAsia" w:ascii="宋体" w:hAnsi="宋体" w:cs="仿宋"/>
                <w:color w:val="auto"/>
                <w:sz w:val="24"/>
                <w:szCs w:val="24"/>
                <w:highlight w:val="none"/>
                <w:lang w:val="en-US" w:eastAsia="zh-CN"/>
              </w:rPr>
            </w:pPr>
          </w:p>
        </w:tc>
        <w:tc>
          <w:tcPr>
            <w:tcW w:w="1215" w:type="dxa"/>
            <w:vMerge w:val="continue"/>
            <w:noWrap w:val="0"/>
            <w:vAlign w:val="center"/>
          </w:tcPr>
          <w:p w14:paraId="0FEF4605">
            <w:pPr>
              <w:pStyle w:val="286"/>
              <w:jc w:val="center"/>
              <w:rPr>
                <w:rStyle w:val="287"/>
                <w:rFonts w:hint="eastAsia" w:ascii="宋体" w:hAnsi="宋体" w:cs="仿宋"/>
                <w:color w:val="auto"/>
                <w:sz w:val="24"/>
                <w:szCs w:val="24"/>
                <w:highlight w:val="none"/>
              </w:rPr>
            </w:pPr>
          </w:p>
        </w:tc>
        <w:tc>
          <w:tcPr>
            <w:tcW w:w="1155" w:type="dxa"/>
            <w:noWrap w:val="0"/>
            <w:vAlign w:val="center"/>
          </w:tcPr>
          <w:p w14:paraId="0B255525">
            <w:pPr>
              <w:pStyle w:val="286"/>
              <w:jc w:val="center"/>
              <w:rPr>
                <w:rStyle w:val="287"/>
                <w:rFonts w:hint="default" w:ascii="宋体" w:hAnsi="宋体" w:eastAsia="宋体" w:cs="仿宋"/>
                <w:color w:val="auto"/>
                <w:sz w:val="24"/>
                <w:szCs w:val="24"/>
                <w:highlight w:val="none"/>
                <w:lang w:val="en-US" w:eastAsia="zh-CN"/>
              </w:rPr>
            </w:pPr>
            <w:r>
              <w:rPr>
                <w:rStyle w:val="287"/>
                <w:rFonts w:hint="eastAsia" w:ascii="宋体" w:hAnsi="宋体" w:cs="仿宋"/>
                <w:color w:val="auto"/>
                <w:sz w:val="24"/>
                <w:szCs w:val="24"/>
                <w:highlight w:val="none"/>
                <w:lang w:val="en-US" w:eastAsia="zh-CN"/>
              </w:rPr>
              <w:t>10</w:t>
            </w:r>
          </w:p>
        </w:tc>
        <w:tc>
          <w:tcPr>
            <w:tcW w:w="1200" w:type="dxa"/>
            <w:noWrap w:val="0"/>
            <w:vAlign w:val="center"/>
          </w:tcPr>
          <w:p w14:paraId="4D470C5D">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解决效果</w:t>
            </w:r>
          </w:p>
        </w:tc>
        <w:tc>
          <w:tcPr>
            <w:tcW w:w="4241" w:type="dxa"/>
            <w:gridSpan w:val="2"/>
            <w:noWrap w:val="0"/>
            <w:vAlign w:val="center"/>
          </w:tcPr>
          <w:p w14:paraId="4C2055DD">
            <w:pPr>
              <w:keepNext w:val="0"/>
              <w:keepLines w:val="0"/>
              <w:widowControl/>
              <w:suppressLineNumbers w:val="0"/>
              <w:jc w:val="both"/>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1、监控设备的在线率不低于90％，发现问题及时维护、保养和维修。每月平均在线率低于1个百分点扣0.5分（市政等客观原因的除外，需要提供相关证明材料）。</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eastAsia="宋体" w:cs="宋体"/>
                <w:i w:val="0"/>
                <w:iCs w:val="0"/>
                <w:color w:val="auto"/>
                <w:sz w:val="21"/>
                <w:szCs w:val="21"/>
                <w:u w:val="none"/>
                <w:lang w:val="en-US" w:eastAsia="zh-CN" w:bidi="ar"/>
              </w:rPr>
              <w:t>2、对讲机设备损坏；</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eastAsia="宋体" w:cs="宋体"/>
                <w:i w:val="0"/>
                <w:iCs w:val="0"/>
                <w:color w:val="auto"/>
                <w:sz w:val="21"/>
                <w:szCs w:val="21"/>
                <w:u w:val="none"/>
                <w:lang w:val="en-US" w:eastAsia="zh-CN" w:bidi="ar"/>
              </w:rPr>
              <w:t>3、质保期内执法记录仪发生损坏，收到故障指令后，乙方需在24小时内对接并将机器寄出至厂家修复，超时未寄出者每出现1次，扣0.5分；</w:t>
            </w:r>
            <w:r>
              <w:rPr>
                <w:rFonts w:hint="eastAsia" w:ascii="宋体" w:hAnsi="宋体" w:eastAsia="宋体" w:cs="宋体"/>
                <w:i w:val="0"/>
                <w:iCs w:val="0"/>
                <w:color w:val="auto"/>
                <w:sz w:val="21"/>
                <w:szCs w:val="21"/>
                <w:u w:val="none"/>
                <w:lang w:val="en-US" w:eastAsia="zh-CN" w:bidi="ar"/>
              </w:rPr>
              <w:br w:type="textWrapping"/>
            </w:r>
            <w:r>
              <w:rPr>
                <w:rFonts w:hint="eastAsia" w:ascii="宋体" w:hAnsi="宋体" w:cs="宋体"/>
                <w:i w:val="0"/>
                <w:iCs w:val="0"/>
                <w:color w:val="auto"/>
                <w:sz w:val="21"/>
                <w:szCs w:val="21"/>
                <w:u w:val="none"/>
                <w:lang w:val="en-US" w:eastAsia="zh-CN" w:bidi="ar"/>
              </w:rPr>
              <w:t>4</w:t>
            </w:r>
            <w:r>
              <w:rPr>
                <w:rFonts w:hint="eastAsia" w:ascii="宋体" w:hAnsi="宋体" w:eastAsia="宋体" w:cs="宋体"/>
                <w:i w:val="0"/>
                <w:iCs w:val="0"/>
                <w:color w:val="auto"/>
                <w:sz w:val="21"/>
                <w:szCs w:val="21"/>
                <w:u w:val="none"/>
                <w:lang w:val="en-US" w:eastAsia="zh-CN" w:bidi="ar"/>
              </w:rPr>
              <w:t>、设备间设备出现故障后，收到故障指令后，乙方一般故障在24小时内解决一般故障；72小时內解决重大故障，每出现1次超时，扣0.5分；</w:t>
            </w:r>
          </w:p>
        </w:tc>
      </w:tr>
      <w:tr w14:paraId="3281B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8" w:type="dxa"/>
            <w:noWrap w:val="0"/>
            <w:vAlign w:val="center"/>
          </w:tcPr>
          <w:p w14:paraId="24A4A49A">
            <w:pPr>
              <w:keepNext w:val="0"/>
              <w:keepLines w:val="0"/>
              <w:widowControl/>
              <w:suppressLineNumbers w:val="0"/>
              <w:jc w:val="center"/>
              <w:rPr>
                <w:rStyle w:val="287"/>
                <w:rFonts w:hint="eastAsia" w:ascii="宋体" w:hAnsi="宋体" w:eastAsia="宋体" w:cs="仿宋"/>
                <w:color w:val="auto"/>
                <w:sz w:val="24"/>
                <w:szCs w:val="24"/>
                <w:highlight w:val="none"/>
                <w:lang w:eastAsia="zh-CN"/>
              </w:rPr>
            </w:pPr>
            <w:r>
              <w:rPr>
                <w:rFonts w:hint="eastAsia" w:ascii="宋体" w:hAnsi="宋体" w:eastAsia="宋体" w:cs="宋体"/>
                <w:i w:val="0"/>
                <w:iCs w:val="0"/>
                <w:color w:val="auto"/>
                <w:sz w:val="22"/>
                <w:szCs w:val="22"/>
                <w:u w:val="none"/>
                <w:lang w:val="en-US" w:eastAsia="zh-CN" w:bidi="ar"/>
              </w:rPr>
              <w:t>5</w:t>
            </w:r>
          </w:p>
        </w:tc>
        <w:tc>
          <w:tcPr>
            <w:tcW w:w="1215" w:type="dxa"/>
            <w:noWrap w:val="0"/>
            <w:vAlign w:val="center"/>
          </w:tcPr>
          <w:p w14:paraId="0848D710">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运维保障考核</w:t>
            </w:r>
          </w:p>
        </w:tc>
        <w:tc>
          <w:tcPr>
            <w:tcW w:w="1155" w:type="dxa"/>
            <w:noWrap w:val="0"/>
            <w:vAlign w:val="center"/>
          </w:tcPr>
          <w:p w14:paraId="610009D6">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10</w:t>
            </w:r>
          </w:p>
        </w:tc>
        <w:tc>
          <w:tcPr>
            <w:tcW w:w="1200" w:type="dxa"/>
            <w:noWrap w:val="0"/>
            <w:vAlign w:val="center"/>
          </w:tcPr>
          <w:p w14:paraId="2B62789B">
            <w:pPr>
              <w:keepNext w:val="0"/>
              <w:keepLines w:val="0"/>
              <w:widowControl/>
              <w:suppressLineNumbers w:val="0"/>
              <w:jc w:val="center"/>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运维保障</w:t>
            </w:r>
          </w:p>
        </w:tc>
        <w:tc>
          <w:tcPr>
            <w:tcW w:w="4241" w:type="dxa"/>
            <w:gridSpan w:val="2"/>
            <w:noWrap w:val="0"/>
            <w:vAlign w:val="center"/>
          </w:tcPr>
          <w:p w14:paraId="72E39D24">
            <w:pPr>
              <w:keepNext w:val="0"/>
              <w:keepLines w:val="0"/>
              <w:widowControl/>
              <w:suppressLineNumbers w:val="0"/>
              <w:jc w:val="both"/>
              <w:rPr>
                <w:rStyle w:val="287"/>
                <w:rFonts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重大活动保障人为原因导致保障不到位的一次扣1分</w:t>
            </w:r>
          </w:p>
        </w:tc>
      </w:tr>
      <w:tr w14:paraId="401B5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8" w:type="dxa"/>
            <w:noWrap w:val="0"/>
            <w:vAlign w:val="center"/>
          </w:tcPr>
          <w:p w14:paraId="5C43163A">
            <w:pPr>
              <w:keepNext w:val="0"/>
              <w:keepLines w:val="0"/>
              <w:widowControl/>
              <w:suppressLineNumbers w:val="0"/>
              <w:jc w:val="center"/>
              <w:rPr>
                <w:rStyle w:val="287"/>
                <w:rFonts w:hint="eastAsia" w:ascii="宋体" w:hAnsi="宋体" w:cs="仿宋"/>
                <w:color w:val="auto"/>
                <w:sz w:val="24"/>
                <w:szCs w:val="24"/>
                <w:highlight w:val="none"/>
                <w:lang w:val="en-US" w:eastAsia="zh-CN"/>
              </w:rPr>
            </w:pPr>
            <w:r>
              <w:rPr>
                <w:rFonts w:hint="eastAsia" w:ascii="宋体" w:hAnsi="宋体" w:eastAsia="宋体" w:cs="宋体"/>
                <w:i w:val="0"/>
                <w:iCs w:val="0"/>
                <w:color w:val="auto"/>
                <w:sz w:val="22"/>
                <w:szCs w:val="22"/>
                <w:u w:val="none"/>
                <w:lang w:val="en-US" w:eastAsia="zh-CN" w:bidi="ar"/>
              </w:rPr>
              <w:t>6</w:t>
            </w:r>
          </w:p>
        </w:tc>
        <w:tc>
          <w:tcPr>
            <w:tcW w:w="1215" w:type="dxa"/>
            <w:noWrap w:val="0"/>
            <w:vAlign w:val="center"/>
          </w:tcPr>
          <w:p w14:paraId="10602FF4">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日常运维服务考核</w:t>
            </w:r>
          </w:p>
        </w:tc>
        <w:tc>
          <w:tcPr>
            <w:tcW w:w="1155" w:type="dxa"/>
            <w:noWrap w:val="0"/>
            <w:vAlign w:val="center"/>
          </w:tcPr>
          <w:p w14:paraId="719DF269">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10</w:t>
            </w:r>
          </w:p>
        </w:tc>
        <w:tc>
          <w:tcPr>
            <w:tcW w:w="1200" w:type="dxa"/>
            <w:noWrap w:val="0"/>
            <w:vAlign w:val="center"/>
          </w:tcPr>
          <w:p w14:paraId="1DC431BF">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定期巡检与报告提交</w:t>
            </w:r>
          </w:p>
        </w:tc>
        <w:tc>
          <w:tcPr>
            <w:tcW w:w="4241" w:type="dxa"/>
            <w:gridSpan w:val="2"/>
            <w:noWrap w:val="0"/>
            <w:vAlign w:val="center"/>
          </w:tcPr>
          <w:p w14:paraId="7A7D9F31">
            <w:pPr>
              <w:keepNext w:val="0"/>
              <w:keepLines w:val="0"/>
              <w:widowControl/>
              <w:suppressLineNumbers w:val="0"/>
              <w:jc w:val="both"/>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按照规定进行定期巡检（每年至少2次）、定期评估；巡检记录完整率100%，缺失一次巡检或评估，扣0.5分；</w:t>
            </w:r>
          </w:p>
        </w:tc>
      </w:tr>
      <w:tr w14:paraId="253CC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8" w:type="dxa"/>
            <w:noWrap w:val="0"/>
            <w:vAlign w:val="center"/>
          </w:tcPr>
          <w:p w14:paraId="40D2E05F">
            <w:pPr>
              <w:keepNext w:val="0"/>
              <w:keepLines w:val="0"/>
              <w:widowControl/>
              <w:suppressLineNumbers w:val="0"/>
              <w:jc w:val="center"/>
              <w:rPr>
                <w:rStyle w:val="287"/>
                <w:rFonts w:hint="eastAsia" w:ascii="宋体" w:hAnsi="宋体" w:cs="仿宋"/>
                <w:color w:val="auto"/>
                <w:sz w:val="24"/>
                <w:szCs w:val="24"/>
                <w:highlight w:val="none"/>
                <w:lang w:val="en-US" w:eastAsia="zh-CN"/>
              </w:rPr>
            </w:pPr>
            <w:r>
              <w:rPr>
                <w:rFonts w:hint="eastAsia" w:ascii="宋体" w:hAnsi="宋体" w:eastAsia="宋体" w:cs="宋体"/>
                <w:i w:val="0"/>
                <w:iCs w:val="0"/>
                <w:color w:val="auto"/>
                <w:sz w:val="22"/>
                <w:szCs w:val="22"/>
                <w:u w:val="none"/>
                <w:lang w:val="en-US" w:eastAsia="zh-CN" w:bidi="ar"/>
              </w:rPr>
              <w:t>7</w:t>
            </w:r>
          </w:p>
        </w:tc>
        <w:tc>
          <w:tcPr>
            <w:tcW w:w="1215" w:type="dxa"/>
            <w:noWrap w:val="0"/>
            <w:vAlign w:val="center"/>
          </w:tcPr>
          <w:p w14:paraId="30009CB4">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培训体系</w:t>
            </w:r>
          </w:p>
        </w:tc>
        <w:tc>
          <w:tcPr>
            <w:tcW w:w="1155" w:type="dxa"/>
            <w:noWrap w:val="0"/>
            <w:vAlign w:val="center"/>
          </w:tcPr>
          <w:p w14:paraId="2B4CB385">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10</w:t>
            </w:r>
          </w:p>
        </w:tc>
        <w:tc>
          <w:tcPr>
            <w:tcW w:w="1200" w:type="dxa"/>
            <w:noWrap w:val="0"/>
            <w:vAlign w:val="center"/>
          </w:tcPr>
          <w:p w14:paraId="48ED77B9">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培训体系</w:t>
            </w:r>
          </w:p>
        </w:tc>
        <w:tc>
          <w:tcPr>
            <w:tcW w:w="4241" w:type="dxa"/>
            <w:gridSpan w:val="2"/>
            <w:noWrap w:val="0"/>
            <w:vAlign w:val="center"/>
          </w:tcPr>
          <w:p w14:paraId="4B1744D7">
            <w:pPr>
              <w:keepNext w:val="0"/>
              <w:keepLines w:val="0"/>
              <w:widowControl/>
              <w:suppressLineNumbers w:val="0"/>
              <w:jc w:val="both"/>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每季度开展不少于1次运维人员业务培训，缺少一次扣0.5分；</w:t>
            </w:r>
          </w:p>
        </w:tc>
      </w:tr>
      <w:tr w14:paraId="209C9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8" w:type="dxa"/>
            <w:noWrap w:val="0"/>
            <w:vAlign w:val="center"/>
          </w:tcPr>
          <w:p w14:paraId="2DF73A3B">
            <w:pPr>
              <w:keepNext w:val="0"/>
              <w:keepLines w:val="0"/>
              <w:widowControl/>
              <w:suppressLineNumbers w:val="0"/>
              <w:jc w:val="center"/>
              <w:rPr>
                <w:rStyle w:val="287"/>
                <w:rFonts w:hint="eastAsia" w:ascii="宋体" w:hAnsi="宋体" w:cs="仿宋"/>
                <w:color w:val="auto"/>
                <w:sz w:val="24"/>
                <w:szCs w:val="24"/>
                <w:highlight w:val="none"/>
                <w:lang w:val="en-US" w:eastAsia="zh-CN"/>
              </w:rPr>
            </w:pPr>
            <w:r>
              <w:rPr>
                <w:rFonts w:hint="eastAsia" w:ascii="宋体" w:hAnsi="宋体" w:eastAsia="宋体" w:cs="宋体"/>
                <w:i w:val="0"/>
                <w:iCs w:val="0"/>
                <w:color w:val="auto"/>
                <w:sz w:val="22"/>
                <w:szCs w:val="22"/>
                <w:u w:val="none"/>
                <w:lang w:val="en-US" w:eastAsia="zh-CN" w:bidi="ar"/>
              </w:rPr>
              <w:t>8</w:t>
            </w:r>
          </w:p>
        </w:tc>
        <w:tc>
          <w:tcPr>
            <w:tcW w:w="1215" w:type="dxa"/>
            <w:noWrap w:val="0"/>
            <w:vAlign w:val="center"/>
          </w:tcPr>
          <w:p w14:paraId="2A601F6D">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台账资料完整度</w:t>
            </w:r>
          </w:p>
        </w:tc>
        <w:tc>
          <w:tcPr>
            <w:tcW w:w="1155" w:type="dxa"/>
            <w:noWrap w:val="0"/>
            <w:vAlign w:val="center"/>
          </w:tcPr>
          <w:p w14:paraId="7A1A400D">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10</w:t>
            </w:r>
          </w:p>
        </w:tc>
        <w:tc>
          <w:tcPr>
            <w:tcW w:w="1200" w:type="dxa"/>
            <w:noWrap w:val="0"/>
            <w:vAlign w:val="center"/>
          </w:tcPr>
          <w:p w14:paraId="7E4D6355">
            <w:pPr>
              <w:keepNext w:val="0"/>
              <w:keepLines w:val="0"/>
              <w:widowControl/>
              <w:suppressLineNumbers w:val="0"/>
              <w:jc w:val="center"/>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台账资料完整度</w:t>
            </w:r>
          </w:p>
        </w:tc>
        <w:tc>
          <w:tcPr>
            <w:tcW w:w="4241" w:type="dxa"/>
            <w:gridSpan w:val="2"/>
            <w:noWrap w:val="0"/>
            <w:vAlign w:val="center"/>
          </w:tcPr>
          <w:p w14:paraId="6F85022E">
            <w:pPr>
              <w:keepNext w:val="0"/>
              <w:keepLines w:val="0"/>
              <w:widowControl/>
              <w:suppressLineNumbers w:val="0"/>
              <w:jc w:val="both"/>
              <w:rPr>
                <w:rStyle w:val="287"/>
                <w:rFonts w:hint="eastAsia" w:ascii="宋体" w:hAnsi="宋体" w:cs="仿宋"/>
                <w:color w:val="auto"/>
                <w:sz w:val="24"/>
                <w:szCs w:val="24"/>
                <w:highlight w:val="none"/>
              </w:rPr>
            </w:pPr>
            <w:r>
              <w:rPr>
                <w:rFonts w:hint="eastAsia" w:ascii="宋体" w:hAnsi="宋体" w:eastAsia="宋体" w:cs="宋体"/>
                <w:i w:val="0"/>
                <w:iCs w:val="0"/>
                <w:color w:val="auto"/>
                <w:sz w:val="21"/>
                <w:szCs w:val="21"/>
                <w:u w:val="none"/>
                <w:lang w:val="en-US" w:eastAsia="zh-CN" w:bidi="ar"/>
              </w:rPr>
              <w:t>各类巡查记录、故障记录、安全管理台账等资料不齐全，每发现一次扣0.5分。</w:t>
            </w:r>
          </w:p>
        </w:tc>
      </w:tr>
      <w:tr w14:paraId="1DDF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5" w:type="dxa"/>
          <w:trHeight w:val="1966" w:hRule="atLeast"/>
        </w:trPr>
        <w:tc>
          <w:tcPr>
            <w:tcW w:w="8504" w:type="dxa"/>
            <w:gridSpan w:val="5"/>
            <w:noWrap w:val="0"/>
            <w:vAlign w:val="top"/>
          </w:tcPr>
          <w:p w14:paraId="5622C6D2">
            <w:pPr>
              <w:pStyle w:val="286"/>
              <w:ind w:firstLine="480"/>
              <w:rPr>
                <w:rStyle w:val="287"/>
                <w:rFonts w:ascii="宋体" w:hAnsi="宋体" w:eastAsia="宋体"/>
                <w:color w:val="auto"/>
                <w:sz w:val="24"/>
                <w:szCs w:val="24"/>
                <w:highlight w:val="none"/>
                <w:lang w:val="en-US" w:eastAsia="zh-CN"/>
              </w:rPr>
            </w:pPr>
            <w:r>
              <w:rPr>
                <w:rFonts w:hint="eastAsia" w:ascii="宋体" w:hAnsi="宋体" w:eastAsia="宋体" w:cs="宋体"/>
                <w:i w:val="0"/>
                <w:iCs w:val="0"/>
                <w:color w:val="auto"/>
                <w:sz w:val="22"/>
                <w:szCs w:val="22"/>
                <w:u w:val="none"/>
                <w:lang w:val="en-US" w:eastAsia="zh-CN" w:bidi="ar"/>
              </w:rPr>
              <w:t>考核以百分制计算，分为优秀、合格、不合格三个等级，得分70分以下为不合格；90分以上为优秀。</w:t>
            </w:r>
            <w:r>
              <w:rPr>
                <w:rFonts w:hint="eastAsia" w:ascii="宋体" w:hAnsi="宋体" w:eastAsia="宋体" w:cs="宋体"/>
                <w:i w:val="0"/>
                <w:iCs w:val="0"/>
                <w:color w:val="auto"/>
                <w:sz w:val="22"/>
                <w:szCs w:val="22"/>
                <w:u w:val="none"/>
                <w:lang w:val="en-US" w:eastAsia="zh-CN" w:bidi="ar"/>
              </w:rPr>
              <w:br w:type="textWrapping"/>
            </w:r>
            <w:r>
              <w:rPr>
                <w:rFonts w:hint="eastAsia" w:ascii="宋体" w:hAnsi="宋体" w:eastAsia="宋体" w:cs="宋体"/>
                <w:i w:val="0"/>
                <w:iCs w:val="0"/>
                <w:color w:val="auto"/>
                <w:sz w:val="22"/>
                <w:szCs w:val="22"/>
                <w:u w:val="none"/>
                <w:lang w:val="en-US" w:eastAsia="zh-CN" w:bidi="ar"/>
              </w:rPr>
              <w:t>费用结算明细表，经采购人考核后，按一下方式拨款：</w:t>
            </w:r>
            <w:r>
              <w:rPr>
                <w:rFonts w:hint="eastAsia" w:ascii="宋体" w:hAnsi="宋体" w:eastAsia="宋体" w:cs="宋体"/>
                <w:i w:val="0"/>
                <w:iCs w:val="0"/>
                <w:color w:val="auto"/>
                <w:sz w:val="22"/>
                <w:szCs w:val="22"/>
                <w:u w:val="none"/>
                <w:lang w:val="en-US" w:eastAsia="zh-CN" w:bidi="ar"/>
              </w:rPr>
              <w:br w:type="textWrapping"/>
            </w:r>
            <w:r>
              <w:rPr>
                <w:rFonts w:hint="eastAsia" w:ascii="宋体" w:hAnsi="宋体" w:eastAsia="宋体" w:cs="宋体"/>
                <w:i w:val="0"/>
                <w:iCs w:val="0"/>
                <w:color w:val="auto"/>
                <w:sz w:val="22"/>
                <w:szCs w:val="22"/>
                <w:u w:val="none"/>
                <w:lang w:val="en-US" w:eastAsia="zh-CN" w:bidi="ar"/>
              </w:rPr>
              <w:t>1、项目考核成绩在90分以上（不含90分），全额支付尾款费用；</w:t>
            </w:r>
            <w:r>
              <w:rPr>
                <w:rFonts w:hint="eastAsia" w:ascii="宋体" w:hAnsi="宋体" w:eastAsia="宋体" w:cs="宋体"/>
                <w:i w:val="0"/>
                <w:iCs w:val="0"/>
                <w:color w:val="auto"/>
                <w:sz w:val="22"/>
                <w:szCs w:val="22"/>
                <w:u w:val="none"/>
                <w:lang w:val="en-US" w:eastAsia="zh-CN" w:bidi="ar"/>
              </w:rPr>
              <w:br w:type="textWrapping"/>
            </w:r>
            <w:r>
              <w:rPr>
                <w:rFonts w:hint="eastAsia" w:ascii="宋体" w:hAnsi="宋体" w:eastAsia="宋体" w:cs="宋体"/>
                <w:i w:val="0"/>
                <w:iCs w:val="0"/>
                <w:color w:val="auto"/>
                <w:sz w:val="22"/>
                <w:szCs w:val="22"/>
                <w:u w:val="none"/>
                <w:lang w:val="en-US" w:eastAsia="zh-CN" w:bidi="ar"/>
              </w:rPr>
              <w:t>2、项目考核成绩在90-80分（含90分）之间的，每分扣500元；</w:t>
            </w:r>
            <w:r>
              <w:rPr>
                <w:rFonts w:hint="eastAsia" w:ascii="宋体" w:hAnsi="宋体" w:eastAsia="宋体" w:cs="宋体"/>
                <w:i w:val="0"/>
                <w:iCs w:val="0"/>
                <w:color w:val="auto"/>
                <w:sz w:val="22"/>
                <w:szCs w:val="22"/>
                <w:u w:val="none"/>
                <w:lang w:val="en-US" w:eastAsia="zh-CN" w:bidi="ar"/>
              </w:rPr>
              <w:br w:type="textWrapping"/>
            </w:r>
            <w:r>
              <w:rPr>
                <w:rFonts w:hint="eastAsia" w:ascii="宋体" w:hAnsi="宋体" w:eastAsia="宋体" w:cs="宋体"/>
                <w:i w:val="0"/>
                <w:iCs w:val="0"/>
                <w:color w:val="auto"/>
                <w:sz w:val="22"/>
                <w:szCs w:val="22"/>
                <w:u w:val="none"/>
                <w:lang w:val="en-US" w:eastAsia="zh-CN" w:bidi="ar"/>
              </w:rPr>
              <w:t>3、项目考核成绩在80-70分（含80分）之间的，每分扣1000元；</w:t>
            </w:r>
            <w:r>
              <w:rPr>
                <w:rFonts w:hint="eastAsia" w:ascii="宋体" w:hAnsi="宋体" w:eastAsia="宋体" w:cs="宋体"/>
                <w:i w:val="0"/>
                <w:iCs w:val="0"/>
                <w:color w:val="auto"/>
                <w:sz w:val="22"/>
                <w:szCs w:val="22"/>
                <w:u w:val="none"/>
                <w:lang w:val="en-US" w:eastAsia="zh-CN" w:bidi="ar"/>
              </w:rPr>
              <w:br w:type="textWrapping"/>
            </w:r>
            <w:r>
              <w:rPr>
                <w:rFonts w:hint="eastAsia" w:ascii="宋体" w:hAnsi="宋体" w:eastAsia="宋体" w:cs="宋体"/>
                <w:i w:val="0"/>
                <w:iCs w:val="0"/>
                <w:color w:val="auto"/>
                <w:sz w:val="22"/>
                <w:szCs w:val="22"/>
                <w:u w:val="none"/>
                <w:lang w:val="en-US" w:eastAsia="zh-CN" w:bidi="ar"/>
              </w:rPr>
              <w:t>4、项目考核成绩在70分以下的，每分扣1500元；</w:t>
            </w:r>
          </w:p>
        </w:tc>
      </w:tr>
    </w:tbl>
    <w:p w14:paraId="400F3018">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Cs/>
          <w:color w:val="auto"/>
          <w:sz w:val="24"/>
          <w:szCs w:val="24"/>
        </w:rPr>
      </w:pPr>
    </w:p>
    <w:p w14:paraId="060A537D">
      <w:pPr>
        <w:keepNext/>
        <w:jc w:val="center"/>
        <w:outlineLvl w:val="0"/>
        <w:rPr>
          <w:rFonts w:hint="eastAsia" w:ascii="Times New Roman" w:hAnsi="Times New Roman" w:eastAsia="黑体"/>
          <w:bCs/>
          <w:color w:val="auto"/>
          <w:sz w:val="44"/>
          <w:szCs w:val="28"/>
        </w:rPr>
      </w:pPr>
      <w:bookmarkStart w:id="216" w:name="_Toc11397"/>
    </w:p>
    <w:p w14:paraId="4B9695A6">
      <w:pPr>
        <w:pStyle w:val="17"/>
        <w:rPr>
          <w:rFonts w:hint="eastAsia" w:ascii="Times New Roman" w:hAnsi="Times New Roman" w:eastAsia="黑体"/>
          <w:bCs/>
          <w:color w:val="auto"/>
          <w:sz w:val="44"/>
          <w:szCs w:val="28"/>
        </w:rPr>
      </w:pPr>
    </w:p>
    <w:p w14:paraId="1C5B73A0">
      <w:pPr>
        <w:keepNext/>
        <w:jc w:val="left"/>
        <w:outlineLvl w:val="0"/>
        <w:rPr>
          <w:highlight w:val="none"/>
        </w:rPr>
      </w:pPr>
    </w:p>
    <w:p w14:paraId="19902F9A">
      <w:pPr>
        <w:keepNext/>
        <w:jc w:val="center"/>
        <w:outlineLvl w:val="0"/>
        <w:rPr>
          <w:highlight w:val="none"/>
        </w:rPr>
      </w:pPr>
      <w:r>
        <w:rPr>
          <w:rFonts w:hint="eastAsia" w:ascii="Times New Roman" w:hAnsi="Times New Roman" w:eastAsia="黑体"/>
          <w:bCs/>
          <w:color w:val="auto"/>
          <w:sz w:val="44"/>
          <w:szCs w:val="28"/>
        </w:rPr>
        <w:t xml:space="preserve">第五章  </w:t>
      </w:r>
      <w:r>
        <w:rPr>
          <w:rFonts w:hint="eastAsia" w:ascii="Times New Roman" w:hAnsi="Times New Roman" w:eastAsia="黑体"/>
          <w:b/>
          <w:bCs/>
          <w:color w:val="auto"/>
          <w:sz w:val="44"/>
          <w:szCs w:val="28"/>
        </w:rPr>
        <w:t>评审方法与评审标准</w:t>
      </w:r>
      <w:bookmarkEnd w:id="216"/>
    </w:p>
    <w:p w14:paraId="7AF1A5F0">
      <w:pPr>
        <w:spacing w:line="500" w:lineRule="exact"/>
        <w:ind w:firstLine="562"/>
        <w:jc w:val="left"/>
        <w:rPr>
          <w:rFonts w:ascii="Times New Roman" w:hAnsi="Times New Roman"/>
          <w:color w:val="auto"/>
          <w:sz w:val="24"/>
        </w:rPr>
      </w:pPr>
      <w:r>
        <w:rPr>
          <w:rFonts w:hint="eastAsia" w:ascii="仿宋_GB2312" w:hAnsi="Times New Roman" w:eastAsia="仿宋_GB2312"/>
          <w:b/>
          <w:color w:val="auto"/>
          <w:sz w:val="28"/>
        </w:rPr>
        <w:t>一、资格审查。</w:t>
      </w:r>
      <w:r>
        <w:rPr>
          <w:rFonts w:hint="eastAsia" w:ascii="Times New Roman" w:hAnsi="Times New Roman"/>
          <w:color w:val="auto"/>
          <w:sz w:val="24"/>
        </w:rPr>
        <w:t>资格审查人员按照下列指标对各供应商的资格进行审查，未通过审查的为无效标，不参与评审。</w:t>
      </w:r>
    </w:p>
    <w:tbl>
      <w:tblPr>
        <w:tblStyle w:val="4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4EB4AF9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vAlign w:val="center"/>
          </w:tcPr>
          <w:p w14:paraId="359A38C4">
            <w:pPr>
              <w:jc w:val="center"/>
              <w:rPr>
                <w:rFonts w:ascii="Times New Roman" w:hAnsi="Times New Roman"/>
                <w:color w:val="auto"/>
              </w:rPr>
            </w:pPr>
            <w:r>
              <w:rPr>
                <w:rFonts w:ascii="Times New Roman" w:hAnsi="Times New Roman"/>
                <w:color w:val="auto"/>
              </w:rPr>
              <w:t>资格审查因素</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0463D13A">
            <w:pPr>
              <w:jc w:val="center"/>
              <w:rPr>
                <w:rFonts w:ascii="Times New Roman" w:hAnsi="Times New Roman"/>
                <w:color w:val="auto"/>
              </w:rPr>
            </w:pPr>
            <w:r>
              <w:rPr>
                <w:rFonts w:ascii="Times New Roman" w:hAnsi="Times New Roman"/>
                <w:color w:val="auto"/>
              </w:rPr>
              <w:t>审查标准</w:t>
            </w:r>
          </w:p>
        </w:tc>
      </w:tr>
      <w:tr w14:paraId="34DE46F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vAlign w:val="center"/>
          </w:tcPr>
          <w:p w14:paraId="46A83A80">
            <w:pPr>
              <w:jc w:val="left"/>
              <w:rPr>
                <w:rFonts w:ascii="Times New Roman" w:hAnsi="Times New Roman"/>
                <w:color w:val="auto"/>
              </w:rPr>
            </w:pPr>
            <w:r>
              <w:rPr>
                <w:rFonts w:ascii="Times New Roman" w:hAnsi="Times New Roman"/>
                <w:color w:val="auto"/>
              </w:rPr>
              <w:t>响应声明及承诺函</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C7AA298">
            <w:pPr>
              <w:jc w:val="left"/>
              <w:rPr>
                <w:rFonts w:ascii="Times New Roman" w:hAnsi="Times New Roman"/>
                <w:color w:val="auto"/>
              </w:rPr>
            </w:pPr>
            <w:r>
              <w:rPr>
                <w:rFonts w:ascii="Times New Roman" w:hAnsi="Times New Roman"/>
                <w:color w:val="auto"/>
              </w:rPr>
              <w:t>符合磋商文件要求</w:t>
            </w:r>
          </w:p>
        </w:tc>
      </w:tr>
      <w:tr w14:paraId="78AC29A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vAlign w:val="center"/>
          </w:tcPr>
          <w:p w14:paraId="443E8FEB">
            <w:pPr>
              <w:jc w:val="left"/>
              <w:rPr>
                <w:rFonts w:ascii="Times New Roman" w:hAnsi="Times New Roman"/>
                <w:color w:val="auto"/>
              </w:rPr>
            </w:pPr>
            <w:r>
              <w:rPr>
                <w:rFonts w:ascii="Times New Roman" w:hAnsi="Times New Roman"/>
                <w:color w:val="auto"/>
              </w:rPr>
              <w:t>信用信息</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9C13315">
            <w:pPr>
              <w:jc w:val="left"/>
              <w:rPr>
                <w:rFonts w:ascii="Times New Roman" w:hAnsi="Times New Roman"/>
                <w:color w:val="auto"/>
              </w:rPr>
            </w:pPr>
            <w:r>
              <w:rPr>
                <w:rFonts w:ascii="Times New Roman" w:hAnsi="Times New Roman"/>
                <w:color w:val="auto"/>
              </w:rPr>
              <w:t>符合磋商文件要求</w:t>
            </w:r>
          </w:p>
        </w:tc>
      </w:tr>
      <w:tr w14:paraId="17D29D0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vAlign w:val="center"/>
          </w:tcPr>
          <w:p w14:paraId="0C612CCE">
            <w:pPr>
              <w:jc w:val="left"/>
              <w:rPr>
                <w:rFonts w:ascii="Times New Roman" w:hAnsi="Times New Roman"/>
                <w:color w:val="auto"/>
              </w:rPr>
            </w:pPr>
            <w:r>
              <w:rPr>
                <w:rFonts w:ascii="Times New Roman" w:hAnsi="Times New Roman"/>
                <w:color w:val="auto"/>
              </w:rPr>
              <w:t>联合体投标</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B43D603">
            <w:pPr>
              <w:jc w:val="left"/>
              <w:rPr>
                <w:rFonts w:ascii="Times New Roman" w:hAnsi="Times New Roman"/>
                <w:color w:val="auto"/>
              </w:rPr>
            </w:pPr>
            <w:r>
              <w:rPr>
                <w:rFonts w:ascii="Times New Roman" w:hAnsi="Times New Roman"/>
                <w:color w:val="auto"/>
              </w:rPr>
              <w:t>不接受联合体投标</w:t>
            </w:r>
          </w:p>
        </w:tc>
      </w:tr>
      <w:tr w14:paraId="22A6797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2132F49">
            <w:pPr>
              <w:jc w:val="left"/>
              <w:rPr>
                <w:rFonts w:ascii="Times New Roman" w:hAnsi="Times New Roman"/>
                <w:color w:val="auto"/>
              </w:rPr>
            </w:pPr>
            <w:r>
              <w:rPr>
                <w:rFonts w:ascii="Times New Roman" w:hAnsi="Times New Roman"/>
                <w:color w:val="auto"/>
              </w:rPr>
              <w:t>落实政府采购政策需满足的资格要求</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0EC42BB2">
            <w:pPr>
              <w:jc w:val="left"/>
              <w:rPr>
                <w:rFonts w:ascii="Times New Roman" w:hAnsi="Times New Roman"/>
                <w:color w:val="auto"/>
              </w:rPr>
            </w:pPr>
            <w:r>
              <w:rPr>
                <w:rFonts w:ascii="Times New Roman" w:hAnsi="Times New Roman"/>
                <w:color w:val="auto"/>
              </w:rPr>
              <w:t>符合磋商文件要求</w:t>
            </w:r>
          </w:p>
        </w:tc>
      </w:tr>
      <w:tr w14:paraId="3B2A289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tcPr>
          <w:p w14:paraId="564FBB5C">
            <w:pPr>
              <w:rPr>
                <w:color w:val="auto"/>
              </w:rPr>
            </w:pPr>
            <w:r>
              <w:rPr>
                <w:rFonts w:hint="eastAsia"/>
                <w:color w:val="auto"/>
              </w:rPr>
              <w:t>供应商代理人(授权委托人)资格要求</w:t>
            </w:r>
          </w:p>
        </w:tc>
        <w:tc>
          <w:tcPr>
            <w:tcW w:w="4438" w:type="dxa"/>
            <w:tcBorders>
              <w:top w:val="single" w:color="000000" w:sz="6" w:space="0"/>
              <w:left w:val="single" w:color="000000" w:sz="6" w:space="0"/>
              <w:bottom w:val="single" w:color="000000" w:sz="6" w:space="0"/>
              <w:right w:val="single" w:color="000000" w:sz="6" w:space="0"/>
            </w:tcBorders>
            <w:noWrap w:val="0"/>
          </w:tcPr>
          <w:p w14:paraId="258F3CBF">
            <w:pPr>
              <w:rPr>
                <w:color w:val="auto"/>
              </w:rPr>
            </w:pPr>
            <w:r>
              <w:rPr>
                <w:rFonts w:hint="eastAsia"/>
                <w:color w:val="auto"/>
              </w:rPr>
              <w:t>符合磋商文件要求</w:t>
            </w:r>
          </w:p>
        </w:tc>
      </w:tr>
      <w:tr w14:paraId="13E4AAC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noWrap w:val="0"/>
            <w:vAlign w:val="center"/>
          </w:tcPr>
          <w:p w14:paraId="75967A76">
            <w:pPr>
              <w:jc w:val="left"/>
              <w:rPr>
                <w:rFonts w:ascii="Times New Roman" w:hAnsi="Times New Roman"/>
                <w:color w:val="auto"/>
              </w:rPr>
            </w:pPr>
            <w:r>
              <w:rPr>
                <w:rFonts w:hint="eastAsia" w:ascii="Times New Roman" w:hAnsi="Times New Roman"/>
                <w:color w:val="auto"/>
              </w:rPr>
              <w:t>其他</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1E8944CF">
            <w:pPr>
              <w:jc w:val="left"/>
              <w:rPr>
                <w:rFonts w:ascii="Times New Roman" w:hAnsi="Times New Roman"/>
                <w:color w:val="auto"/>
              </w:rPr>
            </w:pPr>
            <w:r>
              <w:rPr>
                <w:rFonts w:ascii="Times New Roman" w:hAnsi="Times New Roman"/>
                <w:color w:val="auto"/>
              </w:rPr>
              <w:t>符合磋商文件要求</w:t>
            </w:r>
          </w:p>
        </w:tc>
      </w:tr>
    </w:tbl>
    <w:p w14:paraId="2FE0002F">
      <w:pPr>
        <w:spacing w:line="500" w:lineRule="exact"/>
        <w:ind w:firstLine="562"/>
        <w:jc w:val="left"/>
        <w:rPr>
          <w:rFonts w:ascii="Times New Roman" w:hAnsi="Times New Roman" w:eastAsia="仿宋_GB2312"/>
          <w:color w:val="auto"/>
          <w:sz w:val="24"/>
        </w:rPr>
      </w:pPr>
      <w:r>
        <w:rPr>
          <w:rFonts w:hint="eastAsia" w:ascii="仿宋_GB2312" w:hAnsi="Times New Roman" w:eastAsia="仿宋_GB2312"/>
          <w:b/>
          <w:color w:val="auto"/>
          <w:sz w:val="28"/>
        </w:rPr>
        <w:t>二、</w:t>
      </w:r>
      <w:r>
        <w:rPr>
          <w:rFonts w:hint="eastAsia" w:ascii="仿宋_GB2312" w:eastAsia="仿宋_GB2312"/>
          <w:b/>
          <w:color w:val="auto"/>
          <w:sz w:val="28"/>
        </w:rPr>
        <w:t>符合性审查。</w:t>
      </w:r>
      <w:r>
        <w:rPr>
          <w:rFonts w:hint="eastAsia" w:ascii="Times New Roman" w:hAnsi="Times New Roman"/>
          <w:color w:val="auto"/>
          <w:sz w:val="24"/>
        </w:rPr>
        <w:t>磋商小组首先按照下列指标对各供应商进行初步评审，未通过评审的为无效标，不再参与评审。</w:t>
      </w:r>
    </w:p>
    <w:tbl>
      <w:tblPr>
        <w:tblStyle w:val="4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68"/>
        <w:gridCol w:w="4424"/>
      </w:tblGrid>
      <w:tr w14:paraId="010A540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68" w:type="dxa"/>
            <w:tcBorders>
              <w:top w:val="single" w:color="000000" w:sz="6" w:space="0"/>
              <w:left w:val="single" w:color="000000" w:sz="6" w:space="0"/>
              <w:bottom w:val="single" w:color="000000" w:sz="6" w:space="0"/>
              <w:right w:val="single" w:color="000000" w:sz="6" w:space="0"/>
            </w:tcBorders>
            <w:noWrap w:val="0"/>
            <w:vAlign w:val="center"/>
          </w:tcPr>
          <w:p w14:paraId="103400A6">
            <w:pPr>
              <w:jc w:val="center"/>
              <w:rPr>
                <w:rFonts w:ascii="Times New Roman" w:hAnsi="Times New Roman"/>
                <w:color w:val="auto"/>
              </w:rPr>
            </w:pPr>
            <w:r>
              <w:rPr>
                <w:rFonts w:ascii="Times New Roman" w:hAnsi="Times New Roman"/>
                <w:color w:val="auto"/>
              </w:rPr>
              <w:t>评审因素</w:t>
            </w:r>
          </w:p>
        </w:tc>
        <w:tc>
          <w:tcPr>
            <w:tcW w:w="4424" w:type="dxa"/>
            <w:tcBorders>
              <w:top w:val="single" w:color="000000" w:sz="6" w:space="0"/>
              <w:left w:val="single" w:color="000000" w:sz="6" w:space="0"/>
              <w:bottom w:val="single" w:color="000000" w:sz="6" w:space="0"/>
              <w:right w:val="single" w:color="000000" w:sz="6" w:space="0"/>
            </w:tcBorders>
            <w:noWrap w:val="0"/>
            <w:vAlign w:val="center"/>
          </w:tcPr>
          <w:p w14:paraId="3E76D9F3">
            <w:pPr>
              <w:jc w:val="center"/>
              <w:rPr>
                <w:rFonts w:ascii="Times New Roman" w:hAnsi="Times New Roman"/>
                <w:color w:val="auto"/>
              </w:rPr>
            </w:pPr>
            <w:r>
              <w:rPr>
                <w:rFonts w:ascii="Times New Roman" w:hAnsi="Times New Roman"/>
                <w:color w:val="auto"/>
              </w:rPr>
              <w:t>评审标准</w:t>
            </w:r>
          </w:p>
        </w:tc>
      </w:tr>
      <w:tr w14:paraId="3414AE6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68" w:type="dxa"/>
            <w:tcBorders>
              <w:top w:val="single" w:color="000000" w:sz="6" w:space="0"/>
              <w:left w:val="single" w:color="000000" w:sz="6" w:space="0"/>
              <w:bottom w:val="single" w:color="000000" w:sz="6" w:space="0"/>
              <w:right w:val="single" w:color="000000" w:sz="6" w:space="0"/>
            </w:tcBorders>
            <w:noWrap w:val="0"/>
            <w:vAlign w:val="center"/>
          </w:tcPr>
          <w:p w14:paraId="5DED6E89">
            <w:pPr>
              <w:jc w:val="left"/>
              <w:rPr>
                <w:rFonts w:ascii="Times New Roman" w:hAnsi="Times New Roman"/>
                <w:color w:val="auto"/>
              </w:rPr>
            </w:pPr>
            <w:r>
              <w:rPr>
                <w:rFonts w:ascii="Times New Roman" w:hAnsi="Times New Roman"/>
                <w:color w:val="auto"/>
              </w:rPr>
              <w:t>法定代表人身份证明或授权委托书</w:t>
            </w:r>
          </w:p>
        </w:tc>
        <w:tc>
          <w:tcPr>
            <w:tcW w:w="4424" w:type="dxa"/>
            <w:tcBorders>
              <w:top w:val="single" w:color="000000" w:sz="6" w:space="0"/>
              <w:left w:val="single" w:color="000000" w:sz="6" w:space="0"/>
              <w:bottom w:val="single" w:color="000000" w:sz="6" w:space="0"/>
              <w:right w:val="single" w:color="000000" w:sz="6" w:space="0"/>
            </w:tcBorders>
            <w:noWrap w:val="0"/>
            <w:vAlign w:val="center"/>
          </w:tcPr>
          <w:p w14:paraId="4438BB3B">
            <w:pPr>
              <w:jc w:val="left"/>
              <w:rPr>
                <w:rFonts w:ascii="Times New Roman" w:hAnsi="Times New Roman"/>
                <w:color w:val="auto"/>
              </w:rPr>
            </w:pPr>
            <w:r>
              <w:rPr>
                <w:rFonts w:ascii="Times New Roman" w:hAnsi="Times New Roman"/>
                <w:color w:val="auto"/>
              </w:rPr>
              <w:t>符合磋商文件要求</w:t>
            </w:r>
          </w:p>
        </w:tc>
      </w:tr>
      <w:tr w14:paraId="20CBF59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68" w:type="dxa"/>
            <w:tcBorders>
              <w:top w:val="single" w:color="000000" w:sz="6" w:space="0"/>
              <w:left w:val="single" w:color="000000" w:sz="6" w:space="0"/>
              <w:bottom w:val="single" w:color="000000" w:sz="6" w:space="0"/>
              <w:right w:val="single" w:color="000000" w:sz="6" w:space="0"/>
            </w:tcBorders>
            <w:noWrap w:val="0"/>
            <w:vAlign w:val="center"/>
          </w:tcPr>
          <w:p w14:paraId="214B3BCA">
            <w:pPr>
              <w:jc w:val="left"/>
              <w:rPr>
                <w:rFonts w:ascii="Times New Roman" w:hAnsi="Times New Roman"/>
                <w:color w:val="auto"/>
              </w:rPr>
            </w:pPr>
            <w:r>
              <w:rPr>
                <w:rFonts w:ascii="Times New Roman" w:hAnsi="Times New Roman"/>
                <w:color w:val="auto"/>
              </w:rPr>
              <w:t>技术标准和要求</w:t>
            </w:r>
          </w:p>
        </w:tc>
        <w:tc>
          <w:tcPr>
            <w:tcW w:w="4424" w:type="dxa"/>
            <w:tcBorders>
              <w:top w:val="single" w:color="000000" w:sz="6" w:space="0"/>
              <w:left w:val="single" w:color="000000" w:sz="6" w:space="0"/>
              <w:bottom w:val="single" w:color="000000" w:sz="6" w:space="0"/>
              <w:right w:val="single" w:color="000000" w:sz="6" w:space="0"/>
            </w:tcBorders>
            <w:noWrap w:val="0"/>
            <w:vAlign w:val="center"/>
          </w:tcPr>
          <w:p w14:paraId="386B7AA8">
            <w:pPr>
              <w:jc w:val="left"/>
              <w:rPr>
                <w:rFonts w:ascii="Times New Roman" w:hAnsi="Times New Roman"/>
                <w:color w:val="auto"/>
              </w:rPr>
            </w:pPr>
            <w:r>
              <w:rPr>
                <w:rFonts w:ascii="Times New Roman" w:hAnsi="Times New Roman"/>
                <w:color w:val="auto"/>
              </w:rPr>
              <w:t>符合</w:t>
            </w:r>
            <w:r>
              <w:rPr>
                <w:rFonts w:hint="eastAsia" w:ascii="Times New Roman" w:hAnsi="Times New Roman"/>
                <w:color w:val="auto"/>
              </w:rPr>
              <w:t>磋商文件</w:t>
            </w:r>
            <w:r>
              <w:rPr>
                <w:rFonts w:ascii="Times New Roman" w:hAnsi="Times New Roman"/>
                <w:color w:val="auto"/>
              </w:rPr>
              <w:t>要求</w:t>
            </w:r>
          </w:p>
        </w:tc>
      </w:tr>
      <w:tr w14:paraId="26AC76A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68" w:type="dxa"/>
            <w:tcBorders>
              <w:top w:val="single" w:color="000000" w:sz="6" w:space="0"/>
              <w:left w:val="single" w:color="000000" w:sz="6" w:space="0"/>
              <w:bottom w:val="single" w:color="000000" w:sz="6" w:space="0"/>
              <w:right w:val="single" w:color="000000" w:sz="6" w:space="0"/>
            </w:tcBorders>
            <w:noWrap w:val="0"/>
            <w:vAlign w:val="center"/>
          </w:tcPr>
          <w:p w14:paraId="0F92D9A3">
            <w:pPr>
              <w:jc w:val="left"/>
              <w:rPr>
                <w:rFonts w:ascii="Times New Roman" w:hAnsi="Times New Roman"/>
                <w:color w:val="auto"/>
              </w:rPr>
            </w:pPr>
            <w:r>
              <w:rPr>
                <w:rFonts w:ascii="Times New Roman" w:hAnsi="Times New Roman"/>
                <w:color w:val="auto"/>
              </w:rPr>
              <w:t>其他</w:t>
            </w:r>
          </w:p>
        </w:tc>
        <w:tc>
          <w:tcPr>
            <w:tcW w:w="4424" w:type="dxa"/>
            <w:tcBorders>
              <w:top w:val="single" w:color="000000" w:sz="6" w:space="0"/>
              <w:left w:val="single" w:color="000000" w:sz="6" w:space="0"/>
              <w:bottom w:val="single" w:color="000000" w:sz="6" w:space="0"/>
              <w:right w:val="single" w:color="000000" w:sz="6" w:space="0"/>
            </w:tcBorders>
            <w:noWrap w:val="0"/>
            <w:vAlign w:val="center"/>
          </w:tcPr>
          <w:p w14:paraId="21CA5612">
            <w:pPr>
              <w:jc w:val="left"/>
              <w:rPr>
                <w:rFonts w:ascii="Times New Roman" w:hAnsi="Times New Roman"/>
                <w:color w:val="auto"/>
              </w:rPr>
            </w:pPr>
            <w:r>
              <w:rPr>
                <w:rFonts w:ascii="Times New Roman" w:hAnsi="Times New Roman"/>
                <w:color w:val="auto"/>
              </w:rPr>
              <w:t>符合磋商文件要求</w:t>
            </w:r>
          </w:p>
        </w:tc>
      </w:tr>
    </w:tbl>
    <w:p w14:paraId="76AE0A85">
      <w:pPr>
        <w:spacing w:line="500" w:lineRule="exact"/>
        <w:ind w:firstLine="562"/>
        <w:rPr>
          <w:rFonts w:ascii="仿宋_GB2312" w:hAnsi="Times New Roman" w:eastAsia="仿宋_GB2312"/>
          <w:b/>
          <w:color w:val="auto"/>
          <w:sz w:val="28"/>
        </w:rPr>
      </w:pPr>
      <w:r>
        <w:rPr>
          <w:rFonts w:hint="eastAsia" w:ascii="仿宋_GB2312" w:hAnsi="Times New Roman" w:eastAsia="仿宋_GB2312"/>
          <w:b/>
          <w:color w:val="auto"/>
          <w:sz w:val="28"/>
        </w:rPr>
        <w:t>三、评分办法—综合评分法</w:t>
      </w:r>
    </w:p>
    <w:p w14:paraId="44B43D10">
      <w:pPr>
        <w:spacing w:line="500" w:lineRule="exact"/>
        <w:ind w:firstLine="482"/>
        <w:jc w:val="left"/>
        <w:rPr>
          <w:rFonts w:ascii="Times New Roman" w:hAnsi="Times New Roman"/>
          <w:color w:val="auto"/>
          <w:sz w:val="24"/>
        </w:rPr>
      </w:pPr>
      <w:r>
        <w:rPr>
          <w:rFonts w:hint="eastAsia" w:ascii="Times New Roman" w:hAnsi="Times New Roman" w:eastAsia="仿宋_GB2312"/>
          <w:b/>
          <w:color w:val="auto"/>
          <w:sz w:val="24"/>
        </w:rPr>
        <w:t>（一）评标办法：</w:t>
      </w:r>
      <w:r>
        <w:rPr>
          <w:rFonts w:ascii="Times New Roman" w:hAnsi="Times New Roman"/>
          <w:color w:val="auto"/>
          <w:sz w:val="24"/>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auto"/>
          <w:sz w:val="24"/>
        </w:rPr>
        <w:t>按得分高低顺序推荐成交候选人。得分相同的，按报价从低到高顺序排列</w:t>
      </w:r>
      <w:r>
        <w:rPr>
          <w:rFonts w:hint="eastAsia" w:ascii="Times New Roman" w:hAnsi="Times New Roman"/>
          <w:color w:val="auto"/>
          <w:sz w:val="24"/>
          <w:lang w:eastAsia="zh-CN"/>
        </w:rPr>
        <w:t>；</w:t>
      </w:r>
      <w:r>
        <w:rPr>
          <w:rFonts w:hint="eastAsia" w:ascii="Times New Roman" w:hAnsi="Times New Roman"/>
          <w:color w:val="auto"/>
          <w:sz w:val="24"/>
        </w:rPr>
        <w:t>得分且报价相同的，按技术指标优劣顺序排列。</w:t>
      </w:r>
    </w:p>
    <w:p w14:paraId="2BE248B9">
      <w:pPr>
        <w:spacing w:line="500" w:lineRule="exact"/>
        <w:ind w:firstLine="480"/>
        <w:jc w:val="left"/>
        <w:rPr>
          <w:rFonts w:ascii="Times New Roman" w:hAnsi="Times New Roman"/>
          <w:color w:val="auto"/>
          <w:sz w:val="24"/>
        </w:rPr>
      </w:pPr>
      <w:r>
        <w:rPr>
          <w:rFonts w:ascii="Times New Roman" w:hAnsi="Times New Roman"/>
          <w:color w:val="auto"/>
          <w:sz w:val="24"/>
        </w:rPr>
        <w:t>磋商小组</w:t>
      </w:r>
      <w:r>
        <w:rPr>
          <w:rFonts w:hint="eastAsia" w:ascii="Times New Roman" w:hAnsi="Times New Roman"/>
          <w:color w:val="auto"/>
          <w:sz w:val="24"/>
        </w:rPr>
        <w:t>根据评审后供应商排序推荐3名成交候选人。响应文件满足磋商文件全部实质性要求，且评审后排序第一的供应商为第一成交候选人，依次类推。</w:t>
      </w:r>
    </w:p>
    <w:p w14:paraId="658AFF48">
      <w:pPr>
        <w:spacing w:line="500" w:lineRule="exact"/>
        <w:ind w:firstLine="480"/>
        <w:jc w:val="left"/>
        <w:rPr>
          <w:rFonts w:ascii="Times New Roman" w:hAnsi="Times New Roman"/>
          <w:color w:val="auto"/>
          <w:sz w:val="24"/>
        </w:rPr>
      </w:pPr>
      <w:r>
        <w:rPr>
          <w:rFonts w:hint="eastAsia" w:ascii="Times New Roman" w:hAnsi="Times New Roman"/>
          <w:color w:val="auto"/>
          <w:sz w:val="24"/>
        </w:rPr>
        <w:t xml:space="preserve">综合评分保留至小数点后两位。 </w:t>
      </w:r>
    </w:p>
    <w:p w14:paraId="408D4A76">
      <w:pPr>
        <w:numPr>
          <w:ilvl w:val="0"/>
          <w:numId w:val="1"/>
        </w:numPr>
        <w:spacing w:line="500" w:lineRule="exact"/>
        <w:ind w:firstLine="482"/>
        <w:jc w:val="left"/>
        <w:rPr>
          <w:rFonts w:ascii="Times New Roman" w:hAnsi="Times New Roman"/>
          <w:color w:val="auto"/>
          <w:sz w:val="24"/>
        </w:rPr>
      </w:pPr>
      <w:r>
        <w:rPr>
          <w:rFonts w:hint="eastAsia" w:ascii="Times New Roman" w:hAnsi="Times New Roman" w:eastAsia="仿宋_GB2312"/>
          <w:b/>
          <w:color w:val="auto"/>
          <w:sz w:val="24"/>
        </w:rPr>
        <w:t>详细评审。</w:t>
      </w:r>
      <w:r>
        <w:rPr>
          <w:rFonts w:hint="eastAsia" w:ascii="Times New Roman" w:hAnsi="Times New Roman"/>
          <w:color w:val="auto"/>
          <w:sz w:val="24"/>
        </w:rPr>
        <w:t>磋商小组按照竞争性磋商文件规定的评分标准，对各响应文件进行详细评审打分。磋商小组组长对各评审专家的打分情况进行复核无误后汇总。</w:t>
      </w:r>
    </w:p>
    <w:tbl>
      <w:tblPr>
        <w:tblStyle w:val="268"/>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97"/>
        <w:gridCol w:w="990"/>
        <w:gridCol w:w="990"/>
        <w:gridCol w:w="6779"/>
      </w:tblGrid>
      <w:tr w14:paraId="5DF47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tblHeader/>
          <w:jc w:val="center"/>
        </w:trPr>
        <w:tc>
          <w:tcPr>
            <w:tcW w:w="2087" w:type="dxa"/>
            <w:gridSpan w:val="2"/>
            <w:noWrap w:val="0"/>
          </w:tcPr>
          <w:p w14:paraId="190853EE">
            <w:pPr>
              <w:spacing w:before="57" w:line="228" w:lineRule="auto"/>
              <w:jc w:val="center"/>
              <w:rPr>
                <w:rFonts w:ascii="宋体" w:hAnsi="宋体" w:cs="宋体"/>
                <w:b/>
                <w:color w:val="auto"/>
                <w:szCs w:val="24"/>
              </w:rPr>
            </w:pPr>
            <w:r>
              <w:rPr>
                <w:rFonts w:ascii="宋体" w:hAnsi="宋体" w:cs="宋体"/>
                <w:b/>
                <w:color w:val="auto"/>
                <w:spacing w:val="7"/>
                <w:szCs w:val="24"/>
              </w:rPr>
              <w:t>评审因素</w:t>
            </w:r>
          </w:p>
        </w:tc>
        <w:tc>
          <w:tcPr>
            <w:tcW w:w="990" w:type="dxa"/>
            <w:noWrap w:val="0"/>
            <w:vAlign w:val="center"/>
          </w:tcPr>
          <w:p w14:paraId="6B0D9C96">
            <w:pPr>
              <w:jc w:val="center"/>
            </w:pPr>
            <w:r>
              <w:rPr>
                <w:rFonts w:ascii="宋体" w:hAnsi="宋体" w:cs="宋体"/>
                <w:b/>
                <w:color w:val="auto"/>
                <w:spacing w:val="7"/>
                <w:szCs w:val="24"/>
              </w:rPr>
              <w:t>分数</w:t>
            </w:r>
          </w:p>
        </w:tc>
        <w:tc>
          <w:tcPr>
            <w:tcW w:w="6779" w:type="dxa"/>
            <w:noWrap w:val="0"/>
          </w:tcPr>
          <w:p w14:paraId="6BAE2E62">
            <w:pPr>
              <w:spacing w:before="57" w:line="229" w:lineRule="auto"/>
              <w:jc w:val="center"/>
              <w:rPr>
                <w:rFonts w:ascii="宋体" w:hAnsi="宋体" w:cs="宋体"/>
                <w:b/>
                <w:color w:val="auto"/>
                <w:szCs w:val="24"/>
              </w:rPr>
            </w:pPr>
            <w:r>
              <w:rPr>
                <w:rFonts w:ascii="宋体" w:hAnsi="宋体" w:cs="宋体"/>
                <w:b/>
                <w:color w:val="auto"/>
                <w:spacing w:val="7"/>
                <w:szCs w:val="24"/>
              </w:rPr>
              <w:t>评审标准</w:t>
            </w:r>
          </w:p>
        </w:tc>
      </w:tr>
      <w:tr w14:paraId="19E3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97" w:type="dxa"/>
            <w:noWrap w:val="0"/>
            <w:vAlign w:val="center"/>
          </w:tcPr>
          <w:p w14:paraId="642778C6">
            <w:pPr>
              <w:spacing w:before="65" w:line="228" w:lineRule="auto"/>
              <w:ind w:left="13"/>
              <w:jc w:val="center"/>
              <w:rPr>
                <w:rFonts w:ascii="宋体" w:hAnsi="宋体" w:cs="宋体"/>
                <w:color w:val="auto"/>
                <w:spacing w:val="7"/>
                <w:szCs w:val="24"/>
              </w:rPr>
            </w:pPr>
            <w:r>
              <w:rPr>
                <w:rFonts w:ascii="Times New Roman" w:hAnsi="Times New Roman" w:cs="Arial"/>
                <w:color w:val="auto"/>
                <w:szCs w:val="21"/>
              </w:rPr>
              <w:t>报价分</w:t>
            </w:r>
          </w:p>
        </w:tc>
        <w:tc>
          <w:tcPr>
            <w:tcW w:w="990" w:type="dxa"/>
            <w:noWrap w:val="0"/>
            <w:vAlign w:val="center"/>
          </w:tcPr>
          <w:p w14:paraId="4978E722">
            <w:pPr>
              <w:spacing w:before="65" w:line="228" w:lineRule="auto"/>
              <w:ind w:left="7"/>
              <w:jc w:val="center"/>
              <w:rPr>
                <w:rFonts w:ascii="宋体" w:hAnsi="宋体" w:cs="宋体"/>
                <w:color w:val="auto"/>
                <w:szCs w:val="24"/>
              </w:rPr>
            </w:pPr>
            <w:r>
              <w:rPr>
                <w:rFonts w:hint="eastAsia" w:ascii="宋体" w:hAnsi="宋体" w:cs="宋体"/>
                <w:color w:val="auto"/>
                <w:szCs w:val="24"/>
              </w:rPr>
              <w:t>投标</w:t>
            </w:r>
            <w:r>
              <w:rPr>
                <w:rFonts w:ascii="宋体" w:hAnsi="宋体" w:cs="宋体"/>
                <w:color w:val="auto"/>
                <w:szCs w:val="24"/>
              </w:rPr>
              <w:t>报价</w:t>
            </w:r>
          </w:p>
        </w:tc>
        <w:tc>
          <w:tcPr>
            <w:tcW w:w="990" w:type="dxa"/>
            <w:noWrap w:val="0"/>
            <w:vAlign w:val="center"/>
          </w:tcPr>
          <w:p w14:paraId="4139DFA1">
            <w:pPr>
              <w:jc w:val="center"/>
            </w:pPr>
            <w:r>
              <w:t>10.00 分</w:t>
            </w:r>
          </w:p>
        </w:tc>
        <w:tc>
          <w:tcPr>
            <w:tcW w:w="6779" w:type="dxa"/>
            <w:noWrap w:val="0"/>
          </w:tcPr>
          <w:p w14:paraId="43D0DBD1">
            <w:pPr>
              <w:spacing w:before="34" w:line="268" w:lineRule="auto"/>
              <w:ind w:left="9"/>
              <w:rPr>
                <w:rFonts w:hint="eastAsia" w:ascii="Times New Roman" w:hAnsi="Times New Roman" w:cs="Arial"/>
                <w:color w:val="auto"/>
                <w:szCs w:val="21"/>
              </w:rPr>
            </w:pPr>
            <w:bookmarkStart w:id="217" w:name="OLE_LINK4"/>
            <w:r>
              <w:rPr>
                <w:rFonts w:hint="eastAsia" w:ascii="Times New Roman" w:hAnsi="Times New Roman" w:cs="Arial"/>
                <w:color w:val="auto"/>
                <w:szCs w:val="21"/>
              </w:rPr>
              <w:t>即满足磋商文件要求且最后报价最低的供应商的价格为磋商基准价，其价格分为满分。其他供应商的价格分统一按照下列公式计算：磋商报价得分=（磋商基准价/最后磋商报价）*10。</w:t>
            </w:r>
            <w:bookmarkEnd w:id="217"/>
          </w:p>
          <w:p w14:paraId="4151FD1F">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友情提醒：供应商报价时请查看本磋商文件“26.7异常低价投标审查”相关要求。</w:t>
            </w:r>
          </w:p>
        </w:tc>
      </w:tr>
      <w:tr w14:paraId="7039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6" w:hRule="atLeast"/>
          <w:jc w:val="center"/>
        </w:trPr>
        <w:tc>
          <w:tcPr>
            <w:tcW w:w="1097" w:type="dxa"/>
            <w:noWrap w:val="0"/>
            <w:vAlign w:val="center"/>
          </w:tcPr>
          <w:p w14:paraId="7859AD3F">
            <w:pPr>
              <w:spacing w:before="65" w:line="228" w:lineRule="auto"/>
              <w:ind w:left="13"/>
              <w:jc w:val="center"/>
              <w:rPr>
                <w:rFonts w:ascii="宋体" w:hAnsi="宋体" w:cs="宋体"/>
                <w:color w:val="auto"/>
                <w:spacing w:val="7"/>
                <w:szCs w:val="24"/>
              </w:rPr>
            </w:pPr>
            <w:r>
              <w:rPr>
                <w:rFonts w:ascii="宋体" w:hAnsi="宋体" w:cs="宋体"/>
                <w:color w:val="auto"/>
                <w:spacing w:val="7"/>
                <w:szCs w:val="24"/>
              </w:rPr>
              <w:t>技术响应</w:t>
            </w:r>
          </w:p>
        </w:tc>
        <w:tc>
          <w:tcPr>
            <w:tcW w:w="990" w:type="dxa"/>
            <w:noWrap w:val="0"/>
            <w:vAlign w:val="center"/>
          </w:tcPr>
          <w:p w14:paraId="35FAA86D">
            <w:pPr>
              <w:spacing w:before="65" w:line="228" w:lineRule="auto"/>
              <w:ind w:left="7"/>
              <w:jc w:val="center"/>
              <w:rPr>
                <w:rFonts w:hint="eastAsia" w:ascii="宋体" w:hAnsi="宋体" w:cs="宋体"/>
                <w:color w:val="auto"/>
                <w:spacing w:val="8"/>
                <w:szCs w:val="24"/>
              </w:rPr>
            </w:pPr>
            <w:r>
              <w:rPr>
                <w:rFonts w:hint="eastAsia" w:ascii="宋体" w:hAnsi="宋体" w:cs="宋体"/>
                <w:color w:val="auto"/>
                <w:spacing w:val="8"/>
                <w:szCs w:val="24"/>
              </w:rPr>
              <w:t>技术参数响应</w:t>
            </w:r>
          </w:p>
        </w:tc>
        <w:tc>
          <w:tcPr>
            <w:tcW w:w="990" w:type="dxa"/>
            <w:noWrap w:val="0"/>
            <w:vAlign w:val="center"/>
          </w:tcPr>
          <w:p w14:paraId="7A6FB4D5">
            <w:pPr>
              <w:jc w:val="center"/>
              <w:rPr>
                <w:rFonts w:hint="eastAsia"/>
                <w:lang w:val="en-US" w:eastAsia="zh-CN"/>
              </w:rPr>
            </w:pPr>
            <w:r>
              <w:rPr>
                <w:rFonts w:hint="eastAsia"/>
                <w:lang w:val="en-US" w:eastAsia="zh-CN"/>
              </w:rPr>
              <w:t>30</w:t>
            </w:r>
            <w:r>
              <w:t>.00 分</w:t>
            </w:r>
          </w:p>
        </w:tc>
        <w:tc>
          <w:tcPr>
            <w:tcW w:w="6779" w:type="dxa"/>
            <w:noWrap w:val="0"/>
            <w:vAlign w:val="top"/>
          </w:tcPr>
          <w:p w14:paraId="519D18B9">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投标人所投产品的技术参数能够完全响应招标文件要求的得30分：</w:t>
            </w:r>
          </w:p>
          <w:p w14:paraId="6304C07B">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1、采购清单中技术要求前标有“★”部分，为实质性要求技术参数（共</w:t>
            </w:r>
            <w:r>
              <w:rPr>
                <w:rFonts w:hint="eastAsia" w:ascii="Times New Roman" w:hAnsi="Times New Roman" w:cs="Arial"/>
                <w:color w:val="auto"/>
                <w:szCs w:val="21"/>
                <w:lang w:val="en-US" w:eastAsia="zh-CN"/>
              </w:rPr>
              <w:t>1</w:t>
            </w:r>
            <w:r>
              <w:rPr>
                <w:rFonts w:hint="eastAsia" w:ascii="Times New Roman" w:hAnsi="Times New Roman" w:cs="Arial"/>
                <w:color w:val="auto"/>
                <w:szCs w:val="21"/>
              </w:rPr>
              <w:t>条），不接受负偏离，按要求提供证明材料，否则按无效标处理。</w:t>
            </w:r>
          </w:p>
          <w:p w14:paraId="7C6015D8">
            <w:pPr>
              <w:spacing w:before="34" w:line="268" w:lineRule="auto"/>
              <w:ind w:left="9"/>
              <w:rPr>
                <w:rFonts w:hint="default" w:ascii="Times New Roman" w:hAnsi="Times New Roman" w:eastAsia="宋体" w:cs="Arial"/>
                <w:color w:val="auto"/>
                <w:szCs w:val="21"/>
                <w:lang w:val="en-US" w:eastAsia="zh-CN"/>
              </w:rPr>
            </w:pPr>
            <w:r>
              <w:rPr>
                <w:rFonts w:hint="eastAsia" w:ascii="Times New Roman" w:hAnsi="Times New Roman" w:cs="Arial"/>
                <w:color w:val="auto"/>
                <w:szCs w:val="21"/>
              </w:rPr>
              <w:t>2、采购清单中技术要求前标有“▲”部分，为重要技术参数（共</w:t>
            </w:r>
            <w:r>
              <w:rPr>
                <w:rFonts w:hint="eastAsia" w:ascii="Times New Roman" w:hAnsi="Times New Roman" w:cs="Arial"/>
                <w:color w:val="auto"/>
                <w:szCs w:val="21"/>
                <w:lang w:val="en-US" w:eastAsia="zh-CN"/>
              </w:rPr>
              <w:t>6</w:t>
            </w:r>
            <w:r>
              <w:rPr>
                <w:rFonts w:hint="eastAsia" w:ascii="Times New Roman" w:hAnsi="Times New Roman" w:cs="Arial"/>
                <w:color w:val="auto"/>
                <w:szCs w:val="21"/>
              </w:rPr>
              <w:t>条，合计</w:t>
            </w:r>
            <w:r>
              <w:rPr>
                <w:rFonts w:hint="eastAsia" w:ascii="Times New Roman" w:hAnsi="Times New Roman" w:cs="Arial"/>
                <w:color w:val="auto"/>
                <w:szCs w:val="21"/>
                <w:lang w:val="en-US" w:eastAsia="zh-CN"/>
              </w:rPr>
              <w:t>12</w:t>
            </w:r>
            <w:r>
              <w:rPr>
                <w:rFonts w:hint="eastAsia" w:ascii="Times New Roman" w:hAnsi="Times New Roman" w:cs="Arial"/>
                <w:color w:val="auto"/>
                <w:szCs w:val="21"/>
              </w:rPr>
              <w:t>分），每有一项负偏离扣</w:t>
            </w:r>
            <w:r>
              <w:rPr>
                <w:rFonts w:hint="eastAsia" w:ascii="Times New Roman" w:hAnsi="Times New Roman" w:cs="Arial"/>
                <w:color w:val="auto"/>
                <w:szCs w:val="21"/>
                <w:lang w:val="en-US" w:eastAsia="zh-CN"/>
              </w:rPr>
              <w:t>2</w:t>
            </w:r>
            <w:r>
              <w:rPr>
                <w:rFonts w:hint="eastAsia" w:ascii="Times New Roman" w:hAnsi="Times New Roman" w:cs="Arial"/>
                <w:color w:val="auto"/>
                <w:szCs w:val="21"/>
              </w:rPr>
              <w:t>分，正偏离</w:t>
            </w:r>
            <w:r>
              <w:rPr>
                <w:rFonts w:hint="eastAsia" w:ascii="Times New Roman" w:hAnsi="Times New Roman" w:cs="Arial"/>
                <w:color w:val="auto"/>
                <w:szCs w:val="21"/>
                <w:lang w:val="en-US" w:eastAsia="zh-CN"/>
              </w:rPr>
              <w:t>不加分。</w:t>
            </w:r>
            <w:r>
              <w:rPr>
                <w:rFonts w:hint="eastAsia" w:ascii="Times New Roman" w:hAnsi="Times New Roman" w:cs="Arial"/>
                <w:color w:val="auto"/>
                <w:szCs w:val="21"/>
              </w:rPr>
              <w:t>重要技术参数是否偏离以采购需求技术要求中规定的证明性材料为准。</w:t>
            </w:r>
          </w:p>
          <w:p w14:paraId="774FCE8F">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3、采购清单中技术要求前标有“</w:t>
            </w:r>
            <w:r>
              <w:rPr>
                <w:rFonts w:hint="eastAsia" w:ascii="Times New Roman" w:hAnsi="Times New Roman" w:cs="Arial"/>
                <w:color w:val="auto"/>
                <w:szCs w:val="21"/>
                <w:lang w:val="en-US" w:eastAsia="zh-CN"/>
              </w:rPr>
              <w:t>#</w:t>
            </w:r>
            <w:r>
              <w:rPr>
                <w:rFonts w:hint="eastAsia" w:ascii="Times New Roman" w:hAnsi="Times New Roman" w:cs="Arial"/>
                <w:color w:val="auto"/>
                <w:szCs w:val="21"/>
              </w:rPr>
              <w:t>”部分为一般技术参数（共计</w:t>
            </w:r>
            <w:r>
              <w:rPr>
                <w:rFonts w:hint="eastAsia" w:ascii="Times New Roman" w:hAnsi="Times New Roman" w:cs="Arial"/>
                <w:color w:val="auto"/>
                <w:szCs w:val="21"/>
                <w:lang w:val="en-US" w:eastAsia="zh-CN"/>
              </w:rPr>
              <w:t>79</w:t>
            </w:r>
            <w:r>
              <w:rPr>
                <w:rFonts w:hint="eastAsia" w:ascii="Times New Roman" w:hAnsi="Times New Roman" w:cs="Arial"/>
                <w:color w:val="auto"/>
                <w:szCs w:val="21"/>
              </w:rPr>
              <w:t>条，合计</w:t>
            </w:r>
            <w:r>
              <w:rPr>
                <w:rFonts w:hint="eastAsia" w:ascii="Times New Roman" w:hAnsi="Times New Roman" w:cs="Arial"/>
                <w:color w:val="auto"/>
                <w:szCs w:val="21"/>
                <w:lang w:val="en-US" w:eastAsia="zh-CN"/>
              </w:rPr>
              <w:t>18</w:t>
            </w:r>
            <w:r>
              <w:rPr>
                <w:rFonts w:hint="eastAsia" w:ascii="Times New Roman" w:hAnsi="Times New Roman" w:cs="Arial"/>
                <w:color w:val="auto"/>
                <w:szCs w:val="21"/>
              </w:rPr>
              <w:t>分），每有一项负偏离扣</w:t>
            </w:r>
            <w:r>
              <w:rPr>
                <w:rFonts w:hint="eastAsia" w:ascii="Times New Roman" w:hAnsi="Times New Roman" w:cs="Arial"/>
                <w:color w:val="auto"/>
                <w:szCs w:val="21"/>
                <w:lang w:val="en-US" w:eastAsia="zh-CN"/>
              </w:rPr>
              <w:t>0.23</w:t>
            </w:r>
            <w:r>
              <w:rPr>
                <w:rFonts w:hint="eastAsia" w:ascii="Times New Roman" w:hAnsi="Times New Roman" w:cs="Arial"/>
                <w:color w:val="auto"/>
                <w:szCs w:val="21"/>
              </w:rPr>
              <w:t>分</w:t>
            </w:r>
            <w:r>
              <w:rPr>
                <w:rFonts w:hint="eastAsia" w:ascii="Times New Roman" w:hAnsi="Times New Roman" w:cs="Arial"/>
                <w:color w:val="auto"/>
                <w:szCs w:val="21"/>
                <w:lang w:val="en-US" w:eastAsia="zh-CN"/>
              </w:rPr>
              <w:t>，</w:t>
            </w:r>
            <w:r>
              <w:rPr>
                <w:rFonts w:hint="eastAsia" w:ascii="Times New Roman" w:hAnsi="Times New Roman" w:cs="Arial"/>
                <w:color w:val="auto"/>
                <w:szCs w:val="21"/>
              </w:rPr>
              <w:t>扣完为止</w:t>
            </w:r>
            <w:r>
              <w:rPr>
                <w:rFonts w:hint="eastAsia" w:ascii="Times New Roman" w:hAnsi="Times New Roman" w:cs="Arial"/>
                <w:color w:val="auto"/>
                <w:szCs w:val="21"/>
                <w:lang w:eastAsia="zh-CN"/>
              </w:rPr>
              <w:t>，</w:t>
            </w:r>
            <w:r>
              <w:rPr>
                <w:rFonts w:hint="eastAsia" w:ascii="Times New Roman" w:hAnsi="Times New Roman" w:cs="Arial"/>
                <w:color w:val="auto"/>
                <w:szCs w:val="21"/>
              </w:rPr>
              <w:t>正偏离</w:t>
            </w:r>
            <w:r>
              <w:rPr>
                <w:rFonts w:hint="eastAsia" w:ascii="Times New Roman" w:hAnsi="Times New Roman" w:cs="Arial"/>
                <w:color w:val="auto"/>
                <w:szCs w:val="21"/>
                <w:lang w:val="en-US" w:eastAsia="zh-CN"/>
              </w:rPr>
              <w:t>不加分</w:t>
            </w:r>
            <w:r>
              <w:rPr>
                <w:rFonts w:hint="eastAsia" w:ascii="Times New Roman" w:hAnsi="Times New Roman" w:cs="Arial"/>
                <w:color w:val="auto"/>
                <w:szCs w:val="21"/>
              </w:rPr>
              <w:t>。按要求响应，需详尽真实的提供投标产品的技术要求响应及偏离表，且均需在技术要求响应及偏离表内详尽真实的提供偏差情况，否则视为无响应或无效响应。</w:t>
            </w:r>
          </w:p>
          <w:p w14:paraId="09184294">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注：供应商针对本项评标内容在响应文件《技术响应偏离表》中逐条列出响应及偏离情况，采购需求中要求提供证明材料的，以证明材料为准，若《技术响应偏离表》与提供证明材料的内容不一致，以证明材料为准</w:t>
            </w:r>
            <w:r>
              <w:rPr>
                <w:rFonts w:hint="eastAsia" w:ascii="Times New Roman" w:hAnsi="Times New Roman" w:cs="Arial"/>
                <w:color w:val="auto"/>
                <w:szCs w:val="21"/>
                <w:lang w:eastAsia="zh-CN"/>
              </w:rPr>
              <w:t>；</w:t>
            </w:r>
            <w:r>
              <w:rPr>
                <w:rFonts w:hint="eastAsia" w:ascii="Times New Roman" w:hAnsi="Times New Roman" w:cs="Arial"/>
                <w:color w:val="auto"/>
                <w:szCs w:val="21"/>
              </w:rPr>
              <w:t>采购需求中未要求提供证明材料的，以《技术响应偏离表》为准，《技术响应偏离表》中未列出的对应项按负偏离进行扣分处理。</w:t>
            </w:r>
          </w:p>
        </w:tc>
      </w:tr>
      <w:tr w14:paraId="512C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1" w:hRule="atLeast"/>
          <w:jc w:val="center"/>
        </w:trPr>
        <w:tc>
          <w:tcPr>
            <w:tcW w:w="1097" w:type="dxa"/>
            <w:noWrap w:val="0"/>
            <w:vAlign w:val="center"/>
          </w:tcPr>
          <w:p w14:paraId="506A1E1D">
            <w:pPr>
              <w:spacing w:before="65" w:line="228" w:lineRule="auto"/>
              <w:ind w:left="13"/>
              <w:jc w:val="center"/>
              <w:rPr>
                <w:rFonts w:hint="default" w:ascii="宋体" w:hAnsi="宋体" w:eastAsia="宋体" w:cs="宋体"/>
                <w:color w:val="auto"/>
                <w:szCs w:val="24"/>
                <w:lang w:val="en-US" w:eastAsia="zh-CN"/>
              </w:rPr>
            </w:pPr>
            <w:r>
              <w:rPr>
                <w:rFonts w:hint="eastAsia" w:ascii="宋体" w:hAnsi="宋体" w:cs="宋体"/>
                <w:color w:val="auto"/>
                <w:szCs w:val="24"/>
                <w:lang w:val="en-US" w:eastAsia="zh-CN"/>
              </w:rPr>
              <w:t>项目组人员</w:t>
            </w:r>
          </w:p>
        </w:tc>
        <w:tc>
          <w:tcPr>
            <w:tcW w:w="990" w:type="dxa"/>
            <w:noWrap w:val="0"/>
            <w:vAlign w:val="center"/>
          </w:tcPr>
          <w:p w14:paraId="3C16531A">
            <w:pPr>
              <w:spacing w:before="65" w:line="228" w:lineRule="auto"/>
              <w:ind w:left="7"/>
              <w:jc w:val="center"/>
              <w:rPr>
                <w:rFonts w:ascii="宋体" w:hAnsi="宋体" w:cs="宋体"/>
                <w:color w:val="auto"/>
                <w:szCs w:val="24"/>
              </w:rPr>
            </w:pPr>
            <w:r>
              <w:rPr>
                <w:rFonts w:hint="eastAsia" w:ascii="宋体" w:hAnsi="宋体" w:cs="宋体"/>
                <w:color w:val="auto"/>
                <w:szCs w:val="24"/>
              </w:rPr>
              <w:t>运维团队能力</w:t>
            </w:r>
          </w:p>
        </w:tc>
        <w:tc>
          <w:tcPr>
            <w:tcW w:w="990" w:type="dxa"/>
            <w:noWrap w:val="0"/>
            <w:vAlign w:val="center"/>
          </w:tcPr>
          <w:p w14:paraId="534FD52F">
            <w:pPr>
              <w:jc w:val="center"/>
              <w:rPr>
                <w:rFonts w:hint="default"/>
                <w:lang w:val="en-US" w:eastAsia="zh-CN"/>
              </w:rPr>
            </w:pPr>
            <w:r>
              <w:rPr>
                <w:rFonts w:hint="eastAsia"/>
                <w:lang w:val="en-US" w:eastAsia="zh-CN"/>
              </w:rPr>
              <w:t>4.00分</w:t>
            </w:r>
          </w:p>
        </w:tc>
        <w:tc>
          <w:tcPr>
            <w:tcW w:w="6779" w:type="dxa"/>
            <w:noWrap w:val="0"/>
          </w:tcPr>
          <w:p w14:paraId="2873B6FB">
            <w:pPr>
              <w:numPr>
                <w:ilvl w:val="0"/>
                <w:numId w:val="2"/>
              </w:numPr>
              <w:spacing w:before="34" w:line="268" w:lineRule="auto"/>
              <w:rPr>
                <w:rFonts w:hint="eastAsia" w:ascii="Times New Roman" w:hAnsi="Times New Roman" w:cs="Arial"/>
                <w:color w:val="auto"/>
                <w:szCs w:val="21"/>
              </w:rPr>
            </w:pPr>
            <w:bookmarkStart w:id="247" w:name="_GoBack"/>
            <w:r>
              <w:rPr>
                <w:rFonts w:hint="eastAsia" w:ascii="Times New Roman" w:hAnsi="Times New Roman" w:cs="Arial"/>
                <w:color w:val="auto"/>
                <w:szCs w:val="21"/>
              </w:rPr>
              <w:t>投标人拟选派的项目负责人具有系统集成项目管理工程师的得</w:t>
            </w:r>
            <w:r>
              <w:rPr>
                <w:rFonts w:hint="eastAsia" w:ascii="Times New Roman" w:hAnsi="Times New Roman" w:cs="Arial"/>
                <w:color w:val="auto"/>
                <w:szCs w:val="21"/>
                <w:lang w:val="en-US" w:eastAsia="zh-CN"/>
              </w:rPr>
              <w:t>1</w:t>
            </w:r>
            <w:r>
              <w:rPr>
                <w:rFonts w:hint="eastAsia" w:ascii="Times New Roman" w:hAnsi="Times New Roman" w:cs="Arial"/>
                <w:color w:val="auto"/>
                <w:szCs w:val="21"/>
              </w:rPr>
              <w:t>分。</w:t>
            </w:r>
          </w:p>
          <w:p w14:paraId="1CE149D2">
            <w:pPr>
              <w:numPr>
                <w:ilvl w:val="0"/>
                <w:numId w:val="2"/>
              </w:numPr>
              <w:spacing w:before="34" w:line="268" w:lineRule="auto"/>
              <w:rPr>
                <w:rFonts w:hint="eastAsia" w:ascii="Times New Roman" w:hAnsi="Times New Roman" w:cs="Arial"/>
                <w:color w:val="auto"/>
                <w:szCs w:val="21"/>
              </w:rPr>
            </w:pPr>
            <w:r>
              <w:rPr>
                <w:rFonts w:hint="eastAsia" w:ascii="Times New Roman" w:hAnsi="Times New Roman" w:cs="Arial"/>
                <w:color w:val="auto"/>
                <w:szCs w:val="21"/>
              </w:rPr>
              <w:t>项目组成员（除项目负责人外）具有系统集成项目管理工程师，数据库系统工程师，信息安全工程师的，每有一个得1分，本项最高得</w:t>
            </w:r>
            <w:r>
              <w:rPr>
                <w:rFonts w:hint="eastAsia" w:ascii="Times New Roman" w:hAnsi="Times New Roman" w:cs="Arial"/>
                <w:color w:val="auto"/>
                <w:szCs w:val="21"/>
                <w:lang w:val="en-US" w:eastAsia="zh-CN"/>
              </w:rPr>
              <w:t>3</w:t>
            </w:r>
            <w:r>
              <w:rPr>
                <w:rFonts w:hint="eastAsia" w:ascii="Times New Roman" w:hAnsi="Times New Roman" w:cs="Arial"/>
                <w:color w:val="auto"/>
                <w:szCs w:val="21"/>
              </w:rPr>
              <w:t>分。</w:t>
            </w:r>
          </w:p>
          <w:p w14:paraId="224548AF">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注：1、同一人有不同证书的，可重复计算</w:t>
            </w:r>
            <w:r>
              <w:rPr>
                <w:rFonts w:hint="eastAsia" w:ascii="Times New Roman" w:hAnsi="Times New Roman" w:cs="Arial"/>
                <w:color w:val="auto"/>
                <w:szCs w:val="21"/>
                <w:lang w:eastAsia="zh-CN"/>
              </w:rPr>
              <w:t>；</w:t>
            </w:r>
            <w:r>
              <w:rPr>
                <w:rFonts w:hint="eastAsia" w:ascii="Times New Roman" w:hAnsi="Times New Roman" w:cs="Arial"/>
                <w:color w:val="auto"/>
                <w:szCs w:val="21"/>
              </w:rPr>
              <w:t>2、响应文件中提供相关证书</w:t>
            </w:r>
            <w:r>
              <w:rPr>
                <w:rFonts w:hint="eastAsia" w:ascii="Times New Roman" w:hAnsi="Times New Roman" w:cs="Arial"/>
                <w:color w:val="auto"/>
                <w:szCs w:val="21"/>
                <w:lang w:val="en-US" w:eastAsia="zh-CN"/>
              </w:rPr>
              <w:t>电子件须为</w:t>
            </w:r>
            <w:r>
              <w:rPr>
                <w:rFonts w:hint="eastAsia" w:ascii="Times New Roman" w:hAnsi="Times New Roman" w:cs="Arial"/>
                <w:color w:val="auto"/>
                <w:szCs w:val="21"/>
              </w:rPr>
              <w:t>工信部</w:t>
            </w:r>
            <w:r>
              <w:rPr>
                <w:rFonts w:hint="eastAsia" w:ascii="Times New Roman" w:hAnsi="Times New Roman" w:cs="Arial"/>
                <w:color w:val="auto"/>
                <w:szCs w:val="21"/>
                <w:lang w:val="en-US" w:eastAsia="zh-CN"/>
              </w:rPr>
              <w:t>与</w:t>
            </w:r>
            <w:r>
              <w:rPr>
                <w:rFonts w:hint="eastAsia" w:ascii="Times New Roman" w:hAnsi="Times New Roman" w:cs="Arial"/>
                <w:color w:val="auto"/>
                <w:szCs w:val="21"/>
              </w:rPr>
              <w:t>人社部</w:t>
            </w:r>
            <w:r>
              <w:rPr>
                <w:rFonts w:hint="eastAsia" w:ascii="Times New Roman" w:hAnsi="Times New Roman" w:cs="Arial"/>
                <w:color w:val="auto"/>
                <w:szCs w:val="21"/>
                <w:lang w:val="en-US" w:eastAsia="zh-CN"/>
              </w:rPr>
              <w:t>联合</w:t>
            </w:r>
            <w:r>
              <w:rPr>
                <w:rFonts w:hint="eastAsia" w:ascii="Times New Roman" w:hAnsi="Times New Roman" w:cs="Arial"/>
                <w:color w:val="auto"/>
                <w:szCs w:val="21"/>
              </w:rPr>
              <w:t>颁发</w:t>
            </w:r>
            <w:r>
              <w:rPr>
                <w:rFonts w:hint="eastAsia" w:ascii="Times New Roman" w:hAnsi="Times New Roman" w:cs="Arial"/>
                <w:color w:val="auto"/>
                <w:szCs w:val="21"/>
                <w:lang w:eastAsia="zh-CN"/>
              </w:rPr>
              <w:t>，</w:t>
            </w:r>
            <w:r>
              <w:rPr>
                <w:rFonts w:hint="eastAsia" w:ascii="Times New Roman" w:hAnsi="Times New Roman" w:cs="Arial"/>
                <w:color w:val="auto"/>
                <w:szCs w:val="21"/>
                <w:lang w:val="en-US" w:eastAsia="zh-CN"/>
              </w:rPr>
              <w:t>否则不予认可；3</w:t>
            </w:r>
            <w:r>
              <w:rPr>
                <w:rFonts w:hint="eastAsia" w:ascii="Times New Roman" w:hAnsi="Times New Roman" w:cs="Arial"/>
                <w:color w:val="auto"/>
                <w:szCs w:val="21"/>
              </w:rPr>
              <w:t>、响应文件中提供投标截止日前6个月内由本单位为其缴纳的任意1个月社会养老保险证明电子件，证明以社保主管部门出具的为准，未提供或提供不全不得分。</w:t>
            </w:r>
            <w:bookmarkEnd w:id="247"/>
          </w:p>
        </w:tc>
      </w:tr>
      <w:tr w14:paraId="46E17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9" w:hRule="atLeast"/>
          <w:jc w:val="center"/>
        </w:trPr>
        <w:tc>
          <w:tcPr>
            <w:tcW w:w="1097" w:type="dxa"/>
            <w:vMerge w:val="restart"/>
            <w:noWrap w:val="0"/>
            <w:vAlign w:val="center"/>
          </w:tcPr>
          <w:p w14:paraId="509BD9D0">
            <w:pPr>
              <w:spacing w:before="65" w:line="229" w:lineRule="auto"/>
              <w:ind w:left="16"/>
              <w:jc w:val="center"/>
              <w:rPr>
                <w:rFonts w:ascii="宋体" w:hAnsi="宋体" w:cs="宋体"/>
                <w:color w:val="auto"/>
                <w:szCs w:val="24"/>
              </w:rPr>
            </w:pPr>
            <w:r>
              <w:rPr>
                <w:rFonts w:hint="eastAsia" w:ascii="宋体" w:hAnsi="宋体" w:cs="宋体"/>
                <w:color w:val="auto"/>
                <w:szCs w:val="24"/>
              </w:rPr>
              <w:t>项目实施方案</w:t>
            </w:r>
          </w:p>
          <w:p w14:paraId="6C53EA31">
            <w:pPr>
              <w:spacing w:before="65" w:line="229" w:lineRule="auto"/>
              <w:ind w:left="16"/>
              <w:jc w:val="center"/>
              <w:rPr>
                <w:rFonts w:ascii="宋体" w:hAnsi="宋体" w:cs="宋体"/>
                <w:color w:val="auto"/>
                <w:szCs w:val="24"/>
              </w:rPr>
            </w:pPr>
          </w:p>
        </w:tc>
        <w:tc>
          <w:tcPr>
            <w:tcW w:w="990" w:type="dxa"/>
            <w:tcBorders>
              <w:bottom w:val="single" w:color="auto" w:sz="4" w:space="0"/>
            </w:tcBorders>
            <w:noWrap w:val="0"/>
            <w:vAlign w:val="center"/>
          </w:tcPr>
          <w:p w14:paraId="707FEBC0">
            <w:pPr>
              <w:spacing w:before="65" w:line="228" w:lineRule="auto"/>
              <w:ind w:left="8"/>
              <w:jc w:val="center"/>
              <w:rPr>
                <w:rFonts w:ascii="宋体" w:hAnsi="宋体" w:cs="宋体"/>
                <w:color w:val="auto"/>
                <w:szCs w:val="24"/>
              </w:rPr>
            </w:pPr>
            <w:r>
              <w:rPr>
                <w:rFonts w:hint="eastAsia" w:ascii="宋体" w:hAnsi="宋体" w:cs="宋体"/>
                <w:color w:val="auto"/>
                <w:spacing w:val="8"/>
                <w:szCs w:val="24"/>
              </w:rPr>
              <w:t>现状分析</w:t>
            </w:r>
          </w:p>
        </w:tc>
        <w:tc>
          <w:tcPr>
            <w:tcW w:w="990" w:type="dxa"/>
            <w:tcBorders>
              <w:bottom w:val="single" w:color="auto" w:sz="4" w:space="0"/>
            </w:tcBorders>
            <w:noWrap w:val="0"/>
            <w:vAlign w:val="center"/>
          </w:tcPr>
          <w:p w14:paraId="5388E38C">
            <w:pPr>
              <w:jc w:val="center"/>
            </w:pPr>
            <w:r>
              <w:rPr>
                <w:rFonts w:hint="eastAsia"/>
                <w:lang w:val="en-US" w:eastAsia="zh-CN"/>
              </w:rPr>
              <w:t>8.00</w:t>
            </w:r>
            <w:r>
              <w:t>分</w:t>
            </w:r>
          </w:p>
        </w:tc>
        <w:tc>
          <w:tcPr>
            <w:tcW w:w="6779" w:type="dxa"/>
            <w:tcBorders>
              <w:bottom w:val="single" w:color="auto" w:sz="4" w:space="0"/>
            </w:tcBorders>
            <w:noWrap w:val="0"/>
          </w:tcPr>
          <w:p w14:paraId="038AD0A1">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章、采购需求-五、</w:t>
            </w:r>
            <w:r>
              <w:rPr>
                <w:rFonts w:hint="eastAsia" w:ascii="Times New Roman" w:hAnsi="Times New Roman" w:cs="Arial"/>
                <w:color w:val="auto"/>
                <w:szCs w:val="21"/>
                <w:lang w:val="en-US" w:eastAsia="zh-CN"/>
              </w:rPr>
              <w:t>项目实施要求1、项目</w:t>
            </w:r>
            <w:r>
              <w:rPr>
                <w:rFonts w:hint="eastAsia" w:ascii="宋体" w:hAnsi="宋体" w:cs="宋体"/>
                <w:color w:val="000000"/>
                <w:spacing w:val="8"/>
                <w:szCs w:val="24"/>
              </w:rPr>
              <w:t>现状分析</w:t>
            </w:r>
            <w:r>
              <w:rPr>
                <w:rFonts w:hint="eastAsia" w:ascii="宋体" w:hAnsi="宋体" w:cs="宋体"/>
                <w:color w:val="000000"/>
                <w:spacing w:val="8"/>
                <w:szCs w:val="24"/>
                <w:lang w:val="en-US" w:eastAsia="zh-CN"/>
              </w:rPr>
              <w:t>需求”</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础之上评委根据供应商提供的现状分析方案进行打分。优于采购需求得</w:t>
            </w:r>
            <w:r>
              <w:rPr>
                <w:rFonts w:hint="eastAsia" w:ascii="Times New Roman" w:hAnsi="Times New Roman" w:cs="Arial"/>
                <w:color w:val="auto"/>
                <w:szCs w:val="21"/>
                <w:lang w:val="en-US" w:eastAsia="zh-CN"/>
              </w:rPr>
              <w:t>8</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方案完整、表述相对清楚的得</w:t>
            </w:r>
            <w:r>
              <w:rPr>
                <w:rFonts w:hint="eastAsia" w:ascii="Times New Roman" w:hAnsi="Times New Roman" w:cs="Arial"/>
                <w:color w:val="auto"/>
                <w:szCs w:val="21"/>
                <w:lang w:val="en-US" w:eastAsia="zh-CN"/>
              </w:rPr>
              <w:t>5</w:t>
            </w:r>
            <w:r>
              <w:rPr>
                <w:rFonts w:hint="eastAsia" w:ascii="Times New Roman" w:hAnsi="Times New Roman" w:cs="Arial"/>
                <w:color w:val="auto"/>
                <w:szCs w:val="21"/>
              </w:rPr>
              <w:t>分，方案有缺陷但通过后期优化可以完成采购需求的得</w:t>
            </w:r>
            <w:r>
              <w:rPr>
                <w:rFonts w:hint="eastAsia" w:ascii="Times New Roman" w:hAnsi="Times New Roman" w:cs="Arial"/>
                <w:color w:val="auto"/>
                <w:szCs w:val="21"/>
                <w:lang w:val="en-US" w:eastAsia="zh-CN"/>
              </w:rPr>
              <w:t>2</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其他情况或无内容不得分。</w:t>
            </w:r>
          </w:p>
        </w:tc>
      </w:tr>
      <w:tr w14:paraId="0FF6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97" w:type="dxa"/>
            <w:vMerge w:val="continue"/>
            <w:noWrap w:val="0"/>
          </w:tcPr>
          <w:p w14:paraId="485B80AC">
            <w:pPr>
              <w:rPr>
                <w:rFonts w:ascii="Arial" w:hAnsi="Arial" w:cs="Arial"/>
                <w:color w:val="auto"/>
                <w:szCs w:val="24"/>
              </w:rPr>
            </w:pPr>
          </w:p>
        </w:tc>
        <w:tc>
          <w:tcPr>
            <w:tcW w:w="990" w:type="dxa"/>
            <w:noWrap w:val="0"/>
            <w:vAlign w:val="center"/>
          </w:tcPr>
          <w:p w14:paraId="5534F1A6">
            <w:pPr>
              <w:spacing w:before="65" w:line="229" w:lineRule="auto"/>
              <w:ind w:left="7"/>
              <w:jc w:val="center"/>
              <w:rPr>
                <w:rFonts w:ascii="宋体" w:hAnsi="宋体" w:cs="宋体"/>
                <w:color w:val="auto"/>
                <w:szCs w:val="24"/>
              </w:rPr>
            </w:pPr>
            <w:r>
              <w:rPr>
                <w:rFonts w:hint="eastAsia" w:ascii="宋体" w:hAnsi="宋体" w:cs="宋体"/>
                <w:color w:val="auto"/>
                <w:spacing w:val="7"/>
                <w:szCs w:val="24"/>
              </w:rPr>
              <w:t>整体维护服务内容方案</w:t>
            </w:r>
          </w:p>
        </w:tc>
        <w:tc>
          <w:tcPr>
            <w:tcW w:w="990" w:type="dxa"/>
            <w:noWrap w:val="0"/>
            <w:vAlign w:val="center"/>
          </w:tcPr>
          <w:p w14:paraId="3FFAD7E5">
            <w:pPr>
              <w:jc w:val="center"/>
            </w:pPr>
            <w:r>
              <w:rPr>
                <w:rFonts w:hint="eastAsia"/>
                <w:lang w:val="en-US" w:eastAsia="zh-CN"/>
              </w:rPr>
              <w:t>8.00</w:t>
            </w:r>
            <w:r>
              <w:t>分</w:t>
            </w:r>
          </w:p>
        </w:tc>
        <w:tc>
          <w:tcPr>
            <w:tcW w:w="6779" w:type="dxa"/>
            <w:noWrap w:val="0"/>
          </w:tcPr>
          <w:p w14:paraId="686D4E54">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章、采购需求-五、</w:t>
            </w:r>
            <w:r>
              <w:rPr>
                <w:rFonts w:hint="eastAsia" w:ascii="Times New Roman" w:hAnsi="Times New Roman" w:cs="Arial"/>
                <w:color w:val="auto"/>
                <w:szCs w:val="21"/>
                <w:lang w:val="en-US" w:eastAsia="zh-CN"/>
              </w:rPr>
              <w:t>项目实施要求2、</w:t>
            </w:r>
            <w:r>
              <w:rPr>
                <w:rFonts w:hint="eastAsia" w:ascii="宋体" w:hAnsi="宋体" w:cs="宋体"/>
                <w:color w:val="000000"/>
                <w:spacing w:val="7"/>
                <w:szCs w:val="24"/>
              </w:rPr>
              <w:t>整体维护服务内容</w:t>
            </w:r>
            <w:r>
              <w:rPr>
                <w:rFonts w:hint="eastAsia" w:ascii="宋体" w:hAnsi="宋体" w:cs="宋体"/>
                <w:color w:val="000000"/>
                <w:spacing w:val="8"/>
                <w:szCs w:val="24"/>
                <w:lang w:val="en-US" w:eastAsia="zh-CN"/>
              </w:rPr>
              <w:t>”</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w:t>
            </w:r>
            <w:r>
              <w:rPr>
                <w:rFonts w:hint="eastAsia" w:ascii="宋体" w:hAnsi="宋体" w:cs="宋体"/>
                <w:color w:val="000000"/>
                <w:spacing w:val="7"/>
                <w:szCs w:val="24"/>
              </w:rPr>
              <w:t>整体维护服务内容方案</w:t>
            </w:r>
            <w:r>
              <w:rPr>
                <w:rFonts w:hint="eastAsia" w:ascii="Times New Roman" w:hAnsi="Times New Roman" w:cs="Arial"/>
                <w:color w:val="auto"/>
                <w:szCs w:val="21"/>
              </w:rPr>
              <w:t>进行打分。方案内容完整详实，能够针对采购需求内容要求而细化制定优于采购需求的，得</w:t>
            </w:r>
            <w:r>
              <w:rPr>
                <w:rFonts w:hint="eastAsia" w:ascii="Times New Roman" w:hAnsi="Times New Roman" w:cs="Arial"/>
                <w:color w:val="auto"/>
                <w:szCs w:val="21"/>
                <w:lang w:val="en-US" w:eastAsia="zh-CN"/>
              </w:rPr>
              <w:t>8</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方案内容完整，针对采购需求内容要求而制定较齐全，内容表述有一定的偏差，但不影响实质性意思表达，能够满足采购需求的，得</w:t>
            </w:r>
            <w:r>
              <w:rPr>
                <w:rFonts w:hint="eastAsia" w:ascii="Times New Roman" w:hAnsi="Times New Roman" w:cs="Arial"/>
                <w:color w:val="auto"/>
                <w:szCs w:val="21"/>
                <w:lang w:val="en-US" w:eastAsia="zh-CN"/>
              </w:rPr>
              <w:t>5</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方案内容笼统，不具有针对性，得2分</w:t>
            </w:r>
            <w:r>
              <w:rPr>
                <w:rFonts w:hint="eastAsia" w:ascii="Times New Roman" w:hAnsi="Times New Roman" w:cs="Arial"/>
                <w:color w:val="auto"/>
                <w:szCs w:val="21"/>
                <w:lang w:eastAsia="zh-CN"/>
              </w:rPr>
              <w:t>；</w:t>
            </w:r>
            <w:r>
              <w:rPr>
                <w:rFonts w:hint="eastAsia" w:ascii="Times New Roman" w:hAnsi="Times New Roman" w:cs="Arial"/>
                <w:color w:val="auto"/>
                <w:szCs w:val="21"/>
              </w:rPr>
              <w:t>没有内容或其他情况不得分。</w:t>
            </w:r>
          </w:p>
        </w:tc>
      </w:tr>
      <w:tr w14:paraId="00798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97" w:type="dxa"/>
            <w:vMerge w:val="continue"/>
            <w:noWrap w:val="0"/>
            <w:vAlign w:val="center"/>
          </w:tcPr>
          <w:p w14:paraId="21D7BB59">
            <w:pPr>
              <w:spacing w:before="65" w:line="229" w:lineRule="auto"/>
              <w:ind w:left="13"/>
              <w:jc w:val="center"/>
              <w:rPr>
                <w:rFonts w:ascii="宋体" w:hAnsi="宋体" w:cs="宋体"/>
                <w:color w:val="auto"/>
                <w:spacing w:val="4"/>
                <w:szCs w:val="24"/>
              </w:rPr>
            </w:pPr>
          </w:p>
        </w:tc>
        <w:tc>
          <w:tcPr>
            <w:tcW w:w="990" w:type="dxa"/>
            <w:noWrap w:val="0"/>
            <w:vAlign w:val="center"/>
          </w:tcPr>
          <w:p w14:paraId="1B3DD3A1">
            <w:pPr>
              <w:spacing w:before="65" w:line="258" w:lineRule="auto"/>
              <w:ind w:left="8" w:right="83"/>
              <w:jc w:val="center"/>
              <w:rPr>
                <w:rFonts w:hint="eastAsia" w:ascii="宋体" w:hAnsi="宋体" w:eastAsia="宋体" w:cs="宋体"/>
                <w:color w:val="auto"/>
                <w:spacing w:val="8"/>
                <w:szCs w:val="24"/>
                <w:lang w:val="en-US" w:eastAsia="zh-CN"/>
              </w:rPr>
            </w:pPr>
            <w:r>
              <w:rPr>
                <w:rFonts w:hint="eastAsia" w:ascii="宋体" w:hAnsi="宋体" w:cs="宋体"/>
                <w:color w:val="auto"/>
                <w:spacing w:val="8"/>
                <w:szCs w:val="24"/>
              </w:rPr>
              <w:t>前端监控与AI智能识别系统、指挥协调系统</w:t>
            </w:r>
            <w:r>
              <w:rPr>
                <w:rFonts w:hint="eastAsia" w:ascii="宋体" w:hAnsi="宋体" w:cs="宋体"/>
                <w:color w:val="auto"/>
                <w:spacing w:val="8"/>
                <w:szCs w:val="24"/>
                <w:lang w:val="en-US" w:eastAsia="zh-CN"/>
              </w:rPr>
              <w:t>方案</w:t>
            </w:r>
          </w:p>
        </w:tc>
        <w:tc>
          <w:tcPr>
            <w:tcW w:w="990" w:type="dxa"/>
            <w:noWrap w:val="0"/>
            <w:vAlign w:val="center"/>
          </w:tcPr>
          <w:p w14:paraId="0C8A6BF5">
            <w:pPr>
              <w:jc w:val="center"/>
              <w:rPr>
                <w:rFonts w:hint="eastAsia"/>
                <w:lang w:eastAsia="zh-CN"/>
              </w:rPr>
            </w:pPr>
            <w:r>
              <w:rPr>
                <w:rFonts w:hint="eastAsia"/>
                <w:lang w:val="en-US" w:eastAsia="zh-CN"/>
              </w:rPr>
              <w:t>8.00</w:t>
            </w:r>
            <w:r>
              <w:t>分</w:t>
            </w:r>
          </w:p>
        </w:tc>
        <w:tc>
          <w:tcPr>
            <w:tcW w:w="6779" w:type="dxa"/>
            <w:noWrap w:val="0"/>
            <w:vAlign w:val="top"/>
          </w:tcPr>
          <w:p w14:paraId="71B8BA55">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章、采购需求-五、</w:t>
            </w:r>
            <w:r>
              <w:rPr>
                <w:rFonts w:hint="eastAsia" w:ascii="Times New Roman" w:hAnsi="Times New Roman" w:cs="Arial"/>
                <w:color w:val="auto"/>
                <w:szCs w:val="21"/>
                <w:lang w:val="en-US" w:eastAsia="zh-CN"/>
              </w:rPr>
              <w:t>项目实施要求3、</w:t>
            </w:r>
            <w:r>
              <w:rPr>
                <w:rFonts w:hint="eastAsia" w:ascii="宋体" w:hAnsi="宋体" w:cs="宋体"/>
                <w:color w:val="000000"/>
                <w:spacing w:val="8"/>
                <w:szCs w:val="24"/>
              </w:rPr>
              <w:t>前端监控与AI智能识别系统、指挥协调系统</w:t>
            </w:r>
            <w:r>
              <w:rPr>
                <w:rFonts w:hint="eastAsia" w:ascii="宋体" w:hAnsi="宋体" w:cs="宋体"/>
                <w:color w:val="auto"/>
                <w:spacing w:val="8"/>
                <w:szCs w:val="24"/>
                <w:lang w:val="en-US" w:eastAsia="zh-CN"/>
              </w:rPr>
              <w:t>维护</w:t>
            </w:r>
            <w:r>
              <w:rPr>
                <w:rFonts w:hint="eastAsia" w:ascii="宋体" w:hAnsi="宋体" w:cs="宋体"/>
                <w:color w:val="000000"/>
                <w:spacing w:val="8"/>
                <w:szCs w:val="24"/>
                <w:lang w:val="en-US" w:eastAsia="zh-CN"/>
              </w:rPr>
              <w:t>”</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w:t>
            </w:r>
            <w:r>
              <w:rPr>
                <w:rFonts w:hint="eastAsia" w:ascii="宋体" w:hAnsi="宋体" w:cs="宋体"/>
                <w:color w:val="auto"/>
                <w:spacing w:val="8"/>
                <w:szCs w:val="24"/>
              </w:rPr>
              <w:t>前端监控与AI智能识别系统、指挥协调系统</w:t>
            </w:r>
            <w:r>
              <w:rPr>
                <w:rFonts w:hint="eastAsia" w:ascii="宋体" w:hAnsi="宋体" w:cs="宋体"/>
                <w:color w:val="auto"/>
                <w:spacing w:val="8"/>
                <w:szCs w:val="24"/>
                <w:lang w:val="en-US" w:eastAsia="zh-CN"/>
              </w:rPr>
              <w:t>维护方案</w:t>
            </w:r>
            <w:r>
              <w:rPr>
                <w:rFonts w:hint="eastAsia" w:ascii="Times New Roman" w:hAnsi="Times New Roman" w:cs="Arial"/>
                <w:color w:val="auto"/>
                <w:szCs w:val="21"/>
              </w:rPr>
              <w:t>进行打分。优于采购需求得</w:t>
            </w:r>
            <w:r>
              <w:rPr>
                <w:rFonts w:hint="eastAsia" w:ascii="Times New Roman" w:hAnsi="Times New Roman" w:cs="Arial"/>
                <w:color w:val="auto"/>
                <w:szCs w:val="21"/>
                <w:lang w:val="en-US" w:eastAsia="zh-CN"/>
              </w:rPr>
              <w:t>8</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方案完整、表述相对清楚的得</w:t>
            </w:r>
            <w:r>
              <w:rPr>
                <w:rFonts w:hint="eastAsia" w:ascii="Times New Roman" w:hAnsi="Times New Roman" w:cs="Arial"/>
                <w:color w:val="auto"/>
                <w:szCs w:val="21"/>
                <w:lang w:val="en-US" w:eastAsia="zh-CN"/>
              </w:rPr>
              <w:t>5</w:t>
            </w:r>
            <w:r>
              <w:rPr>
                <w:rFonts w:hint="eastAsia" w:ascii="Times New Roman" w:hAnsi="Times New Roman" w:cs="Arial"/>
                <w:color w:val="auto"/>
                <w:szCs w:val="21"/>
              </w:rPr>
              <w:t>分，方案有缺陷但通过后期优化可以完成采购需求的得</w:t>
            </w:r>
            <w:r>
              <w:rPr>
                <w:rFonts w:hint="eastAsia" w:ascii="Times New Roman" w:hAnsi="Times New Roman" w:cs="Arial"/>
                <w:color w:val="auto"/>
                <w:szCs w:val="21"/>
                <w:lang w:val="en-US" w:eastAsia="zh-CN"/>
              </w:rPr>
              <w:t>2</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其他情况或无内容不得分</w:t>
            </w:r>
            <w:r>
              <w:rPr>
                <w:rFonts w:hint="eastAsia" w:ascii="Times New Roman" w:hAnsi="Times New Roman" w:cs="Arial"/>
                <w:color w:val="auto"/>
                <w:szCs w:val="21"/>
                <w:lang w:eastAsia="zh-CN"/>
              </w:rPr>
              <w:t>。</w:t>
            </w:r>
          </w:p>
        </w:tc>
      </w:tr>
      <w:tr w14:paraId="62D1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jc w:val="center"/>
        </w:trPr>
        <w:tc>
          <w:tcPr>
            <w:tcW w:w="1097" w:type="dxa"/>
            <w:vMerge w:val="continue"/>
            <w:noWrap w:val="0"/>
            <w:vAlign w:val="center"/>
          </w:tcPr>
          <w:p w14:paraId="2A9116DD">
            <w:pPr>
              <w:spacing w:before="65" w:line="229" w:lineRule="auto"/>
              <w:ind w:left="13"/>
              <w:jc w:val="center"/>
              <w:rPr>
                <w:rFonts w:ascii="宋体" w:hAnsi="宋体" w:cs="宋体"/>
                <w:color w:val="auto"/>
                <w:spacing w:val="4"/>
                <w:szCs w:val="24"/>
              </w:rPr>
            </w:pPr>
          </w:p>
        </w:tc>
        <w:tc>
          <w:tcPr>
            <w:tcW w:w="990" w:type="dxa"/>
            <w:noWrap w:val="0"/>
            <w:vAlign w:val="center"/>
          </w:tcPr>
          <w:p w14:paraId="7987D06B">
            <w:pPr>
              <w:spacing w:before="65" w:line="228" w:lineRule="auto"/>
              <w:ind w:left="7"/>
              <w:jc w:val="center"/>
              <w:rPr>
                <w:rFonts w:ascii="宋体" w:hAnsi="宋体" w:cs="宋体"/>
                <w:color w:val="auto"/>
                <w:spacing w:val="7"/>
                <w:szCs w:val="24"/>
              </w:rPr>
            </w:pPr>
            <w:r>
              <w:rPr>
                <w:rFonts w:hint="eastAsia" w:ascii="宋体" w:hAnsi="宋体" w:cs="宋体"/>
                <w:color w:val="auto"/>
                <w:spacing w:val="8"/>
                <w:szCs w:val="24"/>
              </w:rPr>
              <w:t>前端监控点位维护方案</w:t>
            </w:r>
          </w:p>
        </w:tc>
        <w:tc>
          <w:tcPr>
            <w:tcW w:w="990" w:type="dxa"/>
            <w:noWrap w:val="0"/>
            <w:vAlign w:val="center"/>
          </w:tcPr>
          <w:p w14:paraId="453C905B">
            <w:pPr>
              <w:jc w:val="center"/>
              <w:rPr>
                <w:rFonts w:hint="eastAsia"/>
                <w:lang w:eastAsia="zh-CN"/>
              </w:rPr>
            </w:pPr>
          </w:p>
          <w:p w14:paraId="7039CBAD">
            <w:pPr>
              <w:jc w:val="center"/>
              <w:rPr>
                <w:rFonts w:hint="eastAsia"/>
                <w:lang w:eastAsia="zh-CN"/>
              </w:rPr>
            </w:pPr>
            <w:r>
              <w:rPr>
                <w:rFonts w:hint="eastAsia"/>
                <w:lang w:val="en-US" w:eastAsia="zh-CN"/>
              </w:rPr>
              <w:t>8.00</w:t>
            </w:r>
            <w:r>
              <w:t>分</w:t>
            </w:r>
          </w:p>
        </w:tc>
        <w:tc>
          <w:tcPr>
            <w:tcW w:w="6779" w:type="dxa"/>
            <w:noWrap w:val="0"/>
          </w:tcPr>
          <w:p w14:paraId="4FE30E9D">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章、采购需求-五、</w:t>
            </w:r>
            <w:r>
              <w:rPr>
                <w:rFonts w:hint="eastAsia" w:ascii="Times New Roman" w:hAnsi="Times New Roman" w:cs="Arial"/>
                <w:color w:val="auto"/>
                <w:szCs w:val="21"/>
                <w:lang w:val="en-US" w:eastAsia="zh-CN"/>
              </w:rPr>
              <w:t>项目实施要求5、</w:t>
            </w:r>
            <w:r>
              <w:rPr>
                <w:rFonts w:hint="eastAsia" w:ascii="宋体" w:hAnsi="宋体" w:cs="宋体"/>
                <w:color w:val="auto"/>
                <w:spacing w:val="8"/>
                <w:szCs w:val="24"/>
              </w:rPr>
              <w:t>前端监控点位维护</w:t>
            </w:r>
            <w:r>
              <w:rPr>
                <w:rFonts w:hint="eastAsia" w:ascii="宋体" w:hAnsi="宋体" w:cs="宋体"/>
                <w:color w:val="000000"/>
                <w:spacing w:val="8"/>
                <w:szCs w:val="24"/>
                <w:lang w:val="en-US" w:eastAsia="zh-CN"/>
              </w:rPr>
              <w:t>”</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w:t>
            </w:r>
            <w:r>
              <w:rPr>
                <w:rFonts w:hint="eastAsia" w:ascii="宋体" w:hAnsi="宋体" w:cs="宋体"/>
                <w:color w:val="auto"/>
                <w:spacing w:val="8"/>
                <w:szCs w:val="24"/>
              </w:rPr>
              <w:t>前端监控点位维护方案</w:t>
            </w:r>
            <w:r>
              <w:rPr>
                <w:rFonts w:hint="eastAsia" w:ascii="Times New Roman" w:hAnsi="Times New Roman" w:cs="Arial"/>
                <w:color w:val="auto"/>
                <w:szCs w:val="21"/>
              </w:rPr>
              <w:t>进行打分。优于采购需求得</w:t>
            </w:r>
            <w:r>
              <w:rPr>
                <w:rFonts w:hint="eastAsia" w:ascii="Times New Roman" w:hAnsi="Times New Roman" w:cs="Arial"/>
                <w:color w:val="auto"/>
                <w:szCs w:val="21"/>
                <w:lang w:val="en-US" w:eastAsia="zh-CN"/>
              </w:rPr>
              <w:t>8</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方案完整、表述相对清楚的得</w:t>
            </w:r>
            <w:r>
              <w:rPr>
                <w:rFonts w:hint="eastAsia" w:ascii="Times New Roman" w:hAnsi="Times New Roman" w:cs="Arial"/>
                <w:color w:val="auto"/>
                <w:szCs w:val="21"/>
                <w:lang w:val="en-US" w:eastAsia="zh-CN"/>
              </w:rPr>
              <w:t>5</w:t>
            </w:r>
            <w:r>
              <w:rPr>
                <w:rFonts w:hint="eastAsia" w:ascii="Times New Roman" w:hAnsi="Times New Roman" w:cs="Arial"/>
                <w:color w:val="auto"/>
                <w:szCs w:val="21"/>
              </w:rPr>
              <w:t>分，方案有缺陷但通过后期优化可以完成采购需求的得2分</w:t>
            </w:r>
            <w:r>
              <w:rPr>
                <w:rFonts w:hint="eastAsia" w:ascii="Times New Roman" w:hAnsi="Times New Roman" w:cs="Arial"/>
                <w:color w:val="auto"/>
                <w:szCs w:val="21"/>
                <w:lang w:eastAsia="zh-CN"/>
              </w:rPr>
              <w:t>；</w:t>
            </w:r>
            <w:r>
              <w:rPr>
                <w:rFonts w:hint="eastAsia" w:ascii="Times New Roman" w:hAnsi="Times New Roman" w:cs="Arial"/>
                <w:color w:val="auto"/>
                <w:szCs w:val="21"/>
              </w:rPr>
              <w:t>其他情况或无内容不得分。</w:t>
            </w:r>
          </w:p>
        </w:tc>
      </w:tr>
      <w:tr w14:paraId="1460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jc w:val="center"/>
        </w:trPr>
        <w:tc>
          <w:tcPr>
            <w:tcW w:w="1097" w:type="dxa"/>
            <w:vMerge w:val="continue"/>
            <w:noWrap w:val="0"/>
            <w:vAlign w:val="center"/>
          </w:tcPr>
          <w:p w14:paraId="02D2A5DB">
            <w:pPr>
              <w:spacing w:before="65" w:line="229" w:lineRule="auto"/>
              <w:ind w:left="13"/>
              <w:jc w:val="center"/>
              <w:rPr>
                <w:rFonts w:ascii="宋体" w:hAnsi="宋体" w:cs="宋体"/>
                <w:color w:val="auto"/>
                <w:spacing w:val="4"/>
                <w:szCs w:val="24"/>
              </w:rPr>
            </w:pPr>
          </w:p>
        </w:tc>
        <w:tc>
          <w:tcPr>
            <w:tcW w:w="990" w:type="dxa"/>
            <w:noWrap w:val="0"/>
            <w:vAlign w:val="center"/>
          </w:tcPr>
          <w:p w14:paraId="72DBE222">
            <w:pPr>
              <w:spacing w:before="65" w:line="228" w:lineRule="auto"/>
              <w:ind w:left="7"/>
              <w:jc w:val="center"/>
              <w:rPr>
                <w:rFonts w:hint="eastAsia" w:ascii="宋体" w:hAnsi="宋体" w:cs="宋体"/>
                <w:color w:val="auto"/>
                <w:spacing w:val="7"/>
                <w:szCs w:val="24"/>
              </w:rPr>
            </w:pPr>
            <w:r>
              <w:rPr>
                <w:rFonts w:hint="eastAsia" w:ascii="宋体" w:hAnsi="宋体" w:cs="宋体"/>
                <w:color w:val="auto"/>
                <w:spacing w:val="7"/>
                <w:szCs w:val="24"/>
              </w:rPr>
              <w:t>设备间设备维护方案</w:t>
            </w:r>
          </w:p>
        </w:tc>
        <w:tc>
          <w:tcPr>
            <w:tcW w:w="990" w:type="dxa"/>
            <w:noWrap w:val="0"/>
            <w:vAlign w:val="center"/>
          </w:tcPr>
          <w:p w14:paraId="1257889E">
            <w:pPr>
              <w:jc w:val="center"/>
              <w:rPr>
                <w:rFonts w:hint="eastAsia"/>
                <w:lang w:eastAsia="zh-CN"/>
              </w:rPr>
            </w:pPr>
            <w:r>
              <w:rPr>
                <w:rFonts w:hint="eastAsia"/>
                <w:lang w:val="en-US" w:eastAsia="zh-CN"/>
              </w:rPr>
              <w:t>8.00</w:t>
            </w:r>
            <w:r>
              <w:t>分</w:t>
            </w:r>
          </w:p>
        </w:tc>
        <w:tc>
          <w:tcPr>
            <w:tcW w:w="6779" w:type="dxa"/>
            <w:noWrap w:val="0"/>
          </w:tcPr>
          <w:p w14:paraId="77437D72">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章、采购需求-五、</w:t>
            </w:r>
            <w:r>
              <w:rPr>
                <w:rFonts w:hint="eastAsia" w:ascii="Times New Roman" w:hAnsi="Times New Roman" w:cs="Arial"/>
                <w:color w:val="auto"/>
                <w:szCs w:val="21"/>
                <w:lang w:val="en-US" w:eastAsia="zh-CN"/>
              </w:rPr>
              <w:t>项目实施要求5、</w:t>
            </w:r>
            <w:r>
              <w:rPr>
                <w:rFonts w:hint="eastAsia" w:ascii="宋体" w:hAnsi="宋体" w:cs="宋体"/>
                <w:color w:val="auto"/>
                <w:spacing w:val="7"/>
                <w:szCs w:val="24"/>
              </w:rPr>
              <w:t>设备间设备维护</w:t>
            </w:r>
            <w:r>
              <w:rPr>
                <w:rFonts w:hint="eastAsia" w:ascii="宋体" w:hAnsi="宋体" w:cs="宋体"/>
                <w:color w:val="000000"/>
                <w:spacing w:val="8"/>
                <w:szCs w:val="24"/>
                <w:lang w:val="en-US" w:eastAsia="zh-CN"/>
              </w:rPr>
              <w:t>”</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w:t>
            </w:r>
            <w:r>
              <w:rPr>
                <w:rFonts w:hint="eastAsia" w:ascii="宋体" w:hAnsi="宋体" w:cs="宋体"/>
                <w:color w:val="auto"/>
                <w:spacing w:val="7"/>
                <w:szCs w:val="24"/>
              </w:rPr>
              <w:t>设备间设备维护方案</w:t>
            </w:r>
            <w:r>
              <w:rPr>
                <w:rFonts w:hint="eastAsia" w:ascii="Times New Roman" w:hAnsi="Times New Roman" w:cs="Arial"/>
                <w:color w:val="auto"/>
                <w:szCs w:val="21"/>
              </w:rPr>
              <w:t>进行打分。优于采购需求得</w:t>
            </w:r>
            <w:r>
              <w:rPr>
                <w:rFonts w:hint="eastAsia" w:ascii="Times New Roman" w:hAnsi="Times New Roman" w:cs="Arial"/>
                <w:color w:val="auto"/>
                <w:szCs w:val="21"/>
                <w:lang w:val="en-US" w:eastAsia="zh-CN"/>
              </w:rPr>
              <w:t>8</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方案完整、表述相对清楚的得</w:t>
            </w:r>
            <w:r>
              <w:rPr>
                <w:rFonts w:hint="eastAsia" w:ascii="Times New Roman" w:hAnsi="Times New Roman" w:cs="Arial"/>
                <w:color w:val="auto"/>
                <w:szCs w:val="21"/>
                <w:lang w:val="en-US" w:eastAsia="zh-CN"/>
              </w:rPr>
              <w:t>5</w:t>
            </w:r>
            <w:r>
              <w:rPr>
                <w:rFonts w:hint="eastAsia" w:ascii="Times New Roman" w:hAnsi="Times New Roman" w:cs="Arial"/>
                <w:color w:val="auto"/>
                <w:szCs w:val="21"/>
              </w:rPr>
              <w:t>分，方案有缺陷但通过后期优化可以完成采购需求的得</w:t>
            </w:r>
            <w:r>
              <w:rPr>
                <w:rFonts w:hint="eastAsia" w:ascii="Times New Roman" w:hAnsi="Times New Roman" w:cs="Arial"/>
                <w:color w:val="auto"/>
                <w:szCs w:val="21"/>
                <w:lang w:val="en-US" w:eastAsia="zh-CN"/>
              </w:rPr>
              <w:t>2</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其他情况或无内容不得分。</w:t>
            </w:r>
          </w:p>
        </w:tc>
      </w:tr>
      <w:tr w14:paraId="3695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jc w:val="center"/>
        </w:trPr>
        <w:tc>
          <w:tcPr>
            <w:tcW w:w="1097" w:type="dxa"/>
            <w:vMerge w:val="continue"/>
            <w:noWrap w:val="0"/>
            <w:vAlign w:val="center"/>
          </w:tcPr>
          <w:p w14:paraId="3081BE12">
            <w:pPr>
              <w:spacing w:before="65" w:line="229" w:lineRule="auto"/>
              <w:ind w:left="13"/>
              <w:jc w:val="center"/>
              <w:rPr>
                <w:rFonts w:ascii="宋体" w:hAnsi="宋体" w:cs="宋体"/>
                <w:color w:val="auto"/>
                <w:spacing w:val="4"/>
                <w:szCs w:val="24"/>
              </w:rPr>
            </w:pPr>
          </w:p>
        </w:tc>
        <w:tc>
          <w:tcPr>
            <w:tcW w:w="990" w:type="dxa"/>
            <w:noWrap w:val="0"/>
            <w:vAlign w:val="center"/>
          </w:tcPr>
          <w:p w14:paraId="43D9E26B">
            <w:pPr>
              <w:jc w:val="left"/>
              <w:rPr>
                <w:rFonts w:hint="default" w:ascii="Calibri" w:hAnsi="Calibri" w:eastAsia="宋体" w:cs="Times New Roman"/>
                <w:color w:val="auto"/>
                <w:sz w:val="21"/>
                <w:szCs w:val="22"/>
              </w:rPr>
            </w:pPr>
            <w:r>
              <w:rPr>
                <w:rFonts w:hint="default" w:ascii="Calibri" w:hAnsi="Calibri" w:eastAsia="宋体" w:cs="Times New Roman"/>
                <w:color w:val="auto"/>
                <w:sz w:val="21"/>
                <w:szCs w:val="22"/>
              </w:rPr>
              <w:t>整体平台维护及无人机AI识别提升方案</w:t>
            </w:r>
          </w:p>
        </w:tc>
        <w:tc>
          <w:tcPr>
            <w:tcW w:w="990" w:type="dxa"/>
            <w:noWrap w:val="0"/>
            <w:vAlign w:val="center"/>
          </w:tcPr>
          <w:p w14:paraId="5EE4A2C0">
            <w:pPr>
              <w:jc w:val="center"/>
              <w:rPr>
                <w:rFonts w:hint="eastAsia"/>
              </w:rPr>
            </w:pPr>
            <w:r>
              <w:rPr>
                <w:rFonts w:hint="eastAsia"/>
                <w:lang w:val="en-US" w:eastAsia="zh-CN"/>
              </w:rPr>
              <w:t>8.00</w:t>
            </w:r>
            <w:r>
              <w:t>分</w:t>
            </w:r>
          </w:p>
        </w:tc>
        <w:tc>
          <w:tcPr>
            <w:tcW w:w="6779" w:type="dxa"/>
            <w:noWrap w:val="0"/>
          </w:tcPr>
          <w:p w14:paraId="068E6C46">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章、采购需求-五、</w:t>
            </w:r>
            <w:r>
              <w:rPr>
                <w:rFonts w:hint="eastAsia" w:ascii="Times New Roman" w:hAnsi="Times New Roman" w:cs="Arial"/>
                <w:color w:val="auto"/>
                <w:szCs w:val="21"/>
                <w:lang w:val="en-US" w:eastAsia="zh-CN"/>
              </w:rPr>
              <w:t>项目实施要求6、</w:t>
            </w:r>
            <w:r>
              <w:rPr>
                <w:rFonts w:hint="default" w:ascii="Calibri" w:hAnsi="Calibri" w:eastAsia="宋体" w:cs="Times New Roman"/>
                <w:color w:val="auto"/>
                <w:sz w:val="21"/>
                <w:szCs w:val="22"/>
              </w:rPr>
              <w:t>整体平台维护及无人机AI识别提升</w:t>
            </w:r>
            <w:r>
              <w:rPr>
                <w:rFonts w:hint="eastAsia" w:ascii="宋体" w:hAnsi="宋体" w:cs="宋体"/>
                <w:color w:val="000000"/>
                <w:spacing w:val="8"/>
                <w:szCs w:val="24"/>
                <w:lang w:val="en-US" w:eastAsia="zh-CN"/>
              </w:rPr>
              <w:t>”</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w:t>
            </w:r>
            <w:r>
              <w:rPr>
                <w:rFonts w:hint="default" w:ascii="Calibri" w:hAnsi="Calibri" w:eastAsia="宋体" w:cs="Times New Roman"/>
                <w:color w:val="auto"/>
                <w:sz w:val="21"/>
                <w:szCs w:val="22"/>
              </w:rPr>
              <w:t>整体平台维护及无人机AI识别提升方案</w:t>
            </w:r>
            <w:r>
              <w:rPr>
                <w:rFonts w:hint="eastAsia" w:ascii="Times New Roman" w:hAnsi="Times New Roman" w:cs="Arial"/>
                <w:color w:val="auto"/>
                <w:szCs w:val="21"/>
              </w:rPr>
              <w:t>进行打分。优于采购需求得</w:t>
            </w:r>
            <w:r>
              <w:rPr>
                <w:rFonts w:hint="eastAsia" w:ascii="Times New Roman" w:hAnsi="Times New Roman" w:cs="Arial"/>
                <w:color w:val="auto"/>
                <w:szCs w:val="21"/>
                <w:lang w:val="en-US" w:eastAsia="zh-CN"/>
              </w:rPr>
              <w:t>8</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方案完整、表述相对清楚的得</w:t>
            </w:r>
            <w:r>
              <w:rPr>
                <w:rFonts w:hint="eastAsia" w:ascii="Times New Roman" w:hAnsi="Times New Roman" w:cs="Arial"/>
                <w:color w:val="auto"/>
                <w:szCs w:val="21"/>
                <w:lang w:val="en-US" w:eastAsia="zh-CN"/>
              </w:rPr>
              <w:t>5</w:t>
            </w:r>
            <w:r>
              <w:rPr>
                <w:rFonts w:hint="eastAsia" w:ascii="Times New Roman" w:hAnsi="Times New Roman" w:cs="Arial"/>
                <w:color w:val="auto"/>
                <w:szCs w:val="21"/>
              </w:rPr>
              <w:t>分，方案有缺陷但通过后期优化可以完成采购需求的得2分</w:t>
            </w:r>
            <w:r>
              <w:rPr>
                <w:rFonts w:hint="eastAsia" w:ascii="Times New Roman" w:hAnsi="Times New Roman" w:cs="Arial"/>
                <w:color w:val="auto"/>
                <w:szCs w:val="21"/>
                <w:lang w:eastAsia="zh-CN"/>
              </w:rPr>
              <w:t>；</w:t>
            </w:r>
            <w:r>
              <w:rPr>
                <w:rFonts w:hint="eastAsia" w:ascii="Times New Roman" w:hAnsi="Times New Roman" w:cs="Arial"/>
                <w:color w:val="auto"/>
                <w:szCs w:val="21"/>
              </w:rPr>
              <w:t>其他情况或无内容不得分。</w:t>
            </w:r>
          </w:p>
        </w:tc>
      </w:tr>
      <w:tr w14:paraId="0D15C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9" w:hRule="atLeast"/>
          <w:jc w:val="center"/>
        </w:trPr>
        <w:tc>
          <w:tcPr>
            <w:tcW w:w="1097" w:type="dxa"/>
            <w:vMerge w:val="restart"/>
            <w:noWrap w:val="0"/>
            <w:vAlign w:val="center"/>
          </w:tcPr>
          <w:p w14:paraId="79340C60">
            <w:pPr>
              <w:spacing w:before="65" w:line="229" w:lineRule="auto"/>
              <w:ind w:left="13"/>
              <w:jc w:val="center"/>
              <w:rPr>
                <w:rFonts w:hint="default" w:ascii="宋体" w:hAnsi="宋体" w:eastAsia="宋体" w:cs="宋体"/>
                <w:color w:val="auto"/>
                <w:szCs w:val="24"/>
                <w:lang w:val="en-US" w:eastAsia="zh-CN"/>
              </w:rPr>
            </w:pPr>
            <w:r>
              <w:rPr>
                <w:rFonts w:hint="eastAsia" w:ascii="宋体" w:hAnsi="宋体" w:cs="宋体"/>
                <w:color w:val="auto"/>
                <w:szCs w:val="24"/>
                <w:lang w:val="en-US" w:eastAsia="zh-CN"/>
              </w:rPr>
              <w:t>售后</w:t>
            </w:r>
          </w:p>
        </w:tc>
        <w:tc>
          <w:tcPr>
            <w:tcW w:w="990" w:type="dxa"/>
            <w:noWrap w:val="0"/>
            <w:vAlign w:val="center"/>
          </w:tcPr>
          <w:p w14:paraId="09D78CE0">
            <w:pPr>
              <w:spacing w:before="65" w:line="228" w:lineRule="auto"/>
              <w:ind w:left="7"/>
              <w:jc w:val="center"/>
              <w:rPr>
                <w:rFonts w:ascii="宋体" w:hAnsi="宋体" w:cs="宋体"/>
                <w:color w:val="auto"/>
                <w:szCs w:val="24"/>
              </w:rPr>
            </w:pPr>
            <w:r>
              <w:rPr>
                <w:rFonts w:hint="eastAsia" w:ascii="宋体" w:hAnsi="宋体" w:cs="宋体"/>
                <w:color w:val="auto"/>
                <w:spacing w:val="7"/>
                <w:szCs w:val="24"/>
              </w:rPr>
              <w:t>服务响应</w:t>
            </w:r>
          </w:p>
        </w:tc>
        <w:tc>
          <w:tcPr>
            <w:tcW w:w="990" w:type="dxa"/>
            <w:noWrap w:val="0"/>
            <w:vAlign w:val="center"/>
          </w:tcPr>
          <w:p w14:paraId="2FDAD6E0">
            <w:pPr>
              <w:jc w:val="center"/>
            </w:pPr>
            <w:r>
              <w:rPr>
                <w:rFonts w:hint="eastAsia"/>
                <w:lang w:val="en-US" w:eastAsia="zh-CN"/>
              </w:rPr>
              <w:t>3.00</w:t>
            </w:r>
            <w:r>
              <w:t>分</w:t>
            </w:r>
          </w:p>
        </w:tc>
        <w:tc>
          <w:tcPr>
            <w:tcW w:w="6779" w:type="dxa"/>
            <w:noWrap w:val="0"/>
          </w:tcPr>
          <w:p w14:paraId="681E1C82">
            <w:pPr>
              <w:spacing w:before="34" w:line="268" w:lineRule="auto"/>
              <w:ind w:left="9"/>
              <w:rPr>
                <w:rFonts w:hint="eastAsia" w:ascii="Times New Roman" w:hAnsi="Times New Roman" w:cs="Arial"/>
                <w:color w:val="auto"/>
                <w:szCs w:val="21"/>
              </w:rPr>
            </w:pPr>
            <w:r>
              <w:rPr>
                <w:rFonts w:hint="eastAsia" w:ascii="Times New Roman" w:hAnsi="Times New Roman" w:cs="Arial"/>
                <w:color w:val="auto"/>
                <w:szCs w:val="21"/>
              </w:rPr>
              <w:t>售后服务响应时间承诺：投标人售后服务响应时间30分钟</w:t>
            </w:r>
            <w:r>
              <w:rPr>
                <w:rFonts w:hint="eastAsia" w:ascii="Times New Roman" w:hAnsi="Times New Roman" w:cs="Arial"/>
                <w:color w:val="auto"/>
                <w:szCs w:val="21"/>
                <w:lang w:eastAsia="zh-CN"/>
              </w:rPr>
              <w:t>，</w:t>
            </w:r>
            <w:r>
              <w:rPr>
                <w:rFonts w:hint="eastAsia" w:ascii="Times New Roman" w:hAnsi="Times New Roman" w:cs="Arial"/>
                <w:color w:val="auto"/>
                <w:szCs w:val="21"/>
              </w:rPr>
              <w:t>2小时到场维修的得</w:t>
            </w:r>
            <w:r>
              <w:rPr>
                <w:rFonts w:hint="eastAsia" w:ascii="Times New Roman" w:hAnsi="Times New Roman" w:cs="Arial"/>
                <w:color w:val="auto"/>
                <w:szCs w:val="21"/>
                <w:lang w:val="en-US" w:eastAsia="zh-CN"/>
              </w:rPr>
              <w:t>3</w:t>
            </w:r>
            <w:r>
              <w:rPr>
                <w:rFonts w:hint="eastAsia" w:ascii="Times New Roman" w:hAnsi="Times New Roman" w:cs="Arial"/>
                <w:color w:val="auto"/>
                <w:szCs w:val="21"/>
              </w:rPr>
              <w:t>分</w:t>
            </w:r>
            <w:r>
              <w:rPr>
                <w:rFonts w:hint="eastAsia" w:ascii="Times New Roman" w:hAnsi="Times New Roman" w:cs="Arial"/>
                <w:color w:val="auto"/>
                <w:szCs w:val="21"/>
                <w:lang w:eastAsia="zh-CN"/>
              </w:rPr>
              <w:t>；</w:t>
            </w:r>
            <w:r>
              <w:rPr>
                <w:rFonts w:hint="eastAsia" w:ascii="Times New Roman" w:hAnsi="Times New Roman" w:cs="Arial"/>
                <w:color w:val="auto"/>
                <w:szCs w:val="21"/>
              </w:rPr>
              <w:t>响应时间50分钟</w:t>
            </w:r>
            <w:r>
              <w:rPr>
                <w:rFonts w:hint="eastAsia" w:ascii="Times New Roman" w:hAnsi="Times New Roman" w:cs="Arial"/>
                <w:color w:val="auto"/>
                <w:szCs w:val="21"/>
                <w:lang w:eastAsia="zh-CN"/>
              </w:rPr>
              <w:t>，</w:t>
            </w:r>
            <w:r>
              <w:rPr>
                <w:rFonts w:hint="eastAsia" w:ascii="Times New Roman" w:hAnsi="Times New Roman" w:cs="Arial"/>
                <w:color w:val="auto"/>
                <w:szCs w:val="21"/>
              </w:rPr>
              <w:t>4小时到场维修的得</w:t>
            </w:r>
            <w:r>
              <w:rPr>
                <w:rFonts w:hint="eastAsia" w:ascii="Times New Roman" w:hAnsi="Times New Roman" w:cs="Arial"/>
                <w:color w:val="auto"/>
                <w:szCs w:val="21"/>
                <w:lang w:val="en-US" w:eastAsia="zh-CN"/>
              </w:rPr>
              <w:t>2</w:t>
            </w:r>
            <w:r>
              <w:rPr>
                <w:rFonts w:hint="eastAsia" w:ascii="Times New Roman" w:hAnsi="Times New Roman" w:cs="Arial"/>
                <w:color w:val="auto"/>
                <w:szCs w:val="21"/>
              </w:rPr>
              <w:t>分（投标人需提供承诺函并加盖公章，格式自拟），没有的不得分。</w:t>
            </w:r>
          </w:p>
        </w:tc>
      </w:tr>
      <w:tr w14:paraId="7680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8" w:hRule="atLeast"/>
          <w:jc w:val="center"/>
        </w:trPr>
        <w:tc>
          <w:tcPr>
            <w:tcW w:w="1097" w:type="dxa"/>
            <w:vMerge w:val="continue"/>
            <w:tcBorders>
              <w:bottom w:val="single" w:color="auto" w:sz="4" w:space="0"/>
            </w:tcBorders>
            <w:noWrap w:val="0"/>
          </w:tcPr>
          <w:p w14:paraId="0260D6B6">
            <w:pPr>
              <w:rPr>
                <w:rFonts w:ascii="Arial" w:hAnsi="Arial" w:cs="Arial"/>
                <w:color w:val="auto"/>
                <w:szCs w:val="24"/>
              </w:rPr>
            </w:pPr>
          </w:p>
        </w:tc>
        <w:tc>
          <w:tcPr>
            <w:tcW w:w="990" w:type="dxa"/>
            <w:tcBorders>
              <w:bottom w:val="single" w:color="auto" w:sz="4" w:space="0"/>
            </w:tcBorders>
            <w:noWrap w:val="0"/>
            <w:vAlign w:val="center"/>
          </w:tcPr>
          <w:p w14:paraId="1639B51D">
            <w:pPr>
              <w:spacing w:before="65" w:line="231" w:lineRule="auto"/>
              <w:jc w:val="center"/>
              <w:rPr>
                <w:rFonts w:ascii="宋体" w:hAnsi="宋体" w:cs="宋体"/>
                <w:color w:val="auto"/>
                <w:szCs w:val="24"/>
              </w:rPr>
            </w:pPr>
            <w:r>
              <w:rPr>
                <w:rFonts w:hint="eastAsia" w:ascii="宋体" w:hAnsi="宋体" w:cs="宋体"/>
                <w:color w:val="auto"/>
                <w:spacing w:val="4"/>
                <w:szCs w:val="24"/>
                <w:lang w:val="en-US" w:eastAsia="zh-CN"/>
              </w:rPr>
              <w:t>售后服务</w:t>
            </w:r>
            <w:r>
              <w:rPr>
                <w:rFonts w:hint="eastAsia" w:ascii="宋体" w:hAnsi="宋体" w:cs="宋体"/>
                <w:color w:val="auto"/>
                <w:spacing w:val="4"/>
                <w:szCs w:val="24"/>
              </w:rPr>
              <w:t>方案</w:t>
            </w:r>
          </w:p>
        </w:tc>
        <w:tc>
          <w:tcPr>
            <w:tcW w:w="990" w:type="dxa"/>
            <w:tcBorders>
              <w:bottom w:val="single" w:color="auto" w:sz="4" w:space="0"/>
            </w:tcBorders>
            <w:noWrap w:val="0"/>
            <w:vAlign w:val="center"/>
          </w:tcPr>
          <w:p w14:paraId="2B0439B0">
            <w:pPr>
              <w:jc w:val="center"/>
            </w:pPr>
          </w:p>
          <w:p w14:paraId="40C2B9FF">
            <w:pPr>
              <w:jc w:val="center"/>
            </w:pPr>
            <w:r>
              <w:rPr>
                <w:rFonts w:hint="eastAsia"/>
                <w:lang w:val="en-US" w:eastAsia="zh-CN"/>
              </w:rPr>
              <w:t>5.00</w:t>
            </w:r>
            <w:r>
              <w:t>分</w:t>
            </w:r>
          </w:p>
          <w:p w14:paraId="01D83919">
            <w:pPr>
              <w:jc w:val="center"/>
            </w:pPr>
          </w:p>
        </w:tc>
        <w:tc>
          <w:tcPr>
            <w:tcW w:w="6779" w:type="dxa"/>
            <w:tcBorders>
              <w:bottom w:val="single" w:color="auto" w:sz="4" w:space="0"/>
            </w:tcBorders>
            <w:noWrap w:val="0"/>
          </w:tcPr>
          <w:p w14:paraId="1B244C89">
            <w:pPr>
              <w:spacing w:before="34" w:line="268" w:lineRule="auto"/>
              <w:ind w:left="9"/>
              <w:rPr>
                <w:rFonts w:hint="eastAsia" w:ascii="Times New Roman" w:hAnsi="Times New Roman" w:eastAsia="宋体" w:cs="Arial"/>
                <w:color w:val="auto"/>
                <w:szCs w:val="21"/>
                <w:lang w:val="en-US" w:eastAsia="zh-CN"/>
              </w:rPr>
            </w:pPr>
            <w:r>
              <w:rPr>
                <w:rFonts w:hint="eastAsia" w:ascii="Times New Roman" w:hAnsi="Times New Roman" w:cs="Arial"/>
                <w:color w:val="auto"/>
                <w:szCs w:val="21"/>
                <w:lang w:val="en-US" w:eastAsia="zh-CN"/>
              </w:rPr>
              <w:t>1、</w:t>
            </w:r>
            <w:r>
              <w:rPr>
                <w:rFonts w:hint="eastAsia" w:ascii="Times New Roman" w:hAnsi="Times New Roman" w:cs="Arial"/>
                <w:color w:val="auto"/>
                <w:szCs w:val="21"/>
              </w:rPr>
              <w:t>在满足“第</w:t>
            </w:r>
            <w:r>
              <w:rPr>
                <w:rFonts w:hint="eastAsia" w:ascii="Times New Roman" w:hAnsi="Times New Roman" w:cs="Arial"/>
                <w:color w:val="auto"/>
                <w:szCs w:val="21"/>
                <w:lang w:val="en-US" w:eastAsia="zh-CN"/>
              </w:rPr>
              <w:t>四</w:t>
            </w:r>
            <w:r>
              <w:rPr>
                <w:rFonts w:hint="eastAsia" w:ascii="Times New Roman" w:hAnsi="Times New Roman" w:cs="Arial"/>
                <w:color w:val="auto"/>
                <w:szCs w:val="21"/>
              </w:rPr>
              <w:t>章、采购需求-</w:t>
            </w:r>
            <w:r>
              <w:rPr>
                <w:rFonts w:hint="eastAsia" w:ascii="Times New Roman" w:hAnsi="Times New Roman" w:cs="Arial"/>
                <w:color w:val="auto"/>
                <w:szCs w:val="21"/>
                <w:lang w:val="en-US" w:eastAsia="zh-CN"/>
              </w:rPr>
              <w:t xml:space="preserve"> 六、售后服务</w:t>
            </w:r>
            <w:r>
              <w:rPr>
                <w:rFonts w:hint="eastAsia" w:ascii="宋体" w:hAnsi="宋体" w:cs="宋体"/>
                <w:color w:val="000000"/>
                <w:spacing w:val="8"/>
                <w:szCs w:val="24"/>
                <w:lang w:val="en-US" w:eastAsia="zh-CN"/>
              </w:rPr>
              <w:t>”</w:t>
            </w:r>
            <w:r>
              <w:rPr>
                <w:rFonts w:hint="eastAsia" w:ascii="Times New Roman" w:hAnsi="Times New Roman" w:cs="Arial"/>
                <w:color w:val="auto"/>
                <w:szCs w:val="21"/>
                <w:lang w:val="en-US" w:eastAsia="zh-CN"/>
              </w:rPr>
              <w:t>基</w:t>
            </w:r>
            <w:r>
              <w:rPr>
                <w:rFonts w:hint="eastAsia" w:ascii="Times New Roman" w:hAnsi="Times New Roman" w:cs="Arial"/>
                <w:color w:val="auto"/>
                <w:szCs w:val="21"/>
              </w:rPr>
              <w:t>础之上评委根据供应商提供的</w:t>
            </w:r>
            <w:r>
              <w:rPr>
                <w:rFonts w:hint="default" w:ascii="Calibri" w:hAnsi="Calibri" w:eastAsia="宋体" w:cs="Times New Roman"/>
                <w:color w:val="auto"/>
                <w:sz w:val="21"/>
                <w:szCs w:val="22"/>
              </w:rPr>
              <w:t>整</w:t>
            </w:r>
            <w:r>
              <w:rPr>
                <w:rFonts w:hint="eastAsia" w:ascii="Times New Roman" w:hAnsi="Times New Roman" w:cs="Arial"/>
                <w:color w:val="auto"/>
                <w:szCs w:val="21"/>
                <w:lang w:val="en-US" w:eastAsia="zh-CN"/>
              </w:rPr>
              <w:t>售后服务</w:t>
            </w:r>
            <w:r>
              <w:rPr>
                <w:rFonts w:hint="default" w:ascii="Calibri" w:hAnsi="Calibri" w:eastAsia="宋体" w:cs="Times New Roman"/>
                <w:color w:val="auto"/>
                <w:sz w:val="21"/>
                <w:szCs w:val="22"/>
              </w:rPr>
              <w:t>方案</w:t>
            </w:r>
            <w:r>
              <w:rPr>
                <w:rFonts w:hint="eastAsia" w:ascii="Times New Roman" w:hAnsi="Times New Roman" w:cs="Arial"/>
                <w:color w:val="auto"/>
                <w:szCs w:val="21"/>
              </w:rPr>
              <w:t>进行打分</w:t>
            </w:r>
            <w:r>
              <w:rPr>
                <w:rFonts w:hint="eastAsia" w:ascii="Times New Roman" w:hAnsi="Times New Roman" w:cs="Arial"/>
                <w:color w:val="auto"/>
                <w:szCs w:val="21"/>
                <w:lang w:eastAsia="zh-CN"/>
              </w:rPr>
              <w:t>；</w:t>
            </w:r>
            <w:r>
              <w:rPr>
                <w:rFonts w:hint="eastAsia" w:ascii="Times New Roman" w:hAnsi="Times New Roman" w:cs="Arial"/>
                <w:szCs w:val="21"/>
              </w:rPr>
              <w:t>优于采购需求得</w:t>
            </w:r>
            <w:r>
              <w:rPr>
                <w:rFonts w:hint="eastAsia" w:ascii="Times New Roman" w:hAnsi="Times New Roman" w:cs="Arial"/>
                <w:szCs w:val="21"/>
                <w:lang w:val="en-US" w:eastAsia="zh-CN"/>
              </w:rPr>
              <w:t>4</w:t>
            </w:r>
            <w:r>
              <w:rPr>
                <w:rFonts w:hint="eastAsia" w:ascii="Times New Roman" w:hAnsi="Times New Roman" w:cs="Arial"/>
                <w:szCs w:val="21"/>
              </w:rPr>
              <w:t>分</w:t>
            </w:r>
            <w:r>
              <w:rPr>
                <w:rFonts w:hint="eastAsia" w:ascii="Times New Roman" w:hAnsi="Times New Roman" w:cs="Arial"/>
                <w:szCs w:val="21"/>
                <w:lang w:eastAsia="zh-CN"/>
              </w:rPr>
              <w:t>；</w:t>
            </w:r>
            <w:r>
              <w:rPr>
                <w:rFonts w:hint="eastAsia" w:ascii="Times New Roman" w:hAnsi="Times New Roman" w:cs="Arial"/>
                <w:szCs w:val="21"/>
              </w:rPr>
              <w:t>方案完整、表述相对清楚的得2分，方案有缺陷但通过后期优化可以完成采购需求的得1分</w:t>
            </w:r>
            <w:r>
              <w:rPr>
                <w:rFonts w:hint="eastAsia" w:ascii="Times New Roman" w:hAnsi="Times New Roman" w:cs="Arial"/>
                <w:szCs w:val="21"/>
                <w:lang w:eastAsia="zh-CN"/>
              </w:rPr>
              <w:t>；</w:t>
            </w:r>
            <w:r>
              <w:rPr>
                <w:rFonts w:hint="eastAsia" w:ascii="Times New Roman" w:hAnsi="Times New Roman" w:cs="Arial"/>
                <w:szCs w:val="21"/>
              </w:rPr>
              <w:t>其他情况或无内容不得分。</w:t>
            </w:r>
          </w:p>
          <w:p w14:paraId="12870408">
            <w:pPr>
              <w:spacing w:before="34" w:line="268" w:lineRule="auto"/>
              <w:ind w:left="9"/>
              <w:rPr>
                <w:rFonts w:hint="eastAsia" w:ascii="Times New Roman" w:hAnsi="Times New Roman" w:eastAsia="宋体" w:cs="Arial"/>
                <w:color w:val="auto"/>
                <w:szCs w:val="21"/>
                <w:lang w:eastAsia="zh-CN"/>
              </w:rPr>
            </w:pPr>
            <w:r>
              <w:rPr>
                <w:rFonts w:hint="eastAsia" w:ascii="Times New Roman" w:hAnsi="Times New Roman" w:cs="Arial"/>
                <w:color w:val="auto"/>
                <w:szCs w:val="21"/>
              </w:rPr>
              <w:t>2、投标人承诺中标后按照“考核标准”要求实施，得1分。注：投标文件中需提供加盖本单位公章的承诺函</w:t>
            </w:r>
            <w:r>
              <w:rPr>
                <w:rFonts w:hint="eastAsia" w:ascii="Times New Roman" w:hAnsi="Times New Roman" w:cs="Arial"/>
                <w:color w:val="auto"/>
                <w:szCs w:val="21"/>
                <w:lang w:eastAsia="zh-CN"/>
              </w:rPr>
              <w:t>，</w:t>
            </w:r>
            <w:r>
              <w:rPr>
                <w:rFonts w:hint="eastAsia" w:ascii="Times New Roman" w:hAnsi="Times New Roman" w:cs="Arial"/>
                <w:color w:val="auto"/>
                <w:szCs w:val="21"/>
              </w:rPr>
              <w:t>格式自拟</w:t>
            </w:r>
            <w:r>
              <w:rPr>
                <w:rFonts w:hint="eastAsia" w:ascii="Times New Roman" w:hAnsi="Times New Roman" w:cs="Arial"/>
                <w:color w:val="auto"/>
                <w:szCs w:val="21"/>
                <w:lang w:eastAsia="zh-CN"/>
              </w:rPr>
              <w:t>；</w:t>
            </w:r>
          </w:p>
        </w:tc>
      </w:tr>
    </w:tbl>
    <w:p w14:paraId="66311431">
      <w:pPr>
        <w:numPr>
          <w:ilvl w:val="0"/>
          <w:numId w:val="3"/>
        </w:numPr>
        <w:spacing w:line="560" w:lineRule="exact"/>
        <w:ind w:left="0"/>
        <w:rPr>
          <w:rFonts w:ascii="Times New Roman" w:hAnsi="Times New Roman" w:eastAsia="仿宋_GB2312"/>
          <w:b/>
          <w:color w:val="auto"/>
          <w:sz w:val="24"/>
        </w:rPr>
      </w:pPr>
      <w:r>
        <w:rPr>
          <w:rFonts w:hint="eastAsia" w:ascii="Times New Roman" w:hAnsi="Times New Roman" w:eastAsia="仿宋_GB2312"/>
          <w:b/>
          <w:color w:val="auto"/>
          <w:sz w:val="24"/>
        </w:rPr>
        <w:t>评标结果。磋商小组按照本办法规定推荐成交候选人，并形成评标报告。</w:t>
      </w:r>
    </w:p>
    <w:p w14:paraId="7F90419D">
      <w:pPr>
        <w:spacing w:line="560" w:lineRule="exact"/>
        <w:rPr>
          <w:rFonts w:ascii="Times New Roman" w:hAnsi="Times New Roman" w:eastAsia="仿宋_GB2312"/>
          <w:b/>
          <w:color w:val="auto"/>
          <w:sz w:val="24"/>
        </w:rPr>
      </w:pPr>
      <w:r>
        <w:rPr>
          <w:rFonts w:hint="eastAsia" w:ascii="Times New Roman" w:hAnsi="Times New Roman" w:eastAsia="仿宋_GB2312"/>
          <w:b/>
          <w:color w:val="auto"/>
          <w:sz w:val="24"/>
        </w:rPr>
        <w:t>（四）政府采购政策功能落实</w:t>
      </w:r>
    </w:p>
    <w:p w14:paraId="57845665">
      <w:pPr>
        <w:spacing w:line="440" w:lineRule="exact"/>
        <w:ind w:firstLine="480"/>
        <w:rPr>
          <w:rFonts w:hint="eastAsia" w:ascii="Times New Roman" w:hAnsi="Times New Roman" w:eastAsia="仿宋_GB2312"/>
          <w:b/>
          <w:bCs/>
          <w:color w:val="auto"/>
          <w:sz w:val="24"/>
          <w:u w:val="single"/>
          <w:lang w:val="en-US" w:eastAsia="zh-CN"/>
        </w:rPr>
      </w:pPr>
      <w:r>
        <w:rPr>
          <w:rFonts w:hint="eastAsia" w:ascii="Times New Roman" w:hAnsi="Times New Roman" w:eastAsia="仿宋_GB2312"/>
          <w:b/>
          <w:bCs/>
          <w:color w:val="auto"/>
          <w:sz w:val="24"/>
        </w:rPr>
        <w:t>本项目落实的政府采购政策对应以下序号为</w:t>
      </w:r>
      <w:r>
        <w:rPr>
          <w:rFonts w:hint="eastAsia" w:ascii="Times New Roman" w:hAnsi="Times New Roman" w:eastAsia="仿宋_GB2312"/>
          <w:b/>
          <w:bCs/>
          <w:color w:val="auto"/>
          <w:sz w:val="24"/>
          <w:u w:val="single"/>
        </w:rPr>
        <w:t xml:space="preserve"> </w:t>
      </w:r>
      <w:r>
        <w:rPr>
          <w:rFonts w:hint="eastAsia" w:ascii="Times New Roman" w:hAnsi="Times New Roman" w:eastAsia="仿宋_GB2312"/>
          <w:b/>
          <w:bCs/>
          <w:color w:val="auto"/>
          <w:sz w:val="24"/>
          <w:u w:val="single"/>
          <w:lang w:val="en-US" w:eastAsia="zh-CN"/>
        </w:rPr>
        <w:t xml:space="preserve">1、2 、3、4 </w:t>
      </w:r>
    </w:p>
    <w:p w14:paraId="05DFE040">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1.采购本国货物、工程和服务</w:t>
      </w:r>
    </w:p>
    <w:p w14:paraId="07CD3196">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1223C382">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2.</w:t>
      </w:r>
      <w:r>
        <w:rPr>
          <w:rFonts w:ascii="Times New Roman" w:hAnsi="Times New Roman" w:cs="仿宋_GB2312"/>
          <w:color w:val="auto"/>
          <w:sz w:val="24"/>
        </w:rPr>
        <w:t>中小企业政策</w:t>
      </w:r>
    </w:p>
    <w:p w14:paraId="5A604CE2">
      <w:pPr>
        <w:spacing w:line="440" w:lineRule="exact"/>
        <w:ind w:firstLine="480"/>
        <w:rPr>
          <w:rFonts w:hint="eastAsia" w:ascii="Times New Roman" w:hAnsi="Times New Roman"/>
          <w:color w:val="auto"/>
          <w:sz w:val="24"/>
        </w:rPr>
      </w:pPr>
      <w:r>
        <w:rPr>
          <w:rFonts w:hint="eastAsia" w:ascii="Times New Roman" w:hAnsi="Times New Roman"/>
          <w:color w:val="auto"/>
          <w:sz w:val="24"/>
        </w:rPr>
        <w:t xml:space="preserve">本项目按以下第 </w:t>
      </w:r>
      <w:r>
        <w:rPr>
          <w:rFonts w:hint="eastAsia" w:ascii="Times New Roman" w:hAnsi="Times New Roman"/>
          <w:color w:val="auto"/>
          <w:sz w:val="24"/>
          <w:u w:val="single"/>
        </w:rPr>
        <w:t>（</w:t>
      </w:r>
      <w:r>
        <w:rPr>
          <w:rFonts w:hint="eastAsia" w:ascii="Times New Roman" w:hAnsi="Times New Roman"/>
          <w:color w:val="auto"/>
          <w:sz w:val="24"/>
          <w:u w:val="single"/>
          <w:lang w:val="en-US" w:eastAsia="zh-CN"/>
        </w:rPr>
        <w:t>1</w:t>
      </w:r>
      <w:r>
        <w:rPr>
          <w:rFonts w:hint="eastAsia" w:ascii="Times New Roman" w:hAnsi="Times New Roman"/>
          <w:color w:val="auto"/>
          <w:sz w:val="24"/>
          <w:u w:val="single"/>
        </w:rPr>
        <w:t>）</w:t>
      </w:r>
      <w:r>
        <w:rPr>
          <w:rFonts w:hint="eastAsia" w:ascii="Times New Roman" w:hAnsi="Times New Roman"/>
          <w:color w:val="auto"/>
          <w:sz w:val="24"/>
        </w:rPr>
        <w:t xml:space="preserve"> 种政策确定本项目落实的中小企业政策：</w:t>
      </w:r>
    </w:p>
    <w:p w14:paraId="18EF4548">
      <w:pPr>
        <w:spacing w:line="440" w:lineRule="exact"/>
        <w:ind w:firstLine="480"/>
        <w:rPr>
          <w:rFonts w:ascii="Times New Roman" w:hAnsi="Times New Roman"/>
          <w:color w:val="auto"/>
          <w:sz w:val="24"/>
        </w:rPr>
      </w:pPr>
      <w:r>
        <w:rPr>
          <w:rFonts w:hint="eastAsia" w:ascii="Times New Roman" w:hAnsi="Times New Roman"/>
          <w:color w:val="auto"/>
          <w:sz w:val="24"/>
        </w:rPr>
        <w:t>（1）本项目专门面向中小企业（含监狱企业、残疾人福利企业）采购。</w:t>
      </w:r>
    </w:p>
    <w:p w14:paraId="62C7BC5B">
      <w:pPr>
        <w:spacing w:line="440" w:lineRule="exact"/>
        <w:ind w:firstLine="480"/>
        <w:rPr>
          <w:rFonts w:ascii="Times New Roman" w:hAnsi="Times New Roman" w:cs="仿宋_GB2312"/>
          <w:color w:val="auto"/>
          <w:sz w:val="24"/>
        </w:rPr>
      </w:pPr>
      <w:r>
        <w:rPr>
          <w:rFonts w:hint="eastAsia" w:ascii="Times New Roman" w:hAnsi="Times New Roman"/>
          <w:color w:val="auto"/>
          <w:sz w:val="24"/>
        </w:rPr>
        <w:t>（2）</w:t>
      </w:r>
      <w:r>
        <w:rPr>
          <w:rFonts w:hint="eastAsia" w:ascii="Times New Roman" w:hAnsi="Times New Roman" w:cs="仿宋_GB2312"/>
          <w:color w:val="auto"/>
          <w:sz w:val="24"/>
        </w:rPr>
        <w:t>供应商提供的货物、工程或者服务符合下列情形的，对小微企业报价给予</w:t>
      </w:r>
      <w:r>
        <w:rPr>
          <w:rFonts w:hint="eastAsia" w:ascii="Times New Roman" w:hAnsi="Times New Roman" w:cs="仿宋_GB2312"/>
          <w:color w:val="auto"/>
          <w:sz w:val="24"/>
          <w:u w:val="single"/>
        </w:rPr>
        <w:t xml:space="preserve"> / </w:t>
      </w:r>
      <w:r>
        <w:rPr>
          <w:rFonts w:hint="eastAsia" w:ascii="Times New Roman" w:hAnsi="Times New Roman" w:cs="仿宋_GB2312"/>
          <w:color w:val="auto"/>
          <w:sz w:val="24"/>
        </w:rPr>
        <w:t>%（工程项目为</w:t>
      </w:r>
      <w:r>
        <w:rPr>
          <w:rFonts w:hint="eastAsia" w:ascii="Times New Roman" w:hAnsi="Times New Roman" w:cs="仿宋_GB2312"/>
          <w:color w:val="auto"/>
          <w:sz w:val="24"/>
          <w:u w:val="single"/>
        </w:rPr>
        <w:t xml:space="preserve"> / </w:t>
      </w:r>
      <w:r>
        <w:rPr>
          <w:rFonts w:hint="eastAsia" w:ascii="Times New Roman" w:hAnsi="Times New Roman" w:cs="仿宋_GB2312"/>
          <w:color w:val="auto"/>
          <w:sz w:val="24"/>
        </w:rPr>
        <w:t xml:space="preserve">%）的扣除，用扣除后的价格参加评审。    </w:t>
      </w:r>
    </w:p>
    <w:p w14:paraId="13056EB9">
      <w:pPr>
        <w:spacing w:line="440" w:lineRule="exact"/>
        <w:ind w:firstLine="480"/>
        <w:rPr>
          <w:rFonts w:ascii="Times New Roman" w:hAnsi="Times New Roman"/>
          <w:color w:val="auto"/>
          <w:sz w:val="24"/>
        </w:rPr>
      </w:pPr>
      <w:r>
        <w:rPr>
          <w:rFonts w:hint="eastAsia" w:ascii="Times New Roman" w:hAnsi="Times New Roman" w:cs="仿宋_GB2312"/>
          <w:color w:val="auto"/>
          <w:sz w:val="24"/>
        </w:rPr>
        <w:t>（一）在服务采购项目中，服务由中小企业承接，即提供服务的人员为中小企业依照《中华人民共和国民法典》订立劳动合同的从业人员。</w:t>
      </w:r>
    </w:p>
    <w:p w14:paraId="7060E054">
      <w:pPr>
        <w:spacing w:line="440" w:lineRule="exact"/>
        <w:ind w:firstLine="480"/>
        <w:rPr>
          <w:rFonts w:ascii="Times New Roman" w:hAnsi="Times New Roman"/>
          <w:color w:val="auto"/>
          <w:sz w:val="24"/>
        </w:rPr>
      </w:pPr>
      <w:r>
        <w:rPr>
          <w:rFonts w:hint="eastAsia" w:ascii="Times New Roman" w:hAnsi="Times New Roman" w:cs="仿宋_GB2312"/>
          <w:color w:val="auto"/>
          <w:sz w:val="24"/>
        </w:rPr>
        <w:t>注：①参加投标的中小企业，应当按照《政府采购促进中小企业发展管理办法》（财库〔2020〕46号）规定，出具《中小企业声明函》，中小企业划型依据《关于印发中小企业划型标准规定的通知》（工信部联企业〔2011〕300 号）。</w:t>
      </w:r>
    </w:p>
    <w:p w14:paraId="5B6015BA">
      <w:pPr>
        <w:spacing w:line="440" w:lineRule="exact"/>
        <w:ind w:firstLine="480"/>
        <w:rPr>
          <w:rFonts w:ascii="Times New Roman" w:hAnsi="Times New Roman"/>
          <w:color w:val="auto"/>
          <w:sz w:val="24"/>
        </w:rPr>
      </w:pPr>
      <w:r>
        <w:rPr>
          <w:rFonts w:hint="eastAsia" w:ascii="Times New Roman" w:hAnsi="Times New Roman" w:cs="仿宋_GB2312"/>
          <w:color w:val="auto"/>
          <w:sz w:val="24"/>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78D3441E">
      <w:pPr>
        <w:spacing w:line="440" w:lineRule="exact"/>
        <w:ind w:firstLine="480"/>
        <w:rPr>
          <w:rFonts w:hint="eastAsia" w:ascii="Times New Roman" w:hAnsi="Times New Roman" w:cs="仿宋_GB2312"/>
          <w:color w:val="auto"/>
          <w:sz w:val="24"/>
        </w:rPr>
      </w:pPr>
      <w:r>
        <w:rPr>
          <w:rFonts w:hint="eastAsia" w:ascii="Times New Roman" w:hAnsi="Times New Roman" w:cs="仿宋_GB2312"/>
          <w:color w:val="auto"/>
          <w:sz w:val="24"/>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3CD1533D">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3.政府采购节能产品、环境标志产品</w:t>
      </w:r>
    </w:p>
    <w:p w14:paraId="7565BAF8">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竞争性磋商文件要求提供相关产品认证证书。</w:t>
      </w:r>
    </w:p>
    <w:p w14:paraId="60C80624">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（2）采购人拟采购的产品属于政府强制采购的节能产品品目清单范围的，供应商须提供国家确定的认证机构出具的、处于有效期之内的节能产品认证证书的，否则无效标处理。</w:t>
      </w:r>
    </w:p>
    <w:p w14:paraId="0589C9E6">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（3）采购人拟采购的产品属于优先采购的节能环保品目清单范围的，按以下条件优先采购：</w:t>
      </w:r>
    </w:p>
    <w:p w14:paraId="107563F1">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采用综合评分法的项目，对提供有效节能环保证书的供应商加分。</w:t>
      </w:r>
    </w:p>
    <w:p w14:paraId="2DF059BF">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4.商品包装、快递包装政府采购需求标准（试行）</w:t>
      </w:r>
    </w:p>
    <w:p w14:paraId="6A01D515">
      <w:pPr>
        <w:spacing w:line="440" w:lineRule="exact"/>
        <w:ind w:firstLine="480"/>
        <w:rPr>
          <w:rFonts w:ascii="Times New Roman" w:hAnsi="Times New Roman" w:cs="仿宋_GB2312"/>
          <w:color w:val="auto"/>
          <w:sz w:val="24"/>
        </w:rPr>
      </w:pPr>
      <w:r>
        <w:rPr>
          <w:rFonts w:hint="eastAsia" w:ascii="Times New Roman" w:hAnsi="Times New Roman" w:cs="仿宋_GB2312"/>
          <w:color w:val="auto"/>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38AFDB39">
      <w:pPr>
        <w:spacing w:line="440" w:lineRule="exact"/>
        <w:ind w:firstLine="480"/>
        <w:rPr>
          <w:rFonts w:ascii="Times New Roman" w:hAnsi="Times New Roman" w:cs="仿宋_GB2312"/>
          <w:color w:val="auto"/>
          <w:sz w:val="24"/>
          <w:szCs w:val="24"/>
        </w:rPr>
      </w:pPr>
      <w:r>
        <w:rPr>
          <w:rFonts w:hint="eastAsia" w:ascii="Times New Roman" w:hAnsi="Times New Roman" w:cs="仿宋_GB2312"/>
          <w:color w:val="auto"/>
          <w:sz w:val="24"/>
        </w:rPr>
        <w:t>5.绿色数据中心政府采购需求标准（试行）</w:t>
      </w:r>
    </w:p>
    <w:p w14:paraId="6D37085C">
      <w:pPr>
        <w:spacing w:line="440" w:lineRule="exact"/>
        <w:ind w:firstLine="480"/>
        <w:rPr>
          <w:rFonts w:hint="eastAsia" w:ascii="Times New Roman" w:hAnsi="Times New Roman" w:cs="仿宋_GB2312"/>
          <w:color w:val="auto"/>
          <w:sz w:val="24"/>
        </w:rPr>
      </w:pPr>
      <w:r>
        <w:rPr>
          <w:rFonts w:hint="eastAsia" w:ascii="Times New Roman" w:hAnsi="Times New Roman" w:cs="仿宋_GB2312"/>
          <w:color w:val="auto"/>
          <w:sz w:val="24"/>
        </w:rPr>
        <w:t>为加快数据中心绿色转型，根据财政部 生态环境部工业和信息化部关于印发《绿色数据中心政府采购需求标准（试行）》的通知），本项目如涉及绿色数据中心，具体需求详见第四章采购需求。</w:t>
      </w:r>
    </w:p>
    <w:p w14:paraId="29549EE9">
      <w:pPr>
        <w:pStyle w:val="6"/>
        <w:ind w:left="0" w:firstLine="0"/>
      </w:pPr>
    </w:p>
    <w:p w14:paraId="6409E3D4">
      <w:pPr>
        <w:rPr>
          <w:rFonts w:ascii="Times New Roman" w:hAnsi="Times New Roman" w:cs="仿宋_GB2312"/>
          <w:color w:val="auto"/>
          <w:sz w:val="24"/>
        </w:rPr>
      </w:pPr>
    </w:p>
    <w:p w14:paraId="76AF6203">
      <w:pPr>
        <w:pStyle w:val="17"/>
        <w:rPr>
          <w:rFonts w:ascii="Times New Roman" w:hAnsi="Times New Roman" w:cs="仿宋_GB2312"/>
          <w:color w:val="auto"/>
          <w:sz w:val="24"/>
        </w:rPr>
      </w:pPr>
    </w:p>
    <w:p w14:paraId="74133395">
      <w:pPr>
        <w:pStyle w:val="6"/>
        <w:rPr>
          <w:rFonts w:ascii="Times New Roman" w:hAnsi="Times New Roman" w:cs="仿宋_GB2312"/>
          <w:color w:val="auto"/>
          <w:sz w:val="24"/>
        </w:rPr>
      </w:pPr>
    </w:p>
    <w:p w14:paraId="4390D33F">
      <w:pPr>
        <w:rPr>
          <w:rFonts w:ascii="Times New Roman" w:hAnsi="Times New Roman" w:cs="仿宋_GB2312"/>
          <w:color w:val="auto"/>
          <w:sz w:val="24"/>
        </w:rPr>
      </w:pPr>
    </w:p>
    <w:p w14:paraId="7C612A28">
      <w:pPr>
        <w:pStyle w:val="17"/>
      </w:pPr>
    </w:p>
    <w:p w14:paraId="2089496F">
      <w:pPr>
        <w:keepNext/>
        <w:numPr>
          <w:ilvl w:val="0"/>
          <w:numId w:val="4"/>
        </w:numPr>
        <w:jc w:val="center"/>
        <w:outlineLvl w:val="0"/>
        <w:rPr>
          <w:rFonts w:ascii="Times New Roman" w:hAnsi="Times New Roman" w:eastAsia="黑体"/>
          <w:bCs/>
          <w:color w:val="auto"/>
          <w:sz w:val="44"/>
          <w:szCs w:val="28"/>
        </w:rPr>
      </w:pPr>
      <w:r>
        <w:rPr>
          <w:rFonts w:hint="eastAsia" w:ascii="Times New Roman" w:hAnsi="Times New Roman" w:eastAsia="黑体"/>
          <w:bCs/>
          <w:color w:val="auto"/>
          <w:sz w:val="44"/>
          <w:szCs w:val="28"/>
        </w:rPr>
        <w:t xml:space="preserve"> </w:t>
      </w:r>
      <w:bookmarkStart w:id="218" w:name="_Toc194596050"/>
      <w:bookmarkStart w:id="219" w:name="_Toc29374"/>
      <w:r>
        <w:rPr>
          <w:rFonts w:hint="eastAsia" w:ascii="Times New Roman" w:hAnsi="Times New Roman" w:eastAsia="黑体"/>
          <w:bCs/>
          <w:color w:val="auto"/>
          <w:sz w:val="44"/>
          <w:szCs w:val="28"/>
        </w:rPr>
        <w:t>响应文件格式</w:t>
      </w:r>
      <w:bookmarkEnd w:id="218"/>
      <w:bookmarkEnd w:id="219"/>
      <w:r>
        <w:rPr>
          <w:rFonts w:hint="eastAsia" w:ascii="Times New Roman" w:hAnsi="Times New Roman" w:eastAsia="黑体"/>
          <w:bCs/>
          <w:color w:val="auto"/>
          <w:sz w:val="44"/>
          <w:szCs w:val="28"/>
        </w:rPr>
        <w:t xml:space="preserve"> </w:t>
      </w:r>
    </w:p>
    <w:p w14:paraId="26CEF30D">
      <w:pPr>
        <w:keepNext/>
        <w:outlineLvl w:val="9"/>
        <w:rPr>
          <w:rFonts w:ascii="Times New Roman" w:hAnsi="Times New Roman" w:eastAsia="黑体"/>
          <w:bCs/>
          <w:color w:val="auto"/>
          <w:sz w:val="44"/>
          <w:szCs w:val="28"/>
        </w:rPr>
      </w:pPr>
    </w:p>
    <w:p w14:paraId="7C2DE742">
      <w:pPr>
        <w:keepNext/>
        <w:outlineLvl w:val="9"/>
        <w:rPr>
          <w:rFonts w:ascii="Times New Roman" w:hAnsi="Times New Roman" w:eastAsia="黑体"/>
          <w:bCs/>
          <w:color w:val="auto"/>
          <w:sz w:val="44"/>
          <w:szCs w:val="28"/>
        </w:rPr>
      </w:pPr>
    </w:p>
    <w:p w14:paraId="25D8F3B5">
      <w:pPr>
        <w:jc w:val="center"/>
        <w:rPr>
          <w:rFonts w:ascii="Times New Roman" w:hAnsi="Times New Roman"/>
          <w:b/>
          <w:color w:val="auto"/>
          <w:sz w:val="72"/>
          <w:szCs w:val="21"/>
        </w:rPr>
      </w:pPr>
      <w:bookmarkStart w:id="220" w:name="_Hlt26671244"/>
      <w:bookmarkEnd w:id="220"/>
      <w:bookmarkStart w:id="221" w:name="_Hlt26955039"/>
      <w:bookmarkEnd w:id="221"/>
      <w:r>
        <w:rPr>
          <w:rFonts w:hint="eastAsia" w:ascii="Times New Roman" w:hAnsi="Times New Roman"/>
          <w:b/>
          <w:color w:val="auto"/>
          <w:sz w:val="72"/>
          <w:szCs w:val="21"/>
        </w:rPr>
        <w:t>响  应  文  件</w:t>
      </w:r>
    </w:p>
    <w:p w14:paraId="1041ED00">
      <w:pPr>
        <w:keepNext/>
        <w:jc w:val="center"/>
        <w:outlineLvl w:val="9"/>
        <w:rPr>
          <w:rFonts w:ascii="Times New Roman" w:hAnsi="Times New Roman" w:eastAsia="黑体"/>
          <w:bCs/>
          <w:color w:val="auto"/>
          <w:sz w:val="44"/>
          <w:szCs w:val="28"/>
        </w:rPr>
      </w:pPr>
    </w:p>
    <w:p w14:paraId="1893E03B">
      <w:pPr>
        <w:keepNext/>
        <w:jc w:val="center"/>
        <w:outlineLvl w:val="9"/>
        <w:rPr>
          <w:rFonts w:ascii="Times New Roman" w:hAnsi="Times New Roman" w:eastAsia="黑体"/>
          <w:bCs/>
          <w:color w:val="auto"/>
          <w:sz w:val="44"/>
          <w:szCs w:val="28"/>
        </w:rPr>
      </w:pPr>
    </w:p>
    <w:p w14:paraId="754AFAA6">
      <w:pPr>
        <w:keepNext/>
        <w:jc w:val="center"/>
        <w:outlineLvl w:val="9"/>
        <w:rPr>
          <w:rFonts w:ascii="Times New Roman" w:hAnsi="Times New Roman" w:eastAsia="黑体"/>
          <w:bCs/>
          <w:color w:val="auto"/>
          <w:sz w:val="44"/>
          <w:szCs w:val="28"/>
        </w:rPr>
      </w:pPr>
    </w:p>
    <w:p w14:paraId="3CAD37E4">
      <w:pPr>
        <w:jc w:val="center"/>
        <w:rPr>
          <w:rFonts w:ascii="Times New Roman" w:hAnsi="Times New Roman"/>
          <w:b/>
          <w:color w:val="auto"/>
          <w:sz w:val="36"/>
          <w:szCs w:val="21"/>
        </w:rPr>
      </w:pPr>
      <w:bookmarkStart w:id="222" w:name="_Toc26554094"/>
      <w:bookmarkStart w:id="223" w:name="_Toc49090576"/>
      <w:bookmarkStart w:id="224" w:name="_Toc120614282"/>
    </w:p>
    <w:p w14:paraId="76FFFC50">
      <w:pPr>
        <w:jc w:val="center"/>
        <w:rPr>
          <w:rFonts w:ascii="Times New Roman" w:hAnsi="Times New Roman"/>
          <w:b/>
          <w:color w:val="auto"/>
          <w:sz w:val="36"/>
          <w:szCs w:val="21"/>
        </w:rPr>
      </w:pPr>
    </w:p>
    <w:p w14:paraId="6FD91528">
      <w:pPr>
        <w:jc w:val="center"/>
        <w:rPr>
          <w:rFonts w:ascii="Times New Roman" w:hAnsi="Times New Roman"/>
          <w:b/>
          <w:color w:val="auto"/>
          <w:sz w:val="36"/>
          <w:szCs w:val="21"/>
        </w:rPr>
      </w:pPr>
    </w:p>
    <w:p w14:paraId="3A3A169D">
      <w:pPr>
        <w:ind w:firstLine="1084"/>
        <w:rPr>
          <w:rFonts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6AD816A1">
      <w:pPr>
        <w:ind w:firstLine="1084"/>
        <w:rPr>
          <w:rFonts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350A6FD6">
      <w:pPr>
        <w:rPr>
          <w:rFonts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（加盖CA电子公章）</w:t>
      </w:r>
    </w:p>
    <w:p w14:paraId="3019E5FB">
      <w:pPr>
        <w:rPr>
          <w:rFonts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p>
    <w:p w14:paraId="1B0C4D2E">
      <w:pPr>
        <w:spacing w:line="440" w:lineRule="exact"/>
        <w:jc w:val="center"/>
        <w:rPr>
          <w:rFonts w:ascii="Times New Roman" w:hAnsi="Times New Roman"/>
          <w:b/>
          <w:bCs/>
          <w:color w:val="auto"/>
          <w:sz w:val="32"/>
          <w:szCs w:val="32"/>
        </w:rPr>
      </w:pPr>
    </w:p>
    <w:p w14:paraId="35C1B365">
      <w:pPr>
        <w:spacing w:line="440" w:lineRule="exact"/>
        <w:rPr>
          <w:rFonts w:ascii="Times New Roman" w:hAnsi="Times New Roman"/>
          <w:color w:val="auto"/>
          <w:szCs w:val="21"/>
        </w:rPr>
      </w:pPr>
    </w:p>
    <w:p w14:paraId="644ED00D">
      <w:pPr>
        <w:ind w:firstLine="1084"/>
        <w:rPr>
          <w:rFonts w:ascii="Times New Roman" w:hAnsi="Times New Roman"/>
          <w:b/>
          <w:bCs/>
          <w:color w:val="auto"/>
          <w:sz w:val="32"/>
          <w:szCs w:val="32"/>
        </w:rPr>
      </w:pPr>
      <w:r>
        <w:rPr>
          <w:rFonts w:ascii="Times New Roman" w:hAnsi="Times New Roman"/>
          <w:b/>
          <w:color w:val="auto"/>
          <w:sz w:val="36"/>
          <w:szCs w:val="21"/>
        </w:rPr>
        <w:br w:type="page" w:clear="all"/>
      </w:r>
      <w:bookmarkEnd w:id="222"/>
      <w:bookmarkEnd w:id="223"/>
      <w:bookmarkEnd w:id="224"/>
    </w:p>
    <w:p w14:paraId="3BD69F26">
      <w:pPr>
        <w:spacing w:line="440" w:lineRule="exact"/>
        <w:jc w:val="center"/>
        <w:rPr>
          <w:b/>
          <w:bCs/>
          <w:color w:val="auto"/>
          <w:sz w:val="32"/>
          <w:szCs w:val="32"/>
        </w:rPr>
      </w:pPr>
      <w:r>
        <w:rPr>
          <w:rFonts w:hint="eastAsia"/>
          <w:b/>
          <w:bCs/>
          <w:color w:val="auto"/>
          <w:sz w:val="32"/>
          <w:szCs w:val="32"/>
        </w:rPr>
        <w:t>响应文件目录</w:t>
      </w:r>
    </w:p>
    <w:p w14:paraId="5822620F">
      <w:pPr>
        <w:spacing w:line="440" w:lineRule="exact"/>
        <w:jc w:val="center"/>
        <w:rPr>
          <w:b/>
          <w:bCs/>
          <w:color w:val="auto"/>
          <w:sz w:val="32"/>
          <w:szCs w:val="32"/>
        </w:rPr>
      </w:pPr>
    </w:p>
    <w:p w14:paraId="4F3E45DC">
      <w:pPr>
        <w:spacing w:line="440" w:lineRule="exact"/>
        <w:ind w:firstLine="480"/>
        <w:rPr>
          <w:color w:val="auto"/>
          <w:sz w:val="24"/>
          <w:szCs w:val="21"/>
        </w:rPr>
      </w:pPr>
      <w:r>
        <w:rPr>
          <w:rFonts w:hint="eastAsia"/>
          <w:color w:val="auto"/>
          <w:sz w:val="24"/>
          <w:szCs w:val="21"/>
        </w:rPr>
        <w:t>一、磋商申请及声明</w:t>
      </w:r>
    </w:p>
    <w:p w14:paraId="7D5FBC4C">
      <w:pPr>
        <w:spacing w:line="440" w:lineRule="exact"/>
        <w:ind w:firstLine="480"/>
        <w:rPr>
          <w:color w:val="auto"/>
          <w:sz w:val="24"/>
          <w:szCs w:val="21"/>
        </w:rPr>
      </w:pPr>
      <w:r>
        <w:rPr>
          <w:rFonts w:hint="eastAsia"/>
          <w:color w:val="auto"/>
          <w:sz w:val="24"/>
          <w:szCs w:val="21"/>
        </w:rPr>
        <w:t>二、供应商基本信息</w:t>
      </w:r>
    </w:p>
    <w:p w14:paraId="39B0562F">
      <w:pPr>
        <w:spacing w:line="440" w:lineRule="exact"/>
        <w:ind w:firstLine="480"/>
        <w:rPr>
          <w:color w:val="auto"/>
          <w:sz w:val="24"/>
          <w:szCs w:val="21"/>
        </w:rPr>
      </w:pPr>
      <w:r>
        <w:rPr>
          <w:rFonts w:hint="eastAsia"/>
          <w:color w:val="auto"/>
          <w:sz w:val="24"/>
          <w:szCs w:val="21"/>
        </w:rPr>
        <w:t>三、法定代表人身份证明或法人授权书</w:t>
      </w:r>
    </w:p>
    <w:p w14:paraId="15C7DD4F">
      <w:pPr>
        <w:spacing w:line="440" w:lineRule="exact"/>
        <w:ind w:firstLine="480"/>
        <w:rPr>
          <w:rFonts w:ascii="宋体" w:hAnsi="宋体" w:cs="宋体"/>
          <w:color w:val="auto"/>
          <w:sz w:val="24"/>
          <w:szCs w:val="21"/>
        </w:rPr>
      </w:pPr>
      <w:r>
        <w:rPr>
          <w:rFonts w:hint="eastAsia" w:ascii="宋体" w:hAnsi="宋体" w:cs="宋体"/>
          <w:color w:val="auto"/>
          <w:sz w:val="24"/>
          <w:szCs w:val="21"/>
        </w:rPr>
        <w:t>四、中小企业或残疾人福利性单位声明函</w:t>
      </w:r>
    </w:p>
    <w:p w14:paraId="3D8B2124">
      <w:pPr>
        <w:spacing w:line="440" w:lineRule="exact"/>
        <w:ind w:firstLine="480"/>
        <w:rPr>
          <w:rFonts w:ascii="宋体" w:hAnsi="宋体" w:cs="宋体"/>
          <w:color w:val="auto"/>
          <w:sz w:val="24"/>
          <w:szCs w:val="21"/>
        </w:rPr>
      </w:pPr>
      <w:r>
        <w:rPr>
          <w:rFonts w:hint="eastAsia" w:ascii="宋体" w:hAnsi="宋体" w:cs="宋体"/>
          <w:color w:val="auto"/>
          <w:sz w:val="24"/>
          <w:szCs w:val="21"/>
        </w:rPr>
        <w:t>五、开标一览表（</w:t>
      </w:r>
      <w:r>
        <w:rPr>
          <w:rFonts w:hint="eastAsia" w:ascii="宋体" w:hAnsi="宋体" w:cs="宋体"/>
          <w:color w:val="auto"/>
          <w:sz w:val="24"/>
          <w:szCs w:val="21"/>
          <w:lang w:val="en-US" w:eastAsia="zh-CN"/>
        </w:rPr>
        <w:t>总价</w:t>
      </w:r>
      <w:r>
        <w:rPr>
          <w:rFonts w:hint="eastAsia" w:ascii="宋体" w:hAnsi="宋体" w:cs="宋体"/>
          <w:color w:val="auto"/>
          <w:sz w:val="24"/>
          <w:szCs w:val="21"/>
        </w:rPr>
        <w:t>）</w:t>
      </w:r>
    </w:p>
    <w:p w14:paraId="67D2F1FA">
      <w:pPr>
        <w:spacing w:line="440" w:lineRule="exact"/>
        <w:ind w:firstLine="480"/>
        <w:rPr>
          <w:rFonts w:ascii="宋体" w:hAnsi="宋体" w:cs="宋体"/>
          <w:color w:val="auto"/>
          <w:sz w:val="24"/>
          <w:szCs w:val="21"/>
        </w:rPr>
      </w:pPr>
      <w:r>
        <w:rPr>
          <w:rFonts w:hint="eastAsia" w:ascii="宋体" w:hAnsi="宋体" w:cs="宋体"/>
          <w:color w:val="auto"/>
          <w:sz w:val="24"/>
          <w:szCs w:val="21"/>
        </w:rPr>
        <w:t>六、报价明细表</w:t>
      </w:r>
    </w:p>
    <w:p w14:paraId="512E3DB9">
      <w:pPr>
        <w:spacing w:line="440" w:lineRule="exact"/>
        <w:ind w:firstLine="480"/>
        <w:rPr>
          <w:rFonts w:ascii="宋体" w:hAnsi="宋体" w:cs="宋体"/>
          <w:color w:val="auto"/>
          <w:sz w:val="24"/>
          <w:szCs w:val="21"/>
        </w:rPr>
      </w:pPr>
      <w:r>
        <w:rPr>
          <w:rFonts w:hint="eastAsia" w:ascii="宋体" w:hAnsi="宋体" w:cs="宋体"/>
          <w:color w:val="auto"/>
          <w:sz w:val="24"/>
          <w:szCs w:val="21"/>
        </w:rPr>
        <w:t>七、技术要求响应及偏离表</w:t>
      </w:r>
    </w:p>
    <w:p w14:paraId="2271A09D">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1"/>
        </w:rPr>
        <w:t>八、项目实施方案</w:t>
      </w:r>
    </w:p>
    <w:p w14:paraId="69B2EF94">
      <w:pPr>
        <w:spacing w:line="440" w:lineRule="exact"/>
        <w:ind w:firstLine="480"/>
        <w:rPr>
          <w:rFonts w:ascii="宋体" w:hAnsi="宋体" w:cs="宋体"/>
          <w:color w:val="auto"/>
          <w:sz w:val="24"/>
          <w:szCs w:val="24"/>
        </w:rPr>
      </w:pPr>
      <w:r>
        <w:rPr>
          <w:rFonts w:hint="eastAsia" w:ascii="宋体" w:hAnsi="宋体" w:cs="宋体"/>
          <w:color w:val="auto"/>
          <w:sz w:val="24"/>
          <w:szCs w:val="21"/>
          <w:highlight w:val="none"/>
        </w:rPr>
        <w:t>九、售后服务方案</w:t>
      </w:r>
    </w:p>
    <w:p w14:paraId="4FD5150A">
      <w:pPr>
        <w:spacing w:line="440" w:lineRule="exact"/>
        <w:ind w:firstLine="480"/>
        <w:rPr>
          <w:rFonts w:hint="eastAsia" w:ascii="宋体" w:hAnsi="宋体" w:cs="宋体"/>
          <w:color w:val="auto"/>
          <w:sz w:val="24"/>
          <w:szCs w:val="21"/>
        </w:rPr>
      </w:pPr>
      <w:r>
        <w:rPr>
          <w:rFonts w:hint="eastAsia" w:ascii="宋体" w:hAnsi="宋体" w:cs="宋体"/>
          <w:color w:val="auto"/>
          <w:sz w:val="24"/>
          <w:szCs w:val="21"/>
        </w:rPr>
        <w:t>十、项目组人员</w:t>
      </w:r>
    </w:p>
    <w:p w14:paraId="2100296F">
      <w:pPr>
        <w:spacing w:line="440" w:lineRule="exact"/>
        <w:ind w:firstLine="480"/>
        <w:rPr>
          <w:rFonts w:hint="eastAsia" w:ascii="宋体" w:hAnsi="宋体" w:cs="宋体"/>
          <w:color w:val="auto"/>
          <w:sz w:val="24"/>
          <w:szCs w:val="21"/>
        </w:rPr>
      </w:pPr>
      <w:r>
        <w:rPr>
          <w:rFonts w:hint="eastAsia" w:ascii="宋体" w:hAnsi="宋体" w:cs="宋体"/>
          <w:color w:val="auto"/>
          <w:sz w:val="24"/>
          <w:szCs w:val="21"/>
        </w:rPr>
        <w:t>十一、企业业绩</w:t>
      </w:r>
    </w:p>
    <w:p w14:paraId="4E4DE0D5">
      <w:pPr>
        <w:spacing w:line="440" w:lineRule="exact"/>
        <w:ind w:firstLine="480"/>
        <w:rPr>
          <w:rFonts w:hint="eastAsia" w:ascii="宋体" w:hAnsi="宋体" w:cs="宋体"/>
          <w:color w:val="auto"/>
          <w:sz w:val="24"/>
          <w:szCs w:val="21"/>
        </w:rPr>
      </w:pPr>
      <w:r>
        <w:rPr>
          <w:rFonts w:hint="eastAsia" w:ascii="宋体" w:hAnsi="宋体" w:cs="宋体"/>
          <w:color w:val="auto"/>
          <w:sz w:val="24"/>
          <w:szCs w:val="21"/>
        </w:rPr>
        <w:t>十二、磋商所需其他材料</w:t>
      </w:r>
    </w:p>
    <w:p w14:paraId="5A4D1C76">
      <w:pPr>
        <w:spacing w:line="440" w:lineRule="exact"/>
        <w:ind w:firstLine="480"/>
        <w:rPr>
          <w:rFonts w:hint="eastAsia" w:ascii="宋体" w:hAnsi="宋体" w:cs="宋体"/>
          <w:color w:val="auto"/>
          <w:sz w:val="24"/>
          <w:szCs w:val="21"/>
        </w:rPr>
      </w:pPr>
      <w:r>
        <w:rPr>
          <w:rFonts w:hint="eastAsia" w:ascii="宋体" w:hAnsi="宋体" w:cs="宋体"/>
          <w:color w:val="auto"/>
          <w:sz w:val="24"/>
          <w:szCs w:val="21"/>
          <w:lang w:val="en-US" w:eastAsia="zh-CN"/>
        </w:rPr>
        <w:t>十三、</w:t>
      </w:r>
      <w:r>
        <w:rPr>
          <w:rFonts w:hint="eastAsia" w:ascii="宋体" w:hAnsi="宋体" w:cs="宋体"/>
          <w:color w:val="auto"/>
          <w:sz w:val="24"/>
          <w:szCs w:val="21"/>
        </w:rPr>
        <w:t>质疑函范本</w:t>
      </w:r>
    </w:p>
    <w:p w14:paraId="1C6F4CCA">
      <w:pPr>
        <w:spacing w:line="440" w:lineRule="exact"/>
        <w:ind w:firstLine="480"/>
        <w:rPr>
          <w:color w:val="auto"/>
          <w:sz w:val="24"/>
          <w:szCs w:val="21"/>
        </w:rPr>
      </w:pPr>
    </w:p>
    <w:p w14:paraId="442A4B2D">
      <w:pPr>
        <w:spacing w:line="440" w:lineRule="exact"/>
        <w:ind w:firstLine="480"/>
        <w:rPr>
          <w:color w:val="auto"/>
          <w:sz w:val="24"/>
          <w:szCs w:val="21"/>
        </w:rPr>
      </w:pPr>
    </w:p>
    <w:p w14:paraId="795B944B">
      <w:pPr>
        <w:spacing w:line="440" w:lineRule="exact"/>
        <w:ind w:firstLine="480"/>
        <w:rPr>
          <w:color w:val="auto"/>
          <w:sz w:val="24"/>
          <w:szCs w:val="21"/>
        </w:rPr>
      </w:pPr>
    </w:p>
    <w:p w14:paraId="2295578E">
      <w:pPr>
        <w:spacing w:line="440" w:lineRule="exact"/>
        <w:ind w:firstLine="480"/>
        <w:rPr>
          <w:color w:val="auto"/>
          <w:sz w:val="24"/>
          <w:szCs w:val="21"/>
        </w:rPr>
      </w:pPr>
    </w:p>
    <w:p w14:paraId="5E4D7A75">
      <w:pPr>
        <w:spacing w:line="440" w:lineRule="exact"/>
        <w:ind w:firstLine="480"/>
        <w:rPr>
          <w:color w:val="auto"/>
          <w:sz w:val="24"/>
          <w:szCs w:val="21"/>
        </w:rPr>
      </w:pPr>
    </w:p>
    <w:p w14:paraId="209C8AC2">
      <w:pPr>
        <w:spacing w:line="440" w:lineRule="exact"/>
        <w:ind w:firstLine="480"/>
        <w:rPr>
          <w:color w:val="auto"/>
          <w:sz w:val="24"/>
          <w:szCs w:val="21"/>
        </w:rPr>
      </w:pPr>
    </w:p>
    <w:p w14:paraId="53B91B71">
      <w:pPr>
        <w:spacing w:line="440" w:lineRule="exact"/>
        <w:ind w:firstLine="480"/>
        <w:rPr>
          <w:color w:val="auto"/>
          <w:sz w:val="24"/>
          <w:szCs w:val="21"/>
        </w:rPr>
      </w:pPr>
    </w:p>
    <w:p w14:paraId="6853C014">
      <w:pPr>
        <w:spacing w:line="440" w:lineRule="exact"/>
        <w:ind w:firstLine="480"/>
        <w:rPr>
          <w:color w:val="auto"/>
          <w:sz w:val="24"/>
          <w:szCs w:val="21"/>
        </w:rPr>
      </w:pPr>
    </w:p>
    <w:p w14:paraId="3C2CE4EA">
      <w:pPr>
        <w:spacing w:line="440" w:lineRule="exact"/>
        <w:ind w:firstLine="480"/>
        <w:rPr>
          <w:color w:val="auto"/>
          <w:sz w:val="24"/>
          <w:szCs w:val="21"/>
        </w:rPr>
      </w:pPr>
    </w:p>
    <w:p w14:paraId="5D40FDAC">
      <w:pPr>
        <w:spacing w:line="440" w:lineRule="exact"/>
        <w:ind w:firstLine="480"/>
        <w:rPr>
          <w:color w:val="auto"/>
          <w:sz w:val="24"/>
          <w:szCs w:val="21"/>
        </w:rPr>
      </w:pPr>
    </w:p>
    <w:p w14:paraId="7DF71823">
      <w:pPr>
        <w:spacing w:line="440" w:lineRule="exact"/>
        <w:ind w:firstLine="480"/>
        <w:rPr>
          <w:color w:val="auto"/>
          <w:sz w:val="24"/>
          <w:szCs w:val="21"/>
        </w:rPr>
      </w:pPr>
    </w:p>
    <w:p w14:paraId="2632E8D6">
      <w:pPr>
        <w:spacing w:line="440" w:lineRule="exact"/>
        <w:ind w:firstLine="480"/>
        <w:rPr>
          <w:color w:val="auto"/>
          <w:sz w:val="24"/>
          <w:szCs w:val="21"/>
        </w:rPr>
      </w:pPr>
    </w:p>
    <w:p w14:paraId="0EA4544E">
      <w:pPr>
        <w:spacing w:line="440" w:lineRule="exact"/>
        <w:ind w:firstLine="480"/>
        <w:rPr>
          <w:color w:val="auto"/>
          <w:sz w:val="24"/>
          <w:szCs w:val="21"/>
        </w:rPr>
      </w:pPr>
    </w:p>
    <w:p w14:paraId="6A2AEAE7">
      <w:pPr>
        <w:spacing w:line="440" w:lineRule="exact"/>
        <w:ind w:firstLine="480"/>
        <w:rPr>
          <w:color w:val="auto"/>
          <w:sz w:val="24"/>
          <w:szCs w:val="21"/>
        </w:rPr>
      </w:pPr>
    </w:p>
    <w:p w14:paraId="19A05717">
      <w:pPr>
        <w:spacing w:line="440" w:lineRule="exact"/>
        <w:ind w:firstLine="480"/>
        <w:rPr>
          <w:color w:val="auto"/>
          <w:sz w:val="24"/>
          <w:szCs w:val="21"/>
        </w:rPr>
      </w:pPr>
    </w:p>
    <w:p w14:paraId="45CB6A19">
      <w:pPr>
        <w:spacing w:line="440" w:lineRule="exact"/>
        <w:ind w:firstLine="480"/>
        <w:rPr>
          <w:color w:val="auto"/>
          <w:sz w:val="24"/>
          <w:szCs w:val="21"/>
        </w:rPr>
      </w:pPr>
    </w:p>
    <w:p w14:paraId="755DEDC6">
      <w:pPr>
        <w:rPr>
          <w:rFonts w:eastAsia="黑体"/>
          <w:iCs/>
          <w:color w:val="auto"/>
          <w:sz w:val="32"/>
          <w:szCs w:val="32"/>
        </w:rPr>
      </w:pPr>
    </w:p>
    <w:p w14:paraId="4242E96E">
      <w:pPr>
        <w:outlineLvl w:val="1"/>
        <w:rPr>
          <w:rFonts w:eastAsia="黑体"/>
          <w:b/>
          <w:color w:val="auto"/>
          <w:sz w:val="32"/>
          <w:szCs w:val="32"/>
        </w:rPr>
      </w:pPr>
      <w:r>
        <w:rPr>
          <w:rFonts w:hint="eastAsia" w:eastAsia="黑体"/>
          <w:b/>
          <w:color w:val="auto"/>
          <w:sz w:val="32"/>
          <w:szCs w:val="32"/>
        </w:rPr>
        <w:t>一、磋商申请及声明</w:t>
      </w:r>
    </w:p>
    <w:p w14:paraId="22D0B407">
      <w:pPr>
        <w:pStyle w:val="244"/>
        <w:jc w:val="center"/>
        <w:rPr>
          <w:b/>
          <w:color w:val="auto"/>
          <w:sz w:val="32"/>
          <w:szCs w:val="32"/>
        </w:rPr>
      </w:pPr>
      <w:r>
        <w:rPr>
          <w:rFonts w:hint="eastAsia"/>
          <w:b/>
          <w:color w:val="auto"/>
          <w:sz w:val="32"/>
          <w:szCs w:val="32"/>
        </w:rPr>
        <w:t>响应声明及承诺函</w:t>
      </w:r>
    </w:p>
    <w:p w14:paraId="4E29DFD9">
      <w:pPr>
        <w:pStyle w:val="244"/>
        <w:spacing w:line="500" w:lineRule="exact"/>
        <w:jc w:val="left"/>
        <w:rPr>
          <w:rFonts w:eastAsia="方正仿宋_GBK"/>
          <w:color w:val="auto"/>
          <w:sz w:val="24"/>
          <w:szCs w:val="24"/>
          <w:u w:val="single"/>
        </w:rPr>
      </w:pPr>
      <w:r>
        <w:rPr>
          <w:rFonts w:hint="eastAsia" w:eastAsia="方正仿宋_GBK"/>
          <w:color w:val="auto"/>
          <w:sz w:val="24"/>
          <w:szCs w:val="24"/>
          <w:u w:val="single"/>
        </w:rPr>
        <w:t>（采购单位名称）：</w:t>
      </w:r>
    </w:p>
    <w:p w14:paraId="4870C8A5">
      <w:pPr>
        <w:pStyle w:val="244"/>
        <w:spacing w:line="500" w:lineRule="exact"/>
        <w:ind w:firstLine="480"/>
        <w:jc w:val="left"/>
        <w:rPr>
          <w:rFonts w:eastAsia="方正仿宋_GBK"/>
          <w:color w:val="auto"/>
          <w:sz w:val="24"/>
          <w:szCs w:val="24"/>
        </w:rPr>
      </w:pPr>
      <w:r>
        <w:rPr>
          <w:rFonts w:hint="eastAsia" w:eastAsia="方正仿宋_GBK"/>
          <w:color w:val="auto"/>
          <w:sz w:val="24"/>
          <w:szCs w:val="24"/>
        </w:rPr>
        <w:t>根据已收到的项目编号为</w:t>
      </w:r>
      <w:r>
        <w:rPr>
          <w:rFonts w:hint="eastAsia" w:eastAsia="方正仿宋_GBK"/>
          <w:color w:val="auto"/>
          <w:sz w:val="24"/>
          <w:szCs w:val="24"/>
          <w:u w:val="single"/>
        </w:rPr>
        <w:t xml:space="preserve">        </w:t>
      </w:r>
      <w:r>
        <w:rPr>
          <w:rFonts w:hint="eastAsia" w:eastAsia="方正仿宋_GBK"/>
          <w:color w:val="auto"/>
          <w:sz w:val="24"/>
          <w:szCs w:val="24"/>
        </w:rPr>
        <w:t>的</w:t>
      </w:r>
      <w:r>
        <w:rPr>
          <w:rFonts w:hint="eastAsia" w:eastAsia="方正仿宋_GBK"/>
          <w:color w:val="auto"/>
          <w:sz w:val="24"/>
          <w:szCs w:val="24"/>
          <w:u w:val="single"/>
        </w:rPr>
        <w:t xml:space="preserve">         </w:t>
      </w:r>
      <w:r>
        <w:rPr>
          <w:rFonts w:hint="eastAsia" w:eastAsia="方正仿宋_GBK"/>
          <w:color w:val="auto"/>
          <w:sz w:val="24"/>
          <w:szCs w:val="24"/>
        </w:rPr>
        <w:t>项目的竞争性磋商文件，我单位在参加本项目竞争性磋商活动中，特做出如下承诺：</w:t>
      </w:r>
    </w:p>
    <w:p w14:paraId="6BB7643F">
      <w:pPr>
        <w:pStyle w:val="244"/>
        <w:spacing w:line="500" w:lineRule="exact"/>
        <w:ind w:firstLine="480"/>
        <w:jc w:val="left"/>
        <w:rPr>
          <w:rFonts w:hint="eastAsia" w:eastAsia="方正仿宋_GBK"/>
          <w:color w:val="auto"/>
          <w:sz w:val="24"/>
          <w:szCs w:val="24"/>
          <w:lang w:eastAsia="zh-CN"/>
        </w:rPr>
      </w:pPr>
      <w:r>
        <w:rPr>
          <w:rFonts w:hint="eastAsia" w:eastAsia="方正仿宋_GBK"/>
          <w:color w:val="auto"/>
          <w:sz w:val="24"/>
          <w:szCs w:val="24"/>
        </w:rPr>
        <w:t>一、我方</w:t>
      </w:r>
      <w:r>
        <w:rPr>
          <w:rFonts w:eastAsia="方正仿宋_GBK"/>
          <w:color w:val="auto"/>
          <w:sz w:val="24"/>
        </w:rPr>
        <w:t>具备《中华人民共和国政府采购法》第二十二条第一款规定的6项条件</w:t>
      </w:r>
      <w:r>
        <w:rPr>
          <w:rFonts w:hint="eastAsia" w:eastAsia="方正仿宋_GBK"/>
          <w:color w:val="auto"/>
          <w:sz w:val="24"/>
          <w:lang w:eastAsia="zh-CN"/>
        </w:rPr>
        <w:t>；</w:t>
      </w:r>
    </w:p>
    <w:p w14:paraId="512DD1A3">
      <w:pPr>
        <w:pStyle w:val="244"/>
        <w:spacing w:line="500" w:lineRule="exact"/>
        <w:ind w:firstLine="480"/>
        <w:jc w:val="left"/>
        <w:rPr>
          <w:rFonts w:eastAsia="方正仿宋_GBK"/>
          <w:color w:val="auto"/>
          <w:sz w:val="24"/>
          <w:szCs w:val="24"/>
        </w:rPr>
      </w:pPr>
      <w:r>
        <w:rPr>
          <w:rFonts w:hint="eastAsia" w:eastAsia="方正仿宋_GBK"/>
          <w:color w:val="auto"/>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3C6514B1">
      <w:pPr>
        <w:pStyle w:val="244"/>
        <w:spacing w:line="500" w:lineRule="exact"/>
        <w:ind w:firstLine="480"/>
        <w:jc w:val="left"/>
        <w:rPr>
          <w:rFonts w:hint="eastAsia" w:eastAsia="方正仿宋_GBK"/>
          <w:color w:val="auto"/>
          <w:sz w:val="24"/>
          <w:szCs w:val="24"/>
          <w:lang w:eastAsia="zh-CN"/>
        </w:rPr>
      </w:pPr>
      <w:r>
        <w:rPr>
          <w:rFonts w:hint="eastAsia" w:eastAsia="方正仿宋_GBK"/>
          <w:color w:val="auto"/>
          <w:sz w:val="24"/>
          <w:szCs w:val="24"/>
        </w:rPr>
        <w:t>三、我方按磋商文件要求提交响应文件，响应磋商文件规定的响应有效期</w:t>
      </w:r>
      <w:r>
        <w:rPr>
          <w:rFonts w:hint="eastAsia" w:eastAsia="方正仿宋_GBK"/>
          <w:color w:val="auto"/>
          <w:sz w:val="24"/>
          <w:szCs w:val="24"/>
          <w:lang w:eastAsia="zh-CN"/>
        </w:rPr>
        <w:t>；</w:t>
      </w:r>
    </w:p>
    <w:p w14:paraId="3442D4FE">
      <w:pPr>
        <w:pStyle w:val="244"/>
        <w:spacing w:line="500" w:lineRule="exact"/>
        <w:ind w:firstLine="480"/>
        <w:jc w:val="left"/>
        <w:rPr>
          <w:rFonts w:hint="eastAsia" w:eastAsia="方正仿宋_GBK"/>
          <w:color w:val="auto"/>
          <w:sz w:val="24"/>
          <w:szCs w:val="24"/>
          <w:lang w:eastAsia="zh-CN"/>
        </w:rPr>
      </w:pPr>
      <w:r>
        <w:rPr>
          <w:rFonts w:hint="eastAsia" w:eastAsia="方正仿宋_GBK"/>
          <w:color w:val="auto"/>
          <w:sz w:val="24"/>
          <w:szCs w:val="24"/>
        </w:rPr>
        <w:t>四、如果我方的响应文件被接受，我方将按《中华人民共和国民法典（第三编合同） 》及其他有关法律、法规的规定，按期、按质、按量交付采购单位，全面做到履约守信</w:t>
      </w:r>
      <w:r>
        <w:rPr>
          <w:rFonts w:hint="eastAsia" w:eastAsia="方正仿宋_GBK"/>
          <w:color w:val="auto"/>
          <w:sz w:val="24"/>
          <w:szCs w:val="24"/>
          <w:lang w:eastAsia="zh-CN"/>
        </w:rPr>
        <w:t>；</w:t>
      </w:r>
    </w:p>
    <w:p w14:paraId="26B8E555">
      <w:pPr>
        <w:pStyle w:val="244"/>
        <w:spacing w:line="500" w:lineRule="exact"/>
        <w:ind w:firstLine="480"/>
        <w:jc w:val="left"/>
        <w:rPr>
          <w:rFonts w:eastAsia="方正仿宋_GBK"/>
          <w:color w:val="auto"/>
          <w:sz w:val="24"/>
          <w:szCs w:val="24"/>
        </w:rPr>
      </w:pPr>
      <w:r>
        <w:rPr>
          <w:rFonts w:hint="eastAsia" w:eastAsia="方正仿宋_GBK"/>
          <w:color w:val="auto"/>
          <w:sz w:val="24"/>
          <w:szCs w:val="24"/>
        </w:rPr>
        <w:t>五、我方若违背本声明及承诺约定，经查实，自愿接受采购人及相关主管部门相应的规定处理，并依法承担相应的法律责任。</w:t>
      </w:r>
    </w:p>
    <w:p w14:paraId="033544DA">
      <w:pPr>
        <w:pStyle w:val="244"/>
        <w:spacing w:line="500" w:lineRule="exact"/>
        <w:ind w:firstLine="482"/>
        <w:jc w:val="left"/>
        <w:rPr>
          <w:rFonts w:eastAsia="方正仿宋_GBK"/>
          <w:color w:val="auto"/>
          <w:sz w:val="24"/>
          <w:szCs w:val="24"/>
        </w:rPr>
      </w:pPr>
      <w:r>
        <w:rPr>
          <w:rFonts w:hint="eastAsia" w:eastAsia="方正仿宋_GBK"/>
          <w:color w:val="auto"/>
          <w:sz w:val="24"/>
          <w:szCs w:val="24"/>
        </w:rPr>
        <w:t>六、我方同意采购人、采购代理机构将本声明及承诺函上网公开。</w:t>
      </w:r>
    </w:p>
    <w:p w14:paraId="49FACBF7">
      <w:pPr>
        <w:pStyle w:val="244"/>
        <w:spacing w:line="500" w:lineRule="exact"/>
        <w:ind w:firstLine="480"/>
        <w:jc w:val="left"/>
        <w:rPr>
          <w:rFonts w:eastAsia="方正仿宋_GBK"/>
          <w:color w:val="auto"/>
          <w:sz w:val="24"/>
          <w:szCs w:val="24"/>
        </w:rPr>
      </w:pPr>
    </w:p>
    <w:p w14:paraId="0C75A7BF">
      <w:pPr>
        <w:pStyle w:val="244"/>
        <w:spacing w:line="500" w:lineRule="exact"/>
        <w:jc w:val="left"/>
        <w:rPr>
          <w:rFonts w:eastAsia="方正仿宋_GBK"/>
          <w:color w:val="auto"/>
          <w:sz w:val="24"/>
          <w:szCs w:val="24"/>
        </w:rPr>
      </w:pPr>
    </w:p>
    <w:p w14:paraId="0530B786">
      <w:pPr>
        <w:pStyle w:val="244"/>
        <w:spacing w:line="500" w:lineRule="exact"/>
        <w:ind w:firstLine="480"/>
        <w:jc w:val="left"/>
        <w:rPr>
          <w:rFonts w:eastAsia="方正仿宋_GBK"/>
          <w:color w:val="auto"/>
          <w:sz w:val="24"/>
          <w:szCs w:val="24"/>
        </w:rPr>
      </w:pPr>
      <w:r>
        <w:rPr>
          <w:rFonts w:hint="eastAsia" w:eastAsia="方正仿宋_GBK"/>
          <w:color w:val="auto"/>
          <w:sz w:val="24"/>
          <w:szCs w:val="24"/>
        </w:rPr>
        <w:t xml:space="preserve">供应商名称： </w:t>
      </w:r>
      <w:r>
        <w:rPr>
          <w:rFonts w:hint="eastAsia" w:eastAsia="方正仿宋_GBK"/>
          <w:color w:val="auto"/>
          <w:sz w:val="24"/>
          <w:szCs w:val="24"/>
          <w:u w:val="single"/>
        </w:rPr>
        <w:t xml:space="preserve">          </w:t>
      </w:r>
      <w:r>
        <w:rPr>
          <w:rFonts w:hint="eastAsia" w:eastAsia="方正仿宋_GBK"/>
          <w:color w:val="auto"/>
          <w:sz w:val="24"/>
          <w:szCs w:val="24"/>
        </w:rPr>
        <w:t>（加盖CA电子公章）</w:t>
      </w:r>
    </w:p>
    <w:p w14:paraId="268AB8C1">
      <w:pPr>
        <w:spacing w:line="440" w:lineRule="exact"/>
        <w:ind w:firstLine="480"/>
        <w:rPr>
          <w:rFonts w:eastAsia="方正仿宋_GBK"/>
          <w:color w:val="auto"/>
          <w:sz w:val="24"/>
          <w:szCs w:val="24"/>
        </w:rPr>
      </w:pPr>
      <w:r>
        <w:rPr>
          <w:rFonts w:hint="eastAsia" w:eastAsia="方正仿宋_GBK"/>
          <w:color w:val="auto"/>
          <w:sz w:val="24"/>
          <w:szCs w:val="24"/>
        </w:rPr>
        <w:t>日期：    年    月   日</w:t>
      </w:r>
    </w:p>
    <w:p w14:paraId="30809BB2">
      <w:pPr>
        <w:spacing w:line="440" w:lineRule="exact"/>
        <w:ind w:firstLine="480"/>
        <w:rPr>
          <w:rFonts w:eastAsia="方正仿宋_GBK"/>
          <w:color w:val="auto"/>
          <w:sz w:val="24"/>
          <w:szCs w:val="24"/>
        </w:rPr>
      </w:pPr>
    </w:p>
    <w:p w14:paraId="693AD86B">
      <w:pPr>
        <w:spacing w:line="440" w:lineRule="exact"/>
        <w:ind w:firstLine="480"/>
        <w:rPr>
          <w:rFonts w:eastAsia="方正仿宋_GBK"/>
          <w:color w:val="auto"/>
          <w:sz w:val="24"/>
          <w:szCs w:val="24"/>
        </w:rPr>
      </w:pPr>
    </w:p>
    <w:p w14:paraId="55B36710">
      <w:pPr>
        <w:spacing w:line="440" w:lineRule="exact"/>
        <w:ind w:firstLine="480"/>
        <w:rPr>
          <w:rFonts w:eastAsia="方正仿宋_GBK"/>
          <w:color w:val="auto"/>
          <w:sz w:val="24"/>
          <w:szCs w:val="24"/>
        </w:rPr>
      </w:pPr>
    </w:p>
    <w:p w14:paraId="37BEFD00">
      <w:pPr>
        <w:spacing w:line="440" w:lineRule="exact"/>
        <w:ind w:firstLine="480"/>
        <w:rPr>
          <w:rFonts w:eastAsia="方正仿宋_GBK"/>
          <w:color w:val="auto"/>
          <w:sz w:val="24"/>
          <w:szCs w:val="24"/>
        </w:rPr>
      </w:pPr>
    </w:p>
    <w:p w14:paraId="286AA549">
      <w:pPr>
        <w:spacing w:line="440" w:lineRule="exact"/>
        <w:ind w:firstLine="480"/>
        <w:rPr>
          <w:rFonts w:eastAsia="方正仿宋_GBK"/>
          <w:color w:val="auto"/>
          <w:sz w:val="24"/>
          <w:szCs w:val="24"/>
        </w:rPr>
      </w:pPr>
    </w:p>
    <w:p w14:paraId="2DA81557">
      <w:pPr>
        <w:spacing w:line="440" w:lineRule="exact"/>
        <w:ind w:firstLine="480"/>
        <w:rPr>
          <w:rFonts w:eastAsia="方正仿宋_GBK"/>
          <w:color w:val="auto"/>
          <w:sz w:val="24"/>
          <w:szCs w:val="24"/>
        </w:rPr>
      </w:pPr>
    </w:p>
    <w:p w14:paraId="11DB9E06">
      <w:pPr>
        <w:spacing w:line="440" w:lineRule="exact"/>
        <w:ind w:firstLine="480"/>
        <w:rPr>
          <w:rFonts w:eastAsia="方正仿宋_GBK"/>
          <w:color w:val="auto"/>
          <w:sz w:val="24"/>
          <w:szCs w:val="24"/>
        </w:rPr>
      </w:pPr>
    </w:p>
    <w:p w14:paraId="3E7F8466">
      <w:pPr>
        <w:rPr>
          <w:color w:val="auto"/>
        </w:rPr>
      </w:pPr>
      <w:bookmarkStart w:id="225" w:name="_Toc27399"/>
      <w:bookmarkStart w:id="226" w:name="_Toc120614284"/>
    </w:p>
    <w:p w14:paraId="760BA347">
      <w:pPr>
        <w:rPr>
          <w:color w:val="auto"/>
        </w:rPr>
      </w:pPr>
    </w:p>
    <w:p w14:paraId="46F4C6AD">
      <w:pPr>
        <w:rPr>
          <w:color w:val="auto"/>
        </w:rPr>
      </w:pPr>
    </w:p>
    <w:p w14:paraId="080B1555">
      <w:pPr>
        <w:outlineLvl w:val="1"/>
        <w:rPr>
          <w:rFonts w:eastAsia="黑体"/>
          <w:b/>
          <w:color w:val="auto"/>
          <w:sz w:val="32"/>
          <w:szCs w:val="32"/>
        </w:rPr>
      </w:pPr>
      <w:r>
        <w:rPr>
          <w:rFonts w:hint="eastAsia" w:eastAsia="黑体"/>
          <w:b/>
          <w:color w:val="auto"/>
          <w:sz w:val="32"/>
          <w:szCs w:val="32"/>
        </w:rPr>
        <w:t>二、</w:t>
      </w:r>
      <w:bookmarkEnd w:id="225"/>
      <w:r>
        <w:rPr>
          <w:rFonts w:hint="eastAsia" w:eastAsia="黑体"/>
          <w:b/>
          <w:color w:val="auto"/>
          <w:sz w:val="32"/>
          <w:szCs w:val="32"/>
        </w:rPr>
        <w:t>供应商基本信息</w:t>
      </w:r>
    </w:p>
    <w:p w14:paraId="31D7E2B3">
      <w:pPr>
        <w:pStyle w:val="245"/>
        <w:jc w:val="center"/>
        <w:rPr>
          <w:rFonts w:ascii="宋体" w:hAnsi="宋体" w:cs="宋体"/>
          <w:color w:val="auto"/>
          <w:sz w:val="44"/>
          <w:szCs w:val="44"/>
        </w:rPr>
      </w:pPr>
      <w:r>
        <w:rPr>
          <w:rFonts w:hint="eastAsia" w:ascii="宋体" w:hAnsi="宋体" w:cs="宋体"/>
          <w:color w:val="auto"/>
          <w:sz w:val="44"/>
          <w:szCs w:val="44"/>
        </w:rPr>
        <w:t>供应商基本情况表</w:t>
      </w:r>
    </w:p>
    <w:tbl>
      <w:tblPr>
        <w:tblStyle w:val="40"/>
        <w:tblpPr w:leftFromText="180" w:rightFromText="180" w:vertAnchor="text" w:horzAnchor="page" w:tblpX="1729" w:tblpY="752"/>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62526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26316A9">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供应商名称</w:t>
            </w:r>
          </w:p>
        </w:tc>
        <w:tc>
          <w:tcPr>
            <w:tcW w:w="6998" w:type="dxa"/>
            <w:gridSpan w:val="3"/>
            <w:noWrap w:val="0"/>
            <w:vAlign w:val="center"/>
          </w:tcPr>
          <w:p w14:paraId="43798D9F">
            <w:pPr>
              <w:pStyle w:val="245"/>
              <w:spacing w:line="600" w:lineRule="exact"/>
              <w:jc w:val="center"/>
              <w:rPr>
                <w:rFonts w:ascii="宋体" w:hAnsi="宋体" w:cs="宋体"/>
                <w:color w:val="auto"/>
                <w:sz w:val="24"/>
                <w:szCs w:val="24"/>
              </w:rPr>
            </w:pPr>
          </w:p>
        </w:tc>
      </w:tr>
      <w:tr w14:paraId="1A0A0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69910A7">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法定代表人</w:t>
            </w:r>
          </w:p>
        </w:tc>
        <w:tc>
          <w:tcPr>
            <w:tcW w:w="3118" w:type="dxa"/>
            <w:noWrap w:val="0"/>
            <w:vAlign w:val="center"/>
          </w:tcPr>
          <w:p w14:paraId="68D366ED">
            <w:pPr>
              <w:pStyle w:val="245"/>
              <w:spacing w:line="600" w:lineRule="exact"/>
              <w:jc w:val="center"/>
              <w:rPr>
                <w:rFonts w:ascii="宋体" w:hAnsi="宋体" w:cs="宋体"/>
                <w:color w:val="auto"/>
                <w:sz w:val="24"/>
                <w:szCs w:val="24"/>
              </w:rPr>
            </w:pPr>
          </w:p>
        </w:tc>
        <w:tc>
          <w:tcPr>
            <w:tcW w:w="1276" w:type="dxa"/>
            <w:noWrap w:val="0"/>
            <w:vAlign w:val="center"/>
          </w:tcPr>
          <w:p w14:paraId="43B7EB77">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注册地区</w:t>
            </w:r>
          </w:p>
        </w:tc>
        <w:tc>
          <w:tcPr>
            <w:tcW w:w="2604" w:type="dxa"/>
            <w:noWrap w:val="0"/>
            <w:vAlign w:val="center"/>
          </w:tcPr>
          <w:p w14:paraId="62324B9F">
            <w:pPr>
              <w:pStyle w:val="245"/>
              <w:spacing w:line="600" w:lineRule="exact"/>
              <w:jc w:val="center"/>
              <w:rPr>
                <w:rFonts w:ascii="宋体" w:hAnsi="宋体" w:cs="宋体"/>
                <w:color w:val="auto"/>
                <w:sz w:val="24"/>
                <w:szCs w:val="24"/>
              </w:rPr>
            </w:pPr>
          </w:p>
        </w:tc>
      </w:tr>
      <w:tr w14:paraId="49B2B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939DCDA">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地址</w:t>
            </w:r>
          </w:p>
        </w:tc>
        <w:tc>
          <w:tcPr>
            <w:tcW w:w="3118" w:type="dxa"/>
            <w:noWrap w:val="0"/>
            <w:vAlign w:val="center"/>
          </w:tcPr>
          <w:p w14:paraId="782AEC76">
            <w:pPr>
              <w:pStyle w:val="245"/>
              <w:spacing w:line="600" w:lineRule="exact"/>
              <w:jc w:val="center"/>
              <w:rPr>
                <w:rFonts w:ascii="宋体" w:hAnsi="宋体" w:cs="宋体"/>
                <w:color w:val="auto"/>
                <w:sz w:val="24"/>
                <w:szCs w:val="24"/>
              </w:rPr>
            </w:pPr>
          </w:p>
        </w:tc>
        <w:tc>
          <w:tcPr>
            <w:tcW w:w="1276" w:type="dxa"/>
            <w:noWrap w:val="0"/>
            <w:vAlign w:val="center"/>
          </w:tcPr>
          <w:p w14:paraId="20F31EBD">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邮政编码</w:t>
            </w:r>
          </w:p>
        </w:tc>
        <w:tc>
          <w:tcPr>
            <w:tcW w:w="2604" w:type="dxa"/>
            <w:noWrap w:val="0"/>
            <w:vAlign w:val="center"/>
          </w:tcPr>
          <w:p w14:paraId="156F2EFC">
            <w:pPr>
              <w:pStyle w:val="245"/>
              <w:spacing w:line="600" w:lineRule="exact"/>
              <w:jc w:val="center"/>
              <w:rPr>
                <w:rFonts w:ascii="宋体" w:hAnsi="宋体" w:cs="宋体"/>
                <w:color w:val="auto"/>
                <w:sz w:val="24"/>
                <w:szCs w:val="24"/>
              </w:rPr>
            </w:pPr>
          </w:p>
        </w:tc>
      </w:tr>
      <w:tr w14:paraId="2E4C2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1A803EA">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成立时间</w:t>
            </w:r>
          </w:p>
        </w:tc>
        <w:tc>
          <w:tcPr>
            <w:tcW w:w="3118" w:type="dxa"/>
            <w:noWrap w:val="0"/>
            <w:vAlign w:val="center"/>
          </w:tcPr>
          <w:p w14:paraId="231C3F5A">
            <w:pPr>
              <w:pStyle w:val="245"/>
              <w:spacing w:line="600" w:lineRule="exact"/>
              <w:jc w:val="center"/>
              <w:rPr>
                <w:rFonts w:ascii="宋体" w:hAnsi="宋体" w:cs="宋体"/>
                <w:color w:val="auto"/>
                <w:sz w:val="24"/>
                <w:szCs w:val="24"/>
              </w:rPr>
            </w:pPr>
          </w:p>
        </w:tc>
        <w:tc>
          <w:tcPr>
            <w:tcW w:w="1276" w:type="dxa"/>
            <w:noWrap w:val="0"/>
            <w:vAlign w:val="center"/>
          </w:tcPr>
          <w:p w14:paraId="34657013">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单位性质</w:t>
            </w:r>
          </w:p>
        </w:tc>
        <w:tc>
          <w:tcPr>
            <w:tcW w:w="2604" w:type="dxa"/>
            <w:noWrap w:val="0"/>
            <w:vAlign w:val="center"/>
          </w:tcPr>
          <w:p w14:paraId="5D136FC2">
            <w:pPr>
              <w:pStyle w:val="245"/>
              <w:spacing w:line="600" w:lineRule="exact"/>
              <w:jc w:val="center"/>
              <w:rPr>
                <w:rFonts w:ascii="宋体" w:hAnsi="宋体" w:cs="宋体"/>
                <w:color w:val="auto"/>
                <w:sz w:val="24"/>
                <w:szCs w:val="24"/>
              </w:rPr>
            </w:pPr>
          </w:p>
        </w:tc>
      </w:tr>
      <w:tr w14:paraId="1AE8A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3DD0928">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注册号或社会信用代码</w:t>
            </w:r>
          </w:p>
        </w:tc>
        <w:tc>
          <w:tcPr>
            <w:tcW w:w="3118" w:type="dxa"/>
            <w:noWrap w:val="0"/>
            <w:vAlign w:val="center"/>
          </w:tcPr>
          <w:p w14:paraId="5E40A593">
            <w:pPr>
              <w:pStyle w:val="245"/>
              <w:spacing w:line="600" w:lineRule="exact"/>
              <w:jc w:val="center"/>
              <w:rPr>
                <w:rFonts w:ascii="宋体" w:hAnsi="宋体" w:cs="宋体"/>
                <w:color w:val="auto"/>
                <w:sz w:val="24"/>
                <w:szCs w:val="24"/>
              </w:rPr>
            </w:pPr>
          </w:p>
        </w:tc>
        <w:tc>
          <w:tcPr>
            <w:tcW w:w="1276" w:type="dxa"/>
            <w:noWrap w:val="0"/>
            <w:vAlign w:val="center"/>
          </w:tcPr>
          <w:p w14:paraId="3A1B5E28">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注册资本（万元）</w:t>
            </w:r>
          </w:p>
        </w:tc>
        <w:tc>
          <w:tcPr>
            <w:tcW w:w="2604" w:type="dxa"/>
            <w:noWrap w:val="0"/>
            <w:vAlign w:val="center"/>
          </w:tcPr>
          <w:p w14:paraId="1D50E0C5">
            <w:pPr>
              <w:pStyle w:val="245"/>
              <w:spacing w:line="600" w:lineRule="exact"/>
              <w:jc w:val="center"/>
              <w:rPr>
                <w:rFonts w:ascii="宋体" w:hAnsi="宋体" w:cs="宋体"/>
                <w:color w:val="auto"/>
                <w:sz w:val="24"/>
                <w:szCs w:val="24"/>
              </w:rPr>
            </w:pPr>
          </w:p>
        </w:tc>
      </w:tr>
      <w:tr w14:paraId="46A76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8B3F75F">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供应商类别</w:t>
            </w:r>
          </w:p>
        </w:tc>
        <w:tc>
          <w:tcPr>
            <w:tcW w:w="6998" w:type="dxa"/>
            <w:gridSpan w:val="3"/>
            <w:noWrap w:val="0"/>
            <w:vAlign w:val="center"/>
          </w:tcPr>
          <w:p w14:paraId="61ED6E0C">
            <w:pPr>
              <w:pStyle w:val="245"/>
              <w:spacing w:line="600" w:lineRule="exact"/>
              <w:jc w:val="center"/>
              <w:rPr>
                <w:rFonts w:ascii="宋体" w:hAnsi="宋体" w:cs="宋体"/>
                <w:color w:val="auto"/>
                <w:sz w:val="24"/>
                <w:szCs w:val="24"/>
              </w:rPr>
            </w:pPr>
          </w:p>
        </w:tc>
      </w:tr>
      <w:tr w14:paraId="00866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E29A002">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开户银行</w:t>
            </w:r>
          </w:p>
        </w:tc>
        <w:tc>
          <w:tcPr>
            <w:tcW w:w="3118" w:type="dxa"/>
            <w:noWrap w:val="0"/>
            <w:vAlign w:val="center"/>
          </w:tcPr>
          <w:p w14:paraId="51E42312">
            <w:pPr>
              <w:pStyle w:val="245"/>
              <w:spacing w:line="600" w:lineRule="exact"/>
              <w:jc w:val="center"/>
              <w:rPr>
                <w:rFonts w:ascii="宋体" w:hAnsi="宋体" w:cs="宋体"/>
                <w:color w:val="auto"/>
                <w:sz w:val="24"/>
                <w:szCs w:val="24"/>
              </w:rPr>
            </w:pPr>
          </w:p>
        </w:tc>
        <w:tc>
          <w:tcPr>
            <w:tcW w:w="1276" w:type="dxa"/>
            <w:noWrap w:val="0"/>
            <w:vAlign w:val="center"/>
          </w:tcPr>
          <w:p w14:paraId="674B6902">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账号</w:t>
            </w:r>
          </w:p>
        </w:tc>
        <w:tc>
          <w:tcPr>
            <w:tcW w:w="2604" w:type="dxa"/>
            <w:noWrap w:val="0"/>
            <w:vAlign w:val="center"/>
          </w:tcPr>
          <w:p w14:paraId="47949216">
            <w:pPr>
              <w:pStyle w:val="245"/>
              <w:spacing w:line="600" w:lineRule="exact"/>
              <w:jc w:val="center"/>
              <w:rPr>
                <w:rFonts w:ascii="宋体" w:hAnsi="宋体" w:cs="宋体"/>
                <w:color w:val="auto"/>
                <w:sz w:val="24"/>
                <w:szCs w:val="24"/>
              </w:rPr>
            </w:pPr>
          </w:p>
        </w:tc>
      </w:tr>
      <w:tr w14:paraId="18CCE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744ED8A">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联系人</w:t>
            </w:r>
          </w:p>
        </w:tc>
        <w:tc>
          <w:tcPr>
            <w:tcW w:w="3118" w:type="dxa"/>
            <w:noWrap w:val="0"/>
            <w:vAlign w:val="center"/>
          </w:tcPr>
          <w:p w14:paraId="6E7618DE">
            <w:pPr>
              <w:pStyle w:val="245"/>
              <w:spacing w:line="600" w:lineRule="exact"/>
              <w:jc w:val="center"/>
              <w:rPr>
                <w:rFonts w:ascii="宋体" w:hAnsi="宋体" w:cs="宋体"/>
                <w:color w:val="auto"/>
                <w:sz w:val="24"/>
                <w:szCs w:val="24"/>
              </w:rPr>
            </w:pPr>
          </w:p>
        </w:tc>
        <w:tc>
          <w:tcPr>
            <w:tcW w:w="1276" w:type="dxa"/>
            <w:noWrap w:val="0"/>
            <w:vAlign w:val="center"/>
          </w:tcPr>
          <w:p w14:paraId="7EED7597">
            <w:pPr>
              <w:pStyle w:val="245"/>
              <w:spacing w:line="600" w:lineRule="exact"/>
              <w:jc w:val="center"/>
              <w:rPr>
                <w:rFonts w:ascii="宋体" w:hAnsi="宋体" w:cs="宋体"/>
                <w:color w:val="auto"/>
                <w:sz w:val="24"/>
                <w:szCs w:val="24"/>
              </w:rPr>
            </w:pPr>
            <w:r>
              <w:rPr>
                <w:rFonts w:hint="eastAsia" w:ascii="宋体" w:hAnsi="宋体" w:cs="宋体"/>
                <w:color w:val="auto"/>
                <w:sz w:val="24"/>
                <w:szCs w:val="24"/>
              </w:rPr>
              <w:t>联系电话</w:t>
            </w:r>
          </w:p>
        </w:tc>
        <w:tc>
          <w:tcPr>
            <w:tcW w:w="2604" w:type="dxa"/>
            <w:noWrap w:val="0"/>
            <w:vAlign w:val="center"/>
          </w:tcPr>
          <w:p w14:paraId="22152BE0">
            <w:pPr>
              <w:pStyle w:val="245"/>
              <w:spacing w:line="600" w:lineRule="exact"/>
              <w:jc w:val="center"/>
              <w:rPr>
                <w:rFonts w:ascii="宋体" w:hAnsi="宋体" w:cs="宋体"/>
                <w:color w:val="auto"/>
                <w:sz w:val="24"/>
                <w:szCs w:val="24"/>
              </w:rPr>
            </w:pPr>
          </w:p>
        </w:tc>
      </w:tr>
      <w:tr w14:paraId="56B91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614ECEA5">
            <w:pPr>
              <w:pStyle w:val="245"/>
              <w:spacing w:line="560" w:lineRule="exact"/>
              <w:jc w:val="center"/>
              <w:rPr>
                <w:rFonts w:ascii="宋体" w:hAnsi="宋体" w:cs="宋体"/>
                <w:color w:val="auto"/>
                <w:sz w:val="24"/>
                <w:szCs w:val="24"/>
              </w:rPr>
            </w:pPr>
            <w:r>
              <w:rPr>
                <w:rFonts w:hint="eastAsia" w:ascii="宋体" w:hAnsi="宋体" w:cs="宋体"/>
                <w:color w:val="auto"/>
                <w:sz w:val="24"/>
                <w:szCs w:val="24"/>
              </w:rPr>
              <w:t>经营范围</w:t>
            </w:r>
          </w:p>
        </w:tc>
        <w:tc>
          <w:tcPr>
            <w:tcW w:w="6998" w:type="dxa"/>
            <w:gridSpan w:val="3"/>
            <w:noWrap w:val="0"/>
          </w:tcPr>
          <w:p w14:paraId="650C5DB3">
            <w:pPr>
              <w:pStyle w:val="245"/>
              <w:spacing w:line="560" w:lineRule="exact"/>
              <w:ind w:firstLine="1433"/>
              <w:rPr>
                <w:rFonts w:ascii="宋体" w:hAnsi="宋体" w:cs="宋体"/>
                <w:color w:val="auto"/>
                <w:sz w:val="24"/>
                <w:szCs w:val="24"/>
              </w:rPr>
            </w:pPr>
          </w:p>
        </w:tc>
      </w:tr>
      <w:tr w14:paraId="212F2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623CA71D">
            <w:pPr>
              <w:pStyle w:val="245"/>
              <w:spacing w:line="560" w:lineRule="exact"/>
              <w:jc w:val="center"/>
              <w:rPr>
                <w:rFonts w:ascii="宋体" w:hAnsi="宋体" w:cs="宋体"/>
                <w:color w:val="auto"/>
                <w:sz w:val="24"/>
                <w:szCs w:val="24"/>
              </w:rPr>
            </w:pPr>
            <w:r>
              <w:rPr>
                <w:rFonts w:hint="eastAsia" w:ascii="宋体" w:hAnsi="宋体" w:cs="宋体"/>
                <w:color w:val="auto"/>
                <w:sz w:val="24"/>
                <w:szCs w:val="24"/>
              </w:rPr>
              <w:t>备注</w:t>
            </w:r>
          </w:p>
        </w:tc>
        <w:tc>
          <w:tcPr>
            <w:tcW w:w="6998" w:type="dxa"/>
            <w:gridSpan w:val="3"/>
            <w:noWrap w:val="0"/>
            <w:vAlign w:val="center"/>
          </w:tcPr>
          <w:p w14:paraId="55BF87C2">
            <w:pPr>
              <w:pStyle w:val="245"/>
              <w:spacing w:line="500" w:lineRule="exact"/>
              <w:jc w:val="center"/>
              <w:rPr>
                <w:rFonts w:ascii="宋体" w:hAnsi="宋体" w:cs="宋体"/>
                <w:color w:val="auto"/>
                <w:sz w:val="24"/>
                <w:szCs w:val="24"/>
              </w:rPr>
            </w:pPr>
          </w:p>
        </w:tc>
      </w:tr>
    </w:tbl>
    <w:p w14:paraId="14D0C9F1">
      <w:pPr>
        <w:outlineLvl w:val="9"/>
        <w:rPr>
          <w:rFonts w:eastAsia="黑体"/>
          <w:iCs/>
          <w:color w:val="auto"/>
          <w:sz w:val="32"/>
          <w:szCs w:val="32"/>
        </w:rPr>
      </w:pPr>
      <w:r>
        <w:rPr>
          <w:rFonts w:eastAsia="黑体"/>
          <w:iCs/>
          <w:color w:val="auto"/>
          <w:sz w:val="32"/>
          <w:szCs w:val="32"/>
        </w:rPr>
        <w:t xml:space="preserve"> </w:t>
      </w:r>
    </w:p>
    <w:p w14:paraId="5E409148">
      <w:pPr>
        <w:rPr>
          <w:rFonts w:eastAsia="黑体"/>
          <w:iCs/>
          <w:color w:val="auto"/>
          <w:sz w:val="32"/>
          <w:szCs w:val="32"/>
        </w:rPr>
        <w:sectPr>
          <w:pgSz w:w="11906" w:h="16838"/>
          <w:pgMar w:top="1440" w:right="1480" w:bottom="1440" w:left="1480" w:header="851" w:footer="907" w:gutter="0"/>
          <w:cols w:space="0" w:num="1"/>
          <w:docGrid w:linePitch="360" w:charSpace="0"/>
        </w:sectPr>
      </w:pPr>
    </w:p>
    <w:p w14:paraId="3650F1CB">
      <w:pPr>
        <w:keepNext/>
        <w:keepLines/>
        <w:spacing w:before="145" w:after="145" w:line="360" w:lineRule="auto"/>
        <w:outlineLvl w:val="1"/>
        <w:rPr>
          <w:rFonts w:eastAsia="黑体"/>
          <w:b/>
          <w:color w:val="auto"/>
          <w:sz w:val="32"/>
          <w:szCs w:val="32"/>
        </w:rPr>
      </w:pPr>
      <w:r>
        <w:rPr>
          <w:rFonts w:hint="eastAsia" w:eastAsia="黑体"/>
          <w:b/>
          <w:color w:val="auto"/>
          <w:sz w:val="32"/>
          <w:szCs w:val="32"/>
        </w:rPr>
        <w:t>三、</w:t>
      </w:r>
      <w:bookmarkStart w:id="227" w:name="_Toc157942719"/>
      <w:r>
        <w:rPr>
          <w:rFonts w:hint="eastAsia" w:eastAsia="黑体"/>
          <w:b/>
          <w:color w:val="auto"/>
          <w:sz w:val="32"/>
          <w:szCs w:val="32"/>
        </w:rPr>
        <w:t>法定代表人身份证明或法人授权书</w:t>
      </w:r>
    </w:p>
    <w:p w14:paraId="69D0B50E">
      <w:pPr>
        <w:spacing w:before="60" w:after="60" w:line="360" w:lineRule="auto"/>
        <w:jc w:val="center"/>
        <w:rPr>
          <w:rFonts w:ascii="Times New Roman" w:hAnsi="Times New Roman"/>
          <w:b/>
          <w:color w:val="auto"/>
          <w:sz w:val="32"/>
          <w:szCs w:val="32"/>
        </w:rPr>
      </w:pPr>
      <w:r>
        <w:rPr>
          <w:rFonts w:hint="eastAsia" w:ascii="Times New Roman" w:hAnsi="Times New Roman"/>
          <w:b/>
          <w:color w:val="auto"/>
          <w:sz w:val="32"/>
          <w:szCs w:val="32"/>
        </w:rPr>
        <w:t>法定代表人身份证明</w:t>
      </w:r>
    </w:p>
    <w:p w14:paraId="5ED8E1BA">
      <w:pPr>
        <w:spacing w:line="360" w:lineRule="auto"/>
        <w:ind w:firstLine="480"/>
        <w:rPr>
          <w:rFonts w:ascii="宋体" w:hAnsi="宋体"/>
          <w:color w:val="auto"/>
          <w:sz w:val="24"/>
        </w:rPr>
      </w:pPr>
      <w:r>
        <w:rPr>
          <w:rFonts w:hint="eastAsia" w:ascii="宋体" w:hAnsi="宋体"/>
          <w:color w:val="auto"/>
          <w:sz w:val="24"/>
        </w:rPr>
        <w:t>供应商名称：</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31FC4A77">
      <w:pPr>
        <w:spacing w:line="360" w:lineRule="auto"/>
        <w:ind w:firstLine="480"/>
        <w:rPr>
          <w:rFonts w:ascii="宋体" w:hAnsi="宋体"/>
          <w:color w:val="auto"/>
          <w:sz w:val="24"/>
        </w:rPr>
      </w:pPr>
      <w:r>
        <w:rPr>
          <w:rFonts w:hint="eastAsia" w:ascii="宋体" w:hAnsi="宋体"/>
          <w:color w:val="auto"/>
          <w:sz w:val="24"/>
        </w:rPr>
        <w:t>单位性质：</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5F7F8AFD">
      <w:pPr>
        <w:spacing w:line="360" w:lineRule="auto"/>
        <w:ind w:firstLine="480"/>
        <w:rPr>
          <w:rFonts w:ascii="宋体" w:hAnsi="宋体"/>
          <w:color w:val="auto"/>
          <w:sz w:val="24"/>
        </w:rPr>
      </w:pPr>
      <w:r>
        <w:rPr>
          <w:rFonts w:hint="eastAsia" w:ascii="宋体" w:hAnsi="宋体"/>
          <w:color w:val="auto"/>
          <w:sz w:val="24"/>
        </w:rPr>
        <w:t>地址：</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28158ECA">
      <w:pPr>
        <w:spacing w:line="360" w:lineRule="auto"/>
        <w:ind w:firstLine="480"/>
        <w:rPr>
          <w:rFonts w:ascii="宋体" w:hAnsi="宋体"/>
          <w:color w:val="auto"/>
          <w:sz w:val="24"/>
        </w:rPr>
      </w:pPr>
      <w:r>
        <w:rPr>
          <w:rFonts w:hint="eastAsia" w:ascii="宋体" w:hAnsi="宋体"/>
          <w:color w:val="auto"/>
          <w:sz w:val="24"/>
        </w:rPr>
        <w:t>成立时间：</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年</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日</w:t>
      </w:r>
    </w:p>
    <w:p w14:paraId="5237DEF6">
      <w:pPr>
        <w:spacing w:line="360" w:lineRule="auto"/>
        <w:ind w:firstLine="480"/>
        <w:rPr>
          <w:rFonts w:ascii="宋体" w:hAnsi="宋体"/>
          <w:color w:val="auto"/>
          <w:sz w:val="24"/>
        </w:rPr>
      </w:pPr>
      <w:r>
        <w:rPr>
          <w:rFonts w:hint="eastAsia" w:ascii="宋体" w:hAnsi="宋体"/>
          <w:color w:val="auto"/>
          <w:sz w:val="24"/>
        </w:rPr>
        <w:t>经营期限：</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6F4505B1">
      <w:pPr>
        <w:spacing w:line="360" w:lineRule="auto"/>
        <w:ind w:firstLine="480"/>
        <w:rPr>
          <w:rFonts w:ascii="宋体" w:hAnsi="宋体"/>
          <w:color w:val="auto"/>
          <w:sz w:val="24"/>
        </w:rPr>
      </w:pPr>
      <w:r>
        <w:rPr>
          <w:rFonts w:hint="eastAsia" w:ascii="宋体" w:hAnsi="宋体"/>
          <w:color w:val="auto"/>
          <w:sz w:val="24"/>
        </w:rPr>
        <w:t>姓名：</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性别：</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年龄：</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 职务：</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6BA5DF5A">
      <w:pPr>
        <w:spacing w:line="360" w:lineRule="auto"/>
        <w:ind w:firstLine="480"/>
        <w:rPr>
          <w:rFonts w:ascii="宋体" w:hAnsi="宋体"/>
          <w:color w:val="auto"/>
          <w:sz w:val="24"/>
        </w:rPr>
      </w:pPr>
      <w:r>
        <w:rPr>
          <w:rFonts w:hint="eastAsia" w:ascii="宋体" w:hAnsi="宋体"/>
          <w:color w:val="auto"/>
          <w:sz w:val="24"/>
        </w:rPr>
        <w:t>系</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（供应商名称）的法定代表人。</w:t>
      </w:r>
    </w:p>
    <w:p w14:paraId="572851CE">
      <w:pPr>
        <w:spacing w:line="360" w:lineRule="auto"/>
        <w:ind w:firstLine="480"/>
        <w:rPr>
          <w:rFonts w:ascii="宋体" w:hAnsi="宋体"/>
          <w:color w:val="auto"/>
          <w:sz w:val="24"/>
        </w:rPr>
      </w:pPr>
      <w:r>
        <w:rPr>
          <w:rFonts w:hint="eastAsia" w:ascii="宋体" w:hAnsi="宋体"/>
          <w:color w:val="auto"/>
          <w:sz w:val="24"/>
        </w:rPr>
        <w:t>特此证明。</w:t>
      </w:r>
    </w:p>
    <w:p w14:paraId="5DFEF3C4">
      <w:pPr>
        <w:tabs>
          <w:tab w:val="left" w:pos="360"/>
        </w:tabs>
        <w:spacing w:line="360" w:lineRule="auto"/>
        <w:ind w:firstLine="2400"/>
        <w:rPr>
          <w:rFonts w:ascii="宋体" w:hAnsi="宋体" w:cs="宋体"/>
          <w:color w:val="auto"/>
          <w:sz w:val="24"/>
          <w:szCs w:val="24"/>
        </w:rPr>
      </w:pPr>
      <w:r>
        <w:rPr>
          <w:rFonts w:hint="eastAsia" w:ascii="宋体" w:hAnsi="宋体" w:cs="宋体"/>
          <w:color w:val="auto"/>
          <w:sz w:val="24"/>
          <w:szCs w:val="24"/>
        </w:rPr>
        <w:t>单位名称：</w:t>
      </w:r>
      <w:r>
        <w:rPr>
          <w:rFonts w:ascii="宋体" w:hAnsi="宋体" w:cs="宋体"/>
          <w:color w:val="auto"/>
          <w:sz w:val="24"/>
          <w:szCs w:val="24"/>
          <w:u w:val="single"/>
        </w:rPr>
        <w:t xml:space="preserve">              </w:t>
      </w:r>
      <w:r>
        <w:rPr>
          <w:rFonts w:hint="eastAsia" w:ascii="宋体" w:hAnsi="宋体" w:cs="宋体"/>
          <w:color w:val="auto"/>
          <w:sz w:val="24"/>
          <w:szCs w:val="24"/>
          <w:u w:val="single"/>
        </w:rPr>
        <w:t>（加盖CA电子公章）</w:t>
      </w:r>
    </w:p>
    <w:p w14:paraId="5434E9DB">
      <w:pPr>
        <w:spacing w:line="360" w:lineRule="auto"/>
        <w:ind w:firstLine="2400"/>
        <w:rPr>
          <w:rFonts w:ascii="宋体" w:hAnsi="宋体" w:cs="宋体"/>
          <w:color w:val="auto"/>
          <w:sz w:val="24"/>
          <w:szCs w:val="24"/>
        </w:rPr>
      </w:pPr>
      <w:r>
        <w:rPr>
          <w:rFonts w:hint="eastAsia" w:ascii="宋体" w:hAnsi="宋体" w:cs="宋体"/>
          <w:color w:val="auto"/>
          <w:sz w:val="24"/>
          <w:szCs w:val="24"/>
        </w:rPr>
        <w:t>日期：    年    月   日</w:t>
      </w:r>
    </w:p>
    <w:p w14:paraId="16D87A0E">
      <w:pPr>
        <w:rPr>
          <w:rFonts w:ascii="宋体" w:hAnsi="宋体" w:cs="宋体"/>
          <w:color w:val="auto"/>
          <w:sz w:val="24"/>
          <w:szCs w:val="24"/>
        </w:rPr>
      </w:pPr>
    </w:p>
    <w:p w14:paraId="76AB8831">
      <w:pPr>
        <w:rPr>
          <w:rFonts w:ascii="宋体" w:hAnsi="宋体" w:cs="宋体"/>
          <w:color w:val="auto"/>
          <w:sz w:val="24"/>
          <w:szCs w:val="24"/>
        </w:rPr>
      </w:pPr>
    </w:p>
    <w:p w14:paraId="0E97426C">
      <w:pPr>
        <w:spacing w:before="60" w:after="60" w:line="360" w:lineRule="auto"/>
        <w:jc w:val="center"/>
        <w:rPr>
          <w:rFonts w:ascii="Times New Roman" w:hAnsi="Times New Roman"/>
          <w:b/>
          <w:color w:val="auto"/>
          <w:sz w:val="32"/>
          <w:szCs w:val="32"/>
        </w:rPr>
      </w:pPr>
      <w:r>
        <w:rPr>
          <w:rFonts w:hint="eastAsia" w:ascii="Times New Roman" w:hAnsi="Times New Roman"/>
          <w:b/>
          <w:color w:val="auto"/>
          <w:sz w:val="32"/>
          <w:szCs w:val="32"/>
        </w:rPr>
        <w:t>法人授权书</w:t>
      </w:r>
    </w:p>
    <w:p w14:paraId="2593BF8B">
      <w:pPr>
        <w:tabs>
          <w:tab w:val="left" w:pos="360"/>
        </w:tabs>
        <w:spacing w:line="360" w:lineRule="auto"/>
        <w:ind w:firstLine="480"/>
        <w:rPr>
          <w:rFonts w:ascii="宋体" w:hAnsi="宋体" w:cs="宋体"/>
          <w:color w:val="auto"/>
          <w:sz w:val="24"/>
          <w:szCs w:val="24"/>
        </w:rPr>
      </w:pPr>
      <w:r>
        <w:rPr>
          <w:rFonts w:hint="eastAsia" w:ascii="宋体" w:hAnsi="宋体" w:cs="宋体"/>
          <w:color w:val="auto"/>
          <w:sz w:val="24"/>
          <w:szCs w:val="24"/>
        </w:rPr>
        <w:t>本授权书声明：</w:t>
      </w:r>
      <w:r>
        <w:rPr>
          <w:rFonts w:hint="eastAsia" w:ascii="宋体" w:hAnsi="宋体" w:cs="宋体"/>
          <w:color w:val="auto"/>
          <w:sz w:val="24"/>
          <w:szCs w:val="24"/>
          <w:u w:val="single"/>
        </w:rPr>
        <w:t xml:space="preserve">           </w:t>
      </w:r>
      <w:r>
        <w:rPr>
          <w:rFonts w:hint="eastAsia" w:ascii="宋体" w:hAnsi="宋体" w:cs="宋体"/>
          <w:color w:val="auto"/>
          <w:sz w:val="24"/>
          <w:szCs w:val="24"/>
        </w:rPr>
        <w:t>（供应商名称）授权________________（被授权人的姓名）为我方就</w:t>
      </w:r>
      <w:r>
        <w:rPr>
          <w:rFonts w:hint="eastAsia" w:ascii="宋体" w:hAnsi="宋体" w:cs="宋体"/>
          <w:color w:val="auto"/>
          <w:sz w:val="24"/>
          <w:szCs w:val="24"/>
          <w:u w:val="single"/>
        </w:rPr>
        <w:t xml:space="preserve">          </w:t>
      </w:r>
      <w:r>
        <w:rPr>
          <w:rFonts w:hint="eastAsia" w:ascii="宋体" w:hAnsi="宋体" w:cs="宋体"/>
          <w:color w:val="auto"/>
          <w:sz w:val="24"/>
          <w:szCs w:val="24"/>
        </w:rPr>
        <w:t>号项目采购活动的合法代理人，以本单位名义全权处理一切与该项目采购有关的事务。</w:t>
      </w:r>
    </w:p>
    <w:p w14:paraId="5ABFA4E4">
      <w:pPr>
        <w:tabs>
          <w:tab w:val="left" w:pos="360"/>
        </w:tabs>
        <w:spacing w:line="360" w:lineRule="auto"/>
        <w:ind w:firstLine="480"/>
        <w:rPr>
          <w:rFonts w:ascii="宋体" w:hAnsi="宋体" w:cs="宋体"/>
          <w:color w:val="auto"/>
          <w:sz w:val="24"/>
          <w:szCs w:val="24"/>
        </w:rPr>
      </w:pPr>
      <w:r>
        <w:rPr>
          <w:rFonts w:hint="eastAsia" w:ascii="宋体" w:hAnsi="宋体" w:cs="宋体"/>
          <w:color w:val="auto"/>
          <w:sz w:val="24"/>
          <w:szCs w:val="24"/>
        </w:rPr>
        <w:t>本授权书于______年____月____日起生效，特此声明。</w:t>
      </w:r>
    </w:p>
    <w:p w14:paraId="6B8A9B9E">
      <w:pPr>
        <w:tabs>
          <w:tab w:val="left" w:pos="360"/>
        </w:tabs>
        <w:spacing w:line="360" w:lineRule="auto"/>
        <w:rPr>
          <w:rFonts w:ascii="宋体" w:hAnsi="宋体" w:cs="宋体"/>
          <w:color w:val="auto"/>
          <w:sz w:val="24"/>
          <w:szCs w:val="24"/>
          <w:u w:val="single"/>
        </w:rPr>
      </w:pPr>
      <w:r>
        <w:rPr>
          <w:rFonts w:hint="eastAsia" w:ascii="宋体" w:hAnsi="宋体" w:cs="宋体"/>
          <w:color w:val="auto"/>
          <w:sz w:val="24"/>
          <w:szCs w:val="24"/>
        </w:rPr>
        <w:t xml:space="preserve">                   被授权人身份证号码：</w:t>
      </w:r>
      <w:r>
        <w:rPr>
          <w:rFonts w:hint="eastAsia" w:ascii="宋体" w:hAnsi="宋体" w:cs="宋体"/>
          <w:color w:val="auto"/>
          <w:sz w:val="24"/>
          <w:szCs w:val="24"/>
          <w:u w:val="single"/>
        </w:rPr>
        <w:t xml:space="preserve">                              </w:t>
      </w:r>
    </w:p>
    <w:p w14:paraId="50D30300">
      <w:pPr>
        <w:tabs>
          <w:tab w:val="left" w:pos="360"/>
        </w:tabs>
        <w:spacing w:line="360" w:lineRule="auto"/>
        <w:rPr>
          <w:rFonts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p>
    <w:p w14:paraId="27B13A74">
      <w:pPr>
        <w:tabs>
          <w:tab w:val="left" w:pos="360"/>
        </w:tabs>
        <w:spacing w:line="360" w:lineRule="auto"/>
        <w:rPr>
          <w:rFonts w:ascii="宋体" w:hAnsi="宋体" w:cs="宋体"/>
          <w:color w:val="auto"/>
          <w:sz w:val="24"/>
          <w:szCs w:val="24"/>
        </w:rPr>
      </w:pPr>
      <w:r>
        <w:rPr>
          <w:rFonts w:hint="eastAsia" w:ascii="宋体" w:hAnsi="宋体" w:cs="宋体"/>
          <w:color w:val="auto"/>
          <w:sz w:val="24"/>
          <w:szCs w:val="24"/>
        </w:rPr>
        <w:t xml:space="preserve">                   授权单位名称：</w:t>
      </w:r>
      <w:r>
        <w:rPr>
          <w:rFonts w:hint="eastAsia" w:ascii="宋体" w:hAnsi="宋体" w:cs="宋体"/>
          <w:color w:val="auto"/>
          <w:sz w:val="24"/>
          <w:szCs w:val="24"/>
          <w:u w:val="single"/>
        </w:rPr>
        <w:t xml:space="preserve">                  （加盖CA电子公章）</w:t>
      </w:r>
    </w:p>
    <w:p w14:paraId="0819D5D7">
      <w:pPr>
        <w:tabs>
          <w:tab w:val="left" w:pos="360"/>
        </w:tabs>
        <w:spacing w:line="360" w:lineRule="auto"/>
        <w:rPr>
          <w:rFonts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p>
    <w:p w14:paraId="4DE9B60C">
      <w:pPr>
        <w:tabs>
          <w:tab w:val="left" w:pos="360"/>
        </w:tabs>
        <w:spacing w:line="360" w:lineRule="auto"/>
        <w:rPr>
          <w:rFonts w:ascii="宋体" w:hAnsi="宋体" w:cs="宋体"/>
          <w:color w:val="auto"/>
          <w:sz w:val="24"/>
          <w:szCs w:val="24"/>
          <w:u w:val="single"/>
        </w:rPr>
      </w:pPr>
      <w:r>
        <w:rPr>
          <w:rFonts w:hint="eastAsia" w:ascii="宋体" w:hAnsi="宋体" w:cs="宋体"/>
          <w:color w:val="auto"/>
          <w:sz w:val="24"/>
          <w:szCs w:val="24"/>
        </w:rPr>
        <w:t xml:space="preserve">                   日期：</w:t>
      </w:r>
      <w:r>
        <w:rPr>
          <w:rFonts w:hint="eastAsia" w:ascii="宋体" w:hAnsi="宋体" w:cs="宋体"/>
          <w:color w:val="auto"/>
          <w:sz w:val="24"/>
          <w:szCs w:val="24"/>
          <w:u w:val="single"/>
        </w:rPr>
        <w:t xml:space="preserve">                                             </w:t>
      </w:r>
    </w:p>
    <w:p w14:paraId="65FDD53F">
      <w:pPr>
        <w:tabs>
          <w:tab w:val="left" w:pos="360"/>
        </w:tabs>
        <w:spacing w:line="360" w:lineRule="auto"/>
        <w:rPr>
          <w:rFonts w:ascii="宋体" w:hAnsi="宋体" w:cs="宋体"/>
          <w:color w:val="auto"/>
          <w:sz w:val="24"/>
          <w:szCs w:val="24"/>
        </w:rPr>
      </w:pPr>
    </w:p>
    <w:p w14:paraId="2E7C163E">
      <w:pPr>
        <w:tabs>
          <w:tab w:val="left" w:pos="360"/>
        </w:tabs>
        <w:spacing w:line="360" w:lineRule="auto"/>
        <w:rPr>
          <w:rFonts w:ascii="宋体" w:hAnsi="宋体" w:cs="宋体"/>
          <w:color w:val="auto"/>
          <w:sz w:val="24"/>
          <w:szCs w:val="24"/>
        </w:rPr>
      </w:pPr>
      <w:r>
        <w:rPr>
          <w:rFonts w:hint="eastAsia" w:ascii="宋体" w:hAnsi="宋体" w:cs="宋体"/>
          <w:b/>
          <w:bCs/>
          <w:color w:val="auto"/>
          <w:sz w:val="24"/>
        </w:rPr>
        <w:t>注：供应商代理人(授权委托人)必须为本单位正式员工，并在响应文件中提供投标截止日前6个月内由本单位为其缴纳的任意1个月社会养老保险证明。</w:t>
      </w:r>
    </w:p>
    <w:p w14:paraId="5CDC312A">
      <w:pPr>
        <w:keepNext/>
        <w:keepLines/>
        <w:spacing w:before="145" w:after="145" w:line="360" w:lineRule="auto"/>
        <w:outlineLvl w:val="1"/>
        <w:rPr>
          <w:rFonts w:eastAsia="黑体"/>
          <w:b/>
          <w:color w:val="auto"/>
          <w:sz w:val="32"/>
          <w:szCs w:val="32"/>
        </w:rPr>
      </w:pPr>
      <w:r>
        <w:rPr>
          <w:rFonts w:hint="eastAsia" w:eastAsia="黑体"/>
          <w:b/>
          <w:color w:val="auto"/>
          <w:sz w:val="32"/>
          <w:szCs w:val="32"/>
        </w:rPr>
        <w:t>四、中小企业或残疾人福利性单位声明函</w:t>
      </w:r>
    </w:p>
    <w:p w14:paraId="4BEF93CF">
      <w:pPr>
        <w:pStyle w:val="278"/>
        <w:spacing w:before="151" w:after="151" w:line="600" w:lineRule="exact"/>
        <w:jc w:val="center"/>
        <w:rPr>
          <w:rFonts w:ascii="方正小标宋_GBK" w:eastAsia="方正小标宋_GBK"/>
          <w:color w:val="auto"/>
          <w:sz w:val="32"/>
          <w:szCs w:val="32"/>
        </w:rPr>
      </w:pPr>
      <w:r>
        <w:rPr>
          <w:rFonts w:hint="eastAsia" w:ascii="方正小标宋_GBK" w:eastAsia="方正小标宋_GBK"/>
          <w:color w:val="auto"/>
          <w:sz w:val="32"/>
          <w:szCs w:val="32"/>
        </w:rPr>
        <w:t>中小微企业声明函（服务类项目）</w:t>
      </w:r>
    </w:p>
    <w:p w14:paraId="0C7357BD">
      <w:pPr>
        <w:spacing w:line="360" w:lineRule="auto"/>
        <w:ind w:firstLine="360"/>
        <w:rPr>
          <w:rFonts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 采购人名称 </w:t>
      </w:r>
      <w:r>
        <w:rPr>
          <w:rFonts w:hint="eastAsia" w:ascii="宋体" w:hAnsi="宋体" w:cs="宋体"/>
          <w:color w:val="auto"/>
          <w:sz w:val="24"/>
          <w:szCs w:val="24"/>
        </w:rPr>
        <w:t xml:space="preserve"> 的</w:t>
      </w:r>
      <w:r>
        <w:rPr>
          <w:rFonts w:hint="eastAsia" w:ascii="宋体" w:hAnsi="宋体" w:cs="宋体"/>
          <w:color w:val="auto"/>
          <w:sz w:val="24"/>
          <w:szCs w:val="24"/>
          <w:u w:val="single"/>
        </w:rPr>
        <w:t>（项目名称）</w:t>
      </w:r>
      <w:r>
        <w:rPr>
          <w:rFonts w:hint="eastAsia" w:ascii="宋体" w:hAnsi="宋体" w:cs="宋体"/>
          <w:color w:val="auto"/>
          <w:sz w:val="24"/>
          <w:szCs w:val="24"/>
        </w:rPr>
        <w:t xml:space="preserve"> 采购活动，服务全部由符合政策的中小微企业承接。</w:t>
      </w:r>
      <w:r>
        <w:rPr>
          <w:rFonts w:hint="eastAsia" w:ascii="Times New Roman" w:hAnsi="Times New Roman"/>
          <w:color w:val="auto"/>
          <w:sz w:val="24"/>
          <w:szCs w:val="24"/>
        </w:rPr>
        <w:t>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8B2170F">
      <w:pPr>
        <w:shd w:val="clear" w:color="auto" w:fill="FFFFFF" w:themeFill="background1"/>
        <w:spacing w:line="480" w:lineRule="exact"/>
        <w:ind w:firstLine="480"/>
        <w:rPr>
          <w:rFonts w:hint="eastAsia" w:ascii="宋体" w:hAnsi="宋体" w:eastAsia="宋体" w:cs="宋体"/>
          <w:i/>
          <w:color w:val="auto"/>
          <w:sz w:val="24"/>
          <w:szCs w:val="24"/>
          <w:u w:val="single"/>
          <w:lang w:eastAsia="zh-CN"/>
        </w:rPr>
      </w:pPr>
      <w:r>
        <w:rPr>
          <w:rFonts w:hint="eastAsia" w:ascii="宋体" w:hAnsi="宋体" w:cs="宋体"/>
          <w:color w:val="auto"/>
          <w:sz w:val="24"/>
          <w:szCs w:val="24"/>
        </w:rPr>
        <w:t>1.</w:t>
      </w:r>
      <w:r>
        <w:rPr>
          <w:rFonts w:hint="eastAsia" w:ascii="宋体" w:hAnsi="宋体" w:cs="宋体"/>
          <w:color w:val="auto"/>
          <w:sz w:val="24"/>
          <w:szCs w:val="24"/>
          <w:u w:val="single"/>
        </w:rPr>
        <w:t>（标的名称）</w:t>
      </w:r>
      <w:r>
        <w:rPr>
          <w:rFonts w:hint="eastAsia" w:ascii="宋体" w:hAnsi="宋体" w:cs="宋体"/>
          <w:i/>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（供应商填写磋商文件中明确的所属行业）</w:t>
      </w:r>
      <w:r>
        <w:rPr>
          <w:rFonts w:hint="eastAsia" w:ascii="宋体" w:hAnsi="宋体" w:cs="宋体"/>
          <w:color w:val="auto"/>
          <w:sz w:val="24"/>
          <w:szCs w:val="24"/>
        </w:rPr>
        <w:t>行业</w:t>
      </w:r>
      <w:r>
        <w:rPr>
          <w:rFonts w:hint="eastAsia" w:ascii="宋体" w:hAnsi="宋体" w:cs="宋体"/>
          <w:color w:val="auto"/>
          <w:sz w:val="24"/>
          <w:szCs w:val="24"/>
          <w:lang w:eastAsia="zh-CN"/>
        </w:rPr>
        <w:t>；</w:t>
      </w:r>
      <w:r>
        <w:rPr>
          <w:rFonts w:hint="eastAsia" w:ascii="宋体" w:hAnsi="宋体" w:cs="宋体"/>
          <w:color w:val="auto"/>
          <w:sz w:val="24"/>
          <w:szCs w:val="24"/>
        </w:rPr>
        <w:t>承接企业为</w:t>
      </w:r>
      <w:r>
        <w:rPr>
          <w:rFonts w:hint="eastAsia" w:ascii="宋体" w:hAnsi="宋体" w:cs="宋体"/>
          <w:color w:val="auto"/>
          <w:sz w:val="24"/>
          <w:szCs w:val="24"/>
          <w:u w:val="single"/>
        </w:rPr>
        <w:t>（企业名称）</w:t>
      </w:r>
      <w:r>
        <w:rPr>
          <w:rFonts w:hint="eastAsia" w:ascii="宋体" w:hAnsi="宋体" w:cs="宋体"/>
          <w:color w:val="auto"/>
          <w:sz w:val="24"/>
          <w:szCs w:val="24"/>
        </w:rPr>
        <w:t>，属于</w:t>
      </w:r>
      <w:r>
        <w:rPr>
          <w:rFonts w:hint="eastAsia" w:ascii="宋体" w:hAnsi="宋体" w:cs="宋体"/>
          <w:color w:val="auto"/>
          <w:sz w:val="24"/>
          <w:szCs w:val="24"/>
          <w:u w:val="single"/>
        </w:rPr>
        <w:t>（□中型企业 □小型企业 □微型企业）</w:t>
      </w:r>
      <w:r>
        <w:rPr>
          <w:rFonts w:hint="eastAsia" w:ascii="宋体" w:hAnsi="宋体" w:cs="宋体"/>
          <w:color w:val="auto"/>
          <w:sz w:val="24"/>
          <w:szCs w:val="24"/>
          <w:u w:val="single"/>
          <w:lang w:eastAsia="zh-CN"/>
        </w:rPr>
        <w:t>；</w:t>
      </w:r>
    </w:p>
    <w:p w14:paraId="50D0113D">
      <w:pPr>
        <w:shd w:val="clear" w:color="auto" w:fill="FFFFFF" w:themeFill="background1"/>
        <w:spacing w:line="480" w:lineRule="exact"/>
        <w:ind w:firstLine="480"/>
        <w:rPr>
          <w:rFonts w:hint="eastAsia" w:ascii="宋体" w:hAnsi="宋体" w:eastAsia="宋体" w:cs="宋体"/>
          <w:i/>
          <w:color w:val="auto"/>
          <w:sz w:val="24"/>
          <w:szCs w:val="24"/>
          <w:u w:val="single"/>
          <w:lang w:eastAsia="zh-CN"/>
        </w:rPr>
      </w:pPr>
      <w:r>
        <w:rPr>
          <w:rFonts w:hint="eastAsia" w:ascii="宋体" w:hAnsi="宋体" w:cs="宋体"/>
          <w:color w:val="auto"/>
          <w:sz w:val="24"/>
          <w:szCs w:val="24"/>
        </w:rPr>
        <w:t>2.</w:t>
      </w:r>
      <w:r>
        <w:rPr>
          <w:rFonts w:hint="eastAsia" w:ascii="宋体" w:hAnsi="宋体" w:cs="宋体"/>
          <w:color w:val="auto"/>
          <w:sz w:val="24"/>
          <w:szCs w:val="24"/>
          <w:u w:val="single"/>
        </w:rPr>
        <w:t>（标的名称）</w:t>
      </w:r>
      <w:r>
        <w:rPr>
          <w:rFonts w:hint="eastAsia" w:ascii="宋体" w:hAnsi="宋体" w:cs="宋体"/>
          <w:i/>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（供应商填写磋商文件中明确的所属行业）</w:t>
      </w:r>
      <w:r>
        <w:rPr>
          <w:rFonts w:hint="eastAsia" w:ascii="宋体" w:hAnsi="宋体" w:cs="宋体"/>
          <w:color w:val="auto"/>
          <w:sz w:val="24"/>
          <w:szCs w:val="24"/>
        </w:rPr>
        <w:t>行业</w:t>
      </w:r>
      <w:r>
        <w:rPr>
          <w:rFonts w:hint="eastAsia" w:ascii="宋体" w:hAnsi="宋体" w:cs="宋体"/>
          <w:color w:val="auto"/>
          <w:sz w:val="24"/>
          <w:szCs w:val="24"/>
          <w:lang w:eastAsia="zh-CN"/>
        </w:rPr>
        <w:t>；</w:t>
      </w:r>
      <w:r>
        <w:rPr>
          <w:rFonts w:hint="eastAsia" w:ascii="宋体" w:hAnsi="宋体" w:cs="宋体"/>
          <w:color w:val="auto"/>
          <w:sz w:val="24"/>
          <w:szCs w:val="24"/>
        </w:rPr>
        <w:t>承接企业为</w:t>
      </w:r>
      <w:r>
        <w:rPr>
          <w:rFonts w:hint="eastAsia" w:ascii="宋体" w:hAnsi="宋体" w:cs="宋体"/>
          <w:color w:val="auto"/>
          <w:sz w:val="24"/>
          <w:szCs w:val="24"/>
          <w:u w:val="single"/>
        </w:rPr>
        <w:t>（企业名称）</w:t>
      </w:r>
      <w:r>
        <w:rPr>
          <w:rFonts w:hint="eastAsia" w:ascii="宋体" w:hAnsi="宋体" w:cs="宋体"/>
          <w:color w:val="auto"/>
          <w:sz w:val="24"/>
          <w:szCs w:val="24"/>
        </w:rPr>
        <w:t>，，属于</w:t>
      </w:r>
      <w:r>
        <w:rPr>
          <w:rFonts w:hint="eastAsia" w:ascii="宋体" w:hAnsi="宋体" w:cs="宋体"/>
          <w:color w:val="auto"/>
          <w:sz w:val="24"/>
          <w:szCs w:val="24"/>
          <w:u w:val="single"/>
        </w:rPr>
        <w:t>（□中型企业 □小型企业 □微型企业）</w:t>
      </w:r>
      <w:r>
        <w:rPr>
          <w:rFonts w:hint="eastAsia" w:ascii="宋体" w:hAnsi="宋体" w:cs="宋体"/>
          <w:color w:val="auto"/>
          <w:sz w:val="24"/>
          <w:szCs w:val="24"/>
          <w:u w:val="single"/>
          <w:lang w:eastAsia="zh-CN"/>
        </w:rPr>
        <w:t>；</w:t>
      </w:r>
    </w:p>
    <w:p w14:paraId="2F6A77F0">
      <w:pPr>
        <w:shd w:val="clear" w:color="auto" w:fill="FFFFFF" w:themeFill="background1"/>
        <w:spacing w:line="480" w:lineRule="exact"/>
        <w:ind w:firstLine="480"/>
        <w:rPr>
          <w:rFonts w:ascii="宋体" w:hAnsi="宋体" w:cs="宋体"/>
          <w:color w:val="auto"/>
          <w:sz w:val="24"/>
          <w:szCs w:val="24"/>
        </w:rPr>
      </w:pPr>
      <w:r>
        <w:rPr>
          <w:rFonts w:hint="eastAsia" w:ascii="宋体" w:hAnsi="宋体" w:cs="宋体"/>
          <w:color w:val="auto"/>
          <w:sz w:val="24"/>
          <w:szCs w:val="24"/>
        </w:rPr>
        <w:t>……</w:t>
      </w:r>
    </w:p>
    <w:p w14:paraId="3B3B3A45">
      <w:pPr>
        <w:shd w:val="clear" w:color="auto" w:fill="FFFFFF" w:themeFill="background1"/>
        <w:spacing w:line="480" w:lineRule="exact"/>
        <w:ind w:firstLine="480"/>
        <w:rPr>
          <w:rFonts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2343081D">
      <w:pPr>
        <w:shd w:val="clear" w:color="auto" w:fill="FFFFFF" w:themeFill="background1"/>
        <w:spacing w:line="480" w:lineRule="exact"/>
        <w:ind w:firstLine="480"/>
        <w:rPr>
          <w:rFonts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42D5D079">
      <w:pPr>
        <w:shd w:val="clear" w:color="auto" w:fill="FFFFFF" w:themeFill="background1"/>
        <w:spacing w:line="480" w:lineRule="exact"/>
        <w:ind w:firstLine="480"/>
        <w:jc w:val="right"/>
        <w:rPr>
          <w:rFonts w:ascii="宋体" w:hAnsi="宋体" w:cs="宋体"/>
          <w:color w:val="auto"/>
          <w:sz w:val="24"/>
          <w:szCs w:val="24"/>
        </w:rPr>
      </w:pPr>
      <w:r>
        <w:rPr>
          <w:rFonts w:hint="eastAsia" w:ascii="宋体" w:hAnsi="宋体" w:cs="宋体"/>
          <w:color w:val="auto"/>
          <w:sz w:val="24"/>
          <w:szCs w:val="24"/>
        </w:rPr>
        <w:t>企业名称（加盖CA电子公章）：</w:t>
      </w:r>
    </w:p>
    <w:p w14:paraId="7600465D">
      <w:pPr>
        <w:shd w:val="clear" w:color="auto" w:fill="FFFFFF" w:themeFill="background1"/>
        <w:spacing w:line="480" w:lineRule="exact"/>
        <w:ind w:firstLine="6960"/>
        <w:rPr>
          <w:rFonts w:ascii="宋体" w:hAnsi="宋体" w:cs="宋体"/>
          <w:color w:val="auto"/>
          <w:sz w:val="24"/>
          <w:szCs w:val="24"/>
        </w:rPr>
      </w:pPr>
      <w:r>
        <w:rPr>
          <w:rFonts w:hint="eastAsia" w:ascii="宋体" w:hAnsi="宋体" w:cs="宋体"/>
          <w:color w:val="auto"/>
          <w:sz w:val="24"/>
          <w:szCs w:val="24"/>
        </w:rPr>
        <w:t>日  期：</w:t>
      </w:r>
    </w:p>
    <w:p w14:paraId="580893D1">
      <w:pPr>
        <w:spacing w:line="400" w:lineRule="exact"/>
        <w:ind w:firstLine="480"/>
        <w:rPr>
          <w:rFonts w:ascii="宋体" w:hAnsi="宋体" w:cs="宋体"/>
          <w:color w:val="auto"/>
          <w:sz w:val="24"/>
          <w:szCs w:val="24"/>
        </w:rPr>
      </w:pPr>
      <w:r>
        <w:rPr>
          <w:rFonts w:hint="eastAsia" w:ascii="宋体" w:hAnsi="宋体" w:cs="宋体"/>
          <w:color w:val="auto"/>
          <w:sz w:val="24"/>
          <w:szCs w:val="24"/>
        </w:rPr>
        <w:t>备注：</w:t>
      </w:r>
    </w:p>
    <w:p w14:paraId="50870CDB">
      <w:pPr>
        <w:tabs>
          <w:tab w:val="left" w:pos="5580"/>
        </w:tabs>
        <w:spacing w:line="360" w:lineRule="auto"/>
        <w:ind w:firstLine="480"/>
        <w:rPr>
          <w:rFonts w:ascii="宋体" w:hAnsi="宋体" w:cs="宋体"/>
          <w:color w:val="auto"/>
          <w:sz w:val="24"/>
          <w:szCs w:val="24"/>
        </w:rPr>
      </w:pPr>
      <w:r>
        <w:rPr>
          <w:rFonts w:hint="eastAsia" w:ascii="宋体" w:hAnsi="宋体" w:cs="宋体"/>
          <w:color w:val="auto"/>
          <w:sz w:val="24"/>
          <w:szCs w:val="24"/>
        </w:rPr>
        <w:t>对照《工业和信息化部、国家统计局、国家发展和改革委员会、财政部关于印发中小企业划型标准规定的通知》(工信部联企业[2011]300号)的规定，投标人自行勾选制造商的企业规模类型。（工信部网址：https://baosong.miit.gov.cn/ScaleTest）</w:t>
      </w:r>
    </w:p>
    <w:p w14:paraId="4FDFA155">
      <w:pPr>
        <w:pStyle w:val="278"/>
        <w:shd w:val="clear" w:color="auto" w:fill="FFFFFF" w:themeFill="background1"/>
        <w:spacing w:before="151" w:after="151" w:line="600" w:lineRule="exact"/>
        <w:ind w:firstLine="480"/>
        <w:rPr>
          <w:rFonts w:ascii="宋体" w:hAnsi="宋体" w:cs="宋体"/>
          <w:color w:val="auto"/>
          <w:sz w:val="32"/>
          <w:szCs w:val="32"/>
        </w:rPr>
      </w:pPr>
    </w:p>
    <w:p w14:paraId="76305D76">
      <w:pPr>
        <w:pStyle w:val="278"/>
        <w:shd w:val="clear" w:color="auto" w:fill="FFFFFF" w:themeFill="background1"/>
        <w:spacing w:before="151" w:after="151" w:line="600" w:lineRule="exact"/>
        <w:ind w:firstLine="480"/>
        <w:rPr>
          <w:rFonts w:ascii="宋体" w:hAnsi="宋体" w:cs="宋体"/>
          <w:color w:val="auto"/>
          <w:sz w:val="32"/>
          <w:szCs w:val="32"/>
        </w:rPr>
      </w:pPr>
    </w:p>
    <w:p w14:paraId="1FF78268">
      <w:pPr>
        <w:pStyle w:val="278"/>
        <w:shd w:val="clear" w:color="auto" w:fill="FFFFFF" w:themeFill="background1"/>
        <w:spacing w:before="151" w:after="151" w:line="600" w:lineRule="exact"/>
        <w:ind w:firstLine="480"/>
        <w:rPr>
          <w:rFonts w:ascii="宋体" w:hAnsi="宋体" w:cs="宋体"/>
          <w:color w:val="auto"/>
          <w:sz w:val="32"/>
          <w:szCs w:val="32"/>
        </w:rPr>
      </w:pPr>
    </w:p>
    <w:p w14:paraId="259E1727">
      <w:pPr>
        <w:pStyle w:val="278"/>
        <w:shd w:val="clear" w:color="auto" w:fill="FFFFFF" w:themeFill="background1"/>
        <w:spacing w:before="151" w:after="151" w:line="600" w:lineRule="exact"/>
        <w:rPr>
          <w:rFonts w:ascii="宋体" w:hAnsi="宋体" w:cs="宋体"/>
          <w:color w:val="auto"/>
          <w:sz w:val="32"/>
          <w:szCs w:val="32"/>
        </w:rPr>
      </w:pPr>
    </w:p>
    <w:p w14:paraId="0094CA1B">
      <w:pPr>
        <w:pStyle w:val="278"/>
        <w:shd w:val="clear" w:color="auto" w:fill="FFFFFF" w:themeFill="background1"/>
        <w:spacing w:before="151" w:after="151" w:line="600" w:lineRule="exact"/>
        <w:ind w:firstLine="480"/>
        <w:rPr>
          <w:rFonts w:ascii="宋体" w:hAnsi="宋体" w:cs="宋体"/>
          <w:color w:val="auto"/>
          <w:sz w:val="32"/>
          <w:szCs w:val="32"/>
        </w:rPr>
      </w:pPr>
      <w:r>
        <w:rPr>
          <w:rFonts w:hint="eastAsia" w:ascii="宋体" w:hAnsi="宋体" w:cs="宋体"/>
          <w:color w:val="auto"/>
          <w:sz w:val="32"/>
          <w:szCs w:val="32"/>
        </w:rPr>
        <w:t>残疾人福利性单位声明函</w:t>
      </w:r>
    </w:p>
    <w:p w14:paraId="7AD9CB92">
      <w:pPr>
        <w:pStyle w:val="280"/>
        <w:shd w:val="clear" w:color="auto" w:fill="FFFFFF" w:themeFill="background1"/>
        <w:spacing w:line="588" w:lineRule="exact"/>
        <w:rPr>
          <w:rFonts w:ascii="宋体" w:hAnsi="宋体" w:cs="宋体"/>
          <w:b/>
          <w:color w:val="auto"/>
          <w:spacing w:val="6"/>
          <w:sz w:val="30"/>
          <w:szCs w:val="30"/>
        </w:rPr>
      </w:pPr>
    </w:p>
    <w:p w14:paraId="631C8D90">
      <w:pPr>
        <w:pStyle w:val="278"/>
        <w:shd w:val="clear" w:color="auto" w:fill="FFFFFF" w:themeFill="background1"/>
        <w:spacing w:line="500" w:lineRule="exact"/>
        <w:ind w:firstLine="480"/>
        <w:rPr>
          <w:rFonts w:ascii="宋体" w:hAnsi="宋体" w:cs="宋体"/>
          <w:color w:val="auto"/>
          <w:sz w:val="24"/>
        </w:rPr>
      </w:pPr>
      <w:r>
        <w:rPr>
          <w:rFonts w:hint="eastAsia" w:ascii="宋体" w:hAnsi="宋体" w:cs="宋体"/>
          <w:color w:val="auto"/>
          <w:sz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rPr>
        <w:t>（</w:t>
      </w:r>
      <w:r>
        <w:rPr>
          <w:rFonts w:hint="eastAsia" w:ascii="宋体" w:hAnsi="宋体" w:cs="宋体"/>
          <w:color w:val="auto"/>
          <w:sz w:val="24"/>
          <w:szCs w:val="24"/>
          <w:u w:val="single"/>
        </w:rPr>
        <w:t>单位名称）</w:t>
      </w:r>
      <w:r>
        <w:rPr>
          <w:rFonts w:hint="eastAsia" w:ascii="宋体" w:hAnsi="宋体" w:cs="宋体"/>
          <w:color w:val="auto"/>
          <w:sz w:val="24"/>
        </w:rPr>
        <w:t>的</w:t>
      </w:r>
      <w:r>
        <w:rPr>
          <w:rFonts w:hint="eastAsia" w:ascii="宋体" w:hAnsi="宋体" w:cs="宋体"/>
          <w:color w:val="auto"/>
          <w:sz w:val="24"/>
          <w:u w:val="single"/>
        </w:rPr>
        <w:t xml:space="preserve">（项目名称） </w:t>
      </w:r>
      <w:r>
        <w:rPr>
          <w:rFonts w:hint="eastAsia" w:ascii="宋体" w:hAnsi="宋体" w:cs="宋体"/>
          <w:color w:val="auto"/>
          <w:sz w:val="24"/>
        </w:rPr>
        <w:t>采购活动提供本单位制造的货物（由本单位承担工程/提供服务），或者提供其他残疾人福利性单位制造的货物（不包括使用非残疾人福利性单位注册商标的货物）。</w:t>
      </w:r>
    </w:p>
    <w:p w14:paraId="6AD149F7">
      <w:pPr>
        <w:pStyle w:val="278"/>
        <w:shd w:val="clear" w:color="auto" w:fill="FFFFFF" w:themeFill="background1"/>
        <w:spacing w:line="500" w:lineRule="exact"/>
        <w:ind w:firstLine="480"/>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04C8A9A6">
      <w:pPr>
        <w:pStyle w:val="281"/>
        <w:shd w:val="clear" w:color="auto" w:fill="FFFFFF" w:themeFill="background1"/>
        <w:spacing w:line="500" w:lineRule="exact"/>
        <w:jc w:val="left"/>
        <w:rPr>
          <w:rFonts w:ascii="宋体" w:hAnsi="宋体" w:cs="宋体"/>
          <w:color w:val="auto"/>
          <w:sz w:val="24"/>
        </w:rPr>
      </w:pPr>
    </w:p>
    <w:p w14:paraId="068BF6DE">
      <w:pPr>
        <w:pStyle w:val="281"/>
        <w:shd w:val="clear" w:color="auto" w:fill="FFFFFF" w:themeFill="background1"/>
        <w:spacing w:line="500" w:lineRule="exact"/>
        <w:ind w:firstLine="480"/>
        <w:jc w:val="left"/>
        <w:rPr>
          <w:rFonts w:ascii="宋体" w:hAnsi="宋体" w:cs="宋体"/>
          <w:color w:val="auto"/>
          <w:sz w:val="24"/>
        </w:rPr>
      </w:pPr>
      <w:r>
        <w:rPr>
          <w:rFonts w:hint="eastAsia" w:ascii="宋体" w:hAnsi="宋体" w:cs="宋体"/>
          <w:color w:val="auto"/>
          <w:sz w:val="24"/>
        </w:rPr>
        <w:t>单位名称：</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color w:val="auto"/>
          <w:sz w:val="24"/>
          <w:szCs w:val="24"/>
        </w:rPr>
        <w:t>盖CA电子公章</w:t>
      </w:r>
      <w:r>
        <w:rPr>
          <w:rFonts w:hint="eastAsia" w:ascii="宋体" w:hAnsi="宋体" w:cs="宋体"/>
          <w:color w:val="auto"/>
          <w:sz w:val="24"/>
        </w:rPr>
        <w:t>）</w:t>
      </w:r>
    </w:p>
    <w:p w14:paraId="11CF7DD3">
      <w:pPr>
        <w:pStyle w:val="279"/>
        <w:shd w:val="clear" w:color="auto" w:fill="FFFFFF" w:themeFill="background1"/>
        <w:spacing w:line="500" w:lineRule="exact"/>
        <w:ind w:firstLine="480"/>
        <w:rPr>
          <w:rFonts w:ascii="宋体" w:hAnsi="宋体" w:eastAsia="宋体" w:cs="宋体"/>
          <w:b w:val="0"/>
          <w:color w:val="auto"/>
          <w:sz w:val="24"/>
          <w:szCs w:val="20"/>
        </w:rPr>
      </w:pPr>
      <w:r>
        <w:rPr>
          <w:rFonts w:hint="eastAsia" w:ascii="宋体" w:hAnsi="宋体" w:eastAsia="宋体" w:cs="宋体"/>
          <w:b w:val="0"/>
          <w:color w:val="auto"/>
          <w:sz w:val="24"/>
          <w:szCs w:val="20"/>
        </w:rPr>
        <w:t>日期：  年  月  日</w:t>
      </w:r>
    </w:p>
    <w:p w14:paraId="7ECCB723">
      <w:pPr>
        <w:pStyle w:val="282"/>
        <w:shd w:val="clear" w:color="auto" w:fill="FFFFFF" w:themeFill="background1"/>
        <w:spacing w:line="500" w:lineRule="exact"/>
        <w:ind w:left="357" w:firstLine="0"/>
        <w:rPr>
          <w:rFonts w:ascii="宋体" w:hAnsi="宋体" w:cs="宋体"/>
          <w:color w:val="auto"/>
          <w:sz w:val="24"/>
          <w:szCs w:val="24"/>
        </w:rPr>
      </w:pPr>
    </w:p>
    <w:p w14:paraId="0E5DE5F4">
      <w:pPr>
        <w:pStyle w:val="278"/>
        <w:shd w:val="clear" w:color="auto" w:fill="FFFFFF" w:themeFill="background1"/>
        <w:spacing w:before="151" w:after="151" w:line="240" w:lineRule="atLeast"/>
        <w:ind w:firstLine="445"/>
        <w:rPr>
          <w:rFonts w:ascii="宋体" w:hAnsi="宋体" w:cs="宋体"/>
          <w:color w:val="auto"/>
          <w:sz w:val="24"/>
          <w:szCs w:val="24"/>
        </w:rPr>
      </w:pPr>
      <w:r>
        <w:rPr>
          <w:rFonts w:hint="eastAsia" w:ascii="宋体" w:hAnsi="宋体" w:cs="宋体"/>
          <w:color w:val="auto"/>
          <w:sz w:val="24"/>
          <w:szCs w:val="24"/>
        </w:rPr>
        <w:t>备注：1.非残疾人福利性单位不需提供此函。</w:t>
      </w:r>
    </w:p>
    <w:p w14:paraId="5DEA3A0C">
      <w:pPr>
        <w:rPr>
          <w:color w:val="auto"/>
        </w:rPr>
      </w:pPr>
      <w:r>
        <w:rPr>
          <w:rFonts w:hint="eastAsia" w:ascii="宋体" w:hAnsi="宋体" w:cs="宋体"/>
          <w:color w:val="auto"/>
          <w:sz w:val="24"/>
          <w:szCs w:val="21"/>
        </w:rPr>
        <w:t>2.成交供应商为残疾人福利单位的，此声明函将随成交结果同时公告，接受社会监督</w:t>
      </w:r>
    </w:p>
    <w:p w14:paraId="64039381">
      <w:pPr>
        <w:rPr>
          <w:rFonts w:eastAsia="黑体"/>
          <w:iCs/>
          <w:color w:val="auto"/>
          <w:sz w:val="32"/>
          <w:szCs w:val="32"/>
        </w:rPr>
      </w:pPr>
    </w:p>
    <w:p w14:paraId="664D479E">
      <w:pPr>
        <w:rPr>
          <w:rFonts w:eastAsia="黑体"/>
          <w:iCs/>
          <w:color w:val="auto"/>
          <w:sz w:val="32"/>
          <w:szCs w:val="32"/>
        </w:rPr>
      </w:pPr>
    </w:p>
    <w:bookmarkEnd w:id="227"/>
    <w:p w14:paraId="73A4DEB1">
      <w:pPr>
        <w:rPr>
          <w:rFonts w:eastAsia="黑体"/>
          <w:iCs/>
          <w:color w:val="auto"/>
          <w:sz w:val="32"/>
          <w:szCs w:val="32"/>
        </w:rPr>
      </w:pPr>
    </w:p>
    <w:p w14:paraId="1D546F91">
      <w:pPr>
        <w:rPr>
          <w:rFonts w:eastAsia="黑体"/>
          <w:iCs/>
          <w:color w:val="auto"/>
          <w:sz w:val="32"/>
          <w:szCs w:val="32"/>
        </w:rPr>
      </w:pPr>
    </w:p>
    <w:p w14:paraId="12903AED">
      <w:pPr>
        <w:rPr>
          <w:rFonts w:eastAsia="黑体"/>
          <w:iCs/>
          <w:color w:val="auto"/>
          <w:sz w:val="32"/>
          <w:szCs w:val="32"/>
        </w:rPr>
      </w:pPr>
    </w:p>
    <w:p w14:paraId="60D30E86">
      <w:pPr>
        <w:rPr>
          <w:rFonts w:eastAsia="黑体"/>
          <w:iCs/>
          <w:color w:val="auto"/>
          <w:sz w:val="32"/>
          <w:szCs w:val="32"/>
        </w:rPr>
        <w:sectPr>
          <w:pgSz w:w="11906" w:h="16838"/>
          <w:pgMar w:top="1440" w:right="1080" w:bottom="1440" w:left="1080" w:header="851" w:footer="907" w:gutter="0"/>
          <w:cols w:space="1701" w:num="1"/>
          <w:docGrid w:linePitch="360" w:charSpace="0"/>
        </w:sectPr>
      </w:pPr>
    </w:p>
    <w:p w14:paraId="6C342947">
      <w:pPr>
        <w:keepNext/>
        <w:keepLines/>
        <w:spacing w:before="145" w:after="145" w:line="360" w:lineRule="auto"/>
        <w:outlineLvl w:val="1"/>
        <w:rPr>
          <w:rFonts w:eastAsia="黑体"/>
          <w:b/>
          <w:color w:val="auto"/>
          <w:sz w:val="32"/>
          <w:szCs w:val="32"/>
        </w:rPr>
      </w:pPr>
      <w:r>
        <w:rPr>
          <w:rFonts w:hint="eastAsia" w:eastAsia="黑体"/>
          <w:b/>
          <w:color w:val="auto"/>
          <w:sz w:val="32"/>
          <w:szCs w:val="32"/>
        </w:rPr>
        <w:t>五、开标一览表</w:t>
      </w:r>
    </w:p>
    <w:p w14:paraId="143A1FDE">
      <w:pPr>
        <w:ind w:firstLine="480"/>
        <w:rPr>
          <w:color w:val="auto"/>
          <w:sz w:val="24"/>
          <w:szCs w:val="24"/>
        </w:rPr>
      </w:pPr>
      <w:r>
        <w:rPr>
          <w:rFonts w:hint="eastAsia"/>
          <w:color w:val="auto"/>
          <w:sz w:val="24"/>
          <w:szCs w:val="24"/>
        </w:rPr>
        <w:t>投标人全称（加盖CA电子签章）：</w:t>
      </w:r>
    </w:p>
    <w:p w14:paraId="2AE1FD20">
      <w:pPr>
        <w:ind w:firstLine="480"/>
        <w:rPr>
          <w:rFonts w:hint="eastAsia" w:eastAsia="宋体"/>
          <w:color w:val="auto"/>
          <w:sz w:val="24"/>
          <w:szCs w:val="24"/>
          <w:lang w:eastAsia="zh-CN"/>
        </w:rPr>
      </w:pPr>
      <w:r>
        <w:rPr>
          <w:rFonts w:hint="eastAsia"/>
          <w:color w:val="auto"/>
          <w:sz w:val="24"/>
          <w:szCs w:val="24"/>
        </w:rPr>
        <w:t>项目名称：</w:t>
      </w:r>
      <w:r>
        <w:rPr>
          <w:rFonts w:hint="eastAsia"/>
          <w:color w:val="auto"/>
          <w:sz w:val="24"/>
          <w:szCs w:val="24"/>
          <w:lang w:eastAsia="zh-CN"/>
        </w:rPr>
        <w:t>“泗洪县智慧城管平台提升行动”维保服务采购项目</w:t>
      </w:r>
    </w:p>
    <w:p w14:paraId="15AB7FBD">
      <w:pPr>
        <w:spacing w:line="360" w:lineRule="auto"/>
        <w:ind w:firstLine="480"/>
        <w:rPr>
          <w:rFonts w:hint="eastAsia" w:eastAsia="宋体"/>
          <w:color w:val="auto"/>
          <w:sz w:val="24"/>
          <w:szCs w:val="24"/>
          <w:lang w:eastAsia="zh-CN"/>
        </w:rPr>
      </w:pPr>
      <w:r>
        <w:rPr>
          <w:rFonts w:hint="eastAsia"/>
          <w:color w:val="auto"/>
          <w:sz w:val="24"/>
          <w:szCs w:val="24"/>
        </w:rPr>
        <w:t>项目编号</w:t>
      </w:r>
      <w:r>
        <w:rPr>
          <w:rFonts w:hint="eastAsia"/>
          <w:color w:val="auto"/>
          <w:sz w:val="24"/>
          <w:szCs w:val="24"/>
          <w:lang w:eastAsia="zh-CN"/>
        </w:rPr>
        <w:t>：</w:t>
      </w:r>
      <w:r>
        <w:rPr>
          <w:rFonts w:ascii="Segoe UI" w:hAnsi="Segoe UI" w:eastAsia="Segoe UI" w:cs="Segoe UI"/>
          <w:i w:val="0"/>
          <w:iCs w:val="0"/>
          <w:caps w:val="0"/>
          <w:spacing w:val="0"/>
          <w:sz w:val="21"/>
          <w:szCs w:val="21"/>
          <w:shd w:val="clear" w:color="auto" w:fill="FFFFFF"/>
        </w:rPr>
        <w:t>JSZC-321324-SQMB-C2026-0001</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DED1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4D1A62BA">
            <w:pPr>
              <w:jc w:val="center"/>
              <w:rPr>
                <w:rFonts w:hint="eastAsia" w:eastAsia="宋体"/>
                <w:color w:val="auto"/>
                <w:sz w:val="24"/>
                <w:szCs w:val="24"/>
                <w:lang w:eastAsia="zh-CN"/>
              </w:rPr>
            </w:pPr>
            <w:r>
              <w:rPr>
                <w:rFonts w:ascii="宋体" w:hAnsi="宋体" w:cs="宋体"/>
                <w:color w:val="auto"/>
                <w:sz w:val="24"/>
                <w:szCs w:val="24"/>
              </w:rPr>
              <w:t>投标报价</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总价</w:t>
            </w:r>
            <w:r>
              <w:rPr>
                <w:rFonts w:hint="eastAsia" w:ascii="宋体" w:hAnsi="宋体" w:cs="宋体"/>
                <w:color w:val="auto"/>
                <w:sz w:val="24"/>
                <w:szCs w:val="24"/>
                <w:lang w:eastAsia="zh-CN"/>
              </w:rPr>
              <w:t>）</w:t>
            </w:r>
          </w:p>
        </w:tc>
      </w:tr>
      <w:tr w14:paraId="18510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27760F5D">
            <w:pPr>
              <w:pStyle w:val="213"/>
              <w:spacing w:before="0" w:after="0" w:line="500" w:lineRule="exact"/>
              <w:ind w:firstLine="0"/>
              <w:rPr>
                <w:rFonts w:ascii="Times New Roman" w:hAnsi="Times New Roman"/>
                <w:color w:val="auto"/>
                <w:szCs w:val="21"/>
              </w:rPr>
            </w:pPr>
            <w:r>
              <w:rPr>
                <w:rFonts w:hint="eastAsia" w:ascii="Times New Roman" w:hAnsi="Times New Roman" w:cs="宋体"/>
                <w:color w:val="auto"/>
              </w:rPr>
              <w:t>小写：                             （人民币：</w:t>
            </w:r>
            <w:r>
              <w:rPr>
                <w:rFonts w:hint="eastAsia" w:ascii="Times New Roman" w:hAnsi="Times New Roman" w:cs="宋体"/>
                <w:color w:val="auto"/>
                <w:lang w:val="en-US" w:eastAsia="zh-CN"/>
              </w:rPr>
              <w:t xml:space="preserve">     元</w:t>
            </w:r>
            <w:r>
              <w:rPr>
                <w:rFonts w:hint="eastAsia" w:ascii="Times New Roman" w:hAnsi="Times New Roman" w:cs="宋体"/>
                <w:color w:val="auto"/>
              </w:rPr>
              <w:t>）</w:t>
            </w:r>
          </w:p>
        </w:tc>
      </w:tr>
      <w:tr w14:paraId="35FCA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2AE42309">
            <w:pPr>
              <w:pStyle w:val="213"/>
              <w:spacing w:before="0" w:after="0" w:line="500" w:lineRule="exact"/>
              <w:ind w:firstLine="0"/>
              <w:rPr>
                <w:rFonts w:ascii="Times New Roman" w:hAnsi="Times New Roman" w:cs="宋体"/>
                <w:color w:val="auto"/>
              </w:rPr>
            </w:pPr>
            <w:r>
              <w:rPr>
                <w:rFonts w:hint="eastAsia" w:ascii="Times New Roman" w:hAnsi="Times New Roman" w:cs="宋体"/>
                <w:color w:val="auto"/>
              </w:rPr>
              <w:t>备注：</w:t>
            </w:r>
          </w:p>
        </w:tc>
      </w:tr>
    </w:tbl>
    <w:p w14:paraId="3FAD7BB2">
      <w:pPr>
        <w:rPr>
          <w:color w:val="auto"/>
          <w:sz w:val="24"/>
          <w:szCs w:val="24"/>
        </w:rPr>
      </w:pPr>
    </w:p>
    <w:p w14:paraId="323C1132">
      <w:pPr>
        <w:tabs>
          <w:tab w:val="left" w:pos="360"/>
        </w:tabs>
        <w:ind w:firstLine="480"/>
        <w:rPr>
          <w:color w:val="auto"/>
          <w:sz w:val="24"/>
          <w:szCs w:val="24"/>
          <w:u w:val="single"/>
        </w:rPr>
      </w:pPr>
      <w:r>
        <w:rPr>
          <w:rFonts w:hint="eastAsia"/>
          <w:color w:val="auto"/>
          <w:sz w:val="24"/>
          <w:szCs w:val="24"/>
        </w:rPr>
        <w:t xml:space="preserve">                                             日期：  </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rPr>
        <w:t>日</w:t>
      </w:r>
    </w:p>
    <w:p w14:paraId="538E99C2">
      <w:pPr>
        <w:spacing w:line="460" w:lineRule="exact"/>
        <w:rPr>
          <w:bCs/>
          <w:color w:val="auto"/>
          <w:sz w:val="24"/>
          <w:szCs w:val="21"/>
        </w:rPr>
      </w:pPr>
    </w:p>
    <w:p w14:paraId="633BE19F">
      <w:pPr>
        <w:tabs>
          <w:tab w:val="left" w:pos="360"/>
        </w:tabs>
        <w:ind w:firstLine="480"/>
        <w:rPr>
          <w:color w:val="auto"/>
          <w:sz w:val="24"/>
          <w:szCs w:val="24"/>
          <w:u w:val="single"/>
        </w:rPr>
      </w:pPr>
    </w:p>
    <w:p w14:paraId="6B7E6190">
      <w:pPr>
        <w:tabs>
          <w:tab w:val="left" w:pos="360"/>
        </w:tabs>
        <w:ind w:firstLine="480"/>
        <w:rPr>
          <w:color w:val="auto"/>
          <w:sz w:val="24"/>
          <w:szCs w:val="24"/>
        </w:rPr>
      </w:pPr>
    </w:p>
    <w:p w14:paraId="0066EF02">
      <w:pPr>
        <w:ind w:firstLine="420"/>
        <w:rPr>
          <w:i/>
          <w:color w:val="auto"/>
          <w:sz w:val="24"/>
          <w:szCs w:val="24"/>
          <w:u w:val="single"/>
        </w:rPr>
      </w:pPr>
    </w:p>
    <w:p w14:paraId="48E5EF9E">
      <w:pPr>
        <w:rPr>
          <w:color w:val="auto"/>
          <w:szCs w:val="21"/>
        </w:rPr>
      </w:pPr>
    </w:p>
    <w:p w14:paraId="4770F7DF">
      <w:pPr>
        <w:keepNext/>
        <w:keepLines/>
        <w:spacing w:before="145" w:after="145" w:line="360" w:lineRule="auto"/>
        <w:ind w:firstLine="499"/>
        <w:outlineLvl w:val="1"/>
        <w:rPr>
          <w:b/>
          <w:bCs/>
          <w:color w:val="auto"/>
          <w:sz w:val="32"/>
          <w:szCs w:val="32"/>
        </w:rPr>
      </w:pPr>
      <w:r>
        <w:rPr>
          <w:rFonts w:eastAsia="幼圆" w:cs="Arial"/>
          <w:b/>
          <w:color w:val="auto"/>
          <w:sz w:val="24"/>
          <w:szCs w:val="44"/>
        </w:rPr>
        <w:br w:type="page" w:clear="all"/>
      </w:r>
      <w:r>
        <w:rPr>
          <w:rFonts w:hint="eastAsia" w:eastAsia="黑体"/>
          <w:b/>
          <w:color w:val="auto"/>
          <w:sz w:val="32"/>
          <w:szCs w:val="32"/>
        </w:rPr>
        <w:t>六、报价明细表</w:t>
      </w:r>
    </w:p>
    <w:tbl>
      <w:tblPr>
        <w:tblStyle w:val="4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0036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638176C9">
            <w:pPr>
              <w:spacing w:line="0" w:lineRule="atLeast"/>
              <w:jc w:val="center"/>
              <w:rPr>
                <w:rFonts w:hint="eastAsia" w:ascii="宋体" w:hAnsi="宋体"/>
                <w:sz w:val="24"/>
                <w:szCs w:val="24"/>
                <w:highlight w:val="none"/>
              </w:rPr>
            </w:pPr>
            <w:r>
              <w:rPr>
                <w:rFonts w:hint="eastAsia" w:ascii="宋体" w:hAnsi="宋体"/>
                <w:sz w:val="24"/>
                <w:szCs w:val="24"/>
                <w:highlight w:val="none"/>
              </w:rPr>
              <w:t>序号</w:t>
            </w:r>
          </w:p>
        </w:tc>
        <w:tc>
          <w:tcPr>
            <w:tcW w:w="1274" w:type="dxa"/>
            <w:noWrap w:val="0"/>
            <w:vAlign w:val="center"/>
          </w:tcPr>
          <w:p w14:paraId="27C77A5B">
            <w:pPr>
              <w:spacing w:line="0" w:lineRule="atLeast"/>
              <w:jc w:val="center"/>
              <w:rPr>
                <w:rFonts w:hint="eastAsia" w:ascii="宋体" w:hAnsi="宋体"/>
                <w:sz w:val="24"/>
                <w:szCs w:val="24"/>
                <w:highlight w:val="none"/>
              </w:rPr>
            </w:pPr>
            <w:r>
              <w:rPr>
                <w:rFonts w:hint="eastAsia" w:ascii="宋体" w:hAnsi="宋体"/>
                <w:sz w:val="24"/>
                <w:szCs w:val="24"/>
                <w:highlight w:val="none"/>
              </w:rPr>
              <w:t>1</w:t>
            </w:r>
          </w:p>
        </w:tc>
        <w:tc>
          <w:tcPr>
            <w:tcW w:w="1288" w:type="dxa"/>
            <w:noWrap w:val="0"/>
            <w:vAlign w:val="center"/>
          </w:tcPr>
          <w:p w14:paraId="0BAE1380">
            <w:pPr>
              <w:spacing w:line="0" w:lineRule="atLeast"/>
              <w:jc w:val="center"/>
              <w:rPr>
                <w:rFonts w:hint="eastAsia" w:ascii="宋体" w:hAnsi="宋体"/>
                <w:sz w:val="24"/>
                <w:szCs w:val="24"/>
                <w:highlight w:val="none"/>
              </w:rPr>
            </w:pPr>
            <w:r>
              <w:rPr>
                <w:rFonts w:hint="eastAsia" w:ascii="宋体" w:hAnsi="宋体"/>
                <w:sz w:val="24"/>
                <w:szCs w:val="24"/>
                <w:highlight w:val="none"/>
              </w:rPr>
              <w:t>2</w:t>
            </w:r>
          </w:p>
        </w:tc>
        <w:tc>
          <w:tcPr>
            <w:tcW w:w="924" w:type="dxa"/>
            <w:noWrap w:val="0"/>
            <w:vAlign w:val="center"/>
          </w:tcPr>
          <w:p w14:paraId="21F2DACE">
            <w:pPr>
              <w:spacing w:line="0" w:lineRule="atLeast"/>
              <w:jc w:val="center"/>
              <w:rPr>
                <w:rFonts w:hint="eastAsia" w:ascii="宋体" w:hAnsi="宋体"/>
                <w:sz w:val="24"/>
                <w:szCs w:val="24"/>
                <w:highlight w:val="none"/>
              </w:rPr>
            </w:pPr>
            <w:r>
              <w:rPr>
                <w:rFonts w:hint="eastAsia" w:ascii="宋体" w:hAnsi="宋体"/>
                <w:sz w:val="24"/>
                <w:szCs w:val="24"/>
                <w:highlight w:val="none"/>
              </w:rPr>
              <w:t>3</w:t>
            </w:r>
          </w:p>
        </w:tc>
        <w:tc>
          <w:tcPr>
            <w:tcW w:w="1203" w:type="dxa"/>
            <w:noWrap w:val="0"/>
            <w:vAlign w:val="center"/>
          </w:tcPr>
          <w:p w14:paraId="687407FD">
            <w:pPr>
              <w:spacing w:line="0" w:lineRule="atLeast"/>
              <w:jc w:val="center"/>
              <w:rPr>
                <w:rFonts w:hint="eastAsia" w:ascii="宋体" w:hAnsi="宋体"/>
                <w:sz w:val="24"/>
                <w:szCs w:val="24"/>
                <w:highlight w:val="none"/>
              </w:rPr>
            </w:pPr>
            <w:r>
              <w:rPr>
                <w:rFonts w:hint="eastAsia" w:ascii="宋体" w:hAnsi="宋体"/>
                <w:sz w:val="24"/>
                <w:szCs w:val="24"/>
                <w:highlight w:val="none"/>
              </w:rPr>
              <w:t>4</w:t>
            </w:r>
          </w:p>
        </w:tc>
        <w:tc>
          <w:tcPr>
            <w:tcW w:w="1618" w:type="dxa"/>
            <w:noWrap w:val="0"/>
            <w:vAlign w:val="center"/>
          </w:tcPr>
          <w:p w14:paraId="16462494">
            <w:pPr>
              <w:spacing w:line="0" w:lineRule="atLeast"/>
              <w:jc w:val="center"/>
              <w:rPr>
                <w:rFonts w:hint="eastAsia" w:ascii="宋体" w:hAnsi="宋体"/>
                <w:sz w:val="24"/>
                <w:szCs w:val="24"/>
                <w:highlight w:val="none"/>
              </w:rPr>
            </w:pPr>
            <w:r>
              <w:rPr>
                <w:rFonts w:hint="eastAsia" w:ascii="宋体" w:hAnsi="宋体"/>
                <w:sz w:val="24"/>
                <w:szCs w:val="24"/>
                <w:highlight w:val="none"/>
              </w:rPr>
              <w:t>5</w:t>
            </w:r>
          </w:p>
        </w:tc>
        <w:tc>
          <w:tcPr>
            <w:tcW w:w="1798" w:type="dxa"/>
            <w:noWrap w:val="0"/>
            <w:vAlign w:val="center"/>
          </w:tcPr>
          <w:p w14:paraId="1185920F">
            <w:pPr>
              <w:spacing w:line="0" w:lineRule="atLeast"/>
              <w:jc w:val="center"/>
              <w:rPr>
                <w:rFonts w:hint="eastAsia" w:ascii="宋体" w:hAnsi="宋体"/>
                <w:sz w:val="24"/>
                <w:szCs w:val="24"/>
                <w:highlight w:val="none"/>
              </w:rPr>
            </w:pPr>
            <w:r>
              <w:rPr>
                <w:rFonts w:hint="eastAsia" w:ascii="宋体" w:hAnsi="宋体"/>
                <w:sz w:val="24"/>
                <w:szCs w:val="24"/>
                <w:highlight w:val="none"/>
              </w:rPr>
              <w:t>6</w:t>
            </w:r>
          </w:p>
        </w:tc>
      </w:tr>
      <w:tr w14:paraId="7150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3B622442">
            <w:pPr>
              <w:spacing w:line="0" w:lineRule="atLeast"/>
              <w:jc w:val="center"/>
              <w:rPr>
                <w:rFonts w:hint="eastAsia" w:ascii="宋体" w:hAnsi="宋体"/>
                <w:sz w:val="24"/>
                <w:szCs w:val="24"/>
                <w:highlight w:val="none"/>
              </w:rPr>
            </w:pPr>
          </w:p>
        </w:tc>
        <w:tc>
          <w:tcPr>
            <w:tcW w:w="1274" w:type="dxa"/>
            <w:noWrap w:val="0"/>
            <w:vAlign w:val="center"/>
          </w:tcPr>
          <w:p w14:paraId="5D4E2927">
            <w:pPr>
              <w:spacing w:line="0" w:lineRule="atLeast"/>
              <w:jc w:val="center"/>
              <w:rPr>
                <w:rFonts w:hint="eastAsia" w:ascii="宋体" w:hAnsi="宋体"/>
                <w:sz w:val="24"/>
                <w:szCs w:val="24"/>
                <w:highlight w:val="none"/>
              </w:rPr>
            </w:pPr>
            <w:r>
              <w:rPr>
                <w:rFonts w:hint="eastAsia" w:ascii="宋体" w:hAnsi="宋体"/>
                <w:sz w:val="24"/>
                <w:szCs w:val="24"/>
                <w:highlight w:val="none"/>
              </w:rPr>
              <w:t>分项服务名称</w:t>
            </w:r>
          </w:p>
        </w:tc>
        <w:tc>
          <w:tcPr>
            <w:tcW w:w="1288" w:type="dxa"/>
            <w:noWrap w:val="0"/>
            <w:vAlign w:val="center"/>
          </w:tcPr>
          <w:p w14:paraId="521F7C1E">
            <w:pPr>
              <w:spacing w:line="0" w:lineRule="atLeast"/>
              <w:jc w:val="center"/>
              <w:rPr>
                <w:rFonts w:hint="eastAsia" w:ascii="宋体" w:hAnsi="宋体"/>
                <w:sz w:val="24"/>
                <w:szCs w:val="24"/>
                <w:highlight w:val="none"/>
              </w:rPr>
            </w:pPr>
            <w:r>
              <w:rPr>
                <w:rFonts w:hint="eastAsia" w:ascii="宋体" w:hAnsi="宋体"/>
                <w:sz w:val="24"/>
                <w:szCs w:val="24"/>
                <w:highlight w:val="none"/>
              </w:rPr>
              <w:t>交付期</w:t>
            </w:r>
          </w:p>
        </w:tc>
        <w:tc>
          <w:tcPr>
            <w:tcW w:w="924" w:type="dxa"/>
            <w:noWrap w:val="0"/>
            <w:vAlign w:val="center"/>
          </w:tcPr>
          <w:p w14:paraId="76E54A75">
            <w:pPr>
              <w:spacing w:line="0" w:lineRule="atLeast"/>
              <w:jc w:val="center"/>
              <w:rPr>
                <w:rFonts w:hint="eastAsia" w:ascii="宋体" w:hAnsi="宋体"/>
                <w:sz w:val="24"/>
                <w:szCs w:val="24"/>
                <w:highlight w:val="none"/>
              </w:rPr>
            </w:pPr>
            <w:r>
              <w:rPr>
                <w:rFonts w:hint="eastAsia" w:ascii="宋体" w:hAnsi="宋体"/>
                <w:sz w:val="24"/>
                <w:szCs w:val="24"/>
                <w:highlight w:val="none"/>
              </w:rPr>
              <w:t>分项单位</w:t>
            </w:r>
          </w:p>
        </w:tc>
        <w:tc>
          <w:tcPr>
            <w:tcW w:w="1203" w:type="dxa"/>
            <w:noWrap w:val="0"/>
            <w:vAlign w:val="center"/>
          </w:tcPr>
          <w:p w14:paraId="475826FA">
            <w:pPr>
              <w:spacing w:line="0" w:lineRule="atLeast"/>
              <w:jc w:val="center"/>
              <w:rPr>
                <w:rFonts w:hint="eastAsia" w:ascii="宋体" w:hAnsi="宋体"/>
                <w:sz w:val="24"/>
                <w:szCs w:val="24"/>
                <w:highlight w:val="none"/>
              </w:rPr>
            </w:pPr>
            <w:r>
              <w:rPr>
                <w:rFonts w:hint="eastAsia" w:ascii="宋体" w:hAnsi="宋体"/>
                <w:sz w:val="24"/>
                <w:szCs w:val="24"/>
                <w:highlight w:val="none"/>
              </w:rPr>
              <w:t>数量</w:t>
            </w:r>
          </w:p>
        </w:tc>
        <w:tc>
          <w:tcPr>
            <w:tcW w:w="1618" w:type="dxa"/>
            <w:noWrap w:val="0"/>
            <w:vAlign w:val="center"/>
          </w:tcPr>
          <w:p w14:paraId="7B977A6C">
            <w:pPr>
              <w:spacing w:line="0" w:lineRule="atLeast"/>
              <w:jc w:val="center"/>
              <w:rPr>
                <w:rFonts w:hint="eastAsia" w:ascii="宋体" w:hAnsi="宋体"/>
                <w:sz w:val="24"/>
                <w:szCs w:val="24"/>
                <w:highlight w:val="none"/>
              </w:rPr>
            </w:pPr>
            <w:r>
              <w:rPr>
                <w:rFonts w:hint="eastAsia" w:ascii="宋体" w:hAnsi="宋体"/>
                <w:sz w:val="24"/>
                <w:szCs w:val="24"/>
                <w:highlight w:val="none"/>
              </w:rPr>
              <w:t>分项</w:t>
            </w:r>
          </w:p>
          <w:p w14:paraId="195DADAF">
            <w:pPr>
              <w:spacing w:line="0" w:lineRule="atLeast"/>
              <w:jc w:val="center"/>
              <w:rPr>
                <w:rFonts w:hint="eastAsia" w:ascii="宋体" w:hAnsi="宋体"/>
                <w:sz w:val="24"/>
                <w:szCs w:val="24"/>
                <w:highlight w:val="none"/>
              </w:rPr>
            </w:pPr>
            <w:r>
              <w:rPr>
                <w:rFonts w:hint="eastAsia" w:ascii="宋体" w:hAnsi="宋体"/>
                <w:sz w:val="24"/>
                <w:szCs w:val="24"/>
                <w:highlight w:val="none"/>
              </w:rPr>
              <w:t>单价</w:t>
            </w:r>
          </w:p>
        </w:tc>
        <w:tc>
          <w:tcPr>
            <w:tcW w:w="1798" w:type="dxa"/>
            <w:noWrap w:val="0"/>
            <w:vAlign w:val="center"/>
          </w:tcPr>
          <w:p w14:paraId="4FA4C14C">
            <w:pPr>
              <w:spacing w:line="0" w:lineRule="atLeast"/>
              <w:jc w:val="center"/>
              <w:rPr>
                <w:rFonts w:hint="eastAsia" w:ascii="宋体" w:hAnsi="宋体"/>
                <w:sz w:val="24"/>
                <w:szCs w:val="24"/>
                <w:highlight w:val="none"/>
              </w:rPr>
            </w:pPr>
            <w:r>
              <w:rPr>
                <w:rFonts w:hint="eastAsia" w:ascii="宋体" w:hAnsi="宋体"/>
                <w:sz w:val="24"/>
                <w:szCs w:val="24"/>
                <w:highlight w:val="none"/>
              </w:rPr>
              <w:t>分项</w:t>
            </w:r>
          </w:p>
          <w:p w14:paraId="3C446082">
            <w:pPr>
              <w:spacing w:line="0" w:lineRule="atLeast"/>
              <w:jc w:val="center"/>
              <w:rPr>
                <w:rFonts w:hint="eastAsia" w:ascii="宋体" w:hAnsi="宋体"/>
                <w:sz w:val="24"/>
                <w:szCs w:val="24"/>
                <w:highlight w:val="none"/>
              </w:rPr>
            </w:pPr>
            <w:r>
              <w:rPr>
                <w:rFonts w:hint="eastAsia" w:ascii="宋体" w:hAnsi="宋体"/>
                <w:sz w:val="24"/>
                <w:szCs w:val="24"/>
                <w:highlight w:val="none"/>
              </w:rPr>
              <w:t>总价</w:t>
            </w:r>
          </w:p>
        </w:tc>
      </w:tr>
      <w:tr w14:paraId="43FE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51D30BC8">
            <w:pPr>
              <w:spacing w:line="0" w:lineRule="atLeast"/>
              <w:jc w:val="center"/>
              <w:rPr>
                <w:rFonts w:hint="eastAsia" w:ascii="宋体" w:hAnsi="宋体"/>
                <w:sz w:val="24"/>
                <w:szCs w:val="24"/>
                <w:highlight w:val="none"/>
              </w:rPr>
            </w:pPr>
            <w:r>
              <w:rPr>
                <w:rFonts w:hint="eastAsia" w:ascii="宋体" w:hAnsi="宋体"/>
                <w:sz w:val="24"/>
                <w:szCs w:val="24"/>
                <w:highlight w:val="none"/>
              </w:rPr>
              <w:t>1</w:t>
            </w:r>
          </w:p>
        </w:tc>
        <w:tc>
          <w:tcPr>
            <w:tcW w:w="1274" w:type="dxa"/>
            <w:noWrap w:val="0"/>
            <w:vAlign w:val="center"/>
          </w:tcPr>
          <w:p w14:paraId="48D8C99E">
            <w:pPr>
              <w:spacing w:line="0" w:lineRule="atLeast"/>
              <w:jc w:val="center"/>
              <w:rPr>
                <w:rFonts w:hint="eastAsia" w:ascii="宋体" w:hAnsi="宋体"/>
                <w:sz w:val="24"/>
                <w:szCs w:val="24"/>
                <w:highlight w:val="none"/>
              </w:rPr>
            </w:pPr>
          </w:p>
        </w:tc>
        <w:tc>
          <w:tcPr>
            <w:tcW w:w="1288" w:type="dxa"/>
            <w:noWrap w:val="0"/>
            <w:vAlign w:val="center"/>
          </w:tcPr>
          <w:p w14:paraId="28671B97">
            <w:pPr>
              <w:spacing w:line="0" w:lineRule="atLeast"/>
              <w:jc w:val="center"/>
              <w:rPr>
                <w:rFonts w:hint="eastAsia" w:ascii="宋体" w:hAnsi="宋体"/>
                <w:sz w:val="24"/>
                <w:szCs w:val="24"/>
                <w:highlight w:val="none"/>
              </w:rPr>
            </w:pPr>
          </w:p>
        </w:tc>
        <w:tc>
          <w:tcPr>
            <w:tcW w:w="924" w:type="dxa"/>
            <w:noWrap w:val="0"/>
            <w:vAlign w:val="center"/>
          </w:tcPr>
          <w:p w14:paraId="1D142052">
            <w:pPr>
              <w:spacing w:line="0" w:lineRule="atLeast"/>
              <w:jc w:val="center"/>
              <w:rPr>
                <w:rFonts w:hint="eastAsia" w:ascii="宋体" w:hAnsi="宋体"/>
                <w:sz w:val="24"/>
                <w:szCs w:val="24"/>
                <w:highlight w:val="none"/>
              </w:rPr>
            </w:pPr>
          </w:p>
        </w:tc>
        <w:tc>
          <w:tcPr>
            <w:tcW w:w="1203" w:type="dxa"/>
            <w:noWrap w:val="0"/>
            <w:vAlign w:val="center"/>
          </w:tcPr>
          <w:p w14:paraId="7EC7597A">
            <w:pPr>
              <w:spacing w:line="0" w:lineRule="atLeast"/>
              <w:jc w:val="center"/>
              <w:rPr>
                <w:rFonts w:hint="eastAsia" w:ascii="宋体" w:hAnsi="宋体"/>
                <w:sz w:val="24"/>
                <w:szCs w:val="24"/>
                <w:highlight w:val="none"/>
              </w:rPr>
            </w:pPr>
          </w:p>
        </w:tc>
        <w:tc>
          <w:tcPr>
            <w:tcW w:w="1618" w:type="dxa"/>
            <w:noWrap w:val="0"/>
            <w:vAlign w:val="center"/>
          </w:tcPr>
          <w:p w14:paraId="57EE4EDB">
            <w:pPr>
              <w:spacing w:line="0" w:lineRule="atLeast"/>
              <w:jc w:val="center"/>
              <w:rPr>
                <w:rFonts w:hint="eastAsia" w:ascii="宋体" w:hAnsi="宋体"/>
                <w:sz w:val="24"/>
                <w:szCs w:val="24"/>
                <w:highlight w:val="none"/>
              </w:rPr>
            </w:pPr>
          </w:p>
        </w:tc>
        <w:tc>
          <w:tcPr>
            <w:tcW w:w="1798" w:type="dxa"/>
            <w:noWrap w:val="0"/>
            <w:vAlign w:val="center"/>
          </w:tcPr>
          <w:p w14:paraId="15492DB8">
            <w:pPr>
              <w:spacing w:line="0" w:lineRule="atLeast"/>
              <w:jc w:val="center"/>
              <w:rPr>
                <w:rFonts w:hint="eastAsia" w:ascii="宋体" w:hAnsi="宋体"/>
                <w:sz w:val="24"/>
                <w:szCs w:val="24"/>
                <w:highlight w:val="none"/>
              </w:rPr>
            </w:pPr>
          </w:p>
        </w:tc>
      </w:tr>
      <w:tr w14:paraId="1C7A3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46BF83B0">
            <w:pPr>
              <w:spacing w:line="0" w:lineRule="atLeast"/>
              <w:jc w:val="center"/>
              <w:rPr>
                <w:rFonts w:hint="eastAsia" w:ascii="宋体" w:hAnsi="宋体"/>
                <w:sz w:val="24"/>
                <w:szCs w:val="24"/>
                <w:highlight w:val="none"/>
              </w:rPr>
            </w:pPr>
            <w:r>
              <w:rPr>
                <w:rFonts w:hint="eastAsia" w:ascii="宋体" w:hAnsi="宋体"/>
                <w:sz w:val="24"/>
                <w:szCs w:val="24"/>
                <w:highlight w:val="none"/>
              </w:rPr>
              <w:t>2</w:t>
            </w:r>
          </w:p>
        </w:tc>
        <w:tc>
          <w:tcPr>
            <w:tcW w:w="1274" w:type="dxa"/>
            <w:noWrap w:val="0"/>
            <w:vAlign w:val="center"/>
          </w:tcPr>
          <w:p w14:paraId="18B5712E">
            <w:pPr>
              <w:spacing w:line="0" w:lineRule="atLeast"/>
              <w:jc w:val="center"/>
              <w:rPr>
                <w:rFonts w:hint="eastAsia" w:ascii="宋体" w:hAnsi="宋体"/>
                <w:sz w:val="24"/>
                <w:szCs w:val="24"/>
                <w:highlight w:val="none"/>
              </w:rPr>
            </w:pPr>
          </w:p>
        </w:tc>
        <w:tc>
          <w:tcPr>
            <w:tcW w:w="1288" w:type="dxa"/>
            <w:noWrap w:val="0"/>
            <w:vAlign w:val="center"/>
          </w:tcPr>
          <w:p w14:paraId="7F0F55DD">
            <w:pPr>
              <w:spacing w:line="0" w:lineRule="atLeast"/>
              <w:jc w:val="center"/>
              <w:rPr>
                <w:rFonts w:hint="eastAsia" w:ascii="宋体" w:hAnsi="宋体"/>
                <w:sz w:val="24"/>
                <w:szCs w:val="24"/>
                <w:highlight w:val="none"/>
              </w:rPr>
            </w:pPr>
          </w:p>
        </w:tc>
        <w:tc>
          <w:tcPr>
            <w:tcW w:w="924" w:type="dxa"/>
            <w:noWrap w:val="0"/>
            <w:vAlign w:val="center"/>
          </w:tcPr>
          <w:p w14:paraId="0FCD7009">
            <w:pPr>
              <w:spacing w:line="0" w:lineRule="atLeast"/>
              <w:jc w:val="center"/>
              <w:rPr>
                <w:rFonts w:hint="eastAsia" w:ascii="宋体" w:hAnsi="宋体"/>
                <w:sz w:val="24"/>
                <w:szCs w:val="24"/>
                <w:highlight w:val="none"/>
              </w:rPr>
            </w:pPr>
          </w:p>
        </w:tc>
        <w:tc>
          <w:tcPr>
            <w:tcW w:w="1203" w:type="dxa"/>
            <w:noWrap w:val="0"/>
            <w:vAlign w:val="center"/>
          </w:tcPr>
          <w:p w14:paraId="1B9123C8">
            <w:pPr>
              <w:spacing w:line="0" w:lineRule="atLeast"/>
              <w:jc w:val="center"/>
              <w:rPr>
                <w:rFonts w:hint="eastAsia" w:ascii="宋体" w:hAnsi="宋体"/>
                <w:sz w:val="24"/>
                <w:szCs w:val="24"/>
                <w:highlight w:val="none"/>
              </w:rPr>
            </w:pPr>
          </w:p>
        </w:tc>
        <w:tc>
          <w:tcPr>
            <w:tcW w:w="1618" w:type="dxa"/>
            <w:noWrap w:val="0"/>
            <w:vAlign w:val="center"/>
          </w:tcPr>
          <w:p w14:paraId="7E4FCD31">
            <w:pPr>
              <w:spacing w:line="0" w:lineRule="atLeast"/>
              <w:jc w:val="center"/>
              <w:rPr>
                <w:rFonts w:hint="eastAsia" w:ascii="宋体" w:hAnsi="宋体"/>
                <w:sz w:val="24"/>
                <w:szCs w:val="24"/>
                <w:highlight w:val="none"/>
              </w:rPr>
            </w:pPr>
          </w:p>
        </w:tc>
        <w:tc>
          <w:tcPr>
            <w:tcW w:w="1798" w:type="dxa"/>
            <w:noWrap w:val="0"/>
            <w:vAlign w:val="center"/>
          </w:tcPr>
          <w:p w14:paraId="3ACB3D74">
            <w:pPr>
              <w:spacing w:line="0" w:lineRule="atLeast"/>
              <w:jc w:val="center"/>
              <w:rPr>
                <w:rFonts w:hint="eastAsia" w:ascii="宋体" w:hAnsi="宋体"/>
                <w:sz w:val="24"/>
                <w:szCs w:val="24"/>
                <w:highlight w:val="none"/>
              </w:rPr>
            </w:pPr>
          </w:p>
        </w:tc>
      </w:tr>
      <w:tr w14:paraId="4A1E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47319613">
            <w:pPr>
              <w:spacing w:line="0" w:lineRule="atLeast"/>
              <w:jc w:val="center"/>
              <w:rPr>
                <w:rFonts w:hint="eastAsia" w:ascii="宋体" w:hAnsi="宋体"/>
                <w:sz w:val="24"/>
                <w:szCs w:val="24"/>
                <w:highlight w:val="none"/>
              </w:rPr>
            </w:pPr>
            <w:r>
              <w:rPr>
                <w:rFonts w:hint="eastAsia" w:ascii="宋体" w:hAnsi="宋体"/>
                <w:sz w:val="24"/>
                <w:szCs w:val="24"/>
                <w:highlight w:val="none"/>
              </w:rPr>
              <w:t>3</w:t>
            </w:r>
          </w:p>
        </w:tc>
        <w:tc>
          <w:tcPr>
            <w:tcW w:w="1274" w:type="dxa"/>
            <w:noWrap w:val="0"/>
            <w:vAlign w:val="center"/>
          </w:tcPr>
          <w:p w14:paraId="294AF898">
            <w:pPr>
              <w:spacing w:line="0" w:lineRule="atLeast"/>
              <w:jc w:val="center"/>
              <w:rPr>
                <w:rFonts w:hint="eastAsia" w:ascii="宋体" w:hAnsi="宋体"/>
                <w:sz w:val="24"/>
                <w:szCs w:val="24"/>
                <w:highlight w:val="none"/>
              </w:rPr>
            </w:pPr>
          </w:p>
        </w:tc>
        <w:tc>
          <w:tcPr>
            <w:tcW w:w="1288" w:type="dxa"/>
            <w:noWrap w:val="0"/>
            <w:vAlign w:val="center"/>
          </w:tcPr>
          <w:p w14:paraId="78FAC93F">
            <w:pPr>
              <w:spacing w:line="0" w:lineRule="atLeast"/>
              <w:jc w:val="center"/>
              <w:rPr>
                <w:rFonts w:hint="eastAsia" w:ascii="宋体" w:hAnsi="宋体"/>
                <w:sz w:val="24"/>
                <w:szCs w:val="24"/>
                <w:highlight w:val="none"/>
              </w:rPr>
            </w:pPr>
          </w:p>
        </w:tc>
        <w:tc>
          <w:tcPr>
            <w:tcW w:w="924" w:type="dxa"/>
            <w:noWrap w:val="0"/>
            <w:vAlign w:val="center"/>
          </w:tcPr>
          <w:p w14:paraId="5CA8E03D">
            <w:pPr>
              <w:spacing w:line="0" w:lineRule="atLeast"/>
              <w:jc w:val="center"/>
              <w:rPr>
                <w:rFonts w:hint="eastAsia" w:ascii="宋体" w:hAnsi="宋体"/>
                <w:sz w:val="24"/>
                <w:szCs w:val="24"/>
                <w:highlight w:val="none"/>
              </w:rPr>
            </w:pPr>
          </w:p>
        </w:tc>
        <w:tc>
          <w:tcPr>
            <w:tcW w:w="1203" w:type="dxa"/>
            <w:noWrap w:val="0"/>
            <w:vAlign w:val="center"/>
          </w:tcPr>
          <w:p w14:paraId="38966EF7">
            <w:pPr>
              <w:spacing w:line="0" w:lineRule="atLeast"/>
              <w:jc w:val="center"/>
              <w:rPr>
                <w:rFonts w:hint="eastAsia" w:ascii="宋体" w:hAnsi="宋体"/>
                <w:sz w:val="24"/>
                <w:szCs w:val="24"/>
                <w:highlight w:val="none"/>
              </w:rPr>
            </w:pPr>
          </w:p>
        </w:tc>
        <w:tc>
          <w:tcPr>
            <w:tcW w:w="1618" w:type="dxa"/>
            <w:noWrap w:val="0"/>
            <w:vAlign w:val="center"/>
          </w:tcPr>
          <w:p w14:paraId="072E8F45">
            <w:pPr>
              <w:spacing w:line="0" w:lineRule="atLeast"/>
              <w:jc w:val="center"/>
              <w:rPr>
                <w:rFonts w:hint="eastAsia" w:ascii="宋体" w:hAnsi="宋体"/>
                <w:sz w:val="24"/>
                <w:szCs w:val="24"/>
                <w:highlight w:val="none"/>
              </w:rPr>
            </w:pPr>
          </w:p>
        </w:tc>
        <w:tc>
          <w:tcPr>
            <w:tcW w:w="1798" w:type="dxa"/>
            <w:noWrap w:val="0"/>
            <w:vAlign w:val="center"/>
          </w:tcPr>
          <w:p w14:paraId="32989BD3">
            <w:pPr>
              <w:spacing w:line="0" w:lineRule="atLeast"/>
              <w:jc w:val="center"/>
              <w:rPr>
                <w:rFonts w:hint="eastAsia" w:ascii="宋体" w:hAnsi="宋体"/>
                <w:sz w:val="24"/>
                <w:szCs w:val="24"/>
                <w:highlight w:val="none"/>
              </w:rPr>
            </w:pPr>
          </w:p>
        </w:tc>
      </w:tr>
      <w:tr w14:paraId="3B68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6D44DAC7">
            <w:pPr>
              <w:spacing w:line="0" w:lineRule="atLeast"/>
              <w:jc w:val="center"/>
              <w:rPr>
                <w:rFonts w:hint="eastAsia" w:ascii="宋体" w:hAnsi="宋体"/>
                <w:sz w:val="24"/>
                <w:szCs w:val="24"/>
                <w:highlight w:val="none"/>
              </w:rPr>
            </w:pPr>
            <w:r>
              <w:rPr>
                <w:rFonts w:ascii="宋体" w:hAnsi="宋体"/>
                <w:sz w:val="24"/>
                <w:szCs w:val="24"/>
                <w:highlight w:val="none"/>
              </w:rPr>
              <w:t>……</w:t>
            </w:r>
          </w:p>
        </w:tc>
        <w:tc>
          <w:tcPr>
            <w:tcW w:w="1274" w:type="dxa"/>
            <w:noWrap w:val="0"/>
            <w:vAlign w:val="center"/>
          </w:tcPr>
          <w:p w14:paraId="31D463E4">
            <w:pPr>
              <w:spacing w:line="0" w:lineRule="atLeast"/>
              <w:jc w:val="center"/>
              <w:rPr>
                <w:rFonts w:hint="eastAsia" w:ascii="宋体" w:hAnsi="宋体"/>
                <w:sz w:val="24"/>
                <w:szCs w:val="24"/>
                <w:highlight w:val="none"/>
              </w:rPr>
            </w:pPr>
            <w:r>
              <w:rPr>
                <w:rFonts w:ascii="宋体" w:hAnsi="宋体"/>
                <w:sz w:val="24"/>
                <w:szCs w:val="24"/>
                <w:highlight w:val="none"/>
              </w:rPr>
              <w:t>……</w:t>
            </w:r>
          </w:p>
        </w:tc>
        <w:tc>
          <w:tcPr>
            <w:tcW w:w="1288" w:type="dxa"/>
            <w:noWrap w:val="0"/>
            <w:vAlign w:val="center"/>
          </w:tcPr>
          <w:p w14:paraId="6640727B">
            <w:pPr>
              <w:spacing w:line="0" w:lineRule="atLeast"/>
              <w:jc w:val="center"/>
              <w:rPr>
                <w:rFonts w:hint="eastAsia" w:ascii="宋体" w:hAnsi="宋体"/>
                <w:sz w:val="24"/>
                <w:szCs w:val="24"/>
                <w:highlight w:val="none"/>
              </w:rPr>
            </w:pPr>
          </w:p>
        </w:tc>
        <w:tc>
          <w:tcPr>
            <w:tcW w:w="924" w:type="dxa"/>
            <w:noWrap w:val="0"/>
            <w:vAlign w:val="center"/>
          </w:tcPr>
          <w:p w14:paraId="57A0957F">
            <w:pPr>
              <w:spacing w:line="0" w:lineRule="atLeast"/>
              <w:jc w:val="center"/>
              <w:rPr>
                <w:rFonts w:hint="eastAsia" w:ascii="宋体" w:hAnsi="宋体"/>
                <w:sz w:val="24"/>
                <w:szCs w:val="24"/>
                <w:highlight w:val="none"/>
              </w:rPr>
            </w:pPr>
          </w:p>
        </w:tc>
        <w:tc>
          <w:tcPr>
            <w:tcW w:w="1203" w:type="dxa"/>
            <w:noWrap w:val="0"/>
            <w:vAlign w:val="center"/>
          </w:tcPr>
          <w:p w14:paraId="65798777">
            <w:pPr>
              <w:spacing w:line="0" w:lineRule="atLeast"/>
              <w:jc w:val="center"/>
              <w:rPr>
                <w:rFonts w:hint="eastAsia" w:ascii="宋体" w:hAnsi="宋体"/>
                <w:sz w:val="24"/>
                <w:szCs w:val="24"/>
                <w:highlight w:val="none"/>
              </w:rPr>
            </w:pPr>
          </w:p>
        </w:tc>
        <w:tc>
          <w:tcPr>
            <w:tcW w:w="1618" w:type="dxa"/>
            <w:noWrap w:val="0"/>
            <w:vAlign w:val="center"/>
          </w:tcPr>
          <w:p w14:paraId="430807D9">
            <w:pPr>
              <w:spacing w:line="0" w:lineRule="atLeast"/>
              <w:jc w:val="center"/>
              <w:rPr>
                <w:rFonts w:hint="eastAsia" w:ascii="宋体" w:hAnsi="宋体"/>
                <w:sz w:val="24"/>
                <w:szCs w:val="24"/>
                <w:highlight w:val="none"/>
              </w:rPr>
            </w:pPr>
          </w:p>
        </w:tc>
        <w:tc>
          <w:tcPr>
            <w:tcW w:w="1798" w:type="dxa"/>
            <w:noWrap w:val="0"/>
            <w:vAlign w:val="center"/>
          </w:tcPr>
          <w:p w14:paraId="68B217F9">
            <w:pPr>
              <w:spacing w:line="0" w:lineRule="atLeast"/>
              <w:jc w:val="center"/>
              <w:rPr>
                <w:rFonts w:hint="eastAsia" w:ascii="宋体" w:hAnsi="宋体"/>
                <w:sz w:val="24"/>
                <w:szCs w:val="24"/>
                <w:highlight w:val="none"/>
              </w:rPr>
            </w:pPr>
          </w:p>
        </w:tc>
      </w:tr>
      <w:tr w14:paraId="3311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109C51BD">
            <w:pPr>
              <w:spacing w:line="0" w:lineRule="atLeast"/>
              <w:jc w:val="center"/>
              <w:rPr>
                <w:rFonts w:hint="eastAsia" w:ascii="宋体" w:hAnsi="宋体"/>
                <w:sz w:val="24"/>
                <w:szCs w:val="24"/>
                <w:highlight w:val="none"/>
              </w:rPr>
            </w:pPr>
            <w:r>
              <w:rPr>
                <w:rFonts w:hint="eastAsia" w:ascii="宋体" w:hAnsi="宋体"/>
                <w:sz w:val="24"/>
                <w:szCs w:val="24"/>
                <w:highlight w:val="none"/>
              </w:rPr>
              <w:t>投标总报价（人民币：元）</w:t>
            </w:r>
          </w:p>
        </w:tc>
        <w:tc>
          <w:tcPr>
            <w:tcW w:w="1798" w:type="dxa"/>
            <w:noWrap w:val="0"/>
            <w:vAlign w:val="top"/>
          </w:tcPr>
          <w:p w14:paraId="0F7D1971">
            <w:pPr>
              <w:spacing w:line="0" w:lineRule="atLeast"/>
              <w:rPr>
                <w:rFonts w:hint="eastAsia" w:ascii="宋体" w:hAnsi="宋体"/>
                <w:sz w:val="24"/>
                <w:szCs w:val="24"/>
                <w:highlight w:val="none"/>
              </w:rPr>
            </w:pPr>
          </w:p>
        </w:tc>
      </w:tr>
    </w:tbl>
    <w:p w14:paraId="3C1782DA">
      <w:pPr>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备注：1.“投标总报价”应包括采购人需求的服务（</w:t>
      </w:r>
      <w:r>
        <w:rPr>
          <w:rFonts w:hint="eastAsia" w:ascii="Times New Roman" w:hAnsi="Times New Roman" w:eastAsia="宋体" w:cs="Times New Roman"/>
          <w:b/>
          <w:bCs/>
          <w:caps w:val="0"/>
          <w:color w:val="auto"/>
          <w:sz w:val="24"/>
          <w:szCs w:val="24"/>
          <w:highlight w:val="none"/>
        </w:rPr>
        <w:t>包含</w:t>
      </w:r>
      <w:bookmarkStart w:id="228" w:name="OLE_LINK59"/>
      <w:r>
        <w:rPr>
          <w:rFonts w:hint="eastAsia" w:ascii="Times New Roman" w:hAnsi="Times New Roman" w:eastAsia="宋体" w:cs="Times New Roman"/>
          <w:b/>
          <w:bCs/>
          <w:caps w:val="0"/>
          <w:color w:val="auto"/>
          <w:sz w:val="24"/>
          <w:szCs w:val="24"/>
          <w:highlight w:val="none"/>
        </w:rPr>
        <w:t>与服务相关的货物</w:t>
      </w:r>
      <w:bookmarkEnd w:id="228"/>
      <w:r>
        <w:rPr>
          <w:rFonts w:hint="eastAsia" w:ascii="Times New Roman" w:hAnsi="Times New Roman" w:eastAsia="宋体" w:cs="Times New Roman"/>
          <w:caps w:val="0"/>
          <w:color w:val="auto"/>
          <w:sz w:val="24"/>
          <w:szCs w:val="24"/>
          <w:highlight w:val="none"/>
        </w:rPr>
        <w:t>）价格、质量保证费用、培训费用等，项目在指定地点、环境交付、安装、调试、验收所需费用和所有相关税金费用及为完成整个项目所产生的其它所有费用，招标文件另有规定的除外。</w:t>
      </w:r>
    </w:p>
    <w:p w14:paraId="57A6A78F">
      <w:pPr>
        <w:pStyle w:val="17"/>
        <w:rPr>
          <w:rFonts w:hint="eastAsia" w:ascii="Times New Roman" w:hAnsi="Times New Roman" w:eastAsia="宋体" w:cs="Times New Roman"/>
          <w:b/>
          <w:bCs/>
          <w:caps w:val="0"/>
          <w:color w:val="auto"/>
          <w:sz w:val="28"/>
          <w:szCs w:val="28"/>
          <w:highlight w:val="none"/>
          <w:lang w:val="en-US" w:eastAsia="zh-CN" w:bidi="ar-SA"/>
        </w:rPr>
      </w:pPr>
      <w:r>
        <w:rPr>
          <w:rFonts w:hint="eastAsia" w:ascii="Times New Roman" w:hAnsi="Times New Roman" w:eastAsia="宋体" w:cs="Times New Roman"/>
          <w:b/>
          <w:bCs/>
          <w:caps w:val="0"/>
          <w:color w:val="auto"/>
          <w:sz w:val="28"/>
          <w:szCs w:val="28"/>
          <w:highlight w:val="none"/>
          <w:lang w:val="en-US" w:eastAsia="zh-CN" w:bidi="ar-SA"/>
        </w:rPr>
        <w:t>2、</w:t>
      </w:r>
      <w:bookmarkStart w:id="229" w:name="OLE_LINK61"/>
      <w:r>
        <w:rPr>
          <w:rFonts w:hint="eastAsia" w:ascii="Times New Roman" w:hAnsi="Times New Roman" w:eastAsia="宋体" w:cs="Times New Roman"/>
          <w:b/>
          <w:bCs/>
          <w:caps w:val="0"/>
          <w:color w:val="auto"/>
          <w:sz w:val="28"/>
          <w:szCs w:val="28"/>
          <w:highlight w:val="none"/>
        </w:rPr>
        <w:t>与服务相关的货物</w:t>
      </w:r>
      <w:r>
        <w:rPr>
          <w:rFonts w:hint="eastAsia" w:ascii="Times New Roman" w:hAnsi="Times New Roman" w:eastAsia="宋体" w:cs="Times New Roman"/>
          <w:b/>
          <w:bCs/>
          <w:caps w:val="0"/>
          <w:color w:val="auto"/>
          <w:sz w:val="28"/>
          <w:szCs w:val="28"/>
          <w:highlight w:val="none"/>
          <w:lang w:eastAsia="zh-CN"/>
        </w:rPr>
        <w:t>：</w:t>
      </w:r>
      <w:bookmarkStart w:id="230" w:name="OLE_LINK60"/>
      <w:r>
        <w:rPr>
          <w:rFonts w:hint="eastAsia" w:ascii="Times New Roman" w:hAnsi="Times New Roman" w:eastAsia="宋体" w:cs="Times New Roman"/>
          <w:b/>
          <w:bCs/>
          <w:caps w:val="0"/>
          <w:color w:val="auto"/>
          <w:sz w:val="28"/>
          <w:szCs w:val="28"/>
          <w:highlight w:val="none"/>
          <w:lang w:val="en-US" w:eastAsia="zh-CN" w:bidi="ar-SA"/>
        </w:rPr>
        <w:t>投标人须提供所投标的产品品牌、型号、产地，除辅材、辅助材料（含以施工为主的条目）和技术参数标明为定制的产品之外的其它应该标明品牌和型号的产品，在投标文件中必须标明产品的品牌、型号，否则作无效投标处理。</w:t>
      </w:r>
      <w:bookmarkEnd w:id="229"/>
      <w:bookmarkEnd w:id="230"/>
    </w:p>
    <w:p w14:paraId="06161F80">
      <w:pPr>
        <w:rPr>
          <w:rFonts w:hint="eastAsia" w:ascii="Times New Roman" w:hAnsi="Times New Roman" w:eastAsia="宋体" w:cs="Times New Roman"/>
          <w:caps w:val="0"/>
          <w:color w:val="auto"/>
          <w:sz w:val="24"/>
          <w:szCs w:val="24"/>
          <w:highlight w:val="none"/>
          <w:lang w:val="en-US" w:eastAsia="zh-CN" w:bidi="ar-SA"/>
        </w:rPr>
      </w:pPr>
      <w:r>
        <w:rPr>
          <w:rFonts w:hint="eastAsia" w:ascii="Times New Roman" w:hAnsi="Times New Roman" w:eastAsia="宋体" w:cs="Times New Roman"/>
          <w:caps w:val="0"/>
          <w:color w:val="auto"/>
          <w:sz w:val="24"/>
          <w:szCs w:val="24"/>
          <w:highlight w:val="none"/>
          <w:lang w:val="en-US" w:eastAsia="zh-CN" w:bidi="ar-SA"/>
        </w:rPr>
        <w:t>3. “投标分项报价表”中“投标总报价”数额应当与“开标一览表”中“投标总报价”数额一致。</w:t>
      </w:r>
    </w:p>
    <w:p w14:paraId="1DFFA262">
      <w:pPr>
        <w:spacing w:line="560" w:lineRule="exact"/>
        <w:ind w:firstLine="320"/>
        <w:jc w:val="left"/>
        <w:rPr>
          <w:rFonts w:eastAsia="黑体"/>
          <w:iCs/>
          <w:color w:val="auto"/>
          <w:sz w:val="32"/>
          <w:szCs w:val="32"/>
        </w:rPr>
      </w:pPr>
    </w:p>
    <w:p w14:paraId="043011F5">
      <w:pPr>
        <w:spacing w:line="560" w:lineRule="exact"/>
        <w:ind w:firstLine="320"/>
        <w:jc w:val="left"/>
        <w:rPr>
          <w:rFonts w:eastAsia="黑体"/>
          <w:iCs/>
          <w:color w:val="auto"/>
          <w:sz w:val="32"/>
          <w:szCs w:val="32"/>
        </w:rPr>
      </w:pPr>
    </w:p>
    <w:p w14:paraId="4FC4AF91">
      <w:pPr>
        <w:spacing w:line="560" w:lineRule="exact"/>
        <w:ind w:firstLine="320"/>
        <w:jc w:val="left"/>
        <w:rPr>
          <w:rFonts w:eastAsia="黑体"/>
          <w:iCs/>
          <w:color w:val="auto"/>
          <w:sz w:val="32"/>
          <w:szCs w:val="32"/>
        </w:rPr>
      </w:pPr>
    </w:p>
    <w:p w14:paraId="3C7509A3">
      <w:pPr>
        <w:spacing w:line="560" w:lineRule="exact"/>
        <w:ind w:firstLine="320"/>
        <w:jc w:val="left"/>
        <w:rPr>
          <w:rFonts w:eastAsia="黑体"/>
          <w:iCs/>
          <w:color w:val="auto"/>
          <w:sz w:val="32"/>
          <w:szCs w:val="32"/>
        </w:rPr>
      </w:pPr>
    </w:p>
    <w:p w14:paraId="4B4A36F8">
      <w:pPr>
        <w:spacing w:line="560" w:lineRule="exact"/>
        <w:ind w:firstLine="320"/>
        <w:jc w:val="left"/>
        <w:rPr>
          <w:rFonts w:eastAsia="黑体"/>
          <w:iCs/>
          <w:color w:val="auto"/>
          <w:sz w:val="32"/>
          <w:szCs w:val="32"/>
        </w:rPr>
      </w:pPr>
    </w:p>
    <w:p w14:paraId="65B0D669">
      <w:pPr>
        <w:spacing w:line="560" w:lineRule="exact"/>
        <w:ind w:firstLine="320"/>
        <w:jc w:val="left"/>
        <w:rPr>
          <w:rFonts w:eastAsia="黑体"/>
          <w:iCs/>
          <w:color w:val="auto"/>
          <w:sz w:val="32"/>
          <w:szCs w:val="32"/>
        </w:rPr>
      </w:pPr>
    </w:p>
    <w:p w14:paraId="211F0C40">
      <w:pPr>
        <w:spacing w:line="560" w:lineRule="exact"/>
        <w:ind w:firstLine="320"/>
        <w:jc w:val="left"/>
        <w:rPr>
          <w:rFonts w:eastAsia="黑体"/>
          <w:iCs/>
          <w:color w:val="auto"/>
          <w:sz w:val="32"/>
          <w:szCs w:val="32"/>
        </w:rPr>
      </w:pPr>
    </w:p>
    <w:p w14:paraId="5B81E70B">
      <w:pPr>
        <w:spacing w:line="560" w:lineRule="exact"/>
        <w:ind w:firstLine="320"/>
        <w:jc w:val="left"/>
        <w:rPr>
          <w:rFonts w:eastAsia="黑体"/>
          <w:iCs/>
          <w:color w:val="auto"/>
          <w:sz w:val="32"/>
          <w:szCs w:val="32"/>
        </w:rPr>
      </w:pPr>
    </w:p>
    <w:p w14:paraId="768A54E4">
      <w:pPr>
        <w:spacing w:line="560" w:lineRule="exact"/>
        <w:ind w:firstLine="320"/>
        <w:jc w:val="left"/>
        <w:rPr>
          <w:rFonts w:eastAsia="黑体"/>
          <w:iCs/>
          <w:color w:val="auto"/>
          <w:sz w:val="32"/>
          <w:szCs w:val="32"/>
        </w:rPr>
      </w:pPr>
    </w:p>
    <w:p w14:paraId="7B88903E">
      <w:pPr>
        <w:outlineLvl w:val="9"/>
        <w:rPr>
          <w:rFonts w:eastAsia="黑体"/>
          <w:b/>
          <w:color w:val="auto"/>
          <w:sz w:val="32"/>
          <w:szCs w:val="32"/>
        </w:rPr>
      </w:pPr>
    </w:p>
    <w:p w14:paraId="426C7ADC">
      <w:pPr>
        <w:keepNext/>
        <w:keepLines/>
        <w:spacing w:before="145" w:after="145" w:line="360" w:lineRule="auto"/>
        <w:outlineLvl w:val="1"/>
        <w:rPr>
          <w:rFonts w:eastAsia="黑体"/>
          <w:b/>
          <w:color w:val="auto"/>
          <w:sz w:val="32"/>
          <w:szCs w:val="32"/>
        </w:rPr>
      </w:pPr>
      <w:bookmarkStart w:id="231" w:name="OLE_LINK1"/>
      <w:r>
        <w:rPr>
          <w:rFonts w:hint="eastAsia" w:eastAsia="黑体"/>
          <w:b/>
          <w:color w:val="auto"/>
          <w:sz w:val="32"/>
          <w:szCs w:val="32"/>
        </w:rPr>
        <w:t>七、技术要求响应及偏离表</w:t>
      </w:r>
      <w:bookmarkEnd w:id="231"/>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1"/>
        <w:gridCol w:w="2695"/>
        <w:gridCol w:w="2368"/>
        <w:gridCol w:w="1792"/>
        <w:gridCol w:w="1173"/>
      </w:tblGrid>
      <w:tr w14:paraId="08158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41" w:type="dxa"/>
            <w:noWrap w:val="0"/>
            <w:vAlign w:val="center"/>
          </w:tcPr>
          <w:p w14:paraId="3FEE3FD7">
            <w:pPr>
              <w:jc w:val="center"/>
              <w:rPr>
                <w:color w:val="auto"/>
                <w:sz w:val="24"/>
                <w:szCs w:val="24"/>
              </w:rPr>
            </w:pPr>
            <w:r>
              <w:rPr>
                <w:rFonts w:hint="eastAsia"/>
                <w:color w:val="auto"/>
                <w:sz w:val="24"/>
                <w:szCs w:val="24"/>
              </w:rPr>
              <w:t>序号</w:t>
            </w:r>
          </w:p>
        </w:tc>
        <w:tc>
          <w:tcPr>
            <w:tcW w:w="2695" w:type="dxa"/>
            <w:noWrap w:val="0"/>
            <w:vAlign w:val="center"/>
          </w:tcPr>
          <w:p w14:paraId="63572F54">
            <w:pPr>
              <w:pStyle w:val="249"/>
              <w:spacing w:before="0" w:beforeAutospacing="0" w:after="0" w:afterAutospacing="0"/>
              <w:jc w:val="center"/>
              <w:rPr>
                <w:rFonts w:ascii="Times New Roman" w:hAnsi="Times New Roman"/>
                <w:color w:val="auto"/>
              </w:rPr>
            </w:pPr>
            <w:r>
              <w:rPr>
                <w:rFonts w:ascii="Times New Roman" w:hAnsi="Times New Roman"/>
                <w:color w:val="auto"/>
              </w:rPr>
              <w:t>技术要求和商务要求中的实质性要求（</w:t>
            </w:r>
            <w:r>
              <w:rPr>
                <w:rFonts w:ascii="Times New Roman" w:hAnsi="Times New Roman"/>
                <w:iCs/>
                <w:color w:val="auto"/>
              </w:rPr>
              <w:t>加斜体下划线内容或</w:t>
            </w:r>
            <w:r>
              <w:rPr>
                <w:rFonts w:ascii="Times New Roman" w:hAnsi="Times New Roman"/>
                <w:color w:val="auto"/>
              </w:rPr>
              <w:t>打“★”内容）</w:t>
            </w:r>
          </w:p>
        </w:tc>
        <w:tc>
          <w:tcPr>
            <w:tcW w:w="2368" w:type="dxa"/>
            <w:noWrap w:val="0"/>
            <w:vAlign w:val="center"/>
          </w:tcPr>
          <w:p w14:paraId="49D30F35">
            <w:pPr>
              <w:pStyle w:val="249"/>
              <w:spacing w:before="0" w:beforeAutospacing="0" w:after="0" w:afterAutospacing="0"/>
              <w:jc w:val="center"/>
              <w:rPr>
                <w:rFonts w:ascii="Times New Roman" w:hAnsi="Times New Roman"/>
                <w:color w:val="auto"/>
              </w:rPr>
            </w:pPr>
            <w:r>
              <w:rPr>
                <w:rFonts w:ascii="Times New Roman" w:hAnsi="Times New Roman"/>
                <w:color w:val="auto"/>
              </w:rPr>
              <w:t>响应情况</w:t>
            </w:r>
            <w:r>
              <w:rPr>
                <w:rFonts w:hint="eastAsia" w:ascii="Times New Roman" w:hAnsi="Times New Roman"/>
                <w:color w:val="auto"/>
              </w:rPr>
              <w:t>（填报“响应或完全响应”）</w:t>
            </w:r>
          </w:p>
        </w:tc>
        <w:tc>
          <w:tcPr>
            <w:tcW w:w="1792" w:type="dxa"/>
            <w:noWrap w:val="0"/>
            <w:vAlign w:val="center"/>
          </w:tcPr>
          <w:p w14:paraId="250A0D28">
            <w:pPr>
              <w:pStyle w:val="249"/>
              <w:spacing w:before="0" w:beforeAutospacing="0" w:after="0" w:afterAutospacing="0"/>
              <w:jc w:val="center"/>
              <w:rPr>
                <w:rFonts w:ascii="Times New Roman" w:hAnsi="Times New Roman"/>
                <w:color w:val="auto"/>
              </w:rPr>
            </w:pPr>
            <w:r>
              <w:rPr>
                <w:rFonts w:hint="eastAsia" w:ascii="Times New Roman" w:hAnsi="Times New Roman"/>
                <w:color w:val="auto"/>
              </w:rPr>
              <w:t>偏离（填报“正偏离、符合或负偏离”）</w:t>
            </w:r>
          </w:p>
        </w:tc>
        <w:tc>
          <w:tcPr>
            <w:tcW w:w="1173" w:type="dxa"/>
            <w:noWrap w:val="0"/>
            <w:vAlign w:val="center"/>
          </w:tcPr>
          <w:p w14:paraId="11699A66">
            <w:pPr>
              <w:jc w:val="center"/>
              <w:rPr>
                <w:color w:val="auto"/>
                <w:sz w:val="24"/>
                <w:szCs w:val="24"/>
              </w:rPr>
            </w:pPr>
            <w:r>
              <w:rPr>
                <w:rFonts w:hint="eastAsia"/>
                <w:color w:val="auto"/>
                <w:sz w:val="24"/>
                <w:szCs w:val="24"/>
              </w:rPr>
              <w:t>证明</w:t>
            </w:r>
          </w:p>
          <w:p w14:paraId="33661D28">
            <w:pPr>
              <w:jc w:val="center"/>
              <w:rPr>
                <w:color w:val="auto"/>
                <w:sz w:val="24"/>
                <w:szCs w:val="24"/>
              </w:rPr>
            </w:pPr>
            <w:r>
              <w:rPr>
                <w:rFonts w:hint="eastAsia"/>
                <w:color w:val="auto"/>
                <w:sz w:val="24"/>
                <w:szCs w:val="24"/>
              </w:rPr>
              <w:t>材料</w:t>
            </w:r>
          </w:p>
        </w:tc>
      </w:tr>
      <w:tr w14:paraId="59120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0B4B1600">
            <w:pPr>
              <w:jc w:val="center"/>
              <w:rPr>
                <w:color w:val="auto"/>
                <w:sz w:val="24"/>
                <w:szCs w:val="24"/>
              </w:rPr>
            </w:pPr>
          </w:p>
        </w:tc>
        <w:tc>
          <w:tcPr>
            <w:tcW w:w="2695" w:type="dxa"/>
            <w:noWrap w:val="0"/>
          </w:tcPr>
          <w:p w14:paraId="4C39532D">
            <w:pPr>
              <w:jc w:val="center"/>
              <w:rPr>
                <w:color w:val="auto"/>
                <w:sz w:val="24"/>
                <w:szCs w:val="24"/>
              </w:rPr>
            </w:pPr>
          </w:p>
        </w:tc>
        <w:tc>
          <w:tcPr>
            <w:tcW w:w="2368" w:type="dxa"/>
            <w:noWrap w:val="0"/>
          </w:tcPr>
          <w:p w14:paraId="7D14CFBF">
            <w:pPr>
              <w:jc w:val="center"/>
              <w:rPr>
                <w:color w:val="auto"/>
                <w:sz w:val="24"/>
                <w:szCs w:val="24"/>
              </w:rPr>
            </w:pPr>
          </w:p>
        </w:tc>
        <w:tc>
          <w:tcPr>
            <w:tcW w:w="1792" w:type="dxa"/>
            <w:noWrap w:val="0"/>
          </w:tcPr>
          <w:p w14:paraId="781DDE6E">
            <w:pPr>
              <w:jc w:val="center"/>
              <w:rPr>
                <w:color w:val="auto"/>
                <w:sz w:val="24"/>
                <w:szCs w:val="24"/>
              </w:rPr>
            </w:pPr>
          </w:p>
        </w:tc>
        <w:tc>
          <w:tcPr>
            <w:tcW w:w="1173" w:type="dxa"/>
            <w:noWrap w:val="0"/>
          </w:tcPr>
          <w:p w14:paraId="1F9A08AE">
            <w:pPr>
              <w:jc w:val="center"/>
              <w:rPr>
                <w:color w:val="auto"/>
                <w:sz w:val="24"/>
                <w:szCs w:val="24"/>
              </w:rPr>
            </w:pPr>
          </w:p>
        </w:tc>
      </w:tr>
      <w:tr w14:paraId="56256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49B50E45">
            <w:pPr>
              <w:jc w:val="center"/>
              <w:rPr>
                <w:color w:val="auto"/>
                <w:sz w:val="24"/>
                <w:szCs w:val="24"/>
              </w:rPr>
            </w:pPr>
          </w:p>
        </w:tc>
        <w:tc>
          <w:tcPr>
            <w:tcW w:w="2695" w:type="dxa"/>
            <w:noWrap w:val="0"/>
          </w:tcPr>
          <w:p w14:paraId="6A359B0C">
            <w:pPr>
              <w:jc w:val="center"/>
              <w:rPr>
                <w:color w:val="auto"/>
                <w:sz w:val="24"/>
                <w:szCs w:val="24"/>
              </w:rPr>
            </w:pPr>
          </w:p>
        </w:tc>
        <w:tc>
          <w:tcPr>
            <w:tcW w:w="2368" w:type="dxa"/>
            <w:noWrap w:val="0"/>
          </w:tcPr>
          <w:p w14:paraId="782FE933">
            <w:pPr>
              <w:jc w:val="center"/>
              <w:rPr>
                <w:color w:val="auto"/>
                <w:sz w:val="24"/>
                <w:szCs w:val="24"/>
              </w:rPr>
            </w:pPr>
          </w:p>
        </w:tc>
        <w:tc>
          <w:tcPr>
            <w:tcW w:w="1792" w:type="dxa"/>
            <w:noWrap w:val="0"/>
          </w:tcPr>
          <w:p w14:paraId="48A7CD8A">
            <w:pPr>
              <w:jc w:val="center"/>
              <w:rPr>
                <w:color w:val="auto"/>
                <w:sz w:val="24"/>
                <w:szCs w:val="24"/>
              </w:rPr>
            </w:pPr>
          </w:p>
        </w:tc>
        <w:tc>
          <w:tcPr>
            <w:tcW w:w="1173" w:type="dxa"/>
            <w:noWrap w:val="0"/>
          </w:tcPr>
          <w:p w14:paraId="5671CD1D">
            <w:pPr>
              <w:jc w:val="center"/>
              <w:rPr>
                <w:color w:val="auto"/>
                <w:sz w:val="24"/>
                <w:szCs w:val="24"/>
              </w:rPr>
            </w:pPr>
          </w:p>
        </w:tc>
      </w:tr>
      <w:tr w14:paraId="2A03B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383F3BB1">
            <w:pPr>
              <w:jc w:val="center"/>
              <w:rPr>
                <w:color w:val="auto"/>
                <w:sz w:val="24"/>
                <w:szCs w:val="24"/>
              </w:rPr>
            </w:pPr>
          </w:p>
        </w:tc>
        <w:tc>
          <w:tcPr>
            <w:tcW w:w="2695" w:type="dxa"/>
            <w:noWrap w:val="0"/>
          </w:tcPr>
          <w:p w14:paraId="592B9CBE">
            <w:pPr>
              <w:jc w:val="center"/>
              <w:rPr>
                <w:color w:val="auto"/>
                <w:sz w:val="24"/>
                <w:szCs w:val="24"/>
              </w:rPr>
            </w:pPr>
          </w:p>
        </w:tc>
        <w:tc>
          <w:tcPr>
            <w:tcW w:w="2368" w:type="dxa"/>
            <w:noWrap w:val="0"/>
          </w:tcPr>
          <w:p w14:paraId="650C4A4F">
            <w:pPr>
              <w:jc w:val="center"/>
              <w:rPr>
                <w:color w:val="auto"/>
                <w:sz w:val="24"/>
                <w:szCs w:val="24"/>
              </w:rPr>
            </w:pPr>
          </w:p>
        </w:tc>
        <w:tc>
          <w:tcPr>
            <w:tcW w:w="1792" w:type="dxa"/>
            <w:noWrap w:val="0"/>
          </w:tcPr>
          <w:p w14:paraId="752B1720">
            <w:pPr>
              <w:jc w:val="center"/>
              <w:rPr>
                <w:color w:val="auto"/>
                <w:sz w:val="24"/>
                <w:szCs w:val="24"/>
              </w:rPr>
            </w:pPr>
          </w:p>
        </w:tc>
        <w:tc>
          <w:tcPr>
            <w:tcW w:w="1173" w:type="dxa"/>
            <w:noWrap w:val="0"/>
          </w:tcPr>
          <w:p w14:paraId="39820DE7">
            <w:pPr>
              <w:jc w:val="center"/>
              <w:rPr>
                <w:color w:val="auto"/>
                <w:sz w:val="24"/>
                <w:szCs w:val="24"/>
              </w:rPr>
            </w:pPr>
          </w:p>
        </w:tc>
      </w:tr>
      <w:tr w14:paraId="29657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5F38674D">
            <w:pPr>
              <w:jc w:val="center"/>
              <w:rPr>
                <w:color w:val="auto"/>
                <w:sz w:val="24"/>
                <w:szCs w:val="24"/>
              </w:rPr>
            </w:pPr>
          </w:p>
        </w:tc>
        <w:tc>
          <w:tcPr>
            <w:tcW w:w="2695" w:type="dxa"/>
            <w:noWrap w:val="0"/>
          </w:tcPr>
          <w:p w14:paraId="3510CF72">
            <w:pPr>
              <w:jc w:val="center"/>
              <w:rPr>
                <w:color w:val="auto"/>
                <w:sz w:val="24"/>
                <w:szCs w:val="24"/>
              </w:rPr>
            </w:pPr>
          </w:p>
        </w:tc>
        <w:tc>
          <w:tcPr>
            <w:tcW w:w="2368" w:type="dxa"/>
            <w:noWrap w:val="0"/>
          </w:tcPr>
          <w:p w14:paraId="25D1EC9C">
            <w:pPr>
              <w:jc w:val="center"/>
              <w:rPr>
                <w:color w:val="auto"/>
                <w:sz w:val="24"/>
                <w:szCs w:val="24"/>
              </w:rPr>
            </w:pPr>
          </w:p>
        </w:tc>
        <w:tc>
          <w:tcPr>
            <w:tcW w:w="1792" w:type="dxa"/>
            <w:noWrap w:val="0"/>
          </w:tcPr>
          <w:p w14:paraId="35858533">
            <w:pPr>
              <w:jc w:val="center"/>
              <w:rPr>
                <w:color w:val="auto"/>
                <w:sz w:val="24"/>
                <w:szCs w:val="24"/>
              </w:rPr>
            </w:pPr>
          </w:p>
        </w:tc>
        <w:tc>
          <w:tcPr>
            <w:tcW w:w="1173" w:type="dxa"/>
            <w:noWrap w:val="0"/>
          </w:tcPr>
          <w:p w14:paraId="7DF8B2C4">
            <w:pPr>
              <w:jc w:val="center"/>
              <w:rPr>
                <w:color w:val="auto"/>
                <w:sz w:val="24"/>
                <w:szCs w:val="24"/>
              </w:rPr>
            </w:pPr>
          </w:p>
        </w:tc>
      </w:tr>
      <w:tr w14:paraId="7C6B7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51FD237E">
            <w:pPr>
              <w:jc w:val="center"/>
              <w:rPr>
                <w:color w:val="auto"/>
                <w:sz w:val="24"/>
                <w:szCs w:val="24"/>
              </w:rPr>
            </w:pPr>
          </w:p>
        </w:tc>
        <w:tc>
          <w:tcPr>
            <w:tcW w:w="2695" w:type="dxa"/>
            <w:noWrap w:val="0"/>
          </w:tcPr>
          <w:p w14:paraId="08EA12A5">
            <w:pPr>
              <w:jc w:val="center"/>
              <w:rPr>
                <w:color w:val="auto"/>
                <w:sz w:val="24"/>
                <w:szCs w:val="24"/>
              </w:rPr>
            </w:pPr>
          </w:p>
        </w:tc>
        <w:tc>
          <w:tcPr>
            <w:tcW w:w="2368" w:type="dxa"/>
            <w:noWrap w:val="0"/>
          </w:tcPr>
          <w:p w14:paraId="6F837948">
            <w:pPr>
              <w:jc w:val="center"/>
              <w:rPr>
                <w:color w:val="auto"/>
                <w:sz w:val="24"/>
                <w:szCs w:val="24"/>
              </w:rPr>
            </w:pPr>
          </w:p>
        </w:tc>
        <w:tc>
          <w:tcPr>
            <w:tcW w:w="1792" w:type="dxa"/>
            <w:noWrap w:val="0"/>
          </w:tcPr>
          <w:p w14:paraId="49642634">
            <w:pPr>
              <w:jc w:val="center"/>
              <w:rPr>
                <w:color w:val="auto"/>
                <w:sz w:val="24"/>
                <w:szCs w:val="24"/>
              </w:rPr>
            </w:pPr>
          </w:p>
        </w:tc>
        <w:tc>
          <w:tcPr>
            <w:tcW w:w="1173" w:type="dxa"/>
            <w:noWrap w:val="0"/>
          </w:tcPr>
          <w:p w14:paraId="46998351">
            <w:pPr>
              <w:jc w:val="center"/>
              <w:rPr>
                <w:color w:val="auto"/>
                <w:sz w:val="24"/>
                <w:szCs w:val="24"/>
              </w:rPr>
            </w:pPr>
          </w:p>
        </w:tc>
      </w:tr>
      <w:tr w14:paraId="680A3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1373045A">
            <w:pPr>
              <w:jc w:val="center"/>
              <w:rPr>
                <w:color w:val="auto"/>
                <w:sz w:val="24"/>
                <w:szCs w:val="24"/>
              </w:rPr>
            </w:pPr>
          </w:p>
        </w:tc>
        <w:tc>
          <w:tcPr>
            <w:tcW w:w="2695" w:type="dxa"/>
            <w:noWrap w:val="0"/>
          </w:tcPr>
          <w:p w14:paraId="1644F834">
            <w:pPr>
              <w:jc w:val="center"/>
              <w:rPr>
                <w:color w:val="auto"/>
                <w:sz w:val="24"/>
                <w:szCs w:val="24"/>
              </w:rPr>
            </w:pPr>
          </w:p>
        </w:tc>
        <w:tc>
          <w:tcPr>
            <w:tcW w:w="2368" w:type="dxa"/>
            <w:noWrap w:val="0"/>
          </w:tcPr>
          <w:p w14:paraId="42706061">
            <w:pPr>
              <w:jc w:val="center"/>
              <w:rPr>
                <w:color w:val="auto"/>
                <w:sz w:val="24"/>
                <w:szCs w:val="24"/>
              </w:rPr>
            </w:pPr>
          </w:p>
        </w:tc>
        <w:tc>
          <w:tcPr>
            <w:tcW w:w="1792" w:type="dxa"/>
            <w:noWrap w:val="0"/>
          </w:tcPr>
          <w:p w14:paraId="016418C8">
            <w:pPr>
              <w:jc w:val="center"/>
              <w:rPr>
                <w:color w:val="auto"/>
                <w:sz w:val="24"/>
                <w:szCs w:val="24"/>
              </w:rPr>
            </w:pPr>
          </w:p>
        </w:tc>
        <w:tc>
          <w:tcPr>
            <w:tcW w:w="1173" w:type="dxa"/>
            <w:noWrap w:val="0"/>
          </w:tcPr>
          <w:p w14:paraId="2ED1F67A">
            <w:pPr>
              <w:jc w:val="center"/>
              <w:rPr>
                <w:color w:val="auto"/>
                <w:sz w:val="24"/>
                <w:szCs w:val="24"/>
              </w:rPr>
            </w:pPr>
          </w:p>
        </w:tc>
      </w:tr>
      <w:tr w14:paraId="644BF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46BA2368">
            <w:pPr>
              <w:jc w:val="center"/>
              <w:rPr>
                <w:color w:val="auto"/>
                <w:sz w:val="24"/>
                <w:szCs w:val="24"/>
              </w:rPr>
            </w:pPr>
          </w:p>
        </w:tc>
        <w:tc>
          <w:tcPr>
            <w:tcW w:w="2695" w:type="dxa"/>
            <w:noWrap w:val="0"/>
          </w:tcPr>
          <w:p w14:paraId="672D08C7">
            <w:pPr>
              <w:jc w:val="center"/>
              <w:rPr>
                <w:color w:val="auto"/>
                <w:sz w:val="24"/>
                <w:szCs w:val="24"/>
              </w:rPr>
            </w:pPr>
          </w:p>
        </w:tc>
        <w:tc>
          <w:tcPr>
            <w:tcW w:w="2368" w:type="dxa"/>
            <w:noWrap w:val="0"/>
          </w:tcPr>
          <w:p w14:paraId="59EB0FDB">
            <w:pPr>
              <w:jc w:val="center"/>
              <w:rPr>
                <w:color w:val="auto"/>
                <w:sz w:val="24"/>
                <w:szCs w:val="24"/>
              </w:rPr>
            </w:pPr>
          </w:p>
        </w:tc>
        <w:tc>
          <w:tcPr>
            <w:tcW w:w="1792" w:type="dxa"/>
            <w:noWrap w:val="0"/>
          </w:tcPr>
          <w:p w14:paraId="5EA3875A">
            <w:pPr>
              <w:jc w:val="center"/>
              <w:rPr>
                <w:color w:val="auto"/>
                <w:sz w:val="24"/>
                <w:szCs w:val="24"/>
              </w:rPr>
            </w:pPr>
          </w:p>
        </w:tc>
        <w:tc>
          <w:tcPr>
            <w:tcW w:w="1173" w:type="dxa"/>
            <w:noWrap w:val="0"/>
          </w:tcPr>
          <w:p w14:paraId="323BCBF2">
            <w:pPr>
              <w:jc w:val="center"/>
              <w:rPr>
                <w:color w:val="auto"/>
                <w:sz w:val="24"/>
                <w:szCs w:val="24"/>
              </w:rPr>
            </w:pPr>
          </w:p>
        </w:tc>
      </w:tr>
      <w:tr w14:paraId="6170C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41" w:type="dxa"/>
            <w:noWrap w:val="0"/>
          </w:tcPr>
          <w:p w14:paraId="7B19EFDF">
            <w:pPr>
              <w:jc w:val="center"/>
              <w:rPr>
                <w:color w:val="auto"/>
                <w:sz w:val="24"/>
                <w:szCs w:val="24"/>
              </w:rPr>
            </w:pPr>
          </w:p>
        </w:tc>
        <w:tc>
          <w:tcPr>
            <w:tcW w:w="2695" w:type="dxa"/>
            <w:noWrap w:val="0"/>
          </w:tcPr>
          <w:p w14:paraId="5C71E908">
            <w:pPr>
              <w:jc w:val="center"/>
              <w:rPr>
                <w:color w:val="auto"/>
                <w:sz w:val="24"/>
                <w:szCs w:val="24"/>
              </w:rPr>
            </w:pPr>
            <w:r>
              <w:rPr>
                <w:color w:val="auto"/>
                <w:sz w:val="24"/>
                <w:szCs w:val="24"/>
              </w:rPr>
              <w:t>……</w:t>
            </w:r>
          </w:p>
        </w:tc>
        <w:tc>
          <w:tcPr>
            <w:tcW w:w="2368" w:type="dxa"/>
            <w:noWrap w:val="0"/>
          </w:tcPr>
          <w:p w14:paraId="1965D332">
            <w:pPr>
              <w:jc w:val="center"/>
              <w:rPr>
                <w:color w:val="auto"/>
                <w:sz w:val="24"/>
                <w:szCs w:val="24"/>
              </w:rPr>
            </w:pPr>
          </w:p>
        </w:tc>
        <w:tc>
          <w:tcPr>
            <w:tcW w:w="1792" w:type="dxa"/>
            <w:noWrap w:val="0"/>
          </w:tcPr>
          <w:p w14:paraId="0B0E8DC6">
            <w:pPr>
              <w:jc w:val="center"/>
              <w:rPr>
                <w:color w:val="auto"/>
                <w:sz w:val="24"/>
                <w:szCs w:val="24"/>
              </w:rPr>
            </w:pPr>
          </w:p>
        </w:tc>
        <w:tc>
          <w:tcPr>
            <w:tcW w:w="1173" w:type="dxa"/>
            <w:noWrap w:val="0"/>
          </w:tcPr>
          <w:p w14:paraId="13DD995A">
            <w:pPr>
              <w:jc w:val="center"/>
              <w:rPr>
                <w:color w:val="auto"/>
                <w:sz w:val="24"/>
                <w:szCs w:val="24"/>
              </w:rPr>
            </w:pPr>
          </w:p>
        </w:tc>
      </w:tr>
    </w:tbl>
    <w:p w14:paraId="5F326A03">
      <w:pPr>
        <w:spacing w:line="588" w:lineRule="exact"/>
        <w:rPr>
          <w:color w:val="auto"/>
          <w:sz w:val="24"/>
        </w:rPr>
      </w:pPr>
      <w:r>
        <w:rPr>
          <w:color w:val="auto"/>
          <w:sz w:val="24"/>
        </w:rPr>
        <w:t>1.</w:t>
      </w:r>
      <w:r>
        <w:rPr>
          <w:rFonts w:hint="eastAsia"/>
          <w:color w:val="auto"/>
          <w:sz w:val="24"/>
        </w:rPr>
        <w:t>投标人</w:t>
      </w:r>
      <w:r>
        <w:rPr>
          <w:color w:val="auto"/>
          <w:sz w:val="24"/>
        </w:rPr>
        <w:t>必须对技术要求和商务要求中的实质性要求（加斜体下划线内容或打“★”内容）做出明确响应，否则作无效响应处理。</w:t>
      </w:r>
    </w:p>
    <w:p w14:paraId="0B2753F5">
      <w:pPr>
        <w:spacing w:line="588" w:lineRule="exact"/>
        <w:rPr>
          <w:color w:val="auto"/>
          <w:sz w:val="24"/>
        </w:rPr>
      </w:pPr>
      <w:r>
        <w:rPr>
          <w:color w:val="auto"/>
          <w:sz w:val="24"/>
        </w:rPr>
        <w:t>2.如果采购文件要求提供证明材料，</w:t>
      </w:r>
      <w:r>
        <w:rPr>
          <w:rFonts w:hint="eastAsia"/>
          <w:color w:val="auto"/>
          <w:sz w:val="24"/>
        </w:rPr>
        <w:t>投标人</w:t>
      </w:r>
      <w:r>
        <w:rPr>
          <w:color w:val="auto"/>
          <w:sz w:val="24"/>
        </w:rPr>
        <w:t>必须将证明材料列于该表之下。</w:t>
      </w:r>
    </w:p>
    <w:p w14:paraId="4A188E8D">
      <w:pPr>
        <w:spacing w:line="588" w:lineRule="exact"/>
        <w:rPr>
          <w:color w:val="auto"/>
          <w:sz w:val="24"/>
        </w:rPr>
      </w:pPr>
      <w:r>
        <w:rPr>
          <w:color w:val="auto"/>
          <w:sz w:val="24"/>
        </w:rPr>
        <w:t>3.</w:t>
      </w:r>
      <w:r>
        <w:rPr>
          <w:rFonts w:hint="eastAsia"/>
          <w:color w:val="auto"/>
          <w:sz w:val="24"/>
        </w:rPr>
        <w:t>投标人</w:t>
      </w:r>
      <w:r>
        <w:rPr>
          <w:color w:val="auto"/>
          <w:sz w:val="24"/>
        </w:rPr>
        <w:t>未对实质性要求作出明确响应的，或未按采购文件要求提供证明材料的，该分包作无效响应处理。</w:t>
      </w:r>
    </w:p>
    <w:p w14:paraId="67D90DDC">
      <w:pPr>
        <w:spacing w:line="588" w:lineRule="exact"/>
        <w:rPr>
          <w:color w:val="auto"/>
          <w:sz w:val="24"/>
        </w:rPr>
      </w:pPr>
      <w:r>
        <w:rPr>
          <w:rFonts w:hint="eastAsia"/>
          <w:color w:val="auto"/>
          <w:sz w:val="24"/>
        </w:rPr>
        <w:t>4.行数不够，可自行添加。</w:t>
      </w:r>
    </w:p>
    <w:p w14:paraId="55B2CA34">
      <w:pPr>
        <w:outlineLvl w:val="1"/>
        <w:rPr>
          <w:color w:val="auto"/>
          <w:sz w:val="24"/>
        </w:rPr>
      </w:pPr>
    </w:p>
    <w:p w14:paraId="55459D41">
      <w:pPr>
        <w:outlineLvl w:val="1"/>
        <w:rPr>
          <w:rFonts w:eastAsia="黑体"/>
          <w:b/>
          <w:color w:val="auto"/>
          <w:sz w:val="32"/>
          <w:szCs w:val="32"/>
        </w:rPr>
      </w:pPr>
    </w:p>
    <w:p w14:paraId="04DAB9F3">
      <w:pPr>
        <w:outlineLvl w:val="1"/>
        <w:rPr>
          <w:rFonts w:eastAsia="黑体"/>
          <w:b/>
          <w:color w:val="auto"/>
          <w:sz w:val="32"/>
          <w:szCs w:val="32"/>
        </w:rPr>
      </w:pPr>
    </w:p>
    <w:p w14:paraId="16386443">
      <w:pPr>
        <w:outlineLvl w:val="1"/>
        <w:rPr>
          <w:rFonts w:eastAsia="黑体"/>
          <w:b/>
          <w:color w:val="auto"/>
          <w:sz w:val="32"/>
          <w:szCs w:val="32"/>
        </w:rPr>
      </w:pPr>
    </w:p>
    <w:p w14:paraId="4FD07EA2">
      <w:pPr>
        <w:outlineLvl w:val="1"/>
        <w:rPr>
          <w:rFonts w:eastAsia="黑体"/>
          <w:b/>
          <w:color w:val="auto"/>
          <w:sz w:val="32"/>
          <w:szCs w:val="32"/>
        </w:rPr>
      </w:pPr>
    </w:p>
    <w:p w14:paraId="6547EB6C">
      <w:pPr>
        <w:outlineLvl w:val="1"/>
        <w:rPr>
          <w:rFonts w:eastAsia="黑体"/>
          <w:b/>
          <w:color w:val="auto"/>
          <w:sz w:val="32"/>
          <w:szCs w:val="32"/>
        </w:rPr>
      </w:pPr>
    </w:p>
    <w:p w14:paraId="2B103CEA">
      <w:pPr>
        <w:outlineLvl w:val="1"/>
        <w:rPr>
          <w:rFonts w:eastAsia="黑体"/>
          <w:b/>
          <w:color w:val="auto"/>
          <w:sz w:val="32"/>
          <w:szCs w:val="32"/>
        </w:rPr>
      </w:pPr>
    </w:p>
    <w:p w14:paraId="39A0CD51">
      <w:pPr>
        <w:outlineLvl w:val="1"/>
        <w:rPr>
          <w:rFonts w:eastAsia="黑体"/>
          <w:b/>
          <w:color w:val="auto"/>
          <w:sz w:val="32"/>
          <w:szCs w:val="32"/>
        </w:rPr>
      </w:pPr>
    </w:p>
    <w:p w14:paraId="60937E35">
      <w:pPr>
        <w:outlineLvl w:val="1"/>
        <w:rPr>
          <w:rFonts w:eastAsia="黑体"/>
          <w:b/>
          <w:color w:val="auto"/>
          <w:sz w:val="32"/>
          <w:szCs w:val="32"/>
        </w:rPr>
      </w:pPr>
    </w:p>
    <w:p w14:paraId="0D287176">
      <w:pPr>
        <w:outlineLvl w:val="1"/>
        <w:rPr>
          <w:rFonts w:eastAsia="黑体"/>
          <w:b/>
          <w:color w:val="auto"/>
          <w:sz w:val="32"/>
          <w:szCs w:val="32"/>
        </w:rPr>
      </w:pPr>
      <w:r>
        <w:rPr>
          <w:rFonts w:hint="eastAsia" w:eastAsia="黑体"/>
          <w:b/>
          <w:color w:val="auto"/>
          <w:sz w:val="32"/>
          <w:szCs w:val="32"/>
        </w:rPr>
        <w:t>八、项目实施方案</w:t>
      </w:r>
      <w:bookmarkEnd w:id="226"/>
    </w:p>
    <w:p w14:paraId="0D00C2AB">
      <w:pPr>
        <w:pStyle w:val="247"/>
        <w:spacing w:line="360" w:lineRule="auto"/>
        <w:rPr>
          <w:b/>
          <w:bCs/>
          <w:color w:val="auto"/>
          <w:sz w:val="24"/>
          <w:szCs w:val="24"/>
        </w:rPr>
      </w:pPr>
    </w:p>
    <w:p w14:paraId="3FA57E4F">
      <w:pPr>
        <w:pStyle w:val="247"/>
        <w:spacing w:line="360" w:lineRule="auto"/>
        <w:rPr>
          <w:b/>
          <w:bCs/>
          <w:highlight w:val="none"/>
        </w:rPr>
      </w:pPr>
      <w:bookmarkStart w:id="232" w:name="_Hlt26580838"/>
      <w:bookmarkEnd w:id="232"/>
      <w:bookmarkStart w:id="233" w:name="_Hlt26609391"/>
      <w:bookmarkEnd w:id="233"/>
      <w:bookmarkStart w:id="234" w:name="_Hlt26671372"/>
      <w:bookmarkEnd w:id="234"/>
      <w:bookmarkStart w:id="235" w:name="_Hlt26955054"/>
      <w:bookmarkEnd w:id="235"/>
      <w:bookmarkStart w:id="236" w:name="_Hlt26955064"/>
      <w:bookmarkEnd w:id="236"/>
      <w:bookmarkStart w:id="237" w:name="_Hlt26671343"/>
      <w:bookmarkEnd w:id="237"/>
      <w:bookmarkStart w:id="238" w:name="_Hlt26955056"/>
      <w:bookmarkEnd w:id="238"/>
      <w:bookmarkStart w:id="239" w:name="_Hlt24879081"/>
      <w:bookmarkEnd w:id="239"/>
      <w:bookmarkStart w:id="240" w:name="_Hlt26782999"/>
      <w:bookmarkEnd w:id="240"/>
      <w:r>
        <w:rPr>
          <w:b/>
          <w:bCs/>
        </w:rPr>
        <w:t>格式自拟</w:t>
      </w:r>
    </w:p>
    <w:p w14:paraId="451F1E53">
      <w:pPr>
        <w:spacing w:line="480" w:lineRule="auto"/>
        <w:rPr>
          <w:color w:val="auto"/>
          <w:sz w:val="30"/>
          <w:szCs w:val="21"/>
        </w:rPr>
      </w:pPr>
    </w:p>
    <w:p w14:paraId="08621802">
      <w:pPr>
        <w:pStyle w:val="248"/>
        <w:rPr>
          <w:rFonts w:ascii="Times New Roman" w:hAnsi="Times New Roman"/>
          <w:color w:val="auto"/>
        </w:rPr>
      </w:pPr>
      <w:bookmarkStart w:id="241" w:name="_Hlt26671374"/>
      <w:bookmarkEnd w:id="241"/>
      <w:bookmarkStart w:id="242" w:name="_格式2__法定代表人授权书"/>
      <w:bookmarkEnd w:id="242"/>
      <w:bookmarkStart w:id="243" w:name="_Hlt26609389"/>
      <w:bookmarkEnd w:id="243"/>
      <w:bookmarkStart w:id="244" w:name="_Hlt26955066"/>
      <w:bookmarkEnd w:id="244"/>
    </w:p>
    <w:p w14:paraId="2EE27228">
      <w:pPr>
        <w:pStyle w:val="248"/>
        <w:rPr>
          <w:rFonts w:ascii="Times New Roman" w:hAnsi="Times New Roman"/>
          <w:color w:val="auto"/>
        </w:rPr>
      </w:pPr>
    </w:p>
    <w:p w14:paraId="2834B8D4">
      <w:pPr>
        <w:pStyle w:val="248"/>
        <w:rPr>
          <w:rFonts w:ascii="Times New Roman" w:hAnsi="Times New Roman"/>
          <w:color w:val="auto"/>
        </w:rPr>
      </w:pPr>
    </w:p>
    <w:p w14:paraId="1C303D84">
      <w:pPr>
        <w:pStyle w:val="248"/>
        <w:rPr>
          <w:rFonts w:ascii="Times New Roman" w:hAnsi="Times New Roman"/>
          <w:color w:val="auto"/>
        </w:rPr>
      </w:pPr>
    </w:p>
    <w:p w14:paraId="15A604BC">
      <w:pPr>
        <w:pStyle w:val="248"/>
        <w:rPr>
          <w:rFonts w:ascii="Times New Roman" w:hAnsi="Times New Roman"/>
          <w:color w:val="auto"/>
        </w:rPr>
      </w:pPr>
    </w:p>
    <w:p w14:paraId="53F618E8">
      <w:pPr>
        <w:pStyle w:val="248"/>
        <w:rPr>
          <w:rFonts w:ascii="Times New Roman" w:hAnsi="Times New Roman"/>
          <w:color w:val="auto"/>
        </w:rPr>
      </w:pPr>
    </w:p>
    <w:p w14:paraId="53634AB1">
      <w:pPr>
        <w:pStyle w:val="248"/>
        <w:rPr>
          <w:rFonts w:ascii="Times New Roman" w:hAnsi="Times New Roman"/>
          <w:color w:val="auto"/>
        </w:rPr>
      </w:pPr>
    </w:p>
    <w:p w14:paraId="3C5F6266">
      <w:pPr>
        <w:pStyle w:val="248"/>
        <w:rPr>
          <w:rFonts w:ascii="Times New Roman" w:hAnsi="Times New Roman"/>
          <w:color w:val="auto"/>
        </w:rPr>
      </w:pPr>
    </w:p>
    <w:p w14:paraId="1C14AA2E">
      <w:pPr>
        <w:pStyle w:val="248"/>
        <w:rPr>
          <w:rFonts w:ascii="Times New Roman" w:hAnsi="Times New Roman"/>
          <w:color w:val="auto"/>
        </w:rPr>
      </w:pPr>
    </w:p>
    <w:p w14:paraId="09F8BD13">
      <w:pPr>
        <w:pStyle w:val="248"/>
        <w:rPr>
          <w:rFonts w:ascii="Times New Roman" w:hAnsi="Times New Roman"/>
          <w:color w:val="auto"/>
        </w:rPr>
      </w:pPr>
    </w:p>
    <w:p w14:paraId="5DB66711">
      <w:pPr>
        <w:pStyle w:val="248"/>
        <w:rPr>
          <w:rFonts w:ascii="Times New Roman" w:hAnsi="Times New Roman"/>
          <w:color w:val="auto"/>
        </w:rPr>
      </w:pPr>
    </w:p>
    <w:p w14:paraId="0370136C">
      <w:pPr>
        <w:pStyle w:val="248"/>
        <w:rPr>
          <w:rFonts w:ascii="Times New Roman" w:hAnsi="Times New Roman"/>
          <w:color w:val="auto"/>
        </w:rPr>
      </w:pPr>
    </w:p>
    <w:p w14:paraId="730FD4EE">
      <w:pPr>
        <w:pStyle w:val="248"/>
        <w:rPr>
          <w:rFonts w:ascii="Times New Roman" w:hAnsi="Times New Roman"/>
          <w:color w:val="auto"/>
        </w:rPr>
      </w:pPr>
    </w:p>
    <w:p w14:paraId="10A43E63">
      <w:pPr>
        <w:pStyle w:val="248"/>
        <w:rPr>
          <w:rFonts w:ascii="Times New Roman" w:hAnsi="Times New Roman"/>
          <w:color w:val="auto"/>
        </w:rPr>
      </w:pPr>
    </w:p>
    <w:p w14:paraId="19D2894F">
      <w:pPr>
        <w:pStyle w:val="248"/>
        <w:rPr>
          <w:rFonts w:ascii="Times New Roman" w:hAnsi="Times New Roman"/>
          <w:color w:val="auto"/>
        </w:rPr>
      </w:pPr>
    </w:p>
    <w:p w14:paraId="282511F1">
      <w:pPr>
        <w:pStyle w:val="248"/>
        <w:rPr>
          <w:rFonts w:ascii="Times New Roman" w:hAnsi="Times New Roman"/>
          <w:color w:val="auto"/>
        </w:rPr>
      </w:pPr>
    </w:p>
    <w:p w14:paraId="4CCF7E40">
      <w:pPr>
        <w:pStyle w:val="248"/>
        <w:rPr>
          <w:rFonts w:ascii="Times New Roman" w:hAnsi="Times New Roman"/>
          <w:color w:val="auto"/>
        </w:rPr>
      </w:pPr>
    </w:p>
    <w:p w14:paraId="5BFD2E9B">
      <w:pPr>
        <w:pStyle w:val="248"/>
        <w:rPr>
          <w:rFonts w:ascii="Times New Roman" w:hAnsi="Times New Roman"/>
          <w:color w:val="auto"/>
        </w:rPr>
      </w:pPr>
    </w:p>
    <w:p w14:paraId="14D360FF">
      <w:pPr>
        <w:pStyle w:val="248"/>
        <w:rPr>
          <w:rFonts w:ascii="Times New Roman" w:hAnsi="Times New Roman"/>
          <w:color w:val="auto"/>
        </w:rPr>
      </w:pPr>
    </w:p>
    <w:p w14:paraId="4C7185AD">
      <w:pPr>
        <w:pStyle w:val="248"/>
        <w:rPr>
          <w:rFonts w:ascii="Times New Roman" w:hAnsi="Times New Roman"/>
          <w:color w:val="auto"/>
        </w:rPr>
      </w:pPr>
    </w:p>
    <w:p w14:paraId="643F1775">
      <w:pPr>
        <w:pStyle w:val="248"/>
        <w:rPr>
          <w:rFonts w:ascii="Times New Roman" w:hAnsi="Times New Roman"/>
          <w:color w:val="auto"/>
        </w:rPr>
      </w:pPr>
    </w:p>
    <w:p w14:paraId="4A8D0F58">
      <w:pPr>
        <w:pStyle w:val="248"/>
        <w:outlineLvl w:val="1"/>
        <w:rPr>
          <w:rFonts w:ascii="Times New Roman" w:hAnsi="Times New Roman"/>
          <w:color w:val="auto"/>
        </w:rPr>
        <w:sectPr>
          <w:pgSz w:w="11906" w:h="16838"/>
          <w:pgMar w:top="1440" w:right="1080" w:bottom="1440" w:left="1080" w:header="851" w:footer="907" w:gutter="0"/>
          <w:cols w:space="1701" w:num="1"/>
          <w:docGrid w:linePitch="360" w:charSpace="0"/>
        </w:sectPr>
      </w:pPr>
    </w:p>
    <w:p w14:paraId="34FB0CF0">
      <w:pPr>
        <w:pStyle w:val="248"/>
        <w:outlineLvl w:val="1"/>
        <w:rPr>
          <w:rFonts w:ascii="Times New Roman" w:hAnsi="Times New Roman"/>
          <w:color w:val="auto"/>
          <w:highlight w:val="none"/>
        </w:rPr>
      </w:pPr>
      <w:r>
        <w:rPr>
          <w:rFonts w:ascii="Times New Roman" w:hAnsi="Times New Roman"/>
          <w:color w:val="auto"/>
          <w:highlight w:val="none"/>
        </w:rPr>
        <w:t>九、售后服务方案</w:t>
      </w:r>
    </w:p>
    <w:p w14:paraId="4B68B94D">
      <w:pPr>
        <w:pStyle w:val="248"/>
        <w:outlineLvl w:val="1"/>
        <w:rPr>
          <w:rFonts w:ascii="Times New Roman" w:hAnsi="Times New Roman"/>
          <w:color w:val="auto"/>
        </w:rPr>
      </w:pPr>
    </w:p>
    <w:p w14:paraId="0941A971">
      <w:pPr>
        <w:pStyle w:val="248"/>
        <w:outlineLvl w:val="1"/>
        <w:rPr>
          <w:rFonts w:ascii="Times New Roman" w:hAnsi="Times New Roman"/>
          <w:b w:val="0"/>
          <w:bCs w:val="0"/>
          <w:color w:val="auto"/>
          <w:sz w:val="24"/>
          <w:szCs w:val="24"/>
          <w:highlight w:val="none"/>
        </w:rPr>
      </w:pPr>
      <w:r>
        <w:rPr>
          <w:rFonts w:ascii="Times New Roman" w:hAnsi="Times New Roman"/>
          <w:b w:val="0"/>
          <w:bCs w:val="0"/>
          <w:color w:val="auto"/>
          <w:sz w:val="24"/>
          <w:szCs w:val="24"/>
        </w:rPr>
        <w:t>格式自拟</w:t>
      </w:r>
    </w:p>
    <w:p w14:paraId="5997DDD0">
      <w:pPr>
        <w:pStyle w:val="248"/>
        <w:outlineLvl w:val="1"/>
        <w:rPr>
          <w:rFonts w:ascii="Times New Roman" w:hAnsi="Times New Roman"/>
          <w:color w:val="auto"/>
        </w:rPr>
      </w:pPr>
    </w:p>
    <w:p w14:paraId="4D845C56">
      <w:pPr>
        <w:pStyle w:val="248"/>
        <w:outlineLvl w:val="1"/>
        <w:rPr>
          <w:rFonts w:ascii="Times New Roman" w:hAnsi="Times New Roman"/>
          <w:color w:val="auto"/>
        </w:rPr>
      </w:pPr>
    </w:p>
    <w:p w14:paraId="38D2058D">
      <w:pPr>
        <w:pStyle w:val="248"/>
        <w:outlineLvl w:val="1"/>
        <w:rPr>
          <w:rFonts w:ascii="Times New Roman" w:hAnsi="Times New Roman"/>
          <w:color w:val="auto"/>
        </w:rPr>
      </w:pPr>
    </w:p>
    <w:p w14:paraId="21FFB079">
      <w:pPr>
        <w:pStyle w:val="248"/>
        <w:outlineLvl w:val="1"/>
        <w:rPr>
          <w:rFonts w:ascii="Times New Roman" w:hAnsi="Times New Roman"/>
          <w:color w:val="auto"/>
        </w:rPr>
      </w:pPr>
    </w:p>
    <w:p w14:paraId="6E175516">
      <w:pPr>
        <w:pStyle w:val="248"/>
        <w:outlineLvl w:val="1"/>
        <w:rPr>
          <w:rFonts w:ascii="Times New Roman" w:hAnsi="Times New Roman"/>
          <w:color w:val="auto"/>
        </w:rPr>
      </w:pPr>
    </w:p>
    <w:p w14:paraId="400CDA9C">
      <w:pPr>
        <w:pStyle w:val="248"/>
        <w:outlineLvl w:val="1"/>
        <w:rPr>
          <w:rFonts w:ascii="Times New Roman" w:hAnsi="Times New Roman"/>
          <w:color w:val="auto"/>
        </w:rPr>
      </w:pPr>
    </w:p>
    <w:p w14:paraId="63596D94">
      <w:pPr>
        <w:pStyle w:val="248"/>
        <w:outlineLvl w:val="1"/>
        <w:rPr>
          <w:rFonts w:ascii="Times New Roman" w:hAnsi="Times New Roman"/>
          <w:color w:val="auto"/>
        </w:rPr>
      </w:pPr>
    </w:p>
    <w:p w14:paraId="4C45A7AA">
      <w:pPr>
        <w:pStyle w:val="248"/>
        <w:outlineLvl w:val="1"/>
        <w:rPr>
          <w:rFonts w:ascii="Times New Roman" w:hAnsi="Times New Roman"/>
          <w:color w:val="auto"/>
        </w:rPr>
      </w:pPr>
    </w:p>
    <w:p w14:paraId="4B1F45B2">
      <w:pPr>
        <w:pStyle w:val="248"/>
        <w:outlineLvl w:val="1"/>
        <w:rPr>
          <w:rFonts w:ascii="Times New Roman" w:hAnsi="Times New Roman"/>
          <w:color w:val="auto"/>
        </w:rPr>
      </w:pPr>
    </w:p>
    <w:p w14:paraId="69F6A813">
      <w:pPr>
        <w:pStyle w:val="248"/>
        <w:outlineLvl w:val="1"/>
        <w:rPr>
          <w:rFonts w:ascii="Times New Roman" w:hAnsi="Times New Roman"/>
          <w:color w:val="auto"/>
        </w:rPr>
      </w:pPr>
    </w:p>
    <w:p w14:paraId="0662521C">
      <w:pPr>
        <w:pStyle w:val="248"/>
        <w:outlineLvl w:val="1"/>
        <w:rPr>
          <w:rFonts w:ascii="Times New Roman" w:hAnsi="Times New Roman"/>
          <w:color w:val="auto"/>
        </w:rPr>
      </w:pPr>
    </w:p>
    <w:p w14:paraId="2C0F44EB">
      <w:pPr>
        <w:pStyle w:val="248"/>
        <w:outlineLvl w:val="1"/>
        <w:rPr>
          <w:rFonts w:ascii="Times New Roman" w:hAnsi="Times New Roman"/>
          <w:color w:val="auto"/>
        </w:rPr>
      </w:pPr>
    </w:p>
    <w:p w14:paraId="077B5F15">
      <w:pPr>
        <w:pStyle w:val="248"/>
        <w:outlineLvl w:val="1"/>
        <w:rPr>
          <w:rFonts w:ascii="Times New Roman" w:hAnsi="Times New Roman"/>
          <w:color w:val="auto"/>
        </w:rPr>
      </w:pPr>
    </w:p>
    <w:p w14:paraId="75488BF3">
      <w:pPr>
        <w:pStyle w:val="248"/>
        <w:outlineLvl w:val="1"/>
        <w:rPr>
          <w:rFonts w:ascii="Times New Roman" w:hAnsi="Times New Roman"/>
          <w:color w:val="auto"/>
        </w:rPr>
      </w:pPr>
    </w:p>
    <w:p w14:paraId="44A60CF8">
      <w:pPr>
        <w:pStyle w:val="248"/>
        <w:outlineLvl w:val="1"/>
        <w:rPr>
          <w:rFonts w:ascii="Times New Roman" w:hAnsi="Times New Roman"/>
          <w:color w:val="auto"/>
        </w:rPr>
      </w:pPr>
    </w:p>
    <w:p w14:paraId="53DCBA52">
      <w:pPr>
        <w:pStyle w:val="248"/>
        <w:outlineLvl w:val="1"/>
        <w:rPr>
          <w:rFonts w:ascii="Times New Roman" w:hAnsi="Times New Roman"/>
          <w:color w:val="auto"/>
        </w:rPr>
      </w:pPr>
    </w:p>
    <w:p w14:paraId="0027D08E">
      <w:pPr>
        <w:pStyle w:val="248"/>
        <w:outlineLvl w:val="1"/>
        <w:rPr>
          <w:rFonts w:ascii="Times New Roman" w:hAnsi="Times New Roman"/>
          <w:color w:val="auto"/>
        </w:rPr>
      </w:pPr>
    </w:p>
    <w:p w14:paraId="18CE5DB3">
      <w:pPr>
        <w:pStyle w:val="248"/>
        <w:outlineLvl w:val="1"/>
        <w:rPr>
          <w:rFonts w:ascii="Times New Roman" w:hAnsi="Times New Roman"/>
          <w:color w:val="auto"/>
        </w:rPr>
      </w:pPr>
    </w:p>
    <w:p w14:paraId="18D575B6">
      <w:pPr>
        <w:pStyle w:val="248"/>
        <w:outlineLvl w:val="1"/>
        <w:rPr>
          <w:rFonts w:ascii="Times New Roman" w:hAnsi="Times New Roman"/>
          <w:color w:val="auto"/>
        </w:rPr>
      </w:pPr>
    </w:p>
    <w:p w14:paraId="435D71E2">
      <w:pPr>
        <w:pStyle w:val="248"/>
        <w:outlineLvl w:val="1"/>
        <w:rPr>
          <w:rFonts w:ascii="Times New Roman" w:hAnsi="Times New Roman"/>
          <w:color w:val="auto"/>
        </w:rPr>
      </w:pPr>
    </w:p>
    <w:p w14:paraId="6DD103F8">
      <w:pPr>
        <w:pStyle w:val="248"/>
        <w:outlineLvl w:val="1"/>
        <w:rPr>
          <w:rFonts w:ascii="Times New Roman" w:hAnsi="Times New Roman"/>
          <w:color w:val="auto"/>
        </w:rPr>
      </w:pPr>
    </w:p>
    <w:p w14:paraId="3A0A62B8">
      <w:pPr>
        <w:pStyle w:val="248"/>
        <w:outlineLvl w:val="1"/>
        <w:rPr>
          <w:rFonts w:ascii="Times New Roman" w:hAnsi="Times New Roman"/>
          <w:color w:val="auto"/>
        </w:rPr>
      </w:pPr>
    </w:p>
    <w:p w14:paraId="622F718C">
      <w:pPr>
        <w:pStyle w:val="248"/>
        <w:outlineLvl w:val="1"/>
        <w:rPr>
          <w:rFonts w:ascii="Times New Roman" w:hAnsi="Times New Roman"/>
          <w:color w:val="auto"/>
        </w:rPr>
      </w:pPr>
    </w:p>
    <w:p w14:paraId="7F1FB186">
      <w:pPr>
        <w:pStyle w:val="248"/>
        <w:outlineLvl w:val="1"/>
        <w:rPr>
          <w:rFonts w:ascii="Times New Roman" w:hAnsi="Times New Roman"/>
          <w:color w:val="auto"/>
        </w:rPr>
      </w:pPr>
    </w:p>
    <w:p w14:paraId="1FDB3BF7">
      <w:pPr>
        <w:pStyle w:val="248"/>
        <w:outlineLvl w:val="1"/>
        <w:rPr>
          <w:rFonts w:ascii="Times New Roman" w:hAnsi="Times New Roman"/>
          <w:color w:val="auto"/>
        </w:rPr>
      </w:pPr>
    </w:p>
    <w:p w14:paraId="4FB6C63A">
      <w:pPr>
        <w:pStyle w:val="248"/>
        <w:outlineLvl w:val="1"/>
        <w:rPr>
          <w:rFonts w:ascii="Times New Roman" w:hAnsi="Times New Roman"/>
          <w:color w:val="auto"/>
        </w:rPr>
      </w:pPr>
    </w:p>
    <w:p w14:paraId="77F67E06">
      <w:pPr>
        <w:pStyle w:val="248"/>
        <w:outlineLvl w:val="1"/>
        <w:rPr>
          <w:rFonts w:ascii="Times New Roman" w:hAnsi="Times New Roman"/>
          <w:color w:val="auto"/>
        </w:rPr>
      </w:pPr>
    </w:p>
    <w:p w14:paraId="1CEBA379">
      <w:pPr>
        <w:pStyle w:val="248"/>
        <w:outlineLvl w:val="1"/>
        <w:rPr>
          <w:rFonts w:ascii="Times New Roman" w:hAnsi="Times New Roman"/>
          <w:color w:val="auto"/>
        </w:rPr>
      </w:pPr>
    </w:p>
    <w:p w14:paraId="0FD3552D">
      <w:pPr>
        <w:pStyle w:val="248"/>
        <w:outlineLvl w:val="1"/>
        <w:rPr>
          <w:rFonts w:ascii="Times New Roman" w:hAnsi="Times New Roman"/>
          <w:color w:val="auto"/>
        </w:rPr>
      </w:pPr>
    </w:p>
    <w:p w14:paraId="7F4F5016">
      <w:pPr>
        <w:pStyle w:val="248"/>
        <w:outlineLvl w:val="1"/>
        <w:rPr>
          <w:rFonts w:ascii="Times New Roman" w:hAnsi="Times New Roman"/>
          <w:color w:val="auto"/>
        </w:rPr>
      </w:pPr>
    </w:p>
    <w:p w14:paraId="27901D25">
      <w:pPr>
        <w:pStyle w:val="248"/>
        <w:outlineLvl w:val="1"/>
        <w:rPr>
          <w:rFonts w:ascii="Times New Roman" w:hAnsi="Times New Roman"/>
          <w:color w:val="auto"/>
        </w:rPr>
      </w:pPr>
    </w:p>
    <w:p w14:paraId="150D1C3C">
      <w:pPr>
        <w:pStyle w:val="248"/>
        <w:outlineLvl w:val="1"/>
        <w:rPr>
          <w:rFonts w:ascii="Times New Roman" w:hAnsi="Times New Roman"/>
          <w:color w:val="auto"/>
        </w:rPr>
      </w:pPr>
    </w:p>
    <w:p w14:paraId="3BB65A89">
      <w:pPr>
        <w:pStyle w:val="248"/>
        <w:outlineLvl w:val="1"/>
        <w:rPr>
          <w:rFonts w:ascii="Times New Roman" w:hAnsi="Times New Roman"/>
          <w:color w:val="auto"/>
        </w:rPr>
      </w:pPr>
    </w:p>
    <w:p w14:paraId="5B322477">
      <w:pPr>
        <w:pStyle w:val="248"/>
        <w:outlineLvl w:val="1"/>
        <w:rPr>
          <w:rFonts w:ascii="Times New Roman" w:hAnsi="Times New Roman"/>
          <w:color w:val="auto"/>
        </w:rPr>
      </w:pPr>
    </w:p>
    <w:p w14:paraId="53783B18">
      <w:pPr>
        <w:pStyle w:val="248"/>
        <w:outlineLvl w:val="1"/>
        <w:rPr>
          <w:rFonts w:ascii="Times New Roman" w:hAnsi="Times New Roman"/>
          <w:color w:val="auto"/>
          <w:highlight w:val="none"/>
        </w:rPr>
      </w:pPr>
      <w:r>
        <w:rPr>
          <w:rFonts w:hint="eastAsia" w:ascii="Times New Roman" w:hAnsi="Times New Roman"/>
          <w:color w:val="auto"/>
        </w:rPr>
        <w:t>十、</w:t>
      </w:r>
      <w:r>
        <w:rPr>
          <w:rFonts w:ascii="Times New Roman" w:hAnsi="Times New Roman"/>
          <w:color w:val="auto"/>
        </w:rPr>
        <w:t>项目组人员</w:t>
      </w:r>
    </w:p>
    <w:p w14:paraId="7EA32050">
      <w:pPr>
        <w:pStyle w:val="249"/>
        <w:spacing w:line="600" w:lineRule="exact"/>
        <w:jc w:val="center"/>
        <w:outlineLvl w:val="2"/>
        <w:rPr>
          <w:rFonts w:ascii="Times New Roman" w:hAnsi="Times New Roman"/>
          <w:b/>
          <w:bCs/>
          <w:color w:val="auto"/>
          <w:sz w:val="32"/>
          <w:szCs w:val="32"/>
        </w:rPr>
      </w:pPr>
      <w:r>
        <w:rPr>
          <w:rFonts w:hint="eastAsia" w:ascii="Times New Roman" w:hAnsi="Times New Roman"/>
          <w:b/>
          <w:bCs/>
          <w:color w:val="auto"/>
          <w:sz w:val="32"/>
          <w:szCs w:val="32"/>
          <w:lang w:bidi="ar"/>
        </w:rPr>
        <w:t>项目组成员</w:t>
      </w:r>
    </w:p>
    <w:tbl>
      <w:tblPr>
        <w:tblStyle w:val="4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7575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264D68D7">
            <w:pPr>
              <w:pStyle w:val="250"/>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姓名</w:t>
            </w:r>
          </w:p>
        </w:tc>
        <w:tc>
          <w:tcPr>
            <w:tcW w:w="1843" w:type="dxa"/>
            <w:noWrap w:val="0"/>
            <w:vAlign w:val="center"/>
          </w:tcPr>
          <w:p w14:paraId="19FF3437">
            <w:pPr>
              <w:pStyle w:val="250"/>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职务</w:t>
            </w:r>
          </w:p>
        </w:tc>
        <w:tc>
          <w:tcPr>
            <w:tcW w:w="992" w:type="dxa"/>
            <w:noWrap w:val="0"/>
            <w:vAlign w:val="center"/>
          </w:tcPr>
          <w:p w14:paraId="7ACC8AD6">
            <w:pPr>
              <w:pStyle w:val="250"/>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学历</w:t>
            </w:r>
          </w:p>
        </w:tc>
        <w:tc>
          <w:tcPr>
            <w:tcW w:w="1984" w:type="dxa"/>
            <w:noWrap w:val="0"/>
            <w:vAlign w:val="center"/>
          </w:tcPr>
          <w:p w14:paraId="7A2AF80C">
            <w:pPr>
              <w:pStyle w:val="250"/>
              <w:widowControl/>
              <w:spacing w:beforeAutospacing="1" w:line="560" w:lineRule="exact"/>
              <w:ind w:firstLine="280"/>
              <w:rPr>
                <w:rFonts w:eastAsia="仿宋_GB2312" w:cs="仿宋_GB2312"/>
                <w:color w:val="auto"/>
                <w:sz w:val="28"/>
                <w:szCs w:val="28"/>
              </w:rPr>
            </w:pPr>
            <w:r>
              <w:rPr>
                <w:rFonts w:eastAsia="仿宋_GB2312" w:cs="仿宋_GB2312"/>
                <w:color w:val="auto"/>
                <w:sz w:val="28"/>
                <w:szCs w:val="28"/>
              </w:rPr>
              <w:t>身份证号</w:t>
            </w:r>
          </w:p>
        </w:tc>
        <w:tc>
          <w:tcPr>
            <w:tcW w:w="1702" w:type="dxa"/>
            <w:noWrap w:val="0"/>
            <w:vAlign w:val="center"/>
          </w:tcPr>
          <w:p w14:paraId="04BDB0FB">
            <w:pPr>
              <w:pStyle w:val="250"/>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相关证书</w:t>
            </w:r>
          </w:p>
        </w:tc>
        <w:tc>
          <w:tcPr>
            <w:tcW w:w="962" w:type="dxa"/>
            <w:noWrap w:val="0"/>
            <w:vAlign w:val="center"/>
          </w:tcPr>
          <w:p w14:paraId="200BE674">
            <w:pPr>
              <w:pStyle w:val="250"/>
              <w:widowControl/>
              <w:spacing w:beforeAutospacing="1" w:line="560" w:lineRule="exact"/>
              <w:rPr>
                <w:rFonts w:eastAsia="仿宋_GB2312" w:cs="仿宋_GB2312"/>
                <w:color w:val="auto"/>
                <w:sz w:val="28"/>
                <w:szCs w:val="28"/>
              </w:rPr>
            </w:pPr>
            <w:r>
              <w:rPr>
                <w:rFonts w:eastAsia="仿宋_GB2312" w:cs="仿宋_GB2312"/>
                <w:color w:val="auto"/>
                <w:sz w:val="28"/>
                <w:szCs w:val="28"/>
              </w:rPr>
              <w:t>备注</w:t>
            </w:r>
          </w:p>
        </w:tc>
      </w:tr>
      <w:tr w14:paraId="1443E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97DFE39">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7FE2DA41">
            <w:pPr>
              <w:pStyle w:val="249"/>
              <w:jc w:val="center"/>
              <w:rPr>
                <w:rFonts w:ascii="Times New Roman" w:hAnsi="Times New Roman" w:eastAsia="仿宋_GB2312"/>
                <w:color w:val="auto"/>
                <w:sz w:val="20"/>
                <w:szCs w:val="20"/>
              </w:rPr>
            </w:pPr>
            <w:r>
              <w:rPr>
                <w:rFonts w:hint="eastAsia" w:ascii="Times New Roman" w:hAnsi="Times New Roman" w:eastAsia="仿宋_GB2312" w:cs="仿宋_GB2312"/>
                <w:color w:val="auto"/>
                <w:sz w:val="28"/>
                <w:szCs w:val="28"/>
                <w:lang w:bidi="ar"/>
              </w:rPr>
              <w:t>项目负责人</w:t>
            </w:r>
          </w:p>
        </w:tc>
        <w:tc>
          <w:tcPr>
            <w:tcW w:w="992" w:type="dxa"/>
            <w:noWrap w:val="0"/>
            <w:vAlign w:val="center"/>
          </w:tcPr>
          <w:p w14:paraId="7828CF19">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44489688">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37A95E69">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5ACF61E5">
            <w:pPr>
              <w:pStyle w:val="250"/>
              <w:widowControl/>
              <w:spacing w:line="560" w:lineRule="exact"/>
              <w:ind w:firstLine="560"/>
              <w:jc w:val="center"/>
              <w:rPr>
                <w:rFonts w:eastAsia="仿宋_GB2312" w:cs="仿宋_GB2312"/>
                <w:color w:val="auto"/>
                <w:sz w:val="28"/>
                <w:szCs w:val="28"/>
              </w:rPr>
            </w:pPr>
          </w:p>
        </w:tc>
      </w:tr>
      <w:tr w14:paraId="2DB5E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84214DA">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3B832E9A">
            <w:pPr>
              <w:pStyle w:val="249"/>
              <w:jc w:val="center"/>
              <w:rPr>
                <w:rFonts w:ascii="Times New Roman" w:hAnsi="Times New Roman" w:eastAsia="仿宋_GB2312" w:cs="仿宋_GB2312"/>
                <w:color w:val="auto"/>
                <w:sz w:val="28"/>
                <w:szCs w:val="28"/>
              </w:rPr>
            </w:pPr>
            <w:r>
              <w:rPr>
                <w:rFonts w:hint="eastAsia" w:ascii="Times New Roman" w:hAnsi="Times New Roman" w:eastAsia="仿宋_GB2312" w:cs="仿宋_GB2312"/>
                <w:color w:val="auto"/>
                <w:sz w:val="28"/>
                <w:szCs w:val="28"/>
                <w:lang w:bidi="ar"/>
              </w:rPr>
              <w:t>……</w:t>
            </w:r>
          </w:p>
        </w:tc>
        <w:tc>
          <w:tcPr>
            <w:tcW w:w="992" w:type="dxa"/>
            <w:noWrap w:val="0"/>
            <w:vAlign w:val="center"/>
          </w:tcPr>
          <w:p w14:paraId="76F54E7B">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52864C7C">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6467EBAB">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25EE4701">
            <w:pPr>
              <w:pStyle w:val="250"/>
              <w:widowControl/>
              <w:spacing w:line="560" w:lineRule="exact"/>
              <w:ind w:firstLine="560"/>
              <w:jc w:val="center"/>
              <w:rPr>
                <w:rFonts w:eastAsia="仿宋_GB2312" w:cs="仿宋_GB2312"/>
                <w:color w:val="auto"/>
                <w:sz w:val="28"/>
                <w:szCs w:val="28"/>
              </w:rPr>
            </w:pPr>
          </w:p>
        </w:tc>
      </w:tr>
      <w:tr w14:paraId="512F8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3CA8AC3">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0621A10D">
            <w:pPr>
              <w:pStyle w:val="249"/>
              <w:jc w:val="center"/>
              <w:rPr>
                <w:rFonts w:ascii="Times New Roman" w:hAnsi="Times New Roman" w:eastAsia="仿宋_GB2312" w:cs="仿宋_GB2312"/>
                <w:color w:val="auto"/>
                <w:sz w:val="28"/>
                <w:szCs w:val="28"/>
              </w:rPr>
            </w:pPr>
            <w:r>
              <w:rPr>
                <w:rFonts w:hint="eastAsia" w:ascii="Times New Roman" w:hAnsi="Times New Roman" w:eastAsia="仿宋_GB2312" w:cs="仿宋_GB2312"/>
                <w:color w:val="auto"/>
                <w:sz w:val="28"/>
                <w:szCs w:val="28"/>
                <w:lang w:bidi="ar"/>
              </w:rPr>
              <w:t>……</w:t>
            </w:r>
          </w:p>
        </w:tc>
        <w:tc>
          <w:tcPr>
            <w:tcW w:w="992" w:type="dxa"/>
            <w:noWrap w:val="0"/>
            <w:vAlign w:val="center"/>
          </w:tcPr>
          <w:p w14:paraId="63C6FEFC">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30D6757D">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32D3E3C4">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58F0C680">
            <w:pPr>
              <w:pStyle w:val="250"/>
              <w:widowControl/>
              <w:spacing w:line="560" w:lineRule="exact"/>
              <w:ind w:firstLine="560"/>
              <w:jc w:val="center"/>
              <w:rPr>
                <w:rFonts w:eastAsia="仿宋_GB2312" w:cs="仿宋_GB2312"/>
                <w:color w:val="auto"/>
                <w:sz w:val="28"/>
                <w:szCs w:val="28"/>
              </w:rPr>
            </w:pPr>
          </w:p>
        </w:tc>
      </w:tr>
      <w:tr w14:paraId="44397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363292E">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0E1BB58D">
            <w:pPr>
              <w:pStyle w:val="249"/>
              <w:rPr>
                <w:rFonts w:ascii="Times New Roman" w:hAnsi="Times New Roman" w:eastAsia="仿宋_GB2312" w:cs="仿宋_GB2312"/>
                <w:color w:val="auto"/>
                <w:sz w:val="28"/>
                <w:szCs w:val="28"/>
              </w:rPr>
            </w:pPr>
          </w:p>
        </w:tc>
        <w:tc>
          <w:tcPr>
            <w:tcW w:w="992" w:type="dxa"/>
            <w:noWrap w:val="0"/>
            <w:vAlign w:val="center"/>
          </w:tcPr>
          <w:p w14:paraId="302D8074">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242AA4D3">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5D78E0FA">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7D0583BA">
            <w:pPr>
              <w:pStyle w:val="250"/>
              <w:widowControl/>
              <w:spacing w:line="560" w:lineRule="exact"/>
              <w:ind w:firstLine="560"/>
              <w:jc w:val="center"/>
              <w:rPr>
                <w:rFonts w:eastAsia="仿宋_GB2312" w:cs="仿宋_GB2312"/>
                <w:color w:val="auto"/>
                <w:sz w:val="28"/>
                <w:szCs w:val="28"/>
              </w:rPr>
            </w:pPr>
          </w:p>
        </w:tc>
      </w:tr>
      <w:tr w14:paraId="3D63F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B5BC135">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55C955D6">
            <w:pPr>
              <w:pStyle w:val="249"/>
              <w:rPr>
                <w:rFonts w:ascii="Times New Roman" w:hAnsi="Times New Roman" w:eastAsia="仿宋_GB2312" w:cs="仿宋_GB2312"/>
                <w:color w:val="auto"/>
                <w:sz w:val="28"/>
                <w:szCs w:val="28"/>
              </w:rPr>
            </w:pPr>
          </w:p>
        </w:tc>
        <w:tc>
          <w:tcPr>
            <w:tcW w:w="992" w:type="dxa"/>
            <w:noWrap w:val="0"/>
            <w:vAlign w:val="center"/>
          </w:tcPr>
          <w:p w14:paraId="03E5D615">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3361A35C">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3C274D1C">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5BC9AE91">
            <w:pPr>
              <w:pStyle w:val="250"/>
              <w:widowControl/>
              <w:spacing w:line="560" w:lineRule="exact"/>
              <w:ind w:firstLine="560"/>
              <w:jc w:val="center"/>
              <w:rPr>
                <w:rFonts w:eastAsia="仿宋_GB2312" w:cs="仿宋_GB2312"/>
                <w:color w:val="auto"/>
                <w:sz w:val="28"/>
                <w:szCs w:val="28"/>
              </w:rPr>
            </w:pPr>
          </w:p>
        </w:tc>
      </w:tr>
      <w:tr w14:paraId="5CB51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0051139">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7D8D160B">
            <w:pPr>
              <w:pStyle w:val="250"/>
              <w:widowControl/>
              <w:spacing w:line="560" w:lineRule="exact"/>
              <w:ind w:firstLine="560"/>
              <w:jc w:val="center"/>
              <w:rPr>
                <w:rFonts w:eastAsia="仿宋_GB2312" w:cs="仿宋_GB2312"/>
                <w:color w:val="auto"/>
                <w:sz w:val="28"/>
                <w:szCs w:val="28"/>
              </w:rPr>
            </w:pPr>
          </w:p>
        </w:tc>
        <w:tc>
          <w:tcPr>
            <w:tcW w:w="992" w:type="dxa"/>
            <w:noWrap w:val="0"/>
            <w:vAlign w:val="center"/>
          </w:tcPr>
          <w:p w14:paraId="29916DA6">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43DB77AB">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40B3EB2C">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54600849">
            <w:pPr>
              <w:pStyle w:val="250"/>
              <w:widowControl/>
              <w:spacing w:line="560" w:lineRule="exact"/>
              <w:ind w:firstLine="560"/>
              <w:jc w:val="center"/>
              <w:rPr>
                <w:rFonts w:eastAsia="仿宋_GB2312" w:cs="仿宋_GB2312"/>
                <w:color w:val="auto"/>
                <w:sz w:val="28"/>
                <w:szCs w:val="28"/>
              </w:rPr>
            </w:pPr>
          </w:p>
        </w:tc>
      </w:tr>
      <w:tr w14:paraId="38C14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6A1DF5E">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71DE94CF">
            <w:pPr>
              <w:pStyle w:val="250"/>
              <w:widowControl/>
              <w:spacing w:line="560" w:lineRule="exact"/>
              <w:ind w:firstLine="560"/>
              <w:jc w:val="center"/>
              <w:rPr>
                <w:rFonts w:eastAsia="仿宋_GB2312" w:cs="仿宋_GB2312"/>
                <w:color w:val="auto"/>
                <w:sz w:val="28"/>
                <w:szCs w:val="28"/>
              </w:rPr>
            </w:pPr>
          </w:p>
        </w:tc>
        <w:tc>
          <w:tcPr>
            <w:tcW w:w="992" w:type="dxa"/>
            <w:noWrap w:val="0"/>
            <w:vAlign w:val="center"/>
          </w:tcPr>
          <w:p w14:paraId="799B8632">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2DE6B84E">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7CF33E95">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6A6A699E">
            <w:pPr>
              <w:pStyle w:val="250"/>
              <w:widowControl/>
              <w:spacing w:line="560" w:lineRule="exact"/>
              <w:ind w:firstLine="560"/>
              <w:jc w:val="center"/>
              <w:rPr>
                <w:rFonts w:eastAsia="仿宋_GB2312" w:cs="仿宋_GB2312"/>
                <w:color w:val="auto"/>
                <w:sz w:val="28"/>
                <w:szCs w:val="28"/>
              </w:rPr>
            </w:pPr>
          </w:p>
        </w:tc>
      </w:tr>
      <w:tr w14:paraId="491BE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F7B0234">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4BD3A089">
            <w:pPr>
              <w:pStyle w:val="250"/>
              <w:widowControl/>
              <w:spacing w:line="560" w:lineRule="exact"/>
              <w:ind w:firstLine="560"/>
              <w:jc w:val="center"/>
              <w:rPr>
                <w:rFonts w:eastAsia="仿宋_GB2312" w:cs="仿宋_GB2312"/>
                <w:color w:val="auto"/>
                <w:sz w:val="28"/>
                <w:szCs w:val="28"/>
              </w:rPr>
            </w:pPr>
          </w:p>
        </w:tc>
        <w:tc>
          <w:tcPr>
            <w:tcW w:w="992" w:type="dxa"/>
            <w:noWrap w:val="0"/>
            <w:vAlign w:val="center"/>
          </w:tcPr>
          <w:p w14:paraId="5CF6F89C">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7FF424A4">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4D0AE7D3">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5742200C">
            <w:pPr>
              <w:pStyle w:val="250"/>
              <w:widowControl/>
              <w:spacing w:line="560" w:lineRule="exact"/>
              <w:ind w:firstLine="560"/>
              <w:jc w:val="center"/>
              <w:rPr>
                <w:rFonts w:eastAsia="仿宋_GB2312" w:cs="仿宋_GB2312"/>
                <w:color w:val="auto"/>
                <w:sz w:val="28"/>
                <w:szCs w:val="28"/>
              </w:rPr>
            </w:pPr>
          </w:p>
        </w:tc>
      </w:tr>
      <w:tr w14:paraId="6499A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3AAF115">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17225D77">
            <w:pPr>
              <w:pStyle w:val="250"/>
              <w:widowControl/>
              <w:spacing w:line="560" w:lineRule="exact"/>
              <w:ind w:firstLine="560"/>
              <w:jc w:val="center"/>
              <w:rPr>
                <w:rFonts w:eastAsia="仿宋_GB2312" w:cs="仿宋_GB2312"/>
                <w:color w:val="auto"/>
                <w:sz w:val="28"/>
                <w:szCs w:val="28"/>
              </w:rPr>
            </w:pPr>
          </w:p>
        </w:tc>
        <w:tc>
          <w:tcPr>
            <w:tcW w:w="992" w:type="dxa"/>
            <w:noWrap w:val="0"/>
            <w:vAlign w:val="center"/>
          </w:tcPr>
          <w:p w14:paraId="798D2E4C">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77EB9B15">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0153557D">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2515ABD3">
            <w:pPr>
              <w:pStyle w:val="250"/>
              <w:widowControl/>
              <w:spacing w:line="560" w:lineRule="exact"/>
              <w:ind w:firstLine="560"/>
              <w:jc w:val="center"/>
              <w:rPr>
                <w:rFonts w:eastAsia="仿宋_GB2312" w:cs="仿宋_GB2312"/>
                <w:color w:val="auto"/>
                <w:sz w:val="28"/>
                <w:szCs w:val="28"/>
              </w:rPr>
            </w:pPr>
          </w:p>
        </w:tc>
      </w:tr>
      <w:tr w14:paraId="61D9F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5DA658E">
            <w:pPr>
              <w:pStyle w:val="250"/>
              <w:widowControl/>
              <w:spacing w:line="560" w:lineRule="exact"/>
              <w:ind w:firstLine="560"/>
              <w:jc w:val="center"/>
              <w:rPr>
                <w:rFonts w:eastAsia="仿宋_GB2312" w:cs="仿宋_GB2312"/>
                <w:color w:val="auto"/>
                <w:sz w:val="28"/>
                <w:szCs w:val="28"/>
              </w:rPr>
            </w:pPr>
          </w:p>
        </w:tc>
        <w:tc>
          <w:tcPr>
            <w:tcW w:w="1843" w:type="dxa"/>
            <w:noWrap w:val="0"/>
            <w:vAlign w:val="center"/>
          </w:tcPr>
          <w:p w14:paraId="44F04891">
            <w:pPr>
              <w:pStyle w:val="250"/>
              <w:widowControl/>
              <w:spacing w:line="560" w:lineRule="exact"/>
              <w:ind w:firstLine="560"/>
              <w:jc w:val="center"/>
              <w:rPr>
                <w:rFonts w:eastAsia="仿宋_GB2312" w:cs="仿宋_GB2312"/>
                <w:color w:val="auto"/>
                <w:sz w:val="28"/>
                <w:szCs w:val="28"/>
              </w:rPr>
            </w:pPr>
          </w:p>
        </w:tc>
        <w:tc>
          <w:tcPr>
            <w:tcW w:w="992" w:type="dxa"/>
            <w:noWrap w:val="0"/>
            <w:vAlign w:val="center"/>
          </w:tcPr>
          <w:p w14:paraId="58D08FA5">
            <w:pPr>
              <w:pStyle w:val="250"/>
              <w:widowControl/>
              <w:spacing w:line="560" w:lineRule="exact"/>
              <w:ind w:firstLine="560"/>
              <w:jc w:val="center"/>
              <w:rPr>
                <w:rFonts w:eastAsia="仿宋_GB2312" w:cs="仿宋_GB2312"/>
                <w:color w:val="auto"/>
                <w:sz w:val="28"/>
                <w:szCs w:val="28"/>
              </w:rPr>
            </w:pPr>
          </w:p>
        </w:tc>
        <w:tc>
          <w:tcPr>
            <w:tcW w:w="1984" w:type="dxa"/>
            <w:noWrap w:val="0"/>
            <w:vAlign w:val="center"/>
          </w:tcPr>
          <w:p w14:paraId="60F4BF8D">
            <w:pPr>
              <w:pStyle w:val="250"/>
              <w:widowControl/>
              <w:spacing w:line="560" w:lineRule="exact"/>
              <w:ind w:firstLine="560"/>
              <w:jc w:val="center"/>
              <w:rPr>
                <w:rFonts w:eastAsia="仿宋_GB2312" w:cs="仿宋_GB2312"/>
                <w:color w:val="auto"/>
                <w:sz w:val="28"/>
                <w:szCs w:val="28"/>
              </w:rPr>
            </w:pPr>
          </w:p>
        </w:tc>
        <w:tc>
          <w:tcPr>
            <w:tcW w:w="1702" w:type="dxa"/>
            <w:noWrap w:val="0"/>
            <w:vAlign w:val="center"/>
          </w:tcPr>
          <w:p w14:paraId="3176DA5C">
            <w:pPr>
              <w:pStyle w:val="250"/>
              <w:widowControl/>
              <w:spacing w:line="560" w:lineRule="exact"/>
              <w:ind w:firstLine="560"/>
              <w:jc w:val="center"/>
              <w:rPr>
                <w:rFonts w:eastAsia="仿宋_GB2312" w:cs="仿宋_GB2312"/>
                <w:color w:val="auto"/>
                <w:sz w:val="28"/>
                <w:szCs w:val="28"/>
              </w:rPr>
            </w:pPr>
          </w:p>
        </w:tc>
        <w:tc>
          <w:tcPr>
            <w:tcW w:w="962" w:type="dxa"/>
            <w:noWrap w:val="0"/>
            <w:vAlign w:val="center"/>
          </w:tcPr>
          <w:p w14:paraId="0ED2FF46">
            <w:pPr>
              <w:pStyle w:val="250"/>
              <w:widowControl/>
              <w:spacing w:line="560" w:lineRule="exact"/>
              <w:ind w:firstLine="560"/>
              <w:jc w:val="center"/>
              <w:rPr>
                <w:rFonts w:eastAsia="仿宋_GB2312" w:cs="仿宋_GB2312"/>
                <w:color w:val="auto"/>
                <w:sz w:val="28"/>
                <w:szCs w:val="28"/>
              </w:rPr>
            </w:pPr>
          </w:p>
        </w:tc>
      </w:tr>
    </w:tbl>
    <w:p w14:paraId="6A4D9BAA">
      <w:pPr>
        <w:pStyle w:val="249"/>
        <w:spacing w:line="460" w:lineRule="exact"/>
        <w:ind w:firstLine="398"/>
        <w:rPr>
          <w:rFonts w:ascii="Times New Roman" w:hAnsi="Times New Roman" w:eastAsia="仿宋_GB2312" w:cs="仿宋_GB2312"/>
          <w:color w:val="auto"/>
        </w:rPr>
      </w:pPr>
      <w:r>
        <w:rPr>
          <w:rFonts w:ascii="Times New Roman" w:hAnsi="Times New Roman" w:eastAsia="仿宋_GB2312" w:cs="仿宋_GB2312"/>
          <w:b/>
          <w:color w:val="auto"/>
          <w:lang w:bidi="ar"/>
        </w:rPr>
        <w:t>注：如供应商</w:t>
      </w:r>
      <w:r>
        <w:rPr>
          <w:rFonts w:hint="eastAsia" w:ascii="Times New Roman" w:hAnsi="Times New Roman" w:eastAsia="仿宋_GB2312" w:cs="仿宋_GB2312"/>
          <w:b/>
          <w:color w:val="auto"/>
          <w:lang w:bidi="ar"/>
        </w:rPr>
        <w:t>成交</w:t>
      </w:r>
      <w:r>
        <w:rPr>
          <w:rFonts w:ascii="Times New Roman" w:hAnsi="Times New Roman" w:eastAsia="仿宋_GB2312" w:cs="仿宋_GB2312"/>
          <w:b/>
          <w:color w:val="auto"/>
          <w:lang w:bidi="ar"/>
        </w:rPr>
        <w:t>，项目组成员必须按本表承诺人员操作，不得随意更换。按</w:t>
      </w:r>
      <w:r>
        <w:rPr>
          <w:rFonts w:hint="eastAsia" w:ascii="Times New Roman" w:hAnsi="Times New Roman" w:eastAsia="仿宋_GB2312" w:cs="仿宋_GB2312"/>
          <w:b/>
          <w:color w:val="auto"/>
          <w:lang w:bidi="ar"/>
        </w:rPr>
        <w:t>磋商</w:t>
      </w:r>
      <w:r>
        <w:rPr>
          <w:rFonts w:ascii="Times New Roman" w:hAnsi="Times New Roman" w:eastAsia="仿宋_GB2312" w:cs="仿宋_GB2312"/>
          <w:b/>
          <w:color w:val="auto"/>
          <w:lang w:bidi="ar"/>
        </w:rPr>
        <w:t>文件要求附相关人员证书。</w:t>
      </w:r>
    </w:p>
    <w:p w14:paraId="1BFAD6CC">
      <w:pPr>
        <w:pStyle w:val="249"/>
        <w:spacing w:line="500" w:lineRule="exact"/>
        <w:ind w:firstLine="280"/>
        <w:rPr>
          <w:rFonts w:ascii="Times New Roman" w:hAnsi="Times New Roman" w:eastAsia="仿宋_GB2312" w:cs="仿宋_GB2312"/>
          <w:color w:val="auto"/>
        </w:rPr>
      </w:pPr>
    </w:p>
    <w:p w14:paraId="271DE186">
      <w:pPr>
        <w:pStyle w:val="251"/>
        <w:spacing w:line="500" w:lineRule="exact"/>
        <w:outlineLvl w:val="1"/>
        <w:rPr>
          <w:rFonts w:eastAsia="黑体" w:cs="黑体"/>
          <w:b/>
          <w:color w:val="auto"/>
          <w:sz w:val="32"/>
        </w:rPr>
      </w:pPr>
      <w:r>
        <w:rPr>
          <w:color w:val="auto"/>
        </w:rPr>
        <w:br w:type="page" w:clear="all"/>
      </w:r>
      <w:bookmarkStart w:id="245" w:name="_Toc11176"/>
      <w:r>
        <w:rPr>
          <w:rFonts w:hint="eastAsia" w:eastAsia="黑体" w:cs="黑体"/>
          <w:b/>
          <w:color w:val="auto"/>
          <w:sz w:val="32"/>
        </w:rPr>
        <w:t>十一、</w:t>
      </w:r>
      <w:bookmarkEnd w:id="245"/>
      <w:r>
        <w:rPr>
          <w:rFonts w:hint="eastAsia" w:eastAsia="黑体" w:cs="黑体"/>
          <w:b/>
          <w:color w:val="auto"/>
          <w:sz w:val="32"/>
        </w:rPr>
        <w:t>企业业绩</w:t>
      </w:r>
    </w:p>
    <w:p w14:paraId="5305E52C">
      <w:pPr>
        <w:pStyle w:val="252"/>
        <w:jc w:val="center"/>
        <w:outlineLvl w:val="2"/>
        <w:rPr>
          <w:rFonts w:ascii="Times New Roman" w:hAnsi="Times New Roman"/>
          <w:b/>
          <w:color w:val="auto"/>
          <w:sz w:val="32"/>
          <w:szCs w:val="32"/>
        </w:rPr>
      </w:pPr>
      <w:r>
        <w:rPr>
          <w:rFonts w:hint="eastAsia" w:ascii="Times New Roman" w:hAnsi="Times New Roman"/>
          <w:b/>
          <w:color w:val="auto"/>
          <w:sz w:val="32"/>
          <w:szCs w:val="32"/>
        </w:rPr>
        <w:t>供应商承担类似项目业绩一览表</w:t>
      </w:r>
    </w:p>
    <w:tbl>
      <w:tblPr>
        <w:tblStyle w:val="4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C56C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7B78A172">
            <w:pPr>
              <w:pStyle w:val="253"/>
              <w:spacing w:line="560" w:lineRule="exact"/>
              <w:jc w:val="center"/>
              <w:rPr>
                <w:rFonts w:eastAsia="仿宋_GB2312"/>
                <w:color w:val="auto"/>
                <w:sz w:val="28"/>
                <w:szCs w:val="28"/>
              </w:rPr>
            </w:pPr>
            <w:r>
              <w:rPr>
                <w:rFonts w:hint="eastAsia" w:eastAsia="仿宋_GB2312"/>
                <w:color w:val="auto"/>
                <w:sz w:val="28"/>
                <w:szCs w:val="28"/>
              </w:rPr>
              <w:t>序号</w:t>
            </w:r>
          </w:p>
        </w:tc>
        <w:tc>
          <w:tcPr>
            <w:tcW w:w="3827" w:type="dxa"/>
            <w:noWrap w:val="0"/>
            <w:vAlign w:val="center"/>
          </w:tcPr>
          <w:p w14:paraId="50C0F00C">
            <w:pPr>
              <w:pStyle w:val="253"/>
              <w:spacing w:line="560" w:lineRule="exact"/>
              <w:jc w:val="center"/>
              <w:rPr>
                <w:rFonts w:eastAsia="仿宋_GB2312"/>
                <w:color w:val="auto"/>
                <w:sz w:val="28"/>
                <w:szCs w:val="28"/>
              </w:rPr>
            </w:pPr>
            <w:r>
              <w:rPr>
                <w:rFonts w:hint="eastAsia" w:eastAsia="仿宋_GB2312"/>
                <w:color w:val="auto"/>
                <w:sz w:val="28"/>
                <w:szCs w:val="28"/>
              </w:rPr>
              <w:t>项目名称</w:t>
            </w:r>
          </w:p>
        </w:tc>
        <w:tc>
          <w:tcPr>
            <w:tcW w:w="2433" w:type="dxa"/>
            <w:noWrap w:val="0"/>
            <w:vAlign w:val="center"/>
          </w:tcPr>
          <w:p w14:paraId="6299128D">
            <w:pPr>
              <w:pStyle w:val="253"/>
              <w:spacing w:line="560" w:lineRule="exact"/>
              <w:jc w:val="center"/>
              <w:rPr>
                <w:rFonts w:eastAsia="仿宋_GB2312"/>
                <w:color w:val="auto"/>
                <w:sz w:val="28"/>
                <w:szCs w:val="28"/>
              </w:rPr>
            </w:pPr>
            <w:r>
              <w:rPr>
                <w:rFonts w:hint="eastAsia" w:eastAsia="仿宋_GB2312"/>
                <w:color w:val="auto"/>
                <w:sz w:val="28"/>
                <w:szCs w:val="28"/>
              </w:rPr>
              <w:t>采购单位</w:t>
            </w:r>
          </w:p>
        </w:tc>
        <w:tc>
          <w:tcPr>
            <w:tcW w:w="1395" w:type="dxa"/>
            <w:noWrap w:val="0"/>
            <w:vAlign w:val="center"/>
          </w:tcPr>
          <w:p w14:paraId="571DD370">
            <w:pPr>
              <w:pStyle w:val="253"/>
              <w:spacing w:line="560" w:lineRule="exact"/>
              <w:jc w:val="center"/>
              <w:rPr>
                <w:rFonts w:eastAsia="仿宋_GB2312"/>
                <w:color w:val="auto"/>
                <w:sz w:val="28"/>
                <w:szCs w:val="28"/>
              </w:rPr>
            </w:pPr>
            <w:r>
              <w:rPr>
                <w:rFonts w:hint="eastAsia" w:eastAsia="仿宋_GB2312"/>
                <w:color w:val="auto"/>
                <w:sz w:val="28"/>
                <w:szCs w:val="28"/>
              </w:rPr>
              <w:t>合同金额</w:t>
            </w:r>
          </w:p>
        </w:tc>
      </w:tr>
      <w:tr w14:paraId="3ED78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08862896">
            <w:pPr>
              <w:pStyle w:val="253"/>
              <w:spacing w:line="560" w:lineRule="exact"/>
              <w:jc w:val="center"/>
              <w:rPr>
                <w:rFonts w:eastAsia="仿宋_GB2312"/>
                <w:color w:val="auto"/>
                <w:sz w:val="28"/>
              </w:rPr>
            </w:pPr>
          </w:p>
        </w:tc>
        <w:tc>
          <w:tcPr>
            <w:tcW w:w="3827" w:type="dxa"/>
            <w:noWrap w:val="0"/>
            <w:vAlign w:val="center"/>
          </w:tcPr>
          <w:p w14:paraId="0E595042">
            <w:pPr>
              <w:pStyle w:val="253"/>
              <w:spacing w:line="560" w:lineRule="exact"/>
              <w:jc w:val="center"/>
              <w:rPr>
                <w:rFonts w:eastAsia="仿宋_GB2312"/>
                <w:color w:val="auto"/>
                <w:sz w:val="28"/>
              </w:rPr>
            </w:pPr>
          </w:p>
        </w:tc>
        <w:tc>
          <w:tcPr>
            <w:tcW w:w="2433" w:type="dxa"/>
            <w:noWrap w:val="0"/>
            <w:vAlign w:val="center"/>
          </w:tcPr>
          <w:p w14:paraId="2876C420">
            <w:pPr>
              <w:pStyle w:val="253"/>
              <w:spacing w:line="560" w:lineRule="exact"/>
              <w:jc w:val="center"/>
              <w:rPr>
                <w:rFonts w:eastAsia="仿宋_GB2312"/>
                <w:color w:val="auto"/>
                <w:sz w:val="28"/>
              </w:rPr>
            </w:pPr>
          </w:p>
        </w:tc>
        <w:tc>
          <w:tcPr>
            <w:tcW w:w="1395" w:type="dxa"/>
            <w:noWrap w:val="0"/>
            <w:vAlign w:val="center"/>
          </w:tcPr>
          <w:p w14:paraId="2F966B00">
            <w:pPr>
              <w:pStyle w:val="253"/>
              <w:spacing w:line="560" w:lineRule="exact"/>
              <w:jc w:val="center"/>
              <w:rPr>
                <w:rFonts w:eastAsia="仿宋_GB2312"/>
                <w:color w:val="auto"/>
                <w:sz w:val="28"/>
              </w:rPr>
            </w:pPr>
          </w:p>
        </w:tc>
      </w:tr>
      <w:tr w14:paraId="7F795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CAE702A">
            <w:pPr>
              <w:pStyle w:val="253"/>
              <w:spacing w:line="560" w:lineRule="exact"/>
              <w:jc w:val="center"/>
              <w:rPr>
                <w:rFonts w:eastAsia="仿宋_GB2312"/>
                <w:color w:val="auto"/>
                <w:sz w:val="28"/>
              </w:rPr>
            </w:pPr>
          </w:p>
        </w:tc>
        <w:tc>
          <w:tcPr>
            <w:tcW w:w="3827" w:type="dxa"/>
            <w:noWrap w:val="0"/>
            <w:vAlign w:val="center"/>
          </w:tcPr>
          <w:p w14:paraId="5C356F2F">
            <w:pPr>
              <w:pStyle w:val="253"/>
              <w:spacing w:line="560" w:lineRule="exact"/>
              <w:jc w:val="center"/>
              <w:rPr>
                <w:rFonts w:eastAsia="仿宋_GB2312"/>
                <w:color w:val="auto"/>
                <w:sz w:val="28"/>
              </w:rPr>
            </w:pPr>
          </w:p>
        </w:tc>
        <w:tc>
          <w:tcPr>
            <w:tcW w:w="2433" w:type="dxa"/>
            <w:noWrap w:val="0"/>
            <w:vAlign w:val="center"/>
          </w:tcPr>
          <w:p w14:paraId="34F0003E">
            <w:pPr>
              <w:pStyle w:val="253"/>
              <w:spacing w:line="560" w:lineRule="exact"/>
              <w:jc w:val="center"/>
              <w:rPr>
                <w:rFonts w:eastAsia="仿宋_GB2312"/>
                <w:color w:val="auto"/>
                <w:sz w:val="28"/>
              </w:rPr>
            </w:pPr>
          </w:p>
        </w:tc>
        <w:tc>
          <w:tcPr>
            <w:tcW w:w="1395" w:type="dxa"/>
            <w:noWrap w:val="0"/>
            <w:vAlign w:val="center"/>
          </w:tcPr>
          <w:p w14:paraId="20281494">
            <w:pPr>
              <w:pStyle w:val="253"/>
              <w:spacing w:line="560" w:lineRule="exact"/>
              <w:jc w:val="center"/>
              <w:rPr>
                <w:rFonts w:eastAsia="仿宋_GB2312"/>
                <w:color w:val="auto"/>
                <w:sz w:val="28"/>
              </w:rPr>
            </w:pPr>
          </w:p>
        </w:tc>
      </w:tr>
      <w:tr w14:paraId="7FEE1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AA526CC">
            <w:pPr>
              <w:pStyle w:val="253"/>
              <w:spacing w:line="560" w:lineRule="exact"/>
              <w:jc w:val="center"/>
              <w:rPr>
                <w:rFonts w:eastAsia="仿宋_GB2312"/>
                <w:color w:val="auto"/>
                <w:sz w:val="28"/>
              </w:rPr>
            </w:pPr>
          </w:p>
        </w:tc>
        <w:tc>
          <w:tcPr>
            <w:tcW w:w="3827" w:type="dxa"/>
            <w:noWrap w:val="0"/>
            <w:vAlign w:val="center"/>
          </w:tcPr>
          <w:p w14:paraId="4E7600FA">
            <w:pPr>
              <w:pStyle w:val="253"/>
              <w:spacing w:line="560" w:lineRule="exact"/>
              <w:jc w:val="center"/>
              <w:rPr>
                <w:rFonts w:eastAsia="仿宋_GB2312"/>
                <w:color w:val="auto"/>
                <w:sz w:val="28"/>
              </w:rPr>
            </w:pPr>
          </w:p>
        </w:tc>
        <w:tc>
          <w:tcPr>
            <w:tcW w:w="2433" w:type="dxa"/>
            <w:noWrap w:val="0"/>
            <w:vAlign w:val="center"/>
          </w:tcPr>
          <w:p w14:paraId="36026460">
            <w:pPr>
              <w:pStyle w:val="253"/>
              <w:spacing w:line="560" w:lineRule="exact"/>
              <w:jc w:val="center"/>
              <w:rPr>
                <w:rFonts w:eastAsia="仿宋_GB2312"/>
                <w:color w:val="auto"/>
                <w:sz w:val="28"/>
              </w:rPr>
            </w:pPr>
          </w:p>
        </w:tc>
        <w:tc>
          <w:tcPr>
            <w:tcW w:w="1395" w:type="dxa"/>
            <w:noWrap w:val="0"/>
            <w:vAlign w:val="center"/>
          </w:tcPr>
          <w:p w14:paraId="3195978F">
            <w:pPr>
              <w:pStyle w:val="253"/>
              <w:spacing w:line="560" w:lineRule="exact"/>
              <w:jc w:val="center"/>
              <w:rPr>
                <w:rFonts w:eastAsia="仿宋_GB2312"/>
                <w:color w:val="auto"/>
                <w:sz w:val="28"/>
              </w:rPr>
            </w:pPr>
          </w:p>
        </w:tc>
      </w:tr>
      <w:tr w14:paraId="3E73A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7348729A">
            <w:pPr>
              <w:pStyle w:val="253"/>
              <w:spacing w:line="560" w:lineRule="exact"/>
              <w:jc w:val="center"/>
              <w:rPr>
                <w:rFonts w:eastAsia="仿宋_GB2312"/>
                <w:color w:val="auto"/>
                <w:sz w:val="28"/>
              </w:rPr>
            </w:pPr>
          </w:p>
        </w:tc>
        <w:tc>
          <w:tcPr>
            <w:tcW w:w="3827" w:type="dxa"/>
            <w:noWrap w:val="0"/>
            <w:vAlign w:val="center"/>
          </w:tcPr>
          <w:p w14:paraId="507241B2">
            <w:pPr>
              <w:pStyle w:val="253"/>
              <w:spacing w:line="560" w:lineRule="exact"/>
              <w:jc w:val="center"/>
              <w:rPr>
                <w:rFonts w:eastAsia="仿宋_GB2312"/>
                <w:color w:val="auto"/>
                <w:sz w:val="28"/>
              </w:rPr>
            </w:pPr>
          </w:p>
        </w:tc>
        <w:tc>
          <w:tcPr>
            <w:tcW w:w="2433" w:type="dxa"/>
            <w:noWrap w:val="0"/>
            <w:vAlign w:val="center"/>
          </w:tcPr>
          <w:p w14:paraId="0559A019">
            <w:pPr>
              <w:pStyle w:val="253"/>
              <w:spacing w:line="560" w:lineRule="exact"/>
              <w:jc w:val="center"/>
              <w:rPr>
                <w:rFonts w:eastAsia="仿宋_GB2312"/>
                <w:color w:val="auto"/>
                <w:sz w:val="28"/>
              </w:rPr>
            </w:pPr>
          </w:p>
        </w:tc>
        <w:tc>
          <w:tcPr>
            <w:tcW w:w="1395" w:type="dxa"/>
            <w:noWrap w:val="0"/>
            <w:vAlign w:val="center"/>
          </w:tcPr>
          <w:p w14:paraId="024924D8">
            <w:pPr>
              <w:pStyle w:val="253"/>
              <w:spacing w:line="560" w:lineRule="exact"/>
              <w:jc w:val="center"/>
              <w:rPr>
                <w:rFonts w:eastAsia="仿宋_GB2312"/>
                <w:color w:val="auto"/>
                <w:sz w:val="28"/>
              </w:rPr>
            </w:pPr>
          </w:p>
        </w:tc>
      </w:tr>
    </w:tbl>
    <w:p w14:paraId="5E2E3A6A">
      <w:pPr>
        <w:pStyle w:val="252"/>
        <w:rPr>
          <w:rFonts w:ascii="Times New Roman" w:hAnsi="Times New Roman"/>
          <w:color w:val="auto"/>
        </w:rPr>
      </w:pPr>
      <w:r>
        <w:rPr>
          <w:rFonts w:hint="eastAsia" w:ascii="Times New Roman" w:hAnsi="Times New Roman" w:eastAsia="仿宋_GB2312"/>
          <w:b/>
          <w:color w:val="auto"/>
          <w:sz w:val="24"/>
        </w:rPr>
        <w:t>注：请填写此表，并按要求上传业绩资料证明材料。</w:t>
      </w:r>
    </w:p>
    <w:p w14:paraId="418051A6">
      <w:pPr>
        <w:rPr>
          <w:rFonts w:eastAsia="黑体"/>
          <w:b/>
          <w:color w:val="auto"/>
          <w:sz w:val="32"/>
          <w:szCs w:val="32"/>
        </w:rPr>
      </w:pPr>
    </w:p>
    <w:p w14:paraId="0F247550">
      <w:pPr>
        <w:rPr>
          <w:rFonts w:eastAsia="黑体"/>
          <w:b/>
          <w:color w:val="auto"/>
          <w:sz w:val="32"/>
          <w:szCs w:val="32"/>
        </w:rPr>
      </w:pPr>
    </w:p>
    <w:p w14:paraId="4234EBDE">
      <w:pPr>
        <w:rPr>
          <w:rFonts w:eastAsia="黑体"/>
          <w:b/>
          <w:color w:val="auto"/>
          <w:sz w:val="32"/>
          <w:szCs w:val="32"/>
        </w:rPr>
      </w:pPr>
    </w:p>
    <w:p w14:paraId="5E2CD8FA">
      <w:pPr>
        <w:rPr>
          <w:rFonts w:eastAsia="黑体"/>
          <w:b/>
          <w:color w:val="auto"/>
          <w:sz w:val="32"/>
          <w:szCs w:val="32"/>
        </w:rPr>
      </w:pPr>
    </w:p>
    <w:p w14:paraId="52C57745">
      <w:pPr>
        <w:rPr>
          <w:rFonts w:eastAsia="黑体"/>
          <w:b/>
          <w:color w:val="auto"/>
          <w:sz w:val="32"/>
          <w:szCs w:val="32"/>
        </w:rPr>
      </w:pPr>
    </w:p>
    <w:p w14:paraId="70950DA3">
      <w:pPr>
        <w:rPr>
          <w:rFonts w:eastAsia="黑体"/>
          <w:b/>
          <w:color w:val="auto"/>
          <w:sz w:val="32"/>
          <w:szCs w:val="32"/>
        </w:rPr>
      </w:pPr>
    </w:p>
    <w:p w14:paraId="7C804D01">
      <w:pPr>
        <w:rPr>
          <w:rFonts w:eastAsia="黑体"/>
          <w:b/>
          <w:color w:val="auto"/>
          <w:sz w:val="32"/>
          <w:szCs w:val="32"/>
        </w:rPr>
      </w:pPr>
    </w:p>
    <w:p w14:paraId="18D12E99">
      <w:pPr>
        <w:rPr>
          <w:rFonts w:eastAsia="黑体"/>
          <w:b/>
          <w:color w:val="auto"/>
          <w:sz w:val="32"/>
          <w:szCs w:val="32"/>
        </w:rPr>
      </w:pPr>
    </w:p>
    <w:p w14:paraId="4DA259B4">
      <w:pPr>
        <w:rPr>
          <w:rFonts w:eastAsia="黑体"/>
          <w:b/>
          <w:color w:val="auto"/>
          <w:sz w:val="32"/>
          <w:szCs w:val="32"/>
        </w:rPr>
      </w:pPr>
    </w:p>
    <w:p w14:paraId="64D2FAA9">
      <w:pPr>
        <w:rPr>
          <w:rFonts w:eastAsia="黑体"/>
          <w:b/>
          <w:color w:val="auto"/>
          <w:sz w:val="32"/>
          <w:szCs w:val="32"/>
        </w:rPr>
      </w:pPr>
    </w:p>
    <w:p w14:paraId="615D9E18">
      <w:pPr>
        <w:rPr>
          <w:rFonts w:eastAsia="黑体"/>
          <w:b/>
          <w:color w:val="auto"/>
          <w:sz w:val="32"/>
          <w:szCs w:val="32"/>
        </w:rPr>
      </w:pPr>
    </w:p>
    <w:p w14:paraId="25F8B757">
      <w:pPr>
        <w:rPr>
          <w:rFonts w:eastAsia="黑体"/>
          <w:b/>
          <w:color w:val="auto"/>
          <w:sz w:val="32"/>
          <w:szCs w:val="32"/>
        </w:rPr>
      </w:pPr>
    </w:p>
    <w:p w14:paraId="37106D45">
      <w:pPr>
        <w:rPr>
          <w:rFonts w:eastAsia="黑体"/>
          <w:b/>
          <w:color w:val="auto"/>
          <w:sz w:val="32"/>
          <w:szCs w:val="32"/>
        </w:rPr>
      </w:pPr>
    </w:p>
    <w:p w14:paraId="1C194C30">
      <w:pPr>
        <w:rPr>
          <w:rFonts w:eastAsia="黑体"/>
          <w:b/>
          <w:color w:val="auto"/>
          <w:sz w:val="32"/>
          <w:szCs w:val="32"/>
        </w:rPr>
      </w:pPr>
    </w:p>
    <w:p w14:paraId="4081AD53">
      <w:pPr>
        <w:rPr>
          <w:rFonts w:eastAsia="黑体"/>
          <w:b/>
          <w:color w:val="auto"/>
          <w:sz w:val="32"/>
          <w:szCs w:val="32"/>
        </w:rPr>
      </w:pPr>
    </w:p>
    <w:p w14:paraId="2F83DE8A">
      <w:pPr>
        <w:pStyle w:val="254"/>
        <w:outlineLvl w:val="1"/>
        <w:rPr>
          <w:rFonts w:ascii="Times New Roman" w:hAnsi="Times New Roman"/>
          <w:color w:val="auto"/>
        </w:rPr>
      </w:pPr>
      <w:r>
        <w:t>十二、</w:t>
      </w:r>
      <w:bookmarkStart w:id="246" w:name="_Toc28140"/>
      <w:r>
        <w:rPr>
          <w:rFonts w:hint="eastAsia" w:ascii="Times New Roman" w:hAnsi="Times New Roman"/>
          <w:color w:val="auto"/>
        </w:rPr>
        <w:t>磋商</w:t>
      </w:r>
      <w:r>
        <w:rPr>
          <w:rFonts w:ascii="Times New Roman" w:hAnsi="Times New Roman"/>
          <w:color w:val="auto"/>
        </w:rPr>
        <w:t>所需其他材料</w:t>
      </w:r>
      <w:bookmarkEnd w:id="246"/>
    </w:p>
    <w:p w14:paraId="2C4D106A">
      <w:pPr>
        <w:pStyle w:val="255"/>
        <w:spacing w:line="360" w:lineRule="auto"/>
        <w:ind w:firstLine="560"/>
        <w:rPr>
          <w:rFonts w:hint="eastAsia" w:ascii="宋体" w:hAnsi="宋体" w:cs="宋体"/>
          <w:color w:val="auto"/>
          <w:sz w:val="24"/>
          <w:szCs w:val="24"/>
        </w:rPr>
      </w:pPr>
      <w:r>
        <w:rPr>
          <w:rFonts w:hint="eastAsia" w:ascii="宋体" w:hAnsi="宋体" w:cs="宋体"/>
          <w:color w:val="auto"/>
          <w:sz w:val="24"/>
          <w:szCs w:val="24"/>
        </w:rPr>
        <w:t>请在此文档中增加磋商所需其他相关内容（包括资格要求、评分办法、采购需求中涉及的证件证明及其它供应商认为有必要提供的资料），如没有请将此空文档上传。</w:t>
      </w:r>
    </w:p>
    <w:p w14:paraId="6CA7FB32">
      <w:pPr>
        <w:pStyle w:val="255"/>
        <w:spacing w:line="360" w:lineRule="auto"/>
        <w:ind w:firstLine="560"/>
        <w:rPr>
          <w:rFonts w:hint="eastAsia" w:ascii="宋体" w:hAnsi="宋体" w:cs="宋体"/>
          <w:color w:val="auto"/>
          <w:sz w:val="24"/>
          <w:szCs w:val="24"/>
        </w:rPr>
      </w:pPr>
    </w:p>
    <w:p w14:paraId="525C0079">
      <w:pPr>
        <w:pStyle w:val="255"/>
        <w:spacing w:line="360" w:lineRule="auto"/>
        <w:ind w:firstLine="560"/>
        <w:rPr>
          <w:rFonts w:hint="eastAsia" w:ascii="宋体" w:hAnsi="宋体" w:cs="宋体"/>
          <w:color w:val="auto"/>
          <w:sz w:val="24"/>
          <w:szCs w:val="24"/>
        </w:rPr>
      </w:pPr>
    </w:p>
    <w:p w14:paraId="0A140EAB">
      <w:pPr>
        <w:pStyle w:val="255"/>
        <w:spacing w:line="360" w:lineRule="auto"/>
        <w:ind w:firstLine="560"/>
        <w:rPr>
          <w:rFonts w:hint="eastAsia" w:ascii="宋体" w:hAnsi="宋体" w:cs="宋体"/>
          <w:color w:val="auto"/>
          <w:sz w:val="24"/>
          <w:szCs w:val="24"/>
        </w:rPr>
      </w:pPr>
    </w:p>
    <w:p w14:paraId="5B7F8CE4">
      <w:pPr>
        <w:pStyle w:val="255"/>
        <w:spacing w:line="360" w:lineRule="auto"/>
        <w:ind w:firstLine="560"/>
        <w:rPr>
          <w:rFonts w:hint="eastAsia" w:ascii="宋体" w:hAnsi="宋体" w:cs="宋体"/>
          <w:color w:val="auto"/>
          <w:sz w:val="24"/>
          <w:szCs w:val="24"/>
        </w:rPr>
      </w:pPr>
    </w:p>
    <w:p w14:paraId="5A4A6EE5">
      <w:pPr>
        <w:pStyle w:val="255"/>
        <w:spacing w:line="360" w:lineRule="auto"/>
        <w:ind w:firstLine="560"/>
        <w:rPr>
          <w:rFonts w:hint="eastAsia" w:ascii="宋体" w:hAnsi="宋体" w:cs="宋体"/>
          <w:color w:val="auto"/>
          <w:sz w:val="24"/>
          <w:szCs w:val="24"/>
        </w:rPr>
      </w:pPr>
    </w:p>
    <w:p w14:paraId="44BE7A8C">
      <w:pPr>
        <w:pStyle w:val="255"/>
        <w:spacing w:line="360" w:lineRule="auto"/>
        <w:ind w:firstLine="560"/>
        <w:rPr>
          <w:rFonts w:hint="eastAsia" w:ascii="宋体" w:hAnsi="宋体" w:cs="宋体"/>
          <w:color w:val="auto"/>
          <w:sz w:val="24"/>
          <w:szCs w:val="24"/>
        </w:rPr>
      </w:pPr>
    </w:p>
    <w:p w14:paraId="488CF68A">
      <w:pPr>
        <w:pStyle w:val="255"/>
        <w:spacing w:line="360" w:lineRule="auto"/>
        <w:ind w:firstLine="560"/>
        <w:rPr>
          <w:rFonts w:hint="eastAsia" w:ascii="宋体" w:hAnsi="宋体" w:cs="宋体"/>
          <w:color w:val="auto"/>
          <w:sz w:val="24"/>
          <w:szCs w:val="24"/>
        </w:rPr>
      </w:pPr>
    </w:p>
    <w:p w14:paraId="2F744FBE">
      <w:pPr>
        <w:pStyle w:val="255"/>
        <w:spacing w:line="360" w:lineRule="auto"/>
        <w:ind w:firstLine="560"/>
        <w:rPr>
          <w:rFonts w:hint="eastAsia" w:ascii="宋体" w:hAnsi="宋体" w:cs="宋体"/>
          <w:color w:val="auto"/>
          <w:sz w:val="24"/>
          <w:szCs w:val="24"/>
        </w:rPr>
      </w:pPr>
    </w:p>
    <w:p w14:paraId="63B78E0D">
      <w:pPr>
        <w:pStyle w:val="255"/>
        <w:spacing w:line="360" w:lineRule="auto"/>
        <w:ind w:firstLine="560"/>
        <w:rPr>
          <w:rFonts w:hint="eastAsia" w:ascii="宋体" w:hAnsi="宋体" w:cs="宋体"/>
          <w:color w:val="auto"/>
          <w:sz w:val="24"/>
          <w:szCs w:val="24"/>
        </w:rPr>
      </w:pPr>
    </w:p>
    <w:p w14:paraId="1F7ED854">
      <w:pPr>
        <w:pStyle w:val="255"/>
        <w:spacing w:line="360" w:lineRule="auto"/>
        <w:ind w:firstLine="560"/>
        <w:rPr>
          <w:rFonts w:hint="eastAsia" w:ascii="宋体" w:hAnsi="宋体" w:cs="宋体"/>
          <w:color w:val="auto"/>
          <w:sz w:val="24"/>
          <w:szCs w:val="24"/>
        </w:rPr>
      </w:pPr>
    </w:p>
    <w:p w14:paraId="5FD6CFF4">
      <w:pPr>
        <w:pStyle w:val="255"/>
        <w:spacing w:line="360" w:lineRule="auto"/>
        <w:ind w:firstLine="560"/>
        <w:rPr>
          <w:rFonts w:hint="eastAsia" w:ascii="宋体" w:hAnsi="宋体" w:cs="宋体"/>
          <w:color w:val="auto"/>
          <w:sz w:val="24"/>
          <w:szCs w:val="24"/>
        </w:rPr>
      </w:pPr>
    </w:p>
    <w:p w14:paraId="60B88D18">
      <w:pPr>
        <w:pStyle w:val="255"/>
        <w:spacing w:line="360" w:lineRule="auto"/>
        <w:ind w:firstLine="560"/>
        <w:rPr>
          <w:rFonts w:hint="eastAsia" w:ascii="宋体" w:hAnsi="宋体" w:cs="宋体"/>
          <w:color w:val="auto"/>
          <w:sz w:val="24"/>
          <w:szCs w:val="24"/>
        </w:rPr>
      </w:pPr>
    </w:p>
    <w:p w14:paraId="51B1CD41">
      <w:pPr>
        <w:pStyle w:val="255"/>
        <w:spacing w:line="360" w:lineRule="auto"/>
        <w:ind w:firstLine="560"/>
        <w:rPr>
          <w:rFonts w:hint="eastAsia" w:ascii="宋体" w:hAnsi="宋体" w:cs="宋体"/>
          <w:color w:val="auto"/>
          <w:sz w:val="24"/>
          <w:szCs w:val="24"/>
        </w:rPr>
      </w:pPr>
    </w:p>
    <w:p w14:paraId="06034440">
      <w:pPr>
        <w:pStyle w:val="255"/>
        <w:spacing w:line="360" w:lineRule="auto"/>
        <w:ind w:firstLine="560"/>
        <w:rPr>
          <w:rFonts w:hint="eastAsia" w:ascii="宋体" w:hAnsi="宋体" w:cs="宋体"/>
          <w:color w:val="auto"/>
          <w:sz w:val="24"/>
          <w:szCs w:val="24"/>
        </w:rPr>
      </w:pPr>
    </w:p>
    <w:p w14:paraId="37CA906F">
      <w:pPr>
        <w:pStyle w:val="255"/>
        <w:spacing w:line="360" w:lineRule="auto"/>
        <w:ind w:firstLine="560"/>
        <w:rPr>
          <w:rFonts w:hint="eastAsia" w:ascii="宋体" w:hAnsi="宋体" w:cs="宋体"/>
          <w:color w:val="auto"/>
          <w:sz w:val="24"/>
          <w:szCs w:val="24"/>
        </w:rPr>
      </w:pPr>
    </w:p>
    <w:p w14:paraId="4B9287CF">
      <w:pPr>
        <w:pStyle w:val="255"/>
        <w:spacing w:line="360" w:lineRule="auto"/>
        <w:ind w:firstLine="560"/>
        <w:rPr>
          <w:rFonts w:hint="eastAsia" w:ascii="宋体" w:hAnsi="宋体" w:cs="宋体"/>
          <w:color w:val="auto"/>
          <w:sz w:val="24"/>
          <w:szCs w:val="24"/>
        </w:rPr>
      </w:pPr>
    </w:p>
    <w:p w14:paraId="564A45DD">
      <w:pPr>
        <w:pStyle w:val="255"/>
        <w:spacing w:line="360" w:lineRule="auto"/>
        <w:ind w:firstLine="560"/>
        <w:rPr>
          <w:rFonts w:hint="eastAsia" w:ascii="宋体" w:hAnsi="宋体" w:cs="宋体"/>
          <w:color w:val="auto"/>
          <w:sz w:val="24"/>
          <w:szCs w:val="24"/>
        </w:rPr>
      </w:pPr>
    </w:p>
    <w:p w14:paraId="72DE486B">
      <w:pPr>
        <w:pStyle w:val="255"/>
        <w:spacing w:line="360" w:lineRule="auto"/>
        <w:ind w:firstLine="560"/>
        <w:rPr>
          <w:rFonts w:hint="eastAsia" w:ascii="宋体" w:hAnsi="宋体" w:cs="宋体"/>
          <w:color w:val="auto"/>
          <w:sz w:val="24"/>
          <w:szCs w:val="24"/>
        </w:rPr>
      </w:pPr>
    </w:p>
    <w:p w14:paraId="1F77D9FC">
      <w:pPr>
        <w:pStyle w:val="255"/>
        <w:spacing w:line="360" w:lineRule="auto"/>
        <w:ind w:firstLine="560"/>
        <w:rPr>
          <w:rFonts w:hint="eastAsia" w:ascii="宋体" w:hAnsi="宋体" w:cs="宋体"/>
          <w:color w:val="auto"/>
          <w:sz w:val="24"/>
          <w:szCs w:val="24"/>
        </w:rPr>
      </w:pPr>
    </w:p>
    <w:p w14:paraId="032C834A">
      <w:pPr>
        <w:pStyle w:val="255"/>
        <w:spacing w:line="360" w:lineRule="auto"/>
        <w:ind w:firstLine="560"/>
        <w:rPr>
          <w:rFonts w:hint="eastAsia" w:ascii="宋体" w:hAnsi="宋体" w:cs="宋体"/>
          <w:color w:val="auto"/>
          <w:sz w:val="24"/>
          <w:szCs w:val="24"/>
        </w:rPr>
      </w:pPr>
    </w:p>
    <w:p w14:paraId="6275C9B1">
      <w:pPr>
        <w:pStyle w:val="255"/>
        <w:spacing w:line="360" w:lineRule="auto"/>
        <w:ind w:firstLine="560"/>
        <w:rPr>
          <w:rFonts w:hint="eastAsia" w:ascii="宋体" w:hAnsi="宋体" w:cs="宋体"/>
          <w:color w:val="auto"/>
          <w:sz w:val="24"/>
          <w:szCs w:val="24"/>
        </w:rPr>
      </w:pPr>
    </w:p>
    <w:p w14:paraId="186DB29A">
      <w:pPr>
        <w:pStyle w:val="255"/>
        <w:spacing w:line="360" w:lineRule="auto"/>
        <w:ind w:firstLine="560"/>
        <w:rPr>
          <w:rFonts w:hint="eastAsia" w:ascii="宋体" w:hAnsi="宋体" w:cs="宋体"/>
          <w:color w:val="auto"/>
          <w:sz w:val="24"/>
          <w:szCs w:val="24"/>
        </w:rPr>
      </w:pPr>
    </w:p>
    <w:p w14:paraId="21CBA76D">
      <w:pPr>
        <w:pStyle w:val="255"/>
        <w:spacing w:line="360" w:lineRule="auto"/>
        <w:ind w:firstLine="560"/>
        <w:rPr>
          <w:rFonts w:hint="eastAsia" w:ascii="宋体" w:hAnsi="宋体" w:cs="宋体"/>
          <w:color w:val="auto"/>
          <w:sz w:val="24"/>
          <w:szCs w:val="24"/>
        </w:rPr>
      </w:pPr>
    </w:p>
    <w:p w14:paraId="2F33D5B0">
      <w:pPr>
        <w:pStyle w:val="255"/>
        <w:spacing w:line="360" w:lineRule="auto"/>
        <w:ind w:firstLine="560"/>
        <w:rPr>
          <w:rFonts w:hint="eastAsia" w:ascii="宋体" w:hAnsi="宋体" w:cs="宋体"/>
          <w:color w:val="auto"/>
          <w:sz w:val="24"/>
          <w:szCs w:val="24"/>
        </w:rPr>
      </w:pPr>
    </w:p>
    <w:p w14:paraId="1ED3C1E4">
      <w:pPr>
        <w:pStyle w:val="255"/>
        <w:spacing w:line="360" w:lineRule="auto"/>
        <w:ind w:firstLine="560"/>
        <w:rPr>
          <w:rFonts w:hint="eastAsia" w:ascii="宋体" w:hAnsi="宋体" w:cs="宋体"/>
          <w:color w:val="auto"/>
          <w:sz w:val="24"/>
          <w:szCs w:val="24"/>
        </w:rPr>
      </w:pPr>
    </w:p>
    <w:p w14:paraId="483D5747">
      <w:pPr>
        <w:jc w:val="center"/>
        <w:rPr>
          <w:rFonts w:hint="eastAsia" w:cs="仿宋"/>
          <w:b/>
          <w:bCs/>
          <w:color w:val="auto"/>
          <w:sz w:val="32"/>
          <w:szCs w:val="32"/>
        </w:rPr>
      </w:pPr>
    </w:p>
    <w:p w14:paraId="7D0BBB9A">
      <w:pPr>
        <w:jc w:val="both"/>
        <w:rPr>
          <w:rFonts w:cs="仿宋"/>
          <w:b/>
          <w:bCs/>
          <w:color w:val="auto"/>
          <w:sz w:val="32"/>
          <w:szCs w:val="32"/>
        </w:rPr>
      </w:pPr>
      <w:r>
        <w:rPr>
          <w:rFonts w:hint="eastAsia" w:cs="仿宋"/>
          <w:b/>
          <w:bCs/>
          <w:color w:val="auto"/>
          <w:sz w:val="32"/>
          <w:szCs w:val="32"/>
        </w:rPr>
        <w:br w:type="page" w:clear="all"/>
      </w:r>
      <w:r>
        <w:rPr>
          <w:rFonts w:hint="eastAsia" w:cs="仿宋"/>
          <w:b/>
          <w:bCs/>
          <w:color w:val="auto"/>
          <w:sz w:val="32"/>
          <w:szCs w:val="32"/>
        </w:rPr>
        <w:t>十三、质疑函范本</w:t>
      </w:r>
    </w:p>
    <w:p w14:paraId="50352E22">
      <w:pPr>
        <w:spacing w:before="290" w:line="360" w:lineRule="auto"/>
        <w:outlineLvl w:val="1"/>
        <w:rPr>
          <w:rFonts w:cs="仿宋"/>
          <w:bCs/>
          <w:color w:val="auto"/>
          <w:sz w:val="24"/>
          <w:szCs w:val="24"/>
        </w:rPr>
      </w:pPr>
      <w:r>
        <w:rPr>
          <w:rFonts w:hint="eastAsia" w:cs="仿宋"/>
          <w:bCs/>
          <w:color w:val="auto"/>
          <w:sz w:val="24"/>
          <w:szCs w:val="24"/>
        </w:rPr>
        <w:t>一、质疑供应商基本信息</w:t>
      </w:r>
    </w:p>
    <w:p w14:paraId="16325268">
      <w:pPr>
        <w:spacing w:line="360" w:lineRule="auto"/>
        <w:rPr>
          <w:rFonts w:cs="仿宋"/>
          <w:color w:val="auto"/>
          <w:sz w:val="24"/>
          <w:szCs w:val="24"/>
          <w:u w:val="single"/>
        </w:rPr>
      </w:pPr>
      <w:r>
        <w:rPr>
          <w:rFonts w:hint="eastAsia" w:cs="仿宋"/>
          <w:color w:val="auto"/>
          <w:sz w:val="24"/>
          <w:szCs w:val="24"/>
        </w:rPr>
        <w:t>质疑供应商：</w:t>
      </w:r>
      <w:r>
        <w:rPr>
          <w:rFonts w:hint="eastAsia" w:cs="仿宋"/>
          <w:color w:val="auto"/>
          <w:sz w:val="24"/>
          <w:szCs w:val="24"/>
          <w:u w:val="single"/>
        </w:rPr>
        <w:t xml:space="preserve">                                                              </w:t>
      </w:r>
    </w:p>
    <w:p w14:paraId="7EA20754">
      <w:pPr>
        <w:spacing w:line="360" w:lineRule="auto"/>
        <w:rPr>
          <w:rFonts w:cs="仿宋"/>
          <w:color w:val="auto"/>
          <w:sz w:val="24"/>
          <w:szCs w:val="24"/>
        </w:rPr>
      </w:pPr>
      <w:r>
        <w:rPr>
          <w:rFonts w:hint="eastAsia" w:cs="仿宋"/>
          <w:color w:val="auto"/>
          <w:sz w:val="24"/>
          <w:szCs w:val="24"/>
        </w:rPr>
        <w:t>地址：</w:t>
      </w:r>
      <w:r>
        <w:rPr>
          <w:rFonts w:hint="eastAsia" w:cs="仿宋"/>
          <w:color w:val="auto"/>
          <w:sz w:val="24"/>
          <w:szCs w:val="24"/>
          <w:u w:val="single"/>
        </w:rPr>
        <w:t xml:space="preserve">                             </w:t>
      </w:r>
      <w:r>
        <w:rPr>
          <w:rFonts w:hint="eastAsia" w:cs="仿宋"/>
          <w:color w:val="auto"/>
          <w:sz w:val="24"/>
          <w:szCs w:val="24"/>
        </w:rPr>
        <w:t>邮编：</w:t>
      </w:r>
      <w:r>
        <w:rPr>
          <w:rFonts w:hint="eastAsia" w:cs="仿宋"/>
          <w:color w:val="auto"/>
          <w:sz w:val="24"/>
          <w:szCs w:val="24"/>
          <w:u w:val="single"/>
        </w:rPr>
        <w:t xml:space="preserve">                                    </w:t>
      </w:r>
    </w:p>
    <w:p w14:paraId="5393111A">
      <w:pPr>
        <w:spacing w:line="360" w:lineRule="auto"/>
        <w:rPr>
          <w:rFonts w:cs="仿宋"/>
          <w:color w:val="auto"/>
          <w:sz w:val="24"/>
          <w:szCs w:val="24"/>
        </w:rPr>
      </w:pPr>
      <w:r>
        <w:rPr>
          <w:rFonts w:hint="eastAsia" w:cs="仿宋"/>
          <w:color w:val="auto"/>
          <w:sz w:val="24"/>
          <w:szCs w:val="24"/>
        </w:rPr>
        <w:t>联系人：</w:t>
      </w:r>
      <w:r>
        <w:rPr>
          <w:rFonts w:hint="eastAsia" w:cs="仿宋"/>
          <w:color w:val="auto"/>
          <w:sz w:val="24"/>
          <w:szCs w:val="24"/>
          <w:u w:val="single"/>
        </w:rPr>
        <w:t xml:space="preserve">                      </w:t>
      </w:r>
      <w:r>
        <w:rPr>
          <w:rFonts w:hint="eastAsia" w:cs="仿宋"/>
          <w:color w:val="auto"/>
          <w:sz w:val="24"/>
          <w:szCs w:val="24"/>
        </w:rPr>
        <w:t>联系电话：</w:t>
      </w:r>
      <w:r>
        <w:rPr>
          <w:rFonts w:hint="eastAsia" w:cs="仿宋"/>
          <w:color w:val="auto"/>
          <w:sz w:val="24"/>
          <w:szCs w:val="24"/>
          <w:u w:val="single"/>
        </w:rPr>
        <w:t xml:space="preserve">                                       </w:t>
      </w:r>
    </w:p>
    <w:p w14:paraId="2EF60A48">
      <w:pPr>
        <w:spacing w:line="360" w:lineRule="auto"/>
        <w:rPr>
          <w:rFonts w:cs="仿宋"/>
          <w:color w:val="auto"/>
          <w:sz w:val="24"/>
          <w:szCs w:val="24"/>
          <w:u w:val="single"/>
        </w:rPr>
      </w:pPr>
      <w:r>
        <w:rPr>
          <w:rFonts w:hint="eastAsia" w:cs="仿宋"/>
          <w:color w:val="auto"/>
          <w:sz w:val="24"/>
          <w:szCs w:val="24"/>
        </w:rPr>
        <w:t>授权代表：</w:t>
      </w:r>
      <w:r>
        <w:rPr>
          <w:rFonts w:hint="eastAsia" w:cs="仿宋"/>
          <w:color w:val="auto"/>
          <w:sz w:val="24"/>
          <w:szCs w:val="24"/>
          <w:u w:val="single"/>
        </w:rPr>
        <w:t xml:space="preserve">                                                                 </w:t>
      </w:r>
    </w:p>
    <w:p w14:paraId="3DC3BFFA">
      <w:pPr>
        <w:spacing w:line="360" w:lineRule="auto"/>
        <w:rPr>
          <w:rFonts w:cs="仿宋"/>
          <w:color w:val="auto"/>
          <w:sz w:val="24"/>
          <w:szCs w:val="24"/>
        </w:rPr>
      </w:pPr>
      <w:r>
        <w:rPr>
          <w:rFonts w:hint="eastAsia" w:cs="仿宋"/>
          <w:color w:val="auto"/>
          <w:sz w:val="24"/>
          <w:szCs w:val="24"/>
        </w:rPr>
        <w:t>联系电话：</w:t>
      </w:r>
      <w:r>
        <w:rPr>
          <w:rFonts w:hint="eastAsia" w:cs="仿宋"/>
          <w:color w:val="auto"/>
          <w:sz w:val="24"/>
          <w:szCs w:val="24"/>
          <w:u w:val="single"/>
        </w:rPr>
        <w:t xml:space="preserve">                                                                </w:t>
      </w:r>
    </w:p>
    <w:p w14:paraId="56C7E458">
      <w:pPr>
        <w:spacing w:line="360" w:lineRule="auto"/>
        <w:rPr>
          <w:rFonts w:cs="仿宋"/>
          <w:color w:val="auto"/>
          <w:sz w:val="24"/>
          <w:szCs w:val="24"/>
        </w:rPr>
      </w:pPr>
      <w:r>
        <w:rPr>
          <w:rFonts w:hint="eastAsia" w:cs="仿宋"/>
          <w:color w:val="auto"/>
          <w:sz w:val="24"/>
          <w:szCs w:val="24"/>
        </w:rPr>
        <w:t>地址：</w:t>
      </w:r>
      <w:r>
        <w:rPr>
          <w:rFonts w:cs="仿宋"/>
          <w:color w:val="auto"/>
          <w:sz w:val="24"/>
          <w:szCs w:val="24"/>
        </w:rPr>
        <w:t xml:space="preserve"> </w:t>
      </w:r>
      <w:r>
        <w:rPr>
          <w:rFonts w:hint="eastAsia" w:cs="仿宋"/>
          <w:color w:val="auto"/>
          <w:sz w:val="24"/>
          <w:szCs w:val="24"/>
          <w:u w:val="single"/>
        </w:rPr>
        <w:t xml:space="preserve">                        </w:t>
      </w:r>
      <w:r>
        <w:rPr>
          <w:rFonts w:hint="eastAsia" w:cs="仿宋"/>
          <w:color w:val="auto"/>
          <w:sz w:val="24"/>
          <w:szCs w:val="24"/>
        </w:rPr>
        <w:t>邮编：</w:t>
      </w:r>
      <w:r>
        <w:rPr>
          <w:rFonts w:hint="eastAsia" w:cs="仿宋"/>
          <w:color w:val="auto"/>
          <w:sz w:val="24"/>
          <w:szCs w:val="24"/>
          <w:u w:val="single"/>
        </w:rPr>
        <w:t xml:space="preserve">                                     </w:t>
      </w:r>
    </w:p>
    <w:p w14:paraId="7C42413F">
      <w:pPr>
        <w:spacing w:line="360" w:lineRule="auto"/>
        <w:outlineLvl w:val="1"/>
        <w:rPr>
          <w:rFonts w:cs="仿宋"/>
          <w:bCs/>
          <w:color w:val="auto"/>
          <w:sz w:val="24"/>
          <w:szCs w:val="24"/>
        </w:rPr>
      </w:pPr>
      <w:r>
        <w:rPr>
          <w:rFonts w:hint="eastAsia" w:cs="仿宋"/>
          <w:bCs/>
          <w:color w:val="auto"/>
          <w:sz w:val="24"/>
          <w:szCs w:val="24"/>
        </w:rPr>
        <w:t>二、质疑项目基本情况</w:t>
      </w:r>
    </w:p>
    <w:p w14:paraId="313DC869">
      <w:pPr>
        <w:spacing w:line="360" w:lineRule="auto"/>
        <w:rPr>
          <w:rFonts w:cs="仿宋"/>
          <w:color w:val="auto"/>
          <w:sz w:val="24"/>
          <w:szCs w:val="24"/>
        </w:rPr>
      </w:pPr>
      <w:r>
        <w:rPr>
          <w:rFonts w:hint="eastAsia" w:cs="仿宋"/>
          <w:color w:val="auto"/>
          <w:sz w:val="24"/>
          <w:szCs w:val="24"/>
        </w:rPr>
        <w:t>质疑项目的名称：</w:t>
      </w:r>
      <w:r>
        <w:rPr>
          <w:rFonts w:hint="eastAsia" w:cs="仿宋"/>
          <w:color w:val="auto"/>
          <w:sz w:val="24"/>
          <w:szCs w:val="24"/>
          <w:u w:val="single"/>
        </w:rPr>
        <w:t xml:space="preserve">                                                          </w:t>
      </w:r>
    </w:p>
    <w:p w14:paraId="5DE639BB">
      <w:pPr>
        <w:spacing w:line="360" w:lineRule="auto"/>
        <w:rPr>
          <w:rFonts w:cs="仿宋"/>
          <w:color w:val="auto"/>
          <w:sz w:val="24"/>
          <w:szCs w:val="24"/>
        </w:rPr>
      </w:pPr>
      <w:r>
        <w:rPr>
          <w:rFonts w:hint="eastAsia" w:cs="仿宋"/>
          <w:color w:val="auto"/>
          <w:sz w:val="24"/>
          <w:szCs w:val="24"/>
        </w:rPr>
        <w:t>质疑项目的编号：</w:t>
      </w:r>
      <w:r>
        <w:rPr>
          <w:rFonts w:hint="eastAsia" w:cs="仿宋"/>
          <w:color w:val="auto"/>
          <w:sz w:val="24"/>
          <w:szCs w:val="24"/>
          <w:u w:val="single"/>
        </w:rPr>
        <w:t xml:space="preserve">                         </w:t>
      </w:r>
      <w:r>
        <w:rPr>
          <w:rFonts w:hint="eastAsia" w:cs="仿宋"/>
          <w:color w:val="auto"/>
          <w:sz w:val="24"/>
          <w:szCs w:val="24"/>
        </w:rPr>
        <w:t>包号：</w:t>
      </w:r>
      <w:r>
        <w:rPr>
          <w:rFonts w:hint="eastAsia" w:cs="仿宋"/>
          <w:color w:val="auto"/>
          <w:sz w:val="24"/>
          <w:szCs w:val="24"/>
          <w:u w:val="single"/>
        </w:rPr>
        <w:t xml:space="preserve">                           </w:t>
      </w:r>
    </w:p>
    <w:p w14:paraId="261AD42E">
      <w:pPr>
        <w:spacing w:line="360" w:lineRule="auto"/>
        <w:rPr>
          <w:rFonts w:cs="仿宋"/>
          <w:color w:val="auto"/>
          <w:sz w:val="24"/>
          <w:szCs w:val="24"/>
          <w:u w:val="single"/>
        </w:rPr>
      </w:pPr>
      <w:r>
        <w:rPr>
          <w:rFonts w:hint="eastAsia" w:cs="仿宋"/>
          <w:color w:val="auto"/>
          <w:sz w:val="24"/>
          <w:szCs w:val="24"/>
        </w:rPr>
        <w:t>采购人名称：</w:t>
      </w:r>
      <w:r>
        <w:rPr>
          <w:rFonts w:hint="eastAsia" w:cs="仿宋"/>
          <w:color w:val="auto"/>
          <w:sz w:val="24"/>
          <w:szCs w:val="24"/>
          <w:u w:val="single"/>
        </w:rPr>
        <w:t xml:space="preserve">                                                              </w:t>
      </w:r>
    </w:p>
    <w:p w14:paraId="05BFC71E">
      <w:pPr>
        <w:spacing w:line="360" w:lineRule="auto"/>
        <w:rPr>
          <w:rFonts w:cs="仿宋"/>
          <w:color w:val="auto"/>
          <w:sz w:val="24"/>
          <w:szCs w:val="24"/>
        </w:rPr>
      </w:pPr>
      <w:r>
        <w:rPr>
          <w:rFonts w:hint="eastAsia" w:cs="仿宋"/>
          <w:color w:val="auto"/>
          <w:sz w:val="24"/>
          <w:szCs w:val="24"/>
        </w:rPr>
        <w:t>采购文件获取日期：</w:t>
      </w:r>
      <w:r>
        <w:rPr>
          <w:rFonts w:hint="eastAsia" w:cs="仿宋"/>
          <w:color w:val="auto"/>
          <w:sz w:val="24"/>
          <w:szCs w:val="24"/>
          <w:u w:val="single"/>
        </w:rPr>
        <w:t xml:space="preserve">                                                        </w:t>
      </w:r>
    </w:p>
    <w:p w14:paraId="48D10041">
      <w:pPr>
        <w:spacing w:line="360" w:lineRule="auto"/>
        <w:outlineLvl w:val="1"/>
        <w:rPr>
          <w:rFonts w:cs="仿宋"/>
          <w:bCs/>
          <w:color w:val="auto"/>
          <w:sz w:val="24"/>
          <w:szCs w:val="24"/>
        </w:rPr>
      </w:pPr>
      <w:r>
        <w:rPr>
          <w:rFonts w:hint="eastAsia" w:cs="仿宋"/>
          <w:bCs/>
          <w:color w:val="auto"/>
          <w:sz w:val="24"/>
          <w:szCs w:val="24"/>
        </w:rPr>
        <w:t>三、质疑事项具体内容</w:t>
      </w:r>
    </w:p>
    <w:p w14:paraId="3B17BB7B">
      <w:pPr>
        <w:spacing w:line="360" w:lineRule="auto"/>
        <w:rPr>
          <w:rFonts w:cs="仿宋"/>
          <w:color w:val="auto"/>
          <w:sz w:val="24"/>
          <w:szCs w:val="24"/>
          <w:u w:val="single"/>
        </w:rPr>
      </w:pPr>
      <w:r>
        <w:rPr>
          <w:rFonts w:hint="eastAsia" w:cs="仿宋"/>
          <w:color w:val="auto"/>
          <w:sz w:val="24"/>
          <w:szCs w:val="24"/>
        </w:rPr>
        <w:t>质疑事项1：</w:t>
      </w:r>
      <w:r>
        <w:rPr>
          <w:rFonts w:hint="eastAsia" w:cs="仿宋"/>
          <w:color w:val="auto"/>
          <w:sz w:val="24"/>
          <w:szCs w:val="24"/>
          <w:u w:val="single"/>
        </w:rPr>
        <w:t xml:space="preserve">                                                              </w:t>
      </w:r>
    </w:p>
    <w:p w14:paraId="4AE8F04C">
      <w:pPr>
        <w:spacing w:line="360" w:lineRule="auto"/>
        <w:rPr>
          <w:rFonts w:cs="仿宋"/>
          <w:color w:val="auto"/>
          <w:sz w:val="24"/>
          <w:szCs w:val="24"/>
          <w:u w:val="single"/>
        </w:rPr>
      </w:pPr>
      <w:r>
        <w:rPr>
          <w:rFonts w:hint="eastAsia" w:cs="仿宋"/>
          <w:color w:val="auto"/>
          <w:sz w:val="24"/>
          <w:szCs w:val="24"/>
        </w:rPr>
        <w:t>事实依据：</w:t>
      </w:r>
      <w:r>
        <w:rPr>
          <w:rFonts w:hint="eastAsia" w:cs="仿宋"/>
          <w:color w:val="auto"/>
          <w:sz w:val="24"/>
          <w:szCs w:val="24"/>
          <w:u w:val="single"/>
        </w:rPr>
        <w:t xml:space="preserve">                                                                </w:t>
      </w:r>
    </w:p>
    <w:p w14:paraId="095A31C7">
      <w:pPr>
        <w:spacing w:line="360" w:lineRule="auto"/>
        <w:rPr>
          <w:rFonts w:cs="仿宋"/>
          <w:color w:val="auto"/>
          <w:sz w:val="24"/>
          <w:szCs w:val="24"/>
        </w:rPr>
      </w:pPr>
      <w:r>
        <w:rPr>
          <w:rFonts w:hint="eastAsia" w:cs="仿宋"/>
          <w:color w:val="auto"/>
          <w:sz w:val="24"/>
          <w:szCs w:val="24"/>
          <w:u w:val="single"/>
        </w:rPr>
        <w:t xml:space="preserve">                                                                           </w:t>
      </w:r>
    </w:p>
    <w:p w14:paraId="268B3B8C">
      <w:pPr>
        <w:spacing w:line="360" w:lineRule="auto"/>
        <w:rPr>
          <w:rFonts w:cs="仿宋"/>
          <w:color w:val="auto"/>
          <w:sz w:val="24"/>
          <w:szCs w:val="24"/>
          <w:u w:val="single"/>
        </w:rPr>
      </w:pPr>
      <w:r>
        <w:rPr>
          <w:rFonts w:hint="eastAsia" w:cs="仿宋"/>
          <w:color w:val="auto"/>
          <w:sz w:val="24"/>
          <w:szCs w:val="24"/>
        </w:rPr>
        <w:t>法律依据：</w:t>
      </w:r>
      <w:r>
        <w:rPr>
          <w:rFonts w:hint="eastAsia" w:cs="仿宋"/>
          <w:color w:val="auto"/>
          <w:sz w:val="24"/>
          <w:szCs w:val="24"/>
          <w:u w:val="single"/>
        </w:rPr>
        <w:t xml:space="preserve">                                                                 </w:t>
      </w:r>
    </w:p>
    <w:p w14:paraId="1B487AE4">
      <w:pPr>
        <w:spacing w:line="360" w:lineRule="auto"/>
        <w:rPr>
          <w:rFonts w:cs="仿宋"/>
          <w:color w:val="auto"/>
          <w:sz w:val="24"/>
          <w:szCs w:val="24"/>
          <w:u w:val="single"/>
        </w:rPr>
      </w:pPr>
      <w:r>
        <w:rPr>
          <w:rFonts w:hint="eastAsia" w:cs="仿宋"/>
          <w:color w:val="auto"/>
          <w:sz w:val="24"/>
          <w:szCs w:val="24"/>
          <w:u w:val="single"/>
        </w:rPr>
        <w:t xml:space="preserve">                                                                           </w:t>
      </w:r>
    </w:p>
    <w:p w14:paraId="62C581AF">
      <w:pPr>
        <w:spacing w:line="360" w:lineRule="auto"/>
        <w:rPr>
          <w:rFonts w:cs="仿宋"/>
          <w:color w:val="auto"/>
          <w:sz w:val="24"/>
          <w:szCs w:val="24"/>
          <w:u w:val="single"/>
        </w:rPr>
      </w:pPr>
      <w:r>
        <w:rPr>
          <w:rFonts w:hint="eastAsia" w:cs="仿宋"/>
          <w:color w:val="auto"/>
          <w:sz w:val="24"/>
          <w:szCs w:val="24"/>
        </w:rPr>
        <w:t>质疑事项2</w:t>
      </w:r>
    </w:p>
    <w:p w14:paraId="4DE73043">
      <w:pPr>
        <w:spacing w:line="360" w:lineRule="auto"/>
        <w:rPr>
          <w:rFonts w:cs="仿宋"/>
          <w:color w:val="auto"/>
          <w:sz w:val="24"/>
          <w:szCs w:val="24"/>
        </w:rPr>
      </w:pPr>
      <w:r>
        <w:rPr>
          <w:rFonts w:hint="eastAsia" w:cs="仿宋"/>
          <w:color w:val="auto"/>
          <w:sz w:val="24"/>
          <w:szCs w:val="24"/>
        </w:rPr>
        <w:t>……</w:t>
      </w:r>
    </w:p>
    <w:p w14:paraId="069DD897">
      <w:pPr>
        <w:spacing w:line="360" w:lineRule="auto"/>
        <w:outlineLvl w:val="1"/>
        <w:rPr>
          <w:rFonts w:cs="仿宋"/>
          <w:bCs/>
          <w:color w:val="auto"/>
          <w:sz w:val="24"/>
          <w:szCs w:val="24"/>
        </w:rPr>
      </w:pPr>
      <w:r>
        <w:rPr>
          <w:rFonts w:hint="eastAsia" w:cs="仿宋"/>
          <w:bCs/>
          <w:color w:val="auto"/>
          <w:sz w:val="24"/>
          <w:szCs w:val="24"/>
        </w:rPr>
        <w:t>四、与质疑事项相关的质疑请求</w:t>
      </w:r>
    </w:p>
    <w:p w14:paraId="514077D0">
      <w:pPr>
        <w:spacing w:line="360" w:lineRule="auto"/>
        <w:rPr>
          <w:rFonts w:cs="仿宋"/>
          <w:color w:val="auto"/>
          <w:sz w:val="24"/>
          <w:szCs w:val="24"/>
          <w:u w:val="single"/>
        </w:rPr>
      </w:pPr>
      <w:r>
        <w:rPr>
          <w:rFonts w:hint="eastAsia" w:cs="仿宋"/>
          <w:color w:val="auto"/>
          <w:sz w:val="24"/>
          <w:szCs w:val="24"/>
        </w:rPr>
        <w:t>请求：</w:t>
      </w:r>
      <w:r>
        <w:rPr>
          <w:rFonts w:hint="eastAsia" w:cs="仿宋"/>
          <w:color w:val="auto"/>
          <w:sz w:val="24"/>
          <w:szCs w:val="24"/>
          <w:u w:val="single"/>
        </w:rPr>
        <w:t xml:space="preserve">                                                                     </w:t>
      </w:r>
    </w:p>
    <w:p w14:paraId="1618E14F">
      <w:pPr>
        <w:rPr>
          <w:color w:val="auto"/>
          <w:sz w:val="24"/>
          <w:szCs w:val="24"/>
        </w:rPr>
      </w:pPr>
      <w:r>
        <w:rPr>
          <w:rFonts w:hint="eastAsia"/>
          <w:color w:val="auto"/>
          <w:sz w:val="24"/>
          <w:szCs w:val="24"/>
        </w:rPr>
        <w:t xml:space="preserve">签字（签章）：                   公章：                      </w:t>
      </w:r>
    </w:p>
    <w:p w14:paraId="5815A90E">
      <w:pPr>
        <w:rPr>
          <w:color w:val="auto"/>
          <w:sz w:val="24"/>
          <w:szCs w:val="24"/>
        </w:rPr>
      </w:pPr>
      <w:r>
        <w:rPr>
          <w:rFonts w:hint="eastAsia"/>
          <w:color w:val="auto"/>
          <w:sz w:val="24"/>
          <w:szCs w:val="24"/>
        </w:rPr>
        <w:t xml:space="preserve">日期：    </w:t>
      </w:r>
    </w:p>
    <w:p w14:paraId="3E9579D5">
      <w:pPr>
        <w:spacing w:line="400" w:lineRule="exact"/>
        <w:rPr>
          <w:b/>
          <w:color w:val="auto"/>
          <w:sz w:val="24"/>
          <w:szCs w:val="24"/>
        </w:rPr>
      </w:pPr>
      <w:r>
        <w:rPr>
          <w:rFonts w:hint="eastAsia"/>
          <w:b/>
          <w:color w:val="auto"/>
          <w:sz w:val="24"/>
          <w:szCs w:val="24"/>
        </w:rPr>
        <w:t>质疑函制作说明：</w:t>
      </w:r>
    </w:p>
    <w:p w14:paraId="15AAC93E">
      <w:pPr>
        <w:widowControl/>
        <w:spacing w:line="400" w:lineRule="exact"/>
        <w:ind w:firstLine="480"/>
        <w:jc w:val="left"/>
        <w:outlineLvl w:val="2"/>
        <w:rPr>
          <w:color w:val="auto"/>
          <w:sz w:val="24"/>
          <w:szCs w:val="24"/>
        </w:rPr>
      </w:pPr>
      <w:r>
        <w:rPr>
          <w:rFonts w:hint="eastAsia"/>
          <w:color w:val="auto"/>
          <w:sz w:val="24"/>
          <w:szCs w:val="24"/>
        </w:rPr>
        <w:t>1.供应商提出质疑时，应提交质疑函和必要的证明材料。</w:t>
      </w:r>
    </w:p>
    <w:p w14:paraId="3D07C168">
      <w:pPr>
        <w:widowControl/>
        <w:spacing w:line="400" w:lineRule="exact"/>
        <w:ind w:firstLine="480"/>
        <w:jc w:val="left"/>
        <w:rPr>
          <w:color w:val="auto"/>
          <w:sz w:val="24"/>
          <w:szCs w:val="24"/>
        </w:rPr>
      </w:pPr>
      <w:r>
        <w:rPr>
          <w:rFonts w:hint="eastAsia"/>
          <w:color w:val="auto"/>
          <w:sz w:val="24"/>
          <w:szCs w:val="24"/>
        </w:rPr>
        <w:t>2.质疑供应商若委托代理人进行质疑的，质疑函应按要求列明“授权代表”的有关内容，并在附件中提交由质疑</w:t>
      </w:r>
      <w:r>
        <w:rPr>
          <w:rFonts w:hint="eastAsia" w:cs="宋体"/>
          <w:color w:val="auto"/>
          <w:sz w:val="24"/>
          <w:szCs w:val="24"/>
        </w:rPr>
        <w:t>供应商签署的授权委托书。授权委托书应载明代理人的姓名或者名称、代理事项、具体权限、期限和相关事项。</w:t>
      </w:r>
    </w:p>
    <w:p w14:paraId="18943945">
      <w:pPr>
        <w:widowControl/>
        <w:spacing w:line="400" w:lineRule="exact"/>
        <w:ind w:firstLine="480"/>
        <w:jc w:val="left"/>
        <w:rPr>
          <w:color w:val="auto"/>
          <w:sz w:val="24"/>
          <w:szCs w:val="24"/>
        </w:rPr>
      </w:pPr>
      <w:r>
        <w:rPr>
          <w:rFonts w:hint="eastAsia"/>
          <w:color w:val="auto"/>
          <w:sz w:val="24"/>
          <w:szCs w:val="24"/>
        </w:rPr>
        <w:t>3.质疑供应商若对项目的某一分包进行质疑，质疑函中应列明具体分包号。</w:t>
      </w:r>
    </w:p>
    <w:p w14:paraId="02124615">
      <w:pPr>
        <w:widowControl/>
        <w:spacing w:line="400" w:lineRule="exact"/>
        <w:ind w:firstLine="480"/>
        <w:jc w:val="left"/>
        <w:rPr>
          <w:color w:val="auto"/>
          <w:sz w:val="24"/>
          <w:szCs w:val="24"/>
        </w:rPr>
      </w:pPr>
      <w:r>
        <w:rPr>
          <w:rFonts w:hint="eastAsia"/>
          <w:color w:val="auto"/>
          <w:sz w:val="24"/>
          <w:szCs w:val="24"/>
        </w:rPr>
        <w:t>4.质疑函的质疑事项应具体、明确，并有必要的事实依据和法律依据。</w:t>
      </w:r>
    </w:p>
    <w:p w14:paraId="7BB42A9F">
      <w:pPr>
        <w:widowControl/>
        <w:spacing w:line="400" w:lineRule="exact"/>
        <w:ind w:firstLine="480"/>
        <w:jc w:val="left"/>
        <w:outlineLvl w:val="2"/>
        <w:rPr>
          <w:color w:val="auto"/>
          <w:sz w:val="24"/>
          <w:szCs w:val="24"/>
        </w:rPr>
      </w:pPr>
      <w:r>
        <w:rPr>
          <w:rFonts w:hint="eastAsia"/>
          <w:color w:val="auto"/>
          <w:sz w:val="24"/>
          <w:szCs w:val="24"/>
        </w:rPr>
        <w:t>5.质疑函的质疑请求应与质疑事项相关。</w:t>
      </w:r>
    </w:p>
    <w:p w14:paraId="758F97BD">
      <w:pPr>
        <w:widowControl/>
        <w:spacing w:line="400" w:lineRule="exact"/>
        <w:ind w:firstLine="480"/>
        <w:jc w:val="left"/>
        <w:rPr>
          <w:color w:val="auto"/>
          <w:sz w:val="24"/>
          <w:szCs w:val="24"/>
        </w:rPr>
      </w:pPr>
      <w:r>
        <w:rPr>
          <w:rFonts w:hint="eastAsia"/>
          <w:color w:val="auto"/>
          <w:sz w:val="24"/>
          <w:szCs w:val="24"/>
        </w:rPr>
        <w:t>6.质疑供应商为自然人的，质疑函应由本人签字</w:t>
      </w:r>
      <w:r>
        <w:rPr>
          <w:rFonts w:hint="eastAsia"/>
          <w:color w:val="auto"/>
          <w:sz w:val="24"/>
          <w:szCs w:val="24"/>
          <w:lang w:eastAsia="zh-CN"/>
        </w:rPr>
        <w:t>；</w:t>
      </w:r>
      <w:r>
        <w:rPr>
          <w:rFonts w:hint="eastAsia"/>
          <w:color w:val="auto"/>
          <w:sz w:val="24"/>
          <w:szCs w:val="24"/>
        </w:rPr>
        <w:t>质疑供应商为法人或者其他组织的，质疑函应由法定代表人、主要负责人，或者其授权代表签字或者盖章，并加盖公章。</w:t>
      </w:r>
    </w:p>
    <w:p w14:paraId="582F6F89">
      <w:pPr>
        <w:spacing w:line="360" w:lineRule="auto"/>
        <w:ind w:firstLine="480"/>
        <w:rPr>
          <w:rFonts w:ascii="Times New Roman" w:hAnsi="Times New Roman" w:cs="仿宋_GB2312"/>
          <w:color w:val="auto"/>
          <w:sz w:val="24"/>
        </w:rPr>
      </w:pPr>
    </w:p>
    <w:p w14:paraId="5E13CC1E">
      <w:pPr>
        <w:spacing w:line="360" w:lineRule="auto"/>
        <w:ind w:firstLine="480"/>
        <w:rPr>
          <w:rFonts w:ascii="Times New Roman" w:hAnsi="Times New Roman" w:cs="仿宋_GB2312"/>
          <w:color w:val="auto"/>
          <w:sz w:val="24"/>
        </w:rPr>
      </w:pPr>
    </w:p>
    <w:p w14:paraId="277A971E">
      <w:pPr>
        <w:spacing w:line="360" w:lineRule="auto"/>
        <w:rPr>
          <w:rFonts w:ascii="Times New Roman" w:hAnsi="Times New Roman" w:cs="仿宋_GB2312"/>
          <w:color w:val="auto"/>
          <w:sz w:val="24"/>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华文楷体">
    <w:altName w:val="宋体"/>
    <w:panose1 w:val="0201060004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小标宋_GBK">
    <w:altName w:val="微软雅黑"/>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幼圆">
    <w:altName w:val="Yu Gothic UI"/>
    <w:panose1 w:val="020105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7880724"/>
    </w:sdtPr>
    <w:sdtContent>
      <w:p w14:paraId="5F24C556">
        <w:pPr>
          <w:pStyle w:val="27"/>
          <w:jc w:val="center"/>
        </w:pPr>
        <w:r>
          <w:fldChar w:fldCharType="begin"/>
        </w:r>
        <w:r>
          <w:instrText xml:space="preserve">PAGE   \* MERGEFORMAT</w:instrText>
        </w:r>
        <w:r>
          <w:fldChar w:fldCharType="separate"/>
        </w:r>
        <w:r>
          <w:rPr>
            <w:lang w:val="zh-CN"/>
          </w:rPr>
          <w:t>45</w:t>
        </w:r>
        <w:r>
          <w:fldChar w:fldCharType="end"/>
        </w:r>
      </w:p>
    </w:sdtContent>
  </w:sdt>
  <w:p w14:paraId="56BDFAA8">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5702C9"/>
    <w:multiLevelType w:val="multilevel"/>
    <w:tmpl w:val="B35702C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3F5408C"/>
    <w:multiLevelType w:val="multilevel"/>
    <w:tmpl w:val="C3F5408C"/>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FCAE121"/>
    <w:multiLevelType w:val="multilevel"/>
    <w:tmpl w:val="2FCAE121"/>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B3A194E"/>
    <w:multiLevelType w:val="multilevel"/>
    <w:tmpl w:val="7B3A194E"/>
    <w:lvl w:ilvl="0" w:tentative="0">
      <w:start w:val="3"/>
      <w:numFmt w:val="chineseCounting"/>
      <w:suff w:val="nothing"/>
      <w:lvlText w:val="（%1）"/>
      <w:lvlJc w:val="left"/>
      <w:pPr>
        <w:ind w:left="3185"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3476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7"/>
    <w:qFormat/>
    <w:uiPriority w:val="0"/>
    <w:pPr>
      <w:widowControl w:val="0"/>
      <w:jc w:val="both"/>
    </w:pPr>
    <w:rPr>
      <w:rFonts w:hint="default" w:ascii="Calibri" w:hAnsi="Calibri" w:eastAsia="宋体" w:cs="Times New Roman"/>
      <w:sz w:val="21"/>
      <w:szCs w:val="22"/>
    </w:rPr>
  </w:style>
  <w:style w:type="paragraph" w:styleId="4">
    <w:name w:val="heading 1"/>
    <w:basedOn w:val="1"/>
    <w:next w:val="1"/>
    <w:link w:val="65"/>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6"/>
    <w:link w:val="66"/>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67"/>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paragraph" w:styleId="9">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70"/>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71"/>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72"/>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73"/>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next w:val="3"/>
    <w:qFormat/>
    <w:uiPriority w:val="0"/>
    <w:rPr>
      <w:rFonts w:ascii="楷体_GB2312" w:hAnsi="Arial" w:eastAsia="楷体_GB2312"/>
      <w:sz w:val="28"/>
      <w:szCs w:val="28"/>
    </w:rPr>
  </w:style>
  <w:style w:type="paragraph" w:customStyle="1" w:styleId="3">
    <w:name w:val="正文缩进11"/>
    <w:basedOn w:val="1"/>
    <w:next w:val="1"/>
    <w:qFormat/>
    <w:uiPriority w:val="0"/>
    <w:pPr>
      <w:ind w:firstLine="420"/>
    </w:pPr>
  </w:style>
  <w:style w:type="paragraph" w:styleId="6">
    <w:name w:val="Normal Indent"/>
    <w:basedOn w:val="1"/>
    <w:next w:val="1"/>
    <w:qFormat/>
    <w:uiPriority w:val="0"/>
    <w:pPr>
      <w:ind w:firstLine="420"/>
    </w:pPr>
    <w:rPr>
      <w:szCs w:val="21"/>
    </w:rPr>
  </w:style>
  <w:style w:type="paragraph" w:styleId="14">
    <w:name w:val="toc 7"/>
    <w:basedOn w:val="1"/>
    <w:next w:val="1"/>
    <w:unhideWhenUsed/>
    <w:qFormat/>
    <w:uiPriority w:val="39"/>
    <w:pPr>
      <w:spacing w:after="57"/>
      <w:ind w:left="1701"/>
    </w:pPr>
  </w:style>
  <w:style w:type="paragraph" w:styleId="15">
    <w:name w:val="caption"/>
    <w:next w:val="1"/>
    <w:unhideWhenUsed/>
    <w:qFormat/>
    <w:uiPriority w:val="35"/>
    <w:pPr>
      <w:jc w:val="center"/>
    </w:pPr>
    <w:rPr>
      <w:rFonts w:hint="default" w:ascii="Times New Roman" w:hAnsi="Times New Roman" w:eastAsia="宋体" w:cs="Times New Roman"/>
      <w:b/>
      <w:sz w:val="21"/>
    </w:rPr>
  </w:style>
  <w:style w:type="paragraph" w:styleId="16">
    <w:name w:val="annotation text"/>
    <w:basedOn w:val="1"/>
    <w:unhideWhenUsed/>
    <w:qFormat/>
    <w:uiPriority w:val="0"/>
    <w:pPr>
      <w:jc w:val="left"/>
    </w:pPr>
  </w:style>
  <w:style w:type="paragraph" w:styleId="17">
    <w:name w:val="Body Text"/>
    <w:basedOn w:val="1"/>
    <w:next w:val="6"/>
    <w:qFormat/>
    <w:uiPriority w:val="0"/>
    <w:pPr>
      <w:spacing w:after="120"/>
    </w:pPr>
  </w:style>
  <w:style w:type="paragraph" w:styleId="18">
    <w:name w:val="Body Text Indent"/>
    <w:basedOn w:val="1"/>
    <w:next w:val="19"/>
    <w:link w:val="227"/>
    <w:unhideWhenUsed/>
    <w:qFormat/>
    <w:uiPriority w:val="0"/>
    <w:pPr>
      <w:spacing w:after="120"/>
      <w:ind w:left="420"/>
    </w:pPr>
  </w:style>
  <w:style w:type="paragraph" w:styleId="19">
    <w:name w:val="annotation subject"/>
    <w:basedOn w:val="16"/>
    <w:next w:val="1"/>
    <w:semiHidden/>
    <w:qFormat/>
    <w:uiPriority w:val="0"/>
    <w:rPr>
      <w:rFonts w:ascii="Times New Roman" w:hAnsi="Times New Roman"/>
      <w:b/>
      <w:bCs/>
      <w:szCs w:val="21"/>
    </w:rPr>
  </w:style>
  <w:style w:type="paragraph" w:styleId="20">
    <w:name w:val="Block Text"/>
    <w:qFormat/>
    <w:uiPriority w:val="0"/>
    <w:pPr>
      <w:spacing w:line="360" w:lineRule="auto"/>
      <w:ind w:left="630" w:right="-609" w:firstLine="420"/>
    </w:pPr>
    <w:rPr>
      <w:rFonts w:hint="eastAsia" w:ascii="仿宋_GB2312" w:hAnsi="Calibri" w:eastAsia="仿宋_GB2312" w:cs="Times New Roman"/>
      <w:sz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cs="Courier New"/>
      <w:szCs w:val="21"/>
    </w:rPr>
  </w:style>
  <w:style w:type="paragraph" w:styleId="24">
    <w:name w:val="toc 8"/>
    <w:basedOn w:val="1"/>
    <w:next w:val="1"/>
    <w:unhideWhenUsed/>
    <w:qFormat/>
    <w:uiPriority w:val="39"/>
    <w:pPr>
      <w:spacing w:after="57"/>
      <w:ind w:left="1984"/>
    </w:pPr>
  </w:style>
  <w:style w:type="paragraph" w:styleId="25">
    <w:name w:val="endnote text"/>
    <w:basedOn w:val="1"/>
    <w:link w:val="210"/>
    <w:semiHidden/>
    <w:unhideWhenUsed/>
    <w:qFormat/>
    <w:uiPriority w:val="99"/>
    <w:rPr>
      <w:sz w:val="20"/>
    </w:rPr>
  </w:style>
  <w:style w:type="paragraph" w:styleId="26">
    <w:name w:val="Balloon Text"/>
    <w:basedOn w:val="1"/>
    <w:link w:val="264"/>
    <w:semiHidden/>
    <w:unhideWhenUsed/>
    <w:qFormat/>
    <w:uiPriority w:val="99"/>
    <w:rPr>
      <w:sz w:val="18"/>
      <w:szCs w:val="18"/>
    </w:rPr>
  </w:style>
  <w:style w:type="paragraph" w:styleId="27">
    <w:name w:val="footer"/>
    <w:basedOn w:val="1"/>
    <w:link w:val="226"/>
    <w:qFormat/>
    <w:uiPriority w:val="99"/>
    <w:pPr>
      <w:tabs>
        <w:tab w:val="center" w:pos="4153"/>
        <w:tab w:val="right" w:pos="8306"/>
      </w:tabs>
      <w:jc w:val="left"/>
    </w:pPr>
    <w:rPr>
      <w:sz w:val="18"/>
    </w:rPr>
  </w:style>
  <w:style w:type="paragraph" w:styleId="2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9">
    <w:name w:val="toc 1"/>
    <w:basedOn w:val="1"/>
    <w:next w:val="1"/>
    <w:qFormat/>
    <w:uiPriority w:val="39"/>
  </w:style>
  <w:style w:type="paragraph" w:styleId="30">
    <w:name w:val="toc 4"/>
    <w:basedOn w:val="1"/>
    <w:next w:val="1"/>
    <w:unhideWhenUsed/>
    <w:qFormat/>
    <w:uiPriority w:val="39"/>
    <w:pPr>
      <w:spacing w:after="57"/>
      <w:ind w:left="850"/>
    </w:pPr>
  </w:style>
  <w:style w:type="paragraph" w:styleId="31">
    <w:name w:val="Subtitle"/>
    <w:basedOn w:val="1"/>
    <w:next w:val="1"/>
    <w:link w:val="76"/>
    <w:qFormat/>
    <w:uiPriority w:val="11"/>
    <w:pPr>
      <w:spacing w:before="200" w:after="200"/>
    </w:pPr>
    <w:rPr>
      <w:sz w:val="24"/>
      <w:szCs w:val="24"/>
    </w:rPr>
  </w:style>
  <w:style w:type="paragraph" w:styleId="32">
    <w:name w:val="List"/>
    <w:basedOn w:val="1"/>
    <w:semiHidden/>
    <w:qFormat/>
    <w:uiPriority w:val="99"/>
    <w:pPr>
      <w:ind w:left="200" w:hanging="200"/>
      <w:contextualSpacing/>
    </w:pPr>
  </w:style>
  <w:style w:type="paragraph" w:styleId="33">
    <w:name w:val="footnote text"/>
    <w:basedOn w:val="1"/>
    <w:link w:val="209"/>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9">
    <w:name w:val="Title"/>
    <w:basedOn w:val="1"/>
    <w:next w:val="1"/>
    <w:link w:val="75"/>
    <w:qFormat/>
    <w:uiPriority w:val="10"/>
    <w:pPr>
      <w:spacing w:before="300" w:after="200"/>
      <w:contextualSpacing/>
    </w:pPr>
    <w:rPr>
      <w:sz w:val="48"/>
      <w:szCs w:val="48"/>
    </w:rPr>
  </w:style>
  <w:style w:type="table" w:styleId="41">
    <w:name w:val="Table Grid"/>
    <w:basedOn w:val="4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basedOn w:val="42"/>
    <w:semiHidden/>
    <w:unhideWhenUsed/>
    <w:qFormat/>
    <w:uiPriority w:val="99"/>
    <w:rPr>
      <w:vertAlign w:val="superscript"/>
    </w:rPr>
  </w:style>
  <w:style w:type="character" w:styleId="45">
    <w:name w:val="Hyperlink"/>
    <w:basedOn w:val="42"/>
    <w:unhideWhenUsed/>
    <w:qFormat/>
    <w:uiPriority w:val="99"/>
    <w:rPr>
      <w:color w:val="0026E5" w:themeColor="hyperlink"/>
      <w:u w:val="single"/>
      <w14:textFill>
        <w14:solidFill>
          <w14:schemeClr w14:val="hlink"/>
        </w14:solidFill>
      </w14:textFill>
    </w:rPr>
  </w:style>
  <w:style w:type="character" w:styleId="46">
    <w:name w:val="footnote reference"/>
    <w:basedOn w:val="42"/>
    <w:unhideWhenUsed/>
    <w:qFormat/>
    <w:uiPriority w:val="99"/>
    <w:rPr>
      <w:vertAlign w:val="superscript"/>
    </w:rPr>
  </w:style>
  <w:style w:type="paragraph" w:customStyle="1" w:styleId="47">
    <w:name w:val="正文首行缩进1"/>
    <w:basedOn w:val="48"/>
    <w:next w:val="1"/>
    <w:qFormat/>
    <w:uiPriority w:val="0"/>
    <w:pPr>
      <w:spacing w:after="120" w:line="240" w:lineRule="auto"/>
      <w:ind w:firstLine="100"/>
    </w:pPr>
    <w:rPr>
      <w:rFonts w:ascii="Times New Roman" w:hAnsi="Times New Roman" w:eastAsia="宋体"/>
      <w:sz w:val="21"/>
    </w:rPr>
  </w:style>
  <w:style w:type="paragraph" w:customStyle="1" w:styleId="48">
    <w:name w:val="正文文本111"/>
    <w:basedOn w:val="1"/>
    <w:next w:val="49"/>
    <w:qFormat/>
    <w:uiPriority w:val="0"/>
    <w:rPr>
      <w:rFonts w:ascii="楷体_GB2312" w:hAnsi="Arial" w:eastAsia="楷体_GB2312"/>
      <w:sz w:val="28"/>
      <w:szCs w:val="28"/>
    </w:rPr>
  </w:style>
  <w:style w:type="paragraph" w:customStyle="1" w:styleId="49">
    <w:name w:val="正文缩进111"/>
    <w:basedOn w:val="1"/>
    <w:next w:val="1"/>
    <w:qFormat/>
    <w:uiPriority w:val="0"/>
    <w:pPr>
      <w:ind w:firstLine="420"/>
    </w:pPr>
    <w:rPr>
      <w:rFonts w:ascii="宋体"/>
      <w:color w:val="000000"/>
      <w:sz w:val="24"/>
      <w:szCs w:val="20"/>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5 Char"/>
    <w:basedOn w:val="42"/>
    <w:qFormat/>
    <w:uiPriority w:val="9"/>
    <w:rPr>
      <w:rFonts w:ascii="Arial" w:hAnsi="Arial" w:eastAsia="Arial" w:cs="Arial"/>
      <w:b/>
      <w:bCs/>
      <w:sz w:val="24"/>
      <w:szCs w:val="24"/>
    </w:rPr>
  </w:style>
  <w:style w:type="character" w:customStyle="1" w:styleId="54">
    <w:name w:val="Heading 6 Char"/>
    <w:basedOn w:val="42"/>
    <w:qFormat/>
    <w:uiPriority w:val="9"/>
    <w:rPr>
      <w:rFonts w:ascii="Arial" w:hAnsi="Arial" w:eastAsia="Arial" w:cs="Arial"/>
      <w:b/>
      <w:bCs/>
      <w:sz w:val="22"/>
      <w:szCs w:val="22"/>
    </w:rPr>
  </w:style>
  <w:style w:type="character" w:customStyle="1" w:styleId="55">
    <w:name w:val="Heading 7 Char"/>
    <w:basedOn w:val="42"/>
    <w:qFormat/>
    <w:uiPriority w:val="9"/>
    <w:rPr>
      <w:rFonts w:ascii="Arial" w:hAnsi="Arial" w:eastAsia="Arial" w:cs="Arial"/>
      <w:b/>
      <w:bCs/>
      <w:i/>
      <w:iCs/>
      <w:sz w:val="22"/>
      <w:szCs w:val="22"/>
    </w:rPr>
  </w:style>
  <w:style w:type="character" w:customStyle="1" w:styleId="56">
    <w:name w:val="Heading 8 Char"/>
    <w:basedOn w:val="42"/>
    <w:qFormat/>
    <w:uiPriority w:val="9"/>
    <w:rPr>
      <w:rFonts w:ascii="Arial" w:hAnsi="Arial" w:eastAsia="Arial" w:cs="Arial"/>
      <w:i/>
      <w:iCs/>
      <w:sz w:val="22"/>
      <w:szCs w:val="22"/>
    </w:rPr>
  </w:style>
  <w:style w:type="character" w:customStyle="1" w:styleId="57">
    <w:name w:val="Heading 9 Char"/>
    <w:basedOn w:val="42"/>
    <w:qFormat/>
    <w:uiPriority w:val="9"/>
    <w:rPr>
      <w:rFonts w:ascii="Arial" w:hAnsi="Arial" w:eastAsia="Arial" w:cs="Arial"/>
      <w:i/>
      <w:iCs/>
      <w:sz w:val="21"/>
      <w:szCs w:val="21"/>
    </w:rPr>
  </w:style>
  <w:style w:type="character" w:customStyle="1" w:styleId="58">
    <w:name w:val="Title Char"/>
    <w:basedOn w:val="42"/>
    <w:qFormat/>
    <w:uiPriority w:val="10"/>
    <w:rPr>
      <w:sz w:val="48"/>
      <w:szCs w:val="48"/>
    </w:rPr>
  </w:style>
  <w:style w:type="character" w:customStyle="1" w:styleId="59">
    <w:name w:val="Subtitle Char"/>
    <w:basedOn w:val="42"/>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character" w:customStyle="1" w:styleId="62">
    <w:name w:val="Footnote Text Char"/>
    <w:qFormat/>
    <w:uiPriority w:val="99"/>
    <w:rPr>
      <w:sz w:val="18"/>
    </w:rPr>
  </w:style>
  <w:style w:type="character" w:customStyle="1" w:styleId="63">
    <w:name w:val="Endnote Text Char"/>
    <w:qFormat/>
    <w:uiPriority w:val="99"/>
    <w:rPr>
      <w:sz w:val="20"/>
    </w:rPr>
  </w:style>
  <w:style w:type="paragraph" w:customStyle="1" w:styleId="64">
    <w:name w:val="TOC Heading"/>
    <w:unhideWhenUsed/>
    <w:qFormat/>
    <w:uiPriority w:val="39"/>
    <w:rPr>
      <w:rFonts w:hint="default" w:ascii="Times New Roman" w:hAnsi="Times New Roman" w:eastAsia="宋体" w:cs="Times New Roman"/>
    </w:rPr>
  </w:style>
  <w:style w:type="character" w:customStyle="1" w:styleId="65">
    <w:name w:val="标题 1 Char"/>
    <w:basedOn w:val="42"/>
    <w:link w:val="4"/>
    <w:qFormat/>
    <w:uiPriority w:val="9"/>
    <w:rPr>
      <w:rFonts w:ascii="Arial" w:hAnsi="Arial" w:eastAsia="Arial" w:cs="Arial"/>
      <w:sz w:val="40"/>
      <w:szCs w:val="40"/>
    </w:rPr>
  </w:style>
  <w:style w:type="character" w:customStyle="1" w:styleId="66">
    <w:name w:val="标题 2 Char"/>
    <w:basedOn w:val="42"/>
    <w:link w:val="5"/>
    <w:qFormat/>
    <w:uiPriority w:val="9"/>
    <w:rPr>
      <w:rFonts w:ascii="Arial" w:hAnsi="Arial" w:eastAsia="Arial" w:cs="Arial"/>
      <w:sz w:val="34"/>
    </w:rPr>
  </w:style>
  <w:style w:type="character" w:customStyle="1" w:styleId="67">
    <w:name w:val="标题 3 Char"/>
    <w:basedOn w:val="42"/>
    <w:link w:val="7"/>
    <w:qFormat/>
    <w:uiPriority w:val="0"/>
    <w:rPr>
      <w:rFonts w:ascii="Arial" w:hAnsi="Arial" w:eastAsia="Arial" w:cs="Arial"/>
      <w:sz w:val="30"/>
      <w:szCs w:val="30"/>
    </w:rPr>
  </w:style>
  <w:style w:type="character" w:customStyle="1" w:styleId="68">
    <w:name w:val="Heading 4 Char"/>
    <w:basedOn w:val="42"/>
    <w:qFormat/>
    <w:uiPriority w:val="9"/>
    <w:rPr>
      <w:rFonts w:ascii="Arial" w:hAnsi="Arial" w:eastAsia="Arial" w:cs="Arial"/>
      <w:b/>
      <w:bCs/>
      <w:sz w:val="26"/>
      <w:szCs w:val="26"/>
    </w:rPr>
  </w:style>
  <w:style w:type="character" w:customStyle="1" w:styleId="69">
    <w:name w:val="标题 5 Char"/>
    <w:basedOn w:val="42"/>
    <w:link w:val="9"/>
    <w:qFormat/>
    <w:uiPriority w:val="9"/>
    <w:rPr>
      <w:rFonts w:ascii="Arial" w:hAnsi="Arial" w:eastAsia="Arial" w:cs="Arial"/>
      <w:b/>
      <w:bCs/>
      <w:sz w:val="24"/>
      <w:szCs w:val="24"/>
    </w:rPr>
  </w:style>
  <w:style w:type="character" w:customStyle="1" w:styleId="70">
    <w:name w:val="标题 6 Char"/>
    <w:basedOn w:val="42"/>
    <w:link w:val="10"/>
    <w:qFormat/>
    <w:uiPriority w:val="9"/>
    <w:rPr>
      <w:rFonts w:ascii="Arial" w:hAnsi="Arial" w:eastAsia="Arial" w:cs="Arial"/>
      <w:b/>
      <w:bCs/>
      <w:sz w:val="22"/>
      <w:szCs w:val="22"/>
    </w:rPr>
  </w:style>
  <w:style w:type="character" w:customStyle="1" w:styleId="71">
    <w:name w:val="标题 7 Char"/>
    <w:basedOn w:val="42"/>
    <w:link w:val="11"/>
    <w:qFormat/>
    <w:uiPriority w:val="9"/>
    <w:rPr>
      <w:rFonts w:ascii="Arial" w:hAnsi="Arial" w:eastAsia="Arial" w:cs="Arial"/>
      <w:b/>
      <w:bCs/>
      <w:i/>
      <w:iCs/>
      <w:sz w:val="22"/>
      <w:szCs w:val="22"/>
    </w:rPr>
  </w:style>
  <w:style w:type="character" w:customStyle="1" w:styleId="72">
    <w:name w:val="标题 8 Char"/>
    <w:basedOn w:val="42"/>
    <w:link w:val="12"/>
    <w:qFormat/>
    <w:uiPriority w:val="9"/>
    <w:rPr>
      <w:rFonts w:ascii="Arial" w:hAnsi="Arial" w:eastAsia="Arial" w:cs="Arial"/>
      <w:i/>
      <w:iCs/>
      <w:sz w:val="22"/>
      <w:szCs w:val="22"/>
    </w:rPr>
  </w:style>
  <w:style w:type="character" w:customStyle="1" w:styleId="73">
    <w:name w:val="标题 9 Char"/>
    <w:basedOn w:val="42"/>
    <w:link w:val="13"/>
    <w:qFormat/>
    <w:uiPriority w:val="9"/>
    <w:rPr>
      <w:rFonts w:ascii="Arial" w:hAnsi="Arial" w:eastAsia="Arial" w:cs="Arial"/>
      <w:i/>
      <w:iCs/>
      <w:sz w:val="21"/>
      <w:szCs w:val="21"/>
    </w:rPr>
  </w:style>
  <w:style w:type="paragraph" w:styleId="74">
    <w:name w:val="No Spacing"/>
    <w:qFormat/>
    <w:uiPriority w:val="1"/>
    <w:rPr>
      <w:rFonts w:hint="default" w:asciiTheme="minorHAnsi" w:hAnsiTheme="minorHAnsi" w:eastAsiaTheme="minorEastAsia" w:cstheme="minorBidi"/>
    </w:rPr>
  </w:style>
  <w:style w:type="character" w:customStyle="1" w:styleId="75">
    <w:name w:val="标题 Char"/>
    <w:basedOn w:val="42"/>
    <w:link w:val="39"/>
    <w:qFormat/>
    <w:uiPriority w:val="10"/>
    <w:rPr>
      <w:sz w:val="48"/>
      <w:szCs w:val="48"/>
    </w:rPr>
  </w:style>
  <w:style w:type="character" w:customStyle="1" w:styleId="76">
    <w:name w:val="副标题 Char"/>
    <w:basedOn w:val="42"/>
    <w:link w:val="31"/>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Char"/>
    <w:link w:val="79"/>
    <w:qFormat/>
    <w:uiPriority w:val="30"/>
    <w:rPr>
      <w:i/>
    </w:rPr>
  </w:style>
  <w:style w:type="character" w:customStyle="1" w:styleId="81">
    <w:name w:val="Header Char"/>
    <w:basedOn w:val="42"/>
    <w:qFormat/>
    <w:uiPriority w:val="99"/>
  </w:style>
  <w:style w:type="character" w:customStyle="1" w:styleId="82">
    <w:name w:val="Footer Char"/>
    <w:basedOn w:val="42"/>
    <w:qFormat/>
    <w:uiPriority w:val="99"/>
  </w:style>
  <w:style w:type="character" w:customStyle="1" w:styleId="83">
    <w:name w:val="Caption Char"/>
    <w:qFormat/>
    <w:uiPriority w:val="99"/>
  </w:style>
  <w:style w:type="table" w:customStyle="1" w:styleId="84">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4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4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4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92">
    <w:name w:val="Grid Table 1 Light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93">
    <w:name w:val="Grid Table 1 Light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94">
    <w:name w:val="Grid Table 1 Light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95">
    <w:name w:val="Grid Table 1 Light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96">
    <w:name w:val="Grid Table 1 Light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97">
    <w:name w:val="Grid Table 2"/>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9">
    <w:name w:val="Grid Table 2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0">
    <w:name w:val="Grid Table 2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1">
    <w:name w:val="Grid Table 2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2">
    <w:name w:val="Grid Table 2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3">
    <w:name w:val="Grid Table 2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4">
    <w:name w:val="Grid Table 3"/>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6">
    <w:name w:val="Grid Table 3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7">
    <w:name w:val="Grid Table 3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8">
    <w:name w:val="Grid Table 3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9">
    <w:name w:val="Grid Table 3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0">
    <w:name w:val="Grid Table 3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1">
    <w:name w:val="Grid Table 4"/>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40"/>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13">
    <w:name w:val="Grid Table 4 - Accent 2"/>
    <w:basedOn w:val="40"/>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4">
    <w:name w:val="Grid Table 4 - Accent 3"/>
    <w:basedOn w:val="40"/>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5">
    <w:name w:val="Grid Table 4 - Accent 4"/>
    <w:basedOn w:val="40"/>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6">
    <w:name w:val="Grid Table 4 - Accent 5"/>
    <w:basedOn w:val="40"/>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7">
    <w:name w:val="Grid Table 4 - Accent 6"/>
    <w:basedOn w:val="40"/>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8">
    <w:name w:val="Grid Table 5 Dark"/>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20">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21">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22">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23">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24">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25">
    <w:name w:val="Grid Table 6 Colorful"/>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basedOn w:val="40"/>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40"/>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29">
    <w:name w:val="Grid Table 6 Colorful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40"/>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1">
    <w:name w:val="Grid Table 6 Colorful - Accent 6"/>
    <w:basedOn w:val="40"/>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32">
    <w:name w:val="Grid Table 7 Colorful"/>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basedOn w:val="40"/>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40"/>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40"/>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6">
    <w:name w:val="Grid Table 7 Colorful - Accent 4"/>
    <w:basedOn w:val="40"/>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40"/>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8">
    <w:name w:val="Grid Table 7 Colorful - Accent 6"/>
    <w:basedOn w:val="40"/>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9">
    <w:name w:val="List Table 1 Light"/>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41">
    <w:name w:val="List Table 1 Light - Accent 2"/>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42">
    <w:name w:val="List Table 1 Light - Accent 3"/>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43">
    <w:name w:val="List Table 1 Light - Accent 4"/>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44">
    <w:name w:val="List Table 1 Light - Accent 5"/>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45">
    <w:name w:val="List Table 1 Light - Accent 6"/>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46">
    <w:name w:val="List Table 2"/>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40"/>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8">
    <w:name w:val="List Table 2 - Accent 2"/>
    <w:basedOn w:val="40"/>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9">
    <w:name w:val="List Table 2 - Accent 3"/>
    <w:basedOn w:val="40"/>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0">
    <w:name w:val="List Table 2 - Accent 4"/>
    <w:basedOn w:val="40"/>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1">
    <w:name w:val="List Table 2 - Accent 5"/>
    <w:basedOn w:val="40"/>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2">
    <w:name w:val="List Table 2 - Accent 6"/>
    <w:basedOn w:val="40"/>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3">
    <w:name w:val="List Table 3"/>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40"/>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55">
    <w:name w:val="List Table 3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56">
    <w:name w:val="List Table 3 - Accent 3"/>
    <w:basedOn w:val="40"/>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7">
    <w:name w:val="List Table 3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8">
    <w:name w:val="List Table 3 - Accent 5"/>
    <w:basedOn w:val="40"/>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9">
    <w:name w:val="List Table 3 - Accent 6"/>
    <w:basedOn w:val="40"/>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60">
    <w:name w:val="List Table 4"/>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40"/>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2">
    <w:name w:val="List Table 4 - Accent 2"/>
    <w:basedOn w:val="40"/>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3">
    <w:name w:val="List Table 4 - Accent 3"/>
    <w:basedOn w:val="40"/>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4">
    <w:name w:val="List Table 4 - Accent 4"/>
    <w:basedOn w:val="40"/>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5">
    <w:name w:val="List Table 4 - Accent 5"/>
    <w:basedOn w:val="40"/>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6">
    <w:name w:val="List Table 4 - Accent 6"/>
    <w:basedOn w:val="40"/>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7">
    <w:name w:val="List Table 5 Dark"/>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40"/>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9">
    <w:name w:val="List Table 5 Dark - Accent 2"/>
    <w:basedOn w:val="40"/>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70">
    <w:name w:val="List Table 5 Dark - Accent 3"/>
    <w:basedOn w:val="40"/>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71">
    <w:name w:val="List Table 5 Dark - Accent 4"/>
    <w:basedOn w:val="40"/>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72">
    <w:name w:val="List Table 5 Dark - Accent 5"/>
    <w:basedOn w:val="40"/>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73">
    <w:name w:val="List Table 5 Dark - Accent 6"/>
    <w:basedOn w:val="40"/>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74">
    <w:name w:val="List Table 6 Colorful"/>
    <w:basedOn w:val="4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basedOn w:val="40"/>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6">
    <w:name w:val="List Table 6 Colorful - Accent 2"/>
    <w:basedOn w:val="40"/>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basedOn w:val="40"/>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basedOn w:val="40"/>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basedOn w:val="40"/>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basedOn w:val="40"/>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1">
    <w:name w:val="List Table 7 Colorful"/>
    <w:basedOn w:val="4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basedOn w:val="40"/>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83">
    <w:name w:val="List Table 7 Colorful - Accent 2"/>
    <w:basedOn w:val="40"/>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basedOn w:val="40"/>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basedOn w:val="40"/>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basedOn w:val="40"/>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basedOn w:val="40"/>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8">
    <w:name w:val="Lined - Accent"/>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0">
    <w:name w:val="Lined - Accent 2"/>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1">
    <w:name w:val="Lined - Accent 3"/>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2">
    <w:name w:val="Lined - Accent 4"/>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3">
    <w:name w:val="Lined - Accent 5"/>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4">
    <w:name w:val="Lined - Accent 6"/>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5">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40"/>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7">
    <w:name w:val="Bordered &amp; Lined - Accent 2"/>
    <w:basedOn w:val="40"/>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8">
    <w:name w:val="Bordered &amp; Lined - Accent 3"/>
    <w:basedOn w:val="40"/>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9">
    <w:name w:val="Bordered &amp; Lined - Accent 4"/>
    <w:basedOn w:val="40"/>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0">
    <w:name w:val="Bordered &amp; Lined - Accent 5"/>
    <w:basedOn w:val="40"/>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1">
    <w:name w:val="Bordered &amp; Lined - Accent 6"/>
    <w:basedOn w:val="40"/>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2">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04">
    <w:name w:val="Bordered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05">
    <w:name w:val="Bordered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06">
    <w:name w:val="Bordered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7">
    <w:name w:val="Bordered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8">
    <w:name w:val="Bordered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9">
    <w:name w:val="脚注文本 Char"/>
    <w:link w:val="33"/>
    <w:qFormat/>
    <w:uiPriority w:val="99"/>
    <w:rPr>
      <w:sz w:val="18"/>
    </w:rPr>
  </w:style>
  <w:style w:type="character" w:customStyle="1" w:styleId="210">
    <w:name w:val="尾注文本 Char"/>
    <w:link w:val="25"/>
    <w:qFormat/>
    <w:uiPriority w:val="99"/>
    <w:rPr>
      <w:sz w:val="20"/>
    </w:rPr>
  </w:style>
  <w:style w:type="paragraph" w:customStyle="1" w:styleId="211">
    <w:name w:val="TOC 标题1"/>
    <w:unhideWhenUsed/>
    <w:qFormat/>
    <w:uiPriority w:val="39"/>
    <w:rPr>
      <w:rFonts w:hint="default" w:asciiTheme="minorHAnsi" w:hAnsiTheme="minorHAnsi" w:eastAsiaTheme="minorEastAsia" w:cstheme="minorBidi"/>
    </w:rPr>
  </w:style>
  <w:style w:type="paragraph" w:customStyle="1" w:styleId="212">
    <w:name w:val="标题二、"/>
    <w:basedOn w:val="1"/>
    <w:qFormat/>
    <w:uiPriority w:val="99"/>
    <w:pPr>
      <w:spacing w:line="360" w:lineRule="auto"/>
      <w:ind w:firstLine="200"/>
      <w:outlineLvl w:val="2"/>
    </w:pPr>
    <w:rPr>
      <w:rFonts w:ascii="宋体" w:hAnsi="宋体"/>
      <w:b/>
      <w:szCs w:val="21"/>
    </w:rPr>
  </w:style>
  <w:style w:type="paragraph" w:customStyle="1" w:styleId="21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4">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paragraph" w:customStyle="1" w:styleId="215">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16">
    <w:name w:val="正文_16_0_0"/>
    <w:next w:val="217"/>
    <w:qFormat/>
    <w:uiPriority w:val="0"/>
    <w:pPr>
      <w:widowControl w:val="0"/>
      <w:jc w:val="both"/>
    </w:pPr>
    <w:rPr>
      <w:rFonts w:hint="default" w:ascii="Calibri" w:hAnsi="Calibri" w:eastAsia="宋体" w:cs="Times New Roman"/>
      <w:sz w:val="21"/>
      <w:szCs w:val="22"/>
    </w:rPr>
  </w:style>
  <w:style w:type="paragraph" w:customStyle="1" w:styleId="217">
    <w:name w:val="正文1_0"/>
    <w:qFormat/>
    <w:uiPriority w:val="0"/>
    <w:pPr>
      <w:widowControl w:val="0"/>
      <w:jc w:val="both"/>
    </w:pPr>
    <w:rPr>
      <w:rFonts w:hint="default" w:ascii="Times New Roman" w:hAnsi="Times New Roman" w:eastAsia="宋体" w:cs="Times New Roman"/>
      <w:szCs w:val="24"/>
    </w:rPr>
  </w:style>
  <w:style w:type="paragraph" w:customStyle="1" w:styleId="218">
    <w:name w:val="正文缩进1"/>
    <w:basedOn w:val="1"/>
    <w:next w:val="1"/>
    <w:qFormat/>
    <w:uiPriority w:val="0"/>
    <w:pPr>
      <w:ind w:firstLine="420"/>
    </w:pPr>
  </w:style>
  <w:style w:type="paragraph" w:customStyle="1" w:styleId="219">
    <w:name w:val="正文_1_1_2"/>
    <w:qFormat/>
    <w:uiPriority w:val="0"/>
    <w:pPr>
      <w:widowControl w:val="0"/>
      <w:jc w:val="both"/>
    </w:pPr>
    <w:rPr>
      <w:rFonts w:hint="default" w:ascii="Calibri" w:hAnsi="Calibri" w:eastAsia="宋体" w:cs="Times New Roman"/>
      <w:sz w:val="21"/>
      <w:szCs w:val="22"/>
    </w:rPr>
  </w:style>
  <w:style w:type="paragraph" w:customStyle="1" w:styleId="220">
    <w:name w:val="表格文字"/>
    <w:qFormat/>
    <w:uiPriority w:val="0"/>
    <w:rPr>
      <w:rFonts w:hint="default" w:ascii="Times New Roman" w:hAnsi="Times New Roman" w:eastAsia="宋体" w:cs="Times New Roman"/>
      <w:bCs/>
      <w:sz w:val="21"/>
      <w:szCs w:val="22"/>
    </w:rPr>
  </w:style>
  <w:style w:type="paragraph" w:customStyle="1" w:styleId="221">
    <w:name w:val="Normal_5_0"/>
    <w:qFormat/>
    <w:uiPriority w:val="0"/>
    <w:pPr>
      <w:widowControl w:val="0"/>
      <w:jc w:val="both"/>
    </w:pPr>
    <w:rPr>
      <w:rFonts w:hint="default" w:ascii="Calibri" w:hAnsi="Calibri" w:eastAsia="宋体" w:cs="Times New Roman"/>
      <w:sz w:val="21"/>
      <w:szCs w:val="22"/>
    </w:rPr>
  </w:style>
  <w:style w:type="paragraph" w:customStyle="1" w:styleId="222">
    <w:name w:val="表格内容"/>
    <w:basedOn w:val="32"/>
    <w:qFormat/>
    <w:uiPriority w:val="99"/>
    <w:pPr>
      <w:widowControl/>
      <w:spacing w:line="360" w:lineRule="exact"/>
      <w:ind w:left="0" w:firstLine="0"/>
      <w:jc w:val="center"/>
    </w:pPr>
    <w:rPr>
      <w:rFonts w:eastAsia="仿宋"/>
      <w:szCs w:val="20"/>
    </w:rPr>
  </w:style>
  <w:style w:type="character" w:customStyle="1" w:styleId="223">
    <w:name w:val="NormalCharacter"/>
    <w:qFormat/>
    <w:uiPriority w:val="0"/>
  </w:style>
  <w:style w:type="paragraph" w:customStyle="1" w:styleId="224">
    <w:name w:val="acbfdd8b-e11b-4d36-88ff-6049b138f862"/>
    <w:basedOn w:val="17"/>
    <w:qFormat/>
    <w:uiPriority w:val="0"/>
    <w:pPr>
      <w:spacing w:after="0" w:line="288" w:lineRule="auto"/>
      <w:jc w:val="left"/>
    </w:pPr>
    <w:rPr>
      <w:rFonts w:ascii="微软雅黑" w:hAnsi="微软雅黑" w:eastAsia="微软雅黑" w:cstheme="minorBidi"/>
      <w:color w:val="000000"/>
      <w:sz w:val="22"/>
      <w14:ligatures w14:val="standardContextual"/>
    </w:rPr>
  </w:style>
  <w:style w:type="paragraph" w:styleId="225">
    <w:name w:val="List Paragraph"/>
    <w:basedOn w:val="1"/>
    <w:unhideWhenUsed/>
    <w:qFormat/>
    <w:uiPriority w:val="99"/>
    <w:pPr>
      <w:ind w:firstLine="420"/>
    </w:pPr>
  </w:style>
  <w:style w:type="character" w:customStyle="1" w:styleId="226">
    <w:name w:val="页脚 Char"/>
    <w:basedOn w:val="42"/>
    <w:link w:val="27"/>
    <w:qFormat/>
    <w:uiPriority w:val="99"/>
    <w:rPr>
      <w:rFonts w:ascii="Calibri" w:hAnsi="Calibri" w:eastAsia="宋体" w:cs="Times New Roman"/>
      <w:sz w:val="18"/>
      <w:szCs w:val="22"/>
    </w:rPr>
  </w:style>
  <w:style w:type="character" w:customStyle="1" w:styleId="227">
    <w:name w:val="正文文本缩进 Char"/>
    <w:basedOn w:val="42"/>
    <w:link w:val="18"/>
    <w:qFormat/>
    <w:uiPriority w:val="0"/>
    <w:rPr>
      <w:rFonts w:ascii="Calibri" w:hAnsi="Calibri" w:eastAsia="宋体" w:cs="Times New Roman"/>
      <w:sz w:val="21"/>
      <w:szCs w:val="22"/>
    </w:rPr>
  </w:style>
  <w:style w:type="paragraph" w:customStyle="1" w:styleId="228">
    <w:name w:val="正文_2_0_0"/>
    <w:qFormat/>
    <w:uiPriority w:val="0"/>
    <w:pPr>
      <w:widowControl w:val="0"/>
      <w:jc w:val="both"/>
    </w:pPr>
    <w:rPr>
      <w:rFonts w:hint="default" w:ascii="Calibri" w:hAnsi="Calibri" w:eastAsia="宋体" w:cs="Times New Roman"/>
    </w:rPr>
  </w:style>
  <w:style w:type="paragraph" w:customStyle="1" w:styleId="229">
    <w:name w:val="标题 2_2"/>
    <w:basedOn w:val="230"/>
    <w:next w:val="230"/>
    <w:qFormat/>
    <w:uiPriority w:val="0"/>
    <w:pPr>
      <w:keepNext/>
      <w:keepLines/>
      <w:spacing w:before="260" w:after="260" w:line="413" w:lineRule="auto"/>
      <w:outlineLvl w:val="1"/>
    </w:pPr>
    <w:rPr>
      <w:rFonts w:ascii="Arial" w:hAnsi="Arial" w:eastAsia="黑体"/>
      <w:b/>
      <w:bCs/>
      <w:sz w:val="32"/>
      <w:szCs w:val="32"/>
    </w:rPr>
  </w:style>
  <w:style w:type="paragraph" w:customStyle="1" w:styleId="230">
    <w:name w:val="正文_21"/>
    <w:qFormat/>
    <w:uiPriority w:val="0"/>
    <w:pPr>
      <w:widowControl w:val="0"/>
      <w:jc w:val="both"/>
    </w:pPr>
    <w:rPr>
      <w:rFonts w:hint="default" w:ascii="Times New Roman" w:hAnsi="Times New Roman" w:eastAsia="宋体" w:cs="Times New Roman"/>
      <w:sz w:val="21"/>
      <w:szCs w:val="24"/>
    </w:rPr>
  </w:style>
  <w:style w:type="paragraph" w:customStyle="1" w:styleId="231">
    <w:name w:val="标题 1_0_0"/>
    <w:basedOn w:val="230"/>
    <w:next w:val="230"/>
    <w:qFormat/>
    <w:uiPriority w:val="0"/>
    <w:pPr>
      <w:keepNext/>
      <w:keepLines/>
      <w:spacing w:before="340" w:after="330" w:line="576" w:lineRule="auto"/>
      <w:outlineLvl w:val="0"/>
    </w:pPr>
    <w:rPr>
      <w:b/>
      <w:bCs/>
      <w:sz w:val="44"/>
      <w:szCs w:val="44"/>
    </w:rPr>
  </w:style>
  <w:style w:type="paragraph" w:customStyle="1" w:styleId="232">
    <w:name w:val="标题 6_0"/>
    <w:basedOn w:val="230"/>
    <w:next w:val="230"/>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rPr>
  </w:style>
  <w:style w:type="paragraph" w:customStyle="1" w:styleId="233">
    <w:name w:val="正文缩进_0_0"/>
    <w:basedOn w:val="230"/>
    <w:qFormat/>
    <w:uiPriority w:val="0"/>
    <w:pPr>
      <w:ind w:firstLine="420"/>
    </w:pPr>
    <w:rPr>
      <w:szCs w:val="20"/>
    </w:rPr>
  </w:style>
  <w:style w:type="paragraph" w:customStyle="1" w:styleId="234">
    <w:name w:val="标题 5_0"/>
    <w:basedOn w:val="230"/>
    <w:next w:val="230"/>
    <w:qFormat/>
    <w:uiPriority w:val="0"/>
    <w:pPr>
      <w:keepNext/>
      <w:keepLines/>
      <w:spacing w:before="280" w:after="290" w:line="372" w:lineRule="auto"/>
      <w:outlineLvl w:val="4"/>
    </w:pPr>
    <w:rPr>
      <w:b/>
      <w:bCs/>
      <w:sz w:val="28"/>
      <w:szCs w:val="28"/>
    </w:rPr>
  </w:style>
  <w:style w:type="paragraph" w:customStyle="1" w:styleId="235">
    <w:name w:val="列出段落_0"/>
    <w:basedOn w:val="230"/>
    <w:qFormat/>
    <w:uiPriority w:val="34"/>
    <w:pPr>
      <w:ind w:firstLine="420"/>
    </w:pPr>
    <w:rPr>
      <w:rFonts w:ascii="Calibri" w:hAnsi="Calibri"/>
      <w:szCs w:val="22"/>
    </w:rPr>
  </w:style>
  <w:style w:type="paragraph" w:customStyle="1" w:styleId="236">
    <w:name w:val="正文_22"/>
    <w:qFormat/>
    <w:uiPriority w:val="0"/>
    <w:pPr>
      <w:widowControl w:val="0"/>
      <w:jc w:val="both"/>
    </w:pPr>
    <w:rPr>
      <w:rFonts w:hint="default" w:ascii="Times New Roman" w:hAnsi="Times New Roman" w:eastAsia="宋体" w:cs="Times New Roman"/>
      <w:sz w:val="21"/>
      <w:szCs w:val="22"/>
    </w:rPr>
  </w:style>
  <w:style w:type="paragraph" w:customStyle="1" w:styleId="237">
    <w:name w:val="UserStyle_267"/>
    <w:qFormat/>
    <w:uiPriority w:val="0"/>
    <w:pPr>
      <w:jc w:val="both"/>
    </w:pPr>
    <w:rPr>
      <w:rFonts w:hint="default" w:ascii="Calibri" w:hAnsi="Calibri" w:eastAsia="宋体" w:cs="Times New Roman"/>
      <w:sz w:val="21"/>
      <w:szCs w:val="22"/>
    </w:rPr>
  </w:style>
  <w:style w:type="character" w:customStyle="1" w:styleId="238">
    <w:name w:val="NormalCharacter_0"/>
    <w:qFormat/>
    <w:uiPriority w:val="0"/>
    <w:rPr>
      <w:rFonts w:hint="default" w:ascii="Calibri" w:hAnsi="Calibri" w:eastAsia="宋体" w:cs="Times New Roman"/>
      <w:sz w:val="21"/>
      <w:szCs w:val="22"/>
      <w:lang w:val="en-US" w:eastAsia="zh-CN" w:bidi="ar-SA"/>
    </w:rPr>
  </w:style>
  <w:style w:type="paragraph" w:customStyle="1" w:styleId="239">
    <w:name w:val="UserStyle_266"/>
    <w:qFormat/>
    <w:uiPriority w:val="0"/>
    <w:pPr>
      <w:jc w:val="both"/>
    </w:pPr>
    <w:rPr>
      <w:rFonts w:hint="default" w:ascii="Calibri" w:hAnsi="Calibri" w:eastAsia="宋体" w:cs="Times New Roman"/>
      <w:sz w:val="21"/>
      <w:szCs w:val="24"/>
    </w:rPr>
  </w:style>
  <w:style w:type="paragraph" w:customStyle="1" w:styleId="240">
    <w:name w:val="正文_2_0"/>
    <w:qFormat/>
    <w:uiPriority w:val="0"/>
    <w:pPr>
      <w:widowControl w:val="0"/>
      <w:jc w:val="both"/>
    </w:pPr>
    <w:rPr>
      <w:rFonts w:hint="default" w:ascii="Calibri" w:hAnsi="Calibri" w:eastAsia="宋体" w:cs="Times New Roman"/>
      <w:sz w:val="21"/>
      <w:szCs w:val="22"/>
    </w:rPr>
  </w:style>
  <w:style w:type="character" w:customStyle="1" w:styleId="241">
    <w:name w:val="NormalCharacter_0_0"/>
    <w:qFormat/>
    <w:uiPriority w:val="0"/>
    <w:rPr>
      <w:rFonts w:ascii="Calibri" w:hAnsi="Calibri" w:eastAsia="宋体" w:cs="Times New Roman"/>
      <w:sz w:val="21"/>
      <w:szCs w:val="24"/>
      <w:lang w:val="en-US" w:eastAsia="zh-CN" w:bidi="ar-SA"/>
    </w:rPr>
  </w:style>
  <w:style w:type="character" w:customStyle="1" w:styleId="242">
    <w:name w:val="10"/>
    <w:qFormat/>
    <w:uiPriority w:val="0"/>
    <w:rPr>
      <w:rFonts w:ascii="Times New Roman" w:hAnsi="Times New Roman" w:eastAsia="Times New Roman" w:cs="Times New Roman"/>
    </w:rPr>
  </w:style>
  <w:style w:type="paragraph" w:customStyle="1" w:styleId="243">
    <w:name w:val="正文_2"/>
    <w:qFormat/>
    <w:uiPriority w:val="0"/>
    <w:pPr>
      <w:widowControl w:val="0"/>
      <w:jc w:val="both"/>
    </w:pPr>
    <w:rPr>
      <w:rFonts w:hint="default" w:ascii="Calibri" w:hAnsi="Calibri" w:eastAsia="宋体" w:cs="Times New Roman"/>
      <w:sz w:val="21"/>
      <w:szCs w:val="22"/>
    </w:rPr>
  </w:style>
  <w:style w:type="paragraph" w:customStyle="1" w:styleId="244">
    <w:name w:val="Normal_1_1"/>
    <w:qFormat/>
    <w:uiPriority w:val="0"/>
    <w:pPr>
      <w:widowControl w:val="0"/>
      <w:jc w:val="both"/>
    </w:pPr>
    <w:rPr>
      <w:rFonts w:hint="default" w:ascii="Times New Roman" w:hAnsi="Times New Roman" w:eastAsia="宋体" w:cs="Times New Roman"/>
      <w:sz w:val="21"/>
      <w:szCs w:val="22"/>
    </w:rPr>
  </w:style>
  <w:style w:type="paragraph" w:customStyle="1" w:styleId="245">
    <w:name w:val="Normal_4_0"/>
    <w:qFormat/>
    <w:uiPriority w:val="0"/>
    <w:pPr>
      <w:widowControl w:val="0"/>
      <w:jc w:val="both"/>
    </w:pPr>
    <w:rPr>
      <w:rFonts w:hint="default" w:ascii="Calibri" w:hAnsi="Calibri" w:eastAsia="宋体" w:cs="Times New Roman"/>
      <w:sz w:val="21"/>
      <w:szCs w:val="22"/>
    </w:rPr>
  </w:style>
  <w:style w:type="paragraph" w:customStyle="1" w:styleId="246">
    <w:name w:val="正文_1_1_0"/>
    <w:qFormat/>
    <w:uiPriority w:val="0"/>
    <w:pPr>
      <w:widowControl w:val="0"/>
      <w:jc w:val="both"/>
    </w:pPr>
    <w:rPr>
      <w:rFonts w:hint="default" w:ascii="Calibri" w:hAnsi="Calibri" w:eastAsia="宋体" w:cs="Times New Roman"/>
      <w:sz w:val="21"/>
      <w:szCs w:val="22"/>
    </w:rPr>
  </w:style>
  <w:style w:type="paragraph" w:customStyle="1" w:styleId="247">
    <w:name w:val="正文_7_0_0"/>
    <w:qFormat/>
    <w:uiPriority w:val="0"/>
    <w:pPr>
      <w:widowControl w:val="0"/>
      <w:jc w:val="both"/>
    </w:pPr>
    <w:rPr>
      <w:rFonts w:hint="default" w:ascii="Times New Roman" w:hAnsi="Times New Roman" w:eastAsia="宋体" w:cs="Times New Roman"/>
      <w:sz w:val="21"/>
      <w:szCs w:val="24"/>
    </w:rPr>
  </w:style>
  <w:style w:type="paragraph" w:customStyle="1" w:styleId="248">
    <w:name w:val="Normal_18_0"/>
    <w:qFormat/>
    <w:uiPriority w:val="0"/>
    <w:rPr>
      <w:rFonts w:hint="default" w:ascii="黑体" w:hAnsi="黑体" w:eastAsia="黑体" w:cs="黑体"/>
      <w:b/>
      <w:sz w:val="32"/>
      <w:szCs w:val="24"/>
    </w:rPr>
  </w:style>
  <w:style w:type="paragraph" w:customStyle="1" w:styleId="249">
    <w:name w:val="普通(网站)1"/>
    <w:qFormat/>
    <w:uiPriority w:val="99"/>
    <w:pPr>
      <w:spacing w:before="100" w:beforeAutospacing="1" w:after="100" w:afterAutospacing="1"/>
    </w:pPr>
    <w:rPr>
      <w:rFonts w:hint="default" w:ascii="宋体" w:hAnsi="宋体" w:eastAsia="宋体" w:cs="宋体"/>
      <w:sz w:val="24"/>
      <w:szCs w:val="24"/>
    </w:rPr>
  </w:style>
  <w:style w:type="paragraph" w:customStyle="1" w:styleId="250">
    <w:name w:val="正文_12_0_0_0_0"/>
    <w:qFormat/>
    <w:uiPriority w:val="0"/>
    <w:pPr>
      <w:widowControl w:val="0"/>
      <w:jc w:val="both"/>
    </w:pPr>
    <w:rPr>
      <w:rFonts w:hint="default" w:ascii="Times New Roman" w:hAnsi="Times New Roman" w:eastAsia="宋体" w:cs="Times New Roman"/>
      <w:sz w:val="21"/>
      <w:szCs w:val="24"/>
    </w:rPr>
  </w:style>
  <w:style w:type="paragraph" w:customStyle="1" w:styleId="251">
    <w:name w:val="正文_12_0_0_0"/>
    <w:qFormat/>
    <w:uiPriority w:val="0"/>
    <w:pPr>
      <w:widowControl w:val="0"/>
      <w:jc w:val="both"/>
    </w:pPr>
    <w:rPr>
      <w:rFonts w:hint="default" w:ascii="Times New Roman" w:hAnsi="Times New Roman" w:eastAsia="宋体" w:cs="Times New Roman"/>
      <w:sz w:val="21"/>
      <w:szCs w:val="24"/>
    </w:rPr>
  </w:style>
  <w:style w:type="paragraph" w:customStyle="1" w:styleId="252">
    <w:name w:val="正文_14_0"/>
    <w:qFormat/>
    <w:uiPriority w:val="0"/>
    <w:pPr>
      <w:widowControl w:val="0"/>
      <w:jc w:val="both"/>
    </w:pPr>
    <w:rPr>
      <w:rFonts w:hint="default" w:ascii="Calibri" w:hAnsi="Calibri" w:eastAsia="宋体" w:cs="Times New Roman"/>
      <w:sz w:val="21"/>
      <w:szCs w:val="22"/>
    </w:rPr>
  </w:style>
  <w:style w:type="paragraph" w:customStyle="1" w:styleId="253">
    <w:name w:val="正文_14_0_0"/>
    <w:qFormat/>
    <w:uiPriority w:val="0"/>
    <w:pPr>
      <w:widowControl w:val="0"/>
      <w:jc w:val="both"/>
    </w:pPr>
    <w:rPr>
      <w:rFonts w:hint="default" w:ascii="Times New Roman" w:hAnsi="Times New Roman" w:eastAsia="宋体" w:cs="Times New Roman"/>
      <w:sz w:val="21"/>
      <w:szCs w:val="24"/>
    </w:rPr>
  </w:style>
  <w:style w:type="paragraph" w:customStyle="1" w:styleId="254">
    <w:name w:val="Normal_20"/>
    <w:qFormat/>
    <w:uiPriority w:val="0"/>
    <w:rPr>
      <w:rFonts w:hint="default" w:ascii="黑体" w:hAnsi="黑体" w:eastAsia="黑体" w:cs="黑体"/>
      <w:b/>
      <w:sz w:val="32"/>
      <w:szCs w:val="24"/>
    </w:rPr>
  </w:style>
  <w:style w:type="paragraph" w:customStyle="1" w:styleId="255">
    <w:name w:val="正文_15_0"/>
    <w:qFormat/>
    <w:uiPriority w:val="0"/>
    <w:pPr>
      <w:widowControl w:val="0"/>
      <w:jc w:val="both"/>
    </w:pPr>
    <w:rPr>
      <w:rFonts w:hint="default" w:ascii="Calibri" w:hAnsi="Calibri" w:eastAsia="宋体" w:cs="Times New Roman"/>
      <w:sz w:val="21"/>
      <w:szCs w:val="22"/>
    </w:rPr>
  </w:style>
  <w:style w:type="paragraph" w:customStyle="1" w:styleId="256">
    <w:name w:val="正文_16"/>
    <w:qFormat/>
    <w:uiPriority w:val="0"/>
    <w:pPr>
      <w:widowControl w:val="0"/>
      <w:jc w:val="both"/>
    </w:pPr>
    <w:rPr>
      <w:rFonts w:hint="default" w:ascii="Times New Roman" w:hAnsi="Times New Roman" w:eastAsia="宋体" w:cs="Times New Roman"/>
      <w:sz w:val="21"/>
      <w:szCs w:val="22"/>
    </w:rPr>
  </w:style>
  <w:style w:type="paragraph" w:customStyle="1" w:styleId="257">
    <w:name w:val="正文_18"/>
    <w:next w:val="258"/>
    <w:qFormat/>
    <w:uiPriority w:val="0"/>
    <w:pPr>
      <w:widowControl w:val="0"/>
      <w:jc w:val="both"/>
    </w:pPr>
    <w:rPr>
      <w:rFonts w:hint="default" w:ascii="Calibri" w:hAnsi="Calibri" w:eastAsia="宋体" w:cs="Times New Roman"/>
      <w:sz w:val="21"/>
      <w:szCs w:val="22"/>
    </w:rPr>
  </w:style>
  <w:style w:type="paragraph" w:customStyle="1" w:styleId="258">
    <w:name w:val="正文首行缩进 2_1"/>
    <w:basedOn w:val="259"/>
    <w:qFormat/>
    <w:uiPriority w:val="0"/>
    <w:pPr>
      <w:spacing w:before="0" w:after="120" w:line="240" w:lineRule="auto"/>
      <w:ind w:left="420" w:firstLine="420"/>
    </w:pPr>
    <w:rPr>
      <w:rFonts w:ascii="Times New Roman" w:hAnsi="Times New Roman"/>
      <w:szCs w:val="24"/>
    </w:rPr>
  </w:style>
  <w:style w:type="paragraph" w:customStyle="1" w:styleId="259">
    <w:name w:val="正文文本缩进_1"/>
    <w:basedOn w:val="257"/>
    <w:next w:val="260"/>
    <w:unhideWhenUsed/>
    <w:qFormat/>
    <w:uiPriority w:val="0"/>
    <w:pPr>
      <w:spacing w:before="240" w:line="360" w:lineRule="auto"/>
      <w:ind w:firstLine="552"/>
    </w:pPr>
    <w:rPr>
      <w:rFonts w:ascii="宋体" w:hAnsi="宋体"/>
      <w:szCs w:val="20"/>
    </w:rPr>
  </w:style>
  <w:style w:type="paragraph" w:customStyle="1" w:styleId="260">
    <w:name w:val="批注主题_1"/>
    <w:basedOn w:val="261"/>
    <w:next w:val="257"/>
    <w:unhideWhenUsed/>
    <w:qFormat/>
    <w:uiPriority w:val="0"/>
    <w:rPr>
      <w:b/>
      <w:bCs/>
      <w:szCs w:val="24"/>
    </w:rPr>
  </w:style>
  <w:style w:type="paragraph" w:customStyle="1" w:styleId="261">
    <w:name w:val="批注文字_1"/>
    <w:basedOn w:val="257"/>
    <w:unhideWhenUsed/>
    <w:qFormat/>
    <w:uiPriority w:val="99"/>
    <w:pPr>
      <w:jc w:val="left"/>
    </w:pPr>
  </w:style>
  <w:style w:type="paragraph" w:customStyle="1" w:styleId="262">
    <w:name w:val="首行缩进"/>
    <w:qFormat/>
    <w:uiPriority w:val="0"/>
    <w:pPr>
      <w:widowControl w:val="0"/>
      <w:spacing w:line="360" w:lineRule="auto"/>
      <w:ind w:firstLine="480"/>
      <w:jc w:val="both"/>
    </w:pPr>
    <w:rPr>
      <w:rFonts w:hint="default" w:ascii="Calibri" w:hAnsi="Calibri" w:eastAsia="宋体" w:cs="Times New Roman"/>
      <w:sz w:val="24"/>
      <w:szCs w:val="22"/>
    </w:rPr>
  </w:style>
  <w:style w:type="character" w:customStyle="1" w:styleId="263">
    <w:name w:val="默认段落字体11"/>
    <w:unhideWhenUsed/>
    <w:qFormat/>
    <w:uiPriority w:val="1"/>
    <w:rPr>
      <w:rFonts w:ascii="Times New Roman" w:hAnsi="Times New Roman" w:eastAsia="宋体" w:cs="Times New Roman"/>
      <w:sz w:val="21"/>
      <w:szCs w:val="21"/>
      <w:lang w:val="en-US" w:eastAsia="zh-CN" w:bidi="ar-SA"/>
    </w:rPr>
  </w:style>
  <w:style w:type="character" w:customStyle="1" w:styleId="264">
    <w:name w:val="批注框文本 Char"/>
    <w:basedOn w:val="42"/>
    <w:link w:val="26"/>
    <w:semiHidden/>
    <w:qFormat/>
    <w:uiPriority w:val="99"/>
    <w:rPr>
      <w:rFonts w:ascii="Calibri" w:hAnsi="Calibri"/>
      <w:sz w:val="18"/>
      <w:szCs w:val="18"/>
    </w:rPr>
  </w:style>
  <w:style w:type="paragraph" w:customStyle="1" w:styleId="265">
    <w:name w:val="正文_2_1"/>
    <w:qFormat/>
    <w:uiPriority w:val="0"/>
    <w:pPr>
      <w:widowControl w:val="0"/>
      <w:jc w:val="both"/>
    </w:pPr>
    <w:rPr>
      <w:rFonts w:hint="default" w:ascii="Calibri" w:hAnsi="Calibri" w:eastAsia="宋体" w:cs="Times New Roman"/>
      <w:sz w:val="21"/>
      <w:szCs w:val="22"/>
    </w:rPr>
  </w:style>
  <w:style w:type="paragraph" w:customStyle="1" w:styleId="266">
    <w:name w:val="Normal_0_1"/>
    <w:qFormat/>
    <w:uiPriority w:val="0"/>
    <w:pPr>
      <w:widowControl w:val="0"/>
      <w:jc w:val="both"/>
    </w:pPr>
    <w:rPr>
      <w:rFonts w:hint="default" w:ascii="Calibri" w:hAnsi="Calibri" w:eastAsia="宋体" w:cs="Times New Roman"/>
      <w:sz w:val="21"/>
      <w:szCs w:val="22"/>
    </w:rPr>
  </w:style>
  <w:style w:type="paragraph" w:customStyle="1" w:styleId="267">
    <w:name w:val="正文_2_0_0_0"/>
    <w:qFormat/>
    <w:uiPriority w:val="0"/>
    <w:pPr>
      <w:widowControl w:val="0"/>
      <w:jc w:val="both"/>
    </w:pPr>
    <w:rPr>
      <w:rFonts w:hint="default" w:ascii="Calibri" w:hAnsi="Calibri" w:eastAsia="宋体" w:cs="Times New Roman"/>
      <w:sz w:val="21"/>
      <w:szCs w:val="22"/>
    </w:rPr>
  </w:style>
  <w:style w:type="table" w:customStyle="1" w:styleId="268">
    <w:name w:val="Table Normal"/>
    <w:unhideWhenUsed/>
    <w:qFormat/>
    <w:uiPriority w:val="0"/>
    <w:rPr>
      <w:rFonts w:ascii="Arial" w:hAnsi="Arial" w:cs="Arial"/>
    </w:rPr>
    <w:tblPr>
      <w:tblCellMar>
        <w:top w:w="0" w:type="dxa"/>
        <w:left w:w="0" w:type="dxa"/>
        <w:bottom w:w="0" w:type="dxa"/>
        <w:right w:w="0" w:type="dxa"/>
      </w:tblCellMar>
    </w:tblPr>
  </w:style>
  <w:style w:type="character" w:customStyle="1" w:styleId="269">
    <w:name w:val="10_0_0"/>
    <w:qFormat/>
    <w:uiPriority w:val="0"/>
    <w:rPr>
      <w:rFonts w:hint="default" w:ascii="Times New Roman" w:hAnsi="Times New Roman" w:cs="Times New Roman"/>
      <w:lang w:val="en-US" w:eastAsia="zh-CN" w:bidi="ar-SA"/>
    </w:rPr>
  </w:style>
  <w:style w:type="paragraph" w:customStyle="1" w:styleId="270">
    <w:name w:val="段_0"/>
    <w:basedOn w:val="1"/>
    <w:next w:val="228"/>
    <w:qFormat/>
    <w:uiPriority w:val="0"/>
    <w:pPr>
      <w:widowControl/>
      <w:ind w:firstLine="200"/>
    </w:pPr>
    <w:rPr>
      <w:rFonts w:ascii="宋体" w:hAnsi="宋体"/>
      <w:szCs w:val="21"/>
    </w:rPr>
  </w:style>
  <w:style w:type="paragraph" w:customStyle="1" w:styleId="271">
    <w:name w:val="Normal_19_0"/>
    <w:next w:val="228"/>
    <w:qFormat/>
    <w:uiPriority w:val="0"/>
    <w:rPr>
      <w:rFonts w:hint="default" w:ascii="Times New Roman" w:hAnsi="Times New Roman" w:eastAsia="Times New Roman" w:cs="Times New Roman"/>
      <w:sz w:val="24"/>
      <w:szCs w:val="24"/>
    </w:rPr>
  </w:style>
  <w:style w:type="character" w:customStyle="1" w:styleId="272">
    <w:name w:val="font31"/>
    <w:basedOn w:val="42"/>
    <w:qFormat/>
    <w:uiPriority w:val="0"/>
    <w:rPr>
      <w:rFonts w:hint="default" w:ascii="Times New Roman" w:hAnsi="Times New Roman" w:cs="Times New Roman"/>
      <w:color w:val="000000"/>
      <w:sz w:val="21"/>
      <w:szCs w:val="21"/>
      <w:u w:val="none"/>
    </w:rPr>
  </w:style>
  <w:style w:type="character" w:customStyle="1" w:styleId="273">
    <w:name w:val="font51"/>
    <w:basedOn w:val="42"/>
    <w:qFormat/>
    <w:uiPriority w:val="0"/>
    <w:rPr>
      <w:rFonts w:ascii="方正仿宋_GBK" w:hAnsi="方正仿宋_GBK" w:eastAsia="方正仿宋_GBK" w:cs="方正仿宋_GBK"/>
      <w:color w:val="000000"/>
      <w:sz w:val="24"/>
      <w:szCs w:val="24"/>
      <w:u w:val="none"/>
    </w:rPr>
  </w:style>
  <w:style w:type="character" w:customStyle="1" w:styleId="274">
    <w:name w:val="font11"/>
    <w:qFormat/>
    <w:uiPriority w:val="0"/>
    <w:rPr>
      <w:rFonts w:hint="default" w:ascii="Times New Roman" w:hAnsi="Times New Roman" w:cs="Times New Roman"/>
      <w:color w:val="000000"/>
      <w:sz w:val="24"/>
      <w:szCs w:val="24"/>
      <w:u w:val="none"/>
    </w:rPr>
  </w:style>
  <w:style w:type="character" w:customStyle="1" w:styleId="275">
    <w:name w:val="font61"/>
    <w:basedOn w:val="42"/>
    <w:qFormat/>
    <w:uiPriority w:val="0"/>
    <w:rPr>
      <w:rFonts w:hint="eastAsia" w:ascii="方正仿宋_GBK" w:hAnsi="方正仿宋_GBK" w:eastAsia="方正仿宋_GBK" w:cs="方正仿宋_GBK"/>
      <w:color w:val="000000"/>
      <w:sz w:val="24"/>
      <w:szCs w:val="24"/>
      <w:u w:val="none"/>
    </w:rPr>
  </w:style>
  <w:style w:type="character" w:customStyle="1" w:styleId="276">
    <w:name w:val="font71"/>
    <w:qFormat/>
    <w:uiPriority w:val="0"/>
    <w:rPr>
      <w:rFonts w:hint="eastAsia" w:ascii="方正仿宋_GBK" w:hAnsi="方正仿宋_GBK" w:eastAsia="方正仿宋_GBK" w:cs="方正仿宋_GBK"/>
      <w:color w:val="000000"/>
      <w:sz w:val="21"/>
      <w:szCs w:val="21"/>
      <w:u w:val="none"/>
    </w:rPr>
  </w:style>
  <w:style w:type="paragraph" w:customStyle="1" w:styleId="277">
    <w:name w:val="标题 31"/>
    <w:basedOn w:val="1"/>
    <w:next w:val="218"/>
    <w:qFormat/>
    <w:uiPriority w:val="0"/>
    <w:pPr>
      <w:keepNext/>
      <w:keepLines/>
      <w:spacing w:before="260" w:after="260" w:line="416" w:lineRule="auto"/>
      <w:outlineLvl w:val="2"/>
    </w:pPr>
    <w:rPr>
      <w:rFonts w:ascii="Times New Roman" w:hAnsi="Times New Roman"/>
      <w:b/>
      <w:bCs/>
      <w:sz w:val="32"/>
      <w:szCs w:val="32"/>
    </w:rPr>
  </w:style>
  <w:style w:type="paragraph" w:customStyle="1" w:styleId="278">
    <w:name w:val="正文_9_0"/>
    <w:qFormat/>
    <w:uiPriority w:val="0"/>
    <w:pPr>
      <w:widowControl w:val="0"/>
      <w:jc w:val="both"/>
    </w:pPr>
    <w:rPr>
      <w:rFonts w:hint="default" w:ascii="Calibri" w:hAnsi="Calibri" w:eastAsia="宋体" w:cs="Times New Roman"/>
      <w:sz w:val="21"/>
      <w:szCs w:val="22"/>
    </w:rPr>
  </w:style>
  <w:style w:type="paragraph" w:customStyle="1" w:styleId="279">
    <w:name w:val="Normal_12_0"/>
    <w:qFormat/>
    <w:uiPriority w:val="0"/>
    <w:rPr>
      <w:rFonts w:hint="default" w:ascii="黑体" w:hAnsi="黑体" w:eastAsia="黑体" w:cs="Times New Roman"/>
      <w:b/>
      <w:sz w:val="32"/>
      <w:szCs w:val="24"/>
    </w:rPr>
  </w:style>
  <w:style w:type="paragraph" w:customStyle="1" w:styleId="280">
    <w:name w:val="正文_8_1"/>
    <w:qFormat/>
    <w:uiPriority w:val="0"/>
    <w:pPr>
      <w:widowControl w:val="0"/>
      <w:jc w:val="both"/>
    </w:pPr>
    <w:rPr>
      <w:rFonts w:hint="default" w:ascii="Calibri" w:hAnsi="Calibri" w:eastAsia="宋体" w:cs="Times New Roman"/>
      <w:sz w:val="21"/>
      <w:szCs w:val="22"/>
    </w:rPr>
  </w:style>
  <w:style w:type="paragraph" w:customStyle="1" w:styleId="281">
    <w:name w:val="正文_1_0_0_0_0"/>
    <w:qFormat/>
    <w:uiPriority w:val="0"/>
    <w:pPr>
      <w:widowControl w:val="0"/>
      <w:jc w:val="both"/>
    </w:pPr>
    <w:rPr>
      <w:rFonts w:hint="default" w:ascii="Times New Roman" w:hAnsi="Times New Roman" w:eastAsia="宋体" w:cs="Times New Roman"/>
      <w:sz w:val="21"/>
    </w:rPr>
  </w:style>
  <w:style w:type="paragraph" w:customStyle="1" w:styleId="282">
    <w:name w:val="列出段落_2"/>
    <w:basedOn w:val="280"/>
    <w:qFormat/>
    <w:uiPriority w:val="34"/>
    <w:pPr>
      <w:ind w:firstLine="420"/>
    </w:pPr>
  </w:style>
  <w:style w:type="paragraph" w:customStyle="1" w:styleId="283">
    <w:name w:val="表中文字"/>
    <w:basedOn w:val="1"/>
    <w:qFormat/>
    <w:uiPriority w:val="0"/>
    <w:pPr>
      <w:widowControl/>
    </w:pPr>
    <w:rPr>
      <w:szCs w:val="20"/>
    </w:rPr>
  </w:style>
  <w:style w:type="character" w:customStyle="1" w:styleId="284">
    <w:name w:val="font41"/>
    <w:basedOn w:val="42"/>
    <w:qFormat/>
    <w:uiPriority w:val="0"/>
    <w:rPr>
      <w:rFonts w:hint="eastAsia" w:ascii="宋体" w:hAnsi="宋体" w:eastAsia="宋体" w:cs="宋体"/>
      <w:color w:val="000000"/>
      <w:sz w:val="21"/>
      <w:szCs w:val="21"/>
      <w:u w:val="none"/>
    </w:rPr>
  </w:style>
  <w:style w:type="character" w:customStyle="1" w:styleId="285">
    <w:name w:val="font21"/>
    <w:basedOn w:val="42"/>
    <w:qFormat/>
    <w:uiPriority w:val="0"/>
    <w:rPr>
      <w:rFonts w:hint="eastAsia" w:ascii="宋体" w:hAnsi="宋体" w:eastAsia="宋体" w:cs="宋体"/>
      <w:color w:val="000000"/>
      <w:sz w:val="20"/>
      <w:szCs w:val="20"/>
      <w:u w:val="none"/>
    </w:rPr>
  </w:style>
  <w:style w:type="paragraph" w:customStyle="1" w:styleId="286">
    <w:name w:val="正文_18_0_0_1"/>
    <w:qFormat/>
    <w:uiPriority w:val="99"/>
    <w:pPr>
      <w:widowControl w:val="0"/>
      <w:jc w:val="both"/>
    </w:pPr>
    <w:rPr>
      <w:rFonts w:hint="default" w:ascii="Calibri" w:hAnsi="Calibri" w:eastAsia="宋体" w:cs="Times New Roman"/>
      <w:sz w:val="21"/>
      <w:szCs w:val="22"/>
      <w:lang w:val="en-US" w:eastAsia="zh-CN" w:bidi="ar-SA"/>
    </w:rPr>
  </w:style>
  <w:style w:type="character" w:customStyle="1" w:styleId="287">
    <w:name w:val="默认段落字体1"/>
    <w:link w:val="1"/>
    <w:unhideWhenUsed/>
    <w:qFormat/>
    <w:uiPriority w:val="1"/>
    <w:rPr>
      <w:rFonts w:hint="default" w:ascii="Calibri" w:hAnsi="Calibri" w:eastAsia="宋体" w:cs="Times New Roman"/>
      <w:sz w:val="21"/>
      <w:szCs w:val="22"/>
    </w:rPr>
  </w:style>
  <w:style w:type="paragraph" w:customStyle="1" w:styleId="288">
    <w:name w:val="正文3"/>
    <w:next w:val="277"/>
    <w:qFormat/>
    <w:uiPriority w:val="0"/>
    <w:pPr>
      <w:spacing w:after="160" w:line="278" w:lineRule="auto"/>
    </w:pPr>
    <w:rPr>
      <w:rFonts w:hint="default" w:ascii="Times New Roman" w:hAnsi="Times New Roman" w:eastAsia="Times New Roman" w:cs="Times New Roman"/>
      <w:sz w:val="24"/>
      <w:szCs w:val="24"/>
    </w:rPr>
  </w:style>
  <w:style w:type="paragraph" w:customStyle="1" w:styleId="289">
    <w:name w:val="标题 11"/>
    <w:basedOn w:val="1"/>
    <w:next w:val="1"/>
    <w:qFormat/>
    <w:uiPriority w:val="0"/>
    <w:pPr>
      <w:keepNext/>
      <w:keepLines/>
      <w:spacing w:before="480" w:after="200"/>
      <w:outlineLvl w:val="0"/>
    </w:pPr>
    <w:rPr>
      <w:rFonts w:ascii="Arial" w:hAnsi="Arial" w:eastAsia="Arial" w:cs="Arial"/>
      <w:sz w:val="40"/>
      <w:szCs w:val="4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64</Pages>
  <Words>16093</Words>
  <Characters>17425</Characters>
  <TotalTime>17</TotalTime>
  <ScaleCrop>false</ScaleCrop>
  <LinksUpToDate>false</LinksUpToDate>
  <CharactersWithSpaces>17661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2024-09-24T01:46:00Z</dcterms:created>
  <dc:creator>Mrs田</dc:creator>
  <cp:lastModifiedBy>。</cp:lastModifiedBy>
  <dcterms:modified xsi:type="dcterms:W3CDTF">2026-06-02T01:53:36Z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A07AD1738AD943CFB36679B0CF6FB937_13</vt:lpwstr>
  </property>
  <property fmtid="{D5CDD505-2E9C-101B-9397-08002B2CF9AE}" pid="4" name="KSOTemplateDocerSaveRecord">
    <vt:lpwstr>eyJoZGlkIjoiYTRiZGZlYmU2NWI2NjRkM2ExM2UyOGU5OGRiOGZhYmUiLCJ1c2VySWQiOiIzMDE0MjMwNDEifQ==</vt:lpwstr>
  </property>
</Properties>
</file>