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25"/>
        <w:ind w:firstLine="0"/>
        <w:rPr>
          <w:rFonts w:hint="eastAsia" w:ascii="宋体" w:hAnsi="宋体" w:eastAsia="宋体" w:cs="宋体"/>
          <w:b/>
          <w:bCs/>
          <w:color w:val="auto"/>
          <w:sz w:val="84"/>
          <w:highlight w:val="none"/>
        </w:rPr>
      </w:pPr>
      <w:r>
        <w:rPr>
          <w:rFonts w:hint="eastAsia" w:ascii="宋体" w:hAnsi="宋体" w:eastAsia="宋体" w:cs="宋体"/>
          <w:b/>
          <w:bCs/>
          <w:color w:val="auto"/>
          <w:sz w:val="84"/>
          <w:highlight w:val="none"/>
        </w:rPr>
      </w:r>
      <w:r/>
    </w:p>
    <w:p>
      <w:pPr>
        <w:pStyle w:val="1225"/>
        <w:ind w:firstLine="0"/>
        <w:rPr>
          <w:rFonts w:hint="eastAsia" w:ascii="宋体" w:hAnsi="宋体" w:eastAsia="宋体" w:cs="宋体"/>
          <w:b/>
          <w:bCs/>
          <w:color w:val="auto"/>
          <w:sz w:val="84"/>
          <w:highlight w:val="none"/>
        </w:rPr>
      </w:pPr>
      <w:r>
        <w:rPr>
          <w:rFonts w:hint="eastAsia" w:ascii="宋体" w:hAnsi="宋体" w:eastAsia="宋体" w:cs="宋体"/>
          <w:b/>
          <w:bCs/>
          <w:color w:val="auto"/>
          <w:sz w:val="84"/>
          <w:highlight w:val="none"/>
        </w:rPr>
      </w:r>
      <w:r/>
    </w:p>
    <w:p>
      <w:pPr>
        <w:pStyle w:val="1225"/>
        <w:ind w:firstLine="0"/>
        <w:jc w:val="center"/>
        <w:rPr>
          <w:rFonts w:hint="eastAsia" w:ascii="宋体" w:hAnsi="宋体" w:eastAsia="宋体" w:cs="宋体"/>
          <w:b/>
          <w:bCs/>
          <w:color w:val="auto"/>
          <w:sz w:val="84"/>
          <w:highlight w:val="none"/>
        </w:rPr>
      </w:pPr>
      <w:r>
        <w:rPr>
          <w:rFonts w:hint="eastAsia" w:ascii="宋体" w:hAnsi="宋体" w:eastAsia="宋体" w:cs="宋体"/>
          <w:b/>
          <w:bCs/>
          <w:color w:val="auto"/>
          <w:sz w:val="84"/>
          <w:highlight w:val="none"/>
        </w:rPr>
        <w:t xml:space="preserve">招　标　文　件</w:t>
      </w:r>
      <w:r/>
    </w:p>
    <w:p>
      <w:pPr>
        <w:pStyle w:val="1225"/>
        <w:ind w:firstLine="964"/>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 项目名称：宿迁技师学院国基地校内工业机器人实训基地建设</w:t>
      </w:r>
      <w:r/>
    </w:p>
    <w:p>
      <w:pPr>
        <w:ind w:firstLine="1285"/>
        <w:rPr>
          <w:rFonts w:hint="eastAsia" w:ascii="宋体" w:hAnsi="宋体" w:eastAsia="宋体" w:cs="宋体"/>
          <w:b/>
          <w:color w:val="auto"/>
          <w:sz w:val="30"/>
          <w:szCs w:val="30"/>
          <w:highlight w:val="none"/>
          <w:lang w:eastAsia="zh-CN"/>
        </w:rPr>
      </w:pPr>
      <w:r>
        <w:rPr>
          <w:rFonts w:hint="eastAsia" w:ascii="宋体" w:hAnsi="宋体" w:eastAsia="宋体" w:cs="宋体"/>
          <w:b/>
          <w:bCs/>
          <w:color w:val="auto"/>
          <w:sz w:val="32"/>
          <w:highlight w:val="none"/>
        </w:rPr>
        <w:t xml:space="preserve">项目编号：</w:t>
      </w:r>
      <w:r>
        <w:rPr>
          <w:rFonts w:hint="eastAsia" w:ascii="宋体" w:hAnsi="宋体" w:eastAsia="宋体" w:cs="宋体"/>
          <w:b/>
          <w:bCs/>
          <w:color w:val="auto"/>
          <w:sz w:val="32"/>
          <w:szCs w:val="32"/>
          <w:highlight w:val="none"/>
          <w:lang w:eastAsia="zh-CN"/>
        </w:rPr>
        <w:t xml:space="preserve">JSZC-321311-SQHZ-G2026-0004</w:t>
      </w:r>
      <w:r/>
    </w:p>
    <w:p>
      <w:pPr>
        <w:ind w:left="210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left="210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（货物类项目</w:t>
      </w:r>
      <w:r>
        <w:rPr>
          <w:rFonts w:hint="eastAsia" w:ascii="宋体" w:hAnsi="宋体" w:eastAsia="宋体" w:cs="宋体"/>
          <w:b/>
          <w:color w:val="auto"/>
          <w:sz w:val="30"/>
          <w:szCs w:val="30"/>
          <w:highlight w:val="none"/>
        </w:rPr>
        <w:t xml:space="preserve">，</w:t>
      </w:r>
      <w:r>
        <w:rPr>
          <w:rFonts w:hint="eastAsia" w:ascii="宋体" w:hAnsi="宋体" w:eastAsia="宋体" w:cs="宋体"/>
          <w:b/>
          <w:color w:val="auto"/>
          <w:sz w:val="30"/>
          <w:szCs w:val="30"/>
          <w:highlight w:val="none"/>
        </w:rPr>
        <w:t xml:space="preserve">本项目非专门面向中小企业）</w:t>
      </w:r>
      <w:r/>
    </w:p>
    <w:p>
      <w:pPr>
        <w:pStyle w:val="1225"/>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5"/>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5"/>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5"/>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5"/>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5"/>
        <w:ind w:firstLine="1690"/>
        <w:jc w:val="both"/>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采 购 人： 宿迁技师学院 </w:t>
      </w:r>
      <w:r/>
    </w:p>
    <w:p>
      <w:pPr>
        <w:pStyle w:val="1225"/>
        <w:ind w:firstLine="1606"/>
        <w:jc w:val="both"/>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采购代理机构：宿迁市禾盛咨询有限公司</w:t>
      </w:r>
      <w:r/>
    </w:p>
    <w:p>
      <w:pPr>
        <w:pStyle w:val="1225"/>
        <w:ind w:firstLine="1690"/>
        <w:jc w:val="both"/>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日  期：2026年06月</w:t>
      </w:r>
      <w:r>
        <w:rPr>
          <w:rFonts w:hint="eastAsia" w:ascii="宋体" w:hAnsi="宋体" w:eastAsia="宋体" w:cs="宋体"/>
          <w:b/>
          <w:bCs/>
          <w:color w:val="auto"/>
          <w:sz w:val="32"/>
          <w:highlight w:val="none"/>
          <w:lang w:val="en-US" w:eastAsia="zh-CN"/>
        </w:rPr>
        <w:t xml:space="preserve">09</w:t>
      </w:r>
      <w:r>
        <w:rPr>
          <w:rFonts w:hint="eastAsia" w:ascii="宋体" w:hAnsi="宋体" w:eastAsia="宋体" w:cs="宋体"/>
          <w:b/>
          <w:bCs/>
          <w:color w:val="auto"/>
          <w:sz w:val="32"/>
          <w:highlight w:val="none"/>
        </w:rPr>
        <w:t xml:space="preserve">日</w:t>
      </w:r>
      <w:r/>
    </w:p>
    <w:p>
      <w:pPr>
        <w:pStyle w:val="1225"/>
        <w:ind w:firstLine="0"/>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p>
    <w:p>
      <w:pPr>
        <w:pStyle w:val="1225"/>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80" w:lineRule="auto"/>
        <w:rPr>
          <w:rFonts w:hint="eastAsia" w:ascii="宋体" w:hAnsi="宋体" w:eastAsia="宋体" w:cs="宋体"/>
          <w:color w:val="auto"/>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20823272"/>
      <w:r/>
      <w:bookmarkStart w:id="2" w:name="_Toc16938516"/>
      <w:r/>
      <w:bookmarkStart w:id="3" w:name="_Toc513029200"/>
      <w:r/>
      <w:bookmarkStart w:id="4" w:name="_Toc479757206"/>
      <w:r/>
      <w:bookmarkStart w:id="5" w:name="_Toc523127445"/>
      <w:r/>
      <w:r/>
    </w:p>
    <w:p>
      <w:pPr>
        <w:jc w:val="center"/>
        <w:spacing w:line="480" w:lineRule="auto"/>
        <w:rPr>
          <w:rFonts w:hint="eastAsia" w:ascii="宋体" w:hAnsi="宋体" w:eastAsia="宋体" w:cs="宋体"/>
          <w:b/>
          <w:color w:val="auto"/>
          <w:sz w:val="44"/>
          <w:highlight w:val="none"/>
        </w:rPr>
        <w:outlineLvl w:val="0"/>
      </w:pPr>
      <w:r>
        <w:rPr>
          <w:rFonts w:hint="eastAsia" w:ascii="宋体" w:hAnsi="宋体" w:eastAsia="宋体" w:cs="宋体"/>
          <w:color w:val="auto"/>
          <w:highlight w:val="none"/>
        </w:rPr>
        <w:t xml:space="preserve"> </w:t>
      </w:r>
      <w:r>
        <w:rPr>
          <w:rFonts w:hint="eastAsia" w:ascii="宋体" w:hAnsi="宋体" w:eastAsia="宋体" w:cs="宋体"/>
          <w:b/>
          <w:color w:val="auto"/>
          <w:sz w:val="44"/>
          <w:highlight w:val="none"/>
        </w:rPr>
        <w:t xml:space="preserve">总  目  录</w:t>
      </w:r>
      <w:r/>
    </w:p>
    <w:p>
      <w:pPr>
        <w:spacing w:line="480" w:lineRule="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numPr>
          <w:ilvl w:val="0"/>
          <w:numId w:val="4"/>
        </w:numPr>
        <w:spacing w:line="480" w:lineRule="auto"/>
        <w:rPr>
          <w:rFonts w:hint="eastAsia" w:ascii="宋体" w:hAnsi="宋体" w:eastAsia="宋体" w:cs="宋体"/>
          <w:color w:val="auto"/>
          <w:sz w:val="32"/>
          <w:highlight w:val="none"/>
        </w:rPr>
        <w:outlineLvl w:val="0"/>
      </w:pPr>
      <w:r>
        <w:rPr>
          <w:rFonts w:hint="eastAsia" w:ascii="宋体" w:hAnsi="宋体" w:eastAsia="宋体" w:cs="宋体"/>
          <w:color w:val="auto"/>
          <w:sz w:val="36"/>
          <w:highlight w:val="none"/>
        </w:rPr>
        <w:t xml:space="preserve">投标邀请……………………………………1</w:t>
      </w:r>
      <w:r/>
    </w:p>
    <w:p>
      <w:pPr>
        <w:numPr>
          <w:ilvl w:val="0"/>
          <w:numId w:val="4"/>
        </w:numPr>
        <w:spacing w:line="480" w:lineRule="auto"/>
        <w:rPr>
          <w:rFonts w:hint="eastAsia" w:ascii="宋体" w:hAnsi="宋体" w:eastAsia="宋体" w:cs="宋体"/>
          <w:color w:val="auto"/>
          <w:sz w:val="36"/>
          <w:highlight w:val="none"/>
        </w:rPr>
        <w:outlineLvl w:val="0"/>
      </w:pPr>
      <w:r>
        <w:rPr>
          <w:rFonts w:hint="eastAsia" w:ascii="宋体" w:hAnsi="宋体" w:eastAsia="宋体" w:cs="宋体"/>
          <w:bCs/>
          <w:color w:val="auto"/>
          <w:sz w:val="36"/>
          <w:szCs w:val="36"/>
          <w:highlight w:val="none"/>
        </w:rPr>
        <w:t xml:space="preserve">投标人须知</w:t>
      </w:r>
      <w:r>
        <w:rPr>
          <w:rFonts w:hint="eastAsia" w:ascii="宋体" w:hAnsi="宋体" w:eastAsia="宋体" w:cs="宋体"/>
          <w:color w:val="auto"/>
          <w:sz w:val="36"/>
          <w:szCs w:val="36"/>
          <w:highlight w:val="none"/>
        </w:rPr>
        <w:t xml:space="preserve">…</w:t>
      </w:r>
      <w:r>
        <w:rPr>
          <w:rFonts w:hint="eastAsia" w:ascii="宋体" w:hAnsi="宋体" w:eastAsia="宋体" w:cs="宋体"/>
          <w:color w:val="auto"/>
          <w:sz w:val="36"/>
          <w:highlight w:val="none"/>
        </w:rPr>
        <w:t xml:space="preserve">………………………………5</w:t>
      </w:r>
      <w:r/>
    </w:p>
    <w:p>
      <w:pPr>
        <w:numPr>
          <w:ilvl w:val="0"/>
          <w:numId w:val="4"/>
        </w:numPr>
        <w:spacing w:line="480" w:lineRule="auto"/>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t xml:space="preserve">合同文本……………………………………24</w:t>
      </w:r>
      <w:r/>
    </w:p>
    <w:p>
      <w:pPr>
        <w:numPr>
          <w:ilvl w:val="0"/>
          <w:numId w:val="4"/>
        </w:numPr>
        <w:spacing w:line="480" w:lineRule="auto"/>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t xml:space="preserve">采购需求……………………………………33</w:t>
      </w:r>
      <w:r/>
    </w:p>
    <w:p>
      <w:pPr>
        <w:numPr>
          <w:ilvl w:val="0"/>
          <w:numId w:val="4"/>
        </w:numPr>
        <w:spacing w:line="480" w:lineRule="auto"/>
        <w:rPr>
          <w:rFonts w:hint="eastAsia" w:ascii="宋体" w:hAnsi="宋体" w:eastAsia="宋体" w:cs="宋体"/>
          <w:color w:val="auto"/>
          <w:sz w:val="36"/>
          <w:highlight w:val="none"/>
        </w:rPr>
        <w:outlineLvl w:val="0"/>
      </w:pPr>
      <w:r>
        <w:rPr>
          <w:rFonts w:hint="eastAsia" w:ascii="宋体" w:hAnsi="宋体" w:eastAsia="宋体" w:cs="宋体"/>
          <w:bCs/>
          <w:color w:val="auto"/>
          <w:sz w:val="36"/>
          <w:szCs w:val="36"/>
          <w:highlight w:val="none"/>
        </w:rPr>
        <w:t xml:space="preserve">评标方法与评标标准</w:t>
      </w:r>
      <w:r>
        <w:rPr>
          <w:rFonts w:hint="eastAsia" w:ascii="宋体" w:hAnsi="宋体" w:eastAsia="宋体" w:cs="宋体"/>
          <w:color w:val="auto"/>
          <w:sz w:val="36"/>
          <w:highlight w:val="none"/>
        </w:rPr>
        <w:t xml:space="preserve">………………………53</w:t>
      </w:r>
      <w:r/>
    </w:p>
    <w:p>
      <w:pPr>
        <w:numPr>
          <w:ilvl w:val="0"/>
          <w:numId w:val="4"/>
        </w:numPr>
        <w:spacing w:line="480" w:lineRule="auto"/>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t xml:space="preserve">投标文件格式………………………………59</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38"/>
        <w:rPr>
          <w:rFonts w:hint="eastAsia" w:ascii="宋体" w:hAnsi="宋体" w:eastAsia="宋体" w:cs="宋体"/>
          <w:color w:val="auto"/>
          <w:sz w:val="44"/>
          <w:szCs w:val="44"/>
          <w:highlight w:val="none"/>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color w:val="auto"/>
          <w:sz w:val="44"/>
          <w:szCs w:val="44"/>
          <w:highlight w:val="none"/>
        </w:rPr>
      </w:r>
      <w:r/>
    </w:p>
    <w:p>
      <w:pPr>
        <w:pStyle w:val="1138"/>
        <w:rPr>
          <w:rFonts w:hint="eastAsia" w:ascii="宋体" w:hAnsi="宋体" w:eastAsia="宋体" w:cs="宋体"/>
          <w:bCs/>
          <w:color w:val="auto"/>
          <w:sz w:val="44"/>
          <w:szCs w:val="44"/>
          <w:highlight w:val="none"/>
        </w:rPr>
      </w:pPr>
      <w:r>
        <w:rPr>
          <w:rFonts w:hint="eastAsia" w:ascii="宋体" w:hAnsi="宋体" w:eastAsia="宋体" w:cs="宋体"/>
          <w:color w:val="auto"/>
          <w:sz w:val="44"/>
          <w:szCs w:val="44"/>
          <w:highlight w:val="none"/>
        </w:rPr>
        <w:t xml:space="preserve">第一章  </w:t>
      </w:r>
      <w:bookmarkEnd w:id="0"/>
      <w:r>
        <w:rPr>
          <w:rFonts w:hint="eastAsia" w:ascii="宋体" w:hAnsi="宋体" w:eastAsia="宋体" w:cs="宋体"/>
          <w:color w:val="auto"/>
          <w:sz w:val="44"/>
          <w:szCs w:val="44"/>
          <w:highlight w:val="none"/>
        </w:rPr>
        <w:t xml:space="preserve">投标邀请</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rPr>
        <w:t xml:space="preserve">宿迁技师学院</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rPr>
        <w:t xml:space="preserve">宿迁市禾盛咨询有限公司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rPr>
        <w:t xml:space="preserve">宿迁技师学院国基地校内工业机器人实训基地建设（</w:t>
      </w:r>
      <w:r>
        <w:rPr>
          <w:rFonts w:hint="eastAsia" w:ascii="宋体" w:hAnsi="宋体" w:eastAsia="宋体" w:cs="宋体"/>
          <w:color w:val="auto"/>
          <w:sz w:val="24"/>
          <w:szCs w:val="24"/>
          <w:highlight w:val="none"/>
          <w:u w:val="single"/>
          <w:lang w:eastAsia="zh-CN"/>
        </w:rPr>
        <w:t xml:space="preserve">JSZC-321311-SQHZ-G2026-0004</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项目进行公开招标采购，欢迎符合条件的投标人投标。</w:t>
      </w:r>
      <w:r/>
    </w:p>
    <w:p>
      <w:pPr>
        <w:ind w:firstLine="480"/>
        <w:spacing w:line="56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56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u w:val="single"/>
        </w:rPr>
        <w:t xml:space="preserve"> 宿迁技师学院国基地校内工业机器人实训基地建设</w:t>
      </w:r>
      <w:r>
        <w:rPr>
          <w:rFonts w:hint="eastAsia" w:ascii="宋体" w:hAnsi="宋体" w:eastAsia="宋体" w:cs="宋体"/>
          <w:color w:val="auto"/>
          <w:sz w:val="24"/>
          <w:szCs w:val="24"/>
          <w:highlight w:val="none"/>
        </w:rPr>
        <w:t xml:space="preserve"> 招标项目的潜在投标人可在</w:t>
      </w:r>
      <w:r>
        <w:rPr>
          <w:rFonts w:hint="eastAsia" w:ascii="宋体" w:hAnsi="宋体" w:eastAsia="宋体" w:cs="宋体"/>
          <w:color w:val="auto"/>
          <w:sz w:val="24"/>
          <w:szCs w:val="24"/>
          <w:highlight w:val="none"/>
          <w:u w:val="single"/>
        </w:rPr>
        <w:t xml:space="preserve">“江苏政府采购网”、“宿迁市政府采购网”</w:t>
      </w:r>
      <w:r>
        <w:rPr>
          <w:rFonts w:hint="eastAsia" w:ascii="宋体" w:hAnsi="宋体" w:eastAsia="宋体" w:cs="宋体"/>
          <w:color w:val="auto"/>
          <w:sz w:val="24"/>
          <w:szCs w:val="24"/>
          <w:highlight w:val="none"/>
          <w:u w:val="single"/>
        </w:rPr>
        <w:t xml:space="preserve">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none"/>
          <w:u w:val="single"/>
        </w:rPr>
        <w:t xml:space="preserve">2026</w:t>
      </w:r>
      <w:r>
        <w:rPr>
          <w:rFonts w:hint="eastAsia" w:ascii="宋体" w:hAnsi="宋体" w:eastAsia="宋体" w:cs="宋体"/>
          <w:bCs/>
          <w:color w:val="auto"/>
          <w:sz w:val="24"/>
          <w:szCs w:val="24"/>
          <w:highlight w:val="none"/>
          <w:u w:val="single"/>
        </w:rPr>
        <w:t xml:space="preserve">年0</w:t>
      </w:r>
      <w:r>
        <w:rPr>
          <w:rFonts w:hint="eastAsia" w:ascii="宋体" w:hAnsi="宋体" w:eastAsia="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月</w:t>
      </w:r>
      <w:r>
        <w:rPr>
          <w:rFonts w:hint="eastAsia" w:ascii="宋体" w:hAnsi="宋体" w:eastAsia="宋体" w:cs="宋体"/>
          <w:bCs/>
          <w:color w:val="auto"/>
          <w:sz w:val="24"/>
          <w:szCs w:val="24"/>
          <w:highlight w:val="none"/>
          <w:u w:val="single"/>
          <w:lang w:val="en-US" w:eastAsia="zh-CN"/>
        </w:rPr>
        <w:t xml:space="preserve">30</w:t>
      </w:r>
      <w:r>
        <w:rPr>
          <w:rFonts w:hint="eastAsia" w:ascii="宋体" w:hAnsi="宋体" w:eastAsia="宋体" w:cs="宋体"/>
          <w:bCs/>
          <w:color w:val="auto"/>
          <w:sz w:val="24"/>
          <w:szCs w:val="24"/>
          <w:highlight w:val="none"/>
          <w:u w:val="single"/>
        </w:rPr>
        <w:t xml:space="preserve">日09点30分（</w:t>
      </w:r>
      <w:r>
        <w:rPr>
          <w:rFonts w:hint="eastAsia" w:ascii="宋体" w:hAnsi="宋体" w:eastAsia="宋体" w:cs="宋体"/>
          <w:bCs/>
          <w:color w:val="auto"/>
          <w:sz w:val="24"/>
          <w:szCs w:val="24"/>
          <w:highlight w:val="none"/>
        </w:rPr>
        <w:t xml:space="preserve">北京时间）前递交投标</w:t>
      </w:r>
      <w:r>
        <w:rPr>
          <w:rFonts w:hint="eastAsia" w:ascii="宋体" w:hAnsi="宋体" w:eastAsia="宋体" w:cs="宋体"/>
          <w:bCs/>
          <w:color w:val="auto"/>
          <w:sz w:val="24"/>
          <w:szCs w:val="24"/>
          <w:highlight w:val="none"/>
        </w:rPr>
        <w:t xml:space="preserve">文件</w:t>
      </w:r>
      <w:r>
        <w:rPr>
          <w:rFonts w:hint="eastAsia" w:ascii="宋体" w:hAnsi="宋体" w:eastAsia="宋体" w:cs="宋体"/>
          <w:color w:val="auto"/>
          <w:sz w:val="24"/>
          <w:szCs w:val="24"/>
          <w:highlight w:val="none"/>
        </w:rPr>
        <w:t xml:space="preserve">。</w:t>
      </w:r>
      <w:r/>
    </w:p>
    <w:p>
      <w:pPr>
        <w:pStyle w:val="1140"/>
        <w:ind w:firstLine="498"/>
        <w:spacing w:before="145" w:after="145" w:line="360" w:lineRule="auto"/>
        <w:rPr>
          <w:rFonts w:hint="eastAsia" w:ascii="宋体" w:hAnsi="宋体" w:eastAsia="宋体" w:cs="宋体"/>
          <w:color w:val="auto"/>
          <w:highlight w:val="none"/>
        </w:rPr>
      </w:pPr>
      <w:r/>
      <w:bookmarkStart w:id="6" w:name="_Toc28359079"/>
      <w:r/>
      <w:bookmarkStart w:id="7" w:name="_Toc38985263"/>
      <w:r/>
      <w:bookmarkStart w:id="8" w:name="_Toc28359002"/>
      <w:r/>
      <w:bookmarkStart w:id="9" w:name="_Toc35393790"/>
      <w:r/>
      <w:bookmarkStart w:id="10" w:name="_Toc35393621"/>
      <w:r/>
      <w:bookmarkStart w:id="11" w:name="_Hlk24379207"/>
      <w:r>
        <w:rPr>
          <w:rFonts w:hint="eastAsia" w:ascii="宋体" w:hAnsi="宋体" w:eastAsia="宋体" w:cs="宋体"/>
          <w:color w:val="auto"/>
          <w:highlight w:val="none"/>
        </w:rPr>
        <w:t xml:space="preserve">一、项目基本情况</w:t>
      </w:r>
      <w:bookmarkEnd w:id="6"/>
      <w:r/>
      <w:bookmarkEnd w:id="7"/>
      <w:r/>
      <w:bookmarkEnd w:id="8"/>
      <w:r/>
      <w:bookmarkEnd w:id="9"/>
      <w:r/>
      <w:bookmarkEnd w:id="10"/>
      <w:r/>
      <w:r/>
    </w:p>
    <w:p>
      <w:pPr>
        <w:ind w:firstLine="48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JSZC-321311-SQHZ-G2026-0004</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w:t>
      </w:r>
      <w:bookmarkEnd w:id="11"/>
      <w:r>
        <w:rPr>
          <w:rFonts w:hint="eastAsia" w:ascii="宋体" w:hAnsi="宋体" w:eastAsia="宋体" w:cs="宋体"/>
          <w:color w:val="auto"/>
          <w:sz w:val="24"/>
          <w:szCs w:val="24"/>
          <w:highlight w:val="none"/>
        </w:rPr>
        <w:t xml:space="preserve">宿迁技师学院国基地校内工业机器人实训基地建设</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3.预算金额：600万元</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single"/>
        </w:rPr>
        <w:t xml:space="preserve">设定</w:t>
      </w:r>
      <w:r>
        <w:rPr>
          <w:rFonts w:hint="eastAsia" w:ascii="宋体" w:hAnsi="宋体" w:eastAsia="宋体" w:cs="宋体"/>
          <w:color w:val="auto"/>
          <w:sz w:val="24"/>
          <w:szCs w:val="24"/>
          <w:highlight w:val="none"/>
        </w:rPr>
        <w:t xml:space="preserve">最高限价，最高限价为</w:t>
      </w:r>
      <w:r>
        <w:rPr>
          <w:rFonts w:hint="eastAsia" w:ascii="宋体" w:hAnsi="宋体" w:eastAsia="宋体" w:cs="宋体"/>
          <w:color w:val="auto"/>
          <w:sz w:val="24"/>
          <w:szCs w:val="24"/>
          <w:highlight w:val="none"/>
          <w:u w:val="single"/>
        </w:rPr>
        <w:t xml:space="preserve">600</w:t>
      </w:r>
      <w:r>
        <w:rPr>
          <w:rFonts w:hint="eastAsia" w:ascii="宋体" w:hAnsi="宋体" w:eastAsia="宋体" w:cs="宋体"/>
          <w:color w:val="auto"/>
          <w:sz w:val="24"/>
          <w:szCs w:val="24"/>
          <w:highlight w:val="none"/>
        </w:rPr>
        <w:t xml:space="preserve">万元。</w:t>
      </w:r>
      <w:r/>
    </w:p>
    <w:p>
      <w:pPr>
        <w:ind w:firstLine="480"/>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5.采购需求（简介）：</w:t>
      </w:r>
      <w:r>
        <w:rPr>
          <w:rFonts w:hint="eastAsia" w:ascii="宋体" w:hAnsi="宋体" w:eastAsia="宋体" w:cs="宋体"/>
          <w:color w:val="auto"/>
          <w:sz w:val="24"/>
          <w:szCs w:val="24"/>
          <w:highlight w:val="none"/>
        </w:rPr>
        <w:t xml:space="preserve">宿迁技师学院国基地校内工业机器人实训基地建设，具体内容详见本招标文件第四章。</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6.合同履行期限：合同签订后60日历天内完成全部安装调试并投入正常使用，售后服务期3年。</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联合体投标。</w:t>
      </w:r>
      <w:r/>
    </w:p>
    <w:p>
      <w:pPr>
        <w:pStyle w:val="1140"/>
        <w:ind w:firstLine="498"/>
        <w:spacing w:before="145" w:after="145" w:line="360" w:lineRule="auto"/>
        <w:rPr>
          <w:rFonts w:hint="eastAsia" w:ascii="宋体" w:hAnsi="宋体" w:eastAsia="宋体" w:cs="宋体"/>
          <w:color w:val="auto"/>
          <w:highlight w:val="none"/>
        </w:rPr>
      </w:pPr>
      <w:r/>
      <w:bookmarkStart w:id="12" w:name="_Toc35393622"/>
      <w:r/>
      <w:bookmarkStart w:id="13" w:name="_Toc35393791"/>
      <w:r/>
      <w:bookmarkStart w:id="14" w:name="_Toc38985264"/>
      <w:r/>
      <w:bookmarkStart w:id="15" w:name="_Toc28359080"/>
      <w:r/>
      <w:bookmarkStart w:id="16" w:name="_Toc28359003"/>
      <w:r>
        <w:rPr>
          <w:rFonts w:hint="eastAsia" w:ascii="宋体" w:hAnsi="宋体" w:eastAsia="宋体" w:cs="宋体"/>
          <w:color w:val="auto"/>
          <w:highlight w:val="none"/>
        </w:rPr>
        <w:t xml:space="preserve">二、申请人的资格要求：</w:t>
      </w:r>
      <w:bookmarkEnd w:id="12"/>
      <w:r/>
      <w:bookmarkEnd w:id="13"/>
      <w:r/>
      <w:bookmarkEnd w:id="14"/>
      <w:r/>
      <w:bookmarkEnd w:id="15"/>
      <w:r/>
      <w:bookmarkEnd w:id="16"/>
      <w:r/>
      <w:r/>
    </w:p>
    <w:p>
      <w:pPr>
        <w:ind w:firstLine="480"/>
        <w:spacing w:line="560" w:lineRule="exact"/>
        <w:rPr>
          <w:rFonts w:hint="eastAsia" w:ascii="宋体" w:hAnsi="宋体" w:eastAsia="宋体" w:cs="宋体"/>
          <w:color w:val="auto"/>
          <w:sz w:val="24"/>
          <w:szCs w:val="24"/>
          <w:highlight w:val="none"/>
        </w:rPr>
      </w:pPr>
      <w:r/>
      <w:bookmarkStart w:id="17" w:name="_Toc28359081"/>
      <w:r/>
      <w:bookmarkStart w:id="18" w:name="_Toc28359004"/>
      <w:r/>
      <w:bookmarkStart w:id="19" w:name="_Toc35393623"/>
      <w:r/>
      <w:bookmarkStart w:id="20" w:name="_Toc35393792"/>
      <w:r/>
      <w:bookmarkStart w:id="21" w:name="_Toc38985265"/>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通用</w:t>
      </w:r>
      <w:r>
        <w:rPr>
          <w:rFonts w:hint="eastAsia" w:ascii="宋体" w:hAnsi="宋体" w:eastAsia="宋体" w:cs="宋体"/>
          <w:color w:val="auto"/>
          <w:sz w:val="24"/>
          <w:szCs w:val="24"/>
          <w:highlight w:val="none"/>
        </w:rPr>
        <w:t xml:space="preserve">资格要求</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1.具备《中华人民共和国政府采购法》第二十二条第一款规定的6项条件（按要求提供投标声明及承诺函）。</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2.信用信息。信用信息查询渠道：“信用中国”网（www.creditchina.gov.cn）。    </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auto"/>
          <w:sz w:val="24"/>
          <w:szCs w:val="24"/>
          <w:highlight w:val="none"/>
        </w:rPr>
        <w:t xml:space="preserve">3.落实政府采购政策需</w:t>
      </w:r>
      <w:r>
        <w:rPr>
          <w:rFonts w:hint="eastAsia" w:ascii="宋体" w:hAnsi="宋体" w:eastAsia="宋体" w:cs="宋体"/>
          <w:color w:val="000000" w:themeColor="text1"/>
          <w:sz w:val="24"/>
          <w:szCs w:val="24"/>
          <w:highlight w:val="none"/>
        </w:rPr>
        <w:t xml:space="preserve">满足</w:t>
      </w:r>
      <w:r>
        <w:rPr>
          <w:rFonts w:hint="eastAsia" w:ascii="宋体" w:hAnsi="宋体" w:eastAsia="宋体" w:cs="宋体"/>
          <w:color w:val="000000" w:themeColor="text1"/>
          <w:sz w:val="24"/>
          <w:szCs w:val="24"/>
          <w:highlight w:val="none"/>
        </w:rPr>
        <w:t xml:space="preserve">的资格要求：无。</w:t>
      </w:r>
      <w:r>
        <w:rPr>
          <w:color w:val="000000" w:themeColor="text1"/>
        </w:rPr>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（二）本项目的特定资格要求：无。</w:t>
      </w:r>
      <w:r/>
    </w:p>
    <w:p>
      <w:pPr>
        <w:pStyle w:val="1140"/>
        <w:ind w:firstLine="498"/>
        <w:spacing w:before="145" w:after="145"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三、获取招标文件</w:t>
      </w:r>
      <w:bookmarkEnd w:id="17"/>
      <w:r/>
      <w:bookmarkEnd w:id="18"/>
      <w:r/>
      <w:bookmarkEnd w:id="19"/>
      <w:r/>
      <w:bookmarkEnd w:id="20"/>
      <w:r/>
      <w:bookmarkEnd w:id="21"/>
      <w:r/>
      <w:r/>
    </w:p>
    <w:p>
      <w:pPr>
        <w:ind w:firstLine="480"/>
        <w:spacing w:line="560" w:lineRule="exact"/>
        <w:rPr>
          <w:rFonts w:hint="eastAsia" w:ascii="宋体" w:hAnsi="宋体" w:eastAsia="宋体" w:cs="宋体"/>
          <w:color w:val="auto"/>
          <w:sz w:val="24"/>
          <w:szCs w:val="24"/>
          <w:highlight w:val="none"/>
        </w:rPr>
      </w:pPr>
      <w:r/>
      <w:bookmarkStart w:id="22" w:name="_Toc28359005"/>
      <w:r/>
      <w:bookmarkStart w:id="23" w:name="_Toc28359082"/>
      <w:r/>
      <w:bookmarkStart w:id="24" w:name="_Toc35393793"/>
      <w:r/>
      <w:bookmarkStart w:id="25" w:name="_Toc35393624"/>
      <w:r/>
      <w:bookmarkStart w:id="26" w:name="_Toc38985266"/>
      <w:r>
        <w:rPr>
          <w:rFonts w:hint="eastAsia" w:ascii="宋体" w:hAnsi="宋体" w:eastAsia="宋体" w:cs="宋体"/>
          <w:color w:val="auto"/>
          <w:sz w:val="24"/>
          <w:szCs w:val="24"/>
          <w:highlight w:val="none"/>
        </w:rPr>
        <w:t xml:space="preserve">1.时间：自招标公告发布之日起5个工作日。</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w:t>
      </w:r>
      <w:bookmarkStart w:id="27" w:name="EB0c44ff4da61f4af989d119fe214be450"/>
      <w:r>
        <w:rPr>
          <w:rFonts w:hint="eastAsia" w:ascii="宋体" w:hAnsi="宋体" w:eastAsia="宋体" w:cs="宋体"/>
          <w:color w:val="auto"/>
          <w:sz w:val="24"/>
          <w:szCs w:val="24"/>
          <w:highlight w:val="none"/>
        </w:rPr>
        <w:t xml:space="preserve">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3.本项目共分一个分包。投标人未按要求获取招标文件导致无法投标的，后果自负（其投标文件不予接受）。</w:t>
      </w:r>
      <w:bookmarkEnd w:id="27"/>
      <w:r/>
      <w:r/>
    </w:p>
    <w:p>
      <w:pPr>
        <w:pStyle w:val="1140"/>
        <w:ind w:firstLine="498"/>
        <w:spacing w:before="145" w:after="145"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四、提交投标文件</w:t>
      </w:r>
      <w:bookmarkEnd w:id="22"/>
      <w:r/>
      <w:bookmarkEnd w:id="23"/>
      <w:r>
        <w:rPr>
          <w:rFonts w:hint="eastAsia" w:ascii="宋体" w:hAnsi="宋体" w:eastAsia="宋体" w:cs="宋体"/>
          <w:color w:val="auto"/>
          <w:highlight w:val="none"/>
        </w:rPr>
        <w:t xml:space="preserve">截止时间、开标时间和地点</w:t>
      </w:r>
      <w:bookmarkEnd w:id="24"/>
      <w:r/>
      <w:bookmarkEnd w:id="25"/>
      <w:r/>
      <w:bookmarkEnd w:id="26"/>
      <w:r/>
      <w:r/>
    </w:p>
    <w:p>
      <w:pPr>
        <w:ind w:firstLine="480"/>
        <w:spacing w:line="56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提交投标文件截止时间、开标时间：</w:t>
      </w:r>
      <w:r>
        <w:rPr>
          <w:rFonts w:hint="eastAsia" w:ascii="宋体" w:hAnsi="宋体" w:eastAsia="宋体" w:cs="宋体"/>
          <w:bCs/>
          <w:color w:val="auto"/>
          <w:sz w:val="24"/>
          <w:szCs w:val="24"/>
          <w:highlight w:val="none"/>
          <w:u w:val="single"/>
        </w:rPr>
        <w:t xml:space="preserve">2026年0</w:t>
      </w:r>
      <w:r>
        <w:rPr>
          <w:rFonts w:hint="eastAsia" w:ascii="宋体" w:hAnsi="宋体" w:eastAsia="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月</w:t>
      </w:r>
      <w:r>
        <w:rPr>
          <w:rFonts w:hint="eastAsia" w:ascii="宋体" w:hAnsi="宋体" w:eastAsia="宋体" w:cs="宋体"/>
          <w:bCs/>
          <w:color w:val="auto"/>
          <w:sz w:val="24"/>
          <w:szCs w:val="24"/>
          <w:highlight w:val="none"/>
          <w:u w:val="single"/>
          <w:lang w:val="en-US" w:eastAsia="zh-CN"/>
        </w:rPr>
        <w:t xml:space="preserve">30</w:t>
      </w:r>
      <w:r>
        <w:rPr>
          <w:rFonts w:hint="eastAsia" w:ascii="宋体" w:hAnsi="宋体" w:eastAsia="宋体" w:cs="宋体"/>
          <w:bCs/>
          <w:color w:val="auto"/>
          <w:sz w:val="24"/>
          <w:szCs w:val="24"/>
          <w:highlight w:val="none"/>
          <w:u w:val="single"/>
        </w:rPr>
        <w:t xml:space="preserve">日09点30分</w:t>
      </w:r>
      <w:r>
        <w:rPr>
          <w:rFonts w:hint="eastAsia" w:ascii="宋体" w:hAnsi="宋体" w:eastAsia="宋体" w:cs="宋体"/>
          <w:bCs/>
          <w:color w:val="auto"/>
          <w:sz w:val="24"/>
          <w:szCs w:val="24"/>
          <w:highlight w:val="none"/>
        </w:rPr>
        <w:t xml:space="preserve">（北京时间）</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1140"/>
        <w:ind w:firstLine="498"/>
        <w:spacing w:before="145" w:after="145" w:line="360" w:lineRule="auto"/>
        <w:rPr>
          <w:rFonts w:hint="eastAsia" w:ascii="宋体" w:hAnsi="宋体" w:eastAsia="宋体" w:cs="宋体"/>
          <w:color w:val="auto"/>
          <w:highlight w:val="none"/>
        </w:rPr>
      </w:pPr>
      <w:r/>
      <w:bookmarkStart w:id="28" w:name="_Toc28359007"/>
      <w:r/>
      <w:bookmarkStart w:id="29" w:name="_Toc28359084"/>
      <w:r/>
      <w:bookmarkStart w:id="30" w:name="_Toc38985267"/>
      <w:r/>
      <w:bookmarkStart w:id="31" w:name="_Toc35393625"/>
      <w:r/>
      <w:bookmarkStart w:id="32" w:name="_Toc35393794"/>
      <w:r>
        <w:rPr>
          <w:rFonts w:hint="eastAsia" w:ascii="宋体" w:hAnsi="宋体" w:eastAsia="宋体" w:cs="宋体"/>
          <w:color w:val="auto"/>
          <w:highlight w:val="none"/>
        </w:rPr>
        <w:t xml:space="preserve">五、公告期限</w:t>
      </w:r>
      <w:bookmarkEnd w:id="28"/>
      <w:r/>
      <w:bookmarkEnd w:id="29"/>
      <w:r/>
      <w:bookmarkEnd w:id="30"/>
      <w:r/>
      <w:bookmarkEnd w:id="31"/>
      <w:r/>
      <w:bookmarkEnd w:id="32"/>
      <w:r/>
      <w:r/>
    </w:p>
    <w:p>
      <w:pPr>
        <w:ind w:firstLine="482"/>
        <w:spacing w:line="560" w:lineRule="exact"/>
        <w:rPr>
          <w:rFonts w:hint="eastAsia" w:ascii="宋体" w:hAnsi="宋体" w:eastAsia="宋体" w:cs="宋体"/>
          <w:color w:val="auto"/>
          <w:sz w:val="24"/>
          <w:szCs w:val="24"/>
          <w:highlight w:val="none"/>
        </w:rPr>
      </w:pPr>
      <w:r/>
      <w:bookmarkStart w:id="33" w:name="_Toc38985268"/>
      <w:r/>
      <w:bookmarkStart w:id="34" w:name="_Toc35393626"/>
      <w:r/>
      <w:bookmarkStart w:id="35" w:name="_Toc35393795"/>
      <w:r>
        <w:rPr>
          <w:rFonts w:hint="eastAsia" w:ascii="宋体" w:hAnsi="宋体" w:eastAsia="宋体" w:cs="宋体"/>
          <w:color w:val="auto"/>
          <w:sz w:val="24"/>
          <w:szCs w:val="24"/>
          <w:highlight w:val="none"/>
        </w:rPr>
        <w:t xml:space="preserve">招标公告及招标文件公告期限为自本公告发布之日起5个工作日。招标公告发布媒体：</w:t>
      </w:r>
      <w:bookmarkStart w:id="36" w:name="OLE_LINK3"/>
      <w:r>
        <w:rPr>
          <w:rFonts w:hint="eastAsia" w:ascii="宋体" w:hAnsi="宋体" w:eastAsia="宋体" w:cs="宋体"/>
          <w:color w:val="auto"/>
          <w:sz w:val="24"/>
          <w:szCs w:val="24"/>
          <w:highlight w:val="none"/>
        </w:rPr>
        <w:t xml:space="preserve">江苏政府采购网</w:t>
      </w:r>
      <w:bookmarkEnd w:id="36"/>
      <w:r>
        <w:rPr>
          <w:rFonts w:hint="eastAsia" w:ascii="宋体" w:hAnsi="宋体" w:eastAsia="宋体" w:cs="宋体"/>
          <w:color w:val="auto"/>
          <w:sz w:val="24"/>
          <w:szCs w:val="24"/>
          <w:highlight w:val="none"/>
        </w:rPr>
        <w:t xml:space="preserve">、宿迁市政府采购网等</w:t>
      </w:r>
      <w:r>
        <w:rPr>
          <w:rFonts w:hint="eastAsia" w:ascii="宋体" w:hAnsi="宋体" w:eastAsia="宋体" w:cs="宋体"/>
          <w:color w:val="auto"/>
          <w:sz w:val="24"/>
          <w:szCs w:val="24"/>
          <w:highlight w:val="none"/>
        </w:rPr>
        <w:t xml:space="preserve">。</w:t>
      </w:r>
      <w:r/>
    </w:p>
    <w:p>
      <w:pPr>
        <w:pStyle w:val="1140"/>
        <w:numPr>
          <w:ilvl w:val="0"/>
          <w:numId w:val="5"/>
        </w:numPr>
        <w:ind w:firstLine="498"/>
        <w:spacing w:before="145" w:after="145"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其他补充事宜</w:t>
      </w:r>
      <w:bookmarkEnd w:id="33"/>
      <w:r/>
      <w:bookmarkEnd w:id="34"/>
      <w:r/>
      <w:bookmarkEnd w:id="35"/>
      <w:r/>
      <w:r/>
    </w:p>
    <w:p>
      <w:pPr>
        <w:ind w:firstLine="480"/>
        <w:spacing w:line="560" w:lineRule="exact"/>
        <w:rPr>
          <w:rFonts w:hint="eastAsia" w:ascii="宋体" w:hAnsi="宋体" w:eastAsia="宋体" w:cs="宋体"/>
          <w:color w:val="auto"/>
          <w:sz w:val="24"/>
          <w:szCs w:val="24"/>
          <w:highlight w:val="none"/>
        </w:rPr>
      </w:pPr>
      <w:r/>
      <w:bookmarkStart w:id="37" w:name="_Toc28359085"/>
      <w:r/>
      <w:bookmarkStart w:id="38" w:name="_Toc28359008"/>
      <w:r/>
      <w:bookmarkStart w:id="39" w:name="_Toc35393627"/>
      <w:r/>
      <w:bookmarkStart w:id="40" w:name="_Toc38985269"/>
      <w:r/>
      <w:bookmarkStart w:id="41" w:name="_Toc35393796"/>
      <w:r>
        <w:rPr>
          <w:rFonts w:hint="eastAsia" w:ascii="宋体" w:hAnsi="宋体" w:eastAsia="宋体" w:cs="宋体"/>
          <w:color w:val="auto"/>
          <w:sz w:val="24"/>
          <w:szCs w:val="24"/>
          <w:highlight w:val="none"/>
        </w:rPr>
        <w:t xml:space="preserve">1.财政部门监督电话：0527-</w:t>
      </w:r>
      <w:r>
        <w:rPr>
          <w:rFonts w:hint="eastAsia" w:ascii="宋体" w:hAnsi="宋体" w:cs="宋体"/>
          <w:color w:val="auto"/>
          <w:sz w:val="24"/>
          <w:szCs w:val="24"/>
          <w:highlight w:val="none"/>
          <w:lang w:val="en-US" w:eastAsia="zh-CN"/>
        </w:rPr>
        <w:t xml:space="preserve">84465519</w:t>
      </w:r>
      <w:r>
        <w:rPr>
          <w:rFonts w:hint="eastAsia" w:ascii="宋体" w:hAnsi="宋体" w:eastAsia="宋体" w:cs="宋体"/>
          <w:color w:val="auto"/>
          <w:sz w:val="24"/>
          <w:szCs w:val="24"/>
          <w:highlight w:val="none"/>
        </w:rPr>
        <w:t xml:space="preserve">。</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3.宿迁地区“苏采云”技术支持客服电话：0527-84363067、0519-86722806。</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4.如果投标人通过苏采云系统参与政府采购项目，相关操作手册详见链接：http://www.ccgp-jiangsu.gov.cn/jiangsu/zlxz/ee/ee3a4bc5a3454aa2b0d9312230633ce9.html。</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highlight w:val="none"/>
        </w:rPr>
        <w:t xml:space="preserve">质疑渠道：投标人登录“苏采云”系统“项目质疑申请”模块向采购人提出，质疑处理联系方式详见“采购人信息或采购代理机构信息”；</w:t>
      </w:r>
      <w:r/>
    </w:p>
    <w:p>
      <w:pPr>
        <w:pStyle w:val="1140"/>
        <w:ind w:firstLine="498"/>
        <w:spacing w:before="145" w:after="145"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七、本次招标联系方式</w:t>
      </w:r>
      <w:bookmarkEnd w:id="37"/>
      <w:r/>
      <w:bookmarkEnd w:id="38"/>
      <w:r/>
      <w:bookmarkEnd w:id="39"/>
      <w:r/>
      <w:bookmarkEnd w:id="40"/>
      <w:r/>
      <w:bookmarkEnd w:id="41"/>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称：宿迁技师学院</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bookmarkStart w:id="42" w:name="EB56584df6d7a94fbba4fdfdc5b0e454cb"/>
      <w:r>
        <w:rPr>
          <w:rFonts w:hint="eastAsia" w:ascii="宋体" w:hAnsi="宋体" w:eastAsia="宋体" w:cs="宋体"/>
          <w:color w:val="auto"/>
          <w:sz w:val="24"/>
          <w:szCs w:val="24"/>
          <w:highlight w:val="none"/>
        </w:rPr>
        <w:t xml:space="preserve">宿豫区黄山路17号</w:t>
      </w:r>
      <w:bookmarkEnd w:id="42"/>
      <w:r/>
      <w:r/>
    </w:p>
    <w:p>
      <w:pPr>
        <w:ind w:firstLine="48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赵震</w:t>
      </w:r>
      <w:r/>
    </w:p>
    <w:p>
      <w:pPr>
        <w:ind w:firstLine="480"/>
        <w:spacing w:line="56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ascii="宋体" w:hAnsi="宋体" w:cs="宋体"/>
          <w:sz w:val="24"/>
          <w:szCs w:val="24"/>
        </w:rPr>
        <w:t xml:space="preserve">13815775018</w:t>
      </w:r>
      <w:r>
        <w:rPr>
          <w:rFonts w:hint="eastAsia" w:ascii="宋体" w:hAnsi="宋体" w:eastAsia="宋体" w:cs="宋体"/>
          <w:color w:val="auto"/>
          <w:sz w:val="24"/>
          <w:szCs w:val="24"/>
          <w:highlight w:val="none"/>
          <w:lang w:eastAsia="zh-CN"/>
        </w:rPr>
      </w:r>
      <w:bookmarkStart w:id="43" w:name="_Toc28359086"/>
      <w:r>
        <w:rPr>
          <w:rFonts w:ascii="宋体" w:hAnsi="宋体" w:cs="宋体"/>
          <w:sz w:val="24"/>
          <w:szCs w:val="24"/>
        </w:rPr>
      </w:r>
      <w:bookmarkEnd w:id="43"/>
      <w:r>
        <w:rPr>
          <w:rFonts w:ascii="宋体" w:hAnsi="宋体" w:cs="宋体"/>
          <w:sz w:val="24"/>
          <w:szCs w:val="24"/>
        </w:rPr>
      </w:r>
      <w:bookmarkStart w:id="44" w:name="_Toc28359009"/>
      <w:r>
        <w:rPr>
          <w:rFonts w:ascii="宋体" w:hAnsi="宋体" w:cs="宋体"/>
          <w:sz w:val="24"/>
          <w:szCs w:val="24"/>
        </w:rPr>
      </w:r>
      <w:bookmarkEnd w:id="44"/>
      <w:r>
        <w:rPr>
          <w:rFonts w:ascii="宋体" w:hAnsi="宋体" w:cs="宋体"/>
          <w:sz w:val="24"/>
          <w:szCs w:val="24"/>
        </w:rPr>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bookmarkStart w:id="45" w:name="EB428b58a0efec4a7f97890403ab826602"/>
      <w:r>
        <w:rPr>
          <w:rFonts w:hint="eastAsia" w:ascii="宋体" w:hAnsi="宋体" w:eastAsia="宋体" w:cs="宋体"/>
          <w:color w:val="auto"/>
          <w:sz w:val="24"/>
          <w:szCs w:val="24"/>
          <w:highlight w:val="none"/>
        </w:rPr>
        <w:t xml:space="preserve">宿迁市禾盛咨询有限公司</w:t>
      </w:r>
      <w:bookmarkEnd w:id="45"/>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址：宿迁市宿城区项里街道思虞路2号</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bookmarkStart w:id="46" w:name="EBfa4b77d1e5b9484d8eabadce9094784a"/>
      <w:r>
        <w:rPr>
          <w:rFonts w:hint="eastAsia" w:ascii="宋体" w:hAnsi="宋体" w:eastAsia="宋体" w:cs="宋体"/>
          <w:color w:val="auto"/>
          <w:sz w:val="24"/>
          <w:szCs w:val="24"/>
          <w:highlight w:val="none"/>
        </w:rPr>
        <w:t xml:space="preserve">张杨</w:t>
      </w:r>
      <w:bookmarkEnd w:id="46"/>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bookmarkStart w:id="47" w:name="_Toc28359087"/>
      <w:r/>
      <w:bookmarkStart w:id="48" w:name="_Toc28359010"/>
      <w:r>
        <w:rPr>
          <w:rFonts w:hint="eastAsia" w:ascii="宋体" w:hAnsi="宋体" w:eastAsia="宋体" w:cs="宋体"/>
          <w:color w:val="auto"/>
          <w:sz w:val="24"/>
          <w:szCs w:val="24"/>
          <w:highlight w:val="none"/>
        </w:rPr>
        <w:t xml:space="preserve">0527-88855086/18114399553</w:t>
      </w:r>
      <w:bookmarkEnd w:id="47"/>
      <w:r/>
      <w:bookmarkEnd w:id="48"/>
      <w:r/>
      <w:r/>
    </w:p>
    <w:p>
      <w:pPr>
        <w:pStyle w:val="1140"/>
        <w:ind w:firstLine="498"/>
        <w:spacing w:before="145" w:after="145"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八、其他</w:t>
      </w:r>
      <w:r/>
    </w:p>
    <w:p>
      <w:pPr>
        <w:ind w:firstLine="480"/>
        <w:spacing w:line="560" w:lineRule="exact"/>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1.有关本次招标的事项若存在变动或修改，敬请及时关注“宿迁市政府采购网”等平台更正公告。</w:t>
      </w:r>
      <w:r/>
    </w:p>
    <w:p>
      <w:pPr>
        <w:ind w:firstLine="482"/>
        <w:spacing w:line="56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b/>
          <w:bCs/>
          <w:iCs/>
          <w:color w:val="auto"/>
          <w:sz w:val="24"/>
          <w:highlight w:val="none"/>
        </w:rPr>
        <w:t xml:space="preserve">2</w:t>
      </w:r>
      <w:r>
        <w:rPr>
          <w:rFonts w:hint="eastAsia" w:ascii="宋体" w:hAnsi="宋体" w:eastAsia="宋体" w:cs="宋体"/>
          <w:bCs/>
          <w:color w:val="auto"/>
          <w:sz w:val="24"/>
          <w:szCs w:val="24"/>
          <w:highlight w:val="none"/>
        </w:rPr>
        <w:t xml:space="preserve">.本次招标不收取投标保证金。</w:t>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1139"/>
        <w:ind w:firstLine="2429"/>
        <w:jc w:val="both"/>
        <w:rPr>
          <w:rFonts w:hint="eastAsia" w:ascii="宋体" w:hAnsi="宋体" w:eastAsia="宋体" w:cs="宋体"/>
          <w:b w:val="0"/>
          <w:bCs w:val="0"/>
          <w:color w:val="auto"/>
          <w:highlight w:val="none"/>
        </w:rPr>
      </w:pPr>
      <w:r/>
      <w:bookmarkStart w:id="49" w:name="_Toc120614211"/>
      <w:r>
        <w:rPr>
          <w:rFonts w:hint="eastAsia" w:ascii="宋体" w:hAnsi="宋体" w:eastAsia="宋体" w:cs="宋体"/>
          <w:color w:val="auto"/>
          <w:highlight w:val="none"/>
        </w:rPr>
        <w:t xml:space="preserve">第二章  </w:t>
      </w:r>
      <w:bookmarkEnd w:id="1"/>
      <w:r/>
      <w:bookmarkEnd w:id="2"/>
      <w:r/>
      <w:bookmarkEnd w:id="3"/>
      <w:r/>
      <w:bookmarkEnd w:id="4"/>
      <w:r/>
      <w:bookmarkEnd w:id="5"/>
      <w:r/>
      <w:bookmarkEnd w:id="49"/>
      <w:r/>
      <w:bookmarkStart w:id="50" w:name="_Toc513029202"/>
      <w:r/>
      <w:bookmarkStart w:id="51" w:name="_Toc120614213"/>
      <w:r/>
      <w:bookmarkStart w:id="52" w:name="_Toc20823274"/>
      <w:r/>
      <w:bookmarkStart w:id="53" w:name="_Toc16938518"/>
      <w:r>
        <w:rPr>
          <w:rFonts w:hint="eastAsia" w:ascii="宋体" w:hAnsi="宋体" w:eastAsia="宋体" w:cs="宋体"/>
          <w:color w:val="auto"/>
          <w:highlight w:val="none"/>
        </w:rPr>
        <w:t xml:space="preserve">投标人须知</w:t>
      </w:r>
      <w:bookmarkEnd w:id="50"/>
      <w:r/>
      <w:bookmarkEnd w:id="51"/>
      <w:r/>
      <w:bookmarkEnd w:id="52"/>
      <w:r/>
      <w:bookmarkEnd w:id="53"/>
      <w:r/>
      <w:r/>
    </w:p>
    <w:p>
      <w:pPr>
        <w:keepLines/>
        <w:keepNext/>
        <w:spacing w:line="480" w:lineRule="exact"/>
        <w:rPr>
          <w:rFonts w:hint="eastAsia" w:ascii="宋体" w:hAnsi="宋体" w:eastAsia="宋体" w:cs="宋体"/>
          <w:b/>
          <w:bCs/>
          <w:color w:val="auto"/>
          <w:sz w:val="24"/>
          <w:szCs w:val="24"/>
          <w:highlight w:val="none"/>
        </w:rPr>
        <w:outlineLvl w:val="1"/>
      </w:pPr>
      <w:r/>
      <w:bookmarkStart w:id="54" w:name="_Toc4529"/>
      <w:r/>
      <w:bookmarkStart w:id="55" w:name="_Toc20823275"/>
      <w:r/>
      <w:bookmarkStart w:id="56" w:name="_Toc120614214"/>
      <w:r/>
      <w:bookmarkStart w:id="57" w:name="_Toc16938519"/>
      <w:r/>
      <w:bookmarkStart w:id="58" w:name="_Toc513029203"/>
      <w:r>
        <w:rPr>
          <w:rFonts w:hint="eastAsia" w:ascii="宋体" w:hAnsi="宋体" w:eastAsia="宋体" w:cs="宋体"/>
          <w:b/>
          <w:bCs/>
          <w:color w:val="auto"/>
          <w:sz w:val="24"/>
          <w:szCs w:val="24"/>
          <w:highlight w:val="none"/>
        </w:rPr>
        <w:t xml:space="preserve">投标人须知前附表：</w:t>
      </w:r>
      <w:bookmarkEnd w:id="54"/>
      <w:r/>
      <w:r/>
    </w:p>
    <w:tbl>
      <w:tblPr>
        <w:tblStyle w:val="939"/>
        <w:tblW w:w="9498"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842"/>
        <w:gridCol w:w="6946"/>
      </w:tblGrid>
      <w:tr>
        <w:trPr>
          <w:trHeight w:val="462"/>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hint="eastAsia" w:ascii="宋体" w:hAnsi="宋体" w:eastAsia="宋体" w:cs="宋体"/>
                <w:b/>
                <w:color w:val="auto"/>
                <w:sz w:val="24"/>
                <w:szCs w:val="24"/>
                <w:highlight w:val="none"/>
              </w:rPr>
            </w:pPr>
            <w:r/>
            <w:bookmarkStart w:id="59" w:name="_Toc81575191"/>
            <w:r/>
            <w:bookmarkStart w:id="60" w:name="_Toc29262"/>
            <w:r/>
            <w:bookmarkStart w:id="61" w:name="_Toc81575154"/>
            <w:r>
              <w:rPr>
                <w:rFonts w:hint="eastAsia" w:ascii="宋体" w:hAnsi="宋体" w:eastAsia="宋体" w:cs="宋体"/>
                <w:b/>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w:t>
            </w:r>
            <w:r/>
          </w:p>
        </w:tc>
        <w:tc>
          <w:tcPr>
            <w:tcBorders>
              <w:top w:val="single" w:color="000000" w:sz="4" w:space="0"/>
              <w:left w:val="none" w:color="000000" w:sz="4" w:space="0"/>
              <w:bottom w:val="single" w:color="000000" w:sz="4" w:space="0"/>
              <w:right w:val="single" w:color="000000" w:sz="4" w:space="0"/>
            </w:tcBorders>
            <w:tcW w:w="6946"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tc>
        <w:tc>
          <w:tcPr>
            <w:tcBorders>
              <w:top w:val="single" w:color="000000" w:sz="4" w:space="0"/>
              <w:left w:val="none" w:color="000000" w:sz="4" w:space="0"/>
              <w:bottom w:val="single" w:color="000000" w:sz="4" w:space="0"/>
              <w:right w:val="single" w:color="000000" w:sz="4" w:space="0"/>
            </w:tcBorders>
            <w:tcW w:w="6946"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bookmarkStart w:id="62" w:name="EB9a5853ee094f4f0ea6ec3169265f6f2c"/>
            <w:r>
              <w:rPr>
                <w:rFonts w:hint="eastAsia" w:ascii="宋体" w:hAnsi="宋体" w:eastAsia="宋体" w:cs="宋体"/>
                <w:color w:val="auto"/>
                <w:sz w:val="24"/>
                <w:szCs w:val="24"/>
                <w:highlight w:val="none"/>
              </w:rPr>
              <w:t xml:space="preserve">属性按以下第</w:t>
            </w:r>
            <w:bookmarkEnd w:id="62"/>
            <w:r>
              <w:rPr>
                <w:rFonts w:hint="eastAsia" w:ascii="宋体" w:hAnsi="宋体" w:eastAsia="宋体" w:cs="宋体"/>
                <w:color w:val="auto"/>
                <w:sz w:val="24"/>
                <w:szCs w:val="24"/>
                <w:highlight w:val="none"/>
                <w:u w:val="single"/>
              </w:rPr>
              <w:t xml:space="preserve"> 1 </w:t>
            </w:r>
            <w:r>
              <w:rPr>
                <w:rFonts w:hint="eastAsia" w:ascii="宋体" w:hAnsi="宋体" w:eastAsia="宋体" w:cs="宋体"/>
                <w:color w:val="auto"/>
                <w:sz w:val="24"/>
                <w:szCs w:val="24"/>
                <w:highlight w:val="none"/>
              </w:rPr>
              <w:t xml:space="preserve">种确定：</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w:t>
            </w:r>
            <w:bookmarkStart w:id="63" w:name="EBd5c6c026f9674c39b21b31ecd0c1e7fa"/>
            <w:r>
              <w:rPr>
                <w:rFonts w:hint="eastAsia" w:ascii="宋体" w:hAnsi="宋体" w:eastAsia="宋体" w:cs="宋体"/>
                <w:color w:val="auto"/>
                <w:sz w:val="24"/>
                <w:szCs w:val="24"/>
                <w:highlight w:val="none"/>
              </w:rPr>
              <w:t xml:space="preserve">采购；2.</w:t>
            </w:r>
            <w:bookmarkEnd w:id="63"/>
            <w:r>
              <w:rPr>
                <w:rFonts w:hint="eastAsia" w:ascii="宋体" w:hAnsi="宋体" w:eastAsia="宋体" w:cs="宋体"/>
                <w:color w:val="auto"/>
                <w:sz w:val="24"/>
                <w:szCs w:val="24"/>
                <w:highlight w:val="none"/>
              </w:rPr>
              <w:t xml:space="preserve">服务</w:t>
            </w:r>
            <w:bookmarkStart w:id="64" w:name="EBf7d2a4f44ecb4166a93ea852e73be69f"/>
            <w:r>
              <w:rPr>
                <w:rFonts w:hint="eastAsia" w:ascii="宋体" w:hAnsi="宋体" w:eastAsia="宋体" w:cs="宋体"/>
                <w:color w:val="auto"/>
                <w:sz w:val="24"/>
                <w:szCs w:val="24"/>
                <w:highlight w:val="none"/>
              </w:rPr>
              <w:t xml:space="preserve">采购；3.</w:t>
            </w:r>
            <w:bookmarkEnd w:id="64"/>
            <w:r>
              <w:rPr>
                <w:rFonts w:hint="eastAsia" w:ascii="宋体" w:hAnsi="宋体" w:eastAsia="宋体" w:cs="宋体"/>
                <w:color w:val="auto"/>
                <w:sz w:val="24"/>
                <w:szCs w:val="24"/>
                <w:highlight w:val="none"/>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Borders>
              <w:top w:val="single" w:color="000000" w:sz="4" w:space="0"/>
              <w:left w:val="none" w:color="000000" w:sz="4" w:space="0"/>
              <w:bottom w:val="single" w:color="000000" w:sz="4" w:space="0"/>
              <w:right w:val="single" w:color="000000" w:sz="4" w:space="0"/>
            </w:tcBorders>
            <w:tcW w:w="6946"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65" w:name="EBd40b5fb42f2944a3b45e579ce3941f02"/>
            <w:r/>
            <w:bookmarkEnd w:id="65"/>
            <w:r>
              <w:rPr>
                <w:rFonts w:hint="eastAsia" w:ascii="宋体" w:hAnsi="宋体" w:eastAsia="宋体" w:cs="宋体"/>
                <w:color w:val="auto"/>
                <w:sz w:val="24"/>
                <w:szCs w:val="24"/>
                <w:highlight w:val="none"/>
              </w:rPr>
              <w:t xml:space="preserve">90日（从提交投标文件截止之日起算）</w:t>
            </w: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投标文件份数</w:t>
            </w:r>
            <w:r/>
          </w:p>
        </w:tc>
        <w:tc>
          <w:tcPr>
            <w:tcBorders>
              <w:top w:val="single" w:color="000000" w:sz="4" w:space="0"/>
              <w:left w:val="none" w:color="000000" w:sz="4" w:space="0"/>
              <w:bottom w:val="single" w:color="000000" w:sz="4" w:space="0"/>
              <w:right w:val="single" w:color="000000" w:sz="4" w:space="0"/>
            </w:tcBorders>
            <w:tcW w:w="6946"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提交加密电子投标文件</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份。</w:t>
            </w: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c>
          <w:tcPr>
            <w:tcBorders>
              <w:top w:val="single" w:color="000000" w:sz="4" w:space="0"/>
              <w:left w:val="none" w:color="000000" w:sz="4" w:space="0"/>
              <w:bottom w:val="single" w:color="000000" w:sz="4" w:space="0"/>
              <w:right w:val="single" w:color="000000" w:sz="4" w:space="0"/>
            </w:tcBorders>
            <w:tcW w:w="6946"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“苏采云”政府采购交易系统网上开标大厅进行不见面开标。</w:t>
            </w:r>
            <w:r/>
          </w:p>
        </w:tc>
      </w:tr>
      <w:tr>
        <w:trPr>
          <w:trHeight w:val="2216"/>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c>
          <w:tcPr>
            <w:tcBorders>
              <w:top w:val="single" w:color="000000" w:sz="4" w:space="0"/>
              <w:left w:val="none" w:color="000000" w:sz="4" w:space="0"/>
              <w:bottom w:val="single" w:color="000000" w:sz="4" w:space="0"/>
              <w:right w:val="single" w:color="000000" w:sz="4" w:space="0"/>
            </w:tcBorders>
            <w:tcW w:w="6946"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种方式确定：</w:t>
            </w:r>
            <w:r/>
          </w:p>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1.接受进口产品。应当符合《政府采购进口产品管理办法》（财库〔2007〕119号）、《关于政府采购进口产品管理有关问题的通知》（财办库〔2008〕248号）等相关规定；</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2.不接受进口产品。</w:t>
            </w: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Borders>
              <w:top w:val="single" w:color="000000" w:sz="4" w:space="0"/>
              <w:left w:val="none" w:color="000000" w:sz="4" w:space="0"/>
              <w:bottom w:val="single" w:color="000000" w:sz="4" w:space="0"/>
              <w:right w:val="single" w:color="000000" w:sz="4" w:space="0"/>
            </w:tcBorders>
            <w:tcW w:w="6946"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具体评标办法详见招标文件第五章。</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评标委员会依据招标文件规定的评标办法和标准推荐</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名中标候选人。</w:t>
            </w: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确定中标人</w:t>
            </w:r>
            <w:r/>
          </w:p>
        </w:tc>
        <w:tc>
          <w:tcPr>
            <w:tcBorders>
              <w:top w:val="single" w:color="000000" w:sz="4" w:space="0"/>
              <w:left w:val="none" w:color="000000" w:sz="4" w:space="0"/>
              <w:bottom w:val="single" w:color="000000" w:sz="4" w:space="0"/>
              <w:right w:val="single" w:color="000000" w:sz="4" w:space="0"/>
            </w:tcBorders>
            <w:tcW w:w="6946" w:type="dxa"/>
            <w:vAlign w:val="center"/>
            <w:textDirection w:val="lrTb"/>
            <w:noWrap w:val="false"/>
          </w:tcPr>
          <w:p>
            <w:pPr>
              <w:jc w:val="left"/>
              <w:spacing w:line="4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按以下第（1</w:t>
            </w:r>
            <w:r>
              <w:rPr>
                <w:rFonts w:hint="eastAsia" w:ascii="宋体" w:hAnsi="宋体" w:eastAsia="宋体" w:cs="宋体"/>
                <w:color w:val="auto"/>
                <w:sz w:val="24"/>
                <w:szCs w:val="24"/>
                <w:highlight w:val="none"/>
                <w:lang w:val="zh-CN"/>
              </w:rPr>
              <w:t xml:space="preserve">）种方式确定中标人</w:t>
            </w:r>
            <w:r/>
          </w:p>
          <w:p>
            <w:pPr>
              <w:jc w:val="left"/>
              <w:spacing w:line="4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（1）评委会直接确定排名第一的中标候选人为中标人；</w:t>
            </w:r>
            <w:r/>
          </w:p>
          <w:p>
            <w:pPr>
              <w:jc w:val="left"/>
              <w:spacing w:line="4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（2）采购人在评委会推荐的中标候选人中按顺序确定中标人。</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按第</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种方式确定中标人的，</w:t>
            </w:r>
            <w:r>
              <w:rPr>
                <w:rFonts w:hint="eastAsia" w:ascii="宋体" w:hAnsi="宋体" w:eastAsia="宋体" w:cs="宋体"/>
                <w:color w:val="auto"/>
                <w:sz w:val="24"/>
                <w:szCs w:val="24"/>
                <w:highlight w:val="none"/>
              </w:rPr>
              <w:t xml:space="preserve">采购代理机构</w:t>
            </w:r>
            <w:r>
              <w:rPr>
                <w:rFonts w:hint="eastAsia" w:ascii="宋体" w:hAnsi="宋体" w:eastAsia="宋体" w:cs="宋体"/>
                <w:color w:val="auto"/>
                <w:sz w:val="24"/>
                <w:szCs w:val="24"/>
                <w:highlight w:val="none"/>
                <w:lang w:val="zh-CN"/>
              </w:rPr>
              <w:t xml:space="preserve">自评审结束之日起两个工作日内将评审报告送交采购人，采购人自收到评审报告之日起五个工作日内在评审报告推荐的中标候选人中按顺序确定中标人。</w:t>
            </w: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w:t>
            </w:r>
            <w:r/>
          </w:p>
        </w:tc>
        <w:tc>
          <w:tcPr>
            <w:tcBorders>
              <w:top w:val="single" w:color="000000" w:sz="4" w:space="0"/>
              <w:left w:val="none" w:color="000000" w:sz="4" w:space="0"/>
              <w:bottom w:val="single" w:color="000000" w:sz="4" w:space="0"/>
              <w:right w:val="single" w:color="000000" w:sz="4" w:space="0"/>
            </w:tcBorders>
            <w:tcW w:w="6946"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66" w:name="EBebac1462c5d9459fbda8a75065c2455d"/>
            <w:r>
              <w:rPr>
                <w:rFonts w:hint="eastAsia" w:ascii="宋体" w:hAnsi="宋体" w:eastAsia="宋体" w:cs="宋体"/>
                <w:color w:val="auto"/>
                <w:sz w:val="24"/>
                <w:szCs w:val="24"/>
                <w:highlight w:val="none"/>
              </w:rPr>
              <w:t xml:space="preserve">本项目的非主体、非关键性工作是否允许分包</w:t>
            </w:r>
            <w:bookmarkEnd w:id="66"/>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种方式确定：</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w:t>
            </w:r>
            <w:bookmarkStart w:id="67" w:name="EB512ba06683724173802e2aae54a26079"/>
            <w:r>
              <w:rPr>
                <w:rFonts w:hint="eastAsia" w:ascii="宋体" w:hAnsi="宋体" w:eastAsia="宋体" w:cs="宋体"/>
                <w:color w:val="auto"/>
                <w:sz w:val="24"/>
                <w:szCs w:val="24"/>
                <w:highlight w:val="none"/>
              </w:rPr>
              <w:t xml:space="preserve">允许大中型企业向一家或者多家小微企业分包，分包具体内容、金额或比例：</w:t>
            </w:r>
            <w:bookmarkEnd w:id="67"/>
            <w:r>
              <w:rPr>
                <w:rFonts w:hint="eastAsia" w:ascii="宋体" w:hAnsi="宋体" w:eastAsia="宋体" w:cs="宋体"/>
                <w:color w:val="auto"/>
                <w:sz w:val="24"/>
                <w:szCs w:val="24"/>
                <w:highlight w:val="none"/>
              </w:rPr>
              <w:t xml:space="preserve">无</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w:t>
            </w: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bookmarkEnd w:id="59"/>
            <w:r/>
            <w:bookmarkEnd w:id="60"/>
            <w:r/>
            <w:bookmarkEnd w:id="61"/>
            <w:r/>
            <w:r/>
          </w:p>
        </w:tc>
        <w:tc>
          <w:tcPr>
            <w:tcBorders>
              <w:top w:val="single" w:color="000000" w:sz="4" w:space="0"/>
              <w:left w:val="none" w:color="000000" w:sz="4" w:space="0"/>
              <w:bottom w:val="single" w:color="000000" w:sz="4" w:space="0"/>
              <w:right w:val="single" w:color="000000" w:sz="4" w:space="0"/>
            </w:tcBorders>
            <w:tcW w:w="6946"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信用信息查询截止时间及</w:t>
            </w:r>
            <w:r>
              <w:rPr>
                <w:rFonts w:hint="eastAsia" w:ascii="宋体" w:hAnsi="宋体" w:eastAsia="宋体" w:cs="宋体"/>
                <w:color w:val="auto"/>
                <w:sz w:val="24"/>
                <w:szCs w:val="24"/>
                <w:highlight w:val="none"/>
              </w:rPr>
              <w:t xml:space="preserve">证据留存的方式：</w:t>
            </w:r>
            <w:r>
              <w:rPr>
                <w:rFonts w:hint="eastAsia" w:ascii="宋体" w:hAnsi="宋体" w:eastAsia="宋体" w:cs="宋体"/>
                <w:color w:val="auto"/>
                <w:sz w:val="24"/>
                <w:szCs w:val="24"/>
                <w:highlight w:val="none"/>
              </w:rPr>
              <w:t xml:space="preserve">资格审查结束前。</w:t>
            </w:r>
            <w:r>
              <w:rPr>
                <w:rFonts w:hint="eastAsia" w:ascii="宋体" w:hAnsi="宋体" w:eastAsia="宋体" w:cs="宋体"/>
                <w:color w:val="auto"/>
                <w:sz w:val="24"/>
                <w:szCs w:val="24"/>
                <w:highlight w:val="none"/>
              </w:rPr>
              <w:t xml:space="preserve">由采购人在资格审查现场查询信用信息，网页截屏打印，</w:t>
            </w:r>
            <w:r>
              <w:rPr>
                <w:rFonts w:hint="eastAsia" w:ascii="宋体" w:hAnsi="宋体" w:eastAsia="宋体" w:cs="宋体"/>
                <w:color w:val="auto"/>
                <w:sz w:val="24"/>
                <w:szCs w:val="24"/>
                <w:highlight w:val="none"/>
              </w:rPr>
              <w:t xml:space="preserve">查询结果留存并归档。</w:t>
            </w:r>
            <w:r>
              <w:rPr>
                <w:rFonts w:hint="eastAsia" w:ascii="宋体" w:hAnsi="宋体" w:eastAsia="宋体" w:cs="宋体"/>
                <w:color w:val="auto"/>
                <w:sz w:val="24"/>
                <w:szCs w:val="24"/>
                <w:highlight w:val="none"/>
              </w:rPr>
              <w:t xml:space="preserve">网页截屏应当留有（或注明）查询时点的网页地址和网络时间标记。</w:t>
            </w:r>
            <w:r/>
          </w:p>
        </w:tc>
      </w:tr>
    </w:tbl>
    <w:p>
      <w:pPr>
        <w:pStyle w:val="1140"/>
        <w:ind w:firstLine="498"/>
        <w:spacing w:before="0" w:after="0" w:line="5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一、总则</w:t>
      </w:r>
      <w:bookmarkEnd w:id="55"/>
      <w:r/>
      <w:bookmarkEnd w:id="56"/>
      <w:r/>
      <w:bookmarkEnd w:id="57"/>
      <w:r/>
      <w:bookmarkEnd w:id="58"/>
      <w:r/>
      <w:r/>
    </w:p>
    <w:p>
      <w:pPr>
        <w:pStyle w:val="1142"/>
        <w:ind w:firstLine="420"/>
        <w:spacing w:before="0" w:after="0" w:line="560" w:lineRule="exact"/>
        <w:rPr>
          <w:rFonts w:hint="eastAsia" w:ascii="宋体" w:hAnsi="宋体" w:eastAsia="宋体" w:cs="宋体"/>
          <w:b/>
          <w:bCs/>
          <w:color w:val="auto"/>
          <w:highlight w:val="none"/>
        </w:rPr>
      </w:pPr>
      <w:r/>
      <w:bookmarkStart w:id="68" w:name="_Hlt16619475"/>
      <w:r/>
      <w:bookmarkEnd w:id="68"/>
      <w:r/>
      <w:bookmarkStart w:id="69" w:name="_Toc458694821"/>
      <w:r/>
      <w:bookmarkStart w:id="70" w:name="_Toc513029204"/>
      <w:r/>
      <w:bookmarkStart w:id="71" w:name="_Toc20823276"/>
      <w:r/>
      <w:bookmarkStart w:id="72" w:name="_Toc16938520"/>
      <w:r>
        <w:rPr>
          <w:rFonts w:hint="eastAsia" w:ascii="宋体" w:hAnsi="宋体" w:eastAsia="宋体" w:cs="宋体"/>
          <w:b/>
          <w:bCs/>
          <w:color w:val="auto"/>
          <w:highlight w:val="none"/>
        </w:rPr>
        <w:t xml:space="preserve">1</w:t>
      </w:r>
      <w:bookmarkEnd w:id="69"/>
      <w:r>
        <w:rPr>
          <w:rFonts w:hint="eastAsia" w:ascii="宋体" w:hAnsi="宋体" w:eastAsia="宋体" w:cs="宋体"/>
          <w:b/>
          <w:bCs/>
          <w:color w:val="auto"/>
          <w:highlight w:val="none"/>
        </w:rPr>
        <w:t xml:space="preserve">、招标方式</w:t>
      </w:r>
      <w:bookmarkEnd w:id="70"/>
      <w:r/>
      <w:bookmarkEnd w:id="71"/>
      <w:r/>
      <w:bookmarkEnd w:id="72"/>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本次招标采取公开招标方式，本招标文件仅适用于招标公告中所述项目。</w:t>
      </w:r>
      <w:r/>
    </w:p>
    <w:p>
      <w:pPr>
        <w:pStyle w:val="1142"/>
        <w:ind w:firstLine="420"/>
        <w:spacing w:before="0" w:after="0" w:line="560" w:lineRule="exact"/>
        <w:rPr>
          <w:rFonts w:hint="eastAsia" w:ascii="宋体" w:hAnsi="宋体" w:eastAsia="宋体" w:cs="宋体"/>
          <w:b/>
          <w:bCs/>
          <w:color w:val="auto"/>
          <w:highlight w:val="none"/>
        </w:rPr>
      </w:pPr>
      <w:r/>
      <w:bookmarkStart w:id="73" w:name="_Toc20823277"/>
      <w:r/>
      <w:bookmarkStart w:id="74" w:name="_Toc513029205"/>
      <w:r/>
      <w:bookmarkStart w:id="75" w:name="_Toc16938521"/>
      <w:r>
        <w:rPr>
          <w:rFonts w:hint="eastAsia" w:ascii="宋体" w:hAnsi="宋体" w:eastAsia="宋体" w:cs="宋体"/>
          <w:b/>
          <w:bCs/>
          <w:color w:val="auto"/>
          <w:highlight w:val="none"/>
        </w:rPr>
        <w:t xml:space="preserve">2、合格的投标人</w:t>
      </w:r>
      <w:bookmarkEnd w:id="73"/>
      <w:r/>
      <w:bookmarkEnd w:id="74"/>
      <w:r/>
      <w:bookmarkEnd w:id="75"/>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w:t>
      </w:r>
      <w:r>
        <w:rPr>
          <w:rFonts w:hint="eastAsia" w:ascii="宋体" w:hAnsi="宋体" w:eastAsia="宋体" w:cs="宋体"/>
          <w:color w:val="auto"/>
          <w:sz w:val="24"/>
          <w:highlight w:val="none"/>
        </w:rPr>
        <w:t xml:space="preserve">合格的投标人必须符合招标文件第一章《投标邀请》第二条及投标人须知前附表相关规定，且具备完成本项目的能力，中标后不允许转包。</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满足本文件实质性要求和条件的规定。</w:t>
      </w:r>
      <w:r/>
    </w:p>
    <w:p>
      <w:pPr>
        <w:pStyle w:val="1142"/>
        <w:ind w:firstLine="420"/>
        <w:spacing w:before="0" w:after="0" w:line="560" w:lineRule="exact"/>
        <w:rPr>
          <w:rFonts w:hint="eastAsia" w:ascii="宋体" w:hAnsi="宋体" w:eastAsia="宋体" w:cs="宋体"/>
          <w:b/>
          <w:bCs/>
          <w:color w:val="auto"/>
          <w:highlight w:val="none"/>
        </w:rPr>
      </w:pPr>
      <w:r/>
      <w:bookmarkStart w:id="76" w:name="_Toc16938522"/>
      <w:r/>
      <w:bookmarkStart w:id="77" w:name="_Toc513029206"/>
      <w:r/>
      <w:bookmarkStart w:id="78" w:name="_Toc20823278"/>
      <w:r>
        <w:rPr>
          <w:rFonts w:hint="eastAsia" w:ascii="宋体" w:hAnsi="宋体" w:eastAsia="宋体" w:cs="宋体"/>
          <w:b/>
          <w:bCs/>
          <w:color w:val="auto"/>
          <w:highlight w:val="none"/>
        </w:rPr>
        <w:t xml:space="preserve">3、适用法律</w:t>
      </w:r>
      <w:bookmarkEnd w:id="76"/>
      <w:r/>
      <w:bookmarkEnd w:id="77"/>
      <w:r/>
      <w:bookmarkEnd w:id="78"/>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本次招标及由此产生的合同受中华人民共和国有关的法律法规制约和保护。</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3.2在本项目政府采购活动过程中，如果所执行的标准有更新的，按照最新标准执行。</w:t>
      </w:r>
      <w:r/>
    </w:p>
    <w:p>
      <w:pPr>
        <w:pStyle w:val="1142"/>
        <w:ind w:firstLine="420"/>
        <w:spacing w:before="0" w:after="0" w:line="560" w:lineRule="exact"/>
        <w:rPr>
          <w:rFonts w:hint="eastAsia" w:ascii="宋体" w:hAnsi="宋体" w:eastAsia="宋体" w:cs="宋体"/>
          <w:b/>
          <w:bCs/>
          <w:color w:val="auto"/>
          <w:highlight w:val="none"/>
        </w:rPr>
      </w:pPr>
      <w:r/>
      <w:bookmarkStart w:id="79" w:name="_Toc16938523"/>
      <w:r/>
      <w:bookmarkStart w:id="80" w:name="_Toc462564067"/>
      <w:r/>
      <w:bookmarkStart w:id="81" w:name="_Toc20823279"/>
      <w:r/>
      <w:bookmarkStart w:id="82" w:name="_Toc513029207"/>
      <w:r>
        <w:rPr>
          <w:rFonts w:hint="eastAsia" w:ascii="宋体" w:hAnsi="宋体" w:eastAsia="宋体" w:cs="宋体"/>
          <w:b/>
          <w:bCs/>
          <w:color w:val="auto"/>
          <w:highlight w:val="none"/>
        </w:rPr>
        <w:t xml:space="preserve">4、投标费用</w:t>
      </w:r>
      <w:bookmarkEnd w:id="79"/>
      <w:r/>
      <w:bookmarkEnd w:id="80"/>
      <w:r/>
      <w:bookmarkEnd w:id="81"/>
      <w:r/>
      <w:bookmarkEnd w:id="82"/>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投标人应自行承担所有与参加投标有关的费用，无论投标过程中的做法和结果如何，</w:t>
      </w:r>
      <w:r>
        <w:rPr>
          <w:rFonts w:hint="eastAsia" w:ascii="宋体" w:hAnsi="宋体" w:eastAsia="宋体" w:cs="宋体"/>
          <w:color w:val="auto"/>
          <w:sz w:val="24"/>
          <w:highlight w:val="none"/>
          <w:u w:val="single"/>
        </w:rPr>
        <w:t xml:space="preserve">宿迁市禾盛咨询有限公司</w:t>
      </w:r>
      <w:r>
        <w:rPr>
          <w:rFonts w:hint="eastAsia" w:ascii="宋体" w:hAnsi="宋体" w:eastAsia="宋体" w:cs="宋体"/>
          <w:color w:val="auto"/>
          <w:sz w:val="24"/>
          <w:highlight w:val="none"/>
        </w:rPr>
        <w:t xml:space="preserve">（以下简称采购代理机构）在任何情况下均无义务和责任承担这些费用。</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4.2代理费用收取方式及标准：按以下第</w:t>
      </w:r>
      <w:r>
        <w:rPr>
          <w:rFonts w:hint="eastAsia" w:ascii="宋体" w:hAnsi="宋体" w:eastAsia="宋体" w:cs="宋体"/>
          <w:color w:val="auto"/>
          <w:sz w:val="24"/>
          <w:highlight w:val="none"/>
          <w:u w:val="single"/>
        </w:rPr>
        <w:t xml:space="preserve">4.2.2</w:t>
      </w:r>
      <w:r>
        <w:rPr>
          <w:rFonts w:hint="eastAsia" w:ascii="宋体" w:hAnsi="宋体" w:eastAsia="宋体" w:cs="宋体"/>
          <w:color w:val="auto"/>
          <w:sz w:val="24"/>
          <w:highlight w:val="none"/>
        </w:rPr>
        <w:t xml:space="preserve"> 种方式执行</w:t>
      </w:r>
      <w:r/>
    </w:p>
    <w:p>
      <w:pPr>
        <w:ind w:firstLine="480"/>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4.2.1无需支付；</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4.2.2支付具体方式及标准为：</w:t>
      </w:r>
      <w:r>
        <w:rPr>
          <w:rFonts w:hint="eastAsia" w:ascii="宋体" w:hAnsi="宋体" w:eastAsia="宋体" w:cs="宋体"/>
          <w:color w:val="auto"/>
          <w:sz w:val="24"/>
          <w:highlight w:val="none"/>
          <w:u w:val="single"/>
        </w:rPr>
        <w:t xml:space="preserve">本项目代理服务费按</w:t>
      </w:r>
      <w:r>
        <w:rPr>
          <w:rFonts w:hint="eastAsia" w:ascii="宋体" w:hAnsi="宋体" w:eastAsia="宋体" w:cs="宋体"/>
          <w:color w:val="auto"/>
          <w:sz w:val="24"/>
          <w:highlight w:val="none"/>
          <w:u w:val="single"/>
          <w:lang w:val="zh-CN"/>
        </w:rPr>
        <w:t xml:space="preserve">国家发展计划委员会计价格（2002）1980号文件规定的收费标准的100%收取；支付方式可以通过转账或数字人民币等方式。</w:t>
      </w:r>
      <w:r/>
    </w:p>
    <w:p>
      <w:pPr>
        <w:pStyle w:val="1142"/>
        <w:ind w:firstLine="602"/>
        <w:spacing w:before="0" w:after="0" w:line="560" w:lineRule="exact"/>
        <w:rPr>
          <w:rFonts w:hint="eastAsia" w:ascii="宋体" w:hAnsi="宋体" w:eastAsia="宋体" w:cs="宋体"/>
          <w:b/>
          <w:bCs/>
          <w:color w:val="auto"/>
          <w:highlight w:val="none"/>
        </w:rPr>
      </w:pPr>
      <w:r>
        <w:rPr>
          <w:rFonts w:hint="eastAsia" w:ascii="宋体" w:hAnsi="宋体" w:eastAsia="宋体" w:cs="宋体"/>
          <w:b/>
          <w:bCs/>
          <w:color w:val="auto"/>
          <w:sz w:val="30"/>
          <w:highlight w:val="none"/>
        </w:rPr>
        <w:t xml:space="preserve">5、</w:t>
      </w:r>
      <w:r>
        <w:rPr>
          <w:rFonts w:hint="eastAsia" w:ascii="宋体" w:hAnsi="宋体" w:eastAsia="宋体" w:cs="宋体"/>
          <w:b/>
          <w:bCs/>
          <w:color w:val="auto"/>
          <w:highlight w:val="none"/>
        </w:rPr>
        <w:t xml:space="preserve">招标文件的约束力</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投标人一旦参加本项目采购活动，即被认为接受了本招标文件的规定和约束。</w:t>
      </w:r>
      <w:r/>
    </w:p>
    <w:p>
      <w:pPr>
        <w:pStyle w:val="1140"/>
        <w:ind w:firstLine="321"/>
        <w:spacing w:before="0" w:after="0" w:line="560" w:lineRule="exact"/>
        <w:rPr>
          <w:rFonts w:hint="eastAsia" w:ascii="宋体" w:hAnsi="宋体" w:eastAsia="宋体" w:cs="宋体"/>
          <w:color w:val="auto"/>
          <w:highlight w:val="none"/>
        </w:rPr>
      </w:pPr>
      <w:r/>
      <w:bookmarkStart w:id="83" w:name="_Toc16938525"/>
      <w:r/>
      <w:bookmarkStart w:id="84" w:name="_Toc120614215"/>
      <w:r/>
      <w:bookmarkStart w:id="85" w:name="_Toc20823281"/>
      <w:r/>
      <w:bookmarkStart w:id="86" w:name="_Toc513029209"/>
      <w:r>
        <w:rPr>
          <w:rFonts w:hint="eastAsia" w:ascii="宋体" w:hAnsi="宋体" w:eastAsia="宋体" w:cs="宋体"/>
          <w:color w:val="auto"/>
          <w:highlight w:val="none"/>
        </w:rPr>
        <w:t xml:space="preserve">二、招标文件</w:t>
      </w:r>
      <w:bookmarkEnd w:id="83"/>
      <w:r/>
      <w:bookmarkEnd w:id="84"/>
      <w:r/>
      <w:bookmarkEnd w:id="85"/>
      <w:r/>
      <w:bookmarkEnd w:id="86"/>
      <w:r/>
      <w:r/>
    </w:p>
    <w:p>
      <w:pPr>
        <w:pStyle w:val="1142"/>
        <w:ind w:firstLine="420"/>
        <w:spacing w:before="0" w:after="0" w:line="560" w:lineRule="exact"/>
        <w:rPr>
          <w:rFonts w:hint="eastAsia" w:ascii="宋体" w:hAnsi="宋体" w:eastAsia="宋体" w:cs="宋体"/>
          <w:b/>
          <w:bCs/>
          <w:color w:val="auto"/>
          <w:highlight w:val="none"/>
        </w:rPr>
      </w:pPr>
      <w:r/>
      <w:bookmarkStart w:id="87" w:name="_Toc16938526"/>
      <w:r/>
      <w:bookmarkStart w:id="88" w:name="_Toc20823282"/>
      <w:r/>
      <w:bookmarkStart w:id="89" w:name="_Toc513029210"/>
      <w:r>
        <w:rPr>
          <w:rFonts w:hint="eastAsia" w:ascii="宋体" w:hAnsi="宋体" w:eastAsia="宋体" w:cs="宋体"/>
          <w:b/>
          <w:bCs/>
          <w:color w:val="auto"/>
          <w:highlight w:val="none"/>
        </w:rPr>
        <w:t xml:space="preserve">6、招标文件构成</w:t>
      </w:r>
      <w:bookmarkEnd w:id="87"/>
      <w:r/>
      <w:bookmarkEnd w:id="88"/>
      <w:r/>
      <w:bookmarkEnd w:id="89"/>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6.1</w:t>
      </w:r>
      <w:r>
        <w:rPr>
          <w:rFonts w:hint="eastAsia" w:ascii="宋体" w:hAnsi="宋体" w:eastAsia="宋体" w:cs="宋体"/>
          <w:color w:val="auto"/>
          <w:sz w:val="24"/>
          <w:highlight w:val="none"/>
        </w:rPr>
        <w:t xml:space="preserve"> 招标文件由以下部分组成：</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w:t>
      </w:r>
      <w:r>
        <w:rPr>
          <w:rFonts w:hint="eastAsia" w:ascii="宋体" w:hAnsi="宋体" w:eastAsia="宋体" w:cs="宋体"/>
          <w:color w:val="auto"/>
          <w:sz w:val="24"/>
          <w:szCs w:val="24"/>
          <w:highlight w:val="none"/>
        </w:rPr>
        <w:t xml:space="preserve">邀请</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请仔细检查招标文件是否齐全，如有缺漏请立即与采购代理机构联系解决。</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6.2</w:t>
      </w:r>
      <w:r>
        <w:rPr>
          <w:rFonts w:hint="eastAsia" w:ascii="宋体" w:hAnsi="宋体" w:eastAsia="宋体" w:cs="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42"/>
        <w:ind w:firstLine="562"/>
        <w:spacing w:before="0" w:after="0" w:line="560" w:lineRule="exact"/>
        <w:rPr>
          <w:rFonts w:hint="eastAsia" w:ascii="宋体" w:hAnsi="宋体" w:eastAsia="宋体" w:cs="宋体"/>
          <w:b/>
          <w:bCs/>
          <w:color w:val="auto"/>
          <w:highlight w:val="none"/>
        </w:rPr>
      </w:pPr>
      <w:r/>
      <w:bookmarkStart w:id="90" w:name="_Toc513029211"/>
      <w:r/>
      <w:bookmarkStart w:id="91" w:name="_Toc462564070"/>
      <w:r/>
      <w:bookmarkStart w:id="92" w:name="_Toc20823283"/>
      <w:r/>
      <w:bookmarkStart w:id="93" w:name="_Toc16938527"/>
      <w:r>
        <w:rPr>
          <w:rFonts w:hint="eastAsia" w:ascii="宋体" w:hAnsi="宋体" w:eastAsia="宋体" w:cs="宋体"/>
          <w:b/>
          <w:bCs/>
          <w:color w:val="auto"/>
          <w:highlight w:val="none"/>
        </w:rPr>
        <w:t xml:space="preserve">7、招标文件的澄清</w:t>
      </w:r>
      <w:bookmarkEnd w:id="90"/>
      <w:r/>
      <w:bookmarkEnd w:id="91"/>
      <w:r/>
      <w:bookmarkEnd w:id="92"/>
      <w:r/>
      <w:bookmarkEnd w:id="93"/>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7.1</w:t>
      </w:r>
      <w:r>
        <w:rPr>
          <w:rFonts w:hint="eastAsia" w:ascii="宋体" w:hAnsi="宋体" w:eastAsia="宋体" w:cs="宋体"/>
          <w:color w:val="auto"/>
          <w:sz w:val="24"/>
          <w:highlight w:val="none"/>
        </w:rPr>
        <w:t xml:space="preserve"> 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w:t>
      </w:r>
      <w:r>
        <w:rPr>
          <w:rFonts w:hint="eastAsia" w:ascii="宋体" w:hAnsi="宋体" w:eastAsia="宋体" w:cs="宋体"/>
          <w:color w:val="auto"/>
          <w:sz w:val="24"/>
          <w:highlight w:val="none"/>
        </w:rPr>
        <w:t xml:space="preserve">按招标公告中的通讯地址，以书面形式通知采购代理机构。</w:t>
      </w:r>
      <w:r/>
    </w:p>
    <w:p>
      <w:pPr>
        <w:pStyle w:val="1142"/>
        <w:ind w:firstLine="560"/>
        <w:spacing w:before="0" w:after="0" w:line="560" w:lineRule="exact"/>
        <w:rPr>
          <w:rFonts w:hint="eastAsia" w:ascii="宋体" w:hAnsi="宋体" w:eastAsia="宋体" w:cs="宋体"/>
          <w:b/>
          <w:bCs/>
          <w:color w:val="auto"/>
          <w:highlight w:val="none"/>
        </w:rPr>
      </w:pPr>
      <w:r/>
      <w:bookmarkStart w:id="94" w:name="_Toc16938528"/>
      <w:r/>
      <w:bookmarkStart w:id="95" w:name="_Toc513029212"/>
      <w:r/>
      <w:bookmarkStart w:id="96" w:name="_Toc20823284"/>
      <w:r/>
      <w:bookmarkStart w:id="97" w:name="_Toc462564071"/>
      <w:r>
        <w:rPr>
          <w:rFonts w:hint="eastAsia" w:ascii="宋体" w:hAnsi="宋体" w:eastAsia="宋体" w:cs="宋体"/>
          <w:b/>
          <w:bCs/>
          <w:color w:val="auto"/>
          <w:highlight w:val="none"/>
        </w:rPr>
        <w:t xml:space="preserve">8、招标文件的修改</w:t>
      </w:r>
      <w:bookmarkEnd w:id="94"/>
      <w:r/>
      <w:bookmarkEnd w:id="95"/>
      <w:r/>
      <w:bookmarkEnd w:id="96"/>
      <w:r/>
      <w:bookmarkEnd w:id="97"/>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8.2 在投标截止时间前，采购代理机构可以对招标文件进行修改。</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8.3 采购代理机构有权按照法定的要求推迟投标截止日期和开标日期。</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8.4招标文件的修改将在原公告媒体上发布更正公告，补充文件将作为招标文件的组成部分，并对投标人具有约束力，发布的更正公告视同为以书面形式通知所有获取招标文件的潜在投标人。</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8.5投标人应及时登录“苏采云”系统获取澄清答疑文件（修改后招标文件），如因投标人原因未能及时下载澄清和修改后的招标文件，由此造成的相关责任，由投标人承担。 </w:t>
      </w:r>
      <w:r/>
    </w:p>
    <w:p>
      <w:pPr>
        <w:pStyle w:val="1140"/>
        <w:ind w:firstLine="482"/>
        <w:spacing w:before="0" w:after="0" w:line="560" w:lineRule="exact"/>
        <w:rPr>
          <w:rFonts w:hint="eastAsia" w:ascii="宋体" w:hAnsi="宋体" w:eastAsia="宋体" w:cs="宋体"/>
          <w:color w:val="auto"/>
          <w:highlight w:val="none"/>
        </w:rPr>
      </w:pPr>
      <w:r/>
      <w:bookmarkStart w:id="98" w:name="_Toc16938529"/>
      <w:r/>
      <w:bookmarkStart w:id="99" w:name="_Toc120614216"/>
      <w:r/>
      <w:bookmarkStart w:id="100" w:name="_Toc462564072"/>
      <w:r/>
      <w:bookmarkStart w:id="101" w:name="_Toc513029213"/>
      <w:r/>
      <w:bookmarkStart w:id="102" w:name="_Toc20823285"/>
      <w:r>
        <w:rPr>
          <w:rFonts w:hint="eastAsia" w:ascii="宋体" w:hAnsi="宋体" w:eastAsia="宋体" w:cs="宋体"/>
          <w:color w:val="auto"/>
          <w:highlight w:val="none"/>
        </w:rPr>
        <w:t xml:space="preserve">三、投标文件的编制</w:t>
      </w:r>
      <w:bookmarkEnd w:id="98"/>
      <w:r/>
      <w:bookmarkEnd w:id="99"/>
      <w:r/>
      <w:bookmarkEnd w:id="100"/>
      <w:r/>
      <w:bookmarkEnd w:id="101"/>
      <w:r/>
      <w:bookmarkEnd w:id="102"/>
      <w:r/>
      <w:r/>
    </w:p>
    <w:p>
      <w:pPr>
        <w:pStyle w:val="1142"/>
        <w:ind w:firstLine="281"/>
        <w:spacing w:before="0" w:after="0" w:line="560" w:lineRule="exact"/>
        <w:rPr>
          <w:rFonts w:hint="eastAsia" w:ascii="宋体" w:hAnsi="宋体" w:eastAsia="宋体" w:cs="宋体"/>
          <w:bCs w:val="0"/>
          <w:color w:val="auto"/>
          <w:highlight w:val="none"/>
        </w:rPr>
      </w:pPr>
      <w:r/>
      <w:bookmarkStart w:id="103" w:name="_Toc513029214"/>
      <w:r/>
      <w:bookmarkStart w:id="104" w:name="_Toc16938530"/>
      <w:r/>
      <w:bookmarkStart w:id="105" w:name="_Toc20823286"/>
      <w:r/>
      <w:bookmarkStart w:id="106" w:name="_Toc462564073"/>
      <w:r>
        <w:rPr>
          <w:rFonts w:hint="eastAsia" w:ascii="宋体" w:hAnsi="宋体" w:eastAsia="宋体" w:cs="宋体"/>
          <w:b/>
          <w:bCs/>
          <w:color w:val="auto"/>
          <w:highlight w:val="none"/>
        </w:rPr>
        <w:t xml:space="preserve">9、投标文件的语言及度量衡单位</w:t>
      </w:r>
      <w:bookmarkEnd w:id="103"/>
      <w:r/>
      <w:bookmarkEnd w:id="104"/>
      <w:r/>
      <w:bookmarkEnd w:id="105"/>
      <w:r/>
      <w:bookmarkEnd w:id="106"/>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9.1</w:t>
      </w:r>
      <w:r>
        <w:rPr>
          <w:rFonts w:hint="eastAsia" w:ascii="宋体" w:hAnsi="宋体" w:eastAsia="宋体" w:cs="宋体"/>
          <w:color w:val="auto"/>
          <w:sz w:val="24"/>
          <w:highlight w:val="none"/>
        </w:rPr>
        <w:t xml:space="preserve"> 投标人提交的投标文件以及投标人与采购代理机构就有关投标的所有来往通知、函件和文件均应使用</w:t>
      </w:r>
      <w:r>
        <w:rPr>
          <w:rFonts w:hint="eastAsia" w:ascii="宋体" w:hAnsi="宋体" w:eastAsia="宋体" w:cs="宋体"/>
          <w:b/>
          <w:bCs/>
          <w:color w:val="auto"/>
          <w:sz w:val="24"/>
          <w:highlight w:val="none"/>
        </w:rPr>
        <w:t xml:space="preserve">简体中文</w:t>
      </w:r>
      <w:r>
        <w:rPr>
          <w:rFonts w:hint="eastAsia" w:ascii="宋体" w:hAnsi="宋体" w:eastAsia="宋体" w:cs="宋体"/>
          <w:color w:val="auto"/>
          <w:sz w:val="24"/>
          <w:highlight w:val="none"/>
        </w:rPr>
        <w:t xml:space="preserve">。</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9.2</w:t>
      </w:r>
      <w:r>
        <w:rPr>
          <w:rFonts w:hint="eastAsia" w:ascii="宋体" w:hAnsi="宋体" w:eastAsia="宋体" w:cs="宋体"/>
          <w:color w:val="auto"/>
          <w:sz w:val="24"/>
          <w:highlight w:val="none"/>
        </w:rPr>
        <w:t xml:space="preserve"> 除技术性能另有规定外，投标文件所使用的度量衡单位，均须采用国家法定计量单位。</w:t>
      </w:r>
      <w:r/>
    </w:p>
    <w:p>
      <w:pPr>
        <w:pStyle w:val="1142"/>
        <w:ind w:firstLine="420"/>
        <w:spacing w:before="0" w:after="0" w:line="560" w:lineRule="exact"/>
        <w:rPr>
          <w:rFonts w:hint="eastAsia" w:ascii="宋体" w:hAnsi="宋体" w:eastAsia="宋体" w:cs="宋体"/>
          <w:b/>
          <w:bCs/>
          <w:color w:val="auto"/>
          <w:highlight w:val="none"/>
        </w:rPr>
      </w:pPr>
      <w:r/>
      <w:bookmarkStart w:id="107" w:name="_Toc20823287"/>
      <w:r/>
      <w:bookmarkStart w:id="108" w:name="_Toc513029215"/>
      <w:r/>
      <w:bookmarkStart w:id="109" w:name="_Toc16938531"/>
      <w:r/>
      <w:bookmarkStart w:id="110" w:name="_Toc462564074"/>
      <w:r>
        <w:rPr>
          <w:rFonts w:hint="eastAsia" w:ascii="宋体" w:hAnsi="宋体" w:eastAsia="宋体" w:cs="宋体"/>
          <w:b/>
          <w:bCs/>
          <w:color w:val="auto"/>
          <w:highlight w:val="none"/>
        </w:rPr>
        <w:t xml:space="preserve">10、投标文件构成</w:t>
      </w:r>
      <w:bookmarkEnd w:id="107"/>
      <w:r/>
      <w:bookmarkEnd w:id="108"/>
      <w:r/>
      <w:bookmarkEnd w:id="109"/>
      <w:r/>
      <w:bookmarkEnd w:id="110"/>
      <w:r/>
      <w:r/>
    </w:p>
    <w:p>
      <w:pPr>
        <w:ind w:firstLine="480"/>
        <w:jc w:val="left"/>
        <w:spacing w:line="56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zh-CN"/>
        </w:rPr>
        <w:t xml:space="preserve">各投标人在编制投标文件时请按照招标文件第六</w:t>
      </w:r>
      <w:r>
        <w:rPr>
          <w:rFonts w:hint="eastAsia" w:ascii="宋体" w:hAnsi="宋体" w:eastAsia="宋体" w:cs="宋体"/>
          <w:bCs/>
          <w:color w:val="auto"/>
          <w:sz w:val="24"/>
          <w:highlight w:val="none"/>
        </w:rPr>
        <w:t xml:space="preserve">章</w:t>
      </w:r>
      <w:r>
        <w:rPr>
          <w:rFonts w:hint="eastAsia" w:ascii="宋体" w:hAnsi="宋体" w:eastAsia="宋体" w:cs="宋体"/>
          <w:bCs/>
          <w:color w:val="auto"/>
          <w:sz w:val="24"/>
          <w:highlight w:val="none"/>
          <w:lang w:val="zh-CN"/>
        </w:rPr>
        <w:t xml:space="preserve">规定的格式进行，混乱的编排导致投标文件被误读或评委会查找不到有效文件是投标人的风险。</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投标人编写的投标文件应包括资格证明文件、符合性证明文件、投标分项报价表、响应及偏离表、其他证明文件、投标函、开标一览表等部分。</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10.5 如标书制作工具中格式和内容与“宿迁市政府采购网”发布的招标文件不一致，请以“宿迁市政府采购网”发布的招标文件为准。</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10.6中标后按相关要求提供与电子投标文件一致的纸质打印投标文件4份。 </w:t>
      </w:r>
      <w:r/>
    </w:p>
    <w:p>
      <w:pPr>
        <w:ind w:firstLine="480"/>
        <w:spacing w:line="560" w:lineRule="exact"/>
        <w:rPr>
          <w:rFonts w:hint="eastAsia" w:ascii="宋体" w:hAnsi="宋体" w:eastAsia="宋体" w:cs="宋体"/>
          <w:bCs/>
          <w:color w:val="auto"/>
          <w:sz w:val="24"/>
          <w:highlight w:val="none"/>
        </w:rPr>
      </w:pPr>
      <w:r/>
      <w:bookmarkStart w:id="111" w:name="EBc50e2bb832bb43068403b10c1cce6141"/>
      <w:r>
        <w:rPr>
          <w:rFonts w:hint="eastAsia" w:ascii="宋体" w:hAnsi="宋体" w:eastAsia="宋体" w:cs="宋体"/>
          <w:bCs/>
          <w:color w:val="auto"/>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11"/>
      <w:r/>
      <w:r/>
    </w:p>
    <w:p>
      <w:pPr>
        <w:pStyle w:val="1142"/>
        <w:ind w:firstLine="420"/>
        <w:spacing w:before="0" w:after="0" w:line="560" w:lineRule="exact"/>
        <w:rPr>
          <w:rFonts w:hint="eastAsia" w:ascii="宋体" w:hAnsi="宋体" w:eastAsia="宋体" w:cs="宋体"/>
          <w:b/>
          <w:bCs/>
          <w:color w:val="auto"/>
          <w:highlight w:val="none"/>
        </w:rPr>
      </w:pPr>
      <w:r/>
      <w:bookmarkStart w:id="112" w:name="_Hlt26670360"/>
      <w:r/>
      <w:bookmarkEnd w:id="112"/>
      <w:r/>
      <w:bookmarkStart w:id="113" w:name="_Hlt26668975"/>
      <w:r/>
      <w:bookmarkEnd w:id="113"/>
      <w:r/>
      <w:bookmarkStart w:id="114" w:name="_Hlt26954838"/>
      <w:r/>
      <w:bookmarkEnd w:id="114"/>
      <w:r/>
      <w:bookmarkStart w:id="115" w:name="_Toc49090507"/>
      <w:r/>
      <w:bookmarkStart w:id="116" w:name="_Toc513029216"/>
      <w:r/>
      <w:bookmarkStart w:id="117" w:name="_Toc14577357"/>
      <w:r/>
      <w:bookmarkStart w:id="118" w:name="_Toc49090509"/>
      <w:r/>
      <w:bookmarkStart w:id="119" w:name="_Toc14577354"/>
      <w:r/>
      <w:bookmarkStart w:id="120" w:name="_Toc513029219"/>
      <w:r>
        <w:rPr>
          <w:rFonts w:hint="eastAsia" w:ascii="宋体" w:hAnsi="宋体" w:eastAsia="宋体" w:cs="宋体"/>
          <w:b/>
          <w:bCs/>
          <w:color w:val="auto"/>
          <w:highlight w:val="none"/>
        </w:rPr>
        <w:t xml:space="preserve">11、证明投标人及投标标的符合招标文件规定的文件</w:t>
      </w:r>
      <w:bookmarkEnd w:id="115"/>
      <w:r/>
      <w:bookmarkEnd w:id="116"/>
      <w:r/>
      <w:bookmarkEnd w:id="117"/>
      <w:r/>
      <w:bookmarkEnd w:id="118"/>
      <w:r/>
      <w:bookmarkEnd w:id="119"/>
      <w:r/>
      <w:bookmarkEnd w:id="120"/>
      <w:r/>
      <w:r/>
    </w:p>
    <w:p>
      <w:pPr>
        <w:ind w:firstLine="480"/>
        <w:spacing w:line="560" w:lineRule="exact"/>
        <w:rPr>
          <w:rFonts w:hint="eastAsia" w:ascii="宋体" w:hAnsi="宋体" w:eastAsia="宋体" w:cs="宋体"/>
          <w:color w:val="auto"/>
          <w:sz w:val="24"/>
          <w:szCs w:val="24"/>
          <w:highlight w:val="none"/>
        </w:rPr>
      </w:pPr>
      <w:r/>
      <w:bookmarkStart w:id="121" w:name="_Toc14577355"/>
      <w:r/>
      <w:bookmarkStart w:id="122" w:name="_Toc49090508"/>
      <w:r>
        <w:rPr>
          <w:rFonts w:hint="eastAsia" w:ascii="宋体" w:hAnsi="宋体" w:eastAsia="宋体" w:cs="宋体"/>
          <w:color w:val="auto"/>
          <w:sz w:val="24"/>
          <w:szCs w:val="24"/>
          <w:highlight w:val="none"/>
        </w:rPr>
        <w:t xml:space="preserve">11.1 投标人应按照法律、法规、规章和规范性文件以及招标文件要求提交证明文件，证明其投标标的符合招标文件规定。</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1142"/>
        <w:ind w:firstLine="420"/>
        <w:spacing w:before="0" w:after="0" w:line="56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12、投标分项报价</w:t>
      </w:r>
      <w:bookmarkEnd w:id="121"/>
      <w:r/>
      <w:bookmarkStart w:id="123" w:name="_Hlt26670373"/>
      <w:r/>
      <w:bookmarkEnd w:id="123"/>
      <w:r>
        <w:rPr>
          <w:rFonts w:hint="eastAsia" w:ascii="宋体" w:hAnsi="宋体" w:eastAsia="宋体" w:cs="宋体"/>
          <w:b/>
          <w:bCs/>
          <w:color w:val="auto"/>
          <w:highlight w:val="none"/>
        </w:rPr>
        <w:t xml:space="preserve">表</w:t>
      </w:r>
      <w:bookmarkEnd w:id="122"/>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12.1</w:t>
      </w:r>
      <w:r>
        <w:rPr>
          <w:rFonts w:hint="eastAsia" w:ascii="宋体" w:hAnsi="宋体" w:eastAsia="宋体" w:cs="宋体"/>
          <w:color w:val="auto"/>
          <w:sz w:val="24"/>
          <w:highlight w:val="none"/>
        </w:rPr>
        <w:t xml:space="preserve"> 投</w:t>
      </w:r>
      <w:bookmarkStart w:id="124" w:name="_Hlt26954840"/>
      <w:r/>
      <w:bookmarkEnd w:id="124"/>
      <w:r>
        <w:rPr>
          <w:rFonts w:hint="eastAsia" w:ascii="宋体" w:hAnsi="宋体" w:eastAsia="宋体" w:cs="宋体"/>
          <w:color w:val="auto"/>
          <w:sz w:val="24"/>
          <w:highlight w:val="none"/>
        </w:rPr>
        <w:t xml:space="preserve">标人应按照招标文件规定格式填报投标分项报价表</w:t>
      </w:r>
      <w:bookmarkStart w:id="125" w:name="_Hlt26670399"/>
      <w:r/>
      <w:bookmarkEnd w:id="125"/>
      <w:r>
        <w:rPr>
          <w:rFonts w:hint="eastAsia" w:ascii="宋体" w:hAnsi="宋体" w:eastAsia="宋体" w:cs="宋体"/>
          <w:color w:val="auto"/>
          <w:sz w:val="24"/>
          <w:highlight w:val="none"/>
        </w:rPr>
        <w:t xml:space="preserve">。</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w:t>
      </w:r>
      <w:r>
        <w:rPr>
          <w:rFonts w:hint="eastAsia" w:ascii="宋体" w:hAnsi="宋体" w:eastAsia="宋体" w:cs="宋体"/>
          <w:bCs/>
          <w:color w:val="auto"/>
          <w:sz w:val="24"/>
          <w:highlight w:val="none"/>
        </w:rPr>
        <w:t xml:space="preserve">投标货币。投标文件中的单价和总价无特殊规定的采用人民币报价，以元为单位标注。</w:t>
      </w:r>
      <w:r>
        <w:rPr>
          <w:rFonts w:hint="eastAsia" w:ascii="宋体" w:hAnsi="宋体" w:eastAsia="宋体" w:cs="宋体"/>
          <w:color w:val="auto"/>
          <w:sz w:val="24"/>
          <w:highlight w:val="none"/>
        </w:rPr>
        <w:t xml:space="preserve">招标文件中另有规定的按规定执行。</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12.3本项目不接受备选的投标方案或有选择的报价，只允许有一个报价。投标报价内容包括：响应报价应包括货款、标准附件、备品备件、专用工具、包装、运输、装卸、保险、税金、货到就位以及安装、调试、培训、保修等完成本项目所涉及到的一切相关费用。</w:t>
      </w:r>
      <w:r/>
    </w:p>
    <w:p>
      <w:pPr>
        <w:pStyle w:val="1142"/>
        <w:ind w:firstLine="420"/>
        <w:spacing w:before="0" w:after="0" w:line="560" w:lineRule="exact"/>
        <w:rPr>
          <w:rFonts w:hint="eastAsia" w:ascii="宋体" w:hAnsi="宋体" w:eastAsia="宋体" w:cs="宋体"/>
          <w:b/>
          <w:bCs/>
          <w:color w:val="auto"/>
          <w:highlight w:val="none"/>
        </w:rPr>
      </w:pPr>
      <w:r/>
      <w:bookmarkStart w:id="126" w:name="_Hlt26670486"/>
      <w:r/>
      <w:bookmarkEnd w:id="126"/>
      <w:r/>
      <w:bookmarkStart w:id="127" w:name="_Hlt26668983"/>
      <w:r/>
      <w:bookmarkEnd w:id="127"/>
      <w:r/>
      <w:bookmarkStart w:id="128" w:name="_Hlt26954848"/>
      <w:r/>
      <w:bookmarkEnd w:id="128"/>
      <w:r/>
      <w:bookmarkStart w:id="129" w:name="_Hlt26954846"/>
      <w:r/>
      <w:bookmarkEnd w:id="129"/>
      <w:r/>
      <w:bookmarkStart w:id="130" w:name="_Hlt26670482"/>
      <w:r/>
      <w:bookmarkEnd w:id="130"/>
      <w:r/>
      <w:bookmarkStart w:id="131" w:name="_Hlt26670425"/>
      <w:r/>
      <w:bookmarkEnd w:id="131"/>
      <w:r/>
      <w:bookmarkStart w:id="132" w:name="_Hlt26670403"/>
      <w:r/>
      <w:bookmarkEnd w:id="132"/>
      <w:r/>
      <w:bookmarkStart w:id="133" w:name="_Hlt26954842"/>
      <w:r/>
      <w:bookmarkEnd w:id="133"/>
      <w:r/>
      <w:bookmarkStart w:id="134" w:name="_Hlt26954731"/>
      <w:r/>
      <w:bookmarkEnd w:id="134"/>
      <w:r/>
      <w:bookmarkStart w:id="135" w:name="_Hlt26954844"/>
      <w:r/>
      <w:bookmarkEnd w:id="135"/>
      <w:r/>
      <w:bookmarkStart w:id="136" w:name="_Toc14577359"/>
      <w:r/>
      <w:bookmarkStart w:id="137" w:name="_Toc49090510"/>
      <w:r>
        <w:rPr>
          <w:rFonts w:hint="eastAsia" w:ascii="宋体" w:hAnsi="宋体" w:eastAsia="宋体" w:cs="宋体"/>
          <w:b/>
          <w:bCs/>
          <w:color w:val="auto"/>
          <w:highlight w:val="none"/>
        </w:rPr>
        <w:t xml:space="preserve">13、技术要求响应及偏离表、商务要求响应及偏离表</w:t>
      </w:r>
      <w:r/>
    </w:p>
    <w:p>
      <w:pPr>
        <w:ind w:firstLine="480"/>
        <w:spacing w:line="560" w:lineRule="exact"/>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lang w:val="zh-CN"/>
        </w:rPr>
        <w:t xml:space="preserve">1</w:t>
      </w:r>
      <w:r>
        <w:rPr>
          <w:rFonts w:hint="eastAsia" w:ascii="宋体" w:hAnsi="宋体" w:eastAsia="宋体" w:cs="宋体"/>
          <w:bCs/>
          <w:color w:val="auto"/>
          <w:sz w:val="24"/>
          <w:highlight w:val="none"/>
          <w:lang w:val="zh-CN"/>
        </w:rPr>
        <w:t xml:space="preserve">3</w:t>
      </w:r>
      <w:r>
        <w:rPr>
          <w:rFonts w:hint="eastAsia" w:ascii="宋体" w:hAnsi="宋体" w:eastAsia="宋体" w:cs="宋体"/>
          <w:bCs/>
          <w:color w:val="auto"/>
          <w:sz w:val="24"/>
          <w:highlight w:val="none"/>
          <w:lang w:val="zh-CN"/>
        </w:rPr>
        <w:t xml:space="preserve">.1</w:t>
      </w: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lang w:val="zh-CN"/>
        </w:rPr>
        <w:t xml:space="preserve">投标人需对招标文件中的技术要求与商务要求逐项作出响应或偏离，并说明原因。</w:t>
      </w:r>
      <w:r/>
    </w:p>
    <w:p>
      <w:pPr>
        <w:ind w:firstLine="480"/>
        <w:spacing w:line="560" w:lineRule="exact"/>
        <w:tabs>
          <w:tab w:val="left" w:pos="103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13.2 投标人可在投标文件中提供认为需要的其他技术文件或说明。</w:t>
      </w:r>
      <w:r/>
    </w:p>
    <w:p>
      <w:pPr>
        <w:ind w:firstLine="420"/>
        <w:keepLines/>
        <w:keepNext/>
        <w:spacing w:line="560" w:lineRule="exact"/>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14、服务承诺、培训计划、人员安排及其他</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 </w:t>
      </w:r>
      <w:r>
        <w:rPr>
          <w:rFonts w:hint="eastAsia" w:ascii="宋体" w:hAnsi="宋体" w:eastAsia="宋体" w:cs="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投标人需根据招标文件要求提供培训计划。</w:t>
      </w:r>
      <w:r/>
    </w:p>
    <w:p>
      <w:pPr>
        <w:ind w:firstLine="480"/>
        <w:spacing w:line="560" w:lineRule="exact"/>
        <w:rPr>
          <w:rFonts w:hint="eastAsia" w:ascii="宋体" w:hAnsi="宋体" w:eastAsia="宋体" w:cs="宋体"/>
          <w:b/>
          <w:bCs/>
          <w:color w:val="auto"/>
          <w:highlight w:val="none"/>
        </w:rPr>
      </w:pPr>
      <w:r>
        <w:rPr>
          <w:rFonts w:hint="eastAsia" w:ascii="宋体" w:hAnsi="宋体" w:eastAsia="宋体" w:cs="宋体"/>
          <w:color w:val="auto"/>
          <w:sz w:val="24"/>
          <w:szCs w:val="24"/>
          <w:highlight w:val="none"/>
        </w:rPr>
        <w:t xml:space="preserve">14.3 投标人需根据招标文件要求提供</w:t>
      </w:r>
      <w:r>
        <w:rPr>
          <w:rFonts w:hint="eastAsia" w:ascii="宋体" w:hAnsi="宋体" w:eastAsia="宋体" w:cs="宋体"/>
          <w:color w:val="auto"/>
          <w:sz w:val="24"/>
          <w:highlight w:val="none"/>
          <w:lang w:val="zh-CN"/>
        </w:rPr>
        <w:t xml:space="preserve">所投标的的主要组成部分、功能设计、实现思路及关键技术等。</w:t>
      </w:r>
      <w:r/>
    </w:p>
    <w:p>
      <w:pPr>
        <w:pStyle w:val="1142"/>
        <w:ind w:firstLine="420"/>
        <w:spacing w:before="0" w:after="0" w:line="56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15、投标声明及承诺函和开标一览表</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15.1</w:t>
      </w:r>
      <w:r>
        <w:rPr>
          <w:rFonts w:hint="eastAsia" w:ascii="宋体" w:hAnsi="宋体" w:eastAsia="宋体" w:cs="宋体"/>
          <w:color w:val="auto"/>
          <w:sz w:val="24"/>
          <w:highlight w:val="none"/>
        </w:rPr>
        <w:t xml:space="preserve"> 投标人应按照招标文件中提供的格式完整、正确填写投标声明及承诺函、开标一览表。</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15.2</w:t>
      </w:r>
      <w:r>
        <w:rPr>
          <w:rFonts w:hint="eastAsia" w:ascii="宋体" w:hAnsi="宋体" w:eastAsia="宋体" w:cs="宋体"/>
          <w:color w:val="auto"/>
          <w:sz w:val="24"/>
          <w:highlight w:val="none"/>
        </w:rPr>
        <w:t xml:space="preserve"> 对于采用货币报价的项目，</w:t>
      </w:r>
      <w:r>
        <w:rPr>
          <w:rFonts w:hint="eastAsia" w:ascii="宋体" w:hAnsi="宋体" w:eastAsia="宋体" w:cs="宋体"/>
          <w:bCs/>
          <w:color w:val="auto"/>
          <w:sz w:val="24"/>
          <w:highlight w:val="none"/>
        </w:rPr>
        <w:t xml:space="preserve">开标一览表中的投标总报价应与投标分项报价表中的投标总报价一致，如不一致，</w:t>
      </w:r>
      <w:r>
        <w:rPr>
          <w:rFonts w:hint="eastAsia" w:ascii="宋体" w:hAnsi="宋体" w:eastAsia="宋体" w:cs="宋体"/>
          <w:color w:val="auto"/>
          <w:sz w:val="24"/>
          <w:szCs w:val="24"/>
          <w:highlight w:val="none"/>
        </w:rPr>
        <w:t xml:space="preserve">不作为无效投标处理</w:t>
      </w:r>
      <w:r>
        <w:rPr>
          <w:rFonts w:hint="eastAsia" w:ascii="宋体" w:hAnsi="宋体" w:eastAsia="宋体" w:cs="宋体"/>
          <w:bCs/>
          <w:color w:val="auto"/>
          <w:sz w:val="24"/>
          <w:highlight w:val="none"/>
        </w:rPr>
        <w:t xml:space="preserve">，但评标时按开标一览表中价格为准</w:t>
      </w:r>
      <w:r>
        <w:rPr>
          <w:rFonts w:hint="eastAsia" w:ascii="宋体" w:hAnsi="宋体" w:eastAsia="宋体" w:cs="宋体"/>
          <w:b/>
          <w:bCs/>
          <w:color w:val="auto"/>
          <w:sz w:val="24"/>
          <w:highlight w:val="none"/>
        </w:rPr>
        <w:t xml:space="preserve">。</w:t>
      </w:r>
      <w:bookmarkEnd w:id="136"/>
      <w:r/>
      <w:bookmarkEnd w:id="137"/>
      <w:r/>
      <w:r/>
    </w:p>
    <w:p>
      <w:pPr>
        <w:pStyle w:val="1142"/>
        <w:ind w:firstLine="420"/>
        <w:spacing w:before="0" w:after="0" w:line="560" w:lineRule="exact"/>
        <w:rPr>
          <w:rFonts w:hint="eastAsia" w:ascii="宋体" w:hAnsi="宋体" w:eastAsia="宋体" w:cs="宋体"/>
          <w:b/>
          <w:bCs/>
          <w:color w:val="auto"/>
          <w:highlight w:val="none"/>
        </w:rPr>
      </w:pPr>
      <w:r/>
      <w:bookmarkStart w:id="138" w:name="_Hlt26670489"/>
      <w:r/>
      <w:bookmarkEnd w:id="138"/>
      <w:r/>
      <w:bookmarkStart w:id="139" w:name="_Hlt26954734"/>
      <w:r/>
      <w:bookmarkEnd w:id="139"/>
      <w:r/>
      <w:bookmarkStart w:id="140" w:name="_Hlt26954850"/>
      <w:r/>
      <w:bookmarkEnd w:id="140"/>
      <w:r/>
      <w:bookmarkStart w:id="141" w:name="_Toc14577360"/>
      <w:r/>
      <w:bookmarkStart w:id="142" w:name="_Toc49090511"/>
      <w:r>
        <w:rPr>
          <w:rFonts w:hint="eastAsia" w:ascii="宋体" w:hAnsi="宋体" w:eastAsia="宋体" w:cs="宋体"/>
          <w:b/>
          <w:bCs/>
          <w:color w:val="auto"/>
          <w:highlight w:val="none"/>
        </w:rPr>
        <w:t xml:space="preserve">16、投标有效期</w:t>
      </w:r>
      <w:bookmarkEnd w:id="141"/>
      <w:r/>
      <w:bookmarkEnd w:id="142"/>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16.1</w:t>
      </w:r>
      <w:r>
        <w:rPr>
          <w:rFonts w:hint="eastAsia" w:ascii="宋体" w:hAnsi="宋体" w:eastAsia="宋体" w:cs="宋体"/>
          <w:bCs/>
          <w:color w:val="auto"/>
          <w:sz w:val="24"/>
          <w:highlight w:val="none"/>
        </w:rPr>
        <w:t xml:space="preserve"> 投标有效期为开标之日后</w:t>
      </w:r>
      <w:r>
        <w:rPr>
          <w:rFonts w:hint="eastAsia" w:ascii="宋体" w:hAnsi="宋体" w:eastAsia="宋体" w:cs="宋体"/>
          <w:b/>
          <w:color w:val="auto"/>
          <w:sz w:val="24"/>
          <w:highlight w:val="none"/>
          <w:u w:val="single"/>
        </w:rPr>
        <w:t xml:space="preserve">六十（60）天</w:t>
      </w:r>
      <w:r>
        <w:rPr>
          <w:rFonts w:hint="eastAsia" w:ascii="宋体" w:hAnsi="宋体" w:eastAsia="宋体" w:cs="宋体"/>
          <w:bCs/>
          <w:color w:val="auto"/>
          <w:sz w:val="24"/>
          <w:highlight w:val="none"/>
        </w:rPr>
        <w:t xml:space="preserve">。投标有效期比规定短的将被视为未实质性响应招标</w:t>
      </w:r>
      <w:r>
        <w:rPr>
          <w:rFonts w:hint="eastAsia" w:ascii="宋体" w:hAnsi="宋体" w:eastAsia="宋体" w:cs="宋体"/>
          <w:bCs/>
          <w:color w:val="auto"/>
          <w:sz w:val="24"/>
          <w:highlight w:val="none"/>
        </w:rPr>
        <w:t xml:space="preserve">文件</w:t>
      </w:r>
      <w:r>
        <w:rPr>
          <w:rFonts w:hint="eastAsia" w:ascii="宋体" w:hAnsi="宋体" w:eastAsia="宋体" w:cs="宋体"/>
          <w:bCs/>
          <w:color w:val="auto"/>
          <w:sz w:val="24"/>
          <w:highlight w:val="none"/>
        </w:rPr>
        <w:t xml:space="preserve">而予以拒绝。</w:t>
      </w:r>
      <w:r/>
    </w:p>
    <w:p>
      <w:pPr>
        <w:pStyle w:val="1142"/>
        <w:ind w:firstLine="420"/>
        <w:spacing w:before="0" w:after="0" w:line="56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17、投标有效期的延长</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17.1</w:t>
      </w:r>
      <w:r>
        <w:rPr>
          <w:rFonts w:hint="eastAsia" w:ascii="宋体" w:hAnsi="宋体" w:eastAsia="宋体" w:cs="宋体"/>
          <w:bCs/>
          <w:color w:val="auto"/>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highlight w:val="none"/>
        </w:rPr>
        <w:t xml:space="preserve">。</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17.2中标人的投标文件作为项目合同的附件，其有效期至中标人全部合同义务履行完毕为止。 </w:t>
      </w:r>
      <w:r/>
    </w:p>
    <w:p>
      <w:pPr>
        <w:pStyle w:val="1140"/>
        <w:ind w:firstLine="482"/>
        <w:spacing w:before="0" w:after="0" w:line="560" w:lineRule="exact"/>
        <w:rPr>
          <w:rFonts w:hint="eastAsia" w:ascii="宋体" w:hAnsi="宋体" w:eastAsia="宋体" w:cs="宋体"/>
          <w:color w:val="auto"/>
          <w:highlight w:val="none"/>
        </w:rPr>
      </w:pPr>
      <w:r/>
      <w:bookmarkStart w:id="143" w:name="_Hlt26954852"/>
      <w:r/>
      <w:bookmarkEnd w:id="143"/>
      <w:r/>
      <w:bookmarkStart w:id="144" w:name="_Hlt26954739"/>
      <w:r/>
      <w:bookmarkEnd w:id="144"/>
      <w:r/>
      <w:bookmarkStart w:id="145" w:name="_Toc120614217"/>
      <w:r/>
      <w:bookmarkStart w:id="146" w:name="_Toc16938540"/>
      <w:r/>
      <w:bookmarkStart w:id="147" w:name="_Toc20823296"/>
      <w:r/>
      <w:bookmarkStart w:id="148" w:name="_Toc513029224"/>
      <w:r>
        <w:rPr>
          <w:rFonts w:hint="eastAsia" w:ascii="宋体" w:hAnsi="宋体" w:eastAsia="宋体" w:cs="宋体"/>
          <w:color w:val="auto"/>
          <w:highlight w:val="none"/>
        </w:rPr>
        <w:t xml:space="preserve">四、投标文件的递交</w:t>
      </w:r>
      <w:bookmarkEnd w:id="145"/>
      <w:r/>
      <w:bookmarkEnd w:id="146"/>
      <w:r/>
      <w:bookmarkEnd w:id="147"/>
      <w:r/>
      <w:bookmarkEnd w:id="148"/>
      <w:r/>
      <w:r/>
    </w:p>
    <w:p>
      <w:pPr>
        <w:pStyle w:val="1142"/>
        <w:ind w:firstLine="560"/>
        <w:spacing w:before="0" w:after="0" w:line="560" w:lineRule="exact"/>
        <w:rPr>
          <w:rFonts w:hint="eastAsia" w:ascii="宋体" w:hAnsi="宋体" w:eastAsia="宋体" w:cs="宋体"/>
          <w:b/>
          <w:bCs/>
          <w:color w:val="auto"/>
          <w:highlight w:val="none"/>
        </w:rPr>
      </w:pPr>
      <w:r/>
      <w:bookmarkStart w:id="149" w:name="_Toc513029225"/>
      <w:r/>
      <w:bookmarkStart w:id="150" w:name="_Toc16938541"/>
      <w:r/>
      <w:bookmarkStart w:id="151" w:name="_Toc462564084"/>
      <w:r/>
      <w:bookmarkStart w:id="152" w:name="_Toc20823297"/>
      <w:r>
        <w:rPr>
          <w:rFonts w:hint="eastAsia" w:ascii="宋体" w:hAnsi="宋体" w:eastAsia="宋体" w:cs="宋体"/>
          <w:b/>
          <w:bCs/>
          <w:color w:val="auto"/>
          <w:highlight w:val="none"/>
        </w:rPr>
        <w:t xml:space="preserve">18、投标文件</w:t>
      </w:r>
      <w:bookmarkEnd w:id="149"/>
      <w:r/>
      <w:bookmarkEnd w:id="150"/>
      <w:r/>
      <w:bookmarkEnd w:id="151"/>
      <w:r/>
      <w:bookmarkEnd w:id="152"/>
      <w:r>
        <w:rPr>
          <w:rFonts w:hint="eastAsia" w:ascii="宋体" w:hAnsi="宋体" w:eastAsia="宋体" w:cs="宋体"/>
          <w:b/>
          <w:bCs/>
          <w:color w:val="auto"/>
          <w:highlight w:val="none"/>
        </w:rPr>
        <w:t xml:space="preserve">的递交</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18.1投标人应当按照《操作手册》规定，在投标截止时间前制作并上传电子投标文件。</w:t>
      </w:r>
      <w:bookmarkStart w:id="153" w:name="_Toc513029226"/>
      <w:r/>
      <w:bookmarkStart w:id="154" w:name="_Toc16938542"/>
      <w:r/>
      <w:bookmarkStart w:id="155" w:name="_Toc20823298"/>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18.2投标人通过“苏采云”系统不见面开标大厅在线参与开标活动。（具体操作详见《“苏采云”系统投标人操作手册》，网址链接</w:t>
      </w:r>
      <w:r>
        <w:rPr>
          <w:rFonts w:hint="eastAsia" w:ascii="宋体" w:hAnsi="宋体" w:eastAsia="宋体" w:cs="宋体"/>
          <w:color w:val="auto"/>
          <w:sz w:val="22"/>
          <w:szCs w:val="20"/>
          <w:highlight w:val="none"/>
        </w:rPr>
        <w:t xml:space="preserve">http://www.ccgp-jiangsu.gov.cn//webfile/jiangsu/202311/1699268553318052447.pdf）</w:t>
      </w:r>
      <w:r/>
    </w:p>
    <w:p>
      <w:pPr>
        <w:pStyle w:val="1142"/>
        <w:ind w:firstLine="420"/>
        <w:spacing w:before="0" w:after="0" w:line="560" w:lineRule="exact"/>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19、投标截止</w:t>
      </w:r>
      <w:bookmarkEnd w:id="153"/>
      <w:r/>
      <w:bookmarkEnd w:id="154"/>
      <w:r/>
      <w:bookmarkEnd w:id="155"/>
      <w:r>
        <w:rPr>
          <w:rFonts w:hint="eastAsia" w:ascii="宋体" w:hAnsi="宋体" w:eastAsia="宋体" w:cs="宋体"/>
          <w:b/>
          <w:bCs w:val="0"/>
          <w:color w:val="auto"/>
          <w:highlight w:val="none"/>
        </w:rPr>
        <w:t xml:space="preserve">时间</w:t>
      </w:r>
      <w:r/>
    </w:p>
    <w:p>
      <w:pPr>
        <w:ind w:firstLine="480"/>
        <w:spacing w:line="560" w:lineRule="exact"/>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19.1 投标人上传电子投标文件的时间不得迟于招标公告中规定的投标截止时间。</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19.2</w:t>
      </w:r>
      <w:r>
        <w:rPr>
          <w:rFonts w:hint="eastAsia" w:ascii="宋体" w:hAnsi="宋体" w:eastAsia="宋体" w:cs="宋体"/>
          <w:bCs/>
          <w:color w:val="auto"/>
          <w:sz w:val="24"/>
          <w:highlight w:val="none"/>
        </w:rPr>
        <w:t xml:space="preserve"> 采购代理机构可以按照规定，通过修改招标文件酌情延长投标截止时间，在此情况下，投标人的所有权利和义务以及投标人受制的截止时间均应以延长后新的截止时间为准。</w:t>
      </w:r>
      <w:r/>
    </w:p>
    <w:p>
      <w:pPr>
        <w:pStyle w:val="1142"/>
        <w:ind w:firstLine="420"/>
        <w:spacing w:before="0" w:after="0" w:line="560" w:lineRule="exact"/>
        <w:rPr>
          <w:rFonts w:hint="eastAsia" w:ascii="宋体" w:hAnsi="宋体" w:eastAsia="宋体" w:cs="宋体"/>
          <w:b/>
          <w:bCs/>
          <w:color w:val="auto"/>
          <w:highlight w:val="none"/>
        </w:rPr>
      </w:pPr>
      <w:r/>
      <w:bookmarkStart w:id="156" w:name="_Toc20823299"/>
      <w:r/>
      <w:bookmarkStart w:id="157" w:name="_Toc513029227"/>
      <w:r/>
      <w:bookmarkStart w:id="158" w:name="_Toc16938543"/>
      <w:r>
        <w:rPr>
          <w:rFonts w:hint="eastAsia" w:ascii="宋体" w:hAnsi="宋体" w:eastAsia="宋体" w:cs="宋体"/>
          <w:b/>
          <w:bCs/>
          <w:color w:val="auto"/>
          <w:highlight w:val="none"/>
        </w:rPr>
        <w:t xml:space="preserve">20、投标文件</w:t>
      </w:r>
      <w:bookmarkEnd w:id="156"/>
      <w:r/>
      <w:bookmarkEnd w:id="157"/>
      <w:r/>
      <w:bookmarkEnd w:id="158"/>
      <w:r>
        <w:rPr>
          <w:rFonts w:hint="eastAsia" w:ascii="宋体" w:hAnsi="宋体" w:eastAsia="宋体" w:cs="宋体"/>
          <w:b/>
          <w:bCs/>
          <w:color w:val="auto"/>
          <w:highlight w:val="none"/>
        </w:rPr>
        <w:t xml:space="preserve">的拒收</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20.1</w:t>
      </w:r>
      <w:r>
        <w:rPr>
          <w:rFonts w:hint="eastAsia" w:ascii="宋体" w:hAnsi="宋体" w:eastAsia="宋体" w:cs="宋体"/>
          <w:bCs/>
          <w:color w:val="auto"/>
          <w:sz w:val="24"/>
          <w:highlight w:val="none"/>
        </w:rPr>
        <w:t xml:space="preserve">采购代理机构拒绝接收在其规定的投标截止时间后上传的任何投标文件。</w:t>
      </w:r>
      <w:r/>
    </w:p>
    <w:p>
      <w:pPr>
        <w:pStyle w:val="1142"/>
        <w:ind w:firstLine="420"/>
        <w:spacing w:before="0" w:after="0" w:line="560" w:lineRule="exact"/>
        <w:rPr>
          <w:rFonts w:hint="eastAsia" w:ascii="宋体" w:hAnsi="宋体" w:eastAsia="宋体" w:cs="宋体"/>
          <w:b/>
          <w:bCs/>
          <w:color w:val="auto"/>
          <w:highlight w:val="none"/>
        </w:rPr>
      </w:pPr>
      <w:r/>
      <w:bookmarkStart w:id="159" w:name="_Toc513029228"/>
      <w:r/>
      <w:bookmarkStart w:id="160" w:name="_Toc20823300"/>
      <w:r/>
      <w:bookmarkStart w:id="161" w:name="_Toc16938544"/>
      <w:r/>
      <w:bookmarkStart w:id="162" w:name="_Toc20823301"/>
      <w:r/>
      <w:bookmarkStart w:id="163" w:name="_Toc16938545"/>
      <w:r/>
      <w:bookmarkStart w:id="164" w:name="_Toc120614218"/>
      <w:r/>
      <w:bookmarkStart w:id="165" w:name="_Toc513029229"/>
      <w:r>
        <w:rPr>
          <w:rFonts w:hint="eastAsia" w:ascii="宋体" w:hAnsi="宋体" w:eastAsia="宋体" w:cs="宋体"/>
          <w:b/>
          <w:bCs/>
          <w:color w:val="auto"/>
          <w:highlight w:val="none"/>
        </w:rPr>
        <w:t xml:space="preserve">21、投标文件的撤回和修改</w:t>
      </w:r>
      <w:bookmarkEnd w:id="159"/>
      <w:r/>
      <w:bookmarkEnd w:id="160"/>
      <w:r/>
      <w:bookmarkEnd w:id="161"/>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 投标文件的撤回</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21.1.1 电子投标文件的撤回</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 投标人撤回电子投标文件，则认为其不再参与本项目投标活动。</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21.2.1投标人可在投标截止时间前，对其电子投标文件进行修改，具体操作方法见《操作手册》。</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21.2.2</w:t>
      </w:r>
      <w:r>
        <w:rPr>
          <w:rFonts w:hint="eastAsia" w:ascii="宋体" w:hAnsi="宋体" w:eastAsia="宋体" w:cs="宋体"/>
          <w:bCs/>
          <w:color w:val="auto"/>
          <w:sz w:val="24"/>
          <w:highlight w:val="none"/>
        </w:rPr>
        <w:t xml:space="preserve"> 在投标截止时间之后，投标人不得对其电子投标文件作任何修改。</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21.3</w:t>
      </w:r>
      <w:r>
        <w:rPr>
          <w:rFonts w:hint="eastAsia" w:ascii="宋体" w:hAnsi="宋体" w:eastAsia="宋体" w:cs="宋体"/>
          <w:bCs/>
          <w:color w:val="auto"/>
          <w:sz w:val="24"/>
          <w:highlight w:val="none"/>
        </w:rPr>
        <w:t xml:space="preserve"> 在投标截止时间至招标文件中规定的投标有效期满之间的这段时间内，投标人不得撤回其投标。</w:t>
      </w:r>
      <w:r/>
    </w:p>
    <w:p>
      <w:pPr>
        <w:pStyle w:val="1140"/>
        <w:ind w:firstLine="482"/>
        <w:spacing w:before="0" w:after="0" w:line="5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五、开标与评标</w:t>
      </w:r>
      <w:bookmarkEnd w:id="162"/>
      <w:r/>
      <w:bookmarkEnd w:id="163"/>
      <w:r/>
      <w:bookmarkEnd w:id="164"/>
      <w:r/>
      <w:bookmarkEnd w:id="165"/>
      <w:r/>
      <w:r/>
    </w:p>
    <w:p>
      <w:pPr>
        <w:pStyle w:val="1142"/>
        <w:ind w:firstLine="420"/>
        <w:spacing w:before="0" w:after="0" w:line="560" w:lineRule="exact"/>
        <w:rPr>
          <w:rFonts w:hint="eastAsia" w:ascii="宋体" w:hAnsi="宋体" w:eastAsia="宋体" w:cs="宋体"/>
          <w:b/>
          <w:bCs/>
          <w:color w:val="auto"/>
          <w:highlight w:val="none"/>
        </w:rPr>
      </w:pPr>
      <w:r/>
      <w:bookmarkStart w:id="166" w:name="_Toc16938546"/>
      <w:r/>
      <w:bookmarkStart w:id="167" w:name="_Toc20823302"/>
      <w:r/>
      <w:bookmarkStart w:id="168" w:name="_Toc513029230"/>
      <w:r/>
      <w:bookmarkStart w:id="169" w:name="_Toc16938547"/>
      <w:r/>
      <w:bookmarkStart w:id="170" w:name="_Toc20823303"/>
      <w:r/>
      <w:bookmarkStart w:id="171" w:name="_Toc513029231"/>
      <w:r>
        <w:rPr>
          <w:rFonts w:hint="eastAsia" w:ascii="宋体" w:hAnsi="宋体" w:eastAsia="宋体" w:cs="宋体"/>
          <w:b/>
          <w:bCs/>
          <w:color w:val="auto"/>
          <w:highlight w:val="none"/>
        </w:rPr>
        <w:t xml:space="preserve">22、开标</w:t>
      </w:r>
      <w:bookmarkEnd w:id="166"/>
      <w:r/>
      <w:bookmarkEnd w:id="167"/>
      <w:r/>
      <w:bookmarkEnd w:id="168"/>
      <w:r/>
      <w:r/>
    </w:p>
    <w:p>
      <w:pPr>
        <w:pStyle w:val="1258"/>
        <w:ind w:firstLine="420"/>
        <w:spacing w:line="560" w:lineRule="exact"/>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rPr>
        <w:t xml:space="preserve">2</w:t>
      </w:r>
      <w:r>
        <w:rPr>
          <w:rFonts w:hint="eastAsia" w:ascii="宋体" w:hAnsi="宋体" w:eastAsia="宋体" w:cs="宋体"/>
          <w:color w:val="auto"/>
          <w:sz w:val="24"/>
          <w:highlight w:val="none"/>
        </w:rPr>
        <w:t xml:space="preserve">.1</w:t>
      </w:r>
      <w:r>
        <w:rPr>
          <w:rFonts w:hint="eastAsia" w:ascii="宋体" w:hAnsi="宋体" w:eastAsia="宋体" w:cs="宋体"/>
          <w:bCs/>
          <w:color w:val="auto"/>
          <w:sz w:val="24"/>
          <w:highlight w:val="none"/>
        </w:rPr>
        <w:t xml:space="preserve"> 采购代理机构将在招标公告中规定的时间和地点组织公开开标</w:t>
      </w:r>
      <w:r>
        <w:rPr>
          <w:rFonts w:hint="eastAsia" w:ascii="宋体" w:hAnsi="宋体" w:eastAsia="宋体" w:cs="宋体"/>
          <w:color w:val="auto"/>
          <w:sz w:val="24"/>
          <w:highlight w:val="none"/>
          <w:lang w:val="en-US"/>
        </w:rPr>
        <w:t xml:space="preserve">。投标人应当按照《“苏采云”系统供应商操作手册》的规定，参加开标活动和在“苏采云”系统规定的时间内对投标文件进行解密。</w:t>
      </w:r>
      <w:r/>
    </w:p>
    <w:p>
      <w:pPr>
        <w:pStyle w:val="1258"/>
        <w:ind w:firstLine="42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22.3投标人在开标过程中涉及到的投标文件解密、开标结果确认等工作，应按照《操作手册》规定执行。</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ind w:firstLine="420"/>
        <w:keepLines/>
        <w:keepNext/>
        <w:spacing w:line="560" w:lineRule="exact"/>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23、评标委员会</w:t>
      </w:r>
      <w:r/>
    </w:p>
    <w:p>
      <w:pPr>
        <w:ind w:firstLine="513"/>
        <w:keepLines/>
        <w:keepNext/>
        <w:spacing w:line="560" w:lineRule="exact"/>
        <w:rPr>
          <w:rFonts w:hint="eastAsia" w:ascii="宋体" w:hAnsi="宋体" w:eastAsia="宋体" w:cs="宋体"/>
          <w:b/>
          <w:color w:val="auto"/>
          <w:sz w:val="24"/>
          <w:szCs w:val="24"/>
          <w:highlight w:val="none"/>
        </w:rPr>
        <w:outlineLvl w:val="3"/>
      </w:pPr>
      <w:r>
        <w:rPr>
          <w:rFonts w:hint="eastAsia" w:ascii="宋体" w:hAnsi="宋体" w:eastAsia="宋体" w:cs="宋体"/>
          <w:color w:val="auto"/>
          <w:sz w:val="24"/>
          <w:szCs w:val="24"/>
          <w:highlight w:val="none"/>
        </w:rPr>
        <w:t xml:space="preserve">23.1</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开标后，采购代理机构将立即组织评标委员会（以下简称评委会）进行评标。</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评委会由采购人代表和有关技术、经济等方面的专家组成，且人员构成符合政府采购有关规定。</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23.3评委会独立工作，负责评审所有投标文件并确定中标候选人。</w:t>
      </w:r>
      <w:r/>
    </w:p>
    <w:p>
      <w:pPr>
        <w:pStyle w:val="1142"/>
        <w:ind w:firstLine="420"/>
        <w:spacing w:before="0" w:after="0" w:line="56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24、评标过程的保密与公正</w:t>
      </w:r>
      <w:bookmarkEnd w:id="169"/>
      <w:r/>
      <w:bookmarkEnd w:id="170"/>
      <w:r/>
      <w:bookmarkEnd w:id="171"/>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24.1</w:t>
      </w:r>
      <w:r>
        <w:rPr>
          <w:rFonts w:hint="eastAsia" w:ascii="宋体" w:hAnsi="宋体" w:eastAsia="宋体" w:cs="宋体"/>
          <w:bCs/>
          <w:color w:val="auto"/>
          <w:sz w:val="24"/>
          <w:highlight w:val="none"/>
        </w:rPr>
        <w:t xml:space="preserve">凡是与审查、澄清、评价和比较投标的有关资料以及授标建议等，采购人、评委、采购代理机构均不得向投标人或与评标无关的其他人员透露。</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24.2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 采购代理机构和评委会不向未中标的投标人解释未中标原因，也不公布评标过程中的相关细节。</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1142"/>
        <w:ind w:firstLine="420"/>
        <w:spacing w:before="0" w:after="0" w:line="560" w:lineRule="exact"/>
        <w:rPr>
          <w:rFonts w:hint="eastAsia" w:ascii="宋体" w:hAnsi="宋体" w:eastAsia="宋体" w:cs="宋体"/>
          <w:b/>
          <w:bCs/>
          <w:color w:val="auto"/>
          <w:highlight w:val="none"/>
        </w:rPr>
      </w:pPr>
      <w:r/>
      <w:bookmarkStart w:id="172" w:name="_Toc513029232"/>
      <w:r/>
      <w:bookmarkStart w:id="173" w:name="_Toc20823304"/>
      <w:r/>
      <w:bookmarkStart w:id="174" w:name="_Toc16938548"/>
      <w:r>
        <w:rPr>
          <w:rFonts w:hint="eastAsia" w:ascii="宋体" w:hAnsi="宋体" w:eastAsia="宋体" w:cs="宋体"/>
          <w:b/>
          <w:bCs/>
          <w:color w:val="auto"/>
          <w:highlight w:val="none"/>
        </w:rPr>
        <w:t xml:space="preserve">25、投标文件的澄清</w:t>
      </w:r>
      <w:bookmarkEnd w:id="172"/>
      <w:r/>
      <w:bookmarkEnd w:id="173"/>
      <w:r/>
      <w:bookmarkEnd w:id="174"/>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w:t>
      </w:r>
      <w:r>
        <w:rPr>
          <w:rFonts w:hint="eastAsia" w:ascii="宋体" w:hAnsi="宋体" w:eastAsia="宋体" w:cs="宋体"/>
          <w:color w:val="auto"/>
          <w:sz w:val="24"/>
          <w:szCs w:val="24"/>
          <w:highlight w:val="none"/>
        </w:rPr>
        <w:t xml:space="preserve">并非对每个投标人都做澄清要求</w:t>
      </w:r>
      <w:r>
        <w:rPr>
          <w:rFonts w:hint="eastAsia" w:ascii="宋体" w:hAnsi="宋体" w:eastAsia="宋体" w:cs="宋体"/>
          <w:color w:val="auto"/>
          <w:sz w:val="24"/>
          <w:szCs w:val="24"/>
          <w:highlight w:val="none"/>
        </w:rPr>
        <w:t xml:space="preserve">。</w:t>
      </w:r>
      <w:r/>
    </w:p>
    <w:p>
      <w:pPr>
        <w:pStyle w:val="1258"/>
        <w:ind w:firstLine="422"/>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.2需要投标人进行澄清、说明和补正的，</w:t>
      </w:r>
      <w:r>
        <w:rPr>
          <w:rFonts w:hint="eastAsia" w:ascii="宋体" w:hAnsi="宋体" w:eastAsia="宋体" w:cs="宋体"/>
          <w:color w:val="auto"/>
          <w:sz w:val="24"/>
          <w:highlight w:val="none"/>
          <w:lang w:val="en-US"/>
        </w:rPr>
        <w:t xml:space="preserve">本项目投标人的澄清、说明或者补正采用线上澄清，</w:t>
      </w:r>
      <w:r>
        <w:rPr>
          <w:rFonts w:hint="eastAsia" w:ascii="宋体" w:hAnsi="宋体" w:eastAsia="宋体" w:cs="宋体"/>
          <w:color w:val="auto"/>
          <w:sz w:val="24"/>
          <w:szCs w:val="24"/>
          <w:highlight w:val="none"/>
        </w:rPr>
        <w:t xml:space="preserve">评委会将通过</w:t>
      </w:r>
      <w:r>
        <w:rPr>
          <w:rFonts w:hint="eastAsia" w:ascii="宋体" w:hAnsi="宋体" w:eastAsia="宋体" w:cs="宋体"/>
          <w:color w:val="auto"/>
          <w:sz w:val="24"/>
          <w:highlight w:val="none"/>
          <w:lang w:val="en-US"/>
        </w:rPr>
        <w:t xml:space="preserve">“苏采云”系统</w:t>
      </w:r>
      <w:r>
        <w:rPr>
          <w:rFonts w:hint="eastAsia" w:ascii="宋体" w:hAnsi="宋体" w:eastAsia="宋体" w:cs="宋体"/>
          <w:color w:val="auto"/>
          <w:sz w:val="24"/>
          <w:szCs w:val="24"/>
          <w:highlight w:val="none"/>
        </w:rPr>
        <w:t xml:space="preserve">向投标人发出“澄清要求函”，接到“澄清要求函”的投标人应当按照要求</w:t>
      </w:r>
      <w:r>
        <w:rPr>
          <w:rFonts w:hint="eastAsia" w:ascii="宋体" w:hAnsi="宋体" w:eastAsia="宋体" w:cs="宋体"/>
          <w:color w:val="auto"/>
          <w:sz w:val="24"/>
          <w:highlight w:val="none"/>
          <w:lang w:val="en-US"/>
        </w:rPr>
        <w:t xml:space="preserve">在规定时间内</w:t>
      </w:r>
      <w:r>
        <w:rPr>
          <w:rFonts w:hint="eastAsia" w:ascii="宋体" w:hAnsi="宋体" w:eastAsia="宋体" w:cs="宋体"/>
          <w:color w:val="auto"/>
          <w:sz w:val="24"/>
          <w:szCs w:val="24"/>
          <w:highlight w:val="none"/>
          <w:lang w:val="en-US"/>
        </w:rPr>
        <w:t xml:space="preserve">通过</w:t>
      </w:r>
      <w:r>
        <w:rPr>
          <w:rFonts w:hint="eastAsia" w:ascii="宋体" w:hAnsi="宋体" w:eastAsia="宋体" w:cs="宋体"/>
          <w:color w:val="auto"/>
          <w:sz w:val="24"/>
          <w:highlight w:val="none"/>
          <w:lang w:val="en-US"/>
        </w:rPr>
        <w:t xml:space="preserve">“苏采云”系统</w:t>
      </w:r>
      <w:r>
        <w:rPr>
          <w:rFonts w:hint="eastAsia" w:ascii="宋体" w:hAnsi="宋体" w:eastAsia="宋体" w:cs="宋体"/>
          <w:color w:val="auto"/>
          <w:sz w:val="24"/>
          <w:szCs w:val="24"/>
          <w:highlight w:val="none"/>
        </w:rPr>
        <w:t xml:space="preserve">提交“澄清响应函”并加盖CA电子公章。澄清、说明和补正的内容作为投标文件的补充部分，具体操作方式见《操作手册》。</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接到评委会澄清、说明和补正要求的投标人如未按规定做出澄清、说明和补正，其风险由投标人自行承担。</w:t>
      </w:r>
      <w:r/>
    </w:p>
    <w:p>
      <w:pPr>
        <w:pStyle w:val="1142"/>
        <w:ind w:firstLine="420"/>
        <w:spacing w:before="0" w:after="0" w:line="560" w:lineRule="exact"/>
        <w:rPr>
          <w:rFonts w:hint="eastAsia" w:ascii="宋体" w:hAnsi="宋体" w:eastAsia="宋体" w:cs="宋体"/>
          <w:b/>
          <w:bCs/>
          <w:color w:val="auto"/>
          <w:highlight w:val="none"/>
        </w:rPr>
      </w:pPr>
      <w:r/>
      <w:bookmarkStart w:id="175" w:name="_Toc513029233"/>
      <w:r/>
      <w:bookmarkStart w:id="176" w:name="_Toc16938549"/>
      <w:r/>
      <w:bookmarkStart w:id="177" w:name="_Toc20823305"/>
      <w:r>
        <w:rPr>
          <w:rFonts w:hint="eastAsia" w:ascii="宋体" w:hAnsi="宋体" w:eastAsia="宋体" w:cs="宋体"/>
          <w:b/>
          <w:bCs/>
          <w:color w:val="auto"/>
          <w:highlight w:val="none"/>
        </w:rPr>
        <w:t xml:space="preserve">26、对投标文件的初审</w:t>
      </w:r>
      <w:bookmarkEnd w:id="175"/>
      <w:r/>
      <w:bookmarkEnd w:id="176"/>
      <w:r/>
      <w:bookmarkEnd w:id="177"/>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26.1</w:t>
      </w:r>
      <w:r>
        <w:rPr>
          <w:rFonts w:hint="eastAsia" w:ascii="宋体" w:hAnsi="宋体" w:eastAsia="宋体" w:cs="宋体"/>
          <w:bCs/>
          <w:color w:val="auto"/>
          <w:sz w:val="24"/>
          <w:highlight w:val="none"/>
        </w:rPr>
        <w:t xml:space="preserve">投标文件初审分为资格审查和符合性审查。</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26.1.1 资格审查：依据法律法规和招标文件的规定，</w:t>
      </w:r>
      <w:r>
        <w:rPr>
          <w:rFonts w:hint="eastAsia" w:ascii="宋体" w:hAnsi="宋体" w:eastAsia="宋体" w:cs="宋体"/>
          <w:color w:val="auto"/>
          <w:sz w:val="24"/>
          <w:highlight w:val="none"/>
        </w:rPr>
        <w:t xml:space="preserve">由采购人或其委托的代理机构对投标文件中的资格证明文件进行审查，以确定投标人是否具备投标资格。</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26.1.3对各投标人符合性审查过程中，对初步被认定为无效投标者，由评委会组长或采购人代表将集体意见通过</w:t>
      </w:r>
      <w:r>
        <w:rPr>
          <w:rFonts w:hint="eastAsia" w:ascii="宋体" w:hAnsi="宋体" w:eastAsia="宋体" w:cs="宋体"/>
          <w:color w:val="auto"/>
          <w:sz w:val="24"/>
          <w:highlight w:val="none"/>
          <w:lang w:val="zh-CN"/>
        </w:rPr>
        <w:t xml:space="preserve">“苏采云”系统中告知未通过符合性审查的原因，评标结束后，将不再告知未通过符合性审查的原因</w:t>
      </w:r>
      <w:r>
        <w:rPr>
          <w:rFonts w:hint="eastAsia" w:ascii="宋体" w:hAnsi="宋体" w:eastAsia="宋体" w:cs="宋体"/>
          <w:color w:val="auto"/>
          <w:sz w:val="24"/>
          <w:highlight w:val="none"/>
        </w:rPr>
        <w:t xml:space="preserve">。</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26.3如果投标文件实质上没有响应招标文件的要求，评委会将予以拒绝，投标人不得通过修改或撤销不符合要求的偏离或保留而使其投标成为实质性响应的投标。</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26.</w:t>
      </w: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（1）投标文件中开标一览表内容与投标文件中相应内容不一致的，以开标一览表为准。</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（2）大写金额和小写金额不一致的，以大写金额为准。</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（3）单价金额小数点或者百分比有明显错位的，以开标一览表的总价为准，并修改单价。</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（4）总价金额与按单价汇总金额不一致的，以单价金额计算结果为准。</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同时出现两种以上错误的，按照前款规定的顺序修正。</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26.</w:t>
      </w: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评委会将按上述修正错误的方法调整投标文件中的投标报价，并</w:t>
      </w:r>
      <w:r>
        <w:rPr>
          <w:rFonts w:hint="eastAsia" w:ascii="宋体" w:hAnsi="宋体" w:eastAsia="宋体" w:cs="宋体"/>
          <w:bCs/>
          <w:color w:val="auto"/>
          <w:sz w:val="24"/>
          <w:highlight w:val="none"/>
        </w:rPr>
        <w:t xml:space="preserve">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highlight w:val="none"/>
        </w:rPr>
        <w:t xml:space="preserve">告知</w:t>
      </w:r>
      <w:r>
        <w:rPr>
          <w:rFonts w:hint="eastAsia" w:ascii="宋体" w:hAnsi="宋体" w:eastAsia="宋体" w:cs="宋体"/>
          <w:bCs/>
          <w:color w:val="auto"/>
          <w:sz w:val="24"/>
          <w:highlight w:val="none"/>
        </w:rPr>
        <w:t xml:space="preserve">投标人，</w:t>
      </w:r>
      <w:r>
        <w:rPr>
          <w:rFonts w:hint="eastAsia" w:ascii="宋体" w:hAnsi="宋体" w:eastAsia="宋体" w:cs="宋体"/>
          <w:bCs/>
          <w:color w:val="auto"/>
          <w:sz w:val="24"/>
          <w:highlight w:val="none"/>
        </w:rPr>
        <w:t xml:space="preserve">调整后的价格应对投标人具有约束力。如果投标人不接受修正后的价格，则其投标将被拒绝。</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eastAsia="宋体" w:cs="宋体"/>
          <w:color w:val="auto"/>
          <w:sz w:val="24"/>
          <w:highlight w:val="none"/>
        </w:rPr>
        <w:t xml:space="preserve">按照招标文件规定的方式（招标文件未规定的通过</w:t>
      </w:r>
      <w:r>
        <w:rPr>
          <w:rFonts w:hint="eastAsia" w:ascii="宋体" w:hAnsi="宋体" w:eastAsia="宋体" w:cs="宋体"/>
          <w:color w:val="auto"/>
          <w:sz w:val="24"/>
          <w:highlight w:val="none"/>
        </w:rPr>
        <w:t xml:space="preserve">随机抽取</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rPr>
        <w:t xml:space="preserve">方式</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确定一个参加评标的投标人，其他投标无效。</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eastAsia="宋体" w:cs="宋体"/>
          <w:color w:val="auto"/>
          <w:sz w:val="24"/>
          <w:highlight w:val="none"/>
        </w:rPr>
        <w:t xml:space="preserve">根据招标文件规定的方式（招标文件未规定的采取随机抽取的方式）</w:t>
      </w:r>
      <w:r>
        <w:rPr>
          <w:rFonts w:hint="eastAsia" w:ascii="宋体" w:hAnsi="宋体" w:eastAsia="宋体" w:cs="宋体"/>
          <w:color w:val="auto"/>
          <w:sz w:val="24"/>
          <w:highlight w:val="none"/>
        </w:rPr>
        <w:t xml:space="preserve">确定</w:t>
      </w:r>
      <w:r>
        <w:rPr>
          <w:rFonts w:hint="eastAsia" w:ascii="宋体" w:hAnsi="宋体" w:eastAsia="宋体" w:cs="宋体"/>
          <w:color w:val="auto"/>
          <w:sz w:val="24"/>
          <w:highlight w:val="none"/>
        </w:rPr>
        <w:t xml:space="preserve">一个中标候选人</w:t>
      </w:r>
      <w:r>
        <w:rPr>
          <w:rFonts w:hint="eastAsia" w:ascii="宋体" w:hAnsi="宋体" w:eastAsia="宋体" w:cs="宋体"/>
          <w:color w:val="auto"/>
          <w:sz w:val="24"/>
          <w:highlight w:val="none"/>
        </w:rPr>
        <w:t xml:space="preserve">，其他同品牌投标人不作为中标候选人。</w:t>
      </w:r>
      <w:r/>
    </w:p>
    <w:p>
      <w:pPr>
        <w:ind w:firstLine="42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非单一产品采购项目，招标文件中</w:t>
      </w:r>
      <w:r>
        <w:rPr>
          <w:rFonts w:hint="eastAsia" w:ascii="宋体" w:hAnsi="宋体" w:eastAsia="宋体" w:cs="宋体"/>
          <w:color w:val="auto"/>
          <w:sz w:val="24"/>
          <w:highlight w:val="none"/>
        </w:rPr>
        <w:t xml:space="preserve">将载明其中的核心产品</w:t>
      </w:r>
      <w:r>
        <w:rPr>
          <w:rFonts w:hint="eastAsia" w:ascii="宋体" w:hAnsi="宋体" w:eastAsia="宋体" w:cs="宋体"/>
          <w:color w:val="auto"/>
          <w:sz w:val="24"/>
          <w:highlight w:val="none"/>
        </w:rPr>
        <w:t xml:space="preserve">。多家投标人提供的核心产品品牌相同的，按前两款规定处理。</w:t>
      </w:r>
      <w:r/>
    </w:p>
    <w:p>
      <w:pPr>
        <w:ind w:firstLine="420"/>
        <w:spacing w:line="561"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bookmarkStart w:id="178" w:name="_Toc513029234"/>
      <w:r/>
      <w:bookmarkStart w:id="179" w:name="_Toc20823306"/>
      <w:r/>
      <w:bookmarkStart w:id="180" w:name="_Toc16938550"/>
      <w:r>
        <w:rPr>
          <w:rFonts w:hint="eastAsia" w:ascii="宋体" w:hAnsi="宋体" w:eastAsia="宋体" w:cs="宋体"/>
          <w:color w:val="auto"/>
          <w:sz w:val="24"/>
          <w:highlight w:val="none"/>
        </w:rPr>
        <w:t xml:space="preserve">26.7</w:t>
      </w:r>
      <w:r>
        <w:rPr>
          <w:rFonts w:hint="eastAsia" w:ascii="宋体" w:hAnsi="宋体" w:eastAsia="宋体" w:cs="宋体"/>
          <w:color w:val="auto"/>
          <w:sz w:val="24"/>
          <w:highlight w:val="none"/>
        </w:rPr>
        <w:t xml:space="preserve">异常低价投标审查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26.7.1</w:t>
      </w:r>
      <w:r>
        <w:rPr>
          <w:rFonts w:hint="eastAsia" w:ascii="宋体" w:hAnsi="宋体" w:eastAsia="宋体" w:cs="宋体"/>
          <w:color w:val="auto"/>
          <w:sz w:val="24"/>
          <w:szCs w:val="24"/>
          <w:highlight w:val="none"/>
        </w:rPr>
        <w:t xml:space="preserve">依据《财库〔2026〕2号》规定，政府采购评审中出现下列情形之一的，评审委员会应当启动异常低价投标（响应）审查程序：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3.投标（响应）报价低于采购项目最高限价45%的，即投标（响应）报价&lt;采购项目最高限价×45%；</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26.7.</w:t>
      </w:r>
      <w:r>
        <w:rPr>
          <w:rFonts w:hint="eastAsia" w:ascii="宋体" w:hAnsi="宋体" w:eastAsia="宋体" w:cs="宋体"/>
          <w:color w:val="auto"/>
          <w:sz w:val="24"/>
          <w:szCs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26.7.</w:t>
      </w:r>
      <w:r>
        <w:rPr>
          <w:rFonts w:hint="eastAsia" w:ascii="宋体" w:hAnsi="宋体" w:eastAsia="宋体" w:cs="宋体"/>
          <w:color w:val="auto"/>
          <w:sz w:val="24"/>
          <w:szCs w:val="24"/>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26.8投标人在开、评标全过程中应随时保持系统在线，及时在</w:t>
      </w:r>
      <w:r>
        <w:rPr>
          <w:rFonts w:hint="eastAsia" w:ascii="宋体" w:hAnsi="宋体" w:eastAsia="宋体" w:cs="宋体"/>
          <w:color w:val="auto"/>
          <w:sz w:val="24"/>
          <w:szCs w:val="24"/>
          <w:highlight w:val="none"/>
        </w:rPr>
        <w:t xml:space="preserve">“苏采云”系统</w:t>
      </w:r>
      <w:r>
        <w:rPr>
          <w:rFonts w:hint="eastAsia" w:ascii="宋体" w:hAnsi="宋体" w:eastAsia="宋体" w:cs="宋体"/>
          <w:color w:val="auto"/>
          <w:sz w:val="24"/>
          <w:highlight w:val="none"/>
        </w:rPr>
        <w:t xml:space="preserve">查阅、答复相关信息。</w:t>
      </w:r>
      <w:r/>
    </w:p>
    <w:p>
      <w:pPr>
        <w:pStyle w:val="1142"/>
        <w:ind w:firstLine="420"/>
        <w:spacing w:before="0" w:after="0" w:line="56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27、</w:t>
      </w:r>
      <w:bookmarkEnd w:id="178"/>
      <w:r/>
      <w:bookmarkEnd w:id="179"/>
      <w:r/>
      <w:bookmarkEnd w:id="180"/>
      <w:r>
        <w:rPr>
          <w:rFonts w:hint="eastAsia" w:ascii="宋体" w:hAnsi="宋体" w:eastAsia="宋体" w:cs="宋体"/>
          <w:b/>
          <w:bCs/>
          <w:color w:val="auto"/>
          <w:highlight w:val="none"/>
        </w:rPr>
        <w:t xml:space="preserve">无效投标条款和废标条款</w:t>
      </w:r>
      <w:r/>
    </w:p>
    <w:p>
      <w:pPr>
        <w:ind w:firstLine="480"/>
        <w:spacing w:line="560" w:lineRule="exact"/>
        <w:rPr>
          <w:rFonts w:hint="eastAsia" w:ascii="宋体" w:hAnsi="宋体" w:eastAsia="宋体" w:cs="宋体"/>
          <w:bCs/>
          <w:color w:val="auto"/>
          <w:sz w:val="24"/>
          <w:szCs w:val="24"/>
          <w:highlight w:val="none"/>
        </w:rPr>
      </w:pPr>
      <w:r/>
      <w:bookmarkStart w:id="181" w:name="_Toc16938551"/>
      <w:r/>
      <w:bookmarkStart w:id="182" w:name="_Toc20823307"/>
      <w:r/>
      <w:bookmarkStart w:id="183" w:name="_Toc513029235"/>
      <w:r>
        <w:rPr>
          <w:rFonts w:hint="eastAsia" w:ascii="宋体" w:hAnsi="宋体" w:eastAsia="宋体" w:cs="宋体"/>
          <w:bCs/>
          <w:color w:val="auto"/>
          <w:sz w:val="24"/>
          <w:szCs w:val="24"/>
          <w:highlight w:val="none"/>
        </w:rPr>
        <w:t xml:space="preserve">27.1无效投标条款</w:t>
      </w:r>
      <w:r/>
    </w:p>
    <w:p>
      <w:pPr>
        <w:ind w:firstLine="48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27</w:t>
      </w:r>
      <w:r>
        <w:rPr>
          <w:rFonts w:hint="eastAsia" w:ascii="宋体" w:hAnsi="宋体" w:eastAsia="宋体" w:cs="宋体"/>
          <w:bCs/>
          <w:color w:val="auto"/>
          <w:sz w:val="24"/>
          <w:szCs w:val="24"/>
          <w:highlight w:val="none"/>
        </w:rPr>
        <w:t xml:space="preserve">.1.1 投标人在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规定的时间内未成功解密电子投标文件的。</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27.1.2 投标人未按照招标文件要求上传电子投标文件的。</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27.1.3同一投标人提交两个（含两个）以上不同的投标报价的。</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27.1.4投标人不具备招标文件中规定的资格要求的。</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27.1.5投标人的报价超过了采购预算或最高限价的。</w:t>
      </w:r>
      <w:r/>
    </w:p>
    <w:p>
      <w:pPr>
        <w:ind w:firstLine="480"/>
        <w:spacing w:line="560" w:lineRule="exact"/>
        <w:rPr>
          <w:rFonts w:hint="eastAsia" w:ascii="宋体" w:hAnsi="宋体" w:eastAsia="宋体" w:cs="宋体"/>
          <w:bCs/>
          <w:i/>
          <w:color w:val="auto"/>
          <w:sz w:val="24"/>
          <w:highlight w:val="none"/>
          <w:u w:val="single"/>
        </w:rPr>
      </w:pPr>
      <w:r>
        <w:rPr>
          <w:rFonts w:hint="eastAsia" w:ascii="宋体" w:hAnsi="宋体" w:eastAsia="宋体" w:cs="宋体"/>
          <w:bCs/>
          <w:color w:val="auto"/>
          <w:sz w:val="24"/>
          <w:highlight w:val="none"/>
        </w:rPr>
        <w:t xml:space="preserve">27.1.6未通过符合性审查的。</w:t>
      </w:r>
      <w:r/>
    </w:p>
    <w:p>
      <w:pPr>
        <w:ind w:firstLine="36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27.1.7不符合招标文件中规定的实质性要求和条件的（</w:t>
      </w:r>
      <w:r>
        <w:rPr>
          <w:rFonts w:hint="eastAsia" w:ascii="宋体" w:hAnsi="宋体" w:eastAsia="宋体" w:cs="宋体"/>
          <w:bCs/>
          <w:color w:val="auto"/>
          <w:sz w:val="24"/>
          <w:highlight w:val="none"/>
          <w:u w:val="single"/>
        </w:rPr>
        <w:t xml:space="preserve">加斜体下划线内容或打“★”内容为实质性要求和条件</w:t>
      </w:r>
      <w:r>
        <w:rPr>
          <w:rFonts w:hint="eastAsia" w:ascii="宋体" w:hAnsi="宋体" w:eastAsia="宋体" w:cs="宋体"/>
          <w:bCs/>
          <w:color w:val="auto"/>
          <w:sz w:val="24"/>
          <w:highlight w:val="none"/>
        </w:rPr>
        <w:t xml:space="preserve">）。</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27.1.9 投标文件含有采购人不能接受的附加条件的。</w:t>
      </w:r>
      <w:r/>
    </w:p>
    <w:p>
      <w:pPr>
        <w:ind w:firstLine="42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27.1.10评委会认为投标人的报价明显低于其他通过符合性审查投标人的报价，有可能影响产品质量或者不能诚信履约的，将通过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highlight w:val="none"/>
        </w:rPr>
        <w:t xml:space="preserve">要求其在合理的时间内提供说明，必要时提交相关证明材料；投标人不能证明其报价合理性的，评委会应当将其作为无效投标处理。</w:t>
      </w:r>
      <w:r/>
    </w:p>
    <w:p>
      <w:pPr>
        <w:ind w:firstLine="420"/>
        <w:spacing w:line="560" w:lineRule="exact"/>
        <w:rPr>
          <w:rFonts w:hint="eastAsia" w:ascii="宋体" w:hAnsi="宋体" w:eastAsia="宋体" w:cs="宋体"/>
          <w:color w:val="auto"/>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val="zh-CN"/>
        </w:rPr>
        <w:t xml:space="preserve">.1.11本项目采购产品被财政部、国家发展改革委、生态环境部等列入“节能产品品目清单”“环境标志产品品目清单”强制采购范围，而</w:t>
      </w: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lang w:val="zh-CN"/>
        </w:rPr>
        <w:t xml:space="preserve">所</w:t>
      </w:r>
      <w:r>
        <w:rPr>
          <w:rFonts w:hint="eastAsia" w:ascii="宋体" w:hAnsi="宋体" w:eastAsia="宋体" w:cs="宋体"/>
          <w:color w:val="auto"/>
          <w:sz w:val="24"/>
          <w:highlight w:val="none"/>
        </w:rPr>
        <w:t xml:space="preserve">投</w:t>
      </w:r>
      <w:r>
        <w:rPr>
          <w:rFonts w:hint="eastAsia" w:ascii="宋体" w:hAnsi="宋体" w:eastAsia="宋体" w:cs="宋体"/>
          <w:color w:val="auto"/>
          <w:sz w:val="24"/>
          <w:highlight w:val="none"/>
          <w:lang w:val="zh-CN"/>
        </w:rPr>
        <w:t xml:space="preserve">产品不在强制采购范围内的。（</w:t>
      </w:r>
      <w:r>
        <w:rPr>
          <w:rFonts w:hint="eastAsia" w:ascii="宋体" w:hAnsi="宋体" w:eastAsia="宋体" w:cs="宋体"/>
          <w:color w:val="auto"/>
          <w:sz w:val="24"/>
          <w:highlight w:val="none"/>
        </w:rPr>
        <w:t xml:space="preserve">所投</w:t>
      </w:r>
      <w:r>
        <w:rPr>
          <w:rFonts w:hint="eastAsia" w:ascii="宋体" w:hAnsi="宋体" w:eastAsia="宋体" w:cs="宋体"/>
          <w:color w:val="auto"/>
          <w:sz w:val="24"/>
          <w:highlight w:val="none"/>
          <w:lang w:val="zh-CN"/>
        </w:rPr>
        <w:t xml:space="preserve">产品如属于政府强制采购节能产品品目清单范围内，</w:t>
      </w:r>
      <w:r>
        <w:rPr>
          <w:rFonts w:hint="eastAsia" w:ascii="宋体" w:hAnsi="宋体" w:eastAsia="宋体" w:cs="宋体"/>
          <w:color w:val="auto"/>
          <w:sz w:val="24"/>
          <w:highlight w:val="none"/>
        </w:rPr>
        <w:t xml:space="preserve">投标</w:t>
      </w:r>
      <w:r>
        <w:rPr>
          <w:rFonts w:hint="eastAsia" w:ascii="宋体" w:hAnsi="宋体" w:eastAsia="宋体" w:cs="宋体"/>
          <w:color w:val="auto"/>
          <w:sz w:val="24"/>
          <w:highlight w:val="none"/>
          <w:lang w:val="zh-CN"/>
        </w:rPr>
        <w:t xml:space="preserve">文件中必须提供国家确定的认证机构出具的、处于有效期之内的该节能产品认证证书图片）。</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27.1.12 投标文件未按照招标文件要求加盖CA</w:t>
      </w:r>
      <w:r>
        <w:rPr>
          <w:rFonts w:hint="eastAsia" w:ascii="宋体" w:hAnsi="宋体" w:eastAsia="宋体" w:cs="宋体"/>
          <w:bCs/>
          <w:color w:val="auto"/>
          <w:sz w:val="24"/>
          <w:highlight w:val="none"/>
        </w:rPr>
        <w:t xml:space="preserve">电子公章的</w:t>
      </w:r>
      <w:r>
        <w:rPr>
          <w:rFonts w:hint="eastAsia" w:ascii="宋体" w:hAnsi="宋体" w:eastAsia="宋体" w:cs="宋体"/>
          <w:bCs/>
          <w:color w:val="auto"/>
          <w:sz w:val="24"/>
          <w:highlight w:val="none"/>
        </w:rPr>
        <w:t xml:space="preserve">。</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27.1.13其他法律、法规及本招标文件规定的属无效投标的27.2废标条款</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27.2.1符合专业条件的投标人或者对招标文件作实质响应的投标人不足三家的。</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27.2.2出现影响采购公正的违法、违规行为的。</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27.2.3因重大变故，采购任务取消的。</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27.2.4评委会认定招标文件存在歧义、重大缺陷导致评审工作无法进行。</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27.2.5 因“苏采云”系统故障</w:t>
      </w:r>
      <w:r>
        <w:rPr>
          <w:rFonts w:hint="eastAsia" w:ascii="宋体" w:hAnsi="宋体" w:eastAsia="宋体" w:cs="宋体"/>
          <w:bCs/>
          <w:color w:val="auto"/>
          <w:sz w:val="24"/>
          <w:highlight w:val="none"/>
        </w:rPr>
        <w:t xml:space="preserve">原因造成开标不成功</w:t>
      </w:r>
      <w:r>
        <w:rPr>
          <w:rFonts w:hint="eastAsia" w:ascii="宋体" w:hAnsi="宋体" w:eastAsia="宋体" w:cs="宋体"/>
          <w:bCs/>
          <w:color w:val="auto"/>
          <w:sz w:val="24"/>
          <w:highlight w:val="none"/>
        </w:rPr>
        <w:t xml:space="preserve">的</w:t>
      </w:r>
      <w:r>
        <w:rPr>
          <w:rFonts w:hint="eastAsia" w:ascii="宋体" w:hAnsi="宋体" w:eastAsia="宋体" w:cs="宋体"/>
          <w:bCs/>
          <w:color w:val="auto"/>
          <w:sz w:val="24"/>
          <w:highlight w:val="none"/>
        </w:rPr>
        <w:t xml:space="preserve">。</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27.3 投标截止时间结束后参加投标的投标人不足三家的处理：</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27.3.1如出现投标截止时间结束后参加投标的投标人或者在评标期间对招标文件做出实质响应的投标人不足三家情况，按政府采购相关规定执行。</w:t>
      </w:r>
      <w:r/>
    </w:p>
    <w:p>
      <w:pPr>
        <w:pStyle w:val="1140"/>
        <w:ind w:firstLine="482"/>
        <w:spacing w:before="0" w:after="0" w:line="560" w:lineRule="exact"/>
        <w:rPr>
          <w:rFonts w:hint="eastAsia" w:ascii="宋体" w:hAnsi="宋体" w:eastAsia="宋体" w:cs="宋体"/>
          <w:color w:val="auto"/>
          <w:highlight w:val="none"/>
        </w:rPr>
      </w:pPr>
      <w:r/>
      <w:bookmarkStart w:id="184" w:name="_Toc120614219"/>
      <w:r>
        <w:rPr>
          <w:rFonts w:hint="eastAsia" w:ascii="宋体" w:hAnsi="宋体" w:eastAsia="宋体" w:cs="宋体"/>
          <w:color w:val="auto"/>
          <w:highlight w:val="none"/>
        </w:rPr>
        <w:t xml:space="preserve">六、</w:t>
      </w:r>
      <w:bookmarkEnd w:id="181"/>
      <w:r/>
      <w:bookmarkEnd w:id="182"/>
      <w:r/>
      <w:bookmarkEnd w:id="183"/>
      <w:r>
        <w:rPr>
          <w:rFonts w:hint="eastAsia" w:ascii="宋体" w:hAnsi="宋体" w:eastAsia="宋体" w:cs="宋体"/>
          <w:color w:val="auto"/>
          <w:highlight w:val="none"/>
        </w:rPr>
        <w:t xml:space="preserve">定标</w:t>
      </w:r>
      <w:bookmarkEnd w:id="184"/>
      <w:r/>
      <w:r/>
    </w:p>
    <w:p>
      <w:pPr>
        <w:pStyle w:val="1142"/>
        <w:ind w:firstLine="600"/>
        <w:spacing w:before="0" w:after="0" w:line="560" w:lineRule="exact"/>
        <w:rPr>
          <w:rFonts w:hint="eastAsia" w:ascii="宋体" w:hAnsi="宋体" w:eastAsia="宋体" w:cs="宋体"/>
          <w:b/>
          <w:bCs w:val="0"/>
          <w:color w:val="auto"/>
          <w:sz w:val="30"/>
          <w:szCs w:val="30"/>
          <w:highlight w:val="none"/>
        </w:rPr>
      </w:pPr>
      <w:r/>
      <w:bookmarkStart w:id="185" w:name="_Toc513029238"/>
      <w:r/>
      <w:bookmarkStart w:id="186" w:name="_Toc20823310"/>
      <w:r/>
      <w:bookmarkStart w:id="187" w:name="_Toc16938554"/>
      <w:r>
        <w:rPr>
          <w:rFonts w:hint="eastAsia" w:ascii="宋体" w:hAnsi="宋体" w:eastAsia="宋体" w:cs="宋体"/>
          <w:b/>
          <w:bCs w:val="0"/>
          <w:color w:val="auto"/>
          <w:sz w:val="30"/>
          <w:szCs w:val="30"/>
          <w:highlight w:val="none"/>
        </w:rPr>
        <w:t xml:space="preserve">28、</w:t>
      </w:r>
      <w:bookmarkEnd w:id="185"/>
      <w:r>
        <w:rPr>
          <w:rFonts w:hint="eastAsia" w:ascii="宋体" w:hAnsi="宋体" w:eastAsia="宋体" w:cs="宋体"/>
          <w:b/>
          <w:bCs w:val="0"/>
          <w:color w:val="auto"/>
          <w:sz w:val="30"/>
          <w:szCs w:val="30"/>
          <w:highlight w:val="none"/>
        </w:rPr>
        <w:t xml:space="preserve">确定</w:t>
      </w:r>
      <w:bookmarkEnd w:id="186"/>
      <w:r/>
      <w:bookmarkEnd w:id="187"/>
      <w:r>
        <w:rPr>
          <w:rFonts w:hint="eastAsia" w:ascii="宋体" w:hAnsi="宋体" w:eastAsia="宋体" w:cs="宋体"/>
          <w:b/>
          <w:bCs w:val="0"/>
          <w:color w:val="auto"/>
          <w:sz w:val="30"/>
          <w:szCs w:val="30"/>
          <w:highlight w:val="none"/>
        </w:rPr>
        <w:t xml:space="preserve">中标单位</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28.1中标候选人的选取原则和数量见招标文件第五章规定。 </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w:t>
      </w:r>
      <w:r>
        <w:rPr>
          <w:rFonts w:hint="eastAsia" w:ascii="宋体" w:hAnsi="宋体" w:eastAsia="宋体" w:cs="宋体"/>
          <w:bCs/>
          <w:color w:val="auto"/>
          <w:sz w:val="24"/>
          <w:highlight w:val="none"/>
        </w:rPr>
        <w:t xml:space="preserve">8</w:t>
      </w:r>
      <w:r>
        <w:rPr>
          <w:rFonts w:hint="eastAsia" w:ascii="宋体" w:hAnsi="宋体" w:eastAsia="宋体" w:cs="宋体"/>
          <w:bCs/>
          <w:color w:val="auto"/>
          <w:sz w:val="24"/>
          <w:highlight w:val="none"/>
          <w:lang w:val="zh-CN"/>
        </w:rPr>
        <w:t xml:space="preserve">.2 按以下第</w:t>
      </w:r>
      <w:r>
        <w:rPr>
          <w:rFonts w:hint="eastAsia" w:ascii="宋体" w:hAnsi="宋体" w:eastAsia="宋体" w:cs="宋体"/>
          <w:bCs/>
          <w:color w:val="auto"/>
          <w:sz w:val="24"/>
          <w:highlight w:val="none"/>
          <w:u w:val="single"/>
          <w:lang w:val="zh-CN"/>
        </w:rPr>
        <w:t xml:space="preserve">（</w:t>
      </w:r>
      <w:r>
        <w:rPr>
          <w:rFonts w:hint="eastAsia" w:ascii="宋体" w:hAnsi="宋体" w:eastAsia="宋体" w:cs="宋体"/>
          <w:bCs/>
          <w:color w:val="auto"/>
          <w:sz w:val="24"/>
          <w:highlight w:val="none"/>
          <w:u w:val="single"/>
        </w:rPr>
        <w:t xml:space="preserve">1</w:t>
      </w:r>
      <w:r>
        <w:rPr>
          <w:rFonts w:hint="eastAsia" w:ascii="宋体" w:hAnsi="宋体" w:eastAsia="宋体" w:cs="宋体"/>
          <w:bCs/>
          <w:color w:val="auto"/>
          <w:sz w:val="24"/>
          <w:highlight w:val="none"/>
          <w:u w:val="single"/>
          <w:lang w:val="zh-CN"/>
        </w:rPr>
        <w:t xml:space="preserve">）</w:t>
      </w:r>
      <w:r>
        <w:rPr>
          <w:rFonts w:hint="eastAsia" w:ascii="宋体" w:hAnsi="宋体" w:eastAsia="宋体" w:cs="宋体"/>
          <w:bCs/>
          <w:color w:val="auto"/>
          <w:sz w:val="24"/>
          <w:highlight w:val="none"/>
          <w:lang w:val="zh-CN"/>
        </w:rPr>
        <w:t xml:space="preserve">种方式确定中标人</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（1）评委会直接确定排名第一的中标候选人为中标人；</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（2）采购人在评委会推荐的中标候选人中按顺序确定中标人。</w:t>
      </w:r>
      <w:r/>
    </w:p>
    <w:p>
      <w:pPr>
        <w:ind w:firstLine="480"/>
        <w:spacing w:line="560" w:lineRule="exact"/>
        <w:rPr>
          <w:rFonts w:hint="eastAsia" w:ascii="宋体" w:hAnsi="宋体" w:eastAsia="宋体" w:cs="宋体"/>
          <w:color w:val="auto"/>
          <w:highlight w:val="none"/>
        </w:rPr>
      </w:pPr>
      <w:r>
        <w:rPr>
          <w:rFonts w:hint="eastAsia" w:ascii="宋体" w:hAnsi="宋体" w:eastAsia="宋体" w:cs="宋体"/>
          <w:bCs/>
          <w:color w:val="auto"/>
          <w:sz w:val="24"/>
          <w:highlight w:val="none"/>
          <w:lang w:val="zh-CN"/>
        </w:rPr>
        <w:t xml:space="preserve">按第</w:t>
      </w: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val="zh-CN"/>
        </w:rPr>
        <w:t xml:space="preserve">种方式确定中标人的，</w:t>
      </w:r>
      <w:r>
        <w:rPr>
          <w:rFonts w:hint="eastAsia" w:ascii="宋体" w:hAnsi="宋体" w:eastAsia="宋体" w:cs="宋体"/>
          <w:bCs/>
          <w:color w:val="auto"/>
          <w:sz w:val="24"/>
          <w:highlight w:val="none"/>
        </w:rPr>
        <w:t xml:space="preserve">采购代理机构</w:t>
      </w:r>
      <w:r>
        <w:rPr>
          <w:rFonts w:hint="eastAsia" w:ascii="宋体" w:hAnsi="宋体" w:eastAsia="宋体" w:cs="宋体"/>
          <w:bCs/>
          <w:color w:val="auto"/>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28.3 </w:t>
      </w:r>
      <w:r>
        <w:rPr>
          <w:rFonts w:hint="eastAsia" w:ascii="宋体" w:hAnsi="宋体" w:eastAsia="宋体" w:cs="宋体"/>
          <w:color w:val="auto"/>
          <w:sz w:val="24"/>
          <w:szCs w:val="24"/>
          <w:highlight w:val="none"/>
        </w:rPr>
        <w:t xml:space="preserve">采购代理机构将在“宿迁市政府采购网”发布中标公告，公告期限为1个工作日。</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若有充分证据证明，中标人出现下列情况之一的，一经查实，将被取消中标资格：</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28.4.2向采购人、采购代理机构行贿或者提供其他不正当利益的。</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28.4.4与采购人或者其他投标人恶意串通的。</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28.4.5采取不正当手段诋毁、排挤其他投标人的。</w:t>
      </w:r>
      <w:r/>
    </w:p>
    <w:p>
      <w:pPr>
        <w:ind w:firstLine="480"/>
        <w:spacing w:line="560" w:lineRule="exact"/>
        <w:rPr>
          <w:rFonts w:hint="eastAsia" w:ascii="宋体" w:hAnsi="宋体" w:eastAsia="宋体" w:cs="宋体"/>
          <w:color w:val="auto"/>
          <w:sz w:val="24"/>
          <w:szCs w:val="24"/>
          <w:highlight w:val="none"/>
        </w:rPr>
      </w:pPr>
      <w:r/>
      <w:bookmarkStart w:id="188" w:name="_Toc200451960"/>
      <w:r>
        <w:rPr>
          <w:rFonts w:hint="eastAsia" w:ascii="宋体" w:hAnsi="宋体" w:eastAsia="宋体" w:cs="宋体"/>
          <w:color w:val="auto"/>
          <w:sz w:val="24"/>
          <w:szCs w:val="24"/>
          <w:highlight w:val="none"/>
        </w:rPr>
        <w:t xml:space="preserve">28.5 </w:t>
      </w:r>
      <w:r>
        <w:rPr>
          <w:rFonts w:hint="eastAsia" w:ascii="宋体" w:hAnsi="宋体" w:eastAsia="宋体" w:cs="宋体"/>
          <w:color w:val="auto"/>
          <w:sz w:val="24"/>
          <w:szCs w:val="24"/>
          <w:highlight w:val="none"/>
        </w:rPr>
        <w:t xml:space="preserve">有下列情形之一的，</w:t>
      </w:r>
      <w:r>
        <w:rPr>
          <w:rFonts w:hint="eastAsia" w:ascii="宋体" w:hAnsi="宋体" w:eastAsia="宋体" w:cs="宋体"/>
          <w:color w:val="auto"/>
          <w:sz w:val="24"/>
          <w:szCs w:val="24"/>
          <w:highlight w:val="none"/>
        </w:rPr>
        <w:t xml:space="preserve">视为投标人</w:t>
      </w:r>
      <w:r>
        <w:rPr>
          <w:rFonts w:hint="eastAsia" w:ascii="宋体" w:hAnsi="宋体" w:eastAsia="宋体" w:cs="宋体"/>
          <w:color w:val="auto"/>
          <w:sz w:val="24"/>
          <w:szCs w:val="24"/>
          <w:highlight w:val="none"/>
        </w:rPr>
        <w:t xml:space="preserve">串通</w:t>
      </w:r>
      <w:r>
        <w:rPr>
          <w:rFonts w:hint="eastAsia" w:ascii="宋体" w:hAnsi="宋体" w:eastAsia="宋体" w:cs="宋体"/>
          <w:color w:val="auto"/>
          <w:sz w:val="24"/>
          <w:szCs w:val="24"/>
          <w:highlight w:val="none"/>
        </w:rPr>
        <w:t xml:space="preserve">投标，投标无效：</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不同投标人的投标文件载明的项目管理成员或者联系人员为同一人。</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1142"/>
        <w:ind w:firstLine="600"/>
        <w:spacing w:before="0" w:after="0" w:line="560" w:lineRule="exact"/>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29、质疑处理</w:t>
      </w:r>
      <w:bookmarkEnd w:id="188"/>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提出质疑的投标人应当是参与所质疑项目采购活动的投标人。潜在投标人依法获取其可质疑的采购文件的，可以对采购文件提出质疑。</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29.2投标人认为采购文件、采购过程和采购结果使自己的权益受到损害的，可以在知道或应知其权益受到损害之日起七个工作日内，</w:t>
      </w:r>
      <w:bookmarkStart w:id="189" w:name="OLE_LINK2"/>
      <w:r>
        <w:rPr>
          <w:rFonts w:hint="eastAsia" w:ascii="宋体" w:hAnsi="宋体" w:eastAsia="宋体" w:cs="宋体"/>
          <w:b/>
          <w:bCs/>
          <w:color w:val="auto"/>
          <w:sz w:val="24"/>
          <w:highlight w:val="none"/>
        </w:rPr>
        <w:t xml:space="preserve">登录“苏采云”系统，从“项目质疑申请”模块向采购人提出质疑</w:t>
      </w:r>
      <w:bookmarkEnd w:id="189"/>
      <w:r>
        <w:rPr>
          <w:rFonts w:hint="eastAsia" w:ascii="宋体" w:hAnsi="宋体" w:eastAsia="宋体" w:cs="宋体"/>
          <w:b/>
          <w:bCs/>
          <w:color w:val="auto"/>
          <w:sz w:val="24"/>
          <w:highlight w:val="none"/>
        </w:rPr>
        <w:t xml:space="preserve">。</w:t>
      </w:r>
      <w:bookmarkStart w:id="190" w:name="OLE_LINK1"/>
      <w:r>
        <w:rPr>
          <w:rFonts w:hint="eastAsia" w:ascii="宋体" w:hAnsi="宋体" w:eastAsia="宋体" w:cs="宋体"/>
          <w:color w:val="auto"/>
          <w:sz w:val="24"/>
          <w:highlight w:val="none"/>
        </w:rPr>
        <w:t xml:space="preserve">质疑联系部门、联系电话、通讯地址详见采购公告。</w:t>
      </w:r>
      <w:bookmarkEnd w:id="190"/>
      <w:r>
        <w:rPr>
          <w:rFonts w:hint="eastAsia" w:ascii="宋体" w:hAnsi="宋体" w:eastAsia="宋体" w:cs="宋体"/>
          <w:color w:val="auto"/>
          <w:sz w:val="24"/>
          <w:szCs w:val="24"/>
          <w:highlight w:val="none"/>
        </w:rPr>
        <w:t xml:space="preserve">上述应知其权益受到损害之日，是指：</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w:t>
      </w:r>
      <w:r>
        <w:rPr>
          <w:rFonts w:hint="eastAsia" w:ascii="宋体" w:hAnsi="宋体" w:eastAsia="宋体" w:cs="宋体"/>
          <w:color w:val="auto"/>
          <w:sz w:val="24"/>
          <w:szCs w:val="24"/>
          <w:highlight w:val="none"/>
        </w:rPr>
        <w:t xml:space="preserve">对可以质疑的采购文件提出质疑的，为收到采购文件之日或者采购文件公告期限届满之日；</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w:t>
      </w:r>
      <w:r>
        <w:rPr>
          <w:rFonts w:hint="eastAsia" w:ascii="宋体" w:hAnsi="宋体" w:eastAsia="宋体" w:cs="宋体"/>
          <w:color w:val="auto"/>
          <w:sz w:val="24"/>
          <w:szCs w:val="24"/>
          <w:highlight w:val="none"/>
        </w:rPr>
        <w:t xml:space="preserve">对采购过程提出质疑的，为各采购程序环节结束之日；</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w:t>
      </w:r>
      <w:r>
        <w:rPr>
          <w:rFonts w:hint="eastAsia" w:ascii="宋体" w:hAnsi="宋体" w:eastAsia="宋体" w:cs="宋体"/>
          <w:color w:val="auto"/>
          <w:sz w:val="24"/>
          <w:szCs w:val="24"/>
          <w:highlight w:val="none"/>
        </w:rPr>
        <w:t xml:space="preserve">对中标或者成交结果提出质疑的，为中标或者成交结果公告期限届满之日。</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rPr>
        <w:t xml:space="preserve">将只对投标人第一次质疑作出答复。</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rPr>
        <w:t xml:space="preserve">.4 投标人应以书面形式向采购人或者其委托的采购代理机构提出质疑。质疑超出采购机构代理范围的，投标人应当向采购人提出。</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接收质疑函的方式：现场接收或邮寄接收。</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联系部门：</w:t>
      </w:r>
      <w:bookmarkStart w:id="191" w:name="EB587bd491a3fd493c8e729d1eaa56203a"/>
      <w:r>
        <w:rPr>
          <w:rFonts w:hint="eastAsia" w:ascii="宋体" w:hAnsi="宋体" w:eastAsia="宋体" w:cs="宋体"/>
          <w:color w:val="auto"/>
          <w:sz w:val="24"/>
          <w:szCs w:val="24"/>
          <w:highlight w:val="none"/>
        </w:rPr>
        <w:t xml:space="preserve">宿迁技师学院/宿迁市禾盛咨询有限公司</w:t>
      </w:r>
      <w:bookmarkEnd w:id="191"/>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bookmarkStart w:id="192" w:name="EB5b41b423f63941cebdd46b3e34fcab34"/>
      <w:r>
        <w:rPr>
          <w:rFonts w:ascii="宋体" w:hAnsi="宋体" w:cs="宋体"/>
          <w:sz w:val="24"/>
          <w:szCs w:val="24"/>
        </w:rPr>
        <w:t xml:space="preserve">13815775018</w:t>
      </w:r>
      <w:r>
        <w:rPr>
          <w:rFonts w:hint="eastAsia" w:ascii="宋体" w:hAnsi="宋体" w:eastAsia="宋体" w:cs="宋体"/>
          <w:color w:val="auto"/>
          <w:sz w:val="24"/>
          <w:szCs w:val="24"/>
          <w:highlight w:val="none"/>
        </w:rPr>
        <w:t xml:space="preserve">/</w:t>
      </w:r>
      <w:bookmarkEnd w:id="192"/>
      <w:r>
        <w:rPr>
          <w:rFonts w:hint="eastAsia" w:ascii="宋体" w:hAnsi="宋体" w:eastAsia="宋体" w:cs="宋体"/>
          <w:color w:val="auto"/>
          <w:sz w:val="24"/>
          <w:szCs w:val="24"/>
          <w:highlight w:val="none"/>
        </w:rPr>
        <w:t xml:space="preserve">0527-88855086/18114399553</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通讯地址：</w:t>
      </w:r>
      <w:bookmarkStart w:id="193" w:name="EB572fd27c0a4b41898944b1b4aad84cb2"/>
      <w:r>
        <w:rPr>
          <w:rFonts w:hint="eastAsia" w:ascii="宋体" w:hAnsi="宋体" w:eastAsia="宋体" w:cs="宋体"/>
          <w:color w:val="auto"/>
          <w:sz w:val="24"/>
          <w:szCs w:val="24"/>
          <w:highlight w:val="none"/>
        </w:rPr>
        <w:t xml:space="preserve">宿豫区黄山路17号/</w:t>
      </w:r>
      <w:bookmarkEnd w:id="193"/>
      <w:r>
        <w:rPr>
          <w:rFonts w:hint="eastAsia" w:ascii="宋体" w:hAnsi="宋体" w:eastAsia="宋体" w:cs="宋体"/>
          <w:color w:val="auto"/>
          <w:sz w:val="24"/>
          <w:szCs w:val="24"/>
          <w:highlight w:val="none"/>
        </w:rPr>
        <w:t xml:space="preserve">宿迁市宿城区项里街道思虞路2号</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未参加投标活动的投标人或在投标活动中自身权益未受到损害的投标人所提出的质疑。</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29.5.5投标人组成联合体参加投标，联合体中任何一方或多方未按要求签字、盖章、加盖公章的质疑。</w:t>
      </w:r>
      <w:r/>
    </w:p>
    <w:p>
      <w:pPr>
        <w:ind w:firstLine="468"/>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  质疑供应商对采购人、采购代理机构的答复不满意，或者采购人、采购代理机构未在规定时间内作出答复的，可以在答复期满后15个工作日内向同级财政部门提起投诉。</w:t>
      </w:r>
      <w:r/>
    </w:p>
    <w:p>
      <w:pPr>
        <w:pStyle w:val="1142"/>
        <w:ind w:firstLine="600"/>
        <w:spacing w:before="0" w:after="0" w:line="560" w:lineRule="exact"/>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30、中标通知书</w:t>
      </w:r>
      <w:r/>
    </w:p>
    <w:p>
      <w:pPr>
        <w:ind w:firstLine="600"/>
        <w:spacing w:line="560" w:lineRule="exact"/>
        <w:rPr>
          <w:rFonts w:hint="eastAsia" w:ascii="宋体" w:hAnsi="宋体" w:eastAsia="宋体" w:cs="宋体"/>
          <w:color w:val="auto"/>
          <w:sz w:val="24"/>
          <w:szCs w:val="24"/>
          <w:highlight w:val="none"/>
        </w:rPr>
      </w:pPr>
      <w:r/>
      <w:bookmarkStart w:id="194" w:name="_Toc20823308"/>
      <w:r/>
      <w:bookmarkStart w:id="195" w:name="_Toc120614220"/>
      <w:r/>
      <w:bookmarkStart w:id="196" w:name="_Toc513029236"/>
      <w:r/>
      <w:bookmarkStart w:id="197" w:name="_Toc16938552"/>
      <w:r>
        <w:rPr>
          <w:rFonts w:hint="eastAsia" w:ascii="宋体" w:hAnsi="宋体" w:eastAsia="宋体" w:cs="宋体"/>
          <w:color w:val="auto"/>
          <w:sz w:val="24"/>
          <w:szCs w:val="24"/>
          <w:highlight w:val="none"/>
        </w:rPr>
        <w:t xml:space="preserve">30.l</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140"/>
        <w:spacing w:before="0" w:after="0" w:line="5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七、授予合同</w:t>
      </w:r>
      <w:bookmarkEnd w:id="194"/>
      <w:r/>
      <w:bookmarkEnd w:id="195"/>
      <w:r/>
      <w:bookmarkEnd w:id="196"/>
      <w:r/>
      <w:bookmarkEnd w:id="197"/>
      <w:r/>
      <w:r/>
    </w:p>
    <w:p>
      <w:pPr>
        <w:pStyle w:val="1142"/>
        <w:ind w:firstLine="600"/>
        <w:spacing w:before="0" w:after="0" w:line="560" w:lineRule="exact"/>
        <w:rPr>
          <w:rFonts w:hint="eastAsia" w:ascii="宋体" w:hAnsi="宋体" w:eastAsia="宋体" w:cs="宋体"/>
          <w:b w:val="0"/>
          <w:color w:val="auto"/>
          <w:sz w:val="30"/>
          <w:szCs w:val="30"/>
          <w:highlight w:val="none"/>
        </w:rPr>
      </w:pPr>
      <w:r/>
      <w:bookmarkStart w:id="198" w:name="_Toc20823309"/>
      <w:r/>
      <w:bookmarkStart w:id="199" w:name="_Toc16938553"/>
      <w:r/>
      <w:bookmarkStart w:id="200" w:name="_Toc513029237"/>
      <w:r>
        <w:rPr>
          <w:rFonts w:hint="eastAsia" w:ascii="宋体" w:hAnsi="宋体" w:eastAsia="宋体" w:cs="宋体"/>
          <w:b w:val="0"/>
          <w:color w:val="auto"/>
          <w:sz w:val="30"/>
          <w:szCs w:val="30"/>
          <w:highlight w:val="none"/>
        </w:rPr>
        <w:t xml:space="preserve">31. 签订合同</w:t>
      </w:r>
      <w:r/>
    </w:p>
    <w:p>
      <w:pPr>
        <w:ind w:firstLine="60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.l中标人应当在中标通知书发出之日起</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日内，按照招标文件确定的事项与采购人签订政府采购合同。</w:t>
      </w:r>
      <w:r>
        <w:rPr>
          <w:rFonts w:hint="eastAsia" w:ascii="宋体" w:hAnsi="宋体" w:eastAsia="宋体" w:cs="宋体"/>
          <w:bCs/>
          <w:color w:val="auto"/>
          <w:sz w:val="24"/>
          <w:highlight w:val="none"/>
          <w:lang w:val="zh-CN"/>
        </w:rPr>
        <w:t xml:space="preserve">并在签订之日起2个工作日内将政府采购合同在指定的媒体上公告，但政府采购合同中涉及国家秘密、商业秘密的内容除外；</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31.4本项目的非主体、非关键性工作是否允许分包按以下第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种方式确定：</w:t>
      </w:r>
      <w:r/>
    </w:p>
    <w:p>
      <w:pPr>
        <w:ind w:firstLine="720"/>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1.允许分包，允许大中型企业向一家或者多家小微企业分包，分包具体内容、金额或比例：</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2.不允许分包。未经采购人同意，中标人也不得采用分包形式履行合同，否则采购人有权终止合同。转包或分包造成采购人损失的，中标人应承担相应赔偿责任。</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31.4履约保证金</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按照以下第</w:t>
      </w:r>
      <w:r>
        <w:rPr>
          <w:rFonts w:hint="eastAsia" w:ascii="宋体" w:hAnsi="宋体" w:eastAsia="宋体" w:cs="宋体"/>
          <w:bCs/>
          <w:color w:val="auto"/>
          <w:sz w:val="24"/>
          <w:highlight w:val="none"/>
          <w:u w:val="single"/>
        </w:rPr>
        <w:t xml:space="preserve"> (1) </w:t>
      </w:r>
      <w:r>
        <w:rPr>
          <w:rFonts w:hint="eastAsia" w:ascii="宋体" w:hAnsi="宋体" w:eastAsia="宋体" w:cs="宋体"/>
          <w:bCs/>
          <w:color w:val="auto"/>
          <w:sz w:val="24"/>
          <w:highlight w:val="none"/>
          <w:lang w:val="zh-CN"/>
        </w:rPr>
        <w:t xml:space="preserve">方式确定履约保证收取方式。</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（1）不收取履约保证金。</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（2）履约保证金应在采购合同签订前提交，履约保证金的金额：</w:t>
      </w:r>
      <w:r>
        <w:rPr>
          <w:rFonts w:hint="eastAsia" w:ascii="宋体" w:hAnsi="宋体" w:eastAsia="宋体" w:cs="宋体"/>
          <w:bCs/>
          <w:color w:val="auto"/>
          <w:sz w:val="24"/>
          <w:highlight w:val="none"/>
          <w:u w:val="single"/>
        </w:rPr>
        <w:t xml:space="preserve"> / </w:t>
      </w:r>
      <w:r>
        <w:rPr>
          <w:rFonts w:hint="eastAsia" w:ascii="宋体" w:hAnsi="宋体" w:eastAsia="宋体" w:cs="宋体"/>
          <w:bCs/>
          <w:color w:val="auto"/>
          <w:sz w:val="24"/>
          <w:highlight w:val="none"/>
          <w:u w:val="none"/>
        </w:rPr>
        <w:t xml:space="preserve">，</w:t>
      </w:r>
      <w:r>
        <w:rPr>
          <w:rFonts w:hint="eastAsia" w:ascii="宋体" w:hAnsi="宋体" w:eastAsia="宋体" w:cs="宋体"/>
          <w:bCs/>
          <w:color w:val="auto"/>
          <w:sz w:val="24"/>
          <w:highlight w:val="none"/>
          <w:lang w:val="zh-CN"/>
        </w:rPr>
        <w:t xml:space="preserve">按采购合同总价的</w:t>
      </w:r>
      <w:r>
        <w:rPr>
          <w:rFonts w:hint="eastAsia" w:ascii="宋体" w:hAnsi="宋体" w:eastAsia="宋体" w:cs="宋体"/>
          <w:bCs/>
          <w:color w:val="auto"/>
          <w:sz w:val="24"/>
          <w:highlight w:val="none"/>
          <w:u w:val="single"/>
        </w:rPr>
        <w:t xml:space="preserve"> / </w:t>
      </w:r>
      <w:r>
        <w:rPr>
          <w:rFonts w:hint="eastAsia" w:ascii="宋体" w:hAnsi="宋体" w:eastAsia="宋体" w:cs="宋体"/>
          <w:bCs/>
          <w:color w:val="auto"/>
          <w:sz w:val="24"/>
          <w:highlight w:val="none"/>
          <w:lang w:val="zh-CN"/>
        </w:rPr>
        <w:t xml:space="preserve">%计取。除银行电汇、网上银行、数字人民币外，投标人还可选用银行保函、担保公司的保证担保或保险公司的保证保险等多种形式向采购人缴纳；</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履约保证金退还的条件：按以下方式实行：</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货物类项目，项目验收合格，出具验收报告及履约保证金收据申请退付；</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履约保证金退还时间：采购单位收到投标人退付申请后5个工作日内退还；</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rPr>
        <w:t xml:space="preserve">保险</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rPr>
        <w:t xml:space="preserve"> 的通知》 </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rPr>
        <w:t xml:space="preserve">苏财购﹝2023﹞150号</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rPr>
        <w:t xml:space="preserve">。</w:t>
      </w:r>
      <w:r/>
    </w:p>
    <w:p>
      <w:pPr>
        <w:ind w:firstLine="600"/>
        <w:keepLines/>
        <w:keepNext/>
        <w:rPr>
          <w:rFonts w:hint="eastAsia" w:ascii="宋体" w:hAnsi="宋体" w:eastAsia="宋体" w:cs="宋体"/>
          <w:b/>
          <w:bCs w:val="0"/>
          <w:color w:val="auto"/>
          <w:sz w:val="30"/>
          <w:szCs w:val="30"/>
          <w:highlight w:val="none"/>
        </w:rPr>
        <w:outlineLvl w:val="3"/>
      </w:pPr>
      <w:r>
        <w:rPr>
          <w:rFonts w:hint="eastAsia" w:ascii="宋体" w:hAnsi="宋体" w:eastAsia="宋体" w:cs="宋体"/>
          <w:b/>
          <w:bCs w:val="0"/>
          <w:color w:val="auto"/>
          <w:sz w:val="30"/>
          <w:szCs w:val="30"/>
          <w:highlight w:val="none"/>
        </w:rPr>
        <w:t xml:space="preserve">32、货物（包含与货物相关的服务）的追加</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98"/>
      <w:r/>
      <w:bookmarkEnd w:id="199"/>
      <w:r/>
      <w:bookmarkEnd w:id="200"/>
      <w:r/>
      <w:r/>
    </w:p>
    <w:p>
      <w:pPr>
        <w:pStyle w:val="1142"/>
        <w:ind w:firstLine="600"/>
        <w:spacing w:before="0" w:after="0" w:line="560" w:lineRule="exact"/>
        <w:rPr>
          <w:rFonts w:hint="eastAsia" w:ascii="宋体" w:hAnsi="宋体" w:eastAsia="宋体" w:cs="宋体"/>
          <w:b/>
          <w:bCs w:val="0"/>
          <w:color w:val="auto"/>
          <w:sz w:val="30"/>
          <w:szCs w:val="30"/>
          <w:highlight w:val="none"/>
        </w:rPr>
      </w:pPr>
      <w:r/>
      <w:bookmarkStart w:id="201" w:name="_Toc120614221"/>
      <w:r/>
      <w:bookmarkStart w:id="202" w:name="_Toc513029242"/>
      <w:r/>
      <w:bookmarkStart w:id="203" w:name="_Toc479757207"/>
      <w:r/>
      <w:bookmarkStart w:id="204" w:name="_Toc16938558"/>
      <w:r/>
      <w:bookmarkStart w:id="205" w:name="_Toc20823314"/>
      <w:r>
        <w:rPr>
          <w:rFonts w:hint="eastAsia" w:ascii="宋体" w:hAnsi="宋体" w:eastAsia="宋体" w:cs="宋体"/>
          <w:b/>
          <w:bCs w:val="0"/>
          <w:color w:val="auto"/>
          <w:sz w:val="30"/>
          <w:szCs w:val="30"/>
          <w:highlight w:val="none"/>
        </w:rPr>
        <w:t xml:space="preserve">33、政府采购履约资金扶持政策</w:t>
      </w:r>
      <w:r/>
    </w:p>
    <w:p>
      <w:pPr>
        <w:pStyle w:val="1141"/>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rPr>
        <w:t xml:space="preserve">33.1</w:t>
      </w:r>
      <w:r>
        <w:rPr>
          <w:rFonts w:hint="eastAsia" w:ascii="宋体" w:hAnsi="宋体" w:eastAsia="宋体" w:cs="宋体"/>
          <w:bCs/>
          <w:color w:val="auto"/>
          <w:sz w:val="24"/>
          <w:highlight w:val="none"/>
          <w:lang w:val="zh-CN"/>
        </w:rPr>
        <w:t xml:space="preserve">根据江苏省财政厅</w:t>
      </w: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val="zh-CN"/>
        </w:rPr>
        <w:t xml:space="preserve">中国人民银行南京分行《关于深入推进政府采购线上合同信用融资工作的通知》（苏财购〔2021〕82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1142"/>
        <w:ind w:firstLine="602"/>
        <w:spacing w:before="0" w:after="0" w:line="56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34、验收及付款</w:t>
      </w:r>
      <w:r/>
    </w:p>
    <w:p>
      <w:pPr>
        <w:ind w:firstLine="482"/>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34.2采购人可以邀请参加本项目的其他投标人或者第三方机构参与验收。参与验收的投标人或者第三方机构的意见作为验收书的参考资料一并存档。</w:t>
      </w:r>
      <w:r/>
    </w:p>
    <w:p>
      <w:pPr>
        <w:ind w:firstLine="482"/>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35、付款</w:t>
      </w:r>
      <w:r/>
    </w:p>
    <w:p>
      <w:pPr>
        <w:ind w:firstLine="482"/>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bookmarkStart w:id="206" w:name="EBec7f529f50594afd871ea9378869e456"/>
      <w:r>
        <w:rPr>
          <w:rFonts w:hint="eastAsia" w:ascii="宋体" w:hAnsi="宋体" w:eastAsia="宋体" w:cs="宋体"/>
          <w:bCs/>
          <w:color w:val="auto"/>
          <w:sz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206"/>
      <w:r/>
      <w:r/>
    </w:p>
    <w:p>
      <w:pPr>
        <w:ind w:firstLine="482"/>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预付款：合同金额的</w:t>
      </w:r>
      <w:r>
        <w:rPr>
          <w:rFonts w:hint="eastAsia" w:ascii="宋体" w:hAnsi="宋体" w:eastAsia="宋体" w:cs="宋体"/>
          <w:bCs/>
          <w:color w:val="auto"/>
          <w:sz w:val="24"/>
          <w:highlight w:val="none"/>
          <w:u w:val="single"/>
        </w:rPr>
        <w:t xml:space="preserve">30%</w:t>
      </w:r>
      <w:r>
        <w:rPr>
          <w:rFonts w:hint="eastAsia" w:ascii="宋体" w:hAnsi="宋体" w:eastAsia="宋体" w:cs="宋体"/>
          <w:bCs/>
          <w:color w:val="auto"/>
          <w:sz w:val="24"/>
          <w:highlight w:val="none"/>
        </w:rPr>
        <w:t xml:space="preserve"> ，合同签订后按规定支付； </w:t>
      </w:r>
      <w:r/>
    </w:p>
    <w:p>
      <w:pPr>
        <w:ind w:firstLine="482"/>
        <w:spacing w:line="56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进度款：</w:t>
      </w:r>
      <w:bookmarkStart w:id="207" w:name="EBf1f8b954f7504a2cb44cef25707c76a6"/>
      <w:r/>
      <w:bookmarkEnd w:id="207"/>
      <w:r>
        <w:rPr>
          <w:rFonts w:hint="eastAsia" w:ascii="宋体" w:hAnsi="宋体" w:eastAsia="宋体" w:cs="宋体"/>
          <w:bCs/>
          <w:color w:val="auto"/>
          <w:sz w:val="24"/>
          <w:highlight w:val="none"/>
          <w:u w:val="single"/>
        </w:rPr>
        <w:t xml:space="preserve"> 货物到现场安装调试完毕稳定运行，经采购人验收合格后，采购人收到供应商发票后10个工作日内支付</w:t>
      </w:r>
      <w:r>
        <w:rPr>
          <w:rFonts w:hint="eastAsia" w:ascii="宋体" w:hAnsi="宋体" w:eastAsia="宋体" w:cs="宋体"/>
          <w:bCs/>
          <w:color w:val="auto"/>
          <w:sz w:val="24"/>
          <w:highlight w:val="none"/>
          <w:u w:val="single"/>
        </w:rPr>
        <w:t xml:space="preserve">至</w:t>
      </w:r>
      <w:r>
        <w:rPr>
          <w:rFonts w:hint="eastAsia" w:ascii="宋体" w:hAnsi="宋体" w:eastAsia="宋体" w:cs="宋体"/>
          <w:bCs/>
          <w:color w:val="auto"/>
          <w:sz w:val="24"/>
          <w:highlight w:val="none"/>
          <w:u w:val="single"/>
        </w:rPr>
        <w:t xml:space="preserve">合同总金额100%。</w:t>
      </w:r>
      <w:r/>
    </w:p>
    <w:p>
      <w:pPr>
        <w:ind w:firstLine="482"/>
        <w:spacing w:line="560" w:lineRule="exact"/>
        <w:rPr>
          <w:rFonts w:hint="eastAsia" w:ascii="宋体" w:hAnsi="宋体" w:eastAsia="宋体" w:cs="宋体"/>
          <w:bCs/>
          <w:color w:val="auto"/>
          <w:sz w:val="24"/>
          <w:highlight w:val="none"/>
        </w:rPr>
      </w:pPr>
      <w:r/>
      <w:bookmarkStart w:id="208" w:name="EB11398ec6946f4019bc4c35221e27b04f"/>
      <w:r>
        <w:rPr>
          <w:rFonts w:hint="eastAsia" w:ascii="宋体" w:hAnsi="宋体" w:eastAsia="宋体" w:cs="宋体"/>
          <w:bCs/>
          <w:color w:val="auto"/>
          <w:sz w:val="24"/>
          <w:highlight w:val="none"/>
        </w:rPr>
        <w:t xml:space="preserve">注：在签订合同时，中标人明确表示无需预付款或者主动要求降低预付款比例的金额，采购人可不适用预付款规定。</w:t>
      </w:r>
      <w:bookmarkEnd w:id="208"/>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38"/>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br w:type="page" w:clear="all"/>
      </w:r>
      <w:bookmarkEnd w:id="201"/>
      <w:r/>
      <w:bookmarkEnd w:id="202"/>
      <w:r/>
      <w:bookmarkEnd w:id="203"/>
      <w:r/>
      <w:bookmarkEnd w:id="204"/>
      <w:r/>
      <w:bookmarkEnd w:id="205"/>
      <w:r/>
      <w:r/>
    </w:p>
    <w:p>
      <w:pPr>
        <w:ind w:firstLine="2640"/>
        <w:keepNext/>
        <w:rPr>
          <w:rFonts w:hint="eastAsia" w:ascii="宋体" w:hAnsi="宋体" w:eastAsia="宋体" w:cs="宋体"/>
          <w:bCs/>
          <w:color w:val="auto"/>
          <w:sz w:val="44"/>
          <w:szCs w:val="28"/>
          <w:highlight w:val="none"/>
        </w:rPr>
        <w:outlineLvl w:val="0"/>
      </w:pPr>
      <w:r/>
      <w:bookmarkStart w:id="209" w:name="_Toc104802328"/>
      <w:r/>
      <w:bookmarkStart w:id="210" w:name="_Toc118461986"/>
      <w:r/>
      <w:bookmarkStart w:id="211" w:name="_Toc155086566"/>
      <w:r/>
      <w:bookmarkStart w:id="212" w:name="_Hlt16619350"/>
      <w:r/>
      <w:bookmarkStart w:id="213" w:name="_Toc120614244"/>
      <w:r/>
      <w:bookmarkStart w:id="214" w:name="_Toc20823346"/>
      <w:r/>
      <w:bookmarkStart w:id="215" w:name="_Toc16938590"/>
      <w:r/>
      <w:bookmarkStart w:id="216" w:name="_Toc462564139"/>
      <w:r/>
      <w:bookmarkStart w:id="217" w:name="_Toc479757211"/>
      <w:r>
        <w:rPr>
          <w:rFonts w:hint="eastAsia" w:ascii="宋体" w:hAnsi="宋体" w:eastAsia="宋体" w:cs="宋体"/>
          <w:bCs/>
          <w:color w:val="auto"/>
          <w:sz w:val="44"/>
          <w:szCs w:val="28"/>
          <w:highlight w:val="none"/>
        </w:rPr>
        <w:t xml:space="preserve">第三章  合同文本</w:t>
      </w:r>
      <w:bookmarkEnd w:id="209"/>
      <w:r/>
      <w:bookmarkEnd w:id="210"/>
      <w:r/>
      <w:bookmarkEnd w:id="211"/>
      <w:r/>
      <w:r/>
    </w:p>
    <w:p>
      <w:pPr>
        <w:ind w:firstLine="480"/>
        <w:spacing w:line="500" w:lineRule="exact"/>
        <w:rPr>
          <w:rFonts w:hint="eastAsia" w:ascii="宋体" w:hAnsi="宋体" w:eastAsia="宋体" w:cs="宋体"/>
          <w:bCs/>
          <w:color w:val="auto"/>
          <w:sz w:val="24"/>
          <w:highlight w:val="none"/>
        </w:rPr>
      </w:pPr>
      <w:r/>
      <w:bookmarkStart w:id="218" w:name="_Toc20823315"/>
      <w:r/>
      <w:bookmarkStart w:id="219" w:name="_Toc16938559"/>
      <w:r/>
      <w:bookmarkStart w:id="220" w:name="_Toc513029243"/>
      <w:r>
        <w:rPr>
          <w:rFonts w:hint="eastAsia" w:ascii="宋体" w:hAnsi="宋体" w:eastAsia="宋体" w:cs="宋体"/>
          <w:bCs/>
          <w:color w:val="auto"/>
          <w:sz w:val="24"/>
          <w:highlight w:val="none"/>
        </w:rPr>
        <w:t xml:space="preserve">以下为中标后签订本项目合同的通用条款，投标人不得提出实质性的修改。</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关于专用条款将由采购人与投标人结合本项目具体情况协商后签订。</w:t>
      </w:r>
      <w:bookmarkEnd w:id="218"/>
      <w:r/>
      <w:bookmarkEnd w:id="219"/>
      <w:r/>
      <w:bookmarkEnd w:id="220"/>
      <w:r/>
      <w:r/>
    </w:p>
    <w:p>
      <w:pPr>
        <w:jc w:val="center"/>
        <w:spacing w:before="120" w:after="120"/>
        <w:rPr>
          <w:rFonts w:hint="eastAsia" w:ascii="宋体" w:hAnsi="宋体" w:eastAsia="宋体" w:cs="宋体"/>
          <w:b/>
          <w:bCs/>
          <w:color w:val="auto"/>
          <w:sz w:val="30"/>
          <w:szCs w:val="20"/>
          <w:highlight w:val="none"/>
        </w:rPr>
        <w:outlineLvl w:val="0"/>
      </w:pPr>
      <w:r/>
      <w:bookmarkStart w:id="221" w:name="_Hlt16619369"/>
      <w:r/>
      <w:bookmarkEnd w:id="221"/>
      <w:r/>
      <w:bookmarkStart w:id="222" w:name="_Toc155086567"/>
      <w:r>
        <w:rPr>
          <w:rFonts w:hint="eastAsia" w:ascii="宋体" w:hAnsi="宋体" w:eastAsia="宋体" w:cs="宋体"/>
          <w:b/>
          <w:color w:val="auto"/>
          <w:sz w:val="30"/>
          <w:highlight w:val="none"/>
        </w:rPr>
        <w:t xml:space="preserve">政府采购合同（货物）（合同编号）</w:t>
      </w:r>
      <w:bookmarkEnd w:id="222"/>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rPr>
        <w:t xml:space="preserve">宿迁技师学院国基地校内工业机器人实训基地建设</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甲方：（买方）_________</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乙方：（卖方）_________</w:t>
      </w:r>
      <w:r/>
    </w:p>
    <w:p>
      <w:pPr>
        <w:ind w:firstLine="480"/>
        <w:spacing w:line="56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rPr>
        <w:t xml:space="preserve">宿迁技师学院国基地校内工业机器人实训基地建设</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lang w:eastAsia="zh-CN"/>
        </w:rPr>
        <w:t xml:space="preserve">JSZC-321311-SQHZ-G2026-0004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公开招标的结果，签署本合同。</w:t>
      </w:r>
      <w:r/>
    </w:p>
    <w:p>
      <w:pPr>
        <w:ind w:firstLine="482"/>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rPr>
        <w:t xml:space="preserve">合同</w:t>
      </w:r>
      <w:r>
        <w:rPr>
          <w:rFonts w:hint="eastAsia" w:ascii="宋体" w:hAnsi="宋体" w:eastAsia="宋体" w:cs="宋体"/>
          <w:b/>
          <w:color w:val="auto"/>
          <w:sz w:val="24"/>
          <w:szCs w:val="24"/>
          <w:highlight w:val="none"/>
        </w:rPr>
        <w:t xml:space="preserve">内容</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w:t>
      </w:r>
      <w:r>
        <w:rPr>
          <w:rFonts w:hint="eastAsia" w:ascii="宋体" w:hAnsi="宋体" w:eastAsia="宋体" w:cs="宋体"/>
          <w:color w:val="auto"/>
          <w:sz w:val="24"/>
          <w:szCs w:val="24"/>
          <w:highlight w:val="none"/>
        </w:rPr>
        <w:t xml:space="preserve">标的</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rPr>
        <w:t xml:space="preserve">宿迁技师学院国基地校内工业机器人实训基地建设</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rPr>
        <w:t xml:space="preserve"> 标的质量：合格；提供的产品性能及质量有国家标准的应符合国家标准。无国家标准的应符合行业标准或企业标准，并满足招标文件要求，实现投标文件承诺条款。</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标的数量（规模）：</w:t>
      </w:r>
      <w:r>
        <w:rPr>
          <w:rFonts w:hint="eastAsia" w:ascii="宋体" w:hAnsi="宋体" w:eastAsia="宋体" w:cs="宋体"/>
          <w:color w:val="auto"/>
          <w:sz w:val="24"/>
          <w:szCs w:val="24"/>
          <w:highlight w:val="none"/>
        </w:rPr>
        <w:t xml:space="preserve">1项（详见合同清单）</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履行时间（期限）：</w:t>
      </w:r>
      <w:r>
        <w:rPr>
          <w:rFonts w:hint="eastAsia" w:ascii="宋体" w:hAnsi="宋体" w:eastAsia="宋体" w:cs="宋体"/>
          <w:color w:val="auto"/>
          <w:sz w:val="24"/>
          <w:szCs w:val="24"/>
          <w:highlight w:val="none"/>
        </w:rPr>
        <w:t xml:space="preserve">合同签订后60日历天内完成全部安装调试并投入正常使用。</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售后服务期：3年（自项目验收合格之日起计算）；</w:t>
      </w:r>
      <w:r/>
    </w:p>
    <w:p>
      <w:pPr>
        <w:ind w:firstLine="482"/>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6 履行地点：甲方指定地点</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履行方式：</w:t>
      </w:r>
      <w:r>
        <w:rPr>
          <w:rFonts w:hint="eastAsia" w:ascii="宋体" w:hAnsi="宋体" w:eastAsia="宋体" w:cs="宋体"/>
          <w:color w:val="auto"/>
          <w:sz w:val="24"/>
          <w:szCs w:val="24"/>
          <w:highlight w:val="none"/>
        </w:rPr>
        <w:t xml:space="preserve">按照招标文件要求、投标文件内容及合同履行条款履行本合同。</w:t>
      </w:r>
      <w:r/>
    </w:p>
    <w:p>
      <w:pPr>
        <w:ind w:firstLine="482"/>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本合同金额为（大写）：_______（___元）人民币</w:t>
      </w:r>
      <w:r>
        <w:rPr>
          <w:rFonts w:hint="eastAsia" w:ascii="宋体" w:hAnsi="宋体" w:eastAsia="宋体" w:cs="宋体"/>
          <w:b/>
          <w:color w:val="auto"/>
          <w:sz w:val="24"/>
          <w:szCs w:val="24"/>
          <w:highlight w:val="none"/>
        </w:rPr>
        <w:t xml:space="preserve">（含税价）</w:t>
      </w:r>
      <w:r>
        <w:rPr>
          <w:rFonts w:hint="eastAsia" w:ascii="宋体" w:hAnsi="宋体" w:eastAsia="宋体" w:cs="宋体"/>
          <w:color w:val="auto"/>
          <w:sz w:val="24"/>
          <w:szCs w:val="24"/>
          <w:highlight w:val="none"/>
        </w:rPr>
        <w:t xml:space="preserve">。</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2.2合同清单</w:t>
      </w:r>
      <w:r/>
    </w:p>
    <w:tbl>
      <w:tblPr>
        <w:tblStyle w:val="939"/>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276"/>
        <w:gridCol w:w="851"/>
        <w:gridCol w:w="1275"/>
        <w:gridCol w:w="1134"/>
        <w:gridCol w:w="851"/>
        <w:gridCol w:w="850"/>
        <w:gridCol w:w="1276"/>
        <w:gridCol w:w="1276"/>
      </w:tblGrid>
      <w:tr>
        <w:trPr>
          <w:cantSplit/>
          <w:trHeight w:val="454"/>
        </w:trPr>
        <w:tc>
          <w:tcPr>
            <w:tcW w:w="567"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产品名称</w:t>
            </w:r>
            <w:r/>
          </w:p>
        </w:tc>
        <w:tc>
          <w:tcPr>
            <w:tcW w:w="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制造商名称</w:t>
            </w:r>
            <w:r/>
          </w:p>
        </w:tc>
        <w:tc>
          <w:tcPr>
            <w:tcW w:w="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分项单价</w:t>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分项总价</w:t>
            </w:r>
            <w:r/>
          </w:p>
        </w:tc>
      </w:tr>
      <w:tr>
        <w:trPr>
          <w:cantSplit/>
          <w:trHeight w:val="454"/>
        </w:trPr>
        <w:tc>
          <w:tcPr>
            <w:tcW w:w="56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54"/>
        </w:trPr>
        <w:tc>
          <w:tcPr>
            <w:tcW w:w="5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54"/>
        </w:trPr>
        <w:tc>
          <w:tcPr>
            <w:tcW w:w="5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54"/>
        </w:trPr>
        <w:tc>
          <w:tcPr>
            <w:tcW w:w="5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54"/>
        </w:trPr>
        <w:tc>
          <w:tcPr>
            <w:tcW w:w="5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54"/>
        </w:trPr>
        <w:tc>
          <w:tcPr>
            <w:tcW w:w="5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54"/>
        </w:trPr>
        <w:tc>
          <w:tcPr>
            <w:gridSpan w:val="8"/>
            <w:tcW w:w="8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投标总报价（人民币：元）</w:t>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b/>
          <w:color w:val="auto"/>
          <w:highlight w:val="none"/>
        </w:rPr>
        <w:t xml:space="preserve">本合同价款包含乙方提供合同约定的货物及乙方提供合同中服务所支出的所有费用，包含但不限于设备厂验的所有费用（产生的差旅费、交通费等）、系统对接所产生的费用、相关平台对接所产生的费用、配合费、搬迁费、人工费、辅材费等，采购人在上述合同价款之外不再向乙方支付其他任何费用，表中价格均为含税价。</w:t>
      </w:r>
      <w:r/>
    </w:p>
    <w:p>
      <w:pPr>
        <w:ind w:firstLine="482"/>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3.1乙方应按招标文件规定的时间向甲方提供使用货物</w:t>
      </w:r>
      <w:r>
        <w:rPr>
          <w:rFonts w:hint="eastAsia" w:ascii="宋体" w:hAnsi="宋体" w:eastAsia="宋体" w:cs="宋体"/>
          <w:color w:val="auto"/>
          <w:sz w:val="24"/>
          <w:szCs w:val="24"/>
          <w:highlight w:val="none"/>
        </w:rPr>
        <w:t xml:space="preserve">（包含与货物相关的服务）</w:t>
      </w:r>
      <w:r>
        <w:rPr>
          <w:rFonts w:hint="eastAsia" w:ascii="宋体" w:hAnsi="宋体" w:eastAsia="宋体" w:cs="宋体"/>
          <w:color w:val="auto"/>
          <w:sz w:val="24"/>
          <w:szCs w:val="24"/>
          <w:highlight w:val="none"/>
        </w:rPr>
        <w:t xml:space="preserve">的有关技术资料。</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四、知识产权</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4.1乙</w:t>
      </w:r>
      <w:r>
        <w:rPr>
          <w:rFonts w:hint="eastAsia" w:ascii="宋体" w:hAnsi="宋体" w:eastAsia="宋体" w:cs="宋体"/>
          <w:color w:val="auto"/>
          <w:sz w:val="24"/>
          <w:highlight w:val="none"/>
        </w:rPr>
        <w:t xml:space="preserve">方应保证甲方在使用、接受本合同货物</w:t>
      </w:r>
      <w:r>
        <w:rPr>
          <w:rFonts w:hint="eastAsia" w:ascii="宋体" w:hAnsi="宋体" w:eastAsia="宋体" w:cs="宋体"/>
          <w:color w:val="auto"/>
          <w:sz w:val="24"/>
          <w:szCs w:val="24"/>
          <w:highlight w:val="none"/>
        </w:rPr>
        <w:t xml:space="preserve">（包含与货物相关的服务）</w:t>
      </w:r>
      <w:r>
        <w:rPr>
          <w:rFonts w:hint="eastAsia" w:ascii="宋体" w:hAnsi="宋体" w:eastAsia="宋体" w:cs="宋体"/>
          <w:color w:val="auto"/>
          <w:sz w:val="24"/>
          <w:highlight w:val="none"/>
        </w:rPr>
        <w:t xml:space="preserve">或其任何一部分时不受第三方提出侵犯其专利权、版权、商标权和工业设计权等知识产权的起诉。一旦出现侵权，由乙方负全部责任。</w:t>
      </w:r>
      <w:r/>
    </w:p>
    <w:p>
      <w:pPr>
        <w:ind w:firstLine="482"/>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五、产权担保</w:t>
      </w:r>
      <w:r/>
    </w:p>
    <w:p>
      <w:pPr>
        <w:ind w:firstLine="480"/>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5.1 乙方保证所交付的货物</w:t>
      </w:r>
      <w:r>
        <w:rPr>
          <w:rFonts w:hint="eastAsia" w:ascii="宋体" w:hAnsi="宋体" w:eastAsia="宋体" w:cs="宋体"/>
          <w:color w:val="auto"/>
          <w:sz w:val="24"/>
          <w:szCs w:val="24"/>
          <w:highlight w:val="none"/>
        </w:rPr>
        <w:t xml:space="preserve">（包含与货物相关的服务）</w:t>
      </w:r>
      <w:r>
        <w:rPr>
          <w:rFonts w:hint="eastAsia" w:ascii="宋体" w:hAnsi="宋体" w:eastAsia="宋体" w:cs="宋体"/>
          <w:color w:val="auto"/>
          <w:sz w:val="24"/>
          <w:szCs w:val="24"/>
          <w:highlight w:val="none"/>
        </w:rPr>
        <w:t xml:space="preserve">的所有权完全属于乙方且无任何抵押、查封等产权瑕疵。</w:t>
      </w:r>
      <w:r/>
    </w:p>
    <w:p>
      <w:pPr>
        <w:ind w:firstLine="482"/>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六、履约保证金</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本项目不收取履约保证金。</w:t>
      </w:r>
      <w:r/>
    </w:p>
    <w:p>
      <w:pPr>
        <w:ind w:firstLine="482"/>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7.2乙方不得将合同标的分包给他人履行。</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w:t>
      </w:r>
      <w:r>
        <w:rPr>
          <w:rFonts w:hint="eastAsia" w:ascii="宋体" w:hAnsi="宋体" w:eastAsia="宋体" w:cs="宋体"/>
          <w:color w:val="auto"/>
          <w:sz w:val="24"/>
          <w:szCs w:val="24"/>
          <w:highlight w:val="none"/>
        </w:rPr>
        <w:t xml:space="preserve">乙方如有转包或未经甲方同意的分包行为，甲方有权给予终止合同。</w:t>
      </w:r>
      <w:r/>
    </w:p>
    <w:p>
      <w:pPr>
        <w:ind w:firstLine="482"/>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rPr>
        <w:t xml:space="preserve">合同款项</w:t>
      </w:r>
      <w:r>
        <w:rPr>
          <w:rFonts w:hint="eastAsia" w:ascii="宋体" w:hAnsi="宋体" w:eastAsia="宋体" w:cs="宋体"/>
          <w:b/>
          <w:color w:val="auto"/>
          <w:sz w:val="24"/>
          <w:szCs w:val="24"/>
          <w:highlight w:val="none"/>
        </w:rPr>
        <w:t xml:space="preserve">支付</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8.1合同款项的支付方式及进度安排</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资金支付的方式：</w:t>
      </w:r>
      <w:r/>
    </w:p>
    <w:p>
      <w:pPr>
        <w:ind w:firstLine="482"/>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预付款：合同金额的</w:t>
      </w:r>
      <w:r>
        <w:rPr>
          <w:rFonts w:hint="eastAsia" w:ascii="宋体" w:hAnsi="宋体" w:eastAsia="宋体" w:cs="宋体"/>
          <w:bCs/>
          <w:color w:val="auto"/>
          <w:sz w:val="24"/>
          <w:highlight w:val="none"/>
          <w:u w:val="single"/>
        </w:rPr>
        <w:t xml:space="preserve">30%</w:t>
      </w:r>
      <w:r>
        <w:rPr>
          <w:rFonts w:hint="eastAsia" w:ascii="宋体" w:hAnsi="宋体" w:eastAsia="宋体" w:cs="宋体"/>
          <w:bCs/>
          <w:color w:val="auto"/>
          <w:sz w:val="24"/>
          <w:highlight w:val="none"/>
        </w:rPr>
        <w:t xml:space="preserve"> ，合同签订后按规定支付； </w:t>
      </w:r>
      <w:r/>
    </w:p>
    <w:p>
      <w:pPr>
        <w:ind w:firstLine="482"/>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rPr>
        <w:t xml:space="preserve">进度款：</w:t>
      </w:r>
      <w:r>
        <w:rPr>
          <w:rFonts w:hint="eastAsia" w:ascii="宋体" w:hAnsi="宋体" w:eastAsia="宋体" w:cs="宋体"/>
          <w:bCs/>
          <w:color w:val="auto"/>
          <w:sz w:val="24"/>
          <w:highlight w:val="none"/>
          <w:u w:val="single"/>
        </w:rPr>
        <w:t xml:space="preserve"> 货物到现场安装调试完毕稳定运行，经采购人验收合格后，采购人收到供应商发票后10个工作日内支付</w:t>
      </w:r>
      <w:r>
        <w:rPr>
          <w:rFonts w:hint="eastAsia" w:ascii="宋体" w:hAnsi="宋体" w:eastAsia="宋体" w:cs="宋体"/>
          <w:bCs/>
          <w:color w:val="auto"/>
          <w:sz w:val="24"/>
          <w:highlight w:val="none"/>
          <w:u w:val="single"/>
        </w:rPr>
        <w:t xml:space="preserve">至</w:t>
      </w:r>
      <w:r>
        <w:rPr>
          <w:rFonts w:hint="eastAsia" w:ascii="宋体" w:hAnsi="宋体" w:eastAsia="宋体" w:cs="宋体"/>
          <w:bCs/>
          <w:color w:val="auto"/>
          <w:sz w:val="24"/>
          <w:highlight w:val="none"/>
          <w:u w:val="single"/>
        </w:rPr>
        <w:t xml:space="preserve">合同总金额100%。</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rPr>
        <w:t xml:space="preserve">注：1）</w:t>
      </w:r>
      <w:r>
        <w:rPr>
          <w:rFonts w:hint="eastAsia" w:ascii="宋体" w:hAnsi="宋体" w:eastAsia="宋体" w:cs="宋体"/>
          <w:bCs/>
          <w:color w:val="auto"/>
          <w:sz w:val="24"/>
          <w:highlight w:val="none"/>
          <w:lang w:val="zh-CN"/>
        </w:rPr>
        <w:t xml:space="preserve">资金支付的</w:t>
      </w:r>
      <w:r>
        <w:rPr>
          <w:rFonts w:hint="eastAsia" w:ascii="宋体" w:hAnsi="宋体" w:eastAsia="宋体" w:cs="宋体"/>
          <w:bCs/>
          <w:color w:val="auto"/>
          <w:sz w:val="24"/>
          <w:highlight w:val="none"/>
        </w:rPr>
        <w:t xml:space="preserve">时间</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收到供应商发票10个工作日内</w:t>
      </w:r>
      <w:r>
        <w:rPr>
          <w:rFonts w:hint="eastAsia" w:ascii="宋体" w:hAnsi="宋体" w:eastAsia="宋体" w:cs="宋体"/>
          <w:bCs/>
          <w:color w:val="auto"/>
          <w:sz w:val="24"/>
          <w:szCs w:val="24"/>
          <w:highlight w:val="none"/>
          <w:lang w:val="zh-CN"/>
        </w:rPr>
        <w:t xml:space="preserve">将资金支付到合同约定的乙方账户或乙方数字人民币账户</w:t>
      </w:r>
      <w:r>
        <w:rPr>
          <w:rFonts w:hint="eastAsia" w:ascii="宋体" w:hAnsi="宋体" w:eastAsia="宋体" w:cs="宋体"/>
          <w:bCs/>
          <w:color w:val="auto"/>
          <w:sz w:val="24"/>
          <w:highlight w:val="none"/>
          <w:lang w:val="zh-CN"/>
        </w:rPr>
        <w:t xml:space="preserve">；</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val="zh-CN"/>
        </w:rPr>
        <w:t xml:space="preserve">资金支付</w:t>
      </w:r>
      <w:r>
        <w:rPr>
          <w:rFonts w:hint="eastAsia" w:ascii="宋体" w:hAnsi="宋体" w:eastAsia="宋体" w:cs="宋体"/>
          <w:bCs/>
          <w:color w:val="auto"/>
          <w:sz w:val="24"/>
          <w:highlight w:val="none"/>
        </w:rPr>
        <w:t xml:space="preserve">的条件：满足相应阶段的要求且收到供应商发票；</w:t>
      </w:r>
      <w:r/>
    </w:p>
    <w:p>
      <w:pPr>
        <w:ind w:firstLine="480"/>
        <w:spacing w:line="56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zh-CN"/>
        </w:rPr>
        <w:t xml:space="preserve">）数字人民币为合同价款支付的一种方式。在签订合同时，乙方明确表示无需预付款或者主动要求降低预付款比例的金额，甲方可不适用预付款规定。</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8.2当采购数量与实际使用数量不一致时，乙方应根据实际使用量供货，合同的最终结算金额按实际使用量乘以成交单价进行计算。</w:t>
      </w:r>
      <w:r/>
    </w:p>
    <w:p>
      <w:pPr>
        <w:ind w:firstLine="420"/>
        <w:spacing w:line="46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8.3收款账户信息</w:t>
      </w:r>
      <w:r/>
    </w:p>
    <w:p>
      <w:pPr>
        <w:ind w:firstLine="420"/>
        <w:spacing w:line="46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开户银行：</w:t>
      </w:r>
      <w:r>
        <w:rPr>
          <w:rFonts w:hint="eastAsia" w:ascii="宋体" w:hAnsi="宋体" w:eastAsia="宋体" w:cs="宋体"/>
          <w:bCs/>
          <w:color w:val="auto"/>
          <w:sz w:val="24"/>
          <w:szCs w:val="24"/>
          <w:highlight w:val="none"/>
          <w:u w:val="single"/>
          <w:lang w:val="zh-CN"/>
        </w:rPr>
        <w:t xml:space="preserve">          </w:t>
      </w:r>
      <w:r/>
    </w:p>
    <w:p>
      <w:pPr>
        <w:ind w:firstLine="420"/>
        <w:spacing w:line="46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开户名称：</w:t>
      </w:r>
      <w:r>
        <w:rPr>
          <w:rFonts w:hint="eastAsia" w:ascii="宋体" w:hAnsi="宋体" w:eastAsia="宋体" w:cs="宋体"/>
          <w:bCs/>
          <w:color w:val="auto"/>
          <w:sz w:val="24"/>
          <w:szCs w:val="24"/>
          <w:highlight w:val="none"/>
          <w:u w:val="single"/>
          <w:lang w:val="zh-CN"/>
        </w:rPr>
        <w:t xml:space="preserve">          </w:t>
      </w:r>
      <w:r/>
    </w:p>
    <w:p>
      <w:pPr>
        <w:ind w:firstLine="420"/>
        <w:spacing w:line="46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开户账号：</w:t>
      </w:r>
      <w:r>
        <w:rPr>
          <w:rFonts w:hint="eastAsia" w:ascii="宋体" w:hAnsi="宋体" w:eastAsia="宋体" w:cs="宋体"/>
          <w:bCs/>
          <w:color w:val="auto"/>
          <w:sz w:val="24"/>
          <w:szCs w:val="24"/>
          <w:highlight w:val="none"/>
          <w:u w:val="single"/>
          <w:lang w:val="zh-CN"/>
        </w:rPr>
        <w:t xml:space="preserve">          </w:t>
      </w:r>
      <w:r/>
    </w:p>
    <w:p>
      <w:pPr>
        <w:ind w:firstLine="482"/>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九、税费</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本合同执行中相关的一切税费均由乙方负担。</w:t>
      </w:r>
      <w:r/>
    </w:p>
    <w:p>
      <w:pPr>
        <w:ind w:firstLine="482"/>
        <w:spacing w:line="56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十、质量</w:t>
      </w:r>
      <w:r>
        <w:rPr>
          <w:rFonts w:hint="eastAsia" w:ascii="宋体" w:hAnsi="宋体" w:eastAsia="宋体" w:cs="宋体"/>
          <w:b/>
          <w:color w:val="auto"/>
          <w:sz w:val="24"/>
          <w:szCs w:val="24"/>
          <w:highlight w:val="none"/>
        </w:rPr>
        <w:t xml:space="preserve">保修范围和</w:t>
      </w:r>
      <w:r>
        <w:rPr>
          <w:rFonts w:hint="eastAsia" w:ascii="宋体" w:hAnsi="宋体" w:eastAsia="宋体" w:cs="宋体"/>
          <w:b/>
          <w:color w:val="auto"/>
          <w:sz w:val="24"/>
          <w:szCs w:val="24"/>
          <w:highlight w:val="none"/>
        </w:rPr>
        <w:t xml:space="preserve">售后服务</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.1 乙方应按招标文件规定的货物性能、技术要求、质量标准向甲方提供未经使用的全新产品。</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.2 乙方提供的货物在质量期内因货物本身的质量问题发生故障，乙方应负责更换。对达不到技术要求者，根据实际情况，经双方协商，可按以下办法处理：</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⑴更换：由乙方承担所发生的全部费用。</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⑵贬值处理：由甲乙双方合议定价。</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⑶退货处理：乙方应退还甲方支付的合同款，同时应承担该货物的直接费用（运输、保险、检验、货款利息及银行手续费等）。</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.3 如在使用过程中发生质量问题，乙方在接到甲方通知后在</w:t>
      </w:r>
      <w:r>
        <w:rPr>
          <w:rFonts w:hint="eastAsia" w:ascii="宋体" w:hAnsi="宋体" w:eastAsia="宋体" w:cs="宋体"/>
          <w:color w:val="auto"/>
          <w:sz w:val="24"/>
          <w:szCs w:val="24"/>
          <w:highlight w:val="none"/>
          <w:u w:val="single"/>
        </w:rPr>
        <w:t xml:space="preserve">12</w:t>
      </w:r>
      <w:r>
        <w:rPr>
          <w:rFonts w:hint="eastAsia" w:ascii="宋体" w:hAnsi="宋体" w:eastAsia="宋体" w:cs="宋体"/>
          <w:color w:val="auto"/>
          <w:sz w:val="24"/>
          <w:szCs w:val="24"/>
          <w:highlight w:val="none"/>
        </w:rPr>
        <w:t xml:space="preserve">小时内到达甲方现场。</w:t>
      </w:r>
      <w:r/>
    </w:p>
    <w:p>
      <w:pPr>
        <w:ind w:firstLine="482"/>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.4 在质保期内，乙方应对货物出现的质量及安全问题负责处理解决并承担一切费用。</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乙方对所售出的产品实行三包：售后服务期为</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年（自项目验收合格之日起计算），即产品在正常使用情况下发生质量问题时，乙方应按甲方的要求，负责对产品实行包修、包换、包退。售后服务期内为甲方提供维修、保养、同质备件及替换等，甲方不承担任何费用，乙方保证设备维保期内有效运行，售后服务期内为客户排除软硬件故障，与原厂商的服务结合起来，使客户方系统得到更好的维护与支持。</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10.6售后人员配备情况：本项目的售后服务方式均为乙方上门售后，即由乙方派技术人员到甲方使用现场维修，由此产生的一切费用均由乙方承担。</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响应时间：乙方应严格按照标书的有关规定提供合格商品，保证货物为全新未使用的原装正品，货物上均有合格证，包括品牌的有关标志；一旦发生质量问题，乙方在接到甲方通知的2小时内快速响应服务，派人到达现场处理设备故障和问题，6小时内解决问题，排除故障恢复运行。并为甲方提供每周7天、每天24小时售后技术支持和服务。另根据设备的具体情况，对其进行至少每季度一次的维护服务。如乙方在接到通知工作日的24小时内没有答复或处理问题，则视为乙方承认质量问题并承担由此而发生的一切费用。</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10.8售后服务期满后主要产品、配件优惠方案：售后服务期结束后，乙方应当提供售后服务，收取费用不得高于其他服务客户的费用。</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注：乙方投标承诺中售后服务方案优于上述要求的，优先执行投标承诺内容。</w:t>
      </w:r>
      <w:r/>
    </w:p>
    <w:p>
      <w:pPr>
        <w:ind w:firstLine="482"/>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rPr>
        <w:t xml:space="preserve">项目</w:t>
      </w:r>
      <w:r>
        <w:rPr>
          <w:rFonts w:hint="eastAsia" w:ascii="宋体" w:hAnsi="宋体" w:eastAsia="宋体" w:cs="宋体"/>
          <w:b/>
          <w:color w:val="auto"/>
          <w:sz w:val="24"/>
          <w:szCs w:val="24"/>
          <w:highlight w:val="none"/>
        </w:rPr>
        <w:t xml:space="preserve">验收</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在发货前，乙方应对货物的质量、规格、性能、数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11.2货物交付后，在安装前应仔细检查货物自身无缺陷后方可安装，如果存在货物破损、自身材质、规格等质量缺陷，甲方有权要求将货物退场，由此引起的一切后果由乙方承担。</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货物进场后乙方继续负责看管工作，如因看管不善所造成的一切损失均由乙方承担；设备进场后乙方应准备好相关初步验收资料，验收内容包括：产地、货号、规格、数量、外观质量及设备是否完好。甲方应按签订采购合同约定时间组织验收，并出具书面初步验收报告。</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乙方货物全部进场安装调试，并向甲方提供相关初步验收资料。验收前，如需要随机抽样送第三方检测（检测费用由乙方支付），检测完成并经乙方初验合格后，甲方组织验收并出具验收报告。如果设备的质量、规格与合同规定不符，或在质量保证期内发现货物有缺陷的（包括潜在缺陷或使用不符合要求的材料），甲方应报请法定检验机构进行检测（检测费由乙方承担），有权凭其出具的检验报告向乙方提出索赔。</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甲方依法组织履约验收工作。</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11.6 甲方在组织履约验收时，乙方应根据验收方案内容做好相应配合工作。履约验收方案如下：</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履约验收主体：甲方成立验收小组，验收小组由单位纪检人员、技术人员等三人以上组成。必要时，可以从政府采购评审专家库中随机抽取专业评委。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2）履约验收时间：采购合同签订后</w:t>
      </w:r>
      <w:r>
        <w:rPr>
          <w:rFonts w:hint="eastAsia" w:ascii="宋体" w:hAnsi="宋体" w:eastAsia="宋体" w:cs="宋体"/>
          <w:color w:val="auto"/>
          <w:sz w:val="24"/>
          <w:szCs w:val="24"/>
          <w:highlight w:val="none"/>
          <w:u w:val="single"/>
        </w:rPr>
        <w:t xml:space="preserve">  7  </w:t>
      </w:r>
      <w:r>
        <w:rPr>
          <w:rFonts w:hint="eastAsia" w:ascii="宋体" w:hAnsi="宋体" w:eastAsia="宋体" w:cs="宋体"/>
          <w:color w:val="auto"/>
          <w:sz w:val="24"/>
          <w:szCs w:val="24"/>
          <w:highlight w:val="none"/>
        </w:rPr>
        <w:t xml:space="preserve">日历天安装调试完毕并交付使用，乙方向甲方提交项目验收技术资料以及验收申请单，甲方收到申请后3个工作日内组织验收并按照合同约定以及投标文件中的产品技术标准进行验收无问题后签署验收单。</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3）履约验收方式：根据项目特点，现场组织进行验收。</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4）履约验收程序：按甲方要求。</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5）履约验收标准：满足采购需求、采购文件要求且与投标文件内容一致。</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11.7如有必要，甲方邀请参加本项目的其他投标人或第三方专业机构及专家参与验收，相关意见将作为验收书的参考资料。</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11.8</w:t>
      </w:r>
      <w:r>
        <w:rPr>
          <w:rFonts w:hint="eastAsia" w:ascii="宋体" w:hAnsi="宋体" w:eastAsia="宋体" w:cs="宋体"/>
          <w:color w:val="auto"/>
          <w:sz w:val="24"/>
          <w:szCs w:val="24"/>
          <w:highlight w:val="none"/>
        </w:rPr>
        <w:t xml:space="preserve">采购人在验收中，如发现有与合同规定不符的，应在3天内向中标人提出书面意见，不签发验收单，并同时将该书面意见提交相关部门。中标人在接到采购人书面意见后，应在5天内予以整改完成。</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11.9验收合格的项目，甲方将根据采购合同的约定及时向乙方支付采购资金。验收不合格的项目，甲方将依法及时处理。采购合同的履行、违约责任和解决争议的方式等适用《中华人民共和国民法典》。乙方在履约过程中有政府采购法律法规规定的违法违规情形的，甲方应当及时报告本级财政部门。</w:t>
      </w:r>
      <w:r/>
    </w:p>
    <w:p>
      <w:pPr>
        <w:ind w:firstLine="482"/>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rPr>
        <w:t xml:space="preserve">、货物</w:t>
      </w:r>
      <w:r>
        <w:rPr>
          <w:rFonts w:hint="eastAsia" w:ascii="宋体" w:hAnsi="宋体" w:eastAsia="宋体" w:cs="宋体"/>
          <w:b/>
          <w:color w:val="auto"/>
          <w:sz w:val="24"/>
          <w:szCs w:val="24"/>
          <w:highlight w:val="none"/>
        </w:rPr>
        <w:t xml:space="preserve">的</w:t>
      </w:r>
      <w:r>
        <w:rPr>
          <w:rFonts w:hint="eastAsia" w:ascii="宋体" w:hAnsi="宋体" w:eastAsia="宋体" w:cs="宋体"/>
          <w:b/>
          <w:color w:val="auto"/>
          <w:sz w:val="24"/>
          <w:szCs w:val="24"/>
          <w:highlight w:val="none"/>
        </w:rPr>
        <w:t xml:space="preserve">包装、发运及运输</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eastAsia="宋体" w:cs="宋体"/>
          <w:color w:val="auto"/>
          <w:sz w:val="24"/>
          <w:szCs w:val="24"/>
          <w:highlight w:val="none"/>
        </w:rPr>
        <w:t xml:space="preserve">乙方对货物的包装应符合《商品包装政府采购需求标准（试行）》、《快递包装政府采购需求标准（试行）》的规定。</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.2 使用说明书、质量检验证明书、随配附件和工具以及清单一并附于货物内。</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.3 乙方在货物发运手续办理完毕后24小时内或货到甲方48小时前通知甲方，以准备接货。</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.4 货物在交付甲方前发生的风险均由乙方负责。</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.5 货物在规定的交付期限内由乙方送达甲方指定的地点视为交付，乙方同时需通知甲方货物已送达。</w:t>
      </w:r>
      <w:r/>
    </w:p>
    <w:p>
      <w:pPr>
        <w:ind w:firstLine="472"/>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rPr>
        <w:t xml:space="preserve">三</w:t>
      </w:r>
      <w:r>
        <w:rPr>
          <w:rFonts w:hint="eastAsia" w:ascii="宋体" w:hAnsi="宋体" w:eastAsia="宋体" w:cs="宋体"/>
          <w:b/>
          <w:color w:val="auto"/>
          <w:sz w:val="24"/>
          <w:szCs w:val="24"/>
          <w:highlight w:val="none"/>
        </w:rPr>
        <w:t xml:space="preserve">、培训要求</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（1）培训内容：投标人须派有设备操作、管理、维护经验的工程师，对设备的使用、操作、维护、故障排除等进行免费培训，以确保采购人能够对设备有足够的了解，能够独立进行日常操作、管理和维护。</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（2）培训时间及人数：提供不低于2次培训服务，每次培训不低于10人次，每次不少于4小时。</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（3）培训地点：由采购人指定，包括但不限于使用单位内。</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培训方法及目标：中标人要详细制定详细的培训计划。要求根据用户的实际工作通过分角色、分流程、分系统进行全面培训，使各岗位相关人员（设备管理员、技术人员等）全面熟练掌握与自己工作相关的设备应用，确保日常工作的顺利完成。</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（5）中标人应向接受培训人员提供技术资料、图纸、参考文献材料等。</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（6）所有的培训费用包括差旅、食宿、教材、资料费用等由投标人负责，均计入投标报价中。</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注：乙方投标承诺中售后服务方案优于上述要求的，优先执行投标承诺内容。</w:t>
      </w:r>
      <w:r/>
    </w:p>
    <w:p>
      <w:pPr>
        <w:ind w:firstLine="482"/>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rPr>
        <w:t xml:space="preserve">四</w:t>
      </w:r>
      <w:r>
        <w:rPr>
          <w:rFonts w:hint="eastAsia" w:ascii="宋体" w:hAnsi="宋体" w:eastAsia="宋体" w:cs="宋体"/>
          <w:b/>
          <w:color w:val="auto"/>
          <w:sz w:val="24"/>
          <w:szCs w:val="24"/>
          <w:highlight w:val="none"/>
        </w:rPr>
        <w:t xml:space="preserve">、违约责任</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.1 甲方无正当理由拒收货物的，甲方向乙方偿付拒收货款总值</w:t>
      </w:r>
      <w:r>
        <w:rPr>
          <w:rFonts w:hint="eastAsia" w:ascii="宋体" w:hAnsi="宋体" w:eastAsia="宋体" w:cs="宋体"/>
          <w:color w:val="auto"/>
          <w:sz w:val="24"/>
          <w:szCs w:val="24"/>
          <w:highlight w:val="none"/>
          <w:u w:val="single"/>
        </w:rPr>
        <w:t xml:space="preserve">万分之一</w:t>
      </w:r>
      <w:r>
        <w:rPr>
          <w:rFonts w:hint="eastAsia" w:ascii="宋体" w:hAnsi="宋体" w:eastAsia="宋体" w:cs="宋体"/>
          <w:color w:val="auto"/>
          <w:sz w:val="24"/>
          <w:szCs w:val="24"/>
          <w:highlight w:val="none"/>
        </w:rPr>
        <w:t xml:space="preserve">的违约金。</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.2 甲方无故逾期验收和办理货款支付手续的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甲方应按逾期付款总额</w:t>
      </w:r>
      <w:r>
        <w:rPr>
          <w:rFonts w:hint="eastAsia" w:ascii="宋体" w:hAnsi="宋体" w:eastAsia="宋体" w:cs="宋体"/>
          <w:color w:val="auto"/>
          <w:sz w:val="24"/>
          <w:szCs w:val="24"/>
          <w:highlight w:val="none"/>
          <w:u w:val="single"/>
        </w:rPr>
        <w:t xml:space="preserve">万分之一</w:t>
      </w:r>
      <w:r>
        <w:rPr>
          <w:rFonts w:hint="eastAsia" w:ascii="宋体" w:hAnsi="宋体" w:eastAsia="宋体" w:cs="宋体"/>
          <w:color w:val="auto"/>
          <w:sz w:val="24"/>
          <w:szCs w:val="24"/>
          <w:highlight w:val="none"/>
        </w:rPr>
        <w:t xml:space="preserve">每日向乙方支付违约金</w:t>
      </w:r>
      <w:r>
        <w:rPr>
          <w:rFonts w:hint="eastAsia" w:ascii="宋体" w:hAnsi="宋体" w:eastAsia="宋体" w:cs="宋体"/>
          <w:color w:val="auto"/>
          <w:sz w:val="24"/>
          <w:szCs w:val="24"/>
          <w:highlight w:val="none"/>
        </w:rPr>
        <w:t xml:space="preserve">，总额不超过</w:t>
      </w:r>
      <w:r>
        <w:rPr>
          <w:rFonts w:hint="eastAsia" w:ascii="宋体" w:hAnsi="宋体" w:eastAsia="宋体" w:cs="宋体"/>
          <w:color w:val="auto"/>
          <w:sz w:val="24"/>
          <w:szCs w:val="24"/>
          <w:highlight w:val="none"/>
          <w:u w:val="single"/>
        </w:rPr>
        <w:t xml:space="preserve">千分之一</w:t>
      </w:r>
      <w:r>
        <w:rPr>
          <w:rFonts w:hint="eastAsia" w:ascii="宋体" w:hAnsi="宋体" w:eastAsia="宋体" w:cs="宋体"/>
          <w:color w:val="auto"/>
          <w:sz w:val="24"/>
          <w:szCs w:val="24"/>
          <w:highlight w:val="none"/>
        </w:rPr>
        <w:t xml:space="preserve">的违约金</w:t>
      </w:r>
      <w:r>
        <w:rPr>
          <w:rFonts w:hint="eastAsia" w:ascii="宋体" w:hAnsi="宋体" w:eastAsia="宋体" w:cs="宋体"/>
          <w:color w:val="auto"/>
          <w:sz w:val="24"/>
          <w:szCs w:val="24"/>
          <w:highlight w:val="none"/>
        </w:rPr>
        <w:t xml:space="preserve">。</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.3 乙方逾期交付货物的，乙方应按逾期交货总额</w:t>
      </w:r>
      <w:r>
        <w:rPr>
          <w:rFonts w:hint="eastAsia" w:ascii="宋体" w:hAnsi="宋体" w:eastAsia="宋体" w:cs="宋体"/>
          <w:color w:val="auto"/>
          <w:sz w:val="24"/>
          <w:szCs w:val="24"/>
          <w:highlight w:val="none"/>
          <w:u w:val="single"/>
        </w:rPr>
        <w:t xml:space="preserve">千分之六</w:t>
      </w:r>
      <w:r>
        <w:rPr>
          <w:rFonts w:hint="eastAsia" w:ascii="宋体" w:hAnsi="宋体" w:eastAsia="宋体" w:cs="宋体"/>
          <w:color w:val="auto"/>
          <w:sz w:val="24"/>
          <w:szCs w:val="24"/>
          <w:highlight w:val="none"/>
        </w:rPr>
        <w:t xml:space="preserve">每日向甲方支付违约金，由甲方从待付货款中扣除。逾期超过约定日期10个工作日不能交货的，甲方可解除本合同。乙方因逾期交货或因其他违约行为导致甲方解除合同的，乙方应向甲方支付合同总值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auto"/>
          <w:sz w:val="24"/>
          <w:szCs w:val="24"/>
          <w:highlight w:val="none"/>
          <w:u w:val="single"/>
        </w:rPr>
        <w:t xml:space="preserve">百分之一</w:t>
      </w:r>
      <w:r>
        <w:rPr>
          <w:rFonts w:hint="eastAsia" w:ascii="宋体" w:hAnsi="宋体" w:eastAsia="宋体" w:cs="宋体"/>
          <w:color w:val="auto"/>
          <w:sz w:val="24"/>
          <w:szCs w:val="24"/>
          <w:highlight w:val="none"/>
        </w:rPr>
        <w:t xml:space="preserve">的违约金，如造成甲方损失超过违约金的，超出部分由乙方继续承担赔偿责任。 </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rPr>
        <w:t xml:space="preserve">五</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rPr>
        <w:t xml:space="preserve">供应商合法权益补偿机制</w:t>
      </w:r>
      <w:r/>
    </w:p>
    <w:p>
      <w:pPr>
        <w:pStyle w:val="1274"/>
        <w:ind w:firstLine="480"/>
        <w:spacing w:line="560" w:lineRule="exact"/>
        <w:rPr>
          <w:rFonts w:hint="eastAsia" w:ascii="宋体" w:hAnsi="宋体" w:eastAsia="宋体" w:cs="宋体"/>
          <w:color w:val="auto"/>
          <w:sz w:val="24"/>
          <w:szCs w:val="24"/>
          <w:highlight w:val="none"/>
        </w:rPr>
      </w:pPr>
      <w:r/>
      <w:bookmarkStart w:id="223" w:name="_Toc23650"/>
      <w:r>
        <w:rPr>
          <w:rFonts w:hint="eastAsia" w:ascii="宋体" w:hAnsi="宋体" w:eastAsia="宋体" w:cs="宋体"/>
          <w:color w:val="auto"/>
          <w:sz w:val="24"/>
          <w:szCs w:val="24"/>
          <w:highlight w:val="none"/>
        </w:rPr>
        <w:t xml:space="preserve">供应商合法权益补偿救济机制。在履约过程中因政策变化、规划调整而无法履行合同约定，造成企业合法权益受损的，采购人依据实际情况对供应商进行补偿救济。</w:t>
      </w:r>
      <w:bookmarkEnd w:id="223"/>
      <w:r/>
      <w:r/>
    </w:p>
    <w:p>
      <w:pPr>
        <w:ind w:firstLine="482"/>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rPr>
        <w:t xml:space="preserve">六</w:t>
      </w:r>
      <w:r>
        <w:rPr>
          <w:rFonts w:hint="eastAsia" w:ascii="宋体" w:hAnsi="宋体" w:eastAsia="宋体" w:cs="宋体"/>
          <w:b/>
          <w:color w:val="auto"/>
          <w:sz w:val="24"/>
          <w:szCs w:val="24"/>
          <w:highlight w:val="none"/>
        </w:rPr>
        <w:t xml:space="preserve">、不可抗力事件处理</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.1 在合同有效期内，任何一方因不可抗力事件导致不能履行合同，则合同履行期可延长，其延长期与不可抗力影响期相同。</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.2 不可抗力事件发生后，应立即通知对方，并寄送有关权威机构出具的证明。</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.3 不可抗力事件延续120天以上，双方应通过友好协商，确定是否继续履行合同。</w:t>
      </w:r>
      <w:r/>
    </w:p>
    <w:p>
      <w:pPr>
        <w:ind w:firstLine="482"/>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rPr>
        <w:t xml:space="preserve">六</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rPr>
        <w:t xml:space="preserve">解决争议的方法</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甲乙</w:t>
      </w:r>
      <w:r>
        <w:rPr>
          <w:rFonts w:hint="eastAsia" w:ascii="宋体" w:hAnsi="宋体" w:eastAsia="宋体" w:cs="宋体"/>
          <w:color w:val="auto"/>
          <w:sz w:val="24"/>
          <w:szCs w:val="24"/>
          <w:highlight w:val="none"/>
        </w:rPr>
        <w:t xml:space="preserve">双方</w:t>
      </w:r>
      <w:r>
        <w:rPr>
          <w:rFonts w:hint="eastAsia" w:ascii="宋体" w:hAnsi="宋体" w:eastAsia="宋体" w:cs="宋体"/>
          <w:color w:val="auto"/>
          <w:sz w:val="24"/>
          <w:szCs w:val="24"/>
          <w:highlight w:val="none"/>
        </w:rPr>
        <w:t xml:space="preserve">因</w:t>
      </w:r>
      <w:r>
        <w:rPr>
          <w:rFonts w:hint="eastAsia" w:ascii="宋体" w:hAnsi="宋体" w:eastAsia="宋体" w:cs="宋体"/>
          <w:color w:val="auto"/>
          <w:sz w:val="24"/>
          <w:szCs w:val="24"/>
          <w:highlight w:val="none"/>
        </w:rPr>
        <w:t xml:space="preserve">合同</w:t>
      </w:r>
      <w:r>
        <w:rPr>
          <w:rFonts w:hint="eastAsia" w:ascii="宋体" w:hAnsi="宋体" w:eastAsia="宋体" w:cs="宋体"/>
          <w:color w:val="auto"/>
          <w:sz w:val="24"/>
          <w:szCs w:val="24"/>
          <w:highlight w:val="none"/>
        </w:rPr>
        <w:t xml:space="preserve">签订、履行而</w:t>
      </w:r>
      <w:r>
        <w:rPr>
          <w:rFonts w:hint="eastAsia" w:ascii="宋体" w:hAnsi="宋体" w:eastAsia="宋体" w:cs="宋体"/>
          <w:color w:val="auto"/>
          <w:sz w:val="24"/>
          <w:szCs w:val="24"/>
          <w:highlight w:val="none"/>
        </w:rPr>
        <w:t xml:space="preserve">发生的一切争议，应通过</w:t>
      </w:r>
      <w:r>
        <w:rPr>
          <w:rFonts w:hint="eastAsia" w:ascii="宋体" w:hAnsi="宋体" w:eastAsia="宋体" w:cs="宋体"/>
          <w:color w:val="auto"/>
          <w:sz w:val="24"/>
          <w:szCs w:val="24"/>
          <w:highlight w:val="none"/>
        </w:rPr>
        <w:t xml:space="preserve">友好</w:t>
      </w:r>
      <w:r>
        <w:rPr>
          <w:rFonts w:hint="eastAsia" w:ascii="宋体" w:hAnsi="宋体" w:eastAsia="宋体" w:cs="宋体"/>
          <w:color w:val="auto"/>
          <w:sz w:val="24"/>
          <w:szCs w:val="24"/>
          <w:highlight w:val="none"/>
        </w:rPr>
        <w:t xml:space="preserve">协商解决。如协商不成</w:t>
      </w:r>
      <w:r>
        <w:rPr>
          <w:rFonts w:hint="eastAsia" w:ascii="宋体" w:hAnsi="宋体" w:eastAsia="宋体" w:cs="宋体"/>
          <w:color w:val="auto"/>
          <w:sz w:val="24"/>
          <w:szCs w:val="24"/>
          <w:highlight w:val="none"/>
        </w:rPr>
        <w:t xml:space="preserve">由甲方住所地人民</w:t>
      </w:r>
      <w:r>
        <w:rPr>
          <w:rFonts w:hint="eastAsia" w:ascii="宋体" w:hAnsi="宋体" w:eastAsia="宋体" w:cs="宋体"/>
          <w:color w:val="auto"/>
          <w:sz w:val="24"/>
          <w:szCs w:val="24"/>
          <w:highlight w:val="none"/>
        </w:rPr>
        <w:t xml:space="preserve">法院</w:t>
      </w:r>
      <w:r>
        <w:rPr>
          <w:rFonts w:hint="eastAsia" w:ascii="宋体" w:hAnsi="宋体" w:eastAsia="宋体" w:cs="宋体"/>
          <w:color w:val="auto"/>
          <w:sz w:val="24"/>
          <w:szCs w:val="24"/>
          <w:highlight w:val="none"/>
        </w:rPr>
        <w:t xml:space="preserve">管辖。</w:t>
      </w:r>
      <w:r/>
    </w:p>
    <w:p>
      <w:pPr>
        <w:ind w:firstLine="482"/>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rPr>
        <w:t xml:space="preserve">七</w:t>
      </w:r>
      <w:r>
        <w:rPr>
          <w:rFonts w:hint="eastAsia" w:ascii="宋体" w:hAnsi="宋体" w:eastAsia="宋体" w:cs="宋体"/>
          <w:b/>
          <w:color w:val="auto"/>
          <w:sz w:val="24"/>
          <w:szCs w:val="24"/>
          <w:highlight w:val="none"/>
        </w:rPr>
        <w:t xml:space="preserve">、合同生效及其它</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rPr>
        <w:t xml:space="preserve">.1 合同经双方法定代表人或授权委托代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z w:val="24"/>
          <w:szCs w:val="24"/>
          <w:highlight w:val="none"/>
        </w:rPr>
        <w:t xml:space="preserve">人签字并加盖单位公章后生效。</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rPr>
        <w:t xml:space="preserve">.2 本合同未尽事宜，遵照</w:t>
      </w:r>
      <w:r>
        <w:rPr>
          <w:rFonts w:hint="eastAsia" w:ascii="宋体" w:hAnsi="宋体" w:eastAsia="宋体" w:cs="宋体"/>
          <w:color w:val="auto"/>
          <w:sz w:val="24"/>
          <w:szCs w:val="24"/>
          <w:highlight w:val="none"/>
        </w:rPr>
        <w:t xml:space="preserve">中华人民共和国现行法律法规</w:t>
      </w:r>
      <w:r>
        <w:rPr>
          <w:rFonts w:hint="eastAsia" w:ascii="宋体" w:hAnsi="宋体" w:eastAsia="宋体" w:cs="宋体"/>
          <w:color w:val="auto"/>
          <w:sz w:val="24"/>
          <w:szCs w:val="24"/>
          <w:highlight w:val="none"/>
        </w:rPr>
        <w:t xml:space="preserve">有关条文执行。</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 本合同正本一式</w:t>
      </w:r>
      <w:r>
        <w:rPr>
          <w:rFonts w:hint="eastAsia" w:ascii="宋体" w:hAnsi="宋体" w:eastAsia="宋体" w:cs="宋体"/>
          <w:color w:val="auto"/>
          <w:sz w:val="24"/>
          <w:szCs w:val="24"/>
          <w:highlight w:val="none"/>
        </w:rPr>
        <w:t xml:space="preserve">六</w:t>
      </w:r>
      <w:r>
        <w:rPr>
          <w:rFonts w:hint="eastAsia" w:ascii="宋体" w:hAnsi="宋体" w:eastAsia="宋体" w:cs="宋体"/>
          <w:color w:val="auto"/>
          <w:sz w:val="24"/>
          <w:szCs w:val="24"/>
          <w:highlight w:val="none"/>
        </w:rPr>
        <w:t xml:space="preserve">份，具有同等法律效力，甲</w:t>
      </w:r>
      <w:r>
        <w:rPr>
          <w:rFonts w:hint="eastAsia" w:ascii="宋体" w:hAnsi="宋体" w:eastAsia="宋体" w:cs="宋体"/>
          <w:color w:val="auto"/>
          <w:sz w:val="24"/>
          <w:szCs w:val="24"/>
          <w:highlight w:val="none"/>
        </w:rPr>
        <w:t xml:space="preserve">方、</w:t>
      </w:r>
      <w:r>
        <w:rPr>
          <w:rFonts w:hint="eastAsia" w:ascii="宋体" w:hAnsi="宋体" w:eastAsia="宋体" w:cs="宋体"/>
          <w:color w:val="auto"/>
          <w:sz w:val="24"/>
          <w:szCs w:val="24"/>
          <w:highlight w:val="none"/>
        </w:rPr>
        <w:t xml:space="preserve">乙方各执</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rPr>
        <w:t xml:space="preserve">份。</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地址： </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rPr>
        <w:t xml:space="preserve">或授权代表</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rPr>
        <w:t xml:space="preserve">或授权代表</w:t>
      </w:r>
      <w:r>
        <w:rPr>
          <w:rFonts w:hint="eastAsia" w:ascii="宋体" w:hAnsi="宋体" w:eastAsia="宋体" w:cs="宋体"/>
          <w:color w:val="auto"/>
          <w:sz w:val="24"/>
          <w:szCs w:val="24"/>
          <w:highlight w:val="none"/>
        </w:rPr>
        <w:t xml:space="preserve">：</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 </w:t>
      </w:r>
      <w:r/>
    </w:p>
    <w:p>
      <w:pPr>
        <w:pStyle w:val="1174"/>
        <w:jc w:val="center"/>
        <w:spacing w:before="120" w:after="120" w:line="0" w:lineRule="atLeast"/>
        <w:rPr>
          <w:rFonts w:hint="eastAsia" w:ascii="宋体" w:hAnsi="宋体" w:eastAsia="宋体" w:cs="宋体"/>
          <w:color w:val="auto"/>
          <w:sz w:val="24"/>
          <w:szCs w:val="24"/>
          <w:highlight w:val="none"/>
        </w:rPr>
      </w:pPr>
      <w:r>
        <w:rPr>
          <w:rFonts w:hint="eastAsia" w:ascii="宋体" w:hAnsi="宋体" w:eastAsia="宋体" w:cs="宋体"/>
          <w:bCs/>
          <w:color w:val="auto"/>
          <w:sz w:val="44"/>
          <w:highlight w:val="none"/>
        </w:rPr>
        <w:br w:type="page" w:clear="all"/>
      </w:r>
      <w:r>
        <w:rPr>
          <w:rFonts w:hint="eastAsia" w:ascii="宋体" w:hAnsi="宋体" w:eastAsia="宋体" w:cs="宋体"/>
          <w:bCs/>
          <w:color w:val="auto"/>
          <w:sz w:val="44"/>
          <w:highlight w:val="none"/>
        </w:rPr>
        <w:t xml:space="preserve">第</w:t>
      </w:r>
      <w:bookmarkEnd w:id="212"/>
      <w:r>
        <w:rPr>
          <w:rFonts w:hint="eastAsia" w:ascii="宋体" w:hAnsi="宋体" w:eastAsia="宋体" w:cs="宋体"/>
          <w:bCs/>
          <w:color w:val="auto"/>
          <w:sz w:val="44"/>
          <w:highlight w:val="none"/>
        </w:rPr>
        <w:t xml:space="preserve">四章 采购需求</w:t>
      </w:r>
      <w:bookmarkEnd w:id="213"/>
      <w:r/>
      <w:bookmarkEnd w:id="214"/>
      <w:r/>
      <w:bookmarkEnd w:id="215"/>
      <w:r/>
      <w:r/>
    </w:p>
    <w:p>
      <w:pPr>
        <w:spacing w:before="120" w:after="120" w:line="0" w:lineRule="atLeast"/>
        <w:rPr>
          <w:rFonts w:hint="eastAsia" w:ascii="宋体" w:hAnsi="宋体" w:eastAsia="宋体" w:cs="宋体"/>
          <w:color w:val="auto"/>
          <w:sz w:val="24"/>
          <w:szCs w:val="24"/>
          <w:highlight w:val="none"/>
        </w:rPr>
      </w:pPr>
      <w:r/>
      <w:bookmarkStart w:id="224" w:name="_Toc26554093"/>
      <w:r/>
      <w:bookmarkStart w:id="225" w:name="_Toc49090575"/>
      <w:r>
        <w:rPr>
          <w:rFonts w:hint="eastAsia" w:ascii="宋体" w:hAnsi="宋体" w:eastAsia="宋体" w:cs="宋体"/>
          <w:color w:val="auto"/>
          <w:sz w:val="24"/>
          <w:szCs w:val="24"/>
          <w:highlight w:val="none"/>
        </w:rPr>
        <w:t xml:space="preserve">项目属性：货物类项目</w:t>
      </w:r>
      <w:r/>
    </w:p>
    <w:p>
      <w:pPr>
        <w:spacing w:before="120" w:after="12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本项目采购标的对应的中小企业划分标准所属行业：</w:t>
      </w:r>
      <w:r>
        <w:rPr>
          <w:rFonts w:hint="eastAsia" w:ascii="宋体" w:hAnsi="宋体" w:eastAsia="宋体" w:cs="宋体"/>
          <w:color w:val="auto"/>
          <w:sz w:val="24"/>
          <w:szCs w:val="24"/>
          <w:highlight w:val="none"/>
          <w:u w:val="single"/>
        </w:rPr>
        <w:t xml:space="preserve"> 工业（制造业）</w:t>
      </w:r>
      <w:r/>
    </w:p>
    <w:p>
      <w:pPr>
        <w:spacing w:before="120" w:after="12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进口产品。</w:t>
      </w:r>
      <w:r/>
    </w:p>
    <w:p>
      <w:pPr>
        <w:pStyle w:val="1276"/>
        <w:ind w:firstLine="482"/>
        <w:spacing w:line="500" w:lineRule="exact"/>
        <w:widowControl/>
        <w:rPr>
          <w:rStyle w:val="1148"/>
          <w:rFonts w:hint="eastAsia" w:ascii="宋体" w:hAnsi="宋体" w:eastAsia="宋体" w:cs="宋体"/>
          <w:b/>
          <w:color w:val="auto"/>
          <w:sz w:val="24"/>
          <w:szCs w:val="24"/>
          <w:highlight w:val="none"/>
        </w:rPr>
      </w:pPr>
      <w:r>
        <w:rPr>
          <w:rStyle w:val="1148"/>
          <w:rFonts w:hint="eastAsia" w:ascii="宋体" w:hAnsi="宋体" w:eastAsia="宋体" w:cs="宋体"/>
          <w:b/>
          <w:color w:val="auto"/>
          <w:sz w:val="24"/>
          <w:szCs w:val="24"/>
          <w:highlight w:val="none"/>
        </w:rPr>
        <w:t xml:space="preserve">一、项目概况</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（一）项目名称：宿迁技师学院国基地校内工业机器人实训基地建设</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（二）预算及最高限价：600万元。</w:t>
      </w:r>
      <w:r/>
    </w:p>
    <w:p>
      <w:pPr>
        <w:ind w:firstLine="482"/>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二、合同履行期限、地点及要求</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供货期：</w:t>
      </w:r>
      <w:r>
        <w:rPr>
          <w:rFonts w:hint="eastAsia" w:ascii="宋体" w:hAnsi="宋体" w:eastAsia="宋体" w:cs="宋体"/>
          <w:color w:val="auto"/>
          <w:sz w:val="24"/>
          <w:szCs w:val="24"/>
          <w:highlight w:val="none"/>
        </w:rPr>
        <w:t xml:space="preserve">合同签订60日历天内完成全部安装调试并投入正常使用。</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售后服务期：3年（自项目验收合格之日起计算）；</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供货地点：采购人指定地点。</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质量要求：合格；提供的产品性能及质量有国家标准的应符合国家标准。无国家标准的应符合行业标准或企业标准，并满足招标文件要求，实现投标文件承诺条款。</w:t>
      </w:r>
      <w:r/>
    </w:p>
    <w:p>
      <w:pPr>
        <w:ind w:firstLine="482"/>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三、付款方式</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对于满足合同约定支付条件的，自收到发票后10个工作日内将资金支付到合同约定的投标人账户或投标人数字人民币账户。</w:t>
      </w:r>
      <w:r/>
    </w:p>
    <w:p>
      <w:pPr>
        <w:ind w:firstLine="482"/>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预付款：合同金额的</w:t>
      </w:r>
      <w:r>
        <w:rPr>
          <w:rFonts w:hint="eastAsia" w:ascii="宋体" w:hAnsi="宋体" w:eastAsia="宋体" w:cs="宋体"/>
          <w:bCs/>
          <w:color w:val="auto"/>
          <w:sz w:val="24"/>
          <w:highlight w:val="none"/>
          <w:u w:val="single"/>
        </w:rPr>
        <w:t xml:space="preserve">30%</w:t>
      </w:r>
      <w:r>
        <w:rPr>
          <w:rFonts w:hint="eastAsia" w:ascii="宋体" w:hAnsi="宋体" w:eastAsia="宋体" w:cs="宋体"/>
          <w:bCs/>
          <w:color w:val="auto"/>
          <w:sz w:val="24"/>
          <w:highlight w:val="none"/>
        </w:rPr>
        <w:t xml:space="preserve"> ，合同签订后按规定支付； </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进度款：</w:t>
      </w:r>
      <w:r>
        <w:rPr>
          <w:rFonts w:hint="eastAsia" w:ascii="宋体" w:hAnsi="宋体" w:eastAsia="宋体" w:cs="宋体"/>
          <w:bCs/>
          <w:color w:val="auto"/>
          <w:sz w:val="24"/>
          <w:highlight w:val="none"/>
          <w:u w:val="single"/>
        </w:rPr>
        <w:t xml:space="preserve"> 货物到现场安装调试完毕稳定运行，经采购人验收合格后，采购人收到供应商发票后10个工作日内支付</w:t>
      </w:r>
      <w:r>
        <w:rPr>
          <w:rFonts w:hint="eastAsia" w:ascii="宋体" w:hAnsi="宋体" w:eastAsia="宋体" w:cs="宋体"/>
          <w:bCs/>
          <w:color w:val="auto"/>
          <w:sz w:val="24"/>
          <w:highlight w:val="none"/>
          <w:u w:val="single"/>
        </w:rPr>
        <w:t xml:space="preserve">至</w:t>
      </w:r>
      <w:r>
        <w:rPr>
          <w:rFonts w:hint="eastAsia" w:ascii="宋体" w:hAnsi="宋体" w:eastAsia="宋体" w:cs="宋体"/>
          <w:bCs/>
          <w:color w:val="auto"/>
          <w:sz w:val="24"/>
          <w:highlight w:val="none"/>
          <w:u w:val="single"/>
        </w:rPr>
        <w:t xml:space="preserve">合同总金额100%。</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注：在签订合同时，中标人明确表示无需预付款或者主动要求降低预付款比例的金额，采购人可不适用预付款规定。</w:t>
      </w:r>
      <w:r/>
    </w:p>
    <w:p>
      <w:pPr>
        <w:pStyle w:val="1276"/>
        <w:ind w:firstLine="482"/>
        <w:spacing w:line="500" w:lineRule="exact"/>
        <w:widowControl/>
        <w:rPr>
          <w:rStyle w:val="1148"/>
          <w:rFonts w:hint="eastAsia" w:ascii="宋体" w:hAnsi="宋体" w:eastAsia="宋体" w:cs="宋体"/>
          <w:b/>
          <w:color w:val="auto"/>
          <w:sz w:val="24"/>
          <w:szCs w:val="24"/>
          <w:highlight w:val="none"/>
        </w:rPr>
      </w:pPr>
      <w:r>
        <w:rPr>
          <w:rStyle w:val="1148"/>
          <w:rFonts w:hint="eastAsia" w:ascii="宋体" w:hAnsi="宋体" w:eastAsia="宋体" w:cs="宋体"/>
          <w:b/>
          <w:color w:val="auto"/>
          <w:sz w:val="24"/>
          <w:szCs w:val="24"/>
          <w:highlight w:val="none"/>
        </w:rPr>
        <w:t xml:space="preserve">四、设备清单及技术参数∶</w:t>
      </w:r>
      <w:r/>
    </w:p>
    <w:p>
      <w:pPr>
        <w:ind w:firstLine="560"/>
        <w:jc w:val="left"/>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（一）采购清单</w:t>
      </w:r>
      <w:r/>
    </w:p>
    <w:tbl>
      <w:tblPr>
        <w:tblStyle w:val="939"/>
        <w:tblW w:w="9162" w:type="dxa"/>
        <w:tblInd w:w="0" w:type="dxa"/>
        <w:tblLayout w:type="fixed"/>
        <w:tblCellMar>
          <w:left w:w="108" w:type="dxa"/>
          <w:top w:w="0" w:type="dxa"/>
          <w:right w:w="108" w:type="dxa"/>
          <w:bottom w:w="0" w:type="dxa"/>
        </w:tblCellMar>
        <w:tblLook w:val="04A0" w:firstRow="1" w:lastRow="0" w:firstColumn="1" w:lastColumn="0" w:noHBand="0" w:noVBand="1"/>
      </w:tblPr>
      <w:tblGrid>
        <w:gridCol w:w="914"/>
        <w:gridCol w:w="5002"/>
        <w:gridCol w:w="3246"/>
      </w:tblGrid>
      <w:tr>
        <w:trPr>
          <w:trHeight w:val="600"/>
        </w:trPr>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5002" w:type="dxa"/>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数量（套）</w:t>
            </w:r>
            <w:r/>
          </w:p>
        </w:tc>
      </w:tr>
      <w:tr>
        <w:trPr>
          <w:trHeight w:val="600"/>
        </w:trPr>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002"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六轴工业机器人编程应用实训平台</w:t>
            </w:r>
            <w:r/>
          </w:p>
        </w:tc>
        <w:tc>
          <w:tcPr>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18</w:t>
            </w:r>
            <w:r/>
          </w:p>
        </w:tc>
      </w:tr>
      <w:tr>
        <w:trPr>
          <w:trHeight w:val="600"/>
        </w:trPr>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5002"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六轴协作机器人编程应用实训平台</w:t>
            </w:r>
            <w:r/>
          </w:p>
        </w:tc>
        <w:tc>
          <w:tcPr>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w:t>
            </w:r>
            <w:r/>
          </w:p>
        </w:tc>
      </w:tr>
      <w:tr>
        <w:trPr>
          <w:trHeight w:val="600"/>
        </w:trPr>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002"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开源智能复合机器人</w:t>
            </w:r>
            <w:r/>
          </w:p>
        </w:tc>
        <w:tc>
          <w:tcPr>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w:t>
            </w:r>
            <w:r/>
          </w:p>
        </w:tc>
      </w:tr>
      <w:tr>
        <w:trPr>
          <w:trHeight w:val="600"/>
        </w:trPr>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5002"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数字化运维实训平台</w:t>
            </w:r>
            <w:r/>
          </w:p>
        </w:tc>
        <w:tc>
          <w:tcPr>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r>
      <w:tr>
        <w:trPr>
          <w:trHeight w:val="600"/>
        </w:trPr>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002"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智能物流产线</w:t>
            </w:r>
            <w:r/>
          </w:p>
        </w:tc>
        <w:tc>
          <w:tcPr>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w:t>
            </w:r>
            <w:r/>
          </w:p>
        </w:tc>
      </w:tr>
    </w:tbl>
    <w:p>
      <w:pPr>
        <w:ind w:firstLine="560"/>
        <w:jc w:val="left"/>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287"/>
        <w:ind w:firstLine="560"/>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（二）技术参数要求</w:t>
      </w:r>
      <w:r/>
    </w:p>
    <w:p>
      <w:pPr>
        <w:jc w:val="left"/>
        <w:spacing w:line="48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8"/>
          <w:highlight w:val="none"/>
        </w:rPr>
        <w:t xml:space="preserve">●表示演示视频共8个，▲表示提供证明资料/截图共25个</w:t>
      </w:r>
      <w:r/>
    </w:p>
    <w:p>
      <w:pPr>
        <w:pStyle w:val="929"/>
        <w:ind w:left="425" w:hanging="425"/>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1.</w:t>
      </w:r>
      <w:r>
        <w:rPr>
          <w:rFonts w:hint="eastAsia" w:ascii="宋体" w:hAnsi="宋体" w:eastAsia="宋体" w:cs="宋体"/>
          <w:b/>
          <w:bCs/>
          <w:color w:val="auto"/>
          <w:sz w:val="24"/>
          <w:szCs w:val="21"/>
          <w:highlight w:val="none"/>
        </w:rPr>
        <w:t xml:space="preserve">六轴工业机器人编程应用实训平台</w:t>
      </w:r>
      <w:r/>
    </w:p>
    <w:tbl>
      <w:tblPr>
        <w:tblStyle w:val="964"/>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1308"/>
        <w:gridCol w:w="5972"/>
        <w:gridCol w:w="1020"/>
      </w:tblGrid>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产品名称</w:t>
            </w:r>
            <w:r/>
          </w:p>
        </w:tc>
        <w:tc>
          <w:tcPr>
            <w:tcW w:w="5972"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数量（套）</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工业机器人</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1.轴数：≥6</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2.工作半径：≥900mm，额定负载：≥6kg，重复定位精度：≤±0.03mm；</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3.各轴动作范围及速度：</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轴：动作范围≥±165°，最高转速≥280º/s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轴：动作范围≥±90°，最高转速≥175º/s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轴：动作范围≥-105—+45°，最高转速≥280º/s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轴：动作范围≥±165°，最高转速≥280º/s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轴：动作范围≥±100°，最高转速≥350º/s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轴：动作范围≥±360°，最高转速≥350º/s</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伺服系统数字化平台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（1）支持提供实时数据处理、伺服协议支持、数据传输；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（2）支持控制、检测和分析功能，可实时监控伺服系统性能，支持至少6通道16kHz、12通道8kHz实时波形数据采集功能,支持同时对机器人至少六个轴运行状态的实时监测。</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ligatures w14:val="standardContextual"/>
              </w:rPr>
              <w:t xml:space="preserve">5.工业机器人数字化平台：支持机器人整机状态监控、设备姿势实时展示，数据采样分析、设备历史数据查询等功能，可实时监控机器人运行性能、全流程数据透明管控、支持数字化决策。</w:t>
            </w:r>
            <w:r/>
          </w:p>
          <w:p>
            <w:pPr>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6.离线编程平台</w:t>
            </w:r>
            <w:r/>
          </w:p>
          <w:p>
            <w:pPr>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（1）具有语法检测功能，精准识别程序语法错误，即时定位问题位置并解析原因，同步支持指令自动格式化；</w:t>
            </w:r>
            <w:r/>
          </w:p>
          <w:p>
            <w:pPr>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（2）具有指令自动补全功能，提供全部机器人指令提示，支持根据提示补全完整指令；</w:t>
            </w:r>
            <w:r/>
          </w:p>
          <w:p>
            <w:pPr>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（3）具有虚拟示教器功能，界面外观及操作方式与真实示教器一致，提供沉浸式交互使用；具备联机模式，可无缝衔接实体机器人联机编程，提供真实的教学演示方式。</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视觉系统</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D视觉系统：有效像素600万，帧率：≥17fps，数据接口：GigE。配套工业镜头，分辨率≥600万像素，靶面尺寸≥2/3英寸。配套环形光源，带漫射板，发光面外径不小于100mm，内径不小于60mm。配套数字光源控制器，不少于4通道，同时支持RS232和以太网通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D视觉系统：采用一体式封装，自带红外结构光源和白色LED光源，相机分辨率不低于1920x1080像素。视场角大于80°×56°。最小工作距离不大于350mm，全视野深度测量重复精度工作距离600mm以内时优于2mm。点云输出分辨率不低于1280x720像素，点云单帧输出优于1S。数据接口：USB3.0。外形不大于120x45x 40mm。可完成3D标定、3D匹配、3D体积测量等实验。</w:t>
            </w:r>
            <w:r>
              <w:rPr>
                <w:rFonts w:hint="eastAsia" w:ascii="宋体" w:hAnsi="宋体" w:eastAsia="宋体" w:cs="宋体"/>
                <w:color w:val="auto"/>
                <w:sz w:val="24"/>
                <w:highlight w:val="none"/>
              </w:rPr>
              <w:t xml:space="preserve">（投标时须提供产品彩页或官方技术资料作为证明材料）</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人工智能开发及边缘算力模块</w:t>
            </w:r>
            <w:r/>
          </w:p>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972"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1、NPU≥1TOPS ；CPU核心数:≥4、主频≥2.0GHZ；运行内存≥4GB DDR4；eMMC:≥32GB ；USB 3.0≥1；HDMI≥1;可扩展TF存储≥64GB。</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▲2、人脸识别单元:支持深度学习红外人脸识别；支持活体检测，人脸捕捉，特征提取；外置USB接口传输视频流,可与控件板分离式安装。</w:t>
            </w:r>
            <w:r>
              <w:rPr>
                <w:rFonts w:hint="eastAsia" w:ascii="宋体" w:hAnsi="宋体" w:eastAsia="宋体" w:cs="宋体"/>
                <w:color w:val="auto"/>
                <w:sz w:val="24"/>
                <w:highlight w:val="none"/>
              </w:rPr>
              <w:t xml:space="preserve">（投标时须提供产品彩页或官方技术资料作为证明材料）</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3、工作频段：采用13.56MHz标准工作频段，支持对应频段标签读写识别；工作参数：额定工作电压DC 5V，模块工作功率≥0.5W，保障读写识别稳定、灵敏度高；通讯方式：支持I2C通讯协议，可与主控设备稳定数据交互，适配系统联动控制。</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4、通信模组：配置全网通4G通信模组，支持全网通4G网络制式，可实现设备无线网络数据传输、远程通讯及数据上传功能，适配系统远程运维与数据交互需求。</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语音识别单元：采用AI智能语音识别技术，支持自定义唤醒词、自定义命令词，可自定义词条数量≥150条；设备自带中文语音播报功能，可实现语音交互、状态播报、操作提示等功能，适配设备智能化交互场景。</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6、外部扩展接口：设备配备丰富的</w:t>
            </w:r>
            <w:r>
              <w:rPr>
                <w:rFonts w:hint="eastAsia" w:ascii="宋体" w:hAnsi="宋体" w:eastAsia="宋体" w:cs="宋体"/>
                <w:color w:val="auto"/>
                <w:sz w:val="24"/>
                <w:szCs w:val="24"/>
                <w:highlight w:val="none"/>
              </w:rPr>
              <w:t xml:space="preserve">标准化外部接口，满足外设拓展、信号传输、设备通讯及拓展适配需求，具体配置不低于以下要求：HDMI2.0接口≥1路、MIPI DSI接口≥1路、MIPI CSI0接口≥1路、MIPI CSI1接口≥1路、千兆以太网口≥2路、USB3.0接口≥1路、USB2.0接口≥3路、USB OTG接口≥1路、CAN总线接口≥2路、RS232总线接口≥2路、GPIO输入接口≥8路、GPIO输出接口≥8路、ADC转换通道≥5路、PCIe-2.0接口≥1路。所有接口为行业通用标准接口，无专属、排他性设计，兼容市面主流配套外设。</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7.环境适应性:宽压DC 9~36V输入；工作温度：≥-45℃~85℃；静电等级：ESD3。</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8.模块软件功能：</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（1）设备信息管理功能：支持查询设备型号、设备ID号、设备出厂日期、使用单位等设备基础信息，可实现设备基础信息的规范化管理。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（2）用户管理功能：支持用户新增、删除、修改、查询操作，可对不同用户设置分级操作权限；支持通过RFID识别、人脸识别双重方式完成身份验证及系统授权登录，保障设备操作安全。</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AI语音交互功能：具备智能化AI语音交互能力，支持设备开机帮助语音提示、设备功能语音简介、设备基础操作语音控制，包含设备上电、设备状态查询、设备停止等常规操作；预留AI语音操作功能扩展空间，可后期拓展新增语音控制指令。投标人需保证所投产品具备该项完整功能，采购人可在到货验收、样机测试环节核验功能有效性。(投标须提供以上功能一一对应的演示视频作为证明材料)</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Style w:val="965"/>
                <w:rFonts w:hint="eastAsia" w:ascii="宋体" w:hAnsi="宋体" w:eastAsia="宋体" w:cs="宋体"/>
                <w:color w:val="auto"/>
                <w:sz w:val="24"/>
                <w:szCs w:val="24"/>
                <w:highlight w:val="none"/>
                <w:lang w:bidi="ar"/>
              </w:rPr>
              <w:t xml:space="preserve">南北向通讯接口功能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bidi="ar"/>
              </w:rPr>
              <w:t xml:space="preserve">支持MQTT、Modbus双通讯协议；上位机可通过以太网、4G网络方式与设备系统实现双向数据交互；系统可通过ModBus协议、I2C、SPI、DIO等通用接口与外部设备通讯，可实时读取电流、电压、气压、温度、湿度等各类传感器数据，实现外设数据采集与联动管控。</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▲（5）系统数据管理：</w:t>
            </w:r>
            <w:r>
              <w:rPr>
                <w:rFonts w:hint="eastAsia" w:ascii="宋体" w:hAnsi="宋体" w:eastAsia="宋体" w:cs="宋体"/>
                <w:color w:val="auto"/>
                <w:sz w:val="24"/>
                <w:szCs w:val="24"/>
                <w:highlight w:val="none"/>
                <w:lang w:bidi="ar"/>
              </w:rPr>
              <w:t xml:space="preserve">具备完善的设备状态数据管理能力，可全程记录设备上电、开机、运行、停止、故障报警等全周期运行日志；支持电流、电压、气压、温度、湿度等环境及设备运行数据的统计与查询；支持数据本地存储留存及云端数据同步，可实现设备远程数据查看与运维管理。投标人需保证所投产品具备该项完整功能，采购人可在到货验收、样机测试环节核验功能有效性。</w:t>
            </w:r>
            <w:r>
              <w:rPr>
                <w:rFonts w:hint="eastAsia" w:ascii="宋体" w:hAnsi="宋体" w:eastAsia="宋体" w:cs="宋体"/>
                <w:color w:val="auto"/>
                <w:sz w:val="24"/>
                <w:szCs w:val="24"/>
                <w:highlight w:val="none"/>
              </w:rPr>
              <w:t xml:space="preserve">（投标须提供相关软件功能截图作为证明材料）</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Style w:val="965"/>
                <w:rFonts w:hint="eastAsia" w:ascii="宋体" w:hAnsi="宋体" w:eastAsia="宋体" w:cs="宋体"/>
                <w:b w:val="0"/>
                <w:bCs/>
                <w:color w:val="auto"/>
                <w:sz w:val="24"/>
                <w:szCs w:val="24"/>
                <w:highlight w:val="none"/>
                <w:lang w:bidi="ar"/>
              </w:rPr>
              <w:t xml:space="preserve">WebServer网页管理功能</w:t>
            </w:r>
            <w:r>
              <w:rPr>
                <w:rFonts w:hint="eastAsia" w:ascii="宋体" w:hAnsi="宋体" w:eastAsia="宋体" w:cs="宋体"/>
                <w:bCs/>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内置WebServer服务，支持通过电脑网页端完成系统参数设置、各类数据查询与管理；具备远程数据实时监控、异常数据报警、远程设备管理能力；支持远程用户授权管理、远程数据录入（含设备信息数据、用户数据等）、远程人脸信息录入、远程参数配置下发等全流程远程运维功能。</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（7）云端服务功能：</w:t>
            </w:r>
            <w:r>
              <w:rPr>
                <w:rFonts w:hint="eastAsia" w:ascii="宋体" w:hAnsi="宋体" w:eastAsia="宋体" w:cs="宋体"/>
                <w:color w:val="auto"/>
                <w:sz w:val="24"/>
                <w:szCs w:val="24"/>
                <w:highlight w:val="none"/>
                <w:lang w:bidi="ar"/>
              </w:rPr>
              <w:t xml:space="preserve">支持配套服务器软件的安装与部署，适配手机终端APP应用，可通过移动端、云端平台实现设备远程监控、数据查看、设备运维等拓展功能</w:t>
            </w:r>
            <w:r>
              <w:rPr>
                <w:rFonts w:hint="eastAsia" w:ascii="宋体" w:hAnsi="宋体" w:eastAsia="宋体" w:cs="宋体"/>
                <w:color w:val="auto"/>
                <w:sz w:val="24"/>
                <w:szCs w:val="24"/>
                <w:highlight w:val="none"/>
                <w:lang w:bidi="ar"/>
              </w:rPr>
              <w:t xml:space="preserve">。</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机器视觉软件</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设备整体采用软硬件控制处理一体化集成设计。在一个软件平台中实现统一标准化的设备控制、图像处理和数据统计应用方式。设备控制包括相机应用控制、PLC应用控制、运动控制卡应用控制、光源应用控制、机器人应用控制等。(投标须提供以上功能一一对应的演示视频作为证明材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2.提供图形化编程和代码编程两种编程模式：</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（1）图形化编程要求通俗易懂、简单易用，采用可视化拖拽式操作方式，实现参数设置、数据编辑、变最的引用和赋值、显示窗口布局显示、图像和ROI任意绑定显示、流程图定义任务流程；</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（2）流程图模块包括顺序执行模块、判断模块、分支模块、循环模块、并行模块、工具组模块、流程块模块和定时器模块，可满足各类复杂、多逻辑、多分支的自动化任务流程搭建需求。</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（3）代码编程支持基于VB.net、C#多种语言的编程和开发；包括提供SDK底层算法开发包、算法工具开发模块、功能插件开发模块、硬件资源开发模块、用户界面开发模块等。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3.支持TCP/IP、串口、PLC控制、MQTT等操作仿真。</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4.软件提供应用场景深度配置方式：</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（1）基础配置：支持料号配置管理、工位配置、工具配置、参数配置，流程模块单独导入、导出功能；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（2）标准应用模块库：涵盖2D/3D定位、2D/3D标定,条码/二维码识别、2D/3D测量、缺陷检测、PLC控制、机器人控制等的标准配置应用模块库；支持标准库的编辑及导入/导出；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（3）可视化窗口布局配置：支持图像显示窗口任意添加、多类型位置布局。</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5.软件具备丰富的权限、线程和流程管理；</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多用户管理，并可为每个用户分配权限；同时支持权限精细化管理，可支持权限可单独分配置到每个配置、算法工具、工具变量，同个算法工具的不同输入输出变量可分配不同的使用权限。(投标须提供以上功能一一对应的演示视频作为证明材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可以在独立的笔记本运行，网络端用户可以获取对应IP地址机台上的图像数据。既可以用笔记本客户端对设备进行控制，也可以多台设备通讯协同完成实训任务。(投标须提供以上功能一一对应的演示视频作为证明材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6.软件提供变量灵活编辑和自定义功能：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编辑和自定义的变量类型包括：基础数据类包括型短整型、长整型、单精度浮点型、双精度浮点型、布尔型、Point类型、PointF类型、PointF3D类型、图像类型、字符串类型、枚举类型以及基于这些基础数据类型的列表类型和数组类型；ROI图形类型包括直线ROI类型、矩ROI类型、圆ROI类型、弧ROI类型、圆环ROI类型、十字ROI类型、多边形ROI类型。</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（2）支持流程模和工具输入、输出参数中添加、编辑自定义类型变量。</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（3）支持流程模块或工具中的输入、输出参数变量实现计算器、字符串脚本公式功能。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（4）支持自定义全局寄存器变量，支持流程执行过程变量与全局寄存器变量的数据交互和存储，支持资源过程变量与全局寄存器变量的数据交互和存储。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7.软件提供变量类型自由转换功能，支持流程模块和工具输入、输出参数的变量类型自由转换：</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（1）支持数值类型变量之间的转换，如整型与浮点型数值之间的转换。</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（2）支持数值类型与字符串类型变量之间的转换，如整型数据与字符串之间的转换。</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（3）支持数值类型与坐标类型变量之间的转换。</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（4）支持坐标类型与字符串类型变量之间的转换。</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（5）支持单值数据类型与列表、数组类型之间的转换。</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8.软件提供自定义算法工具扩展功能，支持二次开发算法工具在软件平台流程和原有算法工具无差别调用，实现自定义算法工具的自由扩展。</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9.软件提供硬件资源扩展功能，支持二次开发硬件资源在软件平台调用，实现硬件资源的自由扩展。</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10.软件提供拖拽式操作功能，具体的拖拽式操作方式包括但不限于以下内容：</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（1）支持拖拽式操作变量的引用、赋值；</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（2）支持拖拽式操作数据报表的编辑和生成；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（3）支持拖拽式操作工具输入、输出图像和ROI在任意图像窗口绑定显示；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（4）支持拖拽式操作变量在图像窗口的编辑和实时刷新显示；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（5）支持拖拽式操作变量在指定窗口的编辑和实时刷新显示；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（6）支持拖拽式操作计算器、字符脚本公式编辑器；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（7）支持拖拽式操作及配置任务流程图；</w:t>
            </w:r>
            <w:r/>
          </w:p>
          <w:p>
            <w:pPr>
              <w:pStyle w:val="958"/>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11.软件提供的系统操作管理功能包括但不限于以下内容：</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（1）支持用户权限管理，支持不同权限用户不同界面，不同使用权限；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（2）支持系统指令控制功能，支持内部系统指令触发控制任务流程、支持外部通讯发送系统指令触发控制任务流程、支持外部通讯发送系统指令切换配置；</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（3）支持键盘快捷键操作方式；</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（4）支持全局数据变量、工具、流程模块搜索查询和批量编辑；</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（5）支持流程模块信号源触发控制，支持流程模块内部或处部信号触发，支持流程模块同步异步运行处理。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提供机器视觉应用图形化编程至少包含常用图像处理、运动控制和外部通讯工具，包括3D标定、3D定位、3D测量、AOI缺陷检测、深度学习算法、传送带跟踪计数等多种高级算子，提供API接口，支持软件功能二次开发。</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13.软件平台2D相机的处理软件工具至少包含有无/正反检测、颜色/位置判断、定位、尺寸测量、ID识别、字符识别、缺陷检测等工具。</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▲14.软件工具包含3D标定、3D定位、3D测量等，可实现双目3D匹配和点云3D匹配，并可以实现三维测量和三维姿态跟踪等实验，并配套相应的教学资源；（</w:t>
            </w:r>
            <w:r>
              <w:rPr>
                <w:rFonts w:hint="eastAsia" w:ascii="宋体" w:hAnsi="宋体" w:eastAsia="宋体" w:cs="宋体"/>
                <w:color w:val="auto"/>
                <w:sz w:val="24"/>
                <w:highlight w:val="none"/>
              </w:rPr>
              <w:t xml:space="preserve">投标须提供相关软件功能截图作为证明材料</w:t>
            </w:r>
            <w:r>
              <w:rPr>
                <w:rFonts w:hint="eastAsia" w:ascii="宋体" w:hAnsi="宋体" w:eastAsia="宋体" w:cs="宋体"/>
                <w:color w:val="auto"/>
                <w:sz w:val="24"/>
                <w:szCs w:val="24"/>
                <w:highlight w:val="none"/>
              </w:rPr>
              <w:t xml:space="preserve">）</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15.软件除了支持常见品牌的2D相机和3D相机之外，也具有外部接口，支持常见品牌的PLC、运动控制卡和工业机器人，也支持常见的激光振镜控制。</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●16.具有引导应用模块，支持以流程化的配置方式，软件支持单相机及多相机对位，支持XY、XYQ、XQ、YQ、UVW等多种平台类型。(投标须提供以上功能一一对应的演示视频作为证明材料)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17.提供专为制造业应用场景所设计的深度学习模块，该模块包含图像分割、目标识别、图像分类和字符识别等深度学习工具，适用于各种视觉应用场景。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（1）图像分割工具可用于对已知</w:t>
            </w:r>
            <w:r>
              <w:rPr>
                <w:rFonts w:hint="eastAsia" w:ascii="宋体" w:hAnsi="宋体" w:eastAsia="宋体" w:cs="宋体"/>
                <w:color w:val="auto"/>
                <w:sz w:val="24"/>
                <w:szCs w:val="24"/>
                <w:highlight w:val="none"/>
              </w:rPr>
              <w:t xml:space="preserve">的缺陷进行标注训练，通过训练好的模型可以准确的提取出缺陷区域的位置信息，常用于不规则的零件表面划痕或者裂纹检测等。目标识别对已知的目标物体进行标注，在生产过程中可以检测当前图像是否出现类似的目标物体，并输出准确的目标位置信息。图像分类主要是用于对整张图片的特征进行识别，根据各自图片信息中的不同特征来区分不同类别的目标。深度学习的字符识别的作用与传统的OCR检测算法类似，但相比传统的OCR算法其具有更能适应复杂背景和低对比度的优点，且识别准确率高，当遇到识别不准的字符时，可以对其进行标注并加入训练集进行训练。</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所有深度学习工具都包含训练模块和推理模块，采用图形化编程模式。训练端包含数据集导入、数据集标注、训练参数设置和训练等功能，推理端只需导入指定的模型文件和检测图片进行推理即可输出检测结果，且推理端工具同时支持GPU推理和CPU推理。</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的深度学习工具之间可以进行数据交互，依赖于图形化的编程环境可以搭建出灵活、高度自定义的深度学习解决方案。且可以实现多任务队列化训练，即同时配置多个不同的训练任务后一次性训练完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（4）集成了传统视觉检测方法和深度学习的方法，用户可以同时访问传统视觉算法工具和深度学习工具，通过搭建流程图的方式可以使用户灵活的开发视觉应用并集成到生产环境。</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训练效果可视化，训练工具在训练过程中可以实时显示loss、precision、mAp、recall等数值的曲线，用户可以实时观测到模型的训练情况并随时选择终止训练导出当前的模型，且在训练完成后算法会自动在现有的数据集上进行模型评估并输出相关的评估参数和图表。针对图像分割的推理结果还可以选择classification伪彩色图显示，用户能够直观分辨图像中每个区域为缺陷区域的可能性。（投标须提供相关软件功能截图作为证明材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最小化数据收集负担，本软件针对工业应用场景有针对性的开发出一系列的图像增强算法，在数据集很少的情况下通过现有的数据集图片可以选择旋转、缩放、镜像、高斯模糊、图像拉伸、对比度增强、亮度增强等图像增强算法生成与实际环境中相似的多种图像，通过学习图像增强后的数据集可以进行更准确的检测，最大的减小数据收集的负担。</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（7）Patch Train（超高分辨率图像学习），针对超高分辨率的图像可以选择设置patchSize参数来进行图像的裁剪处理，训练时会根据patchSize参数对图像裁剪为多个小的单位进行学习和检测，该功能主要是消除超大分辨率图像对GPU存储大小的限制问题，且能对缺陷进行更加精密的学习。</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（8）Multi-parameter Train（多参数学习），针对同一个训练工具可以同时配置多套训练参数进行训练，训练完成后输出多个训练模型和评估结果，用户可以通过比较评估结果来选择最佳的深度学习模型，而无需多次调整参数设置进行学习。</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18.软件主要算法工具有：服务器客户端通讯工具、串口工具、PLC读写工具、机器人控制工具、信号源工具、图像源工具、相机工具、保存图片工具、仿射变换工具、斑点分析工具、找圆工具、找</w:t>
            </w:r>
            <w:r>
              <w:rPr>
                <w:rFonts w:hint="eastAsia" w:ascii="宋体" w:hAnsi="宋体" w:eastAsia="宋体" w:cs="宋体"/>
                <w:color w:val="auto"/>
                <w:sz w:val="24"/>
                <w:szCs w:val="24"/>
                <w:highlight w:val="none"/>
              </w:rPr>
              <w:t xml:space="preserve">线工具、边缘点查找工具、形状匹配工具、灰度匹配工具、圆拟合工具、圆卡尺工具、夹角工具、边缘卡尺工具、线交点工具、线间距工具、点间距工具、矩形卡尺工具、点线距离工具、坐标转换工具、标定工具、图像转换工具、通道分离工具、颜色提取工具、图像剪切工具、图像处理工具、阈值化工具、形态学工具、ROI转图像工具、2维码工具、字符识别工具、条码检测工具、缺陷检测工具、轮廓提取工具、位移计算工具、坐标计算工具、对位平台工具、累加工具、分类工具、保存表格工具、格式转换工具、列表工具、逻辑运算工具、字符串截取工具、用户变量工具。</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▲19.投标时须提供“机器视觉平台软件”具有CMA或CNAS认证资质的第三方检测报告。</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快换工具</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装置的每一个实训模块边上均配置有对应的末端工具模块（多种末端阴夹具：末端气动夹爪工具、末端真空吸盘工具等），与机器人法兰盘上的阳夹具配合使用，完成各项实训任务。</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1.阳夹具安装于机器人第六轴法兰盘上末端工具模块（阴夹具）配合使用；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2.配套不少于4个更换阴夹具（末端气动夹爪工具、末端真空吸盘工具）来完成不同的实训项目，而且放置架具有放入识别功能，防错定位功能，可以防止人为的误放或错位放置。</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3.结合方式：气动式（自锁）；</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4.配套快换电接点：≥9路；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5.配套快换气路接点：≥2路；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6.可搬运重量：≥5kg；</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装配模块</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1.模块分为产品载台、产品零件两部分。</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2.通过机械手抓取视觉定位后的产品零件，在产品载台上进行模拟装配。</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打磨模块</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1.组成：打磨机、打磨工件摆放治具和被打磨的工件等。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2.功能：练习打磨姿态示教和在工业机器人对力控打磨的操作。</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rHeight w:val="90"/>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变位器模拟焊接模块</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模块是一个模拟的机器人弧焊的实训装置，弧焊变位器可以对工件进行一定角度的旋转，但可不与机器人进行7轴联动，主要用于模拟机器人要不同角度时对工件焊接。具有单轴旋转摆动，可配合机器人进行工件焊接变位移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（1）变位机类型：双轴摇篮式。</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（2）驱动电机：步进电机。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（3）一轴摆动角度：≥±45度。</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（4）二轴旋转角度：≥±360度。</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（5）制作材质：铝合金。</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（6）配套模拟焊接工具。</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rHeight w:val="375"/>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轨迹示教/标定模块</w:t>
            </w:r>
            <w:r/>
          </w:p>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1.组成：主要由机械手、轨迹标定架组成。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2.功能：对机器人基本的TCP坐标标定、基础点示教，直线、曲线运动轨迹的掌握；学习轨迹、避开点及机器人运动路线选择优化。可通过手把手示教或点位示数来实现示教。</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传送带/搬运/码垛模块</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1.组成：由井式供料模块和皮带运输模块以及多功能载台组成，包含码垛平台和码垛样品。</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功能：练习对机器人码垛、阵列的理解并快速编程示教的强化训练，工业机器人关节运动指令、线性运动指令、圆弧运动指令等。根据要求物料块被摆放到摆放底板上，机器人通过吸盘夹具按要求拾取物料块进行码垛任务。练习对机器人码垛搬运、阵列的理解并快速编程示教的强化训练。</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rHeight w:val="1216"/>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绘图/涂胶模块</w:t>
            </w:r>
            <w:r/>
          </w:p>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1.组成：由绘图A4纸、涂胶轨迹板、实验载板、透明防护板、单元安装底板、暂存载板、拉手、定位导套组成多功能载台。</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2.功能：用于机器人进行轨迹式或填充式绘图，实验载板上的涂胶轨迹由A4纸打印，可方便更换，并覆盖透明防护板，轨迹直接绘在透明防护板上，可方便擦除。</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rHeight w:val="90"/>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柔性振动盘模块</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1.组成：含抖动盘料斗、背光源、单元安装底板，可实现零件分散、集中和翻转等功能。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●2.功能：与多功能载台组合使用，用于机器人视觉分拣、七巧板拼装、产品组装等多种实验。（投标须提供视觉引导机器人七巧板拼装实训演示视频作为证明材料）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3.外形尺寸不大于250mm(长)×160mm(宽) ×108 mm(高)，料斗区域不小于150mm(长)×120mm (宽)× 25mm（深）；</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4.最大载重：≥800g；</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5.最大功率：≤240W；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6.LED光源颜色：白色；</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7.通讯模式：支持Modbus RTU、Modbus TCP、IO等多种通用通讯方式。</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8.IO数量：≥3路。</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仓储/RFID模块</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1.组成：由仓储货架、位置传感器、RFID传感器等组成。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功能：用于装配好的基座进行仓储出入库训练。数量不小于3层2列立体仓库,层板为工业铝板加工制作而成,表面经喷砂阳极氧化处理,每个库位装有检测传感器,可以正确的检测库位有无物料，并可以通过WMS系统实时状态显示。</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称重模块</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1.组成：由称重传感器、样品零件等组成。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2.功能：可用于机器人搬运以及产品称重使用。最大检测质量：≥10Kg，读数精度≤1g。</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电气单元</w:t>
            </w:r>
            <w:r/>
          </w:p>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1.电控模块包含空开、电源、PLC、触摸屏、驱动器、电磁阀等，所有的电气组件放置在下方的电控柜。</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可编程逻辑控制器（PLC）：数字量IO不少于14路数字量输入、10路数字量输出，模拟量IO不少于2路模拟量输入、2路模拟量输出；集成不少于2个以太网口，支持以太网通讯。配置RS485通讯模块，配套专用PLC编程线缆、编程软件。</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3.触摸屏尺寸不小于7英寸。采用TFT液晶显示LED背光，分辨率不低于800×480像素，独立通讯，支持RS232、RS485、以太网等通讯方式，可实现多屏一机，支持U盘下载程序。</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rHeight w:val="90"/>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实训台</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▲1.采用方通焊接框架，铝型材桌面，钣金封边，内部安装电气控制系统，上部分安装工作执行模块。需要提供设备平面布局、三维效果图，其中平面布局图要应明确设备尺寸和实训模块名称。</w:t>
            </w:r>
            <w:r>
              <w:rPr>
                <w:rFonts w:hint="eastAsia" w:ascii="宋体" w:hAnsi="宋体" w:eastAsia="宋体" w:cs="宋体"/>
                <w:color w:val="auto"/>
                <w:sz w:val="24"/>
                <w:highlight w:val="none"/>
              </w:rPr>
              <w:t xml:space="preserve">（投标须提供“设备平面布局、三维效果图，其中平面布局图要应明确设备尺寸和实训模块名称”作为证明材料）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2.工作台尺寸：不小于1500×960×830mm（不含机器人和模块部分尺寸）。</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技术性能</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1.输入电源：交流单相220V，频率50Hz；</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2.工作环境：温度≥5℃～+45℃，相对湿度≤95%；</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3.安全保护：为确保在使用过程中设备及学生的安全，包含急停开关、漏电保护、短路保护、过载保护，整套设备安全保护符合国家标准。</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1.静音气泵≥1台；</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2.配套PLC通信电缆、气管等≥1套；</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3.设备使用说明书及实训指导书≥1套；</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数字化仿真软件</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（一）产线快速搭建与运动仿真功能：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1.三维建模软件接口功能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与CAD、SolidWorks、UG、3DMAX等制图软件对接，支持dxf、dwg、wrl、skp、iam、dae、stl、blend、fbx、3ds、obj、gltf、glb、step、stl、ply等常见三维模型格式文件导入。</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2.装备自定义泛化封装功能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具有装备泛化封装功能，用户可将其个性化的设备封装成数字孪生体模型，供后续构建虚拟仿真工程复用。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（1）支持设备模型外形参数化定义，包括模型的长宽高外观尺寸参数化变形、模型线性克隆阵列、旋转克隆阵列等。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（2）具有模型运动动作方式快速定义功能，通过操作配置即可实现模型运动部件的主从关系、运动方式及行程范围的快速定义，运动方式包括：平移、旋转、平移协同、旋转协同等。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机构运动行为创建功能，支持创建驱动器行为和运动学行为。驱动器包括：单轴驱动器、多轴驱动器、轨迹驱动器。运动学包括：二轴、三轴、四轴等多轴机构、Scara机器人、并联机器人等的逆运动学算法组件，支持不同种类的机械手快速封装。</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有功能组件库，依托该功能组件库可快速定义出各种特定功能效果，组件包括通用组件（工件发生器组件、工件销毁器组件、包围盒夹具、射线夹具、相机组件、多连杆组件）、电线绘制组件（画笔组件、点胶或焊缝增材组件）、传感器组件（体积传感器组件、射线传感器组件）、物理学功能组件（直筒传送带、圆弧传送带、刚体组件）。</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（5）具有刚体功能组件，支持定义刚体的特性，包括质量、摩擦力、弹力等。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（6）模型的控制信号定义，信号类型包括boolean、string、float、int、byte、double、long、short等控制器常用类型。</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（7）具有装备脚本编制功能，采用Java语言进行脚本编制，实现对控制信号的触发进行响应，平台内嵌代码编辑器和编译器，可实现编写脚本后立马调试。</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提供程序块控件，通过拖拽控件无需编程即可快速实现设备控制逻辑及时序定义。常用可视化控件指令包括：If、Switch、While、Call、Delay、Parallel、SetSignal、Wait等，此外，机器人控件指令包括：PTP、LIN、CIRC、ROT、SETBASE、SETTOOL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提供可视化信号面板，实现模型信号的关联控制。信号面板将模型的信号与其他模型或通迅配置进行关联（连接），实现模型间的各种功能和动作的关联控制。信号和信号之间通过拖拽连线进行关联和数据传递。</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3.模型库功能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（1）内置有立方体、球体、圆柱、传感器、文字、直线皮带/滚筒输送机、曲线皮带/滚筒输送机等基础模型。</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（2）模型库中预置了丰富的模型组件，包含主流品牌机器人（ABB、KUKA、Fanuc、YASKAWA、Nachi 等，埃斯顿、埃夫特、遨博、广数、华数、汇川、珞石等）、输送机、AGV、通用机床、立体仓库、高密度四向穿立库、控制器、视觉相机、传感器等。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（3）支持自定义模型库（新建、删除），支持自定义的设备/单元封装的数字孪生模型以组件的形式形成组件库，支持组件复用。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（4）模型库内置模型支持模型属性参数化，如滚筒输送机改变长度时，滚筒数量也会自动增加或减少。</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（5）模型库中的模型可直接拖拉拽进入场景中，快速完机器人工作站、生产系统方案搭建。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4.模型编辑与交互功能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（1）具有模型原点修改功能：可直接修改模型原点值，也可基于特征拾取模型特征，快速精准将模型原点调整到该特征位置。</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（2）支持模型位姿修改：三维场景中的模型，通过鼠键配合实现模型位姿任意值或固定幅度值修改。</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（3）活动部件交互操作：启动交互模式后，可以通过鼠标操作活动部件在设定的运动方式和行程范围内任意移动，便于用户确定该活动部件的运动行为、行程和作业示教。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5.三维场景交互功能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（1）支持场景交互操作，通过键鼠实现场景移动、放缩、旋转、360度漫游查看等。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（2）场景视角管理：支持场景视角添加、删除。选择保存后的视角缩略图，3D场景可以快速切换到对应视角。</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（3）聚焦模型功能，鼠标双击场景模型或者点选聚焦模型按钮，以鼠标指针为中心，视角迅速聚焦该区域，便于模型迅速定位。</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6.智能产线快速布局搭建功能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（1）支持用户拖拉拽模型库中的设备模型进入三维场景中，通过移动、旋转、编辑、装配等系类等操作，进行方案快速布局搭建。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（2）具有捕捉（特征探测）功能：基于三维模型几何拓扑特征的解析和识别方法，可识别模型的点线面、中心、三角网格中心、圆心、轴心等特征。</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（3）具有模型测距功能，便于装配和布局搭建：具有基于特征拾取的两点之间距离测量功能，可测量两点之间的直线距离值和X/Y/Z方向分量的距离值，测距结果在三维场景中标注显示。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（4）精准装配功能：基于智能捕捉两个部件的点线面特征，部件与部件之间自动靠接、自动吸附对齐，无需手动进行位置调整，实现精准装配。</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7.运动仿真功能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近物理仿真功能：支持包括但不限于物理碰撞检测、摩擦力、重力、速度、加速度、惯性等近物理仿真。虚拟设备运动仿真时，能充分考虑工件、设备的物理场特性，以及可能发生物理碰撞检测，包括碰撞、滑动、掉落地上等物理现象。</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（2）虚拟设备运行过程中，能呈现金属切削过程实时减材效果、焊接过程实时增材效果、喷涂作业过程工件实时着色效果。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（3）虚拟场景中，能呈现出布或铝箔等连续材质在设备上流转的流动效果。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（二）机器人模块：</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（1）支持导入自定义的机器人模型。</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（2）支持多类型（Scara、DELTA、五轴、六轴、三轴、并联等）机器人运动学参数自定义，包含正解、逆解、直线和圆弧插补，速度规划等。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（3）支持多关节联动控制。</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（4）支持机器人离线示教功能，能够对机器人末端工具进行托拉拽，并对目标点进行点位信息进行纪录，实现点位的离线拖动示教。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具有机器人示教面板，面板中具有离线示教模式（末端位姿拖动/捕捉）切换功能、移动模式（世界坐标/工具坐标/基坐标）切换功能、关节角度拖动调整功能、复位至初始姿态功能、以及对齐至坐标系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（6）具有丰富的机器人指令：具有PTP、LIN、CIRC、ROT、SETBASE、SETTOOL等指令进行点到点、直线、曲线等多种机器人轨迹规划。</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具有机器人程序编辑功能，具有子控制程序创建、复制、删除和保存编译功能。通过控件式的指令块免代码编辑机器人程序。点选指令块机器人能联动切换到对应的位姿。机器人运行过程中，对应执行的程序块能够实时高亮显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（8）具有机器人末端轨迹划线功能，便于校验规划的合理性。</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（三）虚拟调试功能：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（1）数据通讯与控制模块</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1）支持客户端、服务端、中间件多种模式进行数据通讯。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2）支持IOT、信息系统通信传值。</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3）支持多种协议进行数据通信，包括但不限于：S7、Modbus、Socket-Client、Socket-Server、Robotstudio等。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4）支持外部PLC、机器人控制器对虚拟场景模型进行虚拟控制，实现半物理仿真效果。</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（2）电控程序虚拟调试</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与西门子PLC、汇川PLC、三菱PLC交互数据，实现PLC程序驱动的虚拟模型运动仿真，通过分析判断虚拟设备运动动作及加工工艺过程是否符合设计要求，反向验证PLC控制程序逻辑和时序的正确性、合理性和完备性，实现脱离实物设备，即可完成PLC程序的调试验证。</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（四）数字孪生虚实映射功能：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（1）逼真的材质渲染效果和模型材质编辑功能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1）三维场景采用PBR渲染，虚拟模型具有包括但不限金属、塑料、铝合金、抛光等逼真材质效果。</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模型材质编辑功能，具有软件的材质编辑器，通过材质编辑实现虚拟设备在外观形态上与实物一致。PBR材质编辑支持基础色、金属度、粗糙度、基础色贴图、法线贴图、金属贴图、粗糙度贴图、金属粗糙度贴图、发光贴图、高度贴图、高度差、AO贴图等编辑设置。</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（2）具有虚实互控和统计分析数据看板功能：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集设备的启停、状态、实时位姿、任务信息、库位信息、货物ID等实时数据，孪生系统通过数据挖掘和数据处理（过滤、刷选、归类、标识、结构化存储等），将现场数据转化为触发事件，驱动虚拟模型（包括设备和在制品）低延时、高流畅性运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2）具有前端UI看板集成开发功能，实现个性化看板：用户开发的前端UI看板可直接嵌入到3D场景中，呈现设备利用率、产能、库存等统计指标。</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（五）智能制造使能技术数字孪生实训功能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软件集成了PLC仿真、机器人仿真、视觉相机仿真、产线和仓储仿真等功能。提供用户自主建模与自主布局功能，并开放底层接口，支持用户二次开发，是智能制造综合实训平台，并提供了丰富的教学资源。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（1）PLC应用编程实训</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1）支持西门子、三菱、汇川等多种品牌PLC实训。</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2）系统支持与PLC进行多种数据通讯及交互：满足常用PLC数据</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格式读取和写入，包括bool，short，int，long，float，byte，unit，long，double。</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3）支持针对PLC指定地址进行定时读取，用户可以自定义读取间</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隔。</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4）支持PLC数据的批量信息读取，用户可以自定义读取地址及长度。</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具有多种运行模式：支持托管式运行模式，采用仿真动画的形式将设备的加工运行过程进行展示。支持基于软PLC技术的纯软件实操模式。支持基于硬件在环技术的半实物控制模式，控制器是实物PLC，控制对象是虚拟场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（2）工业机器人操作与编程实训</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1）具有丰富的机器人库（scara、五轴、六轴等），同时也支持自定义封装机器人模型，支持多类型机器人实训。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2）离线拖动示教功能，能够对机器人末端工具进行托拉拽，并对目标点进行点位信息进行纪录，实现点位的离线拖动示教。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3）多机器人协同作业实训：支持多种类型机器人，如直角机器人、SCARA机器人、4轴串联机器人、6轴串联机器人，每台机器人都有独立的运动控制器，分别编程，独立运行。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4）碰撞检测功能：场景中的模型对象具有碰撞检测功能，当机构发生干涉碰撞时，干涉部件通过颜色变化标示出来。</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5）机器人轨迹线功能：具有机器人TCP轨迹线功能，可控制轨迹线显示与隐藏。</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6）货物精准拾取与放置：拾取货物时，学生编程驱动的机器人运动不到位（精度±1mm范围），工件拾取不成功。放置货物时，学生编程驱动的机器人运动放置的位置偏离目标的裕度范围，工件会跌落到地面。</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具有多种运行模式：支持离线演示运行模式，采用仿真动画的形式将设备的加工运行过程进行展示。支持基于虚拟示教器的纯软件实操模式。支持基于硬件在环技术的半实物控制模式，示教器是手持式实物示教器，控制对象是虚拟场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（3）机器视觉实训</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相机功能组件：支持在虚拟场景中以特定视角拍摄场景，并支持拍摄结果在三维场景中的虚拟显示器上实时展示，支持拍摄结果以文件、编码的形式与视觉软件实时交互。相机组件可设置图像宽度、图像高度、相机视野、近裁切面、远裁切面等参数。</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2）还原真实环境：虚拟相机模拟打光、拍照。产品或工件形态、特征变化模拟。</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3）仿真场景中的虚拟相机，能与外部机器视觉软件实时数据交换，实现对虚拟工件的在线视觉检测。机器视觉软件与虚拟机器人总线通讯，把工件坐标传给虚拟机器人，引导虚拟机器人抓取工件。</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工业仿真运算终端</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专为智能制造、PLC 仿真、机器视觉、机器人运动仿真、产线虚拟调试等实训场景设计，硬件配置不低于：</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1.处理器：酷睿i5同级别及以上性能处理器；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2.运行内存：16GB及以上；</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3.高速固态硬盘：256GB及以上；</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4.独立图形显卡：6GB及以上显存，满足三维仿真、视觉算法运算需求；</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5.配套高清显示器：单台23.8英寸及以上，满足仿真界面可视化调试展示需求。</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29"/>
        <w:ind w:left="425" w:hanging="425"/>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2.</w:t>
      </w:r>
      <w:r>
        <w:rPr>
          <w:rFonts w:hint="eastAsia" w:ascii="宋体" w:hAnsi="宋体" w:eastAsia="宋体" w:cs="宋体"/>
          <w:b/>
          <w:bCs/>
          <w:color w:val="auto"/>
          <w:sz w:val="24"/>
          <w:szCs w:val="21"/>
          <w:highlight w:val="none"/>
        </w:rPr>
        <w:t xml:space="preserve">协作机器人编程应用实训平台</w:t>
      </w:r>
      <w:r/>
    </w:p>
    <w:tbl>
      <w:tblPr>
        <w:tblStyle w:val="964"/>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1308"/>
        <w:gridCol w:w="5972"/>
        <w:gridCol w:w="1020"/>
      </w:tblGrid>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产品名称</w:t>
            </w:r>
            <w:r/>
          </w:p>
        </w:tc>
        <w:tc>
          <w:tcPr>
            <w:tcW w:w="5972"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数量（套）</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协作机器人</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1.轴数：≥6。</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2.工作半径：≥954mm，额定负载：≥5kg，重复定位精度：≤±0.02mm；</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3.动作范围及速度：</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轴：工作范围≥±360°，最高转速≥210°/s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轴：工作范围≥±360°，最高转速≥210°/s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轴：工作范围≥±360°，最高转速≥210º/s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轴：工作范围≥±360°，最高转速≥265º/s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轴：工作范围≥±360°，最高转速≥265º/s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轴：工作范围≥±360°，最高转速≥265º/s</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视觉系统</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D视觉系统：有效像素≥600万，帧率：≥17fps，数据接口：GigE。配套工业镜头，分辨率≥600万像素，靶面尺寸≥2/3英寸。配套环形光源，带漫射板，发光面外径不小于100mm，内径不小于60mm。配套数字光源控制器，不少于4通道，同时支持RS232和以太网通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D视觉系统：采用一体式封装，自带红外结构光源和白色LED光源，相机分辨率不低于1920x1080像素。视场角大于80°×56°。最小工作距离不大于350mm，全视野深度测量重复精度工作距离600mm以内时优于2mm。点云输出分辨率不低于1280x720像素，点云单帧输出优于1S。数据接口：USB3.0。外形不大于120x45x 40mm。可完成3D标定、3D匹配、3D体积测量等实验。</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人工智能开发及边缘算力模块</w:t>
            </w:r>
            <w:r/>
          </w:p>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97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1、NPU≥1TOPS ；CPU核心数:≥4、主频≥2.0GHZ；运行内存≥4GB DDR4；eMMC:≥32GB ；USB 3.0≥1；HDMI≥1;可扩展TF存储≥64GB。</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2、人脸识别单元:支持深度学习红外人脸识别；支持活体检测，人脸捕捉，特征提取；外置USB接口传输视频流,可与控件板分离式安装。</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3、工作频段：采用13.56MHz标准工作频段，支持对应频段标签读写识别；工作参数：额定工作电压DC 5V，模块工作功率≥0.5W，保障读写识别稳定、灵敏度高；通讯方式：支持I2C通讯协议，可与主控设备稳定数据交互，适配系统联动控制。</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4、通信模组：配置全网通4G通信模组，支持全网通4G网络制式，可实现设备无线网络数据传输、远程通讯及数据上传功能，适配系统远程运维与数据交互需求。</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语音识别单元：采用AI智能语音识别技术，支持自定义唤醒词、自定义命令词，可自定义词条数量≥150条；设备自带中文语音播报功能，可实现语音交互、状态播报、操作提示等功能，适配设备智能化交互场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6、外部扩展接口：设备配备丰富的</w:t>
            </w:r>
            <w:r>
              <w:rPr>
                <w:rFonts w:hint="eastAsia" w:ascii="宋体" w:hAnsi="宋体" w:eastAsia="宋体" w:cs="宋体"/>
                <w:color w:val="auto"/>
                <w:sz w:val="24"/>
                <w:szCs w:val="24"/>
                <w:highlight w:val="none"/>
              </w:rPr>
              <w:t xml:space="preserve">标准化外部接口，满足外设拓展、信号传输、设备通讯及拓展适配需求，具体配置不低于以下要求：HDMI2.0接口≥1路、MIPI DSI接口≥1路、MIPI CSI0接口≥1路、MIPI CSI1接口≥1路、千兆以太网口≥2路、USB3.0接口≥1路、USB2.0接口≥3路、USB OTG接口≥1路、CAN总线接口≥2路、RS232总线接口≥2路、GPIO输入接口≥8路、GPIO输出接口≥8路、ADC转换通道≥5路、PCIe-2.0接口≥1路。所有接口为行业通用标准接口，无专属、排他性设计，兼容市面主流配套外设。</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7.环境适应性:宽压DC 9~36V输入；工作温度：≥-45℃~85℃；静电等级：ESD3。</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8.模块软件功能：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（1）设备信息管理功能：支持查询设备型号、设备ID号、设备出厂日期、使用单位等设备基础信息，可实现设备基础信息的规范化管理。</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（2）用户管理功能：支持用户新增、删除、修改、查询操作，可对不同用户设置分级操作权限；支持通过RFID识别、人脸识别双重方式完成身份验证及系统授权登录，保障设备操作安全。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AI语音交互功能：具备智能化AI语音交互能力，支持设备开机帮助语音提示、设备功能语音简介、设备基础操作语音控制，包含设备上电、设备状态查询、设备停止等常规操作；预留AI语音操作功能扩展空间，可后期拓展新增语音控制指令。投标人需保证所投产品具备该项完整功能，采购人可在到货验收、样机测试环节核验功能有效性。</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南北向通讯接口功能：支持MQTT、Modbus双通讯协议；上位机可通过以太网、4G网络方式与设备系统实现双向数据交互；系统可通过ModBus协议、I2C、SPI、DIO等通用接口与外部设备通讯，可实时读取电流、电压、气压、温度、湿度等各类传感器数据，实现外设数据采集与联动管控。</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系统数据管理：具备完善的设备状态数据管理能力，可全程记录设备上电、开机、运行、停止、故障报警等全周期运行日志；支持电流、电压、气压、温度、湿度等环境及设备运行数据的统计与查询；支持数据本地存储留存及云端数据同步，可实现设备远程数据查看与运维管理。投标人需保证所投产品具备该项完整功能，采购人可在到货验收、样机测试环节核验功能有效性。</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ebServer网页管理功能：内置WebServer服务，支持通过电脑网页端完成系统参数设置、各类数据查询与管理；具备远程数据实时监控、异常数据报警、远程设备管理能力；支持远程用户授权管理、远程数据录入（含设备信息数据、用户数据等）、远程人脸信息录入、远程参数配置下发等全流程远程运维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（7）云端服务功能：支持配套服务器软件的安装与部署，适配手机终端APP应用，可通过移动端、云端平台实现设备远程监控、数据查看、设备运维等拓展功能。</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机器视觉软件</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用软硬件控制处理一体化集成设计。在一个软件平台中实现统一标准化的设备控制、图像处理和数据统计应用方式。设备控制包括相机应用控制、PLC应用控制、运动控制卡应用控制、光源应用控制、机器人应用控制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2.提供图形化编程和代码编程两种编程模式：</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（1）图形化编程要求通俗易懂简单易用，采用拖拽式操作配置的方式实现参数的设置、数据的编辑、变最的引用和赋值、显示窗口布局显示、图像和ROI任意绑定显示、流程图定义任务流程；</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（2）流程图模块包括顺序执行模块、判断模块、分支模块、循环模块、并行模块、工具组模块、流程块模块和定时器模块。</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（3）代码编程支持基于VB.net、C#多种语言的编程和开发；包括提供SDK底层算法开发包、算法工具开发模块、功能插件开发模块、硬件资源开发模块、用户界面开发模块等。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3.支持TCP/IP、串口、PLC控制、MQTT等操作仿真。</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4.软件提供应用场景深度配置方式：</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（1）支持料号配置管理、工位配置、工具配置、参数配置，流程模块单独导入、导出功能；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（2）提供2D/3D定位、2D/3D标定,条码/二维码识别、2D/3D测量、缺陷检测、PLC控制、机器人控制等的标准配置应用模块库；支持标准库的编辑及导入/导出；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（3）支持图像显示窗口任意添加、多类型位置布局。</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5.软件具备丰富的权限、线程和流程管理；</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（1）支持多用户管理，并可为每个用户分配权限；同时支持权限精细化管理，可支持权限可单独分配置到每个配置、算法工具、工具变量，同个算法工具的不同输入输出变量可分配不同的使用权限。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（2）可以在独立的笔记本运行，网络端用户可以获取对应IP地址机台上的图片。既可以用笔记本客户端对设备进行控制，也可以多台设备通讯协同完成实训任务。</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6.软件提供变量灵活编辑和自定义功能：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编辑和自定义的变量类型包括：基础数据类包括型短整型、长整型、单精度浮点型、双精度浮点型、布尔型、Point类型、PointF类型、PointF3D类型、图像类型、字符串类型、枚举类型以及基于这些基础数据类型的列表类型和数组类型；ROI图形类型包括直线ROI类型、矩ROI类型、圆ROI类型、弧ROI类型、圆环ROI类型、十字ROI类型、多边形ROI类型。</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（2）支持流程模和工具输入、输出参数中添加、编辑自定义类型变量。</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（3）支持流程模块或工具中的输入、输出参数变量实现计算器、字符串脚本公式功能。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（4）支持自定义全局寄存器变量，支持流程执行过程变量与全局寄存器变量的数据交互和存储，支持资源过程变量与全局寄存器变量的数据交互和存储。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7.软件提供变量类型自由转换功能，支持流程模块和工具输入、输出参数的变量类型自由转换：</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（1）支持数值类型变量之间的转换，如整型与浮点型数值之间的转换。</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（2）支持数值类型与字符串类型变量之间的转换，如整型数据与字符串之间的转换。</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（3）支持数值类型与坐标类型变量之间的转换。</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（4）支持坐标类型与字符串类型变量之间的转换。</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（5）支持单值数据类型与列表、数组类型之间的转换。</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8.软件提供自定义算法工具扩展功能，支持二次开发算法工具在软件平台流程和原有算法工具无差别调用，实现自定义算法工具的自由扩展。</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9.软件提供硬件资源扩展功能，支持二次开发硬件资源在软件平台调用，实现硬件资源的自由扩展。</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10.软件提供拖拽式操作功能，具体的拖拽式操作方式包括但不限于以下内容：</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（1）支持拖拽式操作变量的引用、赋值；</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（2）支持拖拽式操作数据报表的编辑和生成；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（3）支持拖拽式操作工具输入、输出图像和ROI在任意图像窗口绑定显示；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（4）支持拖拽式操作变量在图像窗口的编辑和实时刷新显示；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（5）支持拖拽式操作变量在指定窗口的编辑和实时刷新显示；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（6）支持拖拽式操作计算器、字符脚本公式编辑器；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（7）支持拖拽式操作及配置任务流程图；</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11.软件提供的系统操作管理功能包括但不限于以下内容：</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（1）支持用户权限管理，支持不同权限用户不同界面，不同使用权限；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（2）支持系统指令控制功能，支持内部系统指令触发控制任务流程、支持外部通讯发送系统指令触发控制任务流程、支持外部通讯发送系统指令切换配置；</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（3）支持键盘快捷键操作方式；</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（4）支持全局数据变量、工具、流程模块搜索查询和批量编辑；</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（5）支持流程模块信号源触发控制，支持流程模块内部或处部信号触发，支持流程模块同步异步运行处理。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12.提供机器视觉应用图形化编程至少包含常用图像处理、运动控制和外部通讯工具，包括3D标定、3D定位、3D测量、AOI检测、深度学习、传送带跟踪计数等多种高级算子，提供API，支持二次开发。</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13.软件平台2D相机的处理软件工具至少包含有无/正反检测、颜色/位置判断、定位、尺寸测量、ID识别、字符识别、缺陷检测等工具。</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14.软件工具包含3D标定、3D定位、3D测量等，可实现双目3D匹配和点云3D匹配，并可以实现三维测量和三维姿态跟踪等实验，并配套相应的教学资源；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15.软件除了支持常见品牌的2D相机和3D相机之外，也具有外部接口，支持常见品牌的PLC、运动控制卡和工业机器人，也支持常见的激光振镜控制。</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16.具有引导应用模块，支持以流程化的配置方式，软件支持单相机及多相机对位，支持XY、XYQ、XQ、YQ、UVW等多种平台类型。</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17.提供专为制造业应用场景所设计的深度学习模块，该模块包含图像分割、目标识别、图像分类和字符识别等深度学习工具，适用于各种视觉应用场景。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（1）图像分割工具可用于对已知</w:t>
            </w:r>
            <w:r>
              <w:rPr>
                <w:rFonts w:hint="eastAsia" w:ascii="宋体" w:hAnsi="宋体" w:eastAsia="宋体" w:cs="宋体"/>
                <w:color w:val="auto"/>
                <w:sz w:val="24"/>
                <w:szCs w:val="24"/>
                <w:highlight w:val="none"/>
              </w:rPr>
              <w:t xml:space="preserve">的缺陷进行标注训练，通过训练好的模型可以准确的提取出缺陷区域的位置信息，常用于不规则的零件表面划痕或者裂纹检测等。目标识别对已知的目标物体进行标注，在生产过程中可以检测当前图像是否出现类似的目标物体，并输出准确的目标位置信息。图像分类主要是用于对整张图片的特征进行识别，根据各自图片信息中的不同特征来区分不同类别的目标。深度学习的字符识别的作用与传统的OCR检测算法类似，但相比传统的OCR算法其具有更能适应复杂背景和低对比度的优点，且识别准确率高，当遇到识别不准的字符时，可以对其进行标注并加入训练集进行训练。</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所有深度学习工具都包含训练模块和推理模块，采用图形化编程模式。训练端包含数据集导入、数据集标注、训练参数设置和训练等功能，推理端只需导入指定的模型文件和检测图片进行推理即可输出检测结果，且推理端工具同时支持GPU推理和CPU推理。</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的深度学习工具之间可以进行数据交互，依赖于图形化的编程环境可以搭建出灵活、高度自定义的深度学习解决方案。且可以实现多任务队列化训练，即同时配置多个不同的训练任务后一次性训练完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（4）集成了传统视觉检测方法和深度学习的方法，用户可以同时访问传统视觉算法工具和深度学习工具，通过搭建流程图的方式可以使用户灵活的开发视觉应用并集成到生产环境。</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训练效果可视化，训练工具在训练过程中可以实时显示loss、precision、mAp、recall等数值的曲线，用户可以实时观测到模型的训练情况并随时选择终止训练导出当前的模型，且在训练完成后算法会自动在现有的数据集上进行模型评估并输出相关的评估参数和图表。针对图像分割的推理结果还可以选择classification伪彩色图显示，用户能够一眼分辨图像中每个区域为缺陷区域的可能性。</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最小化数据收集负担，本软件针对工业应用场景有针对性的开发出一系列的图像增强算法，在数据集很少的情况下通过现有的数据集图片可以选择旋转、缩放、镜像、高斯模糊、图像拉伸、对比度增强、亮度增强等图像增强算法生成与实际环境中相似的多种图像，通过学习图像增强后的数据集可以进行更准确的检测，最大的减小数据收集的负担。</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（7）Patch Train（超高分辨率图像学习），针对超高分辨率的图像可以选择设置patchSize参数来进行图像的裁剪处理，训练时会根据patchSize参数对图像裁剪为多个小的单位进行学习和检测，该功能主要是消除超大分辨率图像对GPU存储大小的限制问题，且能对缺陷进行更加精密的学习。</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（8）Multi-parameter Train（多参数学习），针对同一个训练工具可以同时配置多套训练参数进行训练，训练完成后输出多个训练模型和评估结果，用户可以通过比较评估结果来选择最佳的深度学习模型，而无需多次调整参数设置进行学习。</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18.软件主要算法工具有：服务器客户端通讯工具、串口工具、PLC读写工具、机器人控制工具、信号源工具、图像源工具、相机工具、保存图片工具、仿射变换工具、斑点分析工具、找圆工具、找</w:t>
            </w:r>
            <w:r>
              <w:rPr>
                <w:rFonts w:hint="eastAsia" w:ascii="宋体" w:hAnsi="宋体" w:eastAsia="宋体" w:cs="宋体"/>
                <w:color w:val="auto"/>
                <w:sz w:val="24"/>
                <w:szCs w:val="24"/>
                <w:highlight w:val="none"/>
              </w:rPr>
              <w:t xml:space="preserve">线工具、边缘点查找工具、形状匹配工具、灰度匹配工具、圆拟合工具、圆卡尺工具、夹角工具、边缘卡尺工具、线交点工具、线间距工具、点间距工具、矩形卡尺工具、点线距离工具、坐标转换工具、标定工具、图像转换工具、通道分离工具、颜色提取工具、图像剪切工具、图像处理工具、阈值化工具、形态学工具、ROI转图像工具、2维码工具、字符识别工具、条码检测工具、缺陷检测工具、轮廓提取工具、位移计算工具、坐标计算工具、对位平台工具、累加工具、分类工具、保存表格工具、格式转换工具、列表工具、逻辑运算工具、字符串截取工具、用户变量工具。</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快换工具</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装置的每一个实训模块边上均配置有对应的末端工具模块（多种末端阴夹具：末端气动夹爪工具、末端真空吸盘工具等），与机器人法兰盘上的阳夹具配合使用，完成各项实训任务。</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1.阳夹具安装于机器人第六轴法兰盘上末端工具模块（阴夹具）配合使用；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2.配套不少于4个更换阴夹具（末端气动夹爪工具、末端真空吸盘工具）来完成不同的实训项目，而且放置架具有放入识别功能，防错定位功能，可以防止人为的误放或错位放置。</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3.结合方式：气动式（自锁）；</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4.配套快换电接点：≥9路；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5.配套快换气路接点：≥2路；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6.可搬运重量：≥5kg；</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装配模块</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1.模块分为产品载台、产品零件两部分。</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2.通过机械手抓取视觉定位后的产品零件，在产品载台上进行模拟装配。</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打磨模块</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1.组成：打磨机、打磨工件摆放治具和被打磨的工件等。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2.功能：练习打磨姿态示教和在工业机器人对力控打磨的操作。</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变位器模拟焊接模块</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用于模拟机器人要不同角度时对工件焊接。具有单轴旋转摆动，可配合机器人进行工件焊接变位移动。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（1）变位机类型：双轴摇篮式。</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（2）驱动电机：步进电机。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（3）1轴摆动角度：≥±45度。</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（4）2轴旋转角度：≥±360度。</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（5）制作材料：铝合金。</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（6）配套模拟焊接工具。</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轨迹示教/标定模块</w:t>
            </w:r>
            <w:r/>
          </w:p>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1.组成：主要由机械手、轨迹标定架组成。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2.功能：对机器人基本的TCP整定、点示教，直线、曲线运动轨迹的掌握；学习轨迹、避开点及机器人运动路线选择优化。可通过手把手示教或点位示数来实现示教。</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传送带/搬运/码垛模块</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1.组成：由井式供料模块和皮带运输模块以及多功能载台组成，包含码垛平台和码垛样品。</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功能：练习对机器人码垛、阵列的理解并快速编程示教的强化训练，工业机器人关节运动指令、线性运动指令、圆弧运动指令等。根据要求物料块被摆放到摆放底板上，机器人通过吸盘夹具按要求拾取物料块进行码垛任务。练习对机器人码垛搬运、阵列的理解并快速编程示教的强化训练。</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1128"/>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绘图/涂胶模块</w:t>
            </w:r>
            <w:r/>
          </w:p>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1.组成：由绘图A4纸、涂胶轨迹板、实验载板、透明防护板、单元安装底板、暂存载板、拉手、定位导套组成多功能载台。</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2.功能：用于机器人进行轨迹式或填充式绘图，实验载板上的涂胶轨迹由A4纸打印，可方便更换，并覆盖透明防护板，轨迹直接绘在透明防护板上，可方便擦除。</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90"/>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柔性振动盘模块</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1.组成：含抖动盘料斗、背光源、单元安装底板，可实现零件分散、集中和翻转等功能。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2.功能：与多功能载台组合使用，用于机器人视觉分拣、七巧板拼装、产品组装等多种实验。</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3.外形尺寸不大于250mm(长)×160mm(宽)×108 mm(高)，料斗区域不小于150mm(长)× 120mm (宽)× 25mm（深）；</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4.最大载重：≥800g；</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5.最大功率：≤240W；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6.LED光源颜色：白色；</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7.通讯模式：ModbusRTU、ModbusTCP或IO；</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8.IO数量：≥3路。</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仓储/RFID模块</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1.组成：由仓储货架、位置传感器、RFID传感器等组成。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功能：用于装配好的基座进行仓储出入库训练。数量不小于3层2列立体仓库,层板为工业铝板加工制作而成,表面经喷砂阳极氧化处理,每个库位装有检测传感器,可以正确的检测库位有无物料，并可以通过WMS系统实时状态显示。</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称重模块</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1.组成：由称重传感器、样品零件等组成。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2.功能：可用于机器人搬运以及产品称重使用。最大检测质量：10Kg，读数精度1g。</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电气单元</w:t>
            </w:r>
            <w:r/>
          </w:p>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1.电控模块包含空开、电源、PLC、触摸屏、驱动器、电磁阀等，所有的电气组件放置在下方的电控柜。</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可编程逻辑控制器（PLC）：数字量IO不少于14路数字量输入、10路数字量输出，模拟量IO不少于2路模拟量输入、2路模拟量输出；集成不少于2个以太网口，支持以太网通讯。配置RS485通讯模块，配套专用PLC编程线缆、编程软件。</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3.触摸屏尺寸不小于7英寸。采用TFT液晶显示LED背光，分辨率不低于800×480像素，独立通讯，支持RS232、RS485、以太网等通讯方式，可实现多屏一机，支持U盘下载程序。</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实训台</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1.采用方通焊接框架，铝型材桌面，钣金封边，内部安装电气控制系统，上部分安装工作执行模块。</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2.工作台尺寸：不小于1500×960×830mm（不含机器人和模块部分尺寸）。</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技术性能</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1.输入电源：交流单相220V，频率50Hz；</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2.工作环境：温度≥5℃～+45℃，相对湿度≤95%；</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3.安全保护：为确保在使用过程中设备及学生的安全，包含急停开关、漏电保护、短路保护、过载保护，整套设备安全保护符合国家标准。</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1.静音气泵≥1台；</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2.配套PLC通信电缆、气管等≥1套；</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3.设备使用说明书及实训指导书≥1套；</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数字化仿真软件</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（一）产线快速搭建与运动仿真功能：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▲1.三维建模软件接口功能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与CAD、SolidWorks、UG、3DMAX等制图软件对接，支持dxf、dwg、wrl、skp、iam、dae、stl、blend、fbx、3ds、obj、gltf、glb、step、stl、ply等常见三维模型格式文件导入。（投标须提供相关软件功能截图</w:t>
            </w:r>
            <w:r>
              <w:rPr>
                <w:rFonts w:hint="eastAsia" w:ascii="宋体" w:hAnsi="宋体" w:eastAsia="宋体" w:cs="宋体"/>
                <w:color w:val="auto"/>
                <w:sz w:val="24"/>
                <w:highlight w:val="none"/>
              </w:rPr>
              <w:t xml:space="preserve">作为证明材料</w:t>
            </w:r>
            <w:r>
              <w:rPr>
                <w:rFonts w:hint="eastAsia" w:ascii="宋体" w:hAnsi="宋体" w:eastAsia="宋体" w:cs="宋体"/>
                <w:color w:val="auto"/>
                <w:sz w:val="24"/>
                <w:szCs w:val="24"/>
                <w:highlight w:val="none"/>
              </w:rPr>
              <w:t xml:space="preserve">）</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2.装备自定义泛化封装功能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具有装备泛化封装功能，用户可将其个性化的设备封装成数字孪生体模型，供后续构建虚拟仿真工程复用。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（1）支持设备模型外形参数化定义，包括模型的长宽高外观尺寸参数化变形、模型线性克隆阵列、旋转克隆阵列等。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（2）具有模型运动动作方式快速定义功能，通过操作配置即可实现模型运动部件的主从关系、运动方式及行程范围的快速定义，运动方式包括：平移、旋转、平移协同、旋转协同等。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机构运动行为创建功能，支持创建驱动器行为和运动学行为。驱动器包括：单轴驱动器、多轴驱动器、轨迹驱动器。运动学包括：二轴、三轴、四轴等多轴机构、Scara机器人、并联机器人等的逆运动学算法组件，支持不同种类的机械手快速封装。（投标须提供相关软件功能截图</w:t>
            </w:r>
            <w:r>
              <w:rPr>
                <w:rFonts w:hint="eastAsia" w:ascii="宋体" w:hAnsi="宋体" w:eastAsia="宋体" w:cs="宋体"/>
                <w:color w:val="auto"/>
                <w:sz w:val="24"/>
                <w:highlight w:val="none"/>
              </w:rPr>
              <w:t xml:space="preserve">作为证明材料</w:t>
            </w:r>
            <w:r>
              <w:rPr>
                <w:rFonts w:hint="eastAsia" w:ascii="宋体" w:hAnsi="宋体" w:eastAsia="宋体" w:cs="宋体"/>
                <w:color w:val="auto"/>
                <w:sz w:val="24"/>
                <w:szCs w:val="24"/>
                <w:highlight w:val="none"/>
              </w:rPr>
              <w:t xml:space="preserve">）</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有功能组件库，依托该功能组件库可快速定义出各种特定功能效果，组件包括通用组件（工件发生器组件、工件销毁器组件、包围盒夹具、射线夹具、相机组件、多连杆组件）、电线绘制组件（画笔组件、点胶或焊缝增材组件）、传感器组件（体积传感器组件、射线传感器组件）、物理学功能组件（直筒传送带、圆弧传送带、刚体）。（投标须提供相关软件功能截图</w:t>
            </w:r>
            <w:r>
              <w:rPr>
                <w:rFonts w:hint="eastAsia" w:ascii="宋体" w:hAnsi="宋体" w:eastAsia="宋体" w:cs="宋体"/>
                <w:color w:val="auto"/>
                <w:sz w:val="24"/>
                <w:highlight w:val="none"/>
              </w:rPr>
              <w:t xml:space="preserve">作为证明材料</w:t>
            </w:r>
            <w:r>
              <w:rPr>
                <w:rFonts w:hint="eastAsia" w:ascii="宋体" w:hAnsi="宋体" w:eastAsia="宋体" w:cs="宋体"/>
                <w:color w:val="auto"/>
                <w:sz w:val="24"/>
                <w:szCs w:val="24"/>
                <w:highlight w:val="none"/>
              </w:rPr>
              <w:t xml:space="preserve">）</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（5）具有刚体功能组件，支持定义刚体的特性，包括质量、摩擦力、弹力等。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（6）模型的控制信号定义，信号类型包括boolean、string、float、int、byte、double、long、short等控制器常用类型。</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▲（7）具有装备脚本编制功能，采用Java语言进行脚本编制，实现对控制信号的触发进行响应，平台内嵌代码编辑器和编译器，可实现编写脚本后立马调试。（投标须提供相关软件功能截图</w:t>
            </w:r>
            <w:r>
              <w:rPr>
                <w:rFonts w:hint="eastAsia" w:ascii="宋体" w:hAnsi="宋体" w:eastAsia="宋体" w:cs="宋体"/>
                <w:color w:val="auto"/>
                <w:sz w:val="24"/>
                <w:highlight w:val="none"/>
              </w:rPr>
              <w:t xml:space="preserve">作为证明材料</w:t>
            </w:r>
            <w:r>
              <w:rPr>
                <w:rFonts w:hint="eastAsia" w:ascii="宋体" w:hAnsi="宋体" w:eastAsia="宋体" w:cs="宋体"/>
                <w:color w:val="auto"/>
                <w:sz w:val="24"/>
                <w:szCs w:val="24"/>
                <w:highlight w:val="none"/>
              </w:rPr>
              <w:t xml:space="preserve">）</w:t>
            </w:r>
            <w:r/>
          </w:p>
          <w:p>
            <w:pPr>
              <w:pStyle w:val="95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提供程序块控件，通过拖拽控件无需编程即可快速实现设备控制逻辑及时序定义。常用可视化控件指令包括：If、Switch、While、Call、Delay、Parallel、SetSignal、Wait等，此外，机器人控件指令包括：PTP、LIN、CIRC、ROT、SETBASE、SETTOOL等。（投标须提供相关软件功能截图</w:t>
            </w:r>
            <w:r>
              <w:rPr>
                <w:rFonts w:hint="eastAsia" w:ascii="宋体" w:hAnsi="宋体" w:eastAsia="宋体" w:cs="宋体"/>
                <w:color w:val="auto"/>
                <w:sz w:val="24"/>
                <w:highlight w:val="none"/>
              </w:rPr>
              <w:t xml:space="preserve">作为证明材料</w:t>
            </w:r>
            <w:r>
              <w:rPr>
                <w:rFonts w:hint="eastAsia" w:ascii="宋体" w:hAnsi="宋体" w:eastAsia="宋体" w:cs="宋体"/>
                <w:color w:val="auto"/>
                <w:sz w:val="24"/>
                <w:szCs w:val="24"/>
                <w:highlight w:val="none"/>
              </w:rPr>
              <w:t xml:space="preserve">）</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提供可视化信号面板，实现模型信号的关联控制。信号面板将模型的信号与其他模型或通迅配置进行关联（连接），实现模型间的各种功能和动作的关联控制。信号和信号之间通过拖拽连线进行关联和数据传递。(投标须提供以上功能一一对应的演示视频作为证明材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3.模型库功能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（1）内置有立方体、球体、圆柱、传感器、文字、直线皮带/滚筒输送机、曲线皮带/滚筒输送机等基础模型。</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（2）模型库中预置了丰富的模型组件，包含主流品牌机器人（ABB、KUKA、Fanuc、YASKAWA、Nachi 等，埃斯顿、埃夫特、遨博、广数、华数、汇川、珞石等）、输送机、AGV、通用机床、立体仓库、高密度四向穿立库、控制器、视觉相机、传感器等。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（3）支持自定义模型库（新建、删除），支持自定义的设备/单元封装的数字孪生模型以组件的形式形成组件库，支持组件复用。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（4）模型库内置模型支持模型属性参数化，如滚筒输送机改变长度时，滚筒数量也会自动增加或减少。</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（5）模型库中的模型可直接拖拉拽进入场景中，快速完机器人工作站、生产系统方案搭建。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4.模型编辑与交互功能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（1）具有模型原点修改功能：可直接修改模型原点值，也可基于特征拾取模型特征，快速精准将模型原点调整到该特征位置。</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（2）支持模型位姿修改：三维场景中的模型，通过鼠键配合实现模型位姿任意值或固定幅度值修改。</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（3）活动部件交互操作：启动交互模式后，可以通过鼠标操作活动部件在设定的运动方式和行程范围内任意移动，便于用户确定该活动部件的运动行为、行程和作业示教。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5.三维场景交互功能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（1）支持场景交互操作，通过键鼠实现场景移动、放缩、旋转、360度漫游查看等。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（2）场景视角管理：支持场景视角添加、删除。选择保存后的视角缩略图，3D场景可以快速切换到对应视角。</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（3）聚焦模型功能，鼠标双击场景模型或者点选聚焦模型按钮，以鼠标指针为中心，视角迅速聚焦该区域，便于模型迅速定位。</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6.智能产线快速布局搭建功能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（1）支持用户拖拉拽模型库中的设备模型进入三维场景中，通过移动、旋转、编辑、装配等系类等操作，进行方案快速布局搭建。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（2）具有捕捉（特征探测）功能：基于三维模型几何拓扑特征的解析和识别方法，可识别模型的点线面、中心、三角网格中心、圆心、轴心等特征。</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模型测距功能，便于装配和布局搭建：具有基于特征拾取的两点之间距离测量功能，可测量两点之间的直线距离值和X/Y/Z方向分量的距离值，测距结果在三维场景中标注显示。（投标须提供相关软件功能截图</w:t>
            </w:r>
            <w:r>
              <w:rPr>
                <w:rFonts w:hint="eastAsia" w:ascii="宋体" w:hAnsi="宋体" w:eastAsia="宋体" w:cs="宋体"/>
                <w:color w:val="auto"/>
                <w:sz w:val="24"/>
                <w:highlight w:val="none"/>
              </w:rPr>
              <w:t xml:space="preserve">作为证明材料</w:t>
            </w:r>
            <w:r>
              <w:rPr>
                <w:rFonts w:hint="eastAsia" w:ascii="宋体" w:hAnsi="宋体" w:eastAsia="宋体" w:cs="宋体"/>
                <w:color w:val="auto"/>
                <w:sz w:val="24"/>
                <w:szCs w:val="24"/>
                <w:highlight w:val="none"/>
              </w:rPr>
              <w:t xml:space="preserve">）</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（4）精准装配功能：基于智能捕捉两个部件的点线面特征，部件与部件之间自动靠接、自动吸附对齐，无需手动进行位置调整，实现精准装配。</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7.运动仿真功能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近物理仿真功能：支持包括但不限于物理碰撞检测、摩擦力、重力、速度、加速度、惯性等近物理仿真。虚拟设备运动仿真时，能充分考虑工件、设备的物理场特性，以及可能发生物理碰撞检测，包括碰撞、滑动、掉落地上等物理现象。</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（2）虚拟设备运行过程中，能呈现金属切削过程实时减材效果、焊接过程实时增材效果、喷涂作业过程工件实时着色效果。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（3）虚拟场景中，能呈现出布或铝箔等连续材质在设备上流转的流动效果。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（二）机器人模块：</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（1）支持导入自定义的机器人模型。</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（2）支持多类型（Scara、DELTA、五轴、六轴、三轴、并联等）机器人运动学参数自定义，包含正解、逆解、直线和圆弧插补，速度规划等。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（3）支持多关节联动控制。</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（4）支持机器人离线示教功能，能够对机器人末端工具进行托拉拽，并对目标点进行点位信息进行纪录，实现点位的离线拖动示教。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具有机器人示教面板，面板中具有离线示教模式（末端位姿拖动/捕捉）切换功能、移动模式（世界坐标/工具坐标/基坐标）切换功能、关节角度拖动调整功能、复位至初始姿态功能、以及对齐至坐标系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（6）具有丰富的机器人指令：具有PTP、LIN、CIRC、ROT、SETBASE、SETTOOL等指令进行点到点、直线、曲线等多种机器人轨迹规划。</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具有机器人程序编辑功能，具有子控制程序创建、复制、删除和保存编译功能。通过控件式的指令块免代码编辑机器人程序。点选指令块机器人能联动切换到对应的位姿。机器人运行过程中，对应执行的程序块能够实时高亮显示。（投标须提供相关软件功能截图</w:t>
            </w:r>
            <w:r>
              <w:rPr>
                <w:rFonts w:hint="eastAsia" w:ascii="宋体" w:hAnsi="宋体" w:eastAsia="宋体" w:cs="宋体"/>
                <w:color w:val="auto"/>
                <w:sz w:val="24"/>
                <w:highlight w:val="none"/>
              </w:rPr>
              <w:t xml:space="preserve">作为证明材料</w:t>
            </w:r>
            <w:r>
              <w:rPr>
                <w:rFonts w:hint="eastAsia" w:ascii="宋体" w:hAnsi="宋体" w:eastAsia="宋体" w:cs="宋体"/>
                <w:color w:val="auto"/>
                <w:sz w:val="24"/>
                <w:szCs w:val="24"/>
                <w:highlight w:val="none"/>
              </w:rPr>
              <w:t xml:space="preserve">）</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（8）具有机器人末端轨迹划线功能，便于校验规划的合理性。</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（三）虚拟调试功能：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（1）数据通讯与控制模块</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1）支持客户端、服务端、中间件多种模式进行数据通讯。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2）支持IOT、信息系统通信传值。</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3）支持多种协议进行数据通信，包括但不限于：S7、Modbus、Socket-Client、Socket-Server、Robotstudio等。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4）支持外部PLC、机器人控制器对虚拟场景模型进行虚拟控制，实现半物理仿真效果。</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（2）电控程序虚拟调试</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与西门子PLC、汇川PLC、三菱PLC交互数据，实现PLC程序驱动的虚拟模型运动仿真，通过分析判断虚拟设备运动动作及加工工艺过程是否符合设计要求，反向验证PLC控制程序逻辑和时序的正确性、合理性和完备性，实现脱离实物设备，即可完成PLC程序的调试验证。</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（四）数字孪生虚实映射功能：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（1）逼真的材质渲染效果和模型材质编辑功能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1）三维场景采用PBR渲染，虚拟模型具有包括但不限金属、塑料、铝合金、抛光等逼真材质效果。</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模型材质编辑功能，具有软件的材质编辑器，通过材质编辑实现虚拟设备在外观形态上与实物一致。PBR材质编辑支持基础色、金属度、粗糙度、基础色贴图、法线贴图、金属贴图、粗糙度贴图、金属粗糙度贴图、发光贴图、高度贴图、高度差、AO贴图等编辑设置。</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（2）具有虚实互控和统计分析数据看板功能：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集设备的启停、状态、实时位姿、任务信息、库位信息、货物ID等实时数据，孪生系统通过数据挖掘和数据处理（过滤、刷选、归类、标识、结构化存储等），将现场数据转化为触发事件，驱动虚拟模型（包括设备和在制品）低延时、高流畅性运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▲2）具有前端UI看板集成开发功能，实现个性化看板：用户开发的前端UI看板可直接嵌入到3D场景中，呈现设备利用率、产能、库存等统计指标。（投标须提供相关软件功能截图</w:t>
            </w:r>
            <w:r>
              <w:rPr>
                <w:rFonts w:hint="eastAsia" w:ascii="宋体" w:hAnsi="宋体" w:eastAsia="宋体" w:cs="宋体"/>
                <w:color w:val="auto"/>
                <w:sz w:val="24"/>
                <w:highlight w:val="none"/>
              </w:rPr>
              <w:t xml:space="preserve">作为证明材料</w:t>
            </w:r>
            <w:r>
              <w:rPr>
                <w:rFonts w:hint="eastAsia" w:ascii="宋体" w:hAnsi="宋体" w:eastAsia="宋体" w:cs="宋体"/>
                <w:color w:val="auto"/>
                <w:sz w:val="24"/>
                <w:szCs w:val="24"/>
                <w:highlight w:val="none"/>
              </w:rPr>
              <w:t xml:space="preserve">）</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（五）智能制造使能技术数字孪生实训功能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软件集成了PLC仿真、机器人仿真、视觉相机仿真、产线和仓储仿真等功能。提供用户自主建模与自主布局功能，并开放底层接口，支持用户二次开发，是智能制造综合实训平台，并提供了丰富的教学资源。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（1）PLC应用编程实训</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1）支持西门子、三菱、汇川等多种品牌PLC实训。</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2）系统支持与PLC进行多种数据通讯及交互：满足常用PLC数据</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格式读取和写入，包括bool，short，int，long，float，byte，unit，long，double。</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3）支持针对PLC指定地址进行定时读取，用户可以自定义读取间隔。</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4）支持PLC数据的批量信息读取，用户可以自定义读取地址及长度。</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具有多种运行模式：支持托管式运行模式，采用仿真动画的形式将设备的加工运行过程进行展示。支持基于软PLC技术的纯软件实操模式。支持基于硬件在环技术的半实物控制模式，控制器是实物PLC，控制对象是虚拟场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（2）工业机器人操作与编程实训</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1）具有丰富的机器人库（scara、五轴、六轴等），同时也支持自定义封装机器人模型，支持多类型机器人实训。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2）离线拖动示教功能，能够对机器人末端工具进行托拉拽，并对目标点进行点位信息进行纪录，实现点位的离线拖动示教。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3）多机器人协同作业实训：支持多种类型机器人，如直角机器人、SCARA机器人、4轴串联机器人、6轴串联机器人，每台机器人都有独立的运动控制器，分别编程，独立运行。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4）碰撞检测功能：场景中的模型对象具有碰撞检测功能，当机构发生干涉碰撞时，干涉部件通过颜色变化标示出来。</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5）机器人轨迹线功能：具有机器人TCP轨迹线功能，可控制轨迹线显示与隐藏。</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6）货物精准拾取与放置：拾取货物时，学生编程驱动的机器人运动不到位（精度±1mm范围），工件拾取不成功。放置货物时，学生编程驱动的机器人运动放置的位置偏离目标的裕度范围，工件会跌落到地面。</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具有多种运行模式：支持离线演示运行模式，采用仿真动画的形式将设备的加工运行过程进行展示。支持基于虚拟示教器的纯软件实操模式。支持基于硬件在环技术的半实物控制模式，示教器是手持式实物示教器，控制对象是虚拟场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（3）机器视觉实训</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相机功能组件：支持在虚拟场景中以特定视角拍摄场景，并支持拍摄结果在三维场景中的虚拟显示器上实时展示，支持拍摄结果以文件、编码的形式与视觉软件实时交互。相机组件可设置图像宽度、图像高度、相机视野、近裁切面、远裁切面等参数。（</w:t>
            </w:r>
            <w:r>
              <w:rPr>
                <w:rFonts w:hint="eastAsia" w:ascii="宋体" w:hAnsi="宋体" w:eastAsia="宋体" w:cs="宋体"/>
                <w:color w:val="auto"/>
                <w:sz w:val="24"/>
                <w:highlight w:val="none"/>
              </w:rPr>
              <w:t xml:space="preserve">投标须提供相关软件功能截图作为证明材料</w:t>
            </w:r>
            <w:r>
              <w:rPr>
                <w:rFonts w:hint="eastAsia" w:ascii="宋体" w:hAnsi="宋体" w:eastAsia="宋体" w:cs="宋体"/>
                <w:color w:val="auto"/>
                <w:sz w:val="24"/>
                <w:szCs w:val="24"/>
                <w:highlight w:val="none"/>
              </w:rPr>
              <w:t xml:space="preserve">）</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2）还原真实环境：虚拟相机模拟打光、拍照。产品或工件形态、特征变化模拟。</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3）仿真场景中的虚拟相机，能与外部机器视觉软件实时数据交换，实现对虚拟工件的在线视觉检测。机器视觉软件与虚拟机器人总线通讯，把工件坐标传给虚拟机器人，引导虚拟机器人抓取工件。</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工业仿真运算终端</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专为智能制造、PLC 仿真、机器视觉、机器人运动仿真、产线虚拟调试等实训场景设计，硬件配置不低于：</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1.处理器：酷睿i5</w:t>
            </w:r>
            <w:r>
              <w:rPr>
                <w:rFonts w:hint="eastAsia" w:ascii="宋体" w:hAnsi="宋体" w:cs="宋体"/>
                <w:color w:val="auto"/>
                <w:sz w:val="24"/>
                <w:szCs w:val="24"/>
                <w:highlight w:val="none"/>
                <w:lang w:val="en-US" w:eastAsia="zh-CN"/>
              </w:rPr>
              <w:t xml:space="preserve">同级别</w:t>
            </w:r>
            <w:r>
              <w:rPr>
                <w:rFonts w:hint="eastAsia" w:ascii="宋体" w:hAnsi="宋体" w:eastAsia="宋体" w:cs="宋体"/>
                <w:color w:val="auto"/>
                <w:sz w:val="24"/>
                <w:szCs w:val="24"/>
                <w:highlight w:val="none"/>
              </w:rPr>
              <w:t xml:space="preserve">及以上性能处理器；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2.内存：16GB及以上；</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3.高速固态硬盘：256GB及以上；</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4.独立图形显卡：6GB及以上显存，满足三维仿真、视觉算法运算需求；</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5.配套高清显示器：23.8英寸及以上，满足仿真界面可视化调试展示需求。</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bl>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p>
    <w:p>
      <w:pPr>
        <w:pStyle w:val="929"/>
        <w:ind w:left="425" w:hanging="425"/>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3.</w:t>
      </w:r>
      <w:r>
        <w:rPr>
          <w:rFonts w:hint="eastAsia" w:ascii="宋体" w:hAnsi="宋体" w:eastAsia="宋体" w:cs="宋体"/>
          <w:b/>
          <w:bCs/>
          <w:color w:val="auto"/>
          <w:sz w:val="24"/>
          <w:szCs w:val="21"/>
          <w:highlight w:val="none"/>
        </w:rPr>
        <w:t xml:space="preserve">开源智能复合机器人</w:t>
      </w:r>
      <w:r/>
    </w:p>
    <w:tbl>
      <w:tblPr>
        <w:tblStyle w:val="964"/>
        <w:tblpPr w:horzAnchor="page" w:tblpX="1341" w:vertAnchor="text" w:tblpY="501" w:leftFromText="180" w:topFromText="0" w:rightFromText="180" w:bottomFromText="0"/>
        <w:tblW w:w="91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912"/>
        <w:gridCol w:w="5852"/>
        <w:gridCol w:w="656"/>
      </w:tblGrid>
      <w:tr>
        <w:trPr/>
        <w:tc>
          <w:tcPr>
            <w:tcW w:w="743" w:type="dxa"/>
            <w:vAlign w:val="center"/>
            <w:textDirection w:val="lrTb"/>
            <w:noWrap w:val="false"/>
          </w:tcPr>
          <w:p>
            <w:pPr>
              <w:pStyle w:val="958"/>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912" w:type="dxa"/>
            <w:vAlign w:val="center"/>
            <w:textDirection w:val="lrTb"/>
            <w:noWrap w:val="false"/>
          </w:tcPr>
          <w:p>
            <w:pPr>
              <w:pStyle w:val="958"/>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产品名称</w:t>
            </w:r>
            <w:r/>
          </w:p>
        </w:tc>
        <w:tc>
          <w:tcPr>
            <w:tcW w:w="5852" w:type="dxa"/>
            <w:vAlign w:val="center"/>
            <w:textDirection w:val="lrTb"/>
            <w:noWrap w:val="false"/>
          </w:tcPr>
          <w:p>
            <w:pPr>
              <w:pStyle w:val="958"/>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p>
        </w:tc>
        <w:tc>
          <w:tcPr>
            <w:tcW w:w="656" w:type="dxa"/>
            <w:vAlign w:val="center"/>
            <w:textDirection w:val="lrTb"/>
            <w:noWrap w:val="false"/>
          </w:tcPr>
          <w:p>
            <w:pPr>
              <w:pStyle w:val="958"/>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r>
      <w:tr>
        <w:trPr/>
        <w:tc>
          <w:tcPr>
            <w:tcW w:w="743"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12"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移动机器人</w:t>
            </w:r>
            <w:r/>
          </w:p>
        </w:tc>
        <w:tc>
          <w:tcPr>
            <w:tcW w:w="585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1.四轮全向底盘，激光定位导航，带可模块化拆卸的传送带、四自由度手臂、顶升机构；</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2.机器人最大速度：线速度≥0.3m/s，角速度≥0.8rad/s；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3.定位导航重复精度：≤5cm；</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4.关键点重复定位精度：≤5mm；</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5.传感器执行机构：工业全局快门相机≥2；二维激光雷达≥2；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6.软件系统：ubuntu20.04+ROS；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7.满功率运行时间：≥3h；</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8.待机时间：≥6h；</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9.车体尺寸大小：340mm*340mm*230 ，±10%以内；</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10.自重：≥12kg；</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11.支持自主充电，支持手动充电；</w:t>
            </w:r>
            <w:r/>
          </w:p>
        </w:tc>
        <w:tc>
          <w:tcPr>
            <w:tcW w:w="656"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743"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912"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机械结构连接件</w:t>
            </w:r>
            <w:r/>
          </w:p>
        </w:tc>
        <w:tc>
          <w:tcPr>
            <w:tcW w:w="585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1.车体结构：四轮麦克纳姆轮全向，杠杆减震结构，确保底盘高度范围内四轮着地；各个传感器执行机构配套安装结构，整体封闭美观；</w:t>
            </w:r>
            <w:r/>
          </w:p>
        </w:tc>
        <w:tc>
          <w:tcPr>
            <w:tcW w:w="656"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743"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912"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顶升机构</w:t>
            </w:r>
            <w:r/>
          </w:p>
        </w:tc>
        <w:tc>
          <w:tcPr>
            <w:tcW w:w="585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1.重量：≤3.0kg</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2.尺寸(L*W)：120mm*240mm（10%范围内）</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3.检测传感器*1；</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4.驱动电机：直流电机；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5.控制方式：IO；</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●6.模块化方便从车体上拆卸和安装（投标须提供拆卸和安装的</w:t>
            </w:r>
            <w:r>
              <w:rPr>
                <w:rFonts w:hint="eastAsia" w:ascii="宋体" w:hAnsi="宋体" w:eastAsia="宋体" w:cs="宋体"/>
                <w:color w:val="auto"/>
                <w:sz w:val="24"/>
                <w:szCs w:val="24"/>
                <w:highlight w:val="none"/>
                <w:lang w:eastAsia="zh-CN"/>
              </w:rPr>
              <w:t xml:space="preserve">演示视频</w:t>
            </w:r>
            <w:r>
              <w:rPr>
                <w:rFonts w:hint="eastAsia" w:ascii="宋体" w:hAnsi="宋体" w:eastAsia="宋体" w:cs="宋体"/>
                <w:color w:val="auto"/>
                <w:sz w:val="24"/>
                <w:szCs w:val="24"/>
                <w:highlight w:val="none"/>
              </w:rPr>
              <w:t xml:space="preserve">作为证明材料）</w:t>
            </w:r>
            <w:r/>
          </w:p>
        </w:tc>
        <w:tc>
          <w:tcPr>
            <w:tcW w:w="656"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743"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912"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传送带模块</w:t>
            </w:r>
            <w:r/>
          </w:p>
        </w:tc>
        <w:tc>
          <w:tcPr>
            <w:tcW w:w="585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1.重量：≤3.0kg</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2.尺寸(L*W)：112mm*245mm（10%范围内）</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3.检测传感器*1；</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4.驱动电机：直流电机；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5.控制方式：IO；</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6.模块化方便从车体上拆卸和安装</w:t>
            </w:r>
            <w:r/>
          </w:p>
        </w:tc>
        <w:tc>
          <w:tcPr>
            <w:tcW w:w="656"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743"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912"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轻量型智能机械臂</w:t>
            </w:r>
            <w:r/>
          </w:p>
        </w:tc>
        <w:tc>
          <w:tcPr>
            <w:tcW w:w="585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1.重量：≤3.6kg</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2.尺寸(L*W*H)：150mm*150mm*300mm（10%范围内）</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3.自由度：≥4自由度</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4.精度：≥0.2mm</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5.最大负载：≥500g</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6.工作半径：50mm～320mm</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7.运行速度；≥100mm/s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8.二次开发：Python/Arduino/ROS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9.气泵参数：</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（1）行程：5mm-10mm；</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（2）最大气压：33Kpa；</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（3）最大提重：1000g；</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（4）限位反馈：支持；</w:t>
            </w:r>
            <w:r/>
          </w:p>
        </w:tc>
        <w:tc>
          <w:tcPr>
            <w:tcW w:w="656"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743"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912"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机器人控制器</w:t>
            </w:r>
            <w:r/>
          </w:p>
        </w:tc>
        <w:tc>
          <w:tcPr>
            <w:tcW w:w="585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1.CPU：不低于Inter N97 四核；内存：≥8G；硬盘：≥120G固态硬盘；接口：HDMI2.0b≥1，DP1.4a≥1；千兆以太网≥1，inter i210（支持EtherCAT总线），RJ45≥2；USB3.0≥4，USB2.0≥3；RS232≥3，RS485≥2，CAN≥1；</w:t>
            </w:r>
            <w:r/>
          </w:p>
        </w:tc>
        <w:tc>
          <w:tcPr>
            <w:tcW w:w="656"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743"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912"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驱控一体控制器</w:t>
            </w:r>
            <w:r/>
          </w:p>
        </w:tc>
        <w:tc>
          <w:tcPr>
            <w:tcW w:w="5852" w:type="dxa"/>
            <w:vAlign w:val="center"/>
            <w:textDirection w:val="lrTb"/>
            <w:noWrap w:val="false"/>
          </w:tcPr>
          <w:p>
            <w:pPr>
              <w:pStyle w:val="958"/>
              <w:numPr>
                <w:ilvl w:val="0"/>
                <w:numId w:val="6"/>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主控芯片：Cortex-M3；</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2.直流伺服电机驱动：不少于4路，电机编码器接口：不少于4路；电源输出：5V，＞5A；12V，＞5A；</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3.接口：带5V供电UART接口：不少于3路；带5V供电485接口：不少于1路；带5V供电CAN接口：不少于1路；带5V供电碰撞传感器接口：不少于3路；带5V供电防跌传感器接口：不少于3路； RS232接口：不少于1路；5输入电压：12-30V；</w:t>
            </w:r>
            <w:r/>
          </w:p>
        </w:tc>
        <w:tc>
          <w:tcPr>
            <w:tcW w:w="656"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743"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912"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自动充电桩</w:t>
            </w:r>
            <w:r/>
          </w:p>
        </w:tc>
        <w:tc>
          <w:tcPr>
            <w:tcW w:w="5852" w:type="dxa"/>
            <w:vAlign w:val="center"/>
            <w:textDirection w:val="lrTb"/>
            <w:noWrap w:val="false"/>
          </w:tcPr>
          <w:p>
            <w:pPr>
              <w:pStyle w:val="958"/>
              <w:numPr>
                <w:ilvl w:val="0"/>
                <w:numId w:val="7"/>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输入电压：25.4V；</w:t>
            </w:r>
            <w:r/>
          </w:p>
          <w:p>
            <w:pPr>
              <w:pStyle w:val="958"/>
              <w:numPr>
                <w:ilvl w:val="0"/>
                <w:numId w:val="7"/>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充电电流：2A；</w:t>
            </w:r>
            <w:r/>
          </w:p>
        </w:tc>
        <w:tc>
          <w:tcPr>
            <w:tcW w:w="656"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743"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912"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编程开发软件</w:t>
            </w:r>
            <w:r/>
          </w:p>
        </w:tc>
        <w:tc>
          <w:tcPr>
            <w:tcW w:w="585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1.支持windows、Ubuntu、IOS、Android等主流平台；</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2.支持地图构建、支持给定点导航、支持导航点记录；</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3.支持图形化、模块化编程；</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4.支持机器人三维模型及地图的显示；</w:t>
            </w:r>
            <w:r/>
          </w:p>
        </w:tc>
        <w:tc>
          <w:tcPr>
            <w:tcW w:w="656"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743"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912"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便携式开源图形运算处理设备</w:t>
            </w:r>
            <w:r/>
          </w:p>
        </w:tc>
        <w:tc>
          <w:tcPr>
            <w:tcW w:w="5852"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设备搭载不低于13代酷睿I5工业级运算核心，具备强劲的图形运算、数据处理与程序编译能力，设备配置≥16G高速运行内存，可流畅支撑开源系统运行、图形仿真渲染、程序开发调试、工业数据运算等多任务并发处理；配备≥512G高速固态硬盘，读写性能优异，可满足开源程序存储、项目文件留存、仿真数据缓存、系统固件存储等长期使用需求，设备整体运行稳定高效，适配开源系统适配、图形设计、仿真运算、工业程序开发等实训及工程应用场景。</w:t>
            </w:r>
            <w:r/>
          </w:p>
        </w:tc>
        <w:tc>
          <w:tcPr>
            <w:tcW w:w="656"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743"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912"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课程资源</w:t>
            </w:r>
            <w:r/>
          </w:p>
        </w:tc>
        <w:tc>
          <w:tcPr>
            <w:tcW w:w="5852" w:type="dxa"/>
            <w:vAlign w:val="center"/>
            <w:textDirection w:val="lrTb"/>
            <w:noWrap w:val="false"/>
          </w:tcPr>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▲1.机器人基础功能开发实验≥13项（</w:t>
            </w:r>
            <w:r>
              <w:rPr>
                <w:rFonts w:hint="eastAsia" w:ascii="宋体" w:hAnsi="宋体" w:eastAsia="宋体" w:cs="宋体"/>
                <w:color w:val="auto"/>
                <w:sz w:val="24"/>
                <w:szCs w:val="24"/>
                <w:highlight w:val="none"/>
                <w:lang w:val="en-US" w:eastAsia="zh-CN"/>
              </w:rPr>
              <w:t xml:space="preserve">投标须</w:t>
            </w:r>
            <w:r>
              <w:rPr>
                <w:rFonts w:hint="eastAsia" w:ascii="宋体" w:hAnsi="宋体" w:eastAsia="宋体" w:cs="宋体"/>
                <w:color w:val="auto"/>
                <w:sz w:val="24"/>
                <w:szCs w:val="24"/>
                <w:highlight w:val="none"/>
              </w:rPr>
              <w:t xml:space="preserve">提供对应的实验指导书内容截图，包含目录及内容不少于8页作为证明材料），至少包含：</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（1）机器人轮子速度控制以及信息反馈；</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（2）机器人传感器数据采集以及可视化显示；</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（3）机器人移动控制；</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（4）手柄控制机器人运动；</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（5）机器人相对移动控制；</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（6）扩展IO1传送带控制；</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（7）扩展IO2顶升机构控制；</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（8）机器人地图构建；</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（9）navigation自主导航实验；</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（10）手臂控制实验；</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（11）图像采集，查看与保存；</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（12）相机标定；</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（13）ar码识别与定位；</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2.机器人应用功能开发≥4，至少包含：</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（1）机器人自主充电；</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（2）视觉识别与抓取；</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（3）机器人自主巡航(多点导航)；</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（4）机器人调度系统开发</w:t>
            </w:r>
            <w:r/>
          </w:p>
        </w:tc>
        <w:tc>
          <w:tcPr>
            <w:tcW w:w="656"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743"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912"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工业仿真运算终端桌</w:t>
            </w:r>
            <w:r/>
          </w:p>
        </w:tc>
        <w:tc>
          <w:tcPr>
            <w:tcW w:w="5852" w:type="dxa"/>
            <w:textDirection w:val="lrTb"/>
            <w:noWrap w:val="false"/>
          </w:tcPr>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专为智能制造、PLC仿真、机器视觉、机器人运动仿真、产线虚拟调试等实训场景设计，硬件配置 / 规格不低于：</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1.桌面尺寸：长度不低于1200mm，宽度不低于 600mm，高度可在720-750mm之间调节，适配实训教学与仿真操作需求；</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2.桌面材质：采用厚度不低于25mm 的优质防火板或实木板，耐磨、防刮、防酸碱，便于长期实训教学使用；</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3.桌架结构：采用优质冷轧钢材质，表面防锈处理，承重不低于80kg，整体稳固无晃动，可支撑电脑主机、显示器及实训设备长期稳定放置；</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4.走线设计：配备隐藏式走线槽与线孔，方便电源线、网线、数据线等线路整理，保持实训工位整洁；</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5.附加功能：预留主机放置位或主机托板，可兼容标准主机尺寸；可搭配配套键盘抽屉，提升实训操作空间利用率。</w:t>
            </w:r>
            <w:r/>
          </w:p>
        </w:tc>
        <w:tc>
          <w:tcPr>
            <w:tcW w:w="656"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bl>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p>
    <w:p>
      <w:pPr>
        <w:pStyle w:val="929"/>
        <w:ind w:left="425" w:hanging="425"/>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4.</w:t>
      </w:r>
      <w:r>
        <w:rPr>
          <w:rFonts w:hint="eastAsia" w:ascii="宋体" w:hAnsi="宋体" w:eastAsia="宋体" w:cs="宋体"/>
          <w:b/>
          <w:bCs/>
          <w:color w:val="auto"/>
          <w:sz w:val="24"/>
          <w:szCs w:val="21"/>
          <w:highlight w:val="none"/>
        </w:rPr>
        <w:t xml:space="preserve">数字化运维实训平台</w:t>
      </w:r>
      <w:r/>
    </w:p>
    <w:tbl>
      <w:tblPr>
        <w:tblStyle w:val="964"/>
        <w:tblW w:w="91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1568"/>
        <w:gridCol w:w="5727"/>
        <w:gridCol w:w="949"/>
      </w:tblGrid>
      <w:tr>
        <w:trPr>
          <w:jc w:val="center"/>
          <w:trHeight w:val="545"/>
        </w:trPr>
        <w:tc>
          <w:tcPr>
            <w:tcW w:w="91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56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5727"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参数</w:t>
            </w:r>
            <w:r/>
          </w:p>
        </w:tc>
        <w:tc>
          <w:tcPr>
            <w:tcW w:w="949"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r>
      <w:tr>
        <w:trPr>
          <w:jc w:val="center"/>
          <w:trHeight w:val="662"/>
        </w:trPr>
        <w:tc>
          <w:tcPr>
            <w:tcW w:w="918" w:type="dxa"/>
            <w:vAlign w:val="center"/>
            <w:vMerge w:val="restart"/>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568" w:type="dxa"/>
            <w:vAlign w:val="center"/>
            <w:vMerge w:val="restart"/>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工业机器人</w:t>
            </w:r>
            <w:r/>
          </w:p>
        </w:tc>
        <w:tc>
          <w:tcPr>
            <w:tcW w:w="5727"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1.轴数：≥6</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2.工作半径：≥900mm，额定负载：≥6kg，重复定位精度：≤±0.03mm</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3.动作范围及速度：</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轴：工作范围≥±165°，最高转速≥280 º/s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轴：工作范围≥±90°，最高转速≥175 º/s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轴：工作范围≥-105—+45°，最高转速≥280 º/s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轴：工作范围≥±165°，最高转速≥280 º/s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轴：工作范围≥±100°，最高转速≥350 º/s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轴：工作范围≥±360°，最高转速≥350 º/s</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伺服系统数字化平台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（1）支持提供实时数据处理、伺服协议支持、数据传输；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控制、检测和分析功能，可实时监控伺服系统性能，支持至少6通道16kHz、12通道8kHz实时波形数据采集功能,支持同时对机器人至少六个轴运行状态的实时监测。（投标须提供相关软件功能截图作为证明材料）</w:t>
            </w:r>
            <w:r/>
          </w:p>
          <w:p>
            <w:pPr>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 5.工业机器人数字化平台：支持机器人整机状态监控、设备姿势实时展示，数据采样分析、设备历史数据查询等功能，可实时监控机器人运行性能、全流程数据透明管控、支持数字化决策。</w:t>
            </w:r>
            <w:r>
              <w:rPr>
                <w:rFonts w:hint="eastAsia" w:ascii="宋体" w:hAnsi="宋体" w:eastAsia="宋体" w:cs="宋体"/>
                <w:color w:val="auto"/>
                <w:sz w:val="24"/>
                <w:szCs w:val="24"/>
                <w:highlight w:val="none"/>
              </w:rPr>
              <w:t xml:space="preserve">（投标须提供相关软件功能截图作为证明材料）</w:t>
            </w:r>
            <w:r/>
          </w:p>
          <w:p>
            <w:pPr>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6.离线编程平台</w:t>
            </w:r>
            <w:r/>
          </w:p>
          <w:p>
            <w:pPr>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（1）具有语法检测功能，精准识别程序语法错误，即时定位问题位置并解析原因，同步支持指令自动格式化；</w:t>
            </w:r>
            <w:r/>
          </w:p>
          <w:p>
            <w:pPr>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（2）具有指令自动补全功能，提供全部机器人指令提示，支持根据提示补全完整指令；</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ligatures w14:val="standardContextual"/>
              </w:rPr>
              <w:t xml:space="preserve">▲（3）具有虚拟示教器功能，界面外观及操作方式与真实示教器一致，提供沉浸式交互使用；具备联机模式，可无缝衔接实体机器人联机编程，提供真实的教学演示方式。</w:t>
            </w:r>
            <w:r>
              <w:rPr>
                <w:rFonts w:hint="eastAsia" w:ascii="宋体" w:hAnsi="宋体" w:eastAsia="宋体" w:cs="宋体"/>
                <w:color w:val="auto"/>
                <w:sz w:val="24"/>
                <w:szCs w:val="24"/>
                <w:highlight w:val="none"/>
              </w:rPr>
              <w:t xml:space="preserve">（投标须提供相关软件功能截图作为证明材料）</w:t>
            </w:r>
            <w:r/>
          </w:p>
        </w:tc>
        <w:tc>
          <w:tcPr>
            <w:tcW w:w="949" w:type="dxa"/>
            <w:vAlign w:val="center"/>
            <w:vMerge w:val="restart"/>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mc:AlternateContent>
                <mc:Choice Requires="wpg">
                  <w:drawing>
                    <wp:inline xmlns:wp="http://schemas.openxmlformats.org/drawingml/2006/wordprocessingDrawing" distT="0" distB="0" distL="0" distR="0">
                      <wp:extent cx="723900" cy="7239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007380" name=""/>
                              <pic:cNvPicPr>
                                <a:picLocks noChangeAspect="1"/>
                              </pic:cNvPicPr>
                              <pic:nvPr/>
                            </pic:nvPicPr>
                            <pic:blipFill>
                              <a:blip r:embed="rId21"/>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57.0pt;mso-wrap-distance-left:0.0pt;mso-wrap-distance-top:0.0pt;mso-wrap-distance-right:0.0pt;mso-wrap-distance-bottom:0.0pt;" stroked="false">
                      <v:path textboxrect="0,0,0,0"/>
                      <v:imagedata r:id="rId21" o:title=""/>
                    </v:shape>
                  </w:pict>
                </mc:Fallback>
              </mc:AlternateContent>
            </w:r>
            <w:r/>
          </w:p>
        </w:tc>
      </w:tr>
      <w:tr>
        <w:trPr>
          <w:jc w:val="center"/>
          <w:trHeight w:val="772"/>
        </w:trPr>
        <w:tc>
          <w:tcPr>
            <w:tcW w:w="91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56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数控车床</w:t>
            </w:r>
            <w:r/>
          </w:p>
        </w:tc>
        <w:tc>
          <w:tcPr>
            <w:tcW w:w="5727" w:type="dxa"/>
            <w:vAlign w:val="center"/>
            <w:textDirection w:val="lrTb"/>
            <w:noWrap w:val="false"/>
          </w:tcPr>
          <w:p>
            <w:pPr>
              <w:pStyle w:val="958"/>
              <w:numPr>
                <w:ilvl w:val="255"/>
                <w:numId w:val="0"/>
              </w:num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配套工业数控加工系统采用一体式纯平铸铝面板，具备防油防水特性，搭载不小于8英寸彩色液晶屏，设备适配车床及各类多轴加工设备，配置2个进给轴、1路模拟主轴；系统具备</w:t>
            </w:r>
            <w:r>
              <w:rPr>
                <w:rFonts w:hint="eastAsia" w:ascii="宋体" w:hAnsi="宋体" w:eastAsia="宋体" w:cs="宋体"/>
                <w:color w:val="auto"/>
                <w:sz w:val="24"/>
                <w:szCs w:val="24"/>
                <w:highlight w:val="none"/>
              </w:rPr>
              <w:t xml:space="preserve">前瞻预处理功能，最大支持15段NC程序预读，可实现小线段高速平滑插补，适配常规零件及精密模具加工场景；支持普通跟随主轴螺纹、G36刚性螺纹、G93梯形螺纹加工，兼容单头/多头、公英制、直螺纹、锥螺纹、端面螺纹及等螺距、变螺距螺纹加工，可自定义螺纹退尾长度、角度与运行速度参数；系统支持加减速起始速度、终止速度及加减速时间参数自定义，手动、手轮操作模式采用后加减速控制，手轮模式可自由切换即停方式与完全运行方式；优化升级文件管理与程序编辑功能，支持程序文件快速预览、加工轨迹校验，有效提升实操加工效率；硬件标配RS</w:t>
            </w:r>
            <w:r>
              <w:rPr>
                <w:rFonts w:hint="eastAsia" w:ascii="宋体" w:hAnsi="宋体" w:eastAsia="宋体" w:cs="宋体"/>
                <w:color w:val="auto"/>
                <w:sz w:val="24"/>
                <w:szCs w:val="24"/>
                <w:highlight w:val="none"/>
              </w:rPr>
              <w:t xml:space="preserve">485、USB通用工业接口，搭载16/16路I/O点位，满足通用机床设备接入使用需求，自带API对接功能，可无缝接入MES生产管理系统；内置开放式PLC，支持梯图实时显示、运行状态监控及PLC在线编辑调试；程序采用标准ISO代码格式，支持语句式宏代码编程，兼容相对坐标、绝对坐标、极坐标多种编程方式，具备二维刀具轨迹可视化显示功能，支持带参数宏程序调用及4级子程序嵌套，同时支持U盘文件读写、U盘DNC在线加工，可通过U盘完成PLC程序、系统软件升级迭代，功能全面、稳定性强，满足数控加工实训与工业生产实操需求。</w:t>
            </w:r>
            <w:r/>
          </w:p>
          <w:p>
            <w:pPr>
              <w:pStyle w:val="958"/>
              <w:numPr>
                <w:ilvl w:val="0"/>
                <w:numId w:val="8"/>
              </w:num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X轴行程：≥90mm</w:t>
            </w:r>
            <w:r/>
          </w:p>
          <w:p>
            <w:pPr>
              <w:pStyle w:val="958"/>
              <w:numPr>
                <w:ilvl w:val="0"/>
                <w:numId w:val="8"/>
              </w:num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Z轴行程：≥295mm</w:t>
            </w:r>
            <w:r/>
          </w:p>
          <w:p>
            <w:pPr>
              <w:pStyle w:val="958"/>
              <w:numPr>
                <w:ilvl w:val="0"/>
                <w:numId w:val="8"/>
              </w:num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主轴电机功率：≥1.1KW</w:t>
            </w:r>
            <w:r/>
          </w:p>
          <w:p>
            <w:pPr>
              <w:pStyle w:val="958"/>
              <w:numPr>
                <w:ilvl w:val="0"/>
                <w:numId w:val="8"/>
              </w:num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主轴转速：≥300～3500r/min(无级调速)</w:t>
            </w:r>
            <w:r/>
          </w:p>
          <w:p>
            <w:pPr>
              <w:pStyle w:val="958"/>
              <w:numPr>
                <w:ilvl w:val="0"/>
                <w:numId w:val="8"/>
              </w:num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卡盘最大夹持尺寸：≥φ110mm</w:t>
            </w:r>
            <w:r/>
          </w:p>
          <w:p>
            <w:pPr>
              <w:pStyle w:val="958"/>
              <w:numPr>
                <w:ilvl w:val="0"/>
                <w:numId w:val="8"/>
              </w:num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最大回转直径：≥φ210mm</w:t>
            </w:r>
            <w:r/>
          </w:p>
          <w:p>
            <w:pPr>
              <w:pStyle w:val="958"/>
              <w:numPr>
                <w:ilvl w:val="0"/>
                <w:numId w:val="8"/>
              </w:num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Z轴快速移动速度：≥52</w:t>
            </w:r>
            <w:r>
              <w:rPr>
                <w:rFonts w:hint="eastAsia" w:ascii="宋体" w:hAnsi="宋体" w:eastAsia="宋体" w:cs="宋体"/>
                <w:color w:val="auto"/>
                <w:sz w:val="24"/>
                <w:szCs w:val="24"/>
                <w:highlight w:val="none"/>
              </w:rPr>
              <w:t xml:space="preserve">00mm/min</w:t>
            </w:r>
            <w:r/>
          </w:p>
          <w:p>
            <w:pPr>
              <w:pStyle w:val="958"/>
              <w:numPr>
                <w:ilvl w:val="0"/>
                <w:numId w:val="8"/>
              </w:num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X轴快速移动速度：≥52</w:t>
            </w:r>
            <w:r>
              <w:rPr>
                <w:rFonts w:hint="eastAsia" w:ascii="宋体" w:hAnsi="宋体" w:eastAsia="宋体" w:cs="宋体"/>
                <w:color w:val="auto"/>
                <w:sz w:val="24"/>
                <w:szCs w:val="24"/>
                <w:highlight w:val="none"/>
              </w:rPr>
              <w:t xml:space="preserve">00mm/min</w:t>
            </w:r>
            <w:r>
              <w:rPr>
                <w:rFonts w:hint="eastAsia" w:ascii="宋体" w:hAnsi="宋体" w:eastAsia="宋体" w:cs="宋体"/>
                <w:color w:val="auto"/>
                <w:sz w:val="24"/>
                <w:szCs w:val="24"/>
                <w:highlight w:val="none"/>
              </w:rPr>
              <w:t xml:space="preserve"> </w:t>
            </w:r>
            <w:r/>
          </w:p>
          <w:p>
            <w:pPr>
              <w:pStyle w:val="958"/>
              <w:numPr>
                <w:ilvl w:val="0"/>
                <w:numId w:val="8"/>
              </w:num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X轴步进电机最大扭矩：≥2.2</w:t>
            </w:r>
            <w:r>
              <w:rPr>
                <w:rFonts w:hint="eastAsia" w:ascii="宋体" w:hAnsi="宋体" w:eastAsia="宋体" w:cs="宋体"/>
                <w:color w:val="auto"/>
                <w:sz w:val="24"/>
                <w:szCs w:val="24"/>
                <w:highlight w:val="none"/>
              </w:rPr>
              <w:t xml:space="preserve">N/m</w:t>
            </w:r>
            <w:r/>
          </w:p>
          <w:p>
            <w:pPr>
              <w:pStyle w:val="958"/>
              <w:numPr>
                <w:ilvl w:val="0"/>
                <w:numId w:val="8"/>
              </w:num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Z轴步进电机最大扭矩：≥2.2</w:t>
            </w:r>
            <w:r>
              <w:rPr>
                <w:rFonts w:hint="eastAsia" w:ascii="宋体" w:hAnsi="宋体" w:eastAsia="宋体" w:cs="宋体"/>
                <w:color w:val="auto"/>
                <w:sz w:val="24"/>
                <w:szCs w:val="24"/>
                <w:highlight w:val="none"/>
              </w:rPr>
              <w:t xml:space="preserve">N/m</w:t>
            </w:r>
            <w:r/>
          </w:p>
          <w:p>
            <w:pPr>
              <w:pStyle w:val="958"/>
              <w:numPr>
                <w:ilvl w:val="0"/>
                <w:numId w:val="8"/>
              </w:num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尾座行程：≥50mm</w:t>
            </w:r>
            <w:r/>
          </w:p>
          <w:p>
            <w:pPr>
              <w:pStyle w:val="958"/>
              <w:numPr>
                <w:ilvl w:val="0"/>
                <w:numId w:val="8"/>
              </w:num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定位精度：≤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0.0</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mm</w:t>
            </w:r>
            <w:r/>
          </w:p>
          <w:p>
            <w:pPr>
              <w:pStyle w:val="958"/>
              <w:numPr>
                <w:ilvl w:val="0"/>
                <w:numId w:val="8"/>
              </w:num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重复定位精度：≤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0.0</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mm</w:t>
            </w:r>
            <w:r/>
          </w:p>
          <w:p>
            <w:pPr>
              <w:pStyle w:val="958"/>
              <w:numPr>
                <w:ilvl w:val="0"/>
                <w:numId w:val="8"/>
              </w:num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刀具回转精度：≤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0.005mm</w:t>
            </w:r>
            <w:r/>
          </w:p>
          <w:p>
            <w:pPr>
              <w:pStyle w:val="958"/>
              <w:numPr>
                <w:ilvl w:val="0"/>
                <w:numId w:val="8"/>
              </w:num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输入电压：AC220V/50Hz</w:t>
            </w:r>
            <w:r/>
          </w:p>
          <w:p>
            <w:pPr>
              <w:pStyle w:val="958"/>
              <w:numPr>
                <w:ilvl w:val="0"/>
                <w:numId w:val="8"/>
              </w:num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净重：≥188.5KG</w:t>
            </w:r>
            <w:r/>
          </w:p>
          <w:p>
            <w:pPr>
              <w:pStyle w:val="958"/>
              <w:numPr>
                <w:ilvl w:val="0"/>
                <w:numId w:val="8"/>
              </w:numPr>
              <w:spacing w:after="0"/>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外型尺寸（长*宽*高）：≥1153×761×1020mm</w:t>
            </w:r>
            <w:r/>
          </w:p>
        </w:tc>
        <w:tc>
          <w:tcPr>
            <w:tcW w:w="949"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jc w:val="center"/>
          <w:trHeight w:val="772"/>
        </w:trPr>
        <w:tc>
          <w:tcPr>
            <w:tcW w:w="91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56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数控铣床</w:t>
            </w:r>
            <w:r/>
          </w:p>
        </w:tc>
        <w:tc>
          <w:tcPr>
            <w:tcW w:w="5727" w:type="dxa"/>
            <w:vAlign w:val="center"/>
            <w:textDirection w:val="lrTb"/>
            <w:noWrap w:val="false"/>
          </w:tcPr>
          <w:p>
            <w:pPr>
              <w:pStyle w:val="958"/>
              <w:numPr>
                <w:ilvl w:val="255"/>
                <w:numId w:val="0"/>
              </w:num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配套工业数控加工系统采用一体式纯平铸铝面板，具备防油防水性能，配备不小于8英寸彩色液晶屏</w:t>
            </w:r>
            <w:r>
              <w:rPr>
                <w:rFonts w:hint="eastAsia" w:ascii="宋体" w:hAnsi="宋体" w:eastAsia="宋体" w:cs="宋体"/>
                <w:color w:val="auto"/>
                <w:sz w:val="24"/>
                <w:szCs w:val="24"/>
                <w:highlight w:val="none"/>
              </w:rPr>
              <w:t xml:space="preserve">，设备运行响应速度快；系统配置4个进给轴、1路模拟主轴，适配钻铣床、加工中心等各类数控加工设备使用；具备先进前瞻预处理功能，最多可预读15段NC程序，实现小线段高速平滑插补，有效提升零件及模具加工精度与加工平顺性；支持通过参数自主设定加减速起始速度、终止速度及加减速时间，手动、手轮操作模式采用后加减速控制方式，手轮运行可灵活切换即停模式与完全运行模式；系统优化升级文件管理与程序编辑功能，支持程序文件快速预览、加工轨迹校验，大幅提升实操编辑与加工调试效率；硬件标配RS485、USB工业通用接口，本地DI/DO</w:t>
            </w:r>
            <w:r>
              <w:rPr>
                <w:rFonts w:hint="eastAsia" w:ascii="宋体" w:hAnsi="宋体" w:eastAsia="宋体" w:cs="宋体"/>
                <w:color w:val="auto"/>
                <w:sz w:val="24"/>
                <w:szCs w:val="24"/>
                <w:highlight w:val="none"/>
              </w:rPr>
              <w:t xml:space="preserve">点位为24/24，可满足通用机床控制使用，同时支持总线模块扩展拓展设备功能；搭载开放式PLC系统，支持梯图实时显示、设备运行状态实时监控及PLC在线编辑调试；程序采用标准ISO代码格式，支持语句式宏代码编程，兼容相对坐标、绝对坐标、极坐标多种编程方式，支持带参数宏程序调用及4级子程序嵌套；具备完善的U盘功能，可实现U盘文件管理操作、U盘DNC在线加工，支持通过U盘完成PLC程序、系统软件升级更新，自带API对接功能，可适配接入定制加工管理系统，整体性能稳定、功能全面，满足数控实训教学与工业加工实操应用需求。</w:t>
            </w:r>
            <w:r/>
          </w:p>
          <w:p>
            <w:pPr>
              <w:pStyle w:val="958"/>
              <w:numPr>
                <w:ilvl w:val="0"/>
                <w:numId w:val="9"/>
              </w:num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X/Y/Z</w:t>
            </w:r>
            <w:r>
              <w:rPr>
                <w:rFonts w:hint="eastAsia" w:ascii="宋体" w:hAnsi="宋体" w:eastAsia="宋体" w:cs="宋体"/>
                <w:color w:val="auto"/>
                <w:sz w:val="24"/>
                <w:szCs w:val="24"/>
                <w:highlight w:val="none"/>
              </w:rPr>
              <w:t xml:space="preserve">轴行程</w:t>
            </w:r>
            <w:r>
              <w:rPr>
                <w:rFonts w:hint="eastAsia" w:ascii="宋体" w:hAnsi="宋体" w:eastAsia="宋体" w:cs="宋体"/>
                <w:color w:val="auto"/>
                <w:sz w:val="24"/>
                <w:szCs w:val="24"/>
                <w:highlight w:val="none"/>
              </w:rPr>
              <w:t xml:space="preserve">：≥300/130/200mm</w:t>
            </w:r>
            <w:r/>
          </w:p>
          <w:p>
            <w:pPr>
              <w:pStyle w:val="958"/>
              <w:numPr>
                <w:ilvl w:val="0"/>
                <w:numId w:val="9"/>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工作台尺寸</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460*110mm</w:t>
            </w:r>
            <w:r/>
          </w:p>
          <w:p>
            <w:pPr>
              <w:pStyle w:val="958"/>
              <w:numPr>
                <w:ilvl w:val="0"/>
                <w:numId w:val="9"/>
              </w:num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最大钻孔直径：≥1</w:t>
            </w:r>
            <w:r>
              <w:rPr>
                <w:rFonts w:hint="eastAsia" w:ascii="宋体" w:hAnsi="宋体" w:eastAsia="宋体" w:cs="宋体"/>
                <w:color w:val="auto"/>
                <w:sz w:val="24"/>
                <w:szCs w:val="24"/>
                <w:highlight w:val="none"/>
              </w:rPr>
              <w:t xml:space="preserve">3mm</w:t>
            </w:r>
            <w:r/>
          </w:p>
          <w:p>
            <w:pPr>
              <w:pStyle w:val="958"/>
              <w:numPr>
                <w:ilvl w:val="0"/>
                <w:numId w:val="9"/>
              </w:num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最大铣削直径</w:t>
            </w:r>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rPr>
              <w:t xml:space="preserve">mm</w:t>
            </w:r>
            <w:r/>
          </w:p>
          <w:p>
            <w:pPr>
              <w:pStyle w:val="958"/>
              <w:numPr>
                <w:ilvl w:val="0"/>
                <w:numId w:val="9"/>
              </w:num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主轴中心到立柱距离</w:t>
            </w: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rPr>
              <w:t xml:space="preserve">0mm</w:t>
            </w:r>
            <w:r/>
          </w:p>
          <w:p>
            <w:pPr>
              <w:pStyle w:val="958"/>
              <w:numPr>
                <w:ilvl w:val="0"/>
                <w:numId w:val="9"/>
              </w:num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主轴端至工作台距离</w:t>
            </w:r>
            <w:r>
              <w:rPr>
                <w:rFonts w:hint="eastAsia" w:ascii="宋体" w:hAnsi="宋体" w:eastAsia="宋体" w:cs="宋体"/>
                <w:color w:val="auto"/>
                <w:sz w:val="24"/>
                <w:szCs w:val="24"/>
                <w:highlight w:val="none"/>
              </w:rPr>
              <w:t xml:space="preserve">：≥70-280</w:t>
            </w:r>
            <w:r>
              <w:rPr>
                <w:rFonts w:hint="eastAsia" w:ascii="宋体" w:hAnsi="宋体" w:eastAsia="宋体" w:cs="宋体"/>
                <w:color w:val="auto"/>
                <w:sz w:val="24"/>
                <w:szCs w:val="24"/>
                <w:highlight w:val="none"/>
              </w:rPr>
              <w:t xml:space="preserve">mm</w:t>
            </w:r>
            <w:r/>
          </w:p>
          <w:p>
            <w:pPr>
              <w:pStyle w:val="958"/>
              <w:numPr>
                <w:ilvl w:val="0"/>
                <w:numId w:val="9"/>
              </w:num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快速移动速度X/Y</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Z轴</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000mm/min</w:t>
            </w:r>
            <w:r/>
          </w:p>
          <w:p>
            <w:pPr>
              <w:pStyle w:val="958"/>
              <w:numPr>
                <w:ilvl w:val="0"/>
                <w:numId w:val="9"/>
              </w:num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主轴转速</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00-3</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00Rpm</w:t>
            </w:r>
            <w:r/>
          </w:p>
          <w:p>
            <w:pPr>
              <w:pStyle w:val="958"/>
              <w:numPr>
                <w:ilvl w:val="0"/>
                <w:numId w:val="9"/>
              </w:num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定位精度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rPr>
              <w:t xml:space="preserve">mm </w:t>
            </w:r>
            <w:r/>
          </w:p>
          <w:p>
            <w:pPr>
              <w:pStyle w:val="958"/>
              <w:numPr>
                <w:ilvl w:val="0"/>
                <w:numId w:val="9"/>
              </w:num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重复定位精度：≤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.01mm</w:t>
            </w:r>
            <w:r/>
          </w:p>
          <w:p>
            <w:pPr>
              <w:pStyle w:val="958"/>
              <w:numPr>
                <w:ilvl w:val="0"/>
                <w:numId w:val="9"/>
              </w:num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闭环步进电机</w:t>
            </w:r>
            <w:r>
              <w:rPr>
                <w:rFonts w:hint="eastAsia" w:ascii="宋体" w:hAnsi="宋体" w:eastAsia="宋体" w:cs="宋体"/>
                <w:color w:val="auto"/>
                <w:sz w:val="24"/>
                <w:szCs w:val="24"/>
                <w:highlight w:val="none"/>
              </w:rPr>
              <w:t xml:space="preserve">额定扭矩</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2.2N/m</w:t>
            </w:r>
            <w:r/>
          </w:p>
          <w:p>
            <w:pPr>
              <w:pStyle w:val="958"/>
              <w:numPr>
                <w:ilvl w:val="0"/>
                <w:numId w:val="9"/>
              </w:num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主轴电机功率：≥1.1KW</w:t>
            </w:r>
            <w:r/>
          </w:p>
          <w:p>
            <w:pPr>
              <w:pStyle w:val="958"/>
              <w:numPr>
                <w:ilvl w:val="0"/>
                <w:numId w:val="9"/>
              </w:num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使用电压</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AC</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20V/50Hz</w:t>
            </w:r>
            <w:r/>
          </w:p>
          <w:p>
            <w:pPr>
              <w:pStyle w:val="958"/>
              <w:numPr>
                <w:ilvl w:val="0"/>
                <w:numId w:val="9"/>
              </w:num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外形尺寸：≥1110×930×1027mm</w:t>
            </w:r>
            <w:r/>
          </w:p>
          <w:p>
            <w:pPr>
              <w:pStyle w:val="958"/>
              <w:numPr>
                <w:ilvl w:val="0"/>
                <w:numId w:val="9"/>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净重：≥160kg</w:t>
            </w:r>
            <w:r/>
          </w:p>
        </w:tc>
        <w:tc>
          <w:tcPr>
            <w:tcW w:w="949"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jc w:val="center"/>
          <w:trHeight w:val="772"/>
        </w:trPr>
        <w:tc>
          <w:tcPr>
            <w:tcW w:w="918" w:type="dxa"/>
            <w:vAlign w:val="center"/>
            <w:vMerge w:val="restart"/>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568" w:type="dxa"/>
            <w:vAlign w:val="center"/>
            <w:vMerge w:val="restart"/>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搬运小车</w:t>
            </w:r>
            <w:r/>
          </w:p>
        </w:tc>
        <w:tc>
          <w:tcPr>
            <w:tcW w:w="5727"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1.行走功能：前进后退</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2.驱动方式：双轮差速</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3.通讯方式：无线通讯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4.整体尺寸：≥400×300×250mm</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5.停车精度：≤±10mm</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6.额定载重：≥2kg</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7.最大速度：≥0.1m/s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8.充电时间：≤2h</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9.续航能力：≥4—6h</w:t>
            </w:r>
            <w:r/>
          </w:p>
        </w:tc>
        <w:tc>
          <w:tcPr>
            <w:tcW w:w="949" w:type="dxa"/>
            <w:vAlign w:val="center"/>
            <w:vMerge w:val="restart"/>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jc w:val="center"/>
          <w:trHeight w:val="591"/>
        </w:trPr>
        <w:tc>
          <w:tcPr>
            <w:tcW w:w="918" w:type="dxa"/>
            <w:vAlign w:val="center"/>
            <w:vMerge w:val="restart"/>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568" w:type="dxa"/>
            <w:vAlign w:val="center"/>
            <w:vMerge w:val="restart"/>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三坐标机器人</w:t>
            </w:r>
            <w:r/>
          </w:p>
        </w:tc>
        <w:tc>
          <w:tcPr>
            <w:tcW w:w="5727"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1.要求模组由驱动电机、皮带、皮带轮、线性导轨、基座、安装平台组成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2.模组X、Y、Z三方向行程分别不低于1000、450、650mm</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3.精度：≤±0.08mm</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4.Y轴负载：≥3kg</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5.配置光电开关或感应片用于精准定位</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6.配置工装夹具，用于工件或托盘夹取上下料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7.配置磁性感应装置，精准反馈夹具的工作情况</w:t>
            </w:r>
            <w:r/>
          </w:p>
        </w:tc>
        <w:tc>
          <w:tcPr>
            <w:tcW w:w="949" w:type="dxa"/>
            <w:vAlign w:val="center"/>
            <w:vMerge w:val="restart"/>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jc w:val="center"/>
          <w:trHeight w:val="771"/>
        </w:trPr>
        <w:tc>
          <w:tcPr>
            <w:tcW w:w="918" w:type="dxa"/>
            <w:vAlign w:val="center"/>
            <w:vMerge w:val="restart"/>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568" w:type="dxa"/>
            <w:vAlign w:val="center"/>
            <w:vMerge w:val="restart"/>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立体仓库</w:t>
            </w:r>
            <w:r/>
          </w:p>
        </w:tc>
        <w:tc>
          <w:tcPr>
            <w:tcW w:w="5727" w:type="dxa"/>
            <w:vAlign w:val="center"/>
            <w:textDirection w:val="lrTb"/>
            <w:noWrap w:val="false"/>
          </w:tcPr>
          <w:p>
            <w:pPr>
              <w:pStyle w:val="958"/>
              <w:numPr>
                <w:ilvl w:val="0"/>
                <w:numId w:val="1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货架由</w:t>
            </w:r>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rPr>
              <w:t xml:space="preserve">型材搭建组成，</w:t>
            </w:r>
            <w:r/>
          </w:p>
          <w:p>
            <w:pPr>
              <w:pStyle w:val="958"/>
              <w:numPr>
                <w:ilvl w:val="0"/>
                <w:numId w:val="1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货架</w:t>
            </w:r>
            <w:r>
              <w:rPr>
                <w:rFonts w:hint="eastAsia" w:ascii="宋体" w:hAnsi="宋体" w:eastAsia="宋体" w:cs="宋体"/>
                <w:color w:val="auto"/>
                <w:sz w:val="24"/>
                <w:szCs w:val="24"/>
                <w:highlight w:val="none"/>
                <w:lang w:val="en-US" w:eastAsia="zh-CN"/>
              </w:rPr>
              <w:t xml:space="preserve">长宽高</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1080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690mm</w:t>
            </w:r>
            <w:r>
              <w:rPr>
                <w:rFonts w:hint="eastAsia" w:ascii="宋体" w:hAnsi="宋体" w:eastAsia="宋体" w:cs="宋体"/>
                <w:color w:val="auto"/>
                <w:sz w:val="24"/>
                <w:szCs w:val="24"/>
                <w:highlight w:val="none"/>
              </w:rPr>
              <w:t xml:space="preserve">，至少</w:t>
            </w:r>
            <w:r>
              <w:rPr>
                <w:rFonts w:hint="eastAsia" w:ascii="宋体" w:hAnsi="宋体" w:eastAsia="宋体" w:cs="宋体"/>
                <w:color w:val="auto"/>
                <w:sz w:val="24"/>
                <w:szCs w:val="24"/>
                <w:highlight w:val="none"/>
              </w:rPr>
              <w:t xml:space="preserve">33</w:t>
            </w:r>
            <w:r>
              <w:rPr>
                <w:rFonts w:hint="eastAsia" w:ascii="宋体" w:hAnsi="宋体" w:eastAsia="宋体" w:cs="宋体"/>
                <w:color w:val="auto"/>
                <w:sz w:val="24"/>
                <w:szCs w:val="24"/>
                <w:highlight w:val="none"/>
              </w:rPr>
              <w:t xml:space="preserve">个库位，每个库位凹形设计。</w:t>
            </w:r>
            <w:r/>
          </w:p>
          <w:p>
            <w:pPr>
              <w:pStyle w:val="958"/>
              <w:numPr>
                <w:ilvl w:val="0"/>
                <w:numId w:val="1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采用三轴联动模组模仿堆垛机进行储存物料，坐标寻址。 </w:t>
            </w:r>
            <w:r/>
          </w:p>
        </w:tc>
        <w:tc>
          <w:tcPr>
            <w:tcW w:w="949" w:type="dxa"/>
            <w:vAlign w:val="center"/>
            <w:vMerge w:val="restart"/>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jc w:val="center"/>
          <w:trHeight w:val="926"/>
        </w:trPr>
        <w:tc>
          <w:tcPr>
            <w:tcW w:w="91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56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数字化生产数据监控平台</w:t>
            </w:r>
            <w:r/>
          </w:p>
        </w:tc>
        <w:tc>
          <w:tcPr>
            <w:tcW w:w="5727"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通信稳定性高：能将自动加工任务、自动转运任务和智能仓储任务等通讯可靠交互，协调整体系统的动作流程，监控产品的生产状态。</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生产数据采集：在生产过程中，采集机床、机器人、物流小车等设备的运行状态、生产参数，同时跟踪智能仓储单元的入库情况，做到生产过程的全方位监控。</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基础信息配置：系统通过“帐号管理”维护用户信息。</w:t>
            </w:r>
            <w:r/>
          </w:p>
        </w:tc>
        <w:tc>
          <w:tcPr>
            <w:tcW w:w="949"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jc w:val="center"/>
        </w:trPr>
        <w:tc>
          <w:tcPr>
            <w:tcW w:w="91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56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产线装调实训平台功能</w:t>
            </w:r>
            <w:r/>
          </w:p>
        </w:tc>
        <w:tc>
          <w:tcPr>
            <w:tcW w:w="5727" w:type="dxa"/>
            <w:vAlign w:val="center"/>
            <w:textDirection w:val="lrTb"/>
            <w:noWrap w:val="false"/>
          </w:tcPr>
          <w:p>
            <w:pPr>
              <w:pStyle w:val="958"/>
              <w:numPr>
                <w:ilvl w:val="0"/>
                <w:numId w:val="11"/>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支持设备整体运行监控、机床设备运行数据监控、工业机器人设备运行数据监控、产品生产型号数据监控、仓储中心实时库位状态监控、小车运行状态和位置监控、可视化面板</w:t>
            </w:r>
            <w:r/>
          </w:p>
          <w:p>
            <w:pPr>
              <w:pStyle w:val="958"/>
              <w:numPr>
                <w:ilvl w:val="0"/>
                <w:numId w:val="11"/>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能完成系统下发生产任务→机器人出料口抓取共件→机器人自动上下料→车床粗加工→铣床精加工→成品经 AGV 运回立体仓库→三轴机器人抓取入库，全工序设备运行、生产数据实时接入数字化监控平台，满足智能制造运维、设备调试、产线流程实训</w:t>
            </w:r>
            <w:r/>
          </w:p>
          <w:p>
            <w:pPr>
              <w:pStyle w:val="958"/>
              <w:numPr>
                <w:ilvl w:val="0"/>
                <w:numId w:val="11"/>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地轨尺寸：≥1500mm</w:t>
            </w:r>
            <w:r/>
          </w:p>
          <w:p>
            <w:pPr>
              <w:pStyle w:val="958"/>
              <w:numPr>
                <w:ilvl w:val="0"/>
                <w:numId w:val="11"/>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平台尺寸：≥3670×1600×2060mm</w:t>
            </w:r>
            <w:r/>
          </w:p>
          <w:p>
            <w:pPr>
              <w:pStyle w:val="958"/>
              <w:numPr>
                <w:ilvl w:val="0"/>
                <w:numId w:val="11"/>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可编程触控屏：≥7寸</w:t>
            </w:r>
            <w:r/>
          </w:p>
          <w:p>
            <w:pPr>
              <w:numPr>
                <w:ilvl w:val="255"/>
                <w:numId w:val="0"/>
              </w:numPr>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4.配套辅助件：夹具、加工件、气动件等。</w:t>
            </w:r>
            <w:r/>
          </w:p>
        </w:tc>
        <w:tc>
          <w:tcPr>
            <w:tcW w:w="949"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jc w:val="center"/>
        </w:trPr>
        <w:tc>
          <w:tcPr>
            <w:tcW w:w="91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56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工业运算</w:t>
            </w:r>
            <w:r>
              <w:rPr>
                <w:rFonts w:hint="eastAsia" w:ascii="宋体" w:hAnsi="宋体" w:eastAsia="宋体" w:cs="宋体"/>
                <w:color w:val="auto"/>
                <w:sz w:val="24"/>
                <w:szCs w:val="24"/>
                <w:highlight w:val="none"/>
              </w:rPr>
              <w:t xml:space="preserve">触控</w:t>
            </w:r>
            <w:r>
              <w:rPr>
                <w:rFonts w:hint="eastAsia" w:ascii="宋体" w:hAnsi="宋体" w:eastAsia="宋体" w:cs="宋体"/>
                <w:color w:val="auto"/>
                <w:sz w:val="24"/>
                <w:szCs w:val="24"/>
                <w:highlight w:val="none"/>
              </w:rPr>
              <w:t xml:space="preserve">终端</w:t>
            </w:r>
            <w:r/>
          </w:p>
        </w:tc>
        <w:tc>
          <w:tcPr>
            <w:tcW w:w="5727" w:type="dxa"/>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工业运算触控终端</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21.5寸，整机采用铝合金耐磨外壳搭配防爆钢化玻璃触控面板，适配实训产线数字化数据监控、现场触控查询、生产信息展示、多媒体信息发布等数字化运维实训场景；设备搭载工业级高性能运算处理器及专用主控芯片组，抗干扰能力强，配备≥4GB高速运行内存、≥120GB高速固态硬盘且支持存储拓展，集成高性能图形显示核心，兼容各类主流工业操作系统与实训运维软件；设备拓展性</w:t>
            </w:r>
            <w:r>
              <w:rPr>
                <w:rFonts w:hint="eastAsia" w:ascii="宋体" w:hAnsi="宋体" w:eastAsia="宋体" w:cs="宋体"/>
                <w:color w:val="auto"/>
                <w:sz w:val="24"/>
                <w:szCs w:val="24"/>
                <w:highlight w:val="none"/>
                <w:lang w:bidi="ar"/>
              </w:rPr>
              <w:t xml:space="preserve">丰富，预留WIFI、MSATA扩展位，板载HDMI、VGA、LVDS等工业常用显示接口并支持上电自启，内置2×5W双声道立体声音频功放，支持红外多点触控且兼容多种触控方式，标配千兆有线网络、支持WIFI无线联网及可选3G/4G全网通接入，支持横竖屏切换、多角度画面旋转显示，预留多路USB外设拓展接口；设备兼容工业级B/S架构运维管理系统，可实现后台远程管控、节目编辑下发、数据同步推送、上电自动循环播放等功能，触控响应灵敏、运行稳定，可满足工业实训场景下的数据运算、设备交互、运维展示、信息发布等全场景使用需求</w:t>
            </w:r>
            <w:r>
              <w:rPr>
                <w:rFonts w:hint="eastAsia" w:ascii="宋体" w:hAnsi="宋体" w:eastAsia="宋体" w:cs="宋体"/>
                <w:color w:val="auto"/>
                <w:sz w:val="24"/>
                <w:szCs w:val="24"/>
                <w:highlight w:val="none"/>
                <w:lang w:bidi="ar"/>
              </w:rPr>
              <w:t xml:space="preserve">。</w:t>
            </w:r>
            <w:r/>
          </w:p>
        </w:tc>
        <w:tc>
          <w:tcPr>
            <w:tcW w:w="949"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29"/>
        <w:ind w:left="425" w:hanging="425"/>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5.</w:t>
      </w:r>
      <w:r>
        <w:rPr>
          <w:rFonts w:hint="eastAsia" w:ascii="宋体" w:hAnsi="宋体" w:eastAsia="宋体" w:cs="宋体"/>
          <w:b/>
          <w:bCs/>
          <w:color w:val="auto"/>
          <w:sz w:val="24"/>
          <w:szCs w:val="21"/>
          <w:highlight w:val="none"/>
        </w:rPr>
        <w:t xml:space="preserve">智能物流产线</w:t>
      </w:r>
      <w:r/>
    </w:p>
    <w:tbl>
      <w:tblPr>
        <w:tblStyle w:val="964"/>
        <w:tblW w:w="91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648"/>
        <w:gridCol w:w="5922"/>
        <w:gridCol w:w="847"/>
      </w:tblGrid>
      <w:tr>
        <w:trPr>
          <w:jc w:val="center"/>
        </w:trPr>
        <w:tc>
          <w:tcPr>
            <w:tcW w:w="75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64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设备名称</w:t>
            </w:r>
            <w:r/>
          </w:p>
        </w:tc>
        <w:tc>
          <w:tcPr>
            <w:tcW w:w="5922"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型号规格</w:t>
            </w:r>
            <w:r/>
          </w:p>
        </w:tc>
        <w:tc>
          <w:tcPr>
            <w:tcW w:w="847"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r>
      <w:tr>
        <w:trPr>
          <w:jc w:val="center"/>
        </w:trPr>
        <w:tc>
          <w:tcPr>
            <w:tcW w:w="75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64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机器人拆/码垛工作站</w:t>
            </w:r>
            <w:r/>
          </w:p>
        </w:tc>
        <w:tc>
          <w:tcPr>
            <w:tcW w:w="592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1.轴数：6轴；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2.工作半径：≥1813mm，额定负载：≥35kg，重复定位精度：≤±0.04mm；</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3.运动范围及速度：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轴：工作范围±178°，最高转速200º/s</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轴：工作范围-98—+158°，最高转速175º/s</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轴：工作范围-178—+78°，最高转速190º/s</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轴：工作范围±400°，最高转速480º/s</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轴：工作范围±120°，最高转速415º/s</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轴：工作范围±500°，最高转速630º/s</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伺服系统数字化平台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（1）支持提供实时数据处理、伺服协议支持、数据传输；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（2）支持控制、检测和分析功能，可实时监控伺服系统性能，支持至少6通道16 kHz、12通道8kHz实时波形数据采集功能,支持同时对机器人至少六个轴运行状态的实时监测。</w:t>
            </w:r>
            <w:r/>
          </w:p>
          <w:p>
            <w:pPr>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5.工业机器人数字化平台：支持机器人整机状态监控、设备姿势实时展示，数据采样分析、设备历史数据查询等功能，可实时监控机器人运行性能、全流程数据透明管控、支持数字化决策。</w:t>
            </w:r>
            <w:r/>
          </w:p>
          <w:p>
            <w:pPr>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6.离线编程平台</w:t>
            </w:r>
            <w:r/>
          </w:p>
          <w:p>
            <w:pPr>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（1）具有语法检测功能，精准识别程序语法错误，即时定位问题位置并解析原因，同步支持指令自动格式化；</w:t>
            </w:r>
            <w:r/>
          </w:p>
          <w:p>
            <w:pPr>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（2）具有指令自动补全功能，提供全部机器人指令提示，支持根据提示补全完整指令；</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ligatures w14:val="standardContextual"/>
              </w:rPr>
              <w:t xml:space="preserve">（3）具有虚拟示教器功能，界面外观及操作方式与真实示教器一致，提供沉浸式交互使用；具备联机模式，可无缝衔接实体机器人联机编程，提供真实的教学演示方式。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7.机器人末端吸盘：</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（1）吸盘类型：大吸力气动吸盘。</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（2）气源要求：0.5-0.8Mpa。</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（3）耗气量：≤400L/min。</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（4）可吸取产品尺寸：长（250-550）mm×宽（200-500）mm×高（150-400）mm。</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（5）可吸取对象：普通纸箱表面，各类光滑表面，各类金属表面。</w:t>
            </w:r>
            <w:r/>
          </w:p>
        </w:tc>
        <w:tc>
          <w:tcPr>
            <w:tcW w:w="847"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jc w:val="center"/>
          <w:trHeight w:val="909"/>
        </w:trPr>
        <w:tc>
          <w:tcPr>
            <w:tcW w:w="75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64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无序抓取3D引导视觉系统</w:t>
            </w:r>
            <w:r/>
          </w:p>
        </w:tc>
        <w:tc>
          <w:tcPr>
            <w:tcW w:w="592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1.推荐工作距离（mm）：1000-2000；</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2.近端视场（mm）：≥800×450@1.0m；</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3.远端视场（mm）：≥1500×890@2.0m；</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4.分辨率：≥1920×1200；</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5.像素数（MP）：≥2.3；</w:t>
            </w:r>
            <w:r/>
          </w:p>
          <w:p>
            <w:pPr>
              <w:rPr>
                <w:rFonts w:hint="eastAsia" w:ascii="宋体" w:hAnsi="宋体" w:eastAsia="宋体" w:cs="宋体"/>
                <w:color w:val="auto"/>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6.标定精度：0.2mm@2.0m；</w:t>
            </w:r>
            <w:r>
              <w:rPr>
                <w:rFonts w:hint="eastAsia" w:ascii="宋体" w:hAnsi="宋体" w:eastAsia="宋体" w:cs="宋体"/>
                <w:color w:val="auto"/>
                <w:sz w:val="24"/>
                <w:highlight w:val="none"/>
              </w:rPr>
              <w:t xml:space="preserve">（投标须提供产品彩页作为证明材料）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7.3D 采集时间（s）：0.3-0.6；</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8.基线长度（mm）：≥270；</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9.外形尺寸（mm）：≤353×57×100；</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10.重量（kg）：≤2.0；</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11.工作温度范围：0-45℃；</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12.通讯接口：以太网；</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13.工作电压：24V DC；</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14.安全和电磁兼容：CE/FCC/VCCI；</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15.防护等级：IP65；</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16.散热：被动散热；</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以太网通讯接口，完全图形化的界面，无需编写代码即可完成拆垛、无序工件上料、免注册货品抓取、涂胶/喷胶、精确定位、缺陷检测、尺寸测量等先进机器视觉应用。内置3D视觉、深度学习等前沿算法模块，可满足复杂、多样的实际需求。（</w:t>
            </w:r>
            <w:r>
              <w:rPr>
                <w:rFonts w:hint="eastAsia" w:ascii="宋体" w:hAnsi="宋体" w:eastAsia="宋体" w:cs="宋体"/>
                <w:color w:val="auto"/>
                <w:sz w:val="24"/>
                <w:highlight w:val="none"/>
              </w:rPr>
              <w:t xml:space="preserve">投标须提供相关软件功能截图作为证明材料</w:t>
            </w:r>
            <w:r>
              <w:rPr>
                <w:rFonts w:hint="eastAsia" w:ascii="宋体" w:hAnsi="宋体" w:eastAsia="宋体" w:cs="宋体"/>
                <w:color w:val="auto"/>
                <w:sz w:val="24"/>
                <w:szCs w:val="24"/>
                <w:highlight w:val="none"/>
              </w:rPr>
              <w:t xml:space="preserve">）</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配套视觉+机器人智能编程环境，可视化、无代码的编程界面，一键仿真。内置轨迹规划、碰撞检测、抓取规划、混码等智能算法，适配国内外众多主流品牌机器人，如ABB、KUKA、FANUC、安川、DENSO、埃夫特、埃斯顿、UR、遨博、艾利特、节卡等。（</w:t>
            </w:r>
            <w:r>
              <w:rPr>
                <w:rFonts w:hint="eastAsia" w:ascii="宋体" w:hAnsi="宋体" w:eastAsia="宋体" w:cs="宋体"/>
                <w:color w:val="auto"/>
                <w:sz w:val="24"/>
                <w:highlight w:val="none"/>
              </w:rPr>
              <w:t xml:space="preserve">投标须提供相关软件功能截图作为证明材料</w:t>
            </w:r>
            <w:r>
              <w:rPr>
                <w:rFonts w:hint="eastAsia" w:ascii="宋体" w:hAnsi="宋体" w:eastAsia="宋体" w:cs="宋体"/>
                <w:color w:val="auto"/>
                <w:sz w:val="24"/>
                <w:szCs w:val="24"/>
                <w:highlight w:val="none"/>
              </w:rPr>
              <w:t xml:space="preserve">）</w:t>
            </w:r>
            <w:r/>
          </w:p>
        </w:tc>
        <w:tc>
          <w:tcPr>
            <w:tcW w:w="847"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jc w:val="center"/>
        </w:trPr>
        <w:tc>
          <w:tcPr>
            <w:tcW w:w="75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64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物流输送线</w:t>
            </w:r>
            <w:r/>
          </w:p>
        </w:tc>
        <w:tc>
          <w:tcPr>
            <w:tcW w:w="592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1.线体宽度≥400mm，带可调护栏；</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2.动力部分采用高性能减速电机，速度0~300mm/s可调；</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3.配备对接各工位传感器及接口；</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4.整体长度≥5米；</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5.带物流电子称，RS232通讯接口，U盘存储功能等;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6.同时包含必要的工装、接驳、剔除机构、气源、安全防护和样品等。</w:t>
            </w:r>
            <w:r/>
          </w:p>
        </w:tc>
        <w:tc>
          <w:tcPr>
            <w:tcW w:w="847"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jc w:val="center"/>
        </w:trPr>
        <w:tc>
          <w:tcPr>
            <w:tcW w:w="75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64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在线读码系统</w:t>
            </w:r>
            <w:r/>
          </w:p>
        </w:tc>
        <w:tc>
          <w:tcPr>
            <w:tcW w:w="592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1.读码系统搭配多款型号的外接一体化光源，结合高性能的解码算法，支持视野内多码制和多条码的高速不间断识别，可应对物流场景中的各类畸变、褶皱、脏污、破损等复杂情况；</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2.分辨率：≥1600×1200；</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3.读取最大帧率：≥40fps；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4.通讯协议：以太网和RS232；</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5.IP防护等级：≥IP65。</w:t>
            </w:r>
            <w:r/>
          </w:p>
        </w:tc>
        <w:tc>
          <w:tcPr>
            <w:tcW w:w="847"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jc w:val="center"/>
        </w:trPr>
        <w:tc>
          <w:tcPr>
            <w:tcW w:w="75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64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2D视觉定位系统</w:t>
            </w:r>
            <w:r/>
          </w:p>
        </w:tc>
        <w:tc>
          <w:tcPr>
            <w:tcW w:w="592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1.工业相机：配套不小于500万像素黑白相机，全局快门，靶面尺寸≥2/3英寸，帧率≥24fps，支持自动曝光、手动曝光、一键曝光模式，支持PoE供电；</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2.工业镜头：焦距≥16mm，分辨率≥6M，适配相机靶面尺寸≥2/3英寸，光圈范围F2.8-F16，最小工作距离≤200mm；</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3.工业光源：高性能无影照明光源并配套24V数字式光源控制器，支持串口和网口通讯协议；</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机器视觉软件：图形化编程、拖拽编程，支持常见品牌的PLC、运动控制卡和工业机器人，至少包含60多个常用图像工具，可提供深度学习、AOI等多种高级算子，提供API，支持二次开发，支持多项目同步运行，支持多用户模式，支持远程客户端通讯，能够实现识别、定位、测量、检测等各种视觉应用。</w:t>
            </w:r>
            <w:r/>
          </w:p>
        </w:tc>
        <w:tc>
          <w:tcPr>
            <w:tcW w:w="847"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jc w:val="center"/>
        </w:trPr>
        <w:tc>
          <w:tcPr>
            <w:tcW w:w="75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64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体积测量系统</w:t>
            </w:r>
            <w:r>
              <w:rPr>
                <w:rFonts w:hint="eastAsia" w:ascii="宋体" w:hAnsi="宋体" w:eastAsia="宋体" w:cs="宋体"/>
                <w:color w:val="auto"/>
                <w:sz w:val="24"/>
                <w:szCs w:val="24"/>
                <w:highlight w:val="none"/>
              </w:rPr>
              <w:t xml:space="preserve">图像处理工作站</w:t>
            </w:r>
            <w:r/>
          </w:p>
        </w:tc>
        <w:tc>
          <w:tcPr>
            <w:tcW w:w="5922"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1.传感器类型：一体式智能线激光轮廓传感器，内置测量工具，无需外部控制器及编程。</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2.分辨率及精度：轮廓点数≥640点/轮廓，X方向分辨率0.75~2.20mm，Z方向重复精度≤12µm。</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3.光学指标：净距离≥350mm，测量范围≥800mm，视野（FOV）≥390mm（近端）至1260mm（远端）。</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4.扫描速度：扫描速率170~5000Hz可调，支持编码器触发同步。</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5.通讯与防护：采用GigE接口，IP67防护等级，适应0~50°C工业环境。</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6.集成特性：支持Web浏览器配置，提供开源SDK，兼容多传感器组网及PLC通讯协议。</w:t>
            </w:r>
            <w:r/>
          </w:p>
        </w:tc>
        <w:tc>
          <w:tcPr>
            <w:tcW w:w="847"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jc w:val="center"/>
        </w:trPr>
        <w:tc>
          <w:tcPr>
            <w:tcW w:w="75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64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工业视觉运算终端</w:t>
            </w:r>
            <w:r/>
          </w:p>
        </w:tc>
        <w:tc>
          <w:tcPr>
            <w:tcW w:w="592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专为智能制造、机器视觉、机器人运动仿真、产线虚拟调试等实训场景设计，硬件配置不低于：</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1.处理器：酷睿i5</w:t>
            </w:r>
            <w:r>
              <w:rPr>
                <w:rFonts w:hint="eastAsia" w:ascii="宋体" w:hAnsi="宋体" w:cs="宋体"/>
                <w:color w:val="auto"/>
                <w:sz w:val="24"/>
                <w:szCs w:val="24"/>
                <w:highlight w:val="none"/>
                <w:lang w:val="en-US" w:eastAsia="zh-CN"/>
              </w:rPr>
              <w:t xml:space="preserve">同级别</w:t>
            </w:r>
            <w:r>
              <w:rPr>
                <w:rFonts w:hint="eastAsia" w:ascii="宋体" w:hAnsi="宋体" w:eastAsia="宋体" w:cs="宋体"/>
                <w:color w:val="auto"/>
                <w:sz w:val="24"/>
                <w:szCs w:val="24"/>
                <w:highlight w:val="none"/>
              </w:rPr>
              <w:t xml:space="preserve">及以上性能处理器；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2.内存：16GB 及以上；</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3.高速固态硬盘：256GB及以上；</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4.独立图形显卡：6GB及以上显存，满足视觉算法运算需求；</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5.配套高清显示器：23.8英寸及以上，满足仿真界面可视化调试展示需求。</w:t>
            </w:r>
            <w:r/>
          </w:p>
        </w:tc>
        <w:tc>
          <w:tcPr>
            <w:tcW w:w="847"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64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叉取式AGV</w:t>
            </w:r>
            <w:r/>
          </w:p>
        </w:tc>
        <w:tc>
          <w:tcPr>
            <w:tcW w:w="592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1.额定负载：≥700kg；</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2.车体尺寸：≤1750（H）×1000(W)×2050mm(D)（长×宽×高）；</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3.货叉上表面最大离地高度：≥3000mm；</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4.货叉上表面最小离地高度：≥90mm；</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5.最大行驶速度空载前进：≥1.35m/s；</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6.最大行驶速度满载前进：≥1.2m/s；</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7.最大提升速度空载：≥120mm/s；</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8.最大提升速度满载：≥90mm/s；</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9.爬坡能力空载：≥5%；</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10.爬坡能力满载：≥3%；</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11.重复定位精度：≤±10mm/±1°；</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12.栈板识别精度：≤±10mm；</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13.安全防护：标配安全触边、急停开关、声光警报和激光避障；</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14.激光传感器：顶部导航激光×1+避障激光×2；</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15.电池类型：磷酸铁锂电池；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16.电池寿命：≥1500次循环；</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17.满载运行时间：≥8h；</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18.充电时长：≤2h；</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19.充电方式：自动/手动；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20.网络通讯：IEEE802.11a/b/g/n/ac；</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21.AGV充电桩：</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（1）外观尺寸：≤640mm(H)×744mm(W)×392mm(D)；</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（2）输入电压：AC220V±15%；</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（3）额定输出功率：≥2.4kW；</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（4）额定输出电流：≥50A；</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（5）充电保护：短路、过流、过压、反接、电流倒灌保护；</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（6）冷却方式：风扇冷却；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（7）使用环境：室内；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（8）工作温度：≥0~40℃；</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（9）最大伸出行程：≥150mm；</w:t>
            </w:r>
            <w:r/>
          </w:p>
        </w:tc>
        <w:tc>
          <w:tcPr>
            <w:tcW w:w="847"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jc w:val="center"/>
        </w:trPr>
        <w:tc>
          <w:tcPr>
            <w:tcW w:w="75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64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物流调度系统</w:t>
            </w:r>
            <w:r/>
          </w:p>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92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1.调度系统路径规划，能根据当前AGV的所在位置以及站点所在位置对AGV进行最优路径规划。</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2.现场设备信号采集与动作控制，需与现场设备进行信息交互，达到指定位置或完成指定动作需发送信号控制现场设备完成对应动作。</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3.调度系统的任务信息需与MES系统对接，并向MES系统汇报。</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4.任务修改或取消，任务尚未开始，系统可以修改和取消任务并下发新任务。</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5.设备监控，对AGV运行状态及任务状态进行监控，并有历史任务信息，工作日志等。</w:t>
            </w:r>
            <w:r/>
          </w:p>
        </w:tc>
        <w:tc>
          <w:tcPr>
            <w:tcW w:w="847"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jc w:val="center"/>
        </w:trPr>
        <w:tc>
          <w:tcPr>
            <w:tcW w:w="75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64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货架仓储</w:t>
            </w:r>
            <w:r/>
          </w:p>
        </w:tc>
        <w:tc>
          <w:tcPr>
            <w:tcW w:w="592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1.未分拣包裹与已分拣包裹分区域放置。</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2.货架总宫格≥24个。</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3.宫格尺寸（长*宽*高）：≥800mm*800mm*600mm。</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4.单个仓位承重≥10kg每一仓位配套限位装置并具有空位检测传感器。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5.货架可以与地面固定。</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6.物料托盘：≥800×800mm（长×宽）；</w:t>
            </w:r>
            <w:r/>
          </w:p>
        </w:tc>
        <w:tc>
          <w:tcPr>
            <w:tcW w:w="847"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jc w:val="center"/>
          <w:trHeight w:val="90"/>
        </w:trPr>
        <w:tc>
          <w:tcPr>
            <w:tcW w:w="75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64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主控台</w:t>
            </w:r>
            <w:r/>
          </w:p>
        </w:tc>
        <w:tc>
          <w:tcPr>
            <w:tcW w:w="592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1.中控台布局合理，符合人体功能学，采用钣金喷漆，尺寸不小于1250mm宽，桌面高度750~800mm，总高度不高于1600mm（不含报警灯高度）。</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2.电控柜布线严谨，具有漏电保护，安全符合国家标准。</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智能制造实训主控服务器</w:t>
            </w:r>
            <w:r>
              <w:rPr>
                <w:rFonts w:hint="eastAsia" w:ascii="宋体" w:hAnsi="宋体" w:eastAsia="宋体" w:cs="宋体"/>
                <w:color w:val="auto"/>
                <w:sz w:val="24"/>
                <w:szCs w:val="24"/>
                <w:highlight w:val="none"/>
              </w:rPr>
              <w:t xml:space="preserve">：</w:t>
            </w:r>
            <w:r/>
          </w:p>
          <w:p>
            <w:pPr>
              <w:jc w:val="left"/>
              <w:spacing w:line="288"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专为工业机器人产线、PLC 仿真系统、产线虚拟调试、多终端数据交互等实训场景设计，硬件配置不低于：</w:t>
            </w:r>
            <w:r/>
          </w:p>
          <w:p>
            <w:pPr>
              <w:numPr>
                <w:ilvl w:val="0"/>
                <w:numId w:val="12"/>
              </w:numPr>
              <w:jc w:val="left"/>
              <w:spacing w:line="288"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处理器：性能不低于 12 代酷睿 i7 级别的工业级运算处理器；</w:t>
            </w:r>
            <w:r/>
          </w:p>
          <w:p>
            <w:pPr>
              <w:numPr>
                <w:ilvl w:val="0"/>
                <w:numId w:val="12"/>
              </w:numPr>
              <w:jc w:val="left"/>
              <w:spacing w:line="288"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内存：32GB 及以上，满足多任务并行运算与实训系统稳定运行；</w:t>
            </w:r>
            <w:r/>
          </w:p>
          <w:p>
            <w:pPr>
              <w:numPr>
                <w:ilvl w:val="0"/>
                <w:numId w:val="12"/>
              </w:numPr>
              <w:jc w:val="left"/>
              <w:spacing w:line="288"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存储配置：256GB 及以上高速固态硬盘 + 2TB 及以上机械硬盘，保障系统响应与实训数据存储；</w:t>
            </w:r>
            <w:r/>
          </w:p>
          <w:p>
            <w:pPr>
              <w:numPr>
                <w:ilvl w:val="0"/>
                <w:numId w:val="12"/>
              </w:numPr>
              <w:jc w:val="left"/>
              <w:spacing w:line="288"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独立图形显卡：8GB 及以上显存，支持三维产线仿真、机器视觉运算与多终端数据同步渲染；</w:t>
            </w:r>
            <w:r/>
          </w:p>
          <w:p>
            <w:pPr>
              <w:numPr>
                <w:ilvl w:val="0"/>
                <w:numId w:val="12"/>
              </w:numPr>
              <w:jc w:val="left"/>
              <w:spacing w:line="288"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网络接口：配备 2 个及以上千兆以太网接口，支持多设备、多终端的网络数据交互；</w:t>
            </w:r>
            <w:r/>
          </w:p>
          <w:p>
            <w:pPr>
              <w:numPr>
                <w:ilvl w:val="0"/>
                <w:numId w:val="12"/>
              </w:numPr>
              <w:jc w:val="left"/>
              <w:spacing w:line="288"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扩展能力：预留不少于 2 个 PCI 扩展插槽，可适配工业控制卡、数据采集卡等实训扩展模块；</w:t>
            </w:r>
            <w:r/>
          </w:p>
          <w:p>
            <w:pPr>
              <w:numPr>
                <w:ilvl w:val="0"/>
                <w:numId w:val="12"/>
              </w:numPr>
              <w:jc w:val="left"/>
              <w:spacing w:line="288"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配套高清显示器：</w:t>
            </w:r>
            <w:r>
              <w:rPr>
                <w:rFonts w:hint="eastAsia" w:ascii="宋体" w:hAnsi="宋体" w:eastAsia="宋体" w:cs="宋体"/>
                <w:color w:val="auto"/>
                <w:sz w:val="24"/>
                <w:szCs w:val="24"/>
                <w:highlight w:val="none"/>
              </w:rPr>
              <w:t xml:space="preserve">23.8</w:t>
            </w:r>
            <w:r>
              <w:rPr>
                <w:rFonts w:hint="eastAsia" w:ascii="宋体" w:hAnsi="宋体" w:eastAsia="宋体" w:cs="宋体"/>
                <w:color w:val="auto"/>
                <w:sz w:val="24"/>
                <w:szCs w:val="24"/>
                <w:highlight w:val="none"/>
              </w:rPr>
              <w:t xml:space="preserve">英寸及以上，满足主控台系统监控、产线状态显示与调试操作需求。</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▲4.提供智能物流产线整体3D效果图及2D布局图。（</w:t>
            </w:r>
            <w:r>
              <w:rPr>
                <w:rFonts w:hint="eastAsia" w:ascii="宋体" w:hAnsi="宋体" w:eastAsia="宋体" w:cs="宋体"/>
                <w:color w:val="auto"/>
                <w:sz w:val="24"/>
                <w:highlight w:val="none"/>
              </w:rPr>
              <w:t xml:space="preserve">投标须提供智能物流产线整体3D效果图及2D布局图作为证明材料</w:t>
            </w:r>
            <w:r>
              <w:rPr>
                <w:rFonts w:hint="eastAsia" w:ascii="宋体" w:hAnsi="宋体" w:eastAsia="宋体" w:cs="宋体"/>
                <w:color w:val="auto"/>
                <w:sz w:val="24"/>
                <w:szCs w:val="24"/>
                <w:highlight w:val="none"/>
              </w:rPr>
              <w:t xml:space="preserve">）</w:t>
            </w:r>
            <w:r/>
          </w:p>
        </w:tc>
        <w:tc>
          <w:tcPr>
            <w:tcW w:w="847"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jc w:val="center"/>
        </w:trPr>
        <w:tc>
          <w:tcPr>
            <w:tcW w:w="75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64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可视化大屏</w:t>
            </w:r>
            <w:r/>
          </w:p>
        </w:tc>
        <w:tc>
          <w:tcPr>
            <w:tcW w:w="592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1.可视化大屏分辨率≥4K，屏幕尺寸≥86寸，</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2.分辨率：≥3840×2160；</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3.响应时间：≤8ms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4.刷新率：≥60Hz；</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5.触控面板：3.0mm AG 钢化玻璃</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6.触摸技术：红外触控</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7.触摸点数：≥20点</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8.运行内存：≥4G</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9.机身内存：≥32G</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10.带落地安装支架</w:t>
            </w:r>
            <w:r/>
          </w:p>
        </w:tc>
        <w:tc>
          <w:tcPr>
            <w:tcW w:w="847"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jc w:val="center"/>
        </w:trPr>
        <w:tc>
          <w:tcPr>
            <w:tcW w:w="75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64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MES软件</w:t>
            </w:r>
            <w:r/>
          </w:p>
        </w:tc>
        <w:tc>
          <w:tcPr>
            <w:tcW w:w="592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▲1.MES系统包含工艺管理、生产管理、质量管理、预警管理、报表中心、设备管理、系统管理和数据大屏等功能。（</w:t>
            </w:r>
            <w:r>
              <w:rPr>
                <w:rFonts w:hint="eastAsia" w:ascii="宋体" w:hAnsi="宋体" w:eastAsia="宋体" w:cs="宋体"/>
                <w:color w:val="auto"/>
                <w:sz w:val="24"/>
                <w:highlight w:val="none"/>
              </w:rPr>
              <w:t xml:space="preserve">投标须提供相关软件功能截图作为证明材料</w:t>
            </w:r>
            <w:r>
              <w:rPr>
                <w:rFonts w:hint="eastAsia" w:ascii="宋体" w:hAnsi="宋体" w:eastAsia="宋体" w:cs="宋体"/>
                <w:color w:val="auto"/>
                <w:sz w:val="24"/>
                <w:szCs w:val="24"/>
                <w:highlight w:val="none"/>
              </w:rPr>
              <w:t xml:space="preserve">）</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2.工艺管理包含有产品信息、生产工艺、生产工序、工艺流程和工艺路线等内容。系统中可以同时存在多个工艺流程和路线。</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3.生产管理包含订单管理、生产流程、工单管理、生产计划等内容。根据生产需求自定生产工序。支持浏览、查询、编辑生产计划。并与工艺信息等选择关联。</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4.质量管理包含检测项目、质量计划、质量监控、质量分析、质量文件等内容。可实时采集生产过程中的质量数据。对采集到的质量数据进行监控和分析，以实时报告产品质量状况。</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5.预警管理包含设备预警、库存预警、生产预警等内容，能够进行物料状态、设备状态监控与数据采集、设备异常报警、设备维修保养记录。</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6.报表中心包含产量报表、质量报表、生产报表等内容。可以自动生产不同时段的生产信息报表、检测信息记录不合格品及故障信息记录等生产报表和质量分析报表等。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7.设备管理包含设备、工站、设备点检、点检单、设备维修、维修单等内容。包含机床、3D打印机、机器人、AGV、智能立库等硬件设备或多设备组成的工站信息的管理。</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8.系统管理包含用户信息、账号管理、部门管理、角色管理、登录日志、操作日志等内容。</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9.数据大屏用于数字化看板管理、基于数据的分析报表支持、各类定制化报表和看板、报表数据库与生产数据库分离，提高运行效率。</w:t>
            </w:r>
            <w:r/>
          </w:p>
        </w:tc>
        <w:tc>
          <w:tcPr>
            <w:tcW w:w="847"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jc w:val="center"/>
        </w:trPr>
        <w:tc>
          <w:tcPr>
            <w:tcW w:w="75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64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产线孪生系统</w:t>
            </w:r>
            <w:r/>
          </w:p>
        </w:tc>
        <w:tc>
          <w:tcPr>
            <w:tcW w:w="592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（一）产线快速搭建与运动仿真功能：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1.三维建模软件接口功能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与CAD、SolidWorks、UG、3DMAX等制图软件对接，支持dxf、dwg、wrl、skp、iam、dae、stl、blend、fbx、3ds、obj、gltf、glb、step、stl、ply等常见三维模型格式文件导入。</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2.装备自定义泛化封装功能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具有装备泛化封装功能，用户可将其个性化的设备封装成数字孪生体模型，供后续构建虚拟仿真工程复用。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（1）支持设备模型外形参数化定义，包括模型的长宽高外观尺寸参数化变形、模型线性克隆阵列、旋转克隆阵列等。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（2）具有模型运动动作方式快速定义功能，通过操作配置即可实现模型运动部件的主从关系、运动方式及行程范围的快速定义，运动方式包括：平移、旋转、平移协同、旋转协同等。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机构运动行为创建功能，支持创建驱动器行为和运动学行为。驱动器包括：单轴驱动器、多轴驱动器、轨迹驱动器。运动学包括：二轴、三轴、四轴等多轴机构、Scara机器人、并联机器人等的逆运动学算法组件，支持不同种类的机械手快速封装。</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有功能组件库，依托该功能组件库可快速定义出各种特定功能效果，组件包括通用组件（工件发生器组件、工件销毁器组件、包围盒夹具、射线夹具、相机组件、多连杆组件）、电线绘制组件（画笔组件、点胶或焊缝增材组件）、传感器组件（体积传感器组件、射线传感器组件）、物理学功能组件（直筒传送带、圆弧传送带、刚体）。</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（5）具有刚体功能组件，支持定义刚体的特性，包括质量、摩擦力、弹力等。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（6）模型的控制信号定义，信号类型包括boolean、string、float、int、byte、double、long、short等控制器常用类型。</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（7）具有装备脚本编制功能，采用Java语言进行脚本编制，实现对控制信号的触发进行响应，平台内嵌代码编辑器和编译器，可实现编写脚本后立马调试。</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提供程序块控件，通过拖拽控件无需编程即可快速实现设备控制逻辑及时序定义。常用可视化控件指令包括：If、Switch、While、Call、Delay、Parallel、SetSignal、Wait等，此外，机器人控件指令包括：PTP、LIN、CIRC、ROT、SETBASE、SETTOOL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提供可视化信号面板，实现模型信号的关联控制。信号面板将模型的信号与其他模型或通迅配置进行关联（连接），实现模型间的各种功能和动作的关联控制。信号和信号之间通过拖拽连线进行关联和数据传递。</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3.模型库功能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（1）内置有立方体、球体、圆柱、传感器、文字、直线皮带/滚筒输送机、曲线皮带/滚筒输送机等基础模型。</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（2）模型库中预置了丰富的模型组件，包含主流品牌机器人（ABB、KUKA、Fanuc、YASKAWA、Nachi 等，埃斯顿、埃夫特、遨博、广数、华数、汇川、珞石等）、输送机、AGV、通用机床、立体仓库、高密度四向穿立库、控制器、视觉相机、传感器等。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（3）支持自定义模型库（新建、删除），支持自定义的设备/单元封装的数字孪生模型以组件的形式形成组件库，支持组件复用。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（4）模型库内置模型支持模型属性参数化，如滚筒输送机改变长度时，滚筒数量也会自动增加或减少。</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（5）模型库中的模型可直接拖拉拽进入场景中，快速完机器人工作站、生产系统方案搭建。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4.模型编辑与交互功能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（1）具有模型原点修改功能：可直接修改模型原点值，也可基于特征拾取模型特征，快速精准将模型原点调整到该特征位置。</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（2）支持模型位姿修改：三维场景中的模型，通过鼠键配合实现模型位姿任意值或固定幅度值修改。</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（3）活动部件交互操作：启动交互模式后，可以通过鼠标操作活动部件在设定的运动方式和行程范围内任意移动，便于用户确定该活动部件的运动行为、行程和作业示教。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5.三维场景交互功能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（1）支持场景交互操作，通过键鼠实现场景移动、放缩、旋转、360度漫游查看等。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（2）场景视角管理：支持场景视角添加、删除。选择保存后的视角缩略图，3D场景可以快速切换到对应视角。</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（3）聚焦模型功能，鼠标双击场景模型或者点选聚焦模型按钮，以鼠标指针为中心，视角迅速聚焦该区域，便于模型迅速定位。</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6.智能产线快速布局搭建功能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（1）支持用户拖拉拽模型库中的设备模型进入三维场景中，通过移动、旋转、编辑、装配等系类等操作，进行方案快速布局搭建。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（2）具有捕捉（特征探测）功能：基于三维模型几何拓扑特征的解析和识别方法，可识别模型的点线面、中心、三角网格中心、圆心、轴心等特征。</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（3）具有模型测距功能，便于装配和布局搭建：具有基于特征拾取的两点之间距离测量功能，可测量两点之间的直线距离值和X/Y/Z方向分量的距离值，测距结果在三维场景中标注显示。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（4）精准装配功能：基于智能捕捉两个部件的点线面特征，部件与部件之间自动靠接、自动吸附对齐，无需手动进行位置调整，实现精准装配。</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7.运动仿真功能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近物理仿真功能：支持包括但不限于物理碰撞检测、摩擦力、重力、速度、加速度、惯性等近物理仿真。虚拟设备运动仿真时，能充分考虑工件、设备的物理场特性，以及可能发生物理碰撞检测，包括碰撞、滑动、掉落地上等物理现象。</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（2）虚拟设备运行过程中，能呈现金属切削过程实时减材效果、焊接过程实时增材效果、喷涂作业过程工件实时着色效果。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（3）虚拟场景中，能呈现出布或铝箔等连续材质在设备上流转的流动效果。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（二）机器人模块：</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（1）支持导入自定义的机器人模型。</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（2）支持多类型（Scara、DELTA、五轴、六轴、三轴、并联等）机器人运动学参数自定义，包含正解、逆解、直线和圆弧插补，速度规划等。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（3）支持多关节联动控制。</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（4）支持机器人离线示教功能，能够对机器人末端工具进行托拉拽，并对目标点进行点位信息进行纪录，实现点位的离线拖动示教。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具有机器人示教面板，面板中具有离线示教模式（末端位姿拖动/捕捉）切换功能、移动模式（世界坐标/工具坐标/基坐标）切换功能、关节角度拖动调整功能、复位至初始姿态功能、以及对齐至坐标系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（6）具有丰富的机器人指令：具有PTP、LIN、CIRC、ROT、SETBASE、SETTOOL等指令进行点到点、直线、曲线等多种机器人轨迹规划。</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具有机器人程序编辑功能，具有子控制程序创建、复制、删除和保存编译功能。通过控件式的指令块免代码编辑机器人程序。点选指令块机器人能联动切换到对应的位姿。机器人运行过程中，对应执行的程序块能够实时高亮显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（8）具有机器人末端轨迹划线功能，便于校验规划的合理性。</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（三）虚拟调试功能：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（1）数据通讯与控制模块</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1）支持客户端、服务端、中间件多种模式进行数据通讯。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2）支持IOT、信息系统通信传值。</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3）支持多种协议进行数据通信，包括但不限于：S7、Modbus、Socket-Client、Socket-Server、Robotstudio等。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4）支持外部PLC、机器人控制器对虚拟场景模型进行虚拟控制，实现半物理仿真效果。</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（2）电控程序虚拟调试</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与西门子PLC、汇川PLC、三菱PLC交互数据，实现PLC程序驱动的虚拟模型运动仿真，通过分析判断虚拟设备运动动作及加工工艺过程是否符合设计要求，反向验证PLC控制程序逻辑和时序的正确性、合理性和完备性，实现脱离实物设备，即可完成PLC程序的调试验证。</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（四）数字孪生虚实映射功能：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（1）逼真的材质渲染效果和模型材质编辑功能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1）三维场景采用PBR渲染，虚拟模型具有包括但不限金属、塑料、铝合金、抛光等逼真材质效果。</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模型材质编辑功能，具有软件的材质编辑器，通过材质编辑实现虚拟设备在外观形态上与实物一致。PBR材质编辑支持基础色、金属度、粗糙度、基础色贴图、法线贴图、金属贴图、粗糙度贴图、金属粗糙度贴图、发光贴图、高度贴图、高度差、AO贴图等编辑设置。</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（2）具有虚实互控和统计分析数据看板功能：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集设备的启停、状态、实时位姿、任务信息、库位信息、货物ID等实时数据，孪生系统通过数据挖掘和数据处理（过滤、刷选、归类、标识、结构化存储等），将现场数据转化为触发事件，驱动虚拟模型（包括设备和在制品）低延时、高流畅性运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2）具有前端UI看板集成开发功能，实现个性化看板：用户开发的前端UI看板可直接嵌入到3D场景中，呈现设备利用率、产能、库存等统计指标。</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（五）智能制造使能技术数字孪生实训功能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软件集成了PLC仿真、机器人仿真、视觉相机仿真、产线和仓储仿真等功能。提供用户自主建模与自主布局功能，并开放底层接口，支持用户二次开发，是智能制造综合实训平台，并提供了丰富的教学资源。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（1）PLC应用编程实训</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1）支持西门子、三菱、汇川等多种品牌PLC实训。</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2）系统支持与PLC进行多种数据通讯及交互：满足常用PLC数据格式读取和写入，包括bool，short，int，long，float，byte，unit，long，double。</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3）支持针对PLC指定地址进行定时读取，用户可以自定义读取间隔。</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4）支持PLC数据的批量信息读取，用户可以自定义读取地址及长度。</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具有多种运行模式：支持托管式运行模式，采用仿真动画的形式将设备的加工运行过程进行展示。支持基于软PLC技术的纯软件实操模式。支持基于硬件在环技术的半实物控制模式，控制器是实物PLC，控制对象是虚拟场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（2）工业机器人操作与编程实训</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1）具有丰富的机器人库（scara、五轴、六轴等），同时也支持自定义封装机器人模型，支持多类型机器人实训。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2）离线拖动示教功能，能够对机器人末端工具进行托拉拽，并对目标点进行点位信息进行纪录，实现点位的离线拖动示教。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3）多机器人协同作业实训：支持多种类型机器人，如直角机器人、SCARA机器人、4轴串联机器人、6轴串联机器人，每台机器人都有独立的运动控制器，分别编程，独立运行。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4）碰撞检测功能：场景中的模型对象具有碰撞检测功能，当机构发生干涉碰撞时，干涉部件通过颜色变化标示出来。</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5）机器人轨迹线功能：具有机器人TCP轨迹线功能，可控制轨迹线显示与隐藏。</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6）货物精准拾取与放置：拾取货物时，学生编程驱动的机器人运动不到位（精度±1mm范围），工件拾取不成功。放置货物时，学生编程驱动的机器人运动放置的位置偏离目标的裕度范围，工件会跌落到地面。</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具有多种运行模式：支持离线演示运行模式，采用仿真动画的形式将设备的加工运行过程进行展示。支持基于虚拟示教器的纯软件实操模式。支持基于硬件在环技术的半实物控制模式，示教器是手持式实物示教器，控制对象是虚拟场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（3）机器视觉实训</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相机功能组件：支持在虚拟场景中以特定视角拍摄场景，并支持拍摄结果在三维场景中的虚拟显示器上实时展示，支持拍摄结果以文件、编码的形式与视觉软件实时交互。相机组件可设置图像宽度、图像高度、相机视野、近裁切面、远裁切面等参数。</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2）还原真实环境：虚拟相机模拟打光、拍照。产品或工件形态、特征变化模拟。</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3）仿真场景中的虚拟相机，能与外部机器视觉软件实时数据交换，实现对虚拟工件的在线视觉检测。机器视觉软件与虚拟机器人总线通讯，把工件坐标传给虚拟机器人，引导虚拟机器人抓取工件。</w:t>
            </w:r>
            <w:r/>
          </w:p>
        </w:tc>
        <w:tc>
          <w:tcPr>
            <w:tcW w:w="847"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jc w:val="center"/>
        </w:trPr>
        <w:tc>
          <w:tcPr>
            <w:tcW w:w="75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64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样品和工具包</w:t>
            </w:r>
            <w:r/>
          </w:p>
        </w:tc>
        <w:tc>
          <w:tcPr>
            <w:tcW w:w="592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多种尺寸纸箱，物流单，打印机，工具箱等</w:t>
            </w:r>
            <w:r/>
          </w:p>
        </w:tc>
        <w:tc>
          <w:tcPr>
            <w:tcW w:w="847"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spacing w:line="560" w:lineRule="exact"/>
        <w:rPr>
          <w:rFonts w:hint="eastAsia" w:ascii="宋体" w:hAnsi="宋体" w:eastAsia="宋体" w:cs="宋体"/>
          <w:b/>
          <w:color w:val="ff0000"/>
          <w:sz w:val="24"/>
          <w:szCs w:val="24"/>
          <w:highlight w:val="none"/>
        </w:rPr>
      </w:pPr>
      <w:r>
        <w:rPr>
          <w:rFonts w:hint="eastAsia" w:ascii="宋体" w:hAnsi="宋体" w:eastAsia="宋体" w:cs="宋体"/>
          <w:b/>
          <w:color w:val="ff0000"/>
          <w:sz w:val="24"/>
          <w:szCs w:val="24"/>
          <w:highlight w:val="none"/>
        </w:rPr>
        <w:t xml:space="preserve">★</w:t>
      </w:r>
      <w:r>
        <w:rPr>
          <w:rFonts w:hint="eastAsia" w:ascii="宋体" w:hAnsi="宋体" w:eastAsia="宋体" w:cs="宋体"/>
          <w:b/>
          <w:color w:val="ff0000"/>
          <w:sz w:val="24"/>
          <w:szCs w:val="24"/>
          <w:highlight w:val="none"/>
        </w:rPr>
        <w:t xml:space="preserve">1、</w:t>
      </w:r>
      <w:r>
        <w:rPr>
          <w:rFonts w:hint="eastAsia" w:ascii="宋体" w:hAnsi="宋体" w:eastAsia="宋体" w:cs="宋体"/>
          <w:b/>
          <w:color w:val="ff0000"/>
          <w:sz w:val="24"/>
          <w:szCs w:val="24"/>
          <w:highlight w:val="none"/>
        </w:rPr>
        <w:t xml:space="preserve">本项目</w:t>
      </w:r>
      <w:r>
        <w:rPr>
          <w:rFonts w:hint="eastAsia" w:ascii="宋体" w:hAnsi="宋体" w:eastAsia="宋体" w:cs="宋体"/>
          <w:b/>
          <w:color w:val="ff0000"/>
          <w:sz w:val="24"/>
          <w:szCs w:val="24"/>
          <w:highlight w:val="none"/>
        </w:rPr>
        <w:t xml:space="preserve">核心产品</w:t>
      </w:r>
      <w:r>
        <w:rPr>
          <w:rFonts w:hint="eastAsia" w:ascii="宋体" w:hAnsi="宋体" w:eastAsia="宋体" w:cs="宋体"/>
          <w:b/>
          <w:color w:val="ff0000"/>
          <w:sz w:val="24"/>
          <w:szCs w:val="24"/>
          <w:highlight w:val="none"/>
        </w:rPr>
        <w:t xml:space="preserve">：</w:t>
      </w:r>
      <w:r>
        <w:rPr>
          <w:rFonts w:hint="eastAsia" w:ascii="宋体" w:hAnsi="宋体" w:eastAsia="宋体" w:cs="宋体"/>
          <w:b/>
          <w:bCs/>
          <w:color w:val="ff0000"/>
          <w:sz w:val="24"/>
          <w:highlight w:val="none"/>
          <w:u w:val="single"/>
          <w:lang w:bidi="ar"/>
        </w:rPr>
        <w:t xml:space="preserve">智能物流产线</w:t>
      </w:r>
      <w:r>
        <w:rPr>
          <w:rFonts w:hint="eastAsia" w:ascii="宋体" w:hAnsi="宋体" w:eastAsia="宋体" w:cs="宋体"/>
          <w:b/>
          <w:color w:val="ff0000"/>
          <w:sz w:val="24"/>
          <w:szCs w:val="24"/>
          <w:highlight w:val="none"/>
        </w:rPr>
        <w:t xml:space="preserve">，</w:t>
      </w:r>
      <w:r>
        <w:rPr>
          <w:rFonts w:hint="eastAsia" w:ascii="宋体" w:hAnsi="宋体" w:eastAsia="宋体" w:cs="宋体"/>
          <w:b/>
          <w:color w:val="ff0000"/>
          <w:sz w:val="24"/>
          <w:szCs w:val="24"/>
          <w:highlight w:val="none"/>
        </w:rPr>
        <w:t xml:space="preserve">核心产品必须在投标文件中标明所投产品品牌、型号和产地，不满足此要求的按无效标处理。</w:t>
      </w:r>
      <w:r/>
    </w:p>
    <w:p>
      <w:pPr>
        <w:ind w:firstLine="482"/>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2"/>
          <w:highlight w:val="none"/>
        </w:rPr>
        <w:t xml:space="preserve">★</w:t>
      </w:r>
      <w:r>
        <w:rPr>
          <w:rFonts w:hint="eastAsia" w:ascii="宋体" w:hAnsi="宋体" w:eastAsia="宋体" w:cs="宋体"/>
          <w:b/>
          <w:color w:val="auto"/>
          <w:sz w:val="24"/>
          <w:szCs w:val="24"/>
          <w:highlight w:val="none"/>
        </w:rPr>
        <w:t xml:space="preserve">2、对照财库〔2019〕9号、财库〔2019〕19号文件规定，属于强制采购产品的，投标人应提供国家市场监督管理局确定的列入“参与实施政府采购节能产品认证机构名录”内的认证机构出具的、有效期内的该产品的节能产品认证证书电子件，不满足以上要求的按无效标处理。</w:t>
      </w:r>
      <w:r/>
    </w:p>
    <w:p>
      <w:pPr>
        <w:pStyle w:val="1276"/>
        <w:ind w:firstLine="482"/>
        <w:spacing w:line="500" w:lineRule="exact"/>
        <w:widowControl/>
        <w:rPr>
          <w:rStyle w:val="1148"/>
          <w:rFonts w:hint="eastAsia" w:ascii="宋体" w:hAnsi="宋体" w:eastAsia="宋体" w:cs="宋体"/>
          <w:b/>
          <w:color w:val="auto"/>
          <w:sz w:val="24"/>
          <w:szCs w:val="24"/>
          <w:highlight w:val="none"/>
        </w:rPr>
      </w:pPr>
      <w:r>
        <w:rPr>
          <w:rStyle w:val="1148"/>
          <w:rFonts w:hint="eastAsia" w:ascii="宋体" w:hAnsi="宋体" w:eastAsia="宋体" w:cs="宋体"/>
          <w:b/>
          <w:color w:val="auto"/>
          <w:sz w:val="24"/>
          <w:szCs w:val="24"/>
          <w:highlight w:val="none"/>
        </w:rPr>
        <w:t xml:space="preserve">五、项目实施要求</w:t>
      </w:r>
      <w:r/>
    </w:p>
    <w:p>
      <w:pPr>
        <w:ind w:firstLine="480"/>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（一）设计方案：投标人须通过自主现场踏勘，或联系采购人获取现场图片、空间尺寸等相关数据资料，根据项目采购需求和采购人要求完成三维效果图设计，三维效果图应符合现场实际情况及采购人要求。</w:t>
      </w:r>
      <w:r/>
    </w:p>
    <w:p>
      <w:pPr>
        <w:ind w:firstLine="480"/>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（二）实施方案：投标人应在投标文件中提供</w:t>
      </w:r>
      <w:r>
        <w:rPr>
          <w:rFonts w:hint="eastAsia" w:ascii="宋体" w:hAnsi="宋体" w:eastAsia="宋体" w:cs="宋体"/>
          <w:bCs/>
          <w:color w:val="auto"/>
          <w:sz w:val="24"/>
          <w:szCs w:val="24"/>
          <w:highlight w:val="none"/>
        </w:rPr>
        <w:t xml:space="preserve">针对本项目的</w:t>
      </w:r>
      <w:r>
        <w:rPr>
          <w:rFonts w:hint="eastAsia" w:ascii="宋体" w:hAnsi="宋体" w:eastAsia="宋体" w:cs="宋体"/>
          <w:color w:val="auto"/>
          <w:sz w:val="24"/>
          <w:szCs w:val="24"/>
          <w:highlight w:val="none"/>
        </w:rPr>
        <w:t xml:space="preserve">实施方案，包括质量保证方案、进度安排、</w:t>
      </w:r>
      <w:r>
        <w:rPr>
          <w:rFonts w:hint="eastAsia" w:ascii="宋体" w:hAnsi="宋体" w:eastAsia="宋体" w:cs="宋体"/>
          <w:bCs/>
          <w:color w:val="auto"/>
          <w:sz w:val="24"/>
          <w:szCs w:val="24"/>
          <w:highlight w:val="none"/>
        </w:rPr>
        <w:t xml:space="preserve">货物的包装和运输</w:t>
      </w:r>
      <w:r>
        <w:rPr>
          <w:rFonts w:hint="eastAsia" w:ascii="宋体" w:hAnsi="宋体" w:eastAsia="宋体" w:cs="宋体"/>
          <w:color w:val="auto"/>
          <w:sz w:val="24"/>
          <w:szCs w:val="24"/>
          <w:highlight w:val="none"/>
        </w:rPr>
        <w:t xml:space="preserve">、现场管理、安全及环境保护要求和</w:t>
      </w:r>
      <w:r>
        <w:rPr>
          <w:rFonts w:hint="eastAsia" w:ascii="宋体" w:hAnsi="宋体" w:eastAsia="宋体" w:cs="宋体"/>
          <w:color w:val="auto"/>
          <w:sz w:val="24"/>
          <w:highlight w:val="none"/>
        </w:rPr>
        <w:t xml:space="preserve">突发事件处置方案</w:t>
      </w:r>
      <w:r>
        <w:rPr>
          <w:rFonts w:hint="eastAsia" w:ascii="宋体" w:hAnsi="宋体" w:eastAsia="宋体" w:cs="宋体"/>
          <w:color w:val="auto"/>
          <w:sz w:val="24"/>
          <w:szCs w:val="24"/>
          <w:highlight w:val="none"/>
        </w:rPr>
        <w:t xml:space="preserve">等。</w:t>
      </w:r>
      <w:r/>
    </w:p>
    <w:p>
      <w:pPr>
        <w:ind w:firstLine="480"/>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1、质量保障措施要求：投标人应在投标文件中提出详细的产品生产质量管理计划，计划应包含生产车间安全管理、质量控制措施、出厂检验标准以及测试程序。</w:t>
      </w:r>
      <w:r/>
    </w:p>
    <w:p>
      <w:pPr>
        <w:ind w:firstLine="480"/>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2、进度安排要求：投标文件中需包含一份详尽的项目进度计划，有明确的时间节点和进度安排，展示项目各阶段的起止时间、关键过程等，且要充分考虑暑期暴雨及酷暑影响，避免影响工期。</w:t>
      </w:r>
      <w:r/>
    </w:p>
    <w:p>
      <w:pPr>
        <w:ind w:firstLine="480"/>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货物的包装和运输</w:t>
      </w:r>
      <w:r>
        <w:rPr>
          <w:rFonts w:hint="eastAsia" w:ascii="宋体" w:hAnsi="宋体" w:eastAsia="宋体" w:cs="宋体"/>
          <w:color w:val="auto"/>
          <w:sz w:val="24"/>
          <w:szCs w:val="24"/>
          <w:highlight w:val="none"/>
        </w:rPr>
        <w:t xml:space="preserve">：a.中标投标人在设备出厂前，应提供明细的设备清单交由采购人进行确认，包含设备名称、详细规格、材质、颜色等内容，由采购人确认后，方可进行供货；b.产品必须是正规厂家新品，不得以次充好；c. 中标人负责货物的包装、保险、运输至业主指定的交货地点。零散及易损件需用木箱包装，确保防盗、防震、防潮、防破损、运输方式确定，并且由于运输造成的设备损坏，丢失均由中标人负责处理；d. 中标人负责货物装卸车、就位、组装、调试等工作，保证交给采购人货物的完好性。</w:t>
      </w:r>
      <w:r/>
    </w:p>
    <w:p>
      <w:pPr>
        <w:ind w:firstLine="480"/>
        <w:jc w:val="left"/>
        <w:spacing w:line="48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4、现场管理要求：描述现场管理策略，包括安全生产措施、环境保护措施以及日常现场管理流程等，以及现场安装人员管理要求，进校施工的人员必须严格遵守学院规章制度，自觉接受检查，无证人员一律不得进入安装现场，在规定的区域施工，未经批准不得进入其他区域。</w:t>
      </w:r>
      <w:r/>
    </w:p>
    <w:p>
      <w:pPr>
        <w:ind w:firstLine="480"/>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5、安全及环境保护要求：加强安全管理，对现场安全负完全责任；负责送货、安装、调试现场安全管理、环境保护管理，项目实施过程中产生的包装等废弃垃圾搬运至招标人指定地点并清扫现场。</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突发事件处置要求：投标人应充分考虑履约过程可能遇到的各种突发情况，有针对性地制订预防措施，需在投标文件中进行注意阐述，并建立一个明确的沟通框架，包括定期回访、问题解决机制及变更管理流程。</w:t>
      </w:r>
      <w:r/>
    </w:p>
    <w:p>
      <w:pPr>
        <w:pStyle w:val="1276"/>
        <w:ind w:firstLine="482"/>
        <w:spacing w:line="500" w:lineRule="exact"/>
        <w:widowControl/>
        <w:rPr>
          <w:rStyle w:val="1148"/>
          <w:rFonts w:hint="eastAsia" w:ascii="宋体" w:hAnsi="宋体" w:eastAsia="宋体" w:cs="宋体"/>
          <w:b/>
          <w:color w:val="auto"/>
          <w:sz w:val="24"/>
          <w:szCs w:val="24"/>
          <w:highlight w:val="none"/>
        </w:rPr>
      </w:pPr>
      <w:r>
        <w:rPr>
          <w:rStyle w:val="1148"/>
          <w:rFonts w:hint="eastAsia" w:ascii="宋体" w:hAnsi="宋体" w:eastAsia="宋体" w:cs="宋体"/>
          <w:b/>
          <w:color w:val="auto"/>
          <w:sz w:val="24"/>
          <w:szCs w:val="24"/>
          <w:highlight w:val="none"/>
        </w:rPr>
        <w:t xml:space="preserve">六、培训要求</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（1）培训内容：投标人须派有设备操作、管理、维护经验的工程师，对设备的使用、操作、维护、故障排除等进行免费培训，以确保采购人能够对设备有足够的了解，能够独立进行日常操作、管理和维护。</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（2）培训时间及人数：提供不低于2次培训服务，每次培训不低于10人次，每次不少于4小时。</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（3）培训地点：由采购人指定，包括但不限于使用单位内。</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培训方法及目标：中标人要详细制定详细的培训计划。要求根据用户的实际工作通过分角色、分流程、分系统进行全面培训，使各岗位相关人员（设备管理员、技术人员等）全面熟练掌握与自己工作相关的设备应用，确保日常工作的顺利完成。</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（5）中标人应向接受培训人员提供技术资料、图纸、参考文献材料等。</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（6）所有的培训费用包括差旅、食宿、教材、资料费用等由投标人负责，均计入投标报价中。</w:t>
      </w:r>
      <w:r/>
    </w:p>
    <w:p>
      <w:pPr>
        <w:ind w:firstLine="480"/>
        <w:spacing w:line="480" w:lineRule="exact"/>
        <w:rPr>
          <w:rStyle w:val="114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（7）投标人根据以上要求提供培训方案，内容包含周全的培训内容、培训时间、培训地点、培训目标、培训人数、培训方法和培训师资等。</w:t>
      </w:r>
      <w:r/>
    </w:p>
    <w:p>
      <w:pPr>
        <w:ind w:firstLine="482"/>
        <w:spacing w:line="460" w:lineRule="exact"/>
        <w:rPr>
          <w:rFonts w:hint="eastAsia" w:ascii="宋体" w:hAnsi="宋体" w:eastAsia="宋体" w:cs="宋体"/>
          <w:b/>
          <w:bCs/>
          <w:color w:val="auto"/>
          <w:sz w:val="24"/>
          <w:szCs w:val="24"/>
          <w:highlight w:val="none"/>
        </w:rPr>
      </w:pPr>
      <w:r/>
      <w:bookmarkStart w:id="226" w:name="_Hlk187855282"/>
      <w:r>
        <w:rPr>
          <w:rFonts w:hint="eastAsia" w:ascii="宋体" w:hAnsi="宋体" w:eastAsia="宋体" w:cs="宋体"/>
          <w:b/>
          <w:bCs/>
          <w:color w:val="auto"/>
          <w:sz w:val="24"/>
          <w:szCs w:val="24"/>
          <w:highlight w:val="none"/>
        </w:rPr>
        <w:t xml:space="preserve">七、项目验收要求</w:t>
      </w:r>
      <w:bookmarkEnd w:id="226"/>
      <w:r/>
      <w:r/>
    </w:p>
    <w:p>
      <w:pPr>
        <w:ind w:firstLine="480"/>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在发货前，乙方应对货物的质量、规格、性能、数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ind w:firstLine="480"/>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货物交付后，在安装前应仔细检查货物自身无缺陷后方可安装，如果存在货物破损、自身材质、规格等质量缺陷，甲方有权要求将货物退场，由此引起的一切后果由乙方承担。</w:t>
      </w:r>
      <w:r/>
    </w:p>
    <w:p>
      <w:pPr>
        <w:ind w:firstLine="480"/>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货物进场后乙方继续负责看管工作，如因看管不善所造成的一切损失均由乙方承担；设备进场后乙方应准备好相关初步验收资料，验收内容包括：产地、货号、规格、数量、外观质量及设备是否完好。甲方应按签订采购合同约定时间组织验收，并出具书面初步验收报告。</w:t>
      </w:r>
      <w:r/>
    </w:p>
    <w:p>
      <w:pPr>
        <w:ind w:firstLine="480"/>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乙方货物全部进场安装调试，并向甲方提供相关初步验收资料。验收前，如需要随机抽样送第三方检测（检测费用由乙方支付），检测完成并经乙方初验合格后，甲方组织验收并出具验收报告。如果设备的质量、规格与合同规定不符，或在质量保证期内发现货物有缺陷的（包括潜在缺陷或使用不符合要求的材料），甲方应报请法定检验机构进行检测（检测费由乙方承担），有权凭其出具的检验报告向乙方提出索赔。</w:t>
      </w:r>
      <w:r/>
    </w:p>
    <w:p>
      <w:pPr>
        <w:ind w:firstLine="480"/>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甲方依法组织履约验收工作。</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甲方在组织履约验收时，乙方应根据验收方案内容做好相应配合工作。履约验收方案如下：</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履约验收主体：甲方成立验收小组，验收小组由单位纪检人员、技术人员等三人以上组成。必要时，可以从政府采购评审专家库中随机抽取专业评委。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履约验收时间：合同签订后7日历天内安装并调试完成，乙方向甲方提交项目验收技术资料以及验收申请单，甲方收到申请后3个工作日内组织验收并按照合同约定以及投标文件中的产品技术标准进行验收无问题后签署验收单。</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3）履约验收方式：根据项目特点，现场组织进行验收。</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4）履约验收程序：按甲方要求。</w:t>
      </w:r>
      <w:r/>
    </w:p>
    <w:p>
      <w:pPr>
        <w:ind w:firstLine="480"/>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5）履约验收标准：满足采购需求、采购文件要求且与投标文件内容一致。</w:t>
      </w:r>
      <w:r/>
    </w:p>
    <w:p>
      <w:pPr>
        <w:ind w:firstLine="480"/>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rPr>
        <w:t xml:space="preserve">如有必要，甲方邀请参加本项目的其他投标人或第三方专业机构及专家参与验收，相关意见将作为验收书的参考资料。</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8、采购人在验收中，如发现有与合同规定不符的，应在3天内向中标人提出书面意见，不签发验收单，并同时将该书面意见提交相关部门。中标人在接到采购人书面意见后，应在5天内予以整改完成。</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rPr>
        <w:t xml:space="preserve">验收合格的项目，甲方将根据采购合同的约定及时向乙方支付采购资金。验收不合格的项目，甲方将依法及时处理。采购合同的履行、违约责任和解决争议的方式等适用《中华人民共和国民法典》。乙方在履约过程中有政府采购法律法规规定的违法违规情形的，甲方应当及时报告本级财政部门。</w:t>
      </w:r>
      <w:r/>
    </w:p>
    <w:p>
      <w:pPr>
        <w:pStyle w:val="1276"/>
        <w:ind w:firstLine="482"/>
        <w:spacing w:line="500" w:lineRule="exact"/>
        <w:widowControl/>
        <w:rPr>
          <w:rStyle w:val="1148"/>
          <w:rFonts w:hint="eastAsia" w:ascii="宋体" w:hAnsi="宋体" w:eastAsia="宋体" w:cs="宋体"/>
          <w:b/>
          <w:color w:val="auto"/>
          <w:sz w:val="24"/>
          <w:szCs w:val="24"/>
          <w:highlight w:val="none"/>
        </w:rPr>
      </w:pPr>
      <w:r>
        <w:rPr>
          <w:rStyle w:val="1148"/>
          <w:rFonts w:hint="eastAsia" w:ascii="宋体" w:hAnsi="宋体" w:eastAsia="宋体" w:cs="宋体"/>
          <w:b/>
          <w:color w:val="auto"/>
          <w:sz w:val="24"/>
          <w:szCs w:val="24"/>
          <w:highlight w:val="none"/>
        </w:rPr>
        <w:t xml:space="preserve">八、售后服务要求</w:t>
      </w:r>
      <w:r/>
    </w:p>
    <w:p>
      <w:pPr>
        <w:ind w:firstLine="480"/>
        <w:spacing w:line="460" w:lineRule="exact"/>
        <w:rPr>
          <w:rFonts w:hint="eastAsia" w:ascii="宋体" w:hAnsi="宋体" w:eastAsia="宋体" w:cs="宋体"/>
          <w:bCs/>
          <w:color w:val="auto"/>
          <w:sz w:val="24"/>
          <w:szCs w:val="24"/>
          <w:highlight w:val="none"/>
        </w:rPr>
      </w:pPr>
      <w:r/>
      <w:bookmarkStart w:id="227" w:name="_Toc120614281"/>
      <w:r>
        <w:rPr>
          <w:rFonts w:hint="eastAsia" w:ascii="宋体" w:hAnsi="宋体" w:eastAsia="宋体" w:cs="宋体"/>
          <w:bCs/>
          <w:color w:val="auto"/>
          <w:sz w:val="24"/>
          <w:szCs w:val="24"/>
          <w:highlight w:val="none"/>
        </w:rPr>
        <w:t xml:space="preserve">投标人针对本项目提供的售后服务方案，内容包含但不限于服务范围、售后人员配备情况、响应时间，以及售后服务期满后主要产品、配件优惠方案等。</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1、服务范围：投标人对所售出的产品实行三包：</w:t>
      </w:r>
      <w:r>
        <w:rPr>
          <w:rFonts w:hint="eastAsia" w:ascii="宋体" w:hAnsi="宋体" w:eastAsia="宋体" w:cs="宋体"/>
          <w:b/>
          <w:bCs/>
          <w:color w:val="auto"/>
          <w:sz w:val="24"/>
          <w:szCs w:val="24"/>
          <w:highlight w:val="none"/>
        </w:rPr>
        <w:t xml:space="preserve">售后服务期为三年</w:t>
      </w:r>
      <w:r>
        <w:rPr>
          <w:rFonts w:hint="eastAsia" w:ascii="宋体" w:hAnsi="宋体" w:eastAsia="宋体" w:cs="宋体"/>
          <w:bCs/>
          <w:color w:val="auto"/>
          <w:sz w:val="24"/>
          <w:szCs w:val="24"/>
          <w:highlight w:val="none"/>
        </w:rPr>
        <w:t xml:space="preserve">（自项目验收合格之日起计算），即产品在正常使用情况下发生质量问题时，投标人应按采购人的要求，负责对产品实行包修、包换、包退。售后服务期内为采购人提供维修、保养、同质备件及替换等，采购人不承担任何费用，投标人保证设备维保期内有效运行，售后服务期内为客户排除软硬件故障，与原厂商的服务结合起来，使客户方系统得到更好的维护与支持。</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2、售后人员配备情况：本项目的售后服务方式均为投标人上门售后，即由投标人派技术人员到采购单位使用现场维修，由此产生的一切费用均由投标人承担。</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响应时间：投标人应严格按照标书的有关规定提供合格商品，保证货物为全新未使用的原装正品，货物上均有合格证，包括品牌的有关标志；一旦发生质量问题，投标人在接到采购人通知的2小时内快速响应服务，派人到达现场处理设备故障和问题，6小时内解决问题，排除故障恢复运行。并为采购人提供每周7天、每天24小时售后技术支持和服务。另根据设备的具体情况，对其进行至少每季度一次的维护服务。如投标人在接到通知工作日的24小时内没有答复或处理问题，则视为投标人承认质量问题并承担由此而发生的一切费用。</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4、售后服务期满后主要产品、配件优惠方案：售后服务期结束后，投标人应当提供售后服务，收取费用不得高于其他服务客户的费用。</w:t>
      </w:r>
      <w:r/>
    </w:p>
    <w:p>
      <w:pPr>
        <w:pStyle w:val="940"/>
        <w:ind w:firstLine="48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color w:val="auto"/>
          <w:sz w:val="24"/>
          <w:szCs w:val="24"/>
          <w:highlight w:val="none"/>
        </w:rPr>
        <w:t xml:space="preserve">投标人须保障本项目 41 台实训终端可同时合法正版使用</w:t>
      </w:r>
      <w:r>
        <w:rPr>
          <w:rFonts w:hint="eastAsia" w:ascii="宋体" w:hAnsi="宋体" w:eastAsia="宋体" w:cs="宋体"/>
          <w:color w:val="auto"/>
          <w:sz w:val="24"/>
          <w:szCs w:val="24"/>
          <w:highlight w:val="none"/>
        </w:rPr>
        <w:t xml:space="preserve">六轴工业机器人编程应用实训平台中</w:t>
      </w:r>
      <w:r>
        <w:rPr>
          <w:rFonts w:hint="eastAsia" w:ascii="宋体" w:hAnsi="宋体" w:eastAsia="宋体" w:cs="宋体"/>
          <w:color w:val="auto"/>
          <w:sz w:val="24"/>
          <w:szCs w:val="24"/>
          <w:highlight w:val="none"/>
        </w:rPr>
        <w:t xml:space="preserve">约定的</w:t>
      </w:r>
      <w:r>
        <w:rPr>
          <w:rFonts w:hint="eastAsia" w:ascii="宋体" w:hAnsi="宋体" w:eastAsia="宋体" w:cs="宋体"/>
          <w:color w:val="auto"/>
          <w:sz w:val="24"/>
          <w:szCs w:val="24"/>
          <w:highlight w:val="none"/>
        </w:rPr>
        <w:t xml:space="preserve">机器</w:t>
      </w:r>
      <w:r>
        <w:rPr>
          <w:rFonts w:hint="eastAsia" w:ascii="宋体" w:hAnsi="宋体" w:eastAsia="宋体" w:cs="宋体"/>
          <w:color w:val="auto"/>
          <w:sz w:val="24"/>
          <w:szCs w:val="24"/>
          <w:highlight w:val="none"/>
        </w:rPr>
        <w:t xml:space="preserve">视觉软件，采用原厂正规授权（硬件加密狗 / 软件授权码 / 浮动网络授权任选其一）；同步配套建设 1 套六轴机器人拆装认知示教平台，配备分体式机器人零部件及示教配套装置，满足拆装实训、结构认知、基础示教教学需求。</w:t>
      </w:r>
      <w:r/>
    </w:p>
    <w:p>
      <w:pPr>
        <w:ind w:firstLine="482"/>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九、商品包装环保要求</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1）商品包装层数不得超过3层，空隙率不大于40%； </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2）商品包装尽可能使用单一材质的包装材料，如因功能需求必须使用不同材质，不同材质间应便于分离； </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3）商品包装中铅、汞、镉、六价铬的总含量应不大于100mg/kg； </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4）商品包装印刷使用的油墨中挥发性有机化合物（VOCs） 含量应不大于5%（以重量计）； </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5）塑料材质商品包装上呈现的印刷颜色不得超过6色； </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6）纸质商品包装应使用 75%以上的可再生纤维原料生产； </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7）木质商品包装的原料应来源于可持续性森林。 </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注：检测方法 1.商品包装中重金属（铅、汞、镉、六价铬）总量的检 测按照 GB/T 10004-2008《包装用塑料复合膜、袋干法复合、 挤出复合》规定的方法进行。 2.商品包装印刷使用的油墨中挥发性有机化合物（VOCs） 的检测按照 GB/T 23986-2009《色漆和清漆 挥发性有机化合 物（VOC）含量的测定 气相色谱法》规定的方法。</w:t>
      </w:r>
      <w:r/>
    </w:p>
    <w:p>
      <w:pPr>
        <w:ind w:firstLine="482"/>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十、快递包装环保要求</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1）快递包装中重金属（铅、汞、镉、六价铬）总量应不大于100mg/kg；</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2）快递包装印刷使用的油墨中不应添加邻苯二甲酸酯，其挥发性有机化合物（VOCs）含量应不大于5%（以重量计）；</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3）快递包装中使用纸基材的包装材料，纸基材中的有机氯的含量应不大于150 mg/kg；</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5）快递中使用的塑料包装袋不得使用聚氯乙烯作为原料，且原料应为单一材质制成，生物分解率大于60%；</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6）快递中使用的充气类填充物不得使用聚氯乙烯作为原料，且原料为单一材质制成，生物分解率大于60%；</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7）快递中使用的集装袋应为单一材质制成，其重复使用次数应不小于80 次；</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8）快递中应使用幅宽不大于45mm 的生物降解胶带；</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9）快递包装中不得使用溶剂型胶粘剂；</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10）快递应使用电子面单；</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11）直接使用商品包装作为快递包装的商品，其商品包装满足《商品包装政府采购需求标准（试行）》即可；</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12）快递包装产品质量和封装方式应符合相关国家或行业标准技术指标要求。</w:t>
      </w:r>
      <w:r/>
    </w:p>
    <w:p>
      <w:pPr>
        <w:pStyle w:val="1138"/>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br w:type="page" w:clear="all"/>
      </w:r>
      <w:r/>
    </w:p>
    <w:p>
      <w:pPr>
        <w:pStyle w:val="1138"/>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t xml:space="preserve">第五章  </w:t>
      </w:r>
      <w:r>
        <w:rPr>
          <w:rFonts w:hint="eastAsia" w:ascii="宋体" w:hAnsi="宋体" w:eastAsia="宋体" w:cs="宋体"/>
          <w:b/>
          <w:bCs/>
          <w:color w:val="auto"/>
          <w:sz w:val="44"/>
          <w:highlight w:val="none"/>
        </w:rPr>
        <w:t xml:space="preserve">评标方法与评标标准</w:t>
      </w:r>
      <w:r/>
    </w:p>
    <w:p>
      <w:pPr>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8"/>
          <w:szCs w:val="22"/>
          <w:highlight w:val="none"/>
        </w:rPr>
        <w:t xml:space="preserve">一、资格审查。</w:t>
      </w:r>
      <w:r>
        <w:rPr>
          <w:rFonts w:hint="eastAsia" w:ascii="宋体" w:hAnsi="宋体" w:eastAsia="宋体" w:cs="宋体"/>
          <w:color w:val="auto"/>
          <w:sz w:val="24"/>
          <w:highlight w:val="none"/>
        </w:rPr>
        <w:t xml:space="preserve">资格审查人员按照下列指标对各投标人的资格进行审查，未通过审查的为无效标，不参与评标。</w:t>
      </w:r>
      <w:r/>
    </w:p>
    <w:tbl>
      <w:tblPr>
        <w:tblStyle w:val="939"/>
        <w:tblW w:w="8993" w:type="dxa"/>
        <w:tblInd w:w="-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4496"/>
        <w:gridCol w:w="4497"/>
      </w:tblGrid>
      <w:tr>
        <w:trPr/>
        <w:tc>
          <w:tcPr>
            <w:tcW w:w="44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资格审查因素</w:t>
            </w:r>
            <w:r/>
          </w:p>
        </w:tc>
        <w:tc>
          <w:tcPr>
            <w:tcW w:w="449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审查标准</w:t>
            </w:r>
            <w:r/>
          </w:p>
        </w:tc>
      </w:tr>
      <w:tr>
        <w:trPr/>
        <w:tc>
          <w:tcPr>
            <w:tcW w:w="4496"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投标声明及承诺函</w:t>
            </w:r>
            <w:r/>
          </w:p>
        </w:tc>
        <w:tc>
          <w:tcPr>
            <w:tcW w:w="4497"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tcW w:w="4496"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w:t>
            </w:r>
            <w:r/>
          </w:p>
        </w:tc>
        <w:tc>
          <w:tcPr>
            <w:tcW w:w="4497"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bl>
    <w:p>
      <w:pPr>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8"/>
          <w:szCs w:val="22"/>
          <w:highlight w:val="none"/>
        </w:rPr>
        <w:t xml:space="preserve">二、符合性审查。</w:t>
      </w:r>
      <w:r>
        <w:rPr>
          <w:rFonts w:hint="eastAsia" w:ascii="宋体" w:hAnsi="宋体" w:eastAsia="宋体" w:cs="宋体"/>
          <w:color w:val="auto"/>
          <w:sz w:val="24"/>
          <w:highlight w:val="none"/>
        </w:rPr>
        <w:t xml:space="preserve">评标委员会首先按照下列指标对各投标人的投标文件进行符合性审查，未通过审查的为无效标，不再参与评审。</w:t>
      </w:r>
      <w:r/>
    </w:p>
    <w:tbl>
      <w:tblPr>
        <w:tblStyle w:val="939"/>
        <w:tblW w:w="8987" w:type="dxa"/>
        <w:tblInd w:w="-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4492"/>
        <w:gridCol w:w="4495"/>
      </w:tblGrid>
      <w:tr>
        <w:trPr/>
        <w:tc>
          <w:tcPr>
            <w:tcW w:w="44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符合性审查因素</w:t>
            </w:r>
            <w:r/>
          </w:p>
        </w:tc>
        <w:tc>
          <w:tcPr>
            <w:tcW w:w="449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审查标准</w:t>
            </w:r>
            <w:r/>
          </w:p>
        </w:tc>
      </w:tr>
      <w:tr>
        <w:trPr/>
        <w:tc>
          <w:tcPr>
            <w:tcW w:w="449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法人授权书</w:t>
            </w:r>
            <w:r/>
          </w:p>
        </w:tc>
        <w:tc>
          <w:tcPr>
            <w:tcW w:w="449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tcW w:w="449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开标一览表及投标报价</w:t>
            </w:r>
            <w:r/>
          </w:p>
        </w:tc>
        <w:tc>
          <w:tcPr>
            <w:tcW w:w="449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符合招标文件规定</w:t>
            </w:r>
            <w:r/>
          </w:p>
        </w:tc>
      </w:tr>
      <w:tr>
        <w:trPr/>
        <w:tc>
          <w:tcPr>
            <w:tcW w:w="449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技术标准和要求</w:t>
            </w:r>
            <w:r/>
          </w:p>
        </w:tc>
        <w:tc>
          <w:tcPr>
            <w:tcW w:w="449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tcW w:w="449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W w:w="449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bl>
    <w:p>
      <w:pPr>
        <w:spacing w:line="500" w:lineRule="exact"/>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t xml:space="preserve">三、评分办法—综合评分法</w:t>
      </w:r>
      <w:r/>
    </w:p>
    <w:p>
      <w:pPr>
        <w:ind w:firstLine="482"/>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（一）评标办法：</w:t>
      </w:r>
      <w:r>
        <w:rPr>
          <w:rFonts w:hint="eastAsia" w:ascii="宋体" w:hAnsi="宋体" w:eastAsia="宋体" w:cs="宋体"/>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评标委员会根据评审后投标人排序推荐3名中标候选人。投标文件满足招标文件全部实质性要求，且评审后排序第一的投标人为第一中标候选人，依次类推。</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 </w:t>
      </w:r>
      <w:r/>
    </w:p>
    <w:p>
      <w:pPr>
        <w:ind w:firstLine="482"/>
        <w:jc w:val="left"/>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（二）详细评审。</w:t>
      </w:r>
      <w:r>
        <w:rPr>
          <w:rFonts w:hint="eastAsia" w:ascii="宋体" w:hAnsi="宋体" w:eastAsia="宋体" w:cs="宋体"/>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940"/>
        <w:rPr>
          <w:rFonts w:hint="eastAsia"/>
        </w:rPr>
      </w:pPr>
      <w:r>
        <w:rPr>
          <w:rFonts w:hint="eastAsia"/>
        </w:rPr>
      </w:r>
      <w:r/>
    </w:p>
    <w:tbl>
      <w:tblPr>
        <w:tblStyle w:val="939"/>
        <w:tblW w:w="9026" w:type="dxa"/>
        <w:tblInd w:w="-7" w:type="dxa"/>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774"/>
        <w:gridCol w:w="1211"/>
        <w:gridCol w:w="6041"/>
      </w:tblGrid>
      <w:tr>
        <w:trPr>
          <w:trHeight w:val="492"/>
        </w:trPr>
        <w:tc>
          <w:tcPr>
            <w:tcW w:w="1774" w:type="dxa"/>
            <w:vAlign w:val="center"/>
            <w:textDirection w:val="lrTb"/>
            <w:noWrap w:val="false"/>
          </w:tcPr>
          <w:p>
            <w:pPr>
              <w:jc w:val="center"/>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评审因素</w:t>
            </w:r>
            <w:r/>
          </w:p>
        </w:tc>
        <w:tc>
          <w:tcPr>
            <w:tcW w:w="1211" w:type="dxa"/>
            <w:vAlign w:val="center"/>
            <w:textDirection w:val="lrTb"/>
            <w:noWrap w:val="false"/>
          </w:tcPr>
          <w:p>
            <w:pPr>
              <w:jc w:val="center"/>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分数</w:t>
            </w:r>
            <w:r/>
          </w:p>
        </w:tc>
        <w:tc>
          <w:tcPr>
            <w:tcW w:w="6041" w:type="dxa"/>
            <w:vAlign w:val="center"/>
            <w:textDirection w:val="lrTb"/>
            <w:noWrap w:val="false"/>
          </w:tcPr>
          <w:p>
            <w:pPr>
              <w:jc w:val="center"/>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评审标准</w:t>
            </w:r>
            <w:r/>
          </w:p>
        </w:tc>
      </w:tr>
      <w:tr>
        <w:trPr/>
        <w:tc>
          <w:tcPr>
            <w:tcW w:w="1774" w:type="dxa"/>
            <w:vAlign w:val="center"/>
            <w:textDirection w:val="lrTb"/>
            <w:noWrap w:val="false"/>
          </w:tcPr>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1211" w:type="dxa"/>
            <w:vAlign w:val="center"/>
            <w:textDirection w:val="lrTb"/>
            <w:noWrap w:val="false"/>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30.00分</w:t>
            </w:r>
            <w:r/>
          </w:p>
        </w:tc>
        <w:tc>
          <w:tcPr>
            <w:tcW w:w="6041" w:type="dxa"/>
            <w:vAlign w:val="center"/>
            <w:textDirection w:val="lrTb"/>
            <w:noWrap w:val="false"/>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采用低价优先法计算，即满足招标文件要求且投标价格最低的投标报价为评标基准价，其价格分为满分。其他投标人投标报价得分＝（评标基准价/投标报价）*30。</w:t>
            </w:r>
            <w:bookmarkStart w:id="246" w:name="_GoBack"/>
            <w:r/>
            <w:bookmarkEnd w:id="246"/>
            <w:r/>
            <w:r/>
          </w:p>
        </w:tc>
      </w:tr>
      <w:tr>
        <w:trPr/>
        <w:tc>
          <w:tcPr>
            <w:tcW w:w="1774" w:type="dxa"/>
            <w:vAlign w:val="center"/>
            <w:textDirection w:val="lrTb"/>
            <w:noWrap w:val="false"/>
          </w:tcPr>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技术参数响应</w:t>
            </w:r>
            <w:r/>
          </w:p>
        </w:tc>
        <w:tc>
          <w:tcPr>
            <w:tcW w:w="1211" w:type="dxa"/>
            <w:vAlign w:val="center"/>
            <w:textDirection w:val="lrTb"/>
            <w:noWrap w:val="false"/>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25.00分</w:t>
            </w:r>
            <w:r/>
          </w:p>
        </w:tc>
        <w:tc>
          <w:tcPr>
            <w:tcW w:w="6041" w:type="dxa"/>
            <w:vAlign w:val="center"/>
            <w:textDirection w:val="lrTb"/>
            <w:noWrap w:val="false"/>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针对招标文件“第四部分、采购需求”中的“四、设备清单及技术参数”所列内容进行评分，所投产品技术参数性能、质量等完全满足或优于招标文件技术参数要求的得 25分。标记“●”项需提供演示视频，单独计分，不</w:t>
            </w:r>
            <w:r>
              <w:rPr>
                <w:rFonts w:hint="eastAsia" w:ascii="宋体" w:hAnsi="宋体" w:eastAsia="宋体" w:cs="宋体"/>
                <w:color w:val="auto"/>
                <w:sz w:val="24"/>
                <w:szCs w:val="24"/>
                <w:highlight w:val="none"/>
              </w:rPr>
              <w:t xml:space="preserve">计入此项分值。标记“▲”为重点参数要求，每有一项（一个句号的完整内容为一“项”，共25项）不满足的扣1分；扣完为止。 注：投标人针对本项评分内容在投标文件《技术响应偏离表》中逐条列出响应及偏离情况，采购需求中要求提供证明材料的，以证明材料为准；采购需求中未要求提供证明材料的，以《技术响应偏离表》为准。未按要求提供证明材料或未在响应偏离表中列明偏离情况的对应项按负偏离进行扣分处理。除特别说明外，证明材料可以是检测报告、官网截图、产品彩页、说明书、厂商证明、相关照片（截图）等任意一种可以证明满足相关要求的材料。</w:t>
            </w:r>
            <w:r/>
          </w:p>
        </w:tc>
      </w:tr>
      <w:tr>
        <w:trPr/>
        <w:tc>
          <w:tcPr>
            <w:tcW w:w="1774" w:type="dxa"/>
            <w:vAlign w:val="center"/>
            <w:textDirection w:val="lrTb"/>
            <w:noWrap w:val="false"/>
          </w:tcPr>
          <w:p>
            <w:pPr>
              <w:pStyle w:val="948"/>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功能演示</w:t>
            </w:r>
            <w:r/>
          </w:p>
        </w:tc>
        <w:tc>
          <w:tcPr>
            <w:tcW w:w="1211" w:type="dxa"/>
            <w:vAlign w:val="center"/>
            <w:textDirection w:val="lrTb"/>
            <w:noWrap w:val="false"/>
          </w:tcPr>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24.00分</w:t>
            </w:r>
            <w:r/>
          </w:p>
        </w:tc>
        <w:tc>
          <w:tcPr>
            <w:tcW w:w="6041" w:type="dxa"/>
            <w:vAlign w:val="center"/>
            <w:textDirection w:val="lrTb"/>
            <w:noWrap w:val="false"/>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投标人需按照招标文件技术参数中</w:t>
            </w:r>
            <w:r>
              <w:rPr>
                <w:rFonts w:hint="eastAsia" w:ascii="宋体" w:hAnsi="宋体" w:eastAsia="宋体" w:cs="宋体"/>
                <w:color w:val="auto"/>
                <w:sz w:val="24"/>
                <w:szCs w:val="24"/>
                <w:highlight w:val="none"/>
              </w:rPr>
              <w:t xml:space="preserve">标记“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rPr>
              <w:t xml:space="preserve">演示内容制作演示视频</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PPT、DEMO、系统静态截图、宣传视频等方式演示不得分），视频文件的格式为.mp4或.avi，投标人须将视频文件分段压缩为*zip格式文件上传（单个视频附件压缩包大小不得超过50M，整体附件压缩包不得超过300M）。文件上传方式见《操作手册》规定，上传的演示视频将作为投标文件的组成部分，视频时长总计不超过15分钟。</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演示视频完全满足或优于招标文件要求的得24分，每有一项不符合要求或无演示视频扣3分；扣完为止。</w:t>
            </w:r>
            <w:r/>
          </w:p>
        </w:tc>
      </w:tr>
      <w:tr>
        <w:trPr/>
        <w:tc>
          <w:tcPr>
            <w:tcW w:w="1774" w:type="dxa"/>
            <w:vAlign w:val="center"/>
            <w:textDirection w:val="lrTb"/>
            <w:noWrap w:val="false"/>
          </w:tcPr>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节能环保</w:t>
            </w:r>
            <w:r/>
          </w:p>
        </w:tc>
        <w:tc>
          <w:tcPr>
            <w:tcW w:w="1211" w:type="dxa"/>
            <w:vAlign w:val="center"/>
            <w:textDirection w:val="lrTb"/>
            <w:noWrap w:val="false"/>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1.00分</w:t>
            </w:r>
            <w:r/>
          </w:p>
        </w:tc>
        <w:tc>
          <w:tcPr>
            <w:tcW w:w="6041" w:type="dxa"/>
            <w:vAlign w:val="center"/>
            <w:textDirection w:val="lrTb"/>
            <w:noWrap w:val="false"/>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1、投标产品在财政部、生态环境部公布的“环境标志产品政府采购品目清单”内，且投标文件中提供国家市场监督管理局确定的列入“参与实施政府采购环境标志产品认证机构名录 ” 内的认证机构出具的、有效期内的该产品环境标志产品认证证书电子件的得0.5分； </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2、投标产品在财政部、发展改革委公布的“节能产品政府采购品目清单”内</w:t>
            </w:r>
            <w:r>
              <w:rPr>
                <w:rFonts w:hint="eastAsia" w:ascii="宋体" w:hAnsi="宋体" w:eastAsia="宋体" w:cs="宋体"/>
                <w:b/>
                <w:color w:val="auto"/>
                <w:sz w:val="24"/>
                <w:szCs w:val="24"/>
                <w:highlight w:val="none"/>
              </w:rPr>
              <w:t xml:space="preserve">（属于政府强制采购产品除外）</w:t>
            </w:r>
            <w:r>
              <w:rPr>
                <w:rFonts w:hint="eastAsia" w:ascii="宋体" w:hAnsi="宋体" w:eastAsia="宋体" w:cs="宋体"/>
                <w:color w:val="auto"/>
                <w:sz w:val="24"/>
                <w:szCs w:val="24"/>
                <w:highlight w:val="none"/>
              </w:rPr>
              <w:t xml:space="preserve">，且投标文件中提供国家市场监督管理局确定的列入“参与实施政府采购节能产品认证机构名录”内的认证机构出具的、有效期内的该产品的节能产品认证证书电子件的得0.5分。未提供的不得分。</w:t>
            </w:r>
            <w:r/>
          </w:p>
        </w:tc>
      </w:tr>
      <w:tr>
        <w:trPr/>
        <w:tc>
          <w:tcPr>
            <w:tcW w:w="1774" w:type="dxa"/>
            <w:vAlign w:val="center"/>
            <w:textDirection w:val="lrTb"/>
            <w:noWrap w:val="false"/>
          </w:tcPr>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p>
        </w:tc>
        <w:tc>
          <w:tcPr>
            <w:tcW w:w="1211" w:type="dxa"/>
            <w:vAlign w:val="center"/>
            <w:textDirection w:val="lrTb"/>
            <w:noWrap w:val="false"/>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.00分</w:t>
            </w:r>
            <w:r/>
          </w:p>
        </w:tc>
        <w:tc>
          <w:tcPr>
            <w:tcW w:w="6041" w:type="dxa"/>
            <w:vAlign w:val="center"/>
            <w:textDirection w:val="lrTb"/>
            <w:noWrap w:val="false"/>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投标人自2023年1月1日（以合同签订时间为准）以来承担过类似项目业绩的，每提供一个得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分，未提供不得分。</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注：1.投标文件中同时提供合同</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验收材料原件扫描件并加盖投标人公章（业绩合同主要内容、标的、数量、金额等需清晰可见，否则该业绩不得分），未提供或提供不齐全不得分。</w:t>
            </w:r>
            <w:r/>
          </w:p>
        </w:tc>
      </w:tr>
      <w:tr>
        <w:trPr/>
        <w:tc>
          <w:tcPr>
            <w:tcW w:w="1774" w:type="dxa"/>
            <w:vAlign w:val="center"/>
            <w:textDirection w:val="lrTb"/>
            <w:noWrap w:val="false"/>
          </w:tcPr>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项目实施方案</w:t>
            </w:r>
            <w:r/>
          </w:p>
        </w:tc>
        <w:tc>
          <w:tcPr>
            <w:tcW w:w="1211" w:type="dxa"/>
            <w:vAlign w:val="center"/>
            <w:textDirection w:val="lrTb"/>
            <w:noWrap w:val="false"/>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.00分</w:t>
            </w:r>
            <w:r/>
          </w:p>
        </w:tc>
        <w:tc>
          <w:tcPr>
            <w:tcW w:w="6041" w:type="dxa"/>
            <w:vAlign w:val="center"/>
            <w:textDirection w:val="lrTb"/>
            <w:noWrap w:val="false"/>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投标人根据招标文件“第四部分、采购需求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五、项目实施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（二）实施方案”制定项目实施方案，评标委员会根据投标人提供的本项目实施方案进行打分。优于采购需求的，得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分；满足采购需求的，得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分；方案内容有所欠缺，基本能满足采购需求的，得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其他情况</w:t>
            </w:r>
            <w:r>
              <w:rPr>
                <w:rFonts w:hint="eastAsia" w:ascii="宋体" w:hAnsi="宋体" w:eastAsia="宋体" w:cs="宋体"/>
                <w:color w:val="auto"/>
                <w:sz w:val="24"/>
                <w:szCs w:val="24"/>
                <w:highlight w:val="none"/>
              </w:rPr>
              <w:t xml:space="preserve">或没有内容的不得分。</w:t>
            </w:r>
            <w:r/>
          </w:p>
        </w:tc>
      </w:tr>
      <w:tr>
        <w:trPr/>
        <w:tc>
          <w:tcPr>
            <w:tcW w:w="1774" w:type="dxa"/>
            <w:vAlign w:val="center"/>
            <w:textDirection w:val="lrTb"/>
            <w:noWrap w:val="false"/>
          </w:tcPr>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培训方案</w:t>
            </w:r>
            <w:r/>
          </w:p>
        </w:tc>
        <w:tc>
          <w:tcPr>
            <w:tcW w:w="1211" w:type="dxa"/>
            <w:vAlign w:val="center"/>
            <w:textDirection w:val="lrTb"/>
            <w:noWrap w:val="false"/>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.00分</w:t>
            </w:r>
            <w:r/>
          </w:p>
        </w:tc>
        <w:tc>
          <w:tcPr>
            <w:tcW w:w="6041" w:type="dxa"/>
            <w:vAlign w:val="center"/>
            <w:textDirection w:val="lrTb"/>
            <w:noWrap w:val="false"/>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投标人根据招标文件“第四部分、采购需求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六、培训要求”制定项目培训方案，评标委员会根据投标人提供的本项目培训方案进行打分。优于采购需求的，得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分；满足采购需求的，得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分；方案内容有所欠缺，基本能满足采购需求的，得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其他情况</w:t>
            </w:r>
            <w:r>
              <w:rPr>
                <w:rFonts w:hint="eastAsia" w:ascii="宋体" w:hAnsi="宋体" w:eastAsia="宋体" w:cs="宋体"/>
                <w:color w:val="auto"/>
                <w:sz w:val="24"/>
                <w:szCs w:val="24"/>
                <w:highlight w:val="none"/>
              </w:rPr>
              <w:t xml:space="preserve">或没有内容的不得分。</w:t>
            </w:r>
            <w:r/>
          </w:p>
        </w:tc>
      </w:tr>
      <w:tr>
        <w:trPr/>
        <w:tc>
          <w:tcPr>
            <w:tcW w:w="1774" w:type="dxa"/>
            <w:vAlign w:val="center"/>
            <w:textDirection w:val="lrTb"/>
            <w:noWrap w:val="false"/>
          </w:tcPr>
          <w:p>
            <w:pPr>
              <w:jc w:val="center"/>
              <w:spacing w:line="460" w:lineRule="exact"/>
              <w:rPr>
                <w:rFonts w:hint="eastAsia" w:ascii="宋体" w:hAnsi="宋体" w:eastAsia="宋体" w:cs="宋体"/>
                <w:color w:val="auto"/>
                <w:sz w:val="24"/>
                <w:szCs w:val="24"/>
                <w:highlight w:val="none"/>
              </w:rPr>
            </w:pPr>
            <w:r/>
            <w:bookmarkStart w:id="228" w:name="EBe0cfd1035ea44f689f97db50fccddc8b"/>
            <w:r>
              <w:rPr>
                <w:rFonts w:hint="eastAsia" w:ascii="宋体" w:hAnsi="宋体" w:eastAsia="宋体" w:cs="宋体"/>
                <w:color w:val="auto"/>
                <w:sz w:val="24"/>
                <w:szCs w:val="24"/>
                <w:highlight w:val="none"/>
              </w:rPr>
              <w:t xml:space="preserve">售后服务方案</w:t>
            </w:r>
            <w:r/>
          </w:p>
        </w:tc>
        <w:tc>
          <w:tcPr>
            <w:tcW w:w="1211" w:type="dxa"/>
            <w:vAlign w:val="center"/>
            <w:textDirection w:val="lrTb"/>
            <w:noWrap w:val="false"/>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.00分</w:t>
            </w:r>
            <w:r/>
          </w:p>
        </w:tc>
        <w:tc>
          <w:tcPr>
            <w:tcW w:w="6041" w:type="dxa"/>
            <w:vAlign w:val="center"/>
            <w:textDirection w:val="lrTb"/>
            <w:noWrap w:val="false"/>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投标人根据招标文件“第四部分、采购需求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八、售后服务要求”制定项目售后服务方案，评标委员会根据投标人提供的本项目售后服务方案进行打分。优于采购需求的，得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分；满足采购需求的，得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分；方案内容有所欠缺，基本能满足采购需求的，得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其他情况</w:t>
            </w:r>
            <w:r>
              <w:rPr>
                <w:rFonts w:hint="eastAsia" w:ascii="宋体" w:hAnsi="宋体" w:eastAsia="宋体" w:cs="宋体"/>
                <w:color w:val="auto"/>
                <w:sz w:val="24"/>
                <w:szCs w:val="24"/>
                <w:highlight w:val="none"/>
              </w:rPr>
              <w:t xml:space="preserve">或没有内容的不得分。</w:t>
            </w:r>
            <w:r/>
          </w:p>
        </w:tc>
      </w:tr>
    </w:tbl>
    <w:p>
      <w:pPr>
        <w:rPr>
          <w:rFonts w:hint="eastAsia" w:ascii="宋体" w:hAnsi="宋体" w:eastAsia="宋体" w:cs="宋体"/>
          <w:color w:val="auto"/>
          <w:highlight w:val="none"/>
        </w:rPr>
      </w:pPr>
      <w:r>
        <w:rPr>
          <w:rFonts w:hint="eastAsia" w:ascii="宋体" w:hAnsi="宋体" w:eastAsia="宋体" w:cs="宋体"/>
          <w:color w:val="auto"/>
          <w:sz w:val="20"/>
          <w:highlight w:val="none"/>
        </w:rPr>
        <w:t xml:space="preserve"> </w:t>
      </w:r>
      <w:bookmarkEnd w:id="228"/>
      <w:r/>
      <w:r/>
    </w:p>
    <w:p>
      <w:pPr>
        <w:spacing w:line="4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（三）评标结果。</w:t>
      </w:r>
      <w:r>
        <w:rPr>
          <w:rFonts w:hint="eastAsia" w:ascii="宋体" w:hAnsi="宋体" w:eastAsia="宋体" w:cs="宋体"/>
          <w:color w:val="auto"/>
          <w:sz w:val="24"/>
          <w:highlight w:val="none"/>
        </w:rPr>
        <w:t xml:space="preserve">评标委员会按照本办法规定推荐3名中标候选人，并形成评标报告。</w:t>
      </w:r>
      <w:r/>
    </w:p>
    <w:p>
      <w:pPr>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（四）政府采购政策功能落实</w:t>
      </w:r>
      <w:r/>
    </w:p>
    <w:p>
      <w:pPr>
        <w:spacing w:line="500" w:lineRule="exac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本项目落实的政府采购政策对应以下序号为</w:t>
      </w:r>
      <w:r>
        <w:rPr>
          <w:rFonts w:hint="eastAsia" w:ascii="宋体" w:hAnsi="宋体" w:eastAsia="宋体" w:cs="宋体"/>
          <w:b/>
          <w:bCs/>
          <w:color w:val="auto"/>
          <w:sz w:val="24"/>
          <w:highlight w:val="none"/>
          <w:u w:val="single"/>
        </w:rPr>
        <w:t xml:space="preserve"> 1、2、3、4、5、6、7 </w:t>
      </w:r>
      <w:r/>
    </w:p>
    <w:p>
      <w:pPr>
        <w:numPr>
          <w:ilvl w:val="0"/>
          <w:numId w:val="13"/>
        </w:num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采购本国货物、工程和服务</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政府采购应当采购本国货物、工程和服务，但有《中华人民共和国政府采购法》第十条规定情形的除外。</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1.1采购本国产品的支持政策</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1.1.1 </w:t>
      </w:r>
      <w:r>
        <w:rPr>
          <w:rFonts w:hint="eastAsia" w:ascii="宋体" w:hAnsi="宋体" w:eastAsia="宋体" w:cs="宋体"/>
          <w:bCs/>
          <w:color w:val="auto"/>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bCs/>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1.1.2本项目政府采购活动中既有本国产品又有非本国产品参与竞争的，</w:t>
      </w:r>
      <w:bookmarkStart w:id="229" w:name="OLE_LINK7"/>
      <w:r>
        <w:rPr>
          <w:rFonts w:hint="eastAsia" w:ascii="宋体" w:hAnsi="宋体" w:eastAsia="宋体" w:cs="宋体"/>
          <w:color w:val="auto"/>
          <w:sz w:val="24"/>
          <w:szCs w:val="22"/>
          <w:highlight w:val="none"/>
        </w:rPr>
        <w:t xml:space="preserve">依法对本国产品给予价格评审优惠，对本国产品的报价给予</w:t>
      </w:r>
      <w:r>
        <w:rPr>
          <w:rFonts w:hint="eastAsia" w:ascii="宋体" w:hAnsi="宋体" w:eastAsia="宋体" w:cs="宋体"/>
          <w:b/>
          <w:bCs/>
          <w:color w:val="auto"/>
          <w:sz w:val="24"/>
          <w:szCs w:val="22"/>
          <w:highlight w:val="none"/>
          <w:u w:val="single"/>
        </w:rPr>
        <w:t xml:space="preserve">20%</w:t>
      </w:r>
      <w:r>
        <w:rPr>
          <w:rFonts w:hint="eastAsia" w:ascii="宋体" w:hAnsi="宋体" w:eastAsia="宋体" w:cs="宋体"/>
          <w:color w:val="auto"/>
          <w:sz w:val="24"/>
          <w:szCs w:val="22"/>
          <w:highlight w:val="none"/>
        </w:rPr>
        <w:t xml:space="preserve">的价格扣除，用扣除后的价格参与评审。</w:t>
      </w:r>
      <w:bookmarkEnd w:id="229"/>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1.1.3 当采购项目或者采购包中含有多种产品，投标人为该采购项目或者采购包提供的符合本国产品标准的产品成本之和占该投标人提供的全部产品成本之和的比例达到</w:t>
      </w:r>
      <w:r>
        <w:rPr>
          <w:rFonts w:hint="eastAsia" w:ascii="宋体" w:hAnsi="宋体" w:eastAsia="宋体" w:cs="宋体"/>
          <w:b/>
          <w:bCs/>
          <w:color w:val="auto"/>
          <w:sz w:val="24"/>
          <w:szCs w:val="22"/>
          <w:highlight w:val="none"/>
        </w:rPr>
        <w:t xml:space="preserve">80%以上</w:t>
      </w:r>
      <w:r>
        <w:rPr>
          <w:rFonts w:hint="eastAsia" w:ascii="宋体" w:hAnsi="宋体" w:eastAsia="宋体" w:cs="宋体"/>
          <w:color w:val="auto"/>
          <w:sz w:val="24"/>
          <w:szCs w:val="22"/>
          <w:highlight w:val="none"/>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1.1.4 投标人需按照招标文件的要求提供《关于符合本国产品标准的声明函》，如不提供将不享受本国产品价格评审优惠。</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1.1.5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rPr>
        <w:t xml:space="preserve">1.1.6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中小企业政策</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本项目按以下第</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rPr>
        <w:t xml:space="preserve">种政策确定本项目落实的中小企业政策：</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（1）本项目专门面向中小企业（含监狱企业、残疾人福利企业）采购。</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投标人提供的货物符合下列情形的，对小微企业报价给予</w:t>
      </w:r>
      <w:r>
        <w:rPr>
          <w:rFonts w:hint="eastAsia" w:ascii="宋体" w:hAnsi="宋体" w:eastAsia="宋体" w:cs="宋体"/>
          <w:color w:val="auto"/>
          <w:sz w:val="24"/>
          <w:highlight w:val="none"/>
          <w:u w:val="single"/>
        </w:rPr>
        <w:t xml:space="preserve">  10 %</w:t>
      </w:r>
      <w:r>
        <w:rPr>
          <w:rFonts w:hint="eastAsia" w:ascii="宋体" w:hAnsi="宋体" w:eastAsia="宋体" w:cs="宋体"/>
          <w:color w:val="auto"/>
          <w:sz w:val="24"/>
          <w:highlight w:val="none"/>
        </w:rPr>
        <w:t xml:space="preserve">的扣除，用扣除后的价格参加评审。</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3、政府采购节能产品、环境标志产品</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（3）采购人拟采购的产品属于优先采购的节能环保品目清单范围的，按以下条件优先采购：</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采用综合评分法的项目，对提供有效节能环保证书的投标人加分。</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采用最低评标价法的项目，同等条件下优先推荐提供有效节能环保证书多的投标人为中标人。</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4、商品包装、快递包装政府采购需求标准（试行）</w:t>
      </w:r>
      <w:r/>
    </w:p>
    <w:p>
      <w:pPr>
        <w:ind w:firstLine="480"/>
        <w:spacing w:line="460" w:lineRule="exact"/>
        <w:rPr>
          <w:rFonts w:hint="eastAsia" w:ascii="宋体" w:hAnsi="宋体" w:eastAsia="宋体" w:cs="宋体"/>
          <w:bCs/>
          <w:color w:val="auto"/>
          <w:sz w:val="44"/>
          <w:highlight w:val="none"/>
        </w:rPr>
      </w:pPr>
      <w:r>
        <w:rPr>
          <w:rFonts w:hint="eastAsia" w:ascii="宋体" w:hAnsi="宋体" w:eastAsia="宋体" w:cs="宋体"/>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5、绿色数据中心政府采购需求标准（试行）</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6、绿色建材政府采购需求标准</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60" w:lineRule="exact"/>
        <w:rPr>
          <w:rFonts w:hint="eastAsia" w:ascii="宋体" w:hAnsi="宋体" w:eastAsia="宋体" w:cs="宋体"/>
          <w:color w:val="auto"/>
          <w:sz w:val="24"/>
          <w:highlight w:val="none"/>
        </w:rPr>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sectPr>
      </w:pPr>
      <w:r>
        <w:rPr>
          <w:rFonts w:hint="eastAsia" w:ascii="宋体" w:hAnsi="宋体" w:eastAsia="宋体" w:cs="宋体"/>
          <w:color w:val="auto"/>
          <w:sz w:val="24"/>
          <w:highlight w:val="none"/>
        </w:rPr>
        <w:t xml:space="preserve">7、采购产品中涉及涂料、胶黏剂、油墨、清洗剂等挥发性有机物产品的，属于强制性标准的，投标人应当提供符合国家和江苏省相关VOCs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pStyle w:val="1138"/>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t xml:space="preserve">第六章  投标</w:t>
      </w:r>
      <w:bookmarkEnd w:id="224"/>
      <w:r/>
      <w:bookmarkEnd w:id="225"/>
      <w:r/>
      <w:bookmarkEnd w:id="227"/>
      <w:r>
        <w:rPr>
          <w:rFonts w:hint="eastAsia" w:ascii="宋体" w:hAnsi="宋体" w:eastAsia="宋体" w:cs="宋体"/>
          <w:bCs/>
          <w:color w:val="auto"/>
          <w:sz w:val="44"/>
          <w:highlight w:val="none"/>
        </w:rPr>
        <w:t xml:space="preserve">文件格式 </w:t>
      </w:r>
      <w:r/>
    </w:p>
    <w:p>
      <w:pPr>
        <w:jc w:val="center"/>
        <w:rPr>
          <w:rFonts w:hint="eastAsia" w:ascii="宋体" w:hAnsi="宋体" w:eastAsia="宋体" w:cs="宋体"/>
          <w:b/>
          <w:color w:val="auto"/>
          <w:sz w:val="72"/>
          <w:highlight w:val="none"/>
        </w:rPr>
      </w:pPr>
      <w:r/>
      <w:bookmarkStart w:id="230" w:name="_Hlt26671244"/>
      <w:r/>
      <w:bookmarkEnd w:id="230"/>
      <w:r/>
      <w:bookmarkStart w:id="231" w:name="_Hlt26955039"/>
      <w:r/>
      <w:bookmarkEnd w:id="231"/>
      <w:r/>
      <w:bookmarkStart w:id="232" w:name="_Toc120614282"/>
      <w:r/>
      <w:bookmarkStart w:id="233" w:name="_Toc49090576"/>
      <w:r/>
      <w:bookmarkStart w:id="234" w:name="_Toc26554094"/>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（加盖CA电子公章）</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084"/>
        <w:rPr>
          <w:rFonts w:hint="eastAsia" w:ascii="宋体" w:hAnsi="宋体" w:eastAsia="宋体" w:cs="宋体"/>
          <w:b/>
          <w:bCs/>
          <w:color w:val="auto"/>
          <w:sz w:val="32"/>
          <w:szCs w:val="32"/>
          <w:highlight w:val="none"/>
        </w:rPr>
      </w:pPr>
      <w:r>
        <w:rPr>
          <w:rFonts w:hint="eastAsia" w:ascii="宋体" w:hAnsi="宋体" w:eastAsia="宋体" w:cs="宋体"/>
          <w:b/>
          <w:color w:val="auto"/>
          <w:sz w:val="36"/>
          <w:highlight w:val="none"/>
          <w:u w:val="single"/>
        </w:rPr>
        <w:br w:type="page" w:clear="all"/>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一、投标人响应承诺函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二、投标人基本情况</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三、法人授权书</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四、开标一览表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五、投标报价明细表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六、中小企业声明函或残疾人福利性单位声明函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七、关于符合本国产品标准的声明函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八、技术要求响应及偏离表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九、项目组成员</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十、企业业绩</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十一、投标所需其他材料</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187"/>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232"/>
      <w:r/>
      <w:bookmarkEnd w:id="233"/>
      <w:r/>
      <w:bookmarkEnd w:id="234"/>
      <w:r/>
      <w:r/>
    </w:p>
    <w:p>
      <w:pPr>
        <w:pStyle w:val="1252"/>
        <w:rPr>
          <w:rFonts w:hint="eastAsia" w:ascii="宋体" w:hAnsi="宋体" w:eastAsia="宋体" w:cs="宋体"/>
          <w:b/>
          <w:color w:val="auto"/>
          <w:sz w:val="32"/>
          <w:szCs w:val="32"/>
          <w:highlight w:val="none"/>
        </w:rPr>
      </w:pPr>
      <w:r/>
      <w:bookmarkStart w:id="235" w:name="_Toc120614284"/>
      <w:r>
        <w:rPr>
          <w:rFonts w:hint="eastAsia" w:ascii="宋体" w:hAnsi="宋体" w:eastAsia="宋体" w:cs="宋体"/>
          <w:b/>
          <w:color w:val="auto"/>
          <w:sz w:val="32"/>
          <w:szCs w:val="32"/>
          <w:highlight w:val="none"/>
        </w:rPr>
        <w:t xml:space="preserve">一、投标声明及承诺函</w:t>
      </w:r>
      <w:r/>
    </w:p>
    <w:p>
      <w:pPr>
        <w:pStyle w:val="1252"/>
        <w:jc w:val="left"/>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（采购单位名称）：</w:t>
      </w:r>
      <w:r/>
    </w:p>
    <w:p>
      <w:pPr>
        <w:pStyle w:val="1252"/>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lang w:eastAsia="zh-CN"/>
        </w:rPr>
        <w:t xml:space="preserve">JSZC-321311-SQHZ-G2026-0004</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宿迁技师学院国基地校内工业机器人实训基地建设</w:t>
      </w:r>
      <w:r>
        <w:rPr>
          <w:rFonts w:hint="eastAsia" w:ascii="宋体" w:hAnsi="宋体" w:eastAsia="宋体" w:cs="宋体"/>
          <w:color w:val="auto"/>
          <w:sz w:val="24"/>
          <w:szCs w:val="24"/>
          <w:highlight w:val="none"/>
        </w:rPr>
        <w:t xml:space="preserve">的招标文件，我方在参加本项目招投标活动中，特做出如下承诺：</w:t>
      </w:r>
      <w:r/>
    </w:p>
    <w:p>
      <w:pPr>
        <w:pStyle w:val="1252"/>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1252"/>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252"/>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三、我方按招标文件要求提交投标文件，响应招标文件规定的投标有效期；</w:t>
      </w:r>
      <w:r/>
    </w:p>
    <w:p>
      <w:pPr>
        <w:pStyle w:val="1252"/>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252"/>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1252"/>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六、我方同意采购人、采购代理机构将本声明及承诺函上网公开。</w:t>
      </w:r>
      <w:r/>
    </w:p>
    <w:p>
      <w:pPr>
        <w:pStyle w:val="1252"/>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52"/>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52"/>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pStyle w:val="1252"/>
        <w:ind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日期：    年    月   日</w:t>
      </w:r>
      <w:r/>
    </w:p>
    <w:p>
      <w:pPr>
        <w:pStyle w:val="1254"/>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二、投标人基本情况</w:t>
      </w:r>
      <w:r/>
    </w:p>
    <w:p>
      <w:pPr>
        <w:pStyle w:val="1255"/>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投标人基本情况表</w:t>
      </w:r>
      <w:r/>
    </w:p>
    <w:tbl>
      <w:tblPr>
        <w:tblStyle w:val="939"/>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p>
        </w:tc>
        <w:tc>
          <w:tcPr>
            <w:gridSpan w:val="3"/>
            <w:tcW w:w="6998"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投标人类别</w:t>
            </w:r>
            <w:r/>
          </w:p>
        </w:tc>
        <w:tc>
          <w:tcPr>
            <w:gridSpan w:val="3"/>
            <w:tcW w:w="6998"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76"/>
        </w:trPr>
        <w:tc>
          <w:tcPr>
            <w:tcW w:w="1526" w:type="dxa"/>
            <w:vAlign w:val="center"/>
            <w:textDirection w:val="lrTb"/>
            <w:noWrap w:val="false"/>
          </w:tcPr>
          <w:p>
            <w:pPr>
              <w:pStyle w:val="1255"/>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textDirection w:val="lrTb"/>
            <w:noWrap w:val="false"/>
          </w:tcPr>
          <w:p>
            <w:pPr>
              <w:pStyle w:val="1255"/>
              <w:ind w:firstLine="1432"/>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34"/>
        </w:trPr>
        <w:tc>
          <w:tcPr>
            <w:tcW w:w="1526" w:type="dxa"/>
            <w:vAlign w:val="center"/>
            <w:textDirection w:val="lrTb"/>
            <w:noWrap w:val="false"/>
          </w:tcPr>
          <w:p>
            <w:pPr>
              <w:pStyle w:val="1255"/>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1255"/>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无需提供营业执照等证明材料</w:t>
            </w:r>
            <w:r/>
          </w:p>
        </w:tc>
      </w:tr>
    </w:tbl>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252"/>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三、法人授权书</w:t>
      </w:r>
      <w:r/>
    </w:p>
    <w:p>
      <w:pPr>
        <w:pStyle w:val="122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本授权书声明：____________（投标人名称）授权________________（被授权人的姓名）为我方就</w:t>
      </w:r>
      <w:r>
        <w:rPr>
          <w:rFonts w:hint="eastAsia" w:ascii="宋体" w:hAnsi="宋体" w:eastAsia="宋体" w:cs="宋体"/>
          <w:color w:val="auto"/>
          <w:sz w:val="24"/>
          <w:szCs w:val="24"/>
          <w:highlight w:val="none"/>
          <w:lang w:eastAsia="zh-CN"/>
        </w:rPr>
        <w:t xml:space="preserve">JSZC-321311-SQHZ-G2026-0004</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项目采购活动的合法代理人，以本单位名义全权处理一切与该项目采购有关的事务。</w:t>
      </w:r>
      <w:r/>
    </w:p>
    <w:p>
      <w:pPr>
        <w:pStyle w:val="122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1223"/>
        <w:ind w:firstLine="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pStyle w:val="1223"/>
        <w:ind w:firstLine="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1223"/>
        <w:ind w:firstLine="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1223"/>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122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Start w:id="236" w:name="_Hlt26671380"/>
      <w:r/>
      <w:bookmarkEnd w:id="236"/>
      <w:r/>
      <w:bookmarkStart w:id="237" w:name="_格式3__银行出具的资信证明"/>
      <w:r/>
      <w:bookmarkEnd w:id="237"/>
      <w:r/>
      <w:bookmarkStart w:id="238" w:name="_Hlt26955070"/>
      <w:r/>
      <w:bookmarkEnd w:id="238"/>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0"/>
          <w:highlight w:val="none"/>
        </w:rPr>
      </w:pPr>
      <w:r>
        <w:rPr>
          <w:rFonts w:hint="eastAsia" w:ascii="宋体" w:hAnsi="宋体" w:eastAsia="宋体" w:cs="宋体"/>
          <w:color w:val="auto"/>
          <w:highlight w:val="none"/>
        </w:rPr>
        <w:br w:type="page" w:clear="all"/>
      </w:r>
      <w:r>
        <w:rPr>
          <w:rFonts w:hint="eastAsia" w:ascii="宋体" w:hAnsi="宋体" w:eastAsia="宋体" w:cs="宋体"/>
          <w:b/>
          <w:i w:val="0"/>
          <w:iCs/>
          <w:color w:val="auto"/>
          <w:sz w:val="32"/>
          <w:szCs w:val="32"/>
          <w:highlight w:val="none"/>
        </w:rPr>
        <w:t xml:space="preserve">四、开标一览表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投标人全称（加盖CA电子签章）：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项目名称：宿迁技师学院国基地校内工业机器人实训基地建设</w:t>
      </w:r>
      <w:r/>
    </w:p>
    <w:p>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招标编号：</w:t>
      </w:r>
      <w:r>
        <w:rPr>
          <w:rFonts w:hint="eastAsia" w:ascii="宋体" w:hAnsi="宋体" w:eastAsia="宋体" w:cs="宋体"/>
          <w:color w:val="auto"/>
          <w:sz w:val="24"/>
          <w:szCs w:val="24"/>
          <w:highlight w:val="none"/>
          <w:lang w:eastAsia="zh-CN"/>
        </w:rPr>
        <w:t xml:space="preserve">JSZC-321311-SQHZ-G2026-0004</w:t>
      </w:r>
      <w:r/>
    </w:p>
    <w:p>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分包号：</w:t>
      </w:r>
      <w:r>
        <w:rPr>
          <w:rFonts w:hint="eastAsia" w:ascii="宋体" w:hAnsi="宋体" w:eastAsia="宋体" w:cs="宋体"/>
          <w:color w:val="auto"/>
          <w:sz w:val="24"/>
          <w:szCs w:val="24"/>
          <w:highlight w:val="none"/>
          <w:lang w:eastAsia="zh-CN"/>
        </w:rPr>
        <w:t xml:space="preserve">JSZC-321311-SQHZ-G2026-0004</w:t>
      </w:r>
      <w:r/>
    </w:p>
    <w:tbl>
      <w:tblPr>
        <w:tblStyle w:val="939"/>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投标总报价</w:t>
            </w:r>
            <w:r/>
          </w:p>
        </w:tc>
      </w:tr>
      <w:tr>
        <w:trPr>
          <w:cantSplit/>
          <w:trHeight w:val="612"/>
        </w:trPr>
        <w:tc>
          <w:tcPr>
            <w:tcW w:w="8206" w:type="dxa"/>
            <w:vAlign w:val="center"/>
            <w:textDirection w:val="lrTb"/>
            <w:noWrap w:val="false"/>
          </w:tcPr>
          <w:p>
            <w:pPr>
              <w:pStyle w:val="1225"/>
              <w:ind w:firstLine="0"/>
              <w:spacing w:before="0" w:after="0" w:line="500" w:lineRule="exact"/>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小写：                             （人民币：元）</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
          <w:color w:val="auto"/>
          <w:sz w:val="32"/>
          <w:szCs w:val="32"/>
          <w:highlight w:val="none"/>
        </w:rPr>
        <w:sectPr>
          <w:footerReference w:type="default" r:id="rId16"/>
          <w:footerReference w:type="first" r:id="rId17"/>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五、投标报价明细表（分包号：</w:t>
      </w:r>
      <w:r>
        <w:rPr>
          <w:rFonts w:hint="eastAsia" w:ascii="宋体" w:hAnsi="宋体" w:eastAsia="宋体" w:cs="宋体"/>
          <w:b/>
          <w:color w:val="auto"/>
          <w:sz w:val="32"/>
          <w:szCs w:val="32"/>
          <w:highlight w:val="none"/>
          <w:lang w:eastAsia="zh-CN"/>
        </w:rPr>
        <w:t xml:space="preserve">JSZC-321311-SQHZ-G2026-0004</w:t>
      </w:r>
      <w:r>
        <w:rPr>
          <w:rFonts w:hint="eastAsia" w:ascii="宋体" w:hAnsi="宋体" w:eastAsia="宋体" w:cs="宋体"/>
          <w:b/>
          <w:color w:val="auto"/>
          <w:sz w:val="32"/>
          <w:szCs w:val="32"/>
          <w:highlight w:val="none"/>
        </w:rPr>
        <w:t xml:space="preserve">）</w:t>
      </w:r>
      <w:r/>
    </w:p>
    <w:tbl>
      <w:tblPr>
        <w:tblStyle w:val="939"/>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084"/>
        <w:gridCol w:w="1114"/>
        <w:gridCol w:w="980"/>
        <w:gridCol w:w="727"/>
        <w:gridCol w:w="1372"/>
        <w:gridCol w:w="1246"/>
      </w:tblGrid>
      <w:tr>
        <w:trPr>
          <w:cantSplit/>
          <w:trHeight w:val="544"/>
        </w:trPr>
        <w:tc>
          <w:tcPr>
            <w:tcW w:w="556" w:type="dxa"/>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0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96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108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型号</w:t>
            </w:r>
            <w:r/>
          </w:p>
        </w:tc>
        <w:tc>
          <w:tcPr>
            <w:tcW w:w="11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制造商名称</w:t>
            </w:r>
            <w:r/>
          </w:p>
        </w:tc>
        <w:tc>
          <w:tcPr>
            <w:tcW w:w="98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72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3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分项单价</w:t>
            </w:r>
            <w:r/>
          </w:p>
        </w:tc>
        <w:tc>
          <w:tcPr>
            <w:tcW w:w="124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分项总价</w:t>
            </w:r>
            <w:r/>
          </w:p>
        </w:tc>
      </w:tr>
      <w:tr>
        <w:trPr>
          <w:cantSplit/>
          <w:trHeight w:val="680"/>
        </w:trPr>
        <w:tc>
          <w:tcPr>
            <w:tcW w:w="5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80"/>
        </w:trPr>
        <w:tc>
          <w:tcPr>
            <w:tcW w:w="5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3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80"/>
        </w:trPr>
        <w:tc>
          <w:tcPr>
            <w:tcW w:w="5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3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80"/>
        </w:trPr>
        <w:tc>
          <w:tcPr>
            <w:tcW w:w="5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3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80"/>
        </w:trPr>
        <w:tc>
          <w:tcPr>
            <w:tcW w:w="5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03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96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30"/>
        </w:trPr>
        <w:tc>
          <w:tcPr>
            <w:gridSpan w:val="8"/>
            <w:tcW w:w="78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投标总报价（人民币：元）</w:t>
            </w:r>
            <w:r/>
          </w:p>
        </w:tc>
        <w:tc>
          <w:tcPr>
            <w:tcW w:w="124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30"/>
        </w:trPr>
        <w:tc>
          <w:tcPr>
            <w:gridSpan w:val="9"/>
            <w:tcW w:w="9081" w:type="dxa"/>
            <w:vAlign w:val="center"/>
            <w:textDirection w:val="lrTb"/>
            <w:noWrap w:val="false"/>
          </w:tcPr>
          <w:p>
            <w:pPr>
              <w:rPr>
                <w:rFonts w:hint="eastAsia" w:ascii="宋体" w:hAnsi="宋体" w:eastAsia="宋体" w:cs="宋体"/>
                <w:color w:val="ff0000"/>
                <w:sz w:val="24"/>
                <w:szCs w:val="24"/>
                <w:highlight w:val="none"/>
              </w:rPr>
            </w:pPr>
            <w:r>
              <w:rPr>
                <w:rFonts w:hint="eastAsia" w:ascii="宋体" w:hAnsi="宋体" w:eastAsia="宋体" w:cs="宋体"/>
                <w:color w:val="ff0000"/>
                <w:sz w:val="28"/>
                <w:szCs w:val="28"/>
                <w:highlight w:val="none"/>
              </w:rPr>
              <w:t xml:space="preserve">本采购包中提供的符合本国产品标准的产品成本之和占该采购包提供的全部产品成本之和的比例为</w:t>
            </w:r>
            <w:r>
              <w:rPr>
                <w:rFonts w:hint="eastAsia" w:ascii="宋体" w:hAnsi="宋体" w:eastAsia="宋体" w:cs="宋体"/>
                <w:color w:val="ff0000"/>
                <w:sz w:val="28"/>
                <w:szCs w:val="28"/>
                <w:highlight w:val="none"/>
                <w:u w:val="single"/>
              </w:rPr>
              <w:t xml:space="preserve">***</w:t>
            </w:r>
            <w:r>
              <w:rPr>
                <w:rFonts w:hint="eastAsia" w:ascii="宋体" w:hAnsi="宋体" w:eastAsia="宋体" w:cs="宋体"/>
                <w:color w:val="ff0000"/>
                <w:sz w:val="28"/>
                <w:szCs w:val="28"/>
                <w:highlight w:val="none"/>
              </w:rPr>
              <w:t xml:space="preserve">%。</w:t>
            </w:r>
            <w:r/>
          </w:p>
        </w:tc>
      </w:tr>
    </w:tbl>
    <w:p>
      <w:pP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备注：1.投标报价</w:t>
      </w:r>
      <w:r>
        <w:rPr>
          <w:rFonts w:hint="eastAsia" w:ascii="宋体" w:hAnsi="宋体" w:eastAsia="宋体" w:cs="宋体"/>
          <w:color w:val="auto"/>
          <w:sz w:val="24"/>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rPr>
        <w:t xml:space="preserve">投标分项报价表</w:t>
      </w:r>
      <w:r>
        <w:rPr>
          <w:rFonts w:hint="eastAsia" w:ascii="宋体" w:hAnsi="宋体" w:eastAsia="宋体" w:cs="宋体"/>
          <w:color w:val="auto"/>
          <w:highlight w:val="none"/>
        </w:rPr>
        <w:t xml:space="preserve">”</w:t>
      </w:r>
      <w:r>
        <w:rPr>
          <w:rFonts w:hint="eastAsia" w:ascii="宋体" w:hAnsi="宋体" w:eastAsia="宋体" w:cs="宋体"/>
          <w:color w:val="auto"/>
          <w:sz w:val="24"/>
          <w:highlight w:val="none"/>
        </w:rPr>
        <w:t xml:space="preserve">中“投标总报价”数额应当与“开标一览表”中“投标总报价”数额一致。</w:t>
      </w:r>
      <w:r/>
    </w:p>
    <w:p>
      <w:pPr>
        <w:rPr>
          <w:rFonts w:hint="eastAsia" w:ascii="宋体" w:hAnsi="宋体" w:eastAsia="宋体" w:cs="宋体"/>
          <w:b/>
          <w:color w:val="auto"/>
          <w:sz w:val="32"/>
          <w:szCs w:val="32"/>
          <w:highlight w:val="none"/>
        </w:rPr>
      </w:pPr>
      <w:r>
        <w:rPr>
          <w:rFonts w:hint="eastAsia" w:ascii="宋体" w:hAnsi="宋体" w:eastAsia="宋体" w:cs="宋体"/>
          <w:color w:val="ff0000"/>
          <w:sz w:val="24"/>
          <w:szCs w:val="28"/>
          <w:highlight w:val="none"/>
        </w:rPr>
        <w:t xml:space="preserve">3</w:t>
      </w:r>
      <w:r>
        <w:rPr>
          <w:rFonts w:hint="eastAsia" w:ascii="宋体" w:hAnsi="宋体" w:eastAsia="宋体" w:cs="宋体"/>
          <w:color w:val="ff0000"/>
          <w:sz w:val="24"/>
          <w:szCs w:val="28"/>
          <w:highlight w:val="none"/>
        </w:rPr>
        <w:t xml:space="preserve">.</w:t>
      </w:r>
      <w:r>
        <w:rPr>
          <w:rFonts w:hint="eastAsia" w:ascii="宋体" w:hAnsi="宋体" w:eastAsia="宋体" w:cs="宋体"/>
          <w:color w:val="ff0000"/>
          <w:sz w:val="24"/>
          <w:szCs w:val="28"/>
          <w:highlight w:val="none"/>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strike/>
          <w:color w:val="ff0000"/>
          <w:sz w:val="32"/>
          <w:szCs w:val="32"/>
          <w:highlight w:val="none"/>
        </w:rPr>
        <w:br w:type="page" w:clear="all"/>
      </w:r>
      <w:r>
        <w:rPr>
          <w:rFonts w:hint="eastAsia" w:ascii="宋体" w:hAnsi="宋体" w:eastAsia="宋体" w:cs="宋体"/>
          <w:b/>
          <w:color w:val="auto"/>
          <w:sz w:val="32"/>
          <w:szCs w:val="32"/>
          <w:highlight w:val="none"/>
        </w:rPr>
        <w:t xml:space="preserve">六、</w:t>
      </w:r>
      <w:r>
        <w:rPr>
          <w:rFonts w:hint="eastAsia" w:ascii="宋体" w:hAnsi="宋体" w:eastAsia="宋体" w:cs="宋体"/>
          <w:color w:val="auto"/>
          <w:sz w:val="32"/>
          <w:szCs w:val="32"/>
          <w:highlight w:val="none"/>
        </w:rPr>
        <w:t xml:space="preserve">中小（微）企业声明函</w:t>
      </w:r>
      <w:r>
        <w:rPr>
          <w:rFonts w:hint="eastAsia" w:ascii="宋体" w:hAnsi="宋体" w:eastAsia="宋体" w:cs="宋体"/>
          <w:b/>
          <w:color w:val="auto"/>
          <w:sz w:val="32"/>
          <w:szCs w:val="32"/>
          <w:highlight w:val="none"/>
        </w:rPr>
        <w:t xml:space="preserve">（货物）</w:t>
      </w:r>
      <w:r>
        <w:rPr>
          <w:rFonts w:hint="eastAsia" w:ascii="宋体" w:hAnsi="宋体" w:eastAsia="宋体" w:cs="宋体"/>
          <w:color w:val="auto"/>
          <w:sz w:val="32"/>
          <w:szCs w:val="32"/>
          <w:highlight w:val="none"/>
        </w:rPr>
        <w:t xml:space="preserve">或残疾人福利性单位声明函</w:t>
      </w:r>
      <w:r>
        <w:rPr>
          <w:rFonts w:hint="eastAsia" w:ascii="宋体" w:hAnsi="宋体" w:eastAsia="宋体" w:cs="宋体"/>
          <w:b/>
          <w:color w:val="auto"/>
          <w:sz w:val="32"/>
          <w:szCs w:val="32"/>
          <w:highlight w:val="none"/>
        </w:rPr>
        <w:t xml:space="preserve">（分包号：</w:t>
      </w:r>
      <w:r>
        <w:rPr>
          <w:rFonts w:hint="eastAsia" w:ascii="宋体" w:hAnsi="宋体" w:eastAsia="宋体" w:cs="宋体"/>
          <w:color w:val="auto"/>
          <w:sz w:val="32"/>
          <w:szCs w:val="32"/>
          <w:highlight w:val="none"/>
          <w:lang w:eastAsia="zh-CN"/>
        </w:rPr>
        <w:t xml:space="preserve">JSZC-321311-SQHZ-G2026-0004</w:t>
      </w:r>
      <w:r>
        <w:rPr>
          <w:rFonts w:hint="eastAsia" w:ascii="宋体" w:hAnsi="宋体" w:eastAsia="宋体" w:cs="宋体"/>
          <w:b/>
          <w:color w:val="auto"/>
          <w:sz w:val="32"/>
          <w:szCs w:val="32"/>
          <w:highlight w:val="none"/>
        </w:rPr>
        <w:t xml:space="preserve">）</w:t>
      </w:r>
      <w:r/>
    </w:p>
    <w:p>
      <w:pPr>
        <w:pStyle w:val="1268"/>
        <w:jc w:val="center"/>
        <w:rPr>
          <w:rStyle w:val="1148"/>
          <w:rFonts w:hint="eastAsia" w:ascii="宋体" w:hAnsi="宋体" w:eastAsia="宋体" w:cs="宋体"/>
          <w:b/>
          <w:color w:val="auto"/>
          <w:sz w:val="36"/>
          <w:szCs w:val="36"/>
          <w:highlight w:val="none"/>
        </w:rPr>
      </w:pPr>
      <w:r>
        <w:rPr>
          <w:rStyle w:val="1148"/>
          <w:rFonts w:hint="eastAsia" w:ascii="宋体" w:hAnsi="宋体" w:eastAsia="宋体" w:cs="宋体"/>
          <w:b/>
          <w:color w:val="auto"/>
          <w:sz w:val="36"/>
          <w:szCs w:val="36"/>
          <w:highlight w:val="none"/>
        </w:rPr>
        <w:t xml:space="preserve">中小（微）企业声明函（货物）</w:t>
      </w:r>
      <w:r/>
    </w:p>
    <w:p>
      <w:pPr>
        <w:pStyle w:val="1268"/>
        <w:jc w:val="left"/>
        <w:rPr>
          <w:rStyle w:val="1148"/>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268"/>
        <w:ind w:firstLine="480"/>
        <w:jc w:val="left"/>
        <w:spacing w:line="500" w:lineRule="exact"/>
        <w:rPr>
          <w:rStyle w:val="1148"/>
          <w:rFonts w:hint="eastAsia" w:ascii="宋体" w:hAnsi="宋体" w:eastAsia="宋体" w:cs="宋体"/>
          <w:color w:val="auto"/>
          <w:sz w:val="24"/>
          <w:szCs w:val="24"/>
          <w:highlight w:val="none"/>
        </w:rPr>
      </w:pPr>
      <w:r>
        <w:rPr>
          <w:rStyle w:val="1148"/>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Style w:val="1148"/>
          <w:rFonts w:hint="eastAsia" w:ascii="宋体" w:hAnsi="宋体" w:eastAsia="宋体" w:cs="宋体"/>
          <w:color w:val="auto"/>
          <w:sz w:val="24"/>
          <w:szCs w:val="24"/>
          <w:highlight w:val="none"/>
          <w:u w:val="single"/>
        </w:rPr>
        <w:t xml:space="preserve"> 单位名称  </w:t>
      </w:r>
      <w:r>
        <w:rPr>
          <w:rStyle w:val="1148"/>
          <w:rFonts w:hint="eastAsia" w:ascii="宋体" w:hAnsi="宋体" w:eastAsia="宋体" w:cs="宋体"/>
          <w:color w:val="auto"/>
          <w:sz w:val="24"/>
          <w:szCs w:val="24"/>
          <w:highlight w:val="none"/>
        </w:rPr>
        <w:t xml:space="preserve">的（</w:t>
      </w:r>
      <w:r>
        <w:rPr>
          <w:rStyle w:val="1148"/>
          <w:rFonts w:hint="eastAsia" w:ascii="宋体" w:hAnsi="宋体" w:eastAsia="宋体" w:cs="宋体"/>
          <w:color w:val="auto"/>
          <w:sz w:val="24"/>
          <w:szCs w:val="24"/>
          <w:highlight w:val="none"/>
          <w:u w:val="single"/>
        </w:rPr>
        <w:t xml:space="preserve">项目名称）</w:t>
      </w:r>
      <w:r>
        <w:rPr>
          <w:rStyle w:val="1148"/>
          <w:rFonts w:hint="eastAsia" w:ascii="宋体" w:hAnsi="宋体" w:eastAsia="宋体" w:cs="宋体"/>
          <w:color w:val="auto"/>
          <w:sz w:val="24"/>
          <w:szCs w:val="24"/>
          <w:highlight w:val="none"/>
        </w:rPr>
        <w:t xml:space="preserve"> 采购活动，提供的货物全部由符合政策要求的中小企业制造。相关企业（含联合体中的中小企业、签订分包意向协议的中小企业）的具体情况如下：</w:t>
      </w:r>
      <w:r/>
    </w:p>
    <w:p>
      <w:pPr>
        <w:pStyle w:val="1268"/>
        <w:ind w:firstLine="480"/>
        <w:jc w:val="left"/>
        <w:spacing w:line="500" w:lineRule="exact"/>
        <w:rPr>
          <w:rStyle w:val="1148"/>
          <w:rFonts w:hint="eastAsia" w:ascii="宋体" w:hAnsi="宋体" w:eastAsia="宋体" w:cs="宋体"/>
          <w:color w:val="auto"/>
          <w:sz w:val="24"/>
          <w:szCs w:val="24"/>
          <w:highlight w:val="none"/>
          <w:u w:val="single"/>
        </w:rPr>
      </w:pPr>
      <w:r>
        <w:rPr>
          <w:rStyle w:val="1148"/>
          <w:rFonts w:hint="eastAsia" w:ascii="宋体" w:hAnsi="宋体" w:eastAsia="宋体" w:cs="宋体"/>
          <w:color w:val="auto"/>
          <w:sz w:val="24"/>
          <w:szCs w:val="24"/>
          <w:highlight w:val="none"/>
        </w:rPr>
        <w:t xml:space="preserve">1. </w:t>
      </w:r>
      <w:r>
        <w:rPr>
          <w:rStyle w:val="1148"/>
          <w:rFonts w:hint="eastAsia" w:ascii="宋体" w:hAnsi="宋体" w:eastAsia="宋体" w:cs="宋体"/>
          <w:color w:val="auto"/>
          <w:sz w:val="24"/>
          <w:szCs w:val="24"/>
          <w:highlight w:val="none"/>
          <w:u w:val="single"/>
        </w:rPr>
        <w:t xml:space="preserve">标的名称          </w:t>
      </w:r>
      <w:r>
        <w:rPr>
          <w:rStyle w:val="1148"/>
          <w:rFonts w:hint="eastAsia" w:ascii="宋体" w:hAnsi="宋体" w:eastAsia="宋体" w:cs="宋体"/>
          <w:color w:val="auto"/>
          <w:sz w:val="24"/>
          <w:szCs w:val="24"/>
          <w:highlight w:val="none"/>
        </w:rPr>
        <w:t xml:space="preserve">，属于（</w:t>
      </w:r>
      <w:r>
        <w:rPr>
          <w:rStyle w:val="1148"/>
          <w:rFonts w:hint="eastAsia" w:ascii="宋体" w:hAnsi="宋体" w:eastAsia="宋体" w:cs="宋体"/>
          <w:i/>
          <w:color w:val="auto"/>
          <w:sz w:val="24"/>
          <w:szCs w:val="24"/>
          <w:highlight w:val="none"/>
          <w:u w:val="single"/>
        </w:rPr>
        <w:t xml:space="preserve">采购文件中明确的所属行业）</w:t>
      </w:r>
      <w:r>
        <w:rPr>
          <w:rStyle w:val="1148"/>
          <w:rFonts w:hint="eastAsia" w:ascii="宋体" w:hAnsi="宋体" w:eastAsia="宋体" w:cs="宋体"/>
          <w:color w:val="auto"/>
          <w:sz w:val="24"/>
          <w:szCs w:val="24"/>
          <w:highlight w:val="none"/>
          <w:u w:val="single"/>
        </w:rPr>
        <w:t xml:space="preserve">行业</w:t>
      </w:r>
      <w:r>
        <w:rPr>
          <w:rStyle w:val="1148"/>
          <w:rFonts w:hint="eastAsia" w:ascii="宋体" w:hAnsi="宋体" w:eastAsia="宋体" w:cs="宋体"/>
          <w:color w:val="auto"/>
          <w:sz w:val="24"/>
          <w:szCs w:val="24"/>
          <w:highlight w:val="none"/>
        </w:rPr>
        <w:t xml:space="preserve">；制造商为</w:t>
      </w:r>
      <w:r>
        <w:rPr>
          <w:rStyle w:val="1148"/>
          <w:rFonts w:hint="eastAsia" w:ascii="宋体" w:hAnsi="宋体" w:eastAsia="宋体" w:cs="宋体"/>
          <w:color w:val="auto"/>
          <w:sz w:val="24"/>
          <w:szCs w:val="24"/>
          <w:highlight w:val="none"/>
          <w:u w:val="single"/>
        </w:rPr>
        <w:t xml:space="preserve">（企业名称）</w:t>
      </w:r>
      <w:r>
        <w:rPr>
          <w:rStyle w:val="1148"/>
          <w:rFonts w:hint="eastAsia" w:ascii="宋体" w:hAnsi="宋体" w:eastAsia="宋体" w:cs="宋体"/>
          <w:color w:val="auto"/>
          <w:sz w:val="24"/>
          <w:szCs w:val="24"/>
          <w:highlight w:val="none"/>
        </w:rPr>
        <w:t xml:space="preserve">，从业人员</w:t>
      </w:r>
      <w:r>
        <w:rPr>
          <w:rStyle w:val="1148"/>
          <w:rFonts w:hint="eastAsia" w:ascii="宋体" w:hAnsi="宋体" w:eastAsia="宋体" w:cs="宋体"/>
          <w:color w:val="auto"/>
          <w:sz w:val="24"/>
          <w:szCs w:val="24"/>
          <w:highlight w:val="none"/>
          <w:u w:val="single"/>
        </w:rPr>
        <w:t xml:space="preserve">   </w:t>
      </w:r>
      <w:r>
        <w:rPr>
          <w:rStyle w:val="1148"/>
          <w:rFonts w:hint="eastAsia" w:ascii="宋体" w:hAnsi="宋体" w:eastAsia="宋体" w:cs="宋体"/>
          <w:color w:val="auto"/>
          <w:sz w:val="24"/>
          <w:szCs w:val="24"/>
          <w:highlight w:val="none"/>
        </w:rPr>
        <w:t xml:space="preserve">人，营业收入为 </w:t>
      </w:r>
      <w:r>
        <w:rPr>
          <w:rStyle w:val="1148"/>
          <w:rFonts w:hint="eastAsia" w:ascii="宋体" w:hAnsi="宋体" w:eastAsia="宋体" w:cs="宋体"/>
          <w:color w:val="auto"/>
          <w:sz w:val="24"/>
          <w:szCs w:val="24"/>
          <w:highlight w:val="none"/>
          <w:u w:val="single"/>
        </w:rPr>
        <w:t xml:space="preserve">   </w:t>
      </w:r>
      <w:r>
        <w:rPr>
          <w:rStyle w:val="1148"/>
          <w:rFonts w:hint="eastAsia" w:ascii="宋体" w:hAnsi="宋体" w:eastAsia="宋体" w:cs="宋体"/>
          <w:color w:val="auto"/>
          <w:sz w:val="24"/>
          <w:szCs w:val="24"/>
          <w:highlight w:val="none"/>
        </w:rPr>
        <w:t xml:space="preserve">万元，资产总额为</w:t>
      </w:r>
      <w:r>
        <w:rPr>
          <w:rStyle w:val="1148"/>
          <w:rFonts w:hint="eastAsia" w:ascii="宋体" w:hAnsi="宋体" w:eastAsia="宋体" w:cs="宋体"/>
          <w:color w:val="auto"/>
          <w:sz w:val="24"/>
          <w:szCs w:val="24"/>
          <w:highlight w:val="none"/>
          <w:u w:val="single"/>
        </w:rPr>
        <w:t xml:space="preserve">  </w:t>
      </w:r>
      <w:r>
        <w:rPr>
          <w:rStyle w:val="1148"/>
          <w:rFonts w:hint="eastAsia" w:ascii="宋体" w:hAnsi="宋体" w:eastAsia="宋体" w:cs="宋体"/>
          <w:color w:val="auto"/>
          <w:sz w:val="24"/>
          <w:szCs w:val="24"/>
          <w:highlight w:val="none"/>
        </w:rPr>
        <w:t xml:space="preserve">万元</w:t>
      </w:r>
      <w:r>
        <w:rPr>
          <w:rStyle w:val="1148"/>
          <w:rFonts w:hint="eastAsia" w:ascii="宋体" w:hAnsi="宋体" w:eastAsia="宋体" w:cs="宋体"/>
          <w:color w:val="auto"/>
          <w:sz w:val="24"/>
          <w:szCs w:val="24"/>
          <w:highlight w:val="none"/>
          <w:vertAlign w:val="superscript"/>
        </w:rPr>
        <w:t xml:space="preserve">1</w:t>
      </w:r>
      <w:r>
        <w:rPr>
          <w:rStyle w:val="1148"/>
          <w:rFonts w:hint="eastAsia" w:ascii="宋体" w:hAnsi="宋体" w:eastAsia="宋体" w:cs="宋体"/>
          <w:color w:val="auto"/>
          <w:sz w:val="24"/>
          <w:szCs w:val="24"/>
          <w:highlight w:val="none"/>
        </w:rPr>
        <w:t xml:space="preserve">，属于</w:t>
      </w:r>
      <w:r>
        <w:rPr>
          <w:rStyle w:val="1148"/>
          <w:rFonts w:hint="eastAsia" w:ascii="宋体" w:hAnsi="宋体" w:eastAsia="宋体" w:cs="宋体"/>
          <w:color w:val="auto"/>
          <w:sz w:val="24"/>
          <w:szCs w:val="24"/>
          <w:highlight w:val="none"/>
          <w:u w:val="single"/>
        </w:rPr>
        <w:t xml:space="preserve">（中型企业、小型企业、微型企业）；</w:t>
      </w:r>
      <w:r/>
    </w:p>
    <w:p>
      <w:pPr>
        <w:pStyle w:val="1268"/>
        <w:ind w:firstLine="480"/>
        <w:jc w:val="left"/>
        <w:spacing w:line="500" w:lineRule="exact"/>
        <w:rPr>
          <w:rStyle w:val="1148"/>
          <w:rFonts w:hint="eastAsia" w:ascii="宋体" w:hAnsi="宋体" w:eastAsia="宋体" w:cs="宋体"/>
          <w:color w:val="auto"/>
          <w:sz w:val="24"/>
          <w:szCs w:val="24"/>
          <w:highlight w:val="none"/>
          <w:u w:val="single"/>
        </w:rPr>
      </w:pPr>
      <w:r>
        <w:rPr>
          <w:rStyle w:val="1148"/>
          <w:rFonts w:hint="eastAsia" w:ascii="宋体" w:hAnsi="宋体" w:eastAsia="宋体" w:cs="宋体"/>
          <w:color w:val="auto"/>
          <w:sz w:val="24"/>
          <w:szCs w:val="24"/>
          <w:highlight w:val="none"/>
        </w:rPr>
        <w:t xml:space="preserve">2. </w:t>
      </w:r>
      <w:r>
        <w:rPr>
          <w:rStyle w:val="1148"/>
          <w:rFonts w:hint="eastAsia" w:ascii="宋体" w:hAnsi="宋体" w:eastAsia="宋体" w:cs="宋体"/>
          <w:color w:val="auto"/>
          <w:sz w:val="24"/>
          <w:szCs w:val="24"/>
          <w:highlight w:val="none"/>
          <w:u w:val="single"/>
        </w:rPr>
        <w:t xml:space="preserve">标的名称          </w:t>
      </w:r>
      <w:r>
        <w:rPr>
          <w:rStyle w:val="1148"/>
          <w:rFonts w:hint="eastAsia" w:ascii="宋体" w:hAnsi="宋体" w:eastAsia="宋体" w:cs="宋体"/>
          <w:color w:val="auto"/>
          <w:sz w:val="24"/>
          <w:szCs w:val="24"/>
          <w:highlight w:val="none"/>
        </w:rPr>
        <w:t xml:space="preserve">，属于（</w:t>
      </w:r>
      <w:r>
        <w:rPr>
          <w:rStyle w:val="1148"/>
          <w:rFonts w:hint="eastAsia" w:ascii="宋体" w:hAnsi="宋体" w:eastAsia="宋体" w:cs="宋体"/>
          <w:i/>
          <w:color w:val="auto"/>
          <w:sz w:val="24"/>
          <w:szCs w:val="24"/>
          <w:highlight w:val="none"/>
          <w:u w:val="single"/>
        </w:rPr>
        <w:t xml:space="preserve">采购文件中明确的所属行业）</w:t>
      </w:r>
      <w:r>
        <w:rPr>
          <w:rStyle w:val="1148"/>
          <w:rFonts w:hint="eastAsia" w:ascii="宋体" w:hAnsi="宋体" w:eastAsia="宋体" w:cs="宋体"/>
          <w:color w:val="auto"/>
          <w:sz w:val="24"/>
          <w:szCs w:val="24"/>
          <w:highlight w:val="none"/>
          <w:u w:val="single"/>
        </w:rPr>
        <w:t xml:space="preserve">行业</w:t>
      </w:r>
      <w:r>
        <w:rPr>
          <w:rStyle w:val="1148"/>
          <w:rFonts w:hint="eastAsia" w:ascii="宋体" w:hAnsi="宋体" w:eastAsia="宋体" w:cs="宋体"/>
          <w:color w:val="auto"/>
          <w:sz w:val="24"/>
          <w:szCs w:val="24"/>
          <w:highlight w:val="none"/>
        </w:rPr>
        <w:t xml:space="preserve">；制造商为</w:t>
      </w:r>
      <w:r>
        <w:rPr>
          <w:rStyle w:val="1148"/>
          <w:rFonts w:hint="eastAsia" w:ascii="宋体" w:hAnsi="宋体" w:eastAsia="宋体" w:cs="宋体"/>
          <w:color w:val="auto"/>
          <w:sz w:val="24"/>
          <w:szCs w:val="24"/>
          <w:highlight w:val="none"/>
          <w:u w:val="single"/>
        </w:rPr>
        <w:t xml:space="preserve">（企业名称）        </w:t>
      </w:r>
      <w:r>
        <w:rPr>
          <w:rStyle w:val="1148"/>
          <w:rFonts w:hint="eastAsia" w:ascii="宋体" w:hAnsi="宋体" w:eastAsia="宋体" w:cs="宋体"/>
          <w:color w:val="auto"/>
          <w:sz w:val="24"/>
          <w:szCs w:val="24"/>
          <w:highlight w:val="none"/>
        </w:rPr>
        <w:t xml:space="preserve">，从业人员</w:t>
      </w:r>
      <w:r>
        <w:rPr>
          <w:rStyle w:val="1148"/>
          <w:rFonts w:hint="eastAsia" w:ascii="宋体" w:hAnsi="宋体" w:eastAsia="宋体" w:cs="宋体"/>
          <w:color w:val="auto"/>
          <w:sz w:val="24"/>
          <w:szCs w:val="24"/>
          <w:highlight w:val="none"/>
          <w:u w:val="single"/>
        </w:rPr>
        <w:t xml:space="preserve">   </w:t>
      </w:r>
      <w:r>
        <w:rPr>
          <w:rStyle w:val="1148"/>
          <w:rFonts w:hint="eastAsia" w:ascii="宋体" w:hAnsi="宋体" w:eastAsia="宋体" w:cs="宋体"/>
          <w:color w:val="auto"/>
          <w:sz w:val="24"/>
          <w:szCs w:val="24"/>
          <w:highlight w:val="none"/>
        </w:rPr>
        <w:t xml:space="preserve">人，营业收入为 </w:t>
      </w:r>
      <w:r>
        <w:rPr>
          <w:rStyle w:val="1148"/>
          <w:rFonts w:hint="eastAsia" w:ascii="宋体" w:hAnsi="宋体" w:eastAsia="宋体" w:cs="宋体"/>
          <w:color w:val="auto"/>
          <w:sz w:val="24"/>
          <w:szCs w:val="24"/>
          <w:highlight w:val="none"/>
          <w:u w:val="single"/>
        </w:rPr>
        <w:t xml:space="preserve">       </w:t>
      </w:r>
      <w:r>
        <w:rPr>
          <w:rStyle w:val="1148"/>
          <w:rFonts w:hint="eastAsia" w:ascii="宋体" w:hAnsi="宋体" w:eastAsia="宋体" w:cs="宋体"/>
          <w:color w:val="auto"/>
          <w:sz w:val="24"/>
          <w:szCs w:val="24"/>
          <w:highlight w:val="none"/>
        </w:rPr>
        <w:t xml:space="preserve">万元，资产总额为</w:t>
      </w:r>
      <w:r>
        <w:rPr>
          <w:rStyle w:val="1148"/>
          <w:rFonts w:hint="eastAsia" w:ascii="宋体" w:hAnsi="宋体" w:eastAsia="宋体" w:cs="宋体"/>
          <w:color w:val="auto"/>
          <w:sz w:val="24"/>
          <w:szCs w:val="24"/>
          <w:highlight w:val="none"/>
          <w:u w:val="single"/>
        </w:rPr>
        <w:t xml:space="preserve">        </w:t>
      </w:r>
      <w:r>
        <w:rPr>
          <w:rStyle w:val="1148"/>
          <w:rFonts w:hint="eastAsia" w:ascii="宋体" w:hAnsi="宋体" w:eastAsia="宋体" w:cs="宋体"/>
          <w:color w:val="auto"/>
          <w:sz w:val="24"/>
          <w:szCs w:val="24"/>
          <w:highlight w:val="none"/>
        </w:rPr>
        <w:t xml:space="preserve">万元，属于</w:t>
      </w:r>
      <w:r>
        <w:rPr>
          <w:rStyle w:val="1148"/>
          <w:rFonts w:hint="eastAsia" w:ascii="宋体" w:hAnsi="宋体" w:eastAsia="宋体" w:cs="宋体"/>
          <w:color w:val="auto"/>
          <w:sz w:val="24"/>
          <w:szCs w:val="24"/>
          <w:highlight w:val="none"/>
          <w:u w:val="single"/>
        </w:rPr>
        <w:t xml:space="preserve">（中型企业、小型企业、微型企业）；</w:t>
      </w:r>
      <w:r/>
    </w:p>
    <w:p>
      <w:pPr>
        <w:pStyle w:val="1268"/>
        <w:ind w:firstLine="480"/>
        <w:jc w:val="left"/>
        <w:spacing w:line="500" w:lineRule="exact"/>
        <w:rPr>
          <w:rStyle w:val="1148"/>
          <w:rFonts w:hint="eastAsia" w:ascii="宋体" w:hAnsi="宋体" w:eastAsia="宋体" w:cs="宋体"/>
          <w:color w:val="auto"/>
          <w:sz w:val="24"/>
          <w:szCs w:val="24"/>
          <w:highlight w:val="none"/>
        </w:rPr>
      </w:pPr>
      <w:r>
        <w:rPr>
          <w:rStyle w:val="1148"/>
          <w:rFonts w:hint="eastAsia" w:ascii="宋体" w:hAnsi="宋体" w:eastAsia="宋体" w:cs="宋体"/>
          <w:color w:val="auto"/>
          <w:sz w:val="24"/>
          <w:szCs w:val="24"/>
          <w:highlight w:val="none"/>
        </w:rPr>
        <w:t xml:space="preserve">……</w:t>
      </w:r>
      <w:r/>
    </w:p>
    <w:p>
      <w:pPr>
        <w:pStyle w:val="1268"/>
        <w:ind w:firstLine="480"/>
        <w:jc w:val="left"/>
        <w:spacing w:line="500" w:lineRule="exact"/>
        <w:rPr>
          <w:rStyle w:val="1148"/>
          <w:rFonts w:hint="eastAsia" w:ascii="宋体" w:hAnsi="宋体" w:eastAsia="宋体" w:cs="宋体"/>
          <w:color w:val="auto"/>
          <w:sz w:val="24"/>
          <w:szCs w:val="24"/>
          <w:highlight w:val="none"/>
        </w:rPr>
      </w:pPr>
      <w:r>
        <w:rPr>
          <w:rStyle w:val="1148"/>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1268"/>
        <w:ind w:firstLine="480"/>
        <w:jc w:val="left"/>
        <w:spacing w:line="500" w:lineRule="exact"/>
        <w:rPr>
          <w:rStyle w:val="1148"/>
          <w:rFonts w:hint="eastAsia" w:ascii="宋体" w:hAnsi="宋体" w:eastAsia="宋体" w:cs="宋体"/>
          <w:color w:val="auto"/>
          <w:sz w:val="24"/>
          <w:szCs w:val="24"/>
          <w:highlight w:val="none"/>
        </w:rPr>
      </w:pPr>
      <w:r>
        <w:rPr>
          <w:rStyle w:val="1148"/>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年___月___日</w:t>
      </w:r>
      <w:r/>
    </w:p>
    <w:p>
      <w:pPr>
        <w:pStyle w:val="1268"/>
        <w:ind w:firstLine="360"/>
        <w:spacing w:line="560" w:lineRule="exact"/>
        <w:rPr>
          <w:rStyle w:val="1148"/>
          <w:rFonts w:hint="eastAsia" w:ascii="宋体" w:hAnsi="宋体" w:eastAsia="宋体" w:cs="宋体"/>
          <w:color w:val="auto"/>
          <w:sz w:val="18"/>
          <w:szCs w:val="18"/>
          <w:highlight w:val="none"/>
        </w:rPr>
      </w:pPr>
      <w:r>
        <w:rPr>
          <w:rStyle w:val="1148"/>
          <w:rFonts w:hint="eastAsia" w:ascii="宋体" w:hAnsi="宋体" w:eastAsia="宋体" w:cs="宋体"/>
          <w:color w:val="auto"/>
          <w:sz w:val="18"/>
          <w:szCs w:val="18"/>
          <w:highlight w:val="none"/>
          <w:vertAlign w:val="superscript"/>
        </w:rPr>
        <w:t xml:space="preserve">1</w:t>
      </w:r>
      <w:r>
        <w:rPr>
          <w:rStyle w:val="1148"/>
          <w:rFonts w:hint="eastAsia" w:ascii="宋体" w:hAnsi="宋体" w:eastAsia="宋体" w:cs="宋体"/>
          <w:color w:val="auto"/>
          <w:sz w:val="18"/>
          <w:szCs w:val="18"/>
          <w:highlight w:val="none"/>
        </w:rPr>
        <w:t xml:space="preserve">从业人员、营业收入、资产总额填报上一年数据，无上一年数据的新成立企业可不填报。</w:t>
      </w:r>
      <w:r/>
    </w:p>
    <w:p>
      <w:pPr>
        <w:spacing w:line="460" w:lineRule="exact"/>
        <w:rPr>
          <w:rFonts w:hint="eastAsia" w:ascii="宋体" w:hAnsi="宋体" w:eastAsia="宋体" w:cs="宋体"/>
          <w:iCs/>
          <w:color w:val="auto"/>
          <w:sz w:val="32"/>
          <w:szCs w:val="32"/>
          <w:highlight w:val="none"/>
        </w:rPr>
      </w:pPr>
      <w:r>
        <w:rPr>
          <w:rFonts w:hint="eastAsia" w:ascii="宋体" w:hAnsi="宋体" w:eastAsia="宋体" w:cs="宋体"/>
          <w:b/>
          <w:color w:val="auto"/>
          <w:sz w:val="32"/>
          <w:szCs w:val="32"/>
          <w:highlight w:val="none"/>
        </w:rPr>
        <w:br w:type="page" w:clear="all"/>
      </w:r>
      <w:r/>
    </w:p>
    <w:p>
      <w:pPr>
        <w:pStyle w:val="1269"/>
        <w:jc w:val="center"/>
        <w:spacing w:before="151" w:after="151" w:line="600" w:lineRule="exact"/>
        <w:rPr>
          <w:rStyle w:val="1148"/>
          <w:rFonts w:hint="eastAsia" w:ascii="宋体" w:hAnsi="宋体" w:eastAsia="宋体" w:cs="宋体"/>
          <w:b/>
          <w:bCs/>
          <w:color w:val="auto"/>
          <w:sz w:val="32"/>
          <w:szCs w:val="32"/>
          <w:highlight w:val="none"/>
        </w:rPr>
      </w:pPr>
      <w:r>
        <w:rPr>
          <w:rStyle w:val="1148"/>
          <w:rFonts w:hint="eastAsia" w:ascii="宋体" w:hAnsi="宋体" w:eastAsia="宋体" w:cs="宋体"/>
          <w:b/>
          <w:bCs/>
          <w:color w:val="auto"/>
          <w:sz w:val="32"/>
          <w:szCs w:val="32"/>
          <w:highlight w:val="none"/>
        </w:rPr>
        <w:t xml:space="preserve">残疾人福利性单位声明函</w:t>
      </w:r>
      <w:r/>
    </w:p>
    <w:p>
      <w:pPr>
        <w:pStyle w:val="1270"/>
        <w:spacing w:line="588" w:lineRule="exact"/>
        <w:rPr>
          <w:rStyle w:val="1148"/>
          <w:rFonts w:hint="eastAsia" w:ascii="宋体" w:hAnsi="宋体" w:eastAsia="宋体" w:cs="宋体"/>
          <w:b/>
          <w:color w:val="auto"/>
          <w:spacing w:val="6"/>
          <w:sz w:val="30"/>
          <w:szCs w:val="30"/>
          <w:highlight w:val="none"/>
        </w:rPr>
      </w:pPr>
      <w:r>
        <w:rPr>
          <w:rFonts w:hint="eastAsia" w:ascii="宋体" w:hAnsi="宋体" w:eastAsia="宋体" w:cs="宋体"/>
          <w:b/>
          <w:color w:val="auto"/>
          <w:spacing w:val="6"/>
          <w:sz w:val="30"/>
          <w:szCs w:val="30"/>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（备注：1、投标人如不提供此声明函，价格将不做相应扣除。2、中标人为残疾人福利单位的，此声明函将随中标结果同时公告，接受社会监督。）</w:t>
      </w:r>
      <w:r/>
    </w:p>
    <w:p>
      <w:pPr>
        <w:ind w:firstLine="624"/>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1256"/>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6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年___月___日</w:t>
      </w:r>
      <w:r/>
    </w:p>
    <w:p>
      <w:pPr>
        <w:pStyle w:val="930"/>
        <w:spacing w:before="0" w:after="0" w:line="520" w:lineRule="exact"/>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bCs/>
          <w:color w:val="auto"/>
          <w:sz w:val="32"/>
          <w:szCs w:val="32"/>
          <w:highlight w:val="none"/>
        </w:rPr>
        <w:t xml:space="preserve">七、</w:t>
      </w:r>
      <w:r>
        <w:rPr>
          <w:rFonts w:hint="eastAsia" w:ascii="宋体" w:hAnsi="宋体" w:eastAsia="宋体" w:cs="宋体"/>
          <w:b/>
          <w:bCs/>
          <w:color w:val="auto"/>
          <w:sz w:val="32"/>
          <w:szCs w:val="32"/>
          <w:highlight w:val="none"/>
        </w:rPr>
        <w:t xml:space="preserve">关于符合本国产品标准的声明函</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p>
    <w:p>
      <w:pPr>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32"/>
          <w:szCs w:val="22"/>
          <w:highlight w:val="none"/>
        </w:rPr>
        <w:t xml:space="preserve">格式详见投标文件制作工具</w:t>
      </w:r>
      <w:r/>
    </w:p>
    <w:p>
      <w:pPr>
        <w:jc w:val="left"/>
        <w:spacing w:line="560" w:lineRule="exact"/>
        <w:rPr>
          <w:rFonts w:hint="eastAsia" w:ascii="宋体" w:hAnsi="宋体" w:eastAsia="宋体" w:cs="宋体"/>
          <w:b/>
          <w:color w:val="auto"/>
          <w:sz w:val="32"/>
          <w:szCs w:val="32"/>
          <w:highlight w:val="none"/>
        </w:rPr>
        <w:sectPr>
          <w:footerReference w:type="default" r:id="rId18"/>
          <w:footerReference w:type="first" r:id="rId19"/>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color w:val="auto"/>
          <w:sz w:val="32"/>
          <w:szCs w:val="32"/>
          <w:highlight w:val="none"/>
        </w:rPr>
      </w:r>
      <w:r/>
    </w:p>
    <w:p>
      <w:pPr>
        <w:jc w:val="left"/>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八、技术要求响应及偏离表（分包号：</w:t>
      </w:r>
      <w:r>
        <w:rPr>
          <w:rFonts w:hint="eastAsia" w:ascii="宋体" w:hAnsi="宋体" w:eastAsia="宋体" w:cs="宋体"/>
          <w:b/>
          <w:bCs/>
          <w:color w:val="auto"/>
          <w:sz w:val="32"/>
          <w:szCs w:val="32"/>
          <w:highlight w:val="none"/>
          <w:lang w:eastAsia="zh-CN"/>
        </w:rPr>
        <w:t xml:space="preserve">JSZC-321311-SQHZ-G2026-0004</w:t>
      </w:r>
      <w:r>
        <w:rPr>
          <w:rFonts w:hint="eastAsia" w:ascii="宋体" w:hAnsi="宋体" w:eastAsia="宋体" w:cs="宋体"/>
          <w:b/>
          <w:color w:val="auto"/>
          <w:sz w:val="32"/>
          <w:szCs w:val="32"/>
          <w:highlight w:val="none"/>
        </w:rPr>
        <w:t xml:space="preserve">）</w:t>
      </w:r>
      <w:r/>
    </w:p>
    <w:tbl>
      <w:tblPr>
        <w:tblStyle w:val="939"/>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977"/>
        <w:gridCol w:w="2595"/>
        <w:gridCol w:w="1879"/>
        <w:gridCol w:w="1173"/>
      </w:tblGrid>
      <w:tr>
        <w:trPr>
          <w:cantSplit/>
        </w:trPr>
        <w:tc>
          <w:tcPr>
            <w:tcW w:w="5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977" w:type="dxa"/>
            <w:vAlign w:val="center"/>
            <w:textDirection w:val="lrTb"/>
            <w:noWrap w:val="false"/>
          </w:tcPr>
          <w:p>
            <w:pPr>
              <w:pStyle w:val="1198"/>
              <w:jc w:val="center"/>
              <w:spacing w:before="0" w:beforeAutospacing="0" w:after="0" w:afterAutospacing="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rPr>
              <w:t xml:space="preserve">招标文件内容</w:t>
            </w:r>
            <w:r/>
          </w:p>
        </w:tc>
        <w:tc>
          <w:tcPr>
            <w:tcW w:w="2595" w:type="dxa"/>
            <w:vAlign w:val="center"/>
            <w:textDirection w:val="lrTb"/>
            <w:noWrap w:val="false"/>
          </w:tcPr>
          <w:p>
            <w:pPr>
              <w:pStyle w:val="1198"/>
              <w:jc w:val="center"/>
              <w:spacing w:before="0" w:beforeAutospacing="0" w:after="0" w:afterAutospacing="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rPr>
              <w:t xml:space="preserve">投标文件内容</w:t>
            </w:r>
            <w:r/>
          </w:p>
        </w:tc>
        <w:tc>
          <w:tcPr>
            <w:tcW w:w="1879" w:type="dxa"/>
            <w:vAlign w:val="center"/>
            <w:textDirection w:val="lrTb"/>
            <w:noWrap w:val="false"/>
          </w:tcPr>
          <w:p>
            <w:pPr>
              <w:pStyle w:val="1198"/>
              <w:jc w:val="center"/>
              <w:spacing w:before="0" w:beforeAutospacing="0" w:after="0" w:afterAutospacing="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rPr>
              <w:t xml:space="preserve">偏离（填报“正偏离、符合或负偏离”）</w:t>
            </w:r>
            <w:r/>
          </w:p>
        </w:tc>
        <w:tc>
          <w:tcPr>
            <w:tcW w:w="11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8"/>
                <w:highlight w:val="none"/>
              </w:rPr>
              <w:t xml:space="preserve">偏离内容及说明</w:t>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77"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9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77"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9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77"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9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77"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9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77"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9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77"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9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77"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9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77"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59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盖</w:t>
      </w:r>
      <w:r>
        <w:rPr>
          <w:rFonts w:hint="eastAsia" w:ascii="宋体" w:hAnsi="宋体" w:eastAsia="宋体" w:cs="宋体"/>
          <w:color w:val="auto"/>
          <w:sz w:val="24"/>
          <w:highlight w:val="none"/>
        </w:rPr>
        <w:t xml:space="preserve">CA</w:t>
      </w:r>
      <w:r>
        <w:rPr>
          <w:rFonts w:hint="eastAsia" w:ascii="宋体" w:hAnsi="宋体" w:eastAsia="宋体" w:cs="宋体"/>
          <w:color w:val="auto"/>
          <w:sz w:val="24"/>
          <w:highlight w:val="none"/>
        </w:rPr>
        <w:t xml:space="preserve">电子公章）</w:t>
      </w:r>
      <w:r/>
    </w:p>
    <w:p>
      <w:pPr>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rPr>
        <w:t xml:space="preserve">必须对技术要求和商务要求中的实质性要求（打“★”内容）做出明确响应，否则作无效响应处理。</w:t>
      </w:r>
      <w:r/>
    </w:p>
    <w:p>
      <w:pPr>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2.如果采购文件要求提供证明材料，</w:t>
      </w: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rPr>
        <w:t xml:space="preserve">必须将证明材料列于该表之下。</w:t>
      </w:r>
      <w:r/>
    </w:p>
    <w:p>
      <w:pPr>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rPr>
        <w:t xml:space="preserve">未对实质性要求作出明确响应的，或未按采购文件要求提供证明材料的，该分包作无效响应处理。</w:t>
      </w:r>
      <w:r/>
    </w:p>
    <w:p>
      <w:pPr>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4.行数不够，可自行添加。</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259"/>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九、</w:t>
      </w:r>
      <w:r>
        <w:rPr>
          <w:rFonts w:hint="eastAsia" w:ascii="宋体" w:hAnsi="宋体" w:eastAsia="宋体" w:cs="宋体"/>
          <w:color w:val="auto"/>
          <w:highlight w:val="none"/>
        </w:rPr>
        <w:t xml:space="preserve">项目组人员</w:t>
      </w:r>
      <w:r/>
    </w:p>
    <w:p>
      <w:pPr>
        <w:pStyle w:val="1198"/>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项目组成员</w:t>
      </w:r>
      <w:r/>
    </w:p>
    <w:tbl>
      <w:tblPr>
        <w:tblStyle w:val="939"/>
        <w:tblpPr w:horzAnchor="margin" w:tblpXSpec="center" w:vertAnchor="text" w:tblpY="74" w:leftFromText="180" w:topFromText="0" w:rightFromText="180" w:bottomFromText="0"/>
        <w:tblW w:w="84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60"/>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W w:w="1843" w:type="dxa"/>
            <w:vAlign w:val="center"/>
            <w:textDirection w:val="lrTb"/>
            <w:noWrap w:val="false"/>
          </w:tcPr>
          <w:p>
            <w:pPr>
              <w:pStyle w:val="1260"/>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tc>
        <w:tc>
          <w:tcPr>
            <w:tcW w:w="992" w:type="dxa"/>
            <w:vAlign w:val="center"/>
            <w:textDirection w:val="lrTb"/>
            <w:noWrap w:val="false"/>
          </w:tcPr>
          <w:p>
            <w:pPr>
              <w:pStyle w:val="1260"/>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W w:w="1984" w:type="dxa"/>
            <w:vAlign w:val="center"/>
            <w:textDirection w:val="lrTb"/>
            <w:noWrap w:val="false"/>
          </w:tcPr>
          <w:p>
            <w:pPr>
              <w:pStyle w:val="1260"/>
              <w:ind w:firstLine="280"/>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W w:w="1702" w:type="dxa"/>
            <w:vAlign w:val="center"/>
            <w:textDirection w:val="lrTb"/>
            <w:noWrap w:val="false"/>
          </w:tcPr>
          <w:p>
            <w:pPr>
              <w:pStyle w:val="1260"/>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W w:w="962" w:type="dxa"/>
            <w:vAlign w:val="center"/>
            <w:textDirection w:val="lrTb"/>
            <w:noWrap w:val="false"/>
          </w:tcPr>
          <w:p>
            <w:pPr>
              <w:pStyle w:val="1260"/>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W w:w="959"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198"/>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99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198"/>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198"/>
              <w:ind w:firstLine="2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19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19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19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19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1198"/>
        <w:ind w:firstLine="398"/>
        <w:spacing w:line="460" w:lineRule="exact"/>
        <w:rPr>
          <w:rFonts w:hint="eastAsia" w:ascii="宋体" w:hAnsi="宋体" w:eastAsia="宋体" w:cs="宋体"/>
          <w:color w:val="auto"/>
          <w:highlight w:val="none"/>
        </w:rPr>
      </w:pPr>
      <w:r>
        <w:rPr>
          <w:rFonts w:hint="eastAsia" w:ascii="宋体" w:hAnsi="宋体" w:eastAsia="宋体" w:cs="宋体"/>
          <w:b/>
          <w:color w:val="auto"/>
          <w:highlight w:val="none"/>
          <w:lang w:bidi="ar"/>
        </w:rPr>
        <w:t xml:space="preserve">注：如供应商中标，项目组成员必须按本表承诺人员操作，不得随意更换。按</w:t>
      </w:r>
      <w:r>
        <w:rPr>
          <w:rFonts w:hint="eastAsia" w:ascii="宋体" w:hAnsi="宋体" w:eastAsia="宋体" w:cs="宋体"/>
          <w:b/>
          <w:color w:val="auto"/>
          <w:highlight w:val="none"/>
          <w:lang w:bidi="ar"/>
        </w:rPr>
        <w:t xml:space="preserve">招标</w:t>
      </w:r>
      <w:r>
        <w:rPr>
          <w:rFonts w:hint="eastAsia" w:ascii="宋体" w:hAnsi="宋体" w:eastAsia="宋体" w:cs="宋体"/>
          <w:b/>
          <w:color w:val="auto"/>
          <w:highlight w:val="none"/>
          <w:lang w:bidi="ar"/>
        </w:rPr>
        <w:t xml:space="preserve">文件要求附相关人员证书。</w:t>
      </w:r>
      <w:r/>
    </w:p>
    <w:p>
      <w:pPr>
        <w:pStyle w:val="1198"/>
        <w:ind w:firstLine="2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61"/>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239" w:name="_Toc11176"/>
      <w:r>
        <w:rPr>
          <w:rFonts w:hint="eastAsia" w:ascii="宋体" w:hAnsi="宋体" w:eastAsia="宋体" w:cs="宋体"/>
          <w:b/>
          <w:color w:val="auto"/>
          <w:sz w:val="32"/>
          <w:highlight w:val="none"/>
        </w:rPr>
        <w:t xml:space="preserve">十、</w:t>
      </w:r>
      <w:bookmarkEnd w:id="239"/>
      <w:r>
        <w:rPr>
          <w:rFonts w:hint="eastAsia" w:ascii="宋体" w:hAnsi="宋体" w:eastAsia="宋体" w:cs="宋体"/>
          <w:b/>
          <w:color w:val="auto"/>
          <w:sz w:val="32"/>
          <w:highlight w:val="none"/>
        </w:rPr>
        <w:t xml:space="preserve">企业业绩</w:t>
      </w:r>
      <w:r/>
    </w:p>
    <w:p>
      <w:pPr>
        <w:pStyle w:val="1262"/>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投标人承担类似项目业绩一览表</w:t>
      </w:r>
      <w:r/>
    </w:p>
    <w:tbl>
      <w:tblPr>
        <w:tblStyle w:val="93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63"/>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1263"/>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1263"/>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1263"/>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1510"/>
        </w:trPr>
        <w:tc>
          <w:tcPr>
            <w:tcW w:w="1229" w:type="dxa"/>
            <w:textDirection w:val="lrTb"/>
            <w:noWrap w:val="false"/>
          </w:tcPr>
          <w:p>
            <w:pPr>
              <w:pStyle w:val="126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26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26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26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126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26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26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26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126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26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26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26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textDirection w:val="lrTb"/>
            <w:noWrap w:val="false"/>
          </w:tcPr>
          <w:p>
            <w:pPr>
              <w:pStyle w:val="126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26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26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26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126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注：1.请填写此表，并按要求上传业绩资料原件扫描件。</w:t>
      </w:r>
      <w:r/>
    </w:p>
    <w:p>
      <w:pPr>
        <w:pStyle w:val="126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2.中标后，本表将随中标结果公告公开。</w:t>
      </w:r>
      <w:r/>
    </w:p>
    <w:p>
      <w:pPr>
        <w:pStyle w:val="1264"/>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240" w:name="_Toc28140"/>
      <w:r>
        <w:rPr>
          <w:rFonts w:hint="eastAsia" w:ascii="宋体" w:hAnsi="宋体" w:eastAsia="宋体" w:cs="宋体"/>
          <w:color w:val="auto"/>
          <w:highlight w:val="none"/>
        </w:rPr>
        <w:t xml:space="preserve">十一</w:t>
      </w:r>
      <w:r>
        <w:rPr>
          <w:rFonts w:hint="eastAsia" w:ascii="宋体" w:hAnsi="宋体" w:eastAsia="宋体" w:cs="宋体"/>
          <w:color w:val="auto"/>
          <w:highlight w:val="none"/>
        </w:rPr>
        <w:t xml:space="preserve">、投标所需其他材料</w:t>
      </w:r>
      <w:bookmarkEnd w:id="240"/>
      <w:r/>
      <w:r/>
    </w:p>
    <w:p>
      <w:pPr>
        <w:pStyle w:val="1265"/>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bookmarkEnd w:id="235"/>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8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1141"/>
        <w:ind w:firstLine="0"/>
        <w:rPr>
          <w:rFonts w:hint="eastAsia" w:ascii="宋体" w:hAnsi="宋体" w:eastAsia="宋体" w:cs="宋体"/>
          <w:color w:val="auto"/>
          <w:sz w:val="24"/>
          <w:highlight w:val="none"/>
        </w:rPr>
      </w:pPr>
      <w:r/>
      <w:bookmarkStart w:id="241" w:name="_Hlt26955066"/>
      <w:r/>
      <w:bookmarkEnd w:id="241"/>
      <w:r/>
      <w:bookmarkStart w:id="242" w:name="_Hlt26671374"/>
      <w:r/>
      <w:bookmarkEnd w:id="242"/>
      <w:r/>
      <w:bookmarkStart w:id="243" w:name="_Hlt26609389"/>
      <w:r/>
      <w:bookmarkEnd w:id="243"/>
      <w:r/>
      <w:bookmarkStart w:id="244" w:name="_Toc462564146"/>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21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21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21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21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212"/>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216"/>
      <w:r/>
      <w:bookmarkEnd w:id="217"/>
      <w:r/>
      <w:bookmarkEnd w:id="244"/>
      <w:r/>
      <w:r/>
    </w:p>
    <w:p>
      <w:pPr>
        <w:pStyle w:val="121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b/>
          <w:bCs/>
          <w:color w:val="auto"/>
          <w:sz w:val="32"/>
          <w:szCs w:val="32"/>
          <w:highlight w:val="none"/>
        </w:rPr>
      </w:pPr>
      <w:r/>
      <w:bookmarkStart w:id="245" w:name="_格式2__法定代表人授权书"/>
      <w:r/>
      <w:bookmarkEnd w:id="245"/>
      <w:r>
        <w:rPr>
          <w:rFonts w:hint="eastAsia" w:ascii="宋体" w:hAnsi="宋体" w:eastAsia="宋体" w:cs="宋体"/>
          <w:b/>
          <w:color w:val="auto"/>
          <w:sz w:val="32"/>
          <w:szCs w:val="32"/>
          <w:highlight w:val="none"/>
        </w:rPr>
        <w:br w:type="page" w:clear="all"/>
      </w: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一、质疑投标人基本信息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质疑投标人：</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1.投标人提出质疑时，应提交质疑函和必要的证明材料。</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2.质疑投标人若委托代理人进行质疑的，质疑函应按要求列明“授权代表”的有关内容，并在附件中提交由质疑</w:t>
      </w:r>
      <w:r>
        <w:rPr>
          <w:rFonts w:hint="eastAsia" w:ascii="宋体" w:hAnsi="宋体" w:eastAsia="宋体" w:cs="宋体"/>
          <w:color w:val="auto"/>
          <w:sz w:val="24"/>
          <w:szCs w:val="24"/>
          <w:highlight w:val="none"/>
        </w:rPr>
        <w:t xml:space="preserve">投标人签署的授权委托书。授权委托书应载明代理人的姓名或者名称、代理事项、具体权限、期限和相关事项。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3.质疑投标人若对项目的某一分包进行质疑，质疑函中应列明具体分包号。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11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Adobe 仿宋 Std R">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rPr>
        <w:rStyle w:val="1208"/>
        <w:rFonts w:hint="eastAsia" w:ascii="宋体" w:hAnsi="宋体"/>
      </w:rPr>
      <w:framePr w:wrap="around" w:vAnchor="text" w:hAnchor="margin" w:xAlign="center" w:y="1"/>
    </w:pPr>
    <w:r>
      <w:rPr>
        <w:rFonts w:ascii="宋体" w:hAnsi="宋体"/>
      </w:rPr>
      <w:fldChar w:fldCharType="begin"/>
    </w:r>
    <w:r>
      <w:rPr>
        <w:rStyle w:val="1208"/>
        <w:rFonts w:ascii="宋体" w:hAnsi="宋体"/>
      </w:rPr>
      <w:instrText xml:space="preserve">PAGE  </w:instrText>
    </w:r>
    <w:r>
      <w:rPr>
        <w:rFonts w:ascii="宋体" w:hAnsi="宋体"/>
      </w:rPr>
      <w:fldChar w:fldCharType="separate"/>
    </w:r>
    <w:r>
      <w:rPr>
        <w:rStyle w:val="1208"/>
        <w:rFonts w:ascii="宋体" w:hAnsi="宋体"/>
      </w:rPr>
      <w:t xml:space="preserve">３５</w:t>
    </w:r>
    <w:r>
      <w:rPr>
        <w:rFonts w:ascii="宋体" w:hAnsi="宋体"/>
      </w:rPr>
      <w:fldChar w:fldCharType="end"/>
    </w:r>
    <w:r/>
  </w:p>
  <w:p>
    <w:pPr>
      <w:pStyle w:val="1183"/>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rPr>
        <w:rStyle w:val="1208"/>
      </w:rPr>
      <w:framePr w:wrap="around" w:vAnchor="text" w:hAnchor="margin" w:xAlign="center" w:y="1"/>
    </w:pPr>
    <w:r>
      <w:fldChar w:fldCharType="begin"/>
    </w:r>
    <w:r>
      <w:rPr>
        <w:rStyle w:val="1208"/>
      </w:rPr>
      <w:instrText xml:space="preserve">PAGE  </w:instrText>
    </w:r>
    <w:r>
      <w:fldChar w:fldCharType="separate"/>
    </w:r>
    <w:r>
      <w:rPr>
        <w:rStyle w:val="1208"/>
      </w:rPr>
      <w:t xml:space="preserve">1</w:t>
    </w:r>
    <w:r>
      <w:fldChar w:fldCharType="end"/>
    </w:r>
    <w:r/>
  </w:p>
  <w:p>
    <w:pPr>
      <w:pStyle w:val="11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jc w:val="center"/>
      <w:rPr>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rPr>
        <w:rStyle w:val="1208"/>
        <w:rFonts w:hint="eastAsia" w:ascii="宋体" w:hAnsi="宋体"/>
      </w:rPr>
      <w:framePr w:wrap="around" w:vAnchor="text" w:hAnchor="margin" w:xAlign="center" w:y="1"/>
    </w:pPr>
    <w:r>
      <w:rPr>
        <w:rFonts w:ascii="宋体" w:hAnsi="宋体"/>
      </w:rPr>
      <w:fldChar w:fldCharType="begin"/>
    </w:r>
    <w:r>
      <w:rPr>
        <w:rStyle w:val="1208"/>
        <w:rFonts w:ascii="宋体" w:hAnsi="宋体"/>
      </w:rPr>
      <w:instrText xml:space="preserve">PAGE  </w:instrText>
    </w:r>
    <w:r>
      <w:rPr>
        <w:rFonts w:ascii="宋体" w:hAnsi="宋体"/>
      </w:rPr>
      <w:fldChar w:fldCharType="separate"/>
    </w:r>
    <w:r>
      <w:rPr>
        <w:rStyle w:val="1208"/>
        <w:rFonts w:ascii="宋体" w:hAnsi="宋体"/>
      </w:rPr>
      <w:t xml:space="preserve">39</w:t>
    </w:r>
    <w:r>
      <w:rPr>
        <w:rFonts w:ascii="宋体" w:hAnsi="宋体"/>
      </w:rPr>
      <w:fldChar w:fldCharType="end"/>
    </w:r>
    <w:r/>
  </w:p>
  <w:p>
    <w:pPr>
      <w:pStyle w:val="1183"/>
      <w:jc w:val="center"/>
      <w:rPr>
        <w:b/>
        <w:i/>
      </w:rPr>
    </w:pP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3"/>
                            <w:tabs>
                              <w:tab w:val="clear" w:pos="4153" w:leader="none"/>
                              <w:tab w:val="clear" w:pos="8306" w:leader="none"/>
                            </w:tabs>
                            <w:rPr>
                              <w:rStyle w:val="1208"/>
                              <w:rFonts w:hint="eastAsia" w:ascii="宋体" w:hAnsi="宋体"/>
                            </w:rPr>
                          </w:pPr>
                          <w:r>
                            <w:rPr>
                              <w:rFonts w:ascii="宋体" w:hAnsi="宋体"/>
                            </w:rPr>
                            <w:fldChar w:fldCharType="begin"/>
                          </w:r>
                          <w:r>
                            <w:rPr>
                              <w:rStyle w:val="1208"/>
                              <w:rFonts w:ascii="宋体" w:hAnsi="宋体"/>
                            </w:rPr>
                            <w:instrText xml:space="preserve">PAGE  </w:instrText>
                          </w:r>
                          <w:r>
                            <w:rPr>
                              <w:rFonts w:ascii="宋体" w:hAnsi="宋体"/>
                            </w:rPr>
                            <w:fldChar w:fldCharType="separate"/>
                          </w:r>
                          <w:r>
                            <w:rPr>
                              <w:rStyle w:val="1208"/>
                              <w:rFonts w:ascii="宋体" w:hAnsi="宋体"/>
                            </w:rPr>
                            <w:t xml:space="preserve">50</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3"/>
                      <w:tabs>
                        <w:tab w:val="clear" w:pos="4153" w:leader="none"/>
                        <w:tab w:val="clear" w:pos="8306" w:leader="none"/>
                      </w:tabs>
                      <w:rPr>
                        <w:rStyle w:val="1208"/>
                        <w:rFonts w:hint="eastAsia" w:ascii="宋体" w:hAnsi="宋体"/>
                      </w:rPr>
                    </w:pPr>
                    <w:r>
                      <w:rPr>
                        <w:rFonts w:ascii="宋体" w:hAnsi="宋体"/>
                      </w:rPr>
                      <w:fldChar w:fldCharType="begin"/>
                    </w:r>
                    <w:r>
                      <w:rPr>
                        <w:rStyle w:val="1208"/>
                        <w:rFonts w:ascii="宋体" w:hAnsi="宋体"/>
                      </w:rPr>
                      <w:instrText xml:space="preserve">PAGE  </w:instrText>
                    </w:r>
                    <w:r>
                      <w:rPr>
                        <w:rFonts w:ascii="宋体" w:hAnsi="宋体"/>
                      </w:rPr>
                      <w:fldChar w:fldCharType="separate"/>
                    </w:r>
                    <w:r>
                      <w:rPr>
                        <w:rStyle w:val="1208"/>
                        <w:rFonts w:ascii="宋体" w:hAnsi="宋体"/>
                      </w:rPr>
                      <w:t xml:space="preserve">50</w:t>
                    </w:r>
                    <w:r>
                      <w:rPr>
                        <w:rFonts w:ascii="宋体" w:hAnsi="宋体"/>
                      </w:rPr>
                      <w:fldChar w:fldCharType="end"/>
                    </w:r>
                    <w:r/>
                  </w:p>
                  <w:p>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3"/>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3"/>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83"/>
                            <w:tabs>
                              <w:tab w:val="clear" w:pos="4153" w:leader="none"/>
                              <w:tab w:val="clear" w:pos="8306" w:leader="none"/>
                            </w:tabs>
                            <w:rPr>
                              <w:rStyle w:val="1208"/>
                              <w:rFonts w:hint="eastAsia" w:ascii="宋体" w:hAnsi="宋体"/>
                            </w:rPr>
                          </w:pPr>
                          <w:r>
                            <w:rPr>
                              <w:rFonts w:ascii="宋体" w:hAnsi="宋体"/>
                            </w:rPr>
                            <w:fldChar w:fldCharType="begin"/>
                          </w:r>
                          <w:r>
                            <w:rPr>
                              <w:rStyle w:val="1208"/>
                              <w:rFonts w:ascii="宋体" w:hAnsi="宋体"/>
                            </w:rPr>
                            <w:instrText xml:space="preserve">PAGE  </w:instrText>
                          </w:r>
                          <w:r>
                            <w:rPr>
                              <w:rFonts w:ascii="宋体" w:hAnsi="宋体"/>
                            </w:rPr>
                            <w:fldChar w:fldCharType="separate"/>
                          </w:r>
                          <w:r>
                            <w:rPr>
                              <w:rStyle w:val="1208"/>
                              <w:rFonts w:ascii="宋体" w:hAnsi="宋体"/>
                            </w:rPr>
                            <w:t xml:space="preserve">60</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3"/>
                      <w:tabs>
                        <w:tab w:val="clear" w:pos="4153" w:leader="none"/>
                        <w:tab w:val="clear" w:pos="8306" w:leader="none"/>
                      </w:tabs>
                      <w:rPr>
                        <w:rStyle w:val="1208"/>
                        <w:rFonts w:hint="eastAsia" w:ascii="宋体" w:hAnsi="宋体"/>
                      </w:rPr>
                    </w:pPr>
                    <w:r>
                      <w:rPr>
                        <w:rFonts w:ascii="宋体" w:hAnsi="宋体"/>
                      </w:rPr>
                      <w:fldChar w:fldCharType="begin"/>
                    </w:r>
                    <w:r>
                      <w:rPr>
                        <w:rStyle w:val="1208"/>
                        <w:rFonts w:ascii="宋体" w:hAnsi="宋体"/>
                      </w:rPr>
                      <w:instrText xml:space="preserve">PAGE  </w:instrText>
                    </w:r>
                    <w:r>
                      <w:rPr>
                        <w:rFonts w:ascii="宋体" w:hAnsi="宋体"/>
                      </w:rPr>
                      <w:fldChar w:fldCharType="separate"/>
                    </w:r>
                    <w:r>
                      <w:rPr>
                        <w:rStyle w:val="1208"/>
                        <w:rFonts w:ascii="宋体" w:hAnsi="宋体"/>
                      </w:rPr>
                      <w:t xml:space="preserve">60</w:t>
                    </w:r>
                    <w:r>
                      <w:rPr>
                        <w:rFonts w:ascii="宋体" w:hAnsi="宋体"/>
                      </w:rPr>
                      <w:fldChar w:fldCharType="end"/>
                    </w:r>
                    <w:r/>
                  </w:p>
                  <w:p>
                    <w:r/>
                    <w:r/>
                  </w:p>
                </w:txbxContent>
              </v:textbox>
            </v:shape>
          </w:pict>
        </mc:Fallback>
      </mc:AlternateContent>
    </w:r>
    <w:r>
      <w:rPr>
        <w:b/>
        <w:i/>
        <w:sz w:val="20"/>
      </w:rPr>
      <w:t xml:space="preserve"> </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83"/>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3"/>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22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44"/>
      <w:isLgl w:val="false"/>
      <w:suff w:val="nothing"/>
      <w:lvlText w:val=""/>
      <w:lvlJc w:val="left"/>
      <w:pPr>
        <w:ind w:left="0" w:firstLine="0"/>
      </w:pPr>
      <w:rPr>
        <w:rFonts w:hint="eastAsia"/>
      </w:rPr>
    </w:lvl>
    <w:lvl w:ilvl="6">
      <w:start w:val="1"/>
      <w:numFmt w:val="decimal"/>
      <w:pStyle w:val="1145"/>
      <w:isLgl w:val="false"/>
      <w:suff w:val="nothing"/>
      <w:lvlText w:val=""/>
      <w:lvlJc w:val="left"/>
      <w:pPr>
        <w:ind w:left="0" w:firstLine="0"/>
      </w:pPr>
      <w:rPr>
        <w:rFonts w:hint="eastAsia"/>
      </w:rPr>
    </w:lvl>
    <w:lvl w:ilvl="7">
      <w:start w:val="1"/>
      <w:numFmt w:val="decimal"/>
      <w:pStyle w:val="1146"/>
      <w:isLgl w:val="false"/>
      <w:suff w:val="nothing"/>
      <w:lvlText w:val=""/>
      <w:lvlJc w:val="left"/>
      <w:pPr>
        <w:ind w:left="0" w:firstLine="0"/>
      </w:pPr>
      <w:rPr>
        <w:rFonts w:hint="eastAsia"/>
      </w:rPr>
    </w:lvl>
    <w:lvl w:ilvl="8">
      <w:start w:val="1"/>
      <w:numFmt w:val="decimal"/>
      <w:pStyle w:val="1147"/>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3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1"/>
  </w:num>
  <w:num w:numId="4">
    <w:abstractNumId w:val="2"/>
  </w:num>
  <w:num w:numId="5">
    <w:abstractNumId w:val="10"/>
  </w:num>
  <w:num w:numId="6">
    <w:abstractNumId w:val="9"/>
  </w:num>
  <w:num w:numId="7">
    <w:abstractNumId w:val="1"/>
  </w:num>
  <w:num w:numId="8">
    <w:abstractNumId w:val="4"/>
  </w:num>
  <w:num w:numId="9">
    <w:abstractNumId w:val="7"/>
  </w:num>
  <w:num w:numId="10">
    <w:abstractNumId w:val="0"/>
  </w:num>
  <w:num w:numId="11">
    <w:abstractNumId w:val="12"/>
  </w:num>
  <w:num w:numId="12">
    <w:abstractNumId w:val="8"/>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08">
    <w:name w:val="Plain Table 1"/>
    <w:basedOn w:val="9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name w:val="Plain Table 2"/>
    <w:basedOn w:val="9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name w:val="Plain Table 3"/>
    <w:basedOn w:val="9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name w:val="Plain Table 4"/>
    <w:basedOn w:val="9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name w:val="Plain Table 5"/>
    <w:basedOn w:val="9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3">
    <w:name w:val="Grid Table 1 Light"/>
    <w:basedOn w:val="9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4">
    <w:name w:val="Grid Table 2"/>
    <w:basedOn w:val="9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5">
    <w:name w:val="Grid Table 3"/>
    <w:basedOn w:val="9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4"/>
    <w:basedOn w:val="9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name w:val="Grid Table 5 Dark"/>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8">
    <w:name w:val="Grid Table 6 Colorful"/>
    <w:basedOn w:val="9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9">
    <w:name w:val="Grid Table 7 Colorful"/>
    <w:basedOn w:val="9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0">
    <w:name w:val="List Table 1 Light"/>
    <w:basedOn w:val="9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name w:val="List Table 2"/>
    <w:basedOn w:val="9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2">
    <w:name w:val="List Table 3"/>
    <w:basedOn w:val="9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3">
    <w:name w:val="List Table 4"/>
    <w:basedOn w:val="9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4">
    <w:name w:val="List Table 5 Dark"/>
    <w:basedOn w:val="9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6 Colorful"/>
    <w:basedOn w:val="9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6">
    <w:name w:val="List Table 7 Colorful"/>
    <w:basedOn w:val="9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27">
    <w:name w:val="TOC Heading"/>
    <w:uiPriority w:val="39"/>
    <w:unhideWhenUsed/>
  </w:style>
  <w:style w:type="paragraph" w:styleId="928" w:default="1">
    <w:name w:val="Normal"/>
    <w:next w:val="940"/>
    <w:uiPriority w:val="0"/>
    <w:qFormat/>
    <w:pPr>
      <w:jc w:val="both"/>
      <w:spacing w:after="160" w:line="278" w:lineRule="auto"/>
      <w:widowControl w:val="off"/>
    </w:pPr>
    <w:rPr>
      <w:rFonts w:ascii="Times New Roman" w:hAnsi="Times New Roman" w:eastAsia="宋体" w:cs="Times New Roman"/>
      <w:sz w:val="21"/>
      <w:szCs w:val="21"/>
      <w:lang w:val="en-US" w:eastAsia="zh-CN" w:bidi="ar-SA"/>
    </w:rPr>
  </w:style>
  <w:style w:type="paragraph" w:styleId="929">
    <w:name w:val="Heading 1"/>
    <w:basedOn w:val="928"/>
    <w:next w:val="928"/>
    <w:link w:val="1009"/>
    <w:uiPriority w:val="9"/>
    <w:qFormat/>
    <w:pPr>
      <w:keepLines/>
      <w:keepNext/>
      <w:spacing w:before="480" w:after="200"/>
      <w:outlineLvl w:val="0"/>
    </w:pPr>
    <w:rPr>
      <w:rFonts w:ascii="Arial" w:hAnsi="Arial" w:eastAsia="Arial" w:cs="Arial"/>
      <w:sz w:val="40"/>
      <w:szCs w:val="40"/>
    </w:rPr>
  </w:style>
  <w:style w:type="paragraph" w:styleId="930">
    <w:name w:val="Heading 2"/>
    <w:basedOn w:val="928"/>
    <w:next w:val="942"/>
    <w:link w:val="1010"/>
    <w:uiPriority w:val="9"/>
    <w:unhideWhenUsed/>
    <w:qFormat/>
    <w:pPr>
      <w:keepLines/>
      <w:keepNext/>
      <w:spacing w:before="360" w:after="200"/>
      <w:outlineLvl w:val="1"/>
    </w:pPr>
    <w:rPr>
      <w:rFonts w:ascii="Arial" w:hAnsi="Arial" w:eastAsia="Arial" w:cs="Arial"/>
      <w:sz w:val="34"/>
    </w:rPr>
  </w:style>
  <w:style w:type="paragraph" w:styleId="931">
    <w:name w:val="Heading 3"/>
    <w:basedOn w:val="928"/>
    <w:next w:val="928"/>
    <w:link w:val="1011"/>
    <w:uiPriority w:val="9"/>
    <w:unhideWhenUsed/>
    <w:qFormat/>
    <w:pPr>
      <w:keepLines/>
      <w:keepNext/>
      <w:spacing w:before="320" w:after="200"/>
      <w:outlineLvl w:val="2"/>
    </w:pPr>
    <w:rPr>
      <w:rFonts w:ascii="Arial" w:hAnsi="Arial" w:eastAsia="Arial" w:cs="Arial"/>
      <w:sz w:val="30"/>
      <w:szCs w:val="30"/>
    </w:rPr>
  </w:style>
  <w:style w:type="paragraph" w:styleId="932">
    <w:name w:val="Heading 4"/>
    <w:basedOn w:val="928"/>
    <w:next w:val="928"/>
    <w:link w:val="1012"/>
    <w:uiPriority w:val="9"/>
    <w:unhideWhenUsed/>
    <w:qFormat/>
    <w:pPr>
      <w:keepLines/>
      <w:keepNext/>
      <w:spacing w:before="320" w:after="200"/>
      <w:outlineLvl w:val="3"/>
    </w:pPr>
    <w:rPr>
      <w:rFonts w:ascii="Arial" w:hAnsi="Arial" w:eastAsia="Arial" w:cs="Arial"/>
      <w:b/>
      <w:bCs/>
      <w:sz w:val="26"/>
      <w:szCs w:val="26"/>
    </w:rPr>
  </w:style>
  <w:style w:type="paragraph" w:styleId="933">
    <w:name w:val="Heading 5"/>
    <w:basedOn w:val="928"/>
    <w:next w:val="928"/>
    <w:link w:val="1013"/>
    <w:uiPriority w:val="9"/>
    <w:unhideWhenUsed/>
    <w:qFormat/>
    <w:pPr>
      <w:keepLines/>
      <w:keepNext/>
      <w:spacing w:before="320" w:after="200"/>
      <w:outlineLvl w:val="4"/>
    </w:pPr>
    <w:rPr>
      <w:rFonts w:ascii="Arial" w:hAnsi="Arial" w:eastAsia="Arial" w:cs="Arial"/>
      <w:b/>
      <w:bCs/>
      <w:sz w:val="24"/>
      <w:szCs w:val="24"/>
    </w:rPr>
  </w:style>
  <w:style w:type="paragraph" w:styleId="934">
    <w:name w:val="Heading 6"/>
    <w:basedOn w:val="928"/>
    <w:next w:val="928"/>
    <w:link w:val="1014"/>
    <w:uiPriority w:val="9"/>
    <w:unhideWhenUsed/>
    <w:qFormat/>
    <w:pPr>
      <w:keepLines/>
      <w:keepNext/>
      <w:spacing w:before="320" w:after="200"/>
      <w:outlineLvl w:val="5"/>
    </w:pPr>
    <w:rPr>
      <w:rFonts w:ascii="Arial" w:hAnsi="Arial" w:eastAsia="Arial" w:cs="Arial"/>
      <w:b/>
      <w:bCs/>
      <w:sz w:val="22"/>
      <w:szCs w:val="22"/>
    </w:rPr>
  </w:style>
  <w:style w:type="paragraph" w:styleId="935">
    <w:name w:val="Heading 7"/>
    <w:basedOn w:val="928"/>
    <w:next w:val="928"/>
    <w:link w:val="1015"/>
    <w:uiPriority w:val="9"/>
    <w:unhideWhenUsed/>
    <w:qFormat/>
    <w:pPr>
      <w:keepLines/>
      <w:keepNext/>
      <w:spacing w:before="320" w:after="200"/>
      <w:outlineLvl w:val="6"/>
    </w:pPr>
    <w:rPr>
      <w:rFonts w:ascii="Arial" w:hAnsi="Arial" w:eastAsia="Arial" w:cs="Arial"/>
      <w:b/>
      <w:bCs/>
      <w:i/>
      <w:iCs/>
      <w:sz w:val="22"/>
      <w:szCs w:val="22"/>
    </w:rPr>
  </w:style>
  <w:style w:type="paragraph" w:styleId="936">
    <w:name w:val="Heading 8"/>
    <w:basedOn w:val="928"/>
    <w:next w:val="928"/>
    <w:link w:val="1016"/>
    <w:uiPriority w:val="9"/>
    <w:unhideWhenUsed/>
    <w:qFormat/>
    <w:pPr>
      <w:keepLines/>
      <w:keepNext/>
      <w:spacing w:before="320" w:after="200"/>
      <w:outlineLvl w:val="7"/>
    </w:pPr>
    <w:rPr>
      <w:rFonts w:ascii="Arial" w:hAnsi="Arial" w:eastAsia="Arial" w:cs="Arial"/>
      <w:i/>
      <w:iCs/>
      <w:sz w:val="22"/>
      <w:szCs w:val="22"/>
    </w:rPr>
  </w:style>
  <w:style w:type="paragraph" w:styleId="937">
    <w:name w:val="Heading 9"/>
    <w:basedOn w:val="928"/>
    <w:next w:val="928"/>
    <w:link w:val="1017"/>
    <w:uiPriority w:val="9"/>
    <w:unhideWhenUsed/>
    <w:qFormat/>
    <w:pPr>
      <w:keepLines/>
      <w:keepNext/>
      <w:spacing w:before="320" w:after="200"/>
      <w:outlineLvl w:val="8"/>
    </w:pPr>
    <w:rPr>
      <w:rFonts w:ascii="Arial" w:hAnsi="Arial" w:eastAsia="Arial" w:cs="Arial"/>
      <w:i/>
      <w:iCs/>
    </w:rPr>
  </w:style>
  <w:style w:type="character" w:styleId="938" w:default="1">
    <w:name w:val="Default Paragraph Font"/>
    <w:uiPriority w:val="1"/>
    <w:semiHidden/>
    <w:unhideWhenUsed/>
    <w:qFormat/>
  </w:style>
  <w:style w:type="table" w:styleId="939" w:default="1">
    <w:name w:val="Normal Table"/>
    <w:uiPriority w:val="99"/>
    <w:semiHidden/>
    <w:unhideWhenUsed/>
    <w:qFormat/>
    <w:tblPr>
      <w:tblCellMar>
        <w:left w:w="108" w:type="dxa"/>
        <w:top w:w="0" w:type="dxa"/>
        <w:right w:w="108" w:type="dxa"/>
        <w:bottom w:w="0" w:type="dxa"/>
      </w:tblCellMar>
    </w:tblPr>
  </w:style>
  <w:style w:type="paragraph" w:styleId="940">
    <w:name w:val="Body Text First Indent"/>
    <w:basedOn w:val="941"/>
    <w:uiPriority w:val="0"/>
    <w:unhideWhenUsed/>
    <w:qFormat/>
    <w:pPr>
      <w:ind w:firstLine="210"/>
      <w:jc w:val="left"/>
    </w:pPr>
  </w:style>
  <w:style w:type="paragraph" w:styleId="941">
    <w:name w:val="Body Text"/>
    <w:basedOn w:val="928"/>
    <w:uiPriority w:val="0"/>
    <w:unhideWhenUsed/>
    <w:qFormat/>
    <w:pPr>
      <w:spacing w:after="120"/>
    </w:pPr>
  </w:style>
  <w:style w:type="paragraph" w:styleId="942">
    <w:name w:val="Normal Indent"/>
    <w:uiPriority w:val="0"/>
    <w:qFormat/>
    <w:pPr>
      <w:ind w:firstLine="420"/>
      <w:jc w:val="both"/>
      <w:spacing w:after="160" w:line="278" w:lineRule="auto"/>
      <w:widowControl w:val="off"/>
    </w:pPr>
    <w:rPr>
      <w:rFonts w:ascii="宋体" w:hAnsi="Calibri" w:eastAsia="宋体" w:cs="Times New Roman"/>
      <w:color w:val="000000"/>
      <w:sz w:val="24"/>
      <w:lang w:val="en-US" w:eastAsia="zh-CN" w:bidi="ar-SA"/>
    </w:rPr>
  </w:style>
  <w:style w:type="paragraph" w:styleId="943">
    <w:name w:val="toc 7"/>
    <w:basedOn w:val="928"/>
    <w:next w:val="928"/>
    <w:uiPriority w:val="39"/>
    <w:unhideWhenUsed/>
    <w:qFormat/>
    <w:pPr>
      <w:ind w:left="1701"/>
      <w:spacing w:after="57"/>
    </w:pPr>
  </w:style>
  <w:style w:type="paragraph" w:styleId="944">
    <w:name w:val="Caption"/>
    <w:basedOn w:val="928"/>
    <w:next w:val="9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5">
    <w:name w:val="annotation text"/>
    <w:basedOn w:val="928"/>
    <w:link w:val="1293"/>
    <w:uiPriority w:val="99"/>
    <w:semiHidden/>
    <w:unhideWhenUsed/>
    <w:qFormat/>
    <w:pPr>
      <w:jc w:val="left"/>
    </w:pPr>
  </w:style>
  <w:style w:type="paragraph" w:styleId="946">
    <w:name w:val="toc 5"/>
    <w:basedOn w:val="928"/>
    <w:next w:val="928"/>
    <w:uiPriority w:val="39"/>
    <w:unhideWhenUsed/>
    <w:qFormat/>
    <w:pPr>
      <w:ind w:left="1134"/>
      <w:spacing w:after="57"/>
    </w:pPr>
  </w:style>
  <w:style w:type="paragraph" w:styleId="947">
    <w:name w:val="toc 3"/>
    <w:basedOn w:val="928"/>
    <w:next w:val="928"/>
    <w:uiPriority w:val="39"/>
    <w:unhideWhenUsed/>
    <w:qFormat/>
    <w:pPr>
      <w:ind w:left="567"/>
      <w:spacing w:after="57"/>
    </w:pPr>
  </w:style>
  <w:style w:type="paragraph" w:styleId="948">
    <w:name w:val="Plain Text"/>
    <w:basedOn w:val="928"/>
    <w:uiPriority w:val="0"/>
    <w:qFormat/>
    <w:rPr>
      <w:rFonts w:ascii="宋体" w:hAnsi="Courier New" w:cs="Courier New"/>
    </w:rPr>
  </w:style>
  <w:style w:type="paragraph" w:styleId="949">
    <w:name w:val="toc 8"/>
    <w:basedOn w:val="928"/>
    <w:next w:val="928"/>
    <w:uiPriority w:val="39"/>
    <w:unhideWhenUsed/>
    <w:qFormat/>
    <w:pPr>
      <w:ind w:left="1984"/>
      <w:spacing w:after="57"/>
    </w:pPr>
  </w:style>
  <w:style w:type="paragraph" w:styleId="950">
    <w:name w:val="endnote text"/>
    <w:basedOn w:val="928"/>
    <w:link w:val="1136"/>
    <w:uiPriority w:val="99"/>
    <w:semiHidden/>
    <w:unhideWhenUsed/>
    <w:qFormat/>
    <w:rPr>
      <w:sz w:val="20"/>
    </w:rPr>
  </w:style>
  <w:style w:type="paragraph" w:styleId="951">
    <w:name w:val="Footer"/>
    <w:basedOn w:val="928"/>
    <w:link w:val="1028"/>
    <w:uiPriority w:val="99"/>
    <w:unhideWhenUsed/>
    <w:qFormat/>
    <w:pPr>
      <w:tabs>
        <w:tab w:val="center" w:pos="7143" w:leader="none"/>
        <w:tab w:val="right" w:pos="14287" w:leader="none"/>
      </w:tabs>
    </w:pPr>
  </w:style>
  <w:style w:type="paragraph" w:styleId="952">
    <w:name w:val="Header"/>
    <w:basedOn w:val="928"/>
    <w:link w:val="1026"/>
    <w:uiPriority w:val="99"/>
    <w:unhideWhenUsed/>
    <w:qFormat/>
    <w:pPr>
      <w:tabs>
        <w:tab w:val="center" w:pos="7143" w:leader="none"/>
        <w:tab w:val="right" w:pos="14287" w:leader="none"/>
      </w:tabs>
    </w:pPr>
  </w:style>
  <w:style w:type="paragraph" w:styleId="953">
    <w:name w:val="toc 1"/>
    <w:basedOn w:val="928"/>
    <w:next w:val="928"/>
    <w:uiPriority w:val="39"/>
    <w:unhideWhenUsed/>
    <w:qFormat/>
    <w:pPr>
      <w:spacing w:after="57"/>
    </w:pPr>
  </w:style>
  <w:style w:type="paragraph" w:styleId="954">
    <w:name w:val="toc 4"/>
    <w:basedOn w:val="928"/>
    <w:next w:val="928"/>
    <w:uiPriority w:val="39"/>
    <w:unhideWhenUsed/>
    <w:qFormat/>
    <w:pPr>
      <w:ind w:left="850"/>
      <w:spacing w:after="57"/>
    </w:pPr>
  </w:style>
  <w:style w:type="paragraph" w:styleId="955">
    <w:name w:val="Subtitle"/>
    <w:basedOn w:val="928"/>
    <w:next w:val="928"/>
    <w:link w:val="1021"/>
    <w:uiPriority w:val="11"/>
    <w:qFormat/>
    <w:pPr>
      <w:spacing w:before="200" w:after="200"/>
    </w:pPr>
    <w:rPr>
      <w:sz w:val="24"/>
      <w:szCs w:val="24"/>
    </w:rPr>
  </w:style>
  <w:style w:type="paragraph" w:styleId="956">
    <w:name w:val="footnote text"/>
    <w:basedOn w:val="928"/>
    <w:link w:val="1135"/>
    <w:uiPriority w:val="99"/>
    <w:semiHidden/>
    <w:unhideWhenUsed/>
    <w:qFormat/>
    <w:pPr>
      <w:spacing w:after="40"/>
    </w:pPr>
    <w:rPr>
      <w:sz w:val="18"/>
    </w:rPr>
  </w:style>
  <w:style w:type="paragraph" w:styleId="957">
    <w:name w:val="toc 6"/>
    <w:basedOn w:val="928"/>
    <w:next w:val="928"/>
    <w:uiPriority w:val="39"/>
    <w:unhideWhenUsed/>
    <w:qFormat/>
    <w:pPr>
      <w:ind w:left="1417"/>
      <w:spacing w:after="57"/>
    </w:pPr>
  </w:style>
  <w:style w:type="paragraph" w:styleId="958">
    <w:name w:val="table of figures"/>
    <w:basedOn w:val="928"/>
    <w:next w:val="928"/>
    <w:uiPriority w:val="99"/>
    <w:unhideWhenUsed/>
    <w:qFormat/>
  </w:style>
  <w:style w:type="paragraph" w:styleId="959">
    <w:name w:val="toc 2"/>
    <w:basedOn w:val="928"/>
    <w:next w:val="928"/>
    <w:uiPriority w:val="39"/>
    <w:unhideWhenUsed/>
    <w:qFormat/>
    <w:pPr>
      <w:ind w:left="283"/>
      <w:spacing w:after="57"/>
    </w:pPr>
  </w:style>
  <w:style w:type="paragraph" w:styleId="960">
    <w:name w:val="toc 9"/>
    <w:basedOn w:val="928"/>
    <w:next w:val="928"/>
    <w:uiPriority w:val="39"/>
    <w:unhideWhenUsed/>
    <w:qFormat/>
    <w:pPr>
      <w:ind w:left="2268"/>
      <w:spacing w:after="57"/>
    </w:pPr>
  </w:style>
  <w:style w:type="paragraph" w:styleId="961">
    <w:name w:val="Normal (Web)"/>
    <w:basedOn w:val="928"/>
    <w:uiPriority w:val="99"/>
    <w:semiHidden/>
    <w:unhideWhenUsed/>
    <w:qFormat/>
    <w:pPr>
      <w:jc w:val="left"/>
      <w:spacing w:beforeAutospacing="1" w:afterAutospacing="1"/>
    </w:pPr>
    <w:rPr>
      <w:sz w:val="24"/>
    </w:rPr>
  </w:style>
  <w:style w:type="paragraph" w:styleId="962">
    <w:name w:val="Title"/>
    <w:basedOn w:val="928"/>
    <w:next w:val="928"/>
    <w:link w:val="1020"/>
    <w:uiPriority w:val="10"/>
    <w:qFormat/>
    <w:pPr>
      <w:contextualSpacing/>
      <w:spacing w:before="300" w:after="200"/>
    </w:pPr>
    <w:rPr>
      <w:sz w:val="48"/>
      <w:szCs w:val="48"/>
    </w:rPr>
  </w:style>
  <w:style w:type="paragraph" w:styleId="963">
    <w:name w:val="annotation subject"/>
    <w:basedOn w:val="945"/>
    <w:next w:val="945"/>
    <w:link w:val="1294"/>
    <w:uiPriority w:val="99"/>
    <w:semiHidden/>
    <w:unhideWhenUsed/>
    <w:qFormat/>
    <w:rPr>
      <w:b/>
      <w:bCs/>
    </w:rPr>
  </w:style>
  <w:style w:type="table" w:styleId="96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5">
    <w:name w:val="Strong"/>
    <w:basedOn w:val="938"/>
    <w:uiPriority w:val="22"/>
    <w:qFormat/>
    <w:rPr>
      <w:b/>
    </w:rPr>
  </w:style>
  <w:style w:type="character" w:styleId="966">
    <w:name w:val="endnote reference"/>
    <w:uiPriority w:val="99"/>
    <w:semiHidden/>
    <w:unhideWhenUsed/>
    <w:qFormat/>
    <w:rPr>
      <w:vertAlign w:val="superscript"/>
    </w:rPr>
  </w:style>
  <w:style w:type="character" w:styleId="967">
    <w:name w:val="Hyperlink"/>
    <w:uiPriority w:val="99"/>
    <w:unhideWhenUsed/>
    <w:qFormat/>
    <w:rPr>
      <w:color w:val="0000ff" w:themeColor="hyperlink"/>
      <w:u w:val="single"/>
      <w14:textFill>
        <w14:solidFill>
          <w14:schemeClr w14:val="hlink"/>
        </w14:solidFill>
      </w14:textFill>
    </w:rPr>
  </w:style>
  <w:style w:type="character" w:styleId="968">
    <w:name w:val="annotation reference"/>
    <w:basedOn w:val="938"/>
    <w:uiPriority w:val="99"/>
    <w:semiHidden/>
    <w:unhideWhenUsed/>
    <w:qFormat/>
    <w:rPr>
      <w:sz w:val="21"/>
      <w:szCs w:val="21"/>
    </w:rPr>
  </w:style>
  <w:style w:type="character" w:styleId="969">
    <w:name w:val="footnote reference"/>
    <w:uiPriority w:val="99"/>
    <w:unhideWhenUsed/>
    <w:qFormat/>
    <w:rPr>
      <w:vertAlign w:val="superscript"/>
    </w:rPr>
  </w:style>
  <w:style w:type="character" w:styleId="970" w:customStyle="1">
    <w:name w:val="Heading 1 Char"/>
    <w:basedOn w:val="938"/>
    <w:uiPriority w:val="9"/>
    <w:qFormat/>
    <w:rPr>
      <w:rFonts w:ascii="Arial" w:hAnsi="Arial" w:eastAsia="Arial" w:cs="Arial"/>
      <w:sz w:val="40"/>
      <w:szCs w:val="40"/>
    </w:rPr>
  </w:style>
  <w:style w:type="character" w:styleId="971" w:customStyle="1">
    <w:name w:val="Heading 2 Char"/>
    <w:basedOn w:val="938"/>
    <w:uiPriority w:val="9"/>
    <w:qFormat/>
    <w:rPr>
      <w:rFonts w:ascii="Arial" w:hAnsi="Arial" w:eastAsia="Arial" w:cs="Arial"/>
      <w:sz w:val="34"/>
    </w:rPr>
  </w:style>
  <w:style w:type="character" w:styleId="972" w:customStyle="1">
    <w:name w:val="Heading 3 Char"/>
    <w:basedOn w:val="938"/>
    <w:uiPriority w:val="9"/>
    <w:qFormat/>
    <w:rPr>
      <w:rFonts w:ascii="Arial" w:hAnsi="Arial" w:eastAsia="Arial" w:cs="Arial"/>
      <w:sz w:val="30"/>
      <w:szCs w:val="30"/>
    </w:rPr>
  </w:style>
  <w:style w:type="character" w:styleId="973" w:customStyle="1">
    <w:name w:val="Heading 4 Char"/>
    <w:basedOn w:val="938"/>
    <w:uiPriority w:val="9"/>
    <w:qFormat/>
    <w:rPr>
      <w:rFonts w:ascii="Arial" w:hAnsi="Arial" w:eastAsia="Arial" w:cs="Arial"/>
      <w:b/>
      <w:bCs/>
      <w:sz w:val="26"/>
      <w:szCs w:val="26"/>
    </w:rPr>
  </w:style>
  <w:style w:type="character" w:styleId="974" w:customStyle="1">
    <w:name w:val="Heading 5 Char"/>
    <w:basedOn w:val="938"/>
    <w:uiPriority w:val="9"/>
    <w:qFormat/>
    <w:rPr>
      <w:rFonts w:ascii="Arial" w:hAnsi="Arial" w:eastAsia="Arial" w:cs="Arial"/>
      <w:b/>
      <w:bCs/>
      <w:sz w:val="24"/>
      <w:szCs w:val="24"/>
    </w:rPr>
  </w:style>
  <w:style w:type="character" w:styleId="975" w:customStyle="1">
    <w:name w:val="Heading 6 Char"/>
    <w:basedOn w:val="938"/>
    <w:uiPriority w:val="9"/>
    <w:qFormat/>
    <w:rPr>
      <w:rFonts w:ascii="Arial" w:hAnsi="Arial" w:eastAsia="Arial" w:cs="Arial"/>
      <w:b/>
      <w:bCs/>
      <w:sz w:val="22"/>
      <w:szCs w:val="22"/>
    </w:rPr>
  </w:style>
  <w:style w:type="character" w:styleId="976" w:customStyle="1">
    <w:name w:val="Heading 7 Char"/>
    <w:basedOn w:val="938"/>
    <w:uiPriority w:val="9"/>
    <w:qFormat/>
    <w:rPr>
      <w:rFonts w:ascii="Arial" w:hAnsi="Arial" w:eastAsia="Arial" w:cs="Arial"/>
      <w:b/>
      <w:bCs/>
      <w:i/>
      <w:iCs/>
      <w:sz w:val="22"/>
      <w:szCs w:val="22"/>
    </w:rPr>
  </w:style>
  <w:style w:type="character" w:styleId="977" w:customStyle="1">
    <w:name w:val="Heading 8 Char"/>
    <w:basedOn w:val="938"/>
    <w:uiPriority w:val="9"/>
    <w:qFormat/>
    <w:rPr>
      <w:rFonts w:ascii="Arial" w:hAnsi="Arial" w:eastAsia="Arial" w:cs="Arial"/>
      <w:i/>
      <w:iCs/>
      <w:sz w:val="22"/>
      <w:szCs w:val="22"/>
    </w:rPr>
  </w:style>
  <w:style w:type="character" w:styleId="978" w:customStyle="1">
    <w:name w:val="Heading 9 Char"/>
    <w:basedOn w:val="938"/>
    <w:uiPriority w:val="9"/>
    <w:qFormat/>
    <w:rPr>
      <w:rFonts w:ascii="Arial" w:hAnsi="Arial" w:eastAsia="Arial" w:cs="Arial"/>
      <w:i/>
      <w:iCs/>
      <w:sz w:val="21"/>
      <w:szCs w:val="21"/>
    </w:rPr>
  </w:style>
  <w:style w:type="character" w:styleId="979" w:customStyle="1">
    <w:name w:val="Title Char"/>
    <w:basedOn w:val="938"/>
    <w:uiPriority w:val="10"/>
    <w:qFormat/>
    <w:rPr>
      <w:sz w:val="48"/>
      <w:szCs w:val="48"/>
    </w:rPr>
  </w:style>
  <w:style w:type="character" w:styleId="980" w:customStyle="1">
    <w:name w:val="Subtitle Char"/>
    <w:basedOn w:val="938"/>
    <w:uiPriority w:val="11"/>
    <w:qFormat/>
    <w:rPr>
      <w:sz w:val="24"/>
      <w:szCs w:val="24"/>
    </w:rPr>
  </w:style>
  <w:style w:type="character" w:styleId="981" w:customStyle="1">
    <w:name w:val="Quote Char"/>
    <w:uiPriority w:val="29"/>
    <w:qFormat/>
    <w:rPr>
      <w:i/>
    </w:rPr>
  </w:style>
  <w:style w:type="character" w:styleId="982" w:customStyle="1">
    <w:name w:val="Intense Quote Char"/>
    <w:uiPriority w:val="30"/>
    <w:qFormat/>
    <w:rPr>
      <w:i/>
    </w:rPr>
  </w:style>
  <w:style w:type="character" w:styleId="983" w:customStyle="1">
    <w:name w:val="Header Char"/>
    <w:basedOn w:val="938"/>
    <w:uiPriority w:val="99"/>
    <w:qFormat/>
  </w:style>
  <w:style w:type="character" w:styleId="984" w:customStyle="1">
    <w:name w:val="Caption Char"/>
    <w:uiPriority w:val="99"/>
    <w:qFormat/>
  </w:style>
  <w:style w:type="table" w:styleId="985" w:customStyle="1">
    <w:name w:val="无格式表格 11"/>
    <w:basedOn w:val="9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6" w:customStyle="1">
    <w:name w:val="无格式表格 21"/>
    <w:basedOn w:val="93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7" w:customStyle="1">
    <w:name w:val="无格式表格 31"/>
    <w:basedOn w:val="93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8" w:customStyle="1">
    <w:name w:val="无格式表格 41"/>
    <w:basedOn w:val="93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9" w:customStyle="1">
    <w:name w:val="无格式表格 51"/>
    <w:basedOn w:val="93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0" w:customStyle="1">
    <w:name w:val="网格表 1 浅色1"/>
    <w:basedOn w:val="93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1" w:customStyle="1">
    <w:name w:val="网格表 21"/>
    <w:basedOn w:val="9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2" w:customStyle="1">
    <w:name w:val="网格表 31"/>
    <w:basedOn w:val="9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网格表 41"/>
    <w:basedOn w:val="93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4" w:customStyle="1">
    <w:name w:val="网格表 5 深色1"/>
    <w:basedOn w:val="9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5" w:customStyle="1">
    <w:name w:val="网格表 6 彩色1"/>
    <w:basedOn w:val="93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6" w:customStyle="1">
    <w:name w:val="网格表 7 彩色1"/>
    <w:basedOn w:val="93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清单表 1 浅色1"/>
    <w:basedOn w:val="93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8" w:customStyle="1">
    <w:name w:val="清单表 21"/>
    <w:basedOn w:val="93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9" w:customStyle="1">
    <w:name w:val="清单表 31"/>
    <w:basedOn w:val="9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0" w:customStyle="1">
    <w:name w:val="清单表 41"/>
    <w:basedOn w:val="9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清单表 5 深色1"/>
    <w:basedOn w:val="93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清单表 6 彩色1"/>
    <w:basedOn w:val="93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3" w:customStyle="1">
    <w:name w:val="清单表 7 彩色1"/>
    <w:basedOn w:val="93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04" w:customStyle="1">
    <w:name w:val="Footnote Text Char"/>
    <w:uiPriority w:val="99"/>
    <w:qFormat/>
    <w:rPr>
      <w:sz w:val="18"/>
    </w:rPr>
  </w:style>
  <w:style w:type="character" w:styleId="1005" w:customStyle="1">
    <w:name w:val="Endnote Text Char"/>
    <w:uiPriority w:val="99"/>
    <w:qFormat/>
    <w:rPr>
      <w:sz w:val="20"/>
    </w:rPr>
  </w:style>
  <w:style w:type="paragraph" w:styleId="1006"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paragraph" w:styleId="1007" w:customStyle="1">
    <w:name w:val="正文文本1"/>
    <w:basedOn w:val="928"/>
    <w:link w:val="1168"/>
    <w:uiPriority w:val="0"/>
    <w:qFormat/>
    <w:rPr>
      <w:rFonts w:ascii="楷体_GB2312" w:hAnsi="Arial" w:eastAsia="楷体_GB2312"/>
      <w:sz w:val="28"/>
      <w:szCs w:val="28"/>
    </w:rPr>
  </w:style>
  <w:style w:type="paragraph" w:styleId="1008" w:customStyle="1">
    <w:name w:val="标题 11"/>
    <w:basedOn w:val="928"/>
    <w:next w:val="928"/>
    <w:uiPriority w:val="0"/>
    <w:qFormat/>
    <w:pPr>
      <w:jc w:val="center"/>
      <w:keepNext/>
      <w:outlineLvl w:val="0"/>
    </w:pPr>
    <w:rPr>
      <w:rFonts w:ascii="楷体_GB2312" w:eastAsia="楷体_GB2312"/>
      <w:sz w:val="28"/>
      <w:szCs w:val="28"/>
    </w:rPr>
  </w:style>
  <w:style w:type="character" w:styleId="1009" w:customStyle="1">
    <w:name w:val="标题 1 字符"/>
    <w:link w:val="929"/>
    <w:uiPriority w:val="9"/>
    <w:qFormat/>
    <w:rPr>
      <w:rFonts w:ascii="Arial" w:hAnsi="Arial" w:eastAsia="Arial" w:cs="Arial"/>
      <w:sz w:val="40"/>
      <w:szCs w:val="40"/>
    </w:rPr>
  </w:style>
  <w:style w:type="character" w:styleId="1010" w:customStyle="1">
    <w:name w:val="标题 2 字符"/>
    <w:link w:val="930"/>
    <w:uiPriority w:val="9"/>
    <w:qFormat/>
    <w:rPr>
      <w:rFonts w:ascii="Arial" w:hAnsi="Arial" w:eastAsia="Arial" w:cs="Arial"/>
      <w:sz w:val="34"/>
    </w:rPr>
  </w:style>
  <w:style w:type="character" w:styleId="1011" w:customStyle="1">
    <w:name w:val="标题 3 字符"/>
    <w:link w:val="931"/>
    <w:uiPriority w:val="9"/>
    <w:qFormat/>
    <w:rPr>
      <w:rFonts w:ascii="Arial" w:hAnsi="Arial" w:eastAsia="Arial" w:cs="Arial"/>
      <w:sz w:val="30"/>
      <w:szCs w:val="30"/>
    </w:rPr>
  </w:style>
  <w:style w:type="character" w:styleId="1012" w:customStyle="1">
    <w:name w:val="标题 4 字符"/>
    <w:link w:val="932"/>
    <w:uiPriority w:val="9"/>
    <w:qFormat/>
    <w:rPr>
      <w:rFonts w:ascii="Arial" w:hAnsi="Arial" w:eastAsia="Arial" w:cs="Arial"/>
      <w:b/>
      <w:bCs/>
      <w:sz w:val="26"/>
      <w:szCs w:val="26"/>
    </w:rPr>
  </w:style>
  <w:style w:type="character" w:styleId="1013" w:customStyle="1">
    <w:name w:val="标题 5 字符"/>
    <w:link w:val="933"/>
    <w:uiPriority w:val="9"/>
    <w:qFormat/>
    <w:rPr>
      <w:rFonts w:ascii="Arial" w:hAnsi="Arial" w:eastAsia="Arial" w:cs="Arial"/>
      <w:b/>
      <w:bCs/>
      <w:sz w:val="24"/>
      <w:szCs w:val="24"/>
    </w:rPr>
  </w:style>
  <w:style w:type="character" w:styleId="1014" w:customStyle="1">
    <w:name w:val="标题 6 字符"/>
    <w:link w:val="934"/>
    <w:uiPriority w:val="9"/>
    <w:qFormat/>
    <w:rPr>
      <w:rFonts w:ascii="Arial" w:hAnsi="Arial" w:eastAsia="Arial" w:cs="Arial"/>
      <w:b/>
      <w:bCs/>
      <w:sz w:val="22"/>
      <w:szCs w:val="22"/>
    </w:rPr>
  </w:style>
  <w:style w:type="character" w:styleId="1015" w:customStyle="1">
    <w:name w:val="标题 7 字符"/>
    <w:link w:val="935"/>
    <w:uiPriority w:val="9"/>
    <w:qFormat/>
    <w:rPr>
      <w:rFonts w:ascii="Arial" w:hAnsi="Arial" w:eastAsia="Arial" w:cs="Arial"/>
      <w:b/>
      <w:bCs/>
      <w:i/>
      <w:iCs/>
      <w:sz w:val="22"/>
      <w:szCs w:val="22"/>
    </w:rPr>
  </w:style>
  <w:style w:type="character" w:styleId="1016" w:customStyle="1">
    <w:name w:val="标题 8 字符"/>
    <w:link w:val="936"/>
    <w:uiPriority w:val="9"/>
    <w:qFormat/>
    <w:rPr>
      <w:rFonts w:ascii="Arial" w:hAnsi="Arial" w:eastAsia="Arial" w:cs="Arial"/>
      <w:i/>
      <w:iCs/>
      <w:sz w:val="22"/>
      <w:szCs w:val="22"/>
    </w:rPr>
  </w:style>
  <w:style w:type="character" w:styleId="1017" w:customStyle="1">
    <w:name w:val="标题 9 字符"/>
    <w:link w:val="937"/>
    <w:uiPriority w:val="9"/>
    <w:qFormat/>
    <w:rPr>
      <w:rFonts w:ascii="Arial" w:hAnsi="Arial" w:eastAsia="Arial" w:cs="Arial"/>
      <w:i/>
      <w:iCs/>
      <w:sz w:val="21"/>
      <w:szCs w:val="21"/>
    </w:rPr>
  </w:style>
  <w:style w:type="paragraph" w:styleId="1018">
    <w:name w:val="List Paragraph"/>
    <w:basedOn w:val="928"/>
    <w:uiPriority w:val="34"/>
    <w:qFormat/>
    <w:pPr>
      <w:contextualSpacing/>
      <w:ind w:left="720"/>
    </w:pPr>
  </w:style>
  <w:style w:type="paragraph" w:styleId="1019">
    <w:name w:val="No Spacing"/>
    <w:uiPriority w:val="1"/>
    <w:qFormat/>
    <w:pPr>
      <w:spacing w:after="160" w:line="278" w:lineRule="auto"/>
    </w:pPr>
    <w:rPr>
      <w:rFonts w:ascii="Times New Roman" w:hAnsi="Times New Roman" w:eastAsia="宋体" w:cs="Times New Roman"/>
      <w:lang w:val="en-US" w:eastAsia="zh-CN" w:bidi="ar-SA"/>
    </w:rPr>
  </w:style>
  <w:style w:type="character" w:styleId="1020" w:customStyle="1">
    <w:name w:val="标题 字符"/>
    <w:link w:val="962"/>
    <w:uiPriority w:val="10"/>
    <w:qFormat/>
    <w:rPr>
      <w:sz w:val="48"/>
      <w:szCs w:val="48"/>
    </w:rPr>
  </w:style>
  <w:style w:type="character" w:styleId="1021" w:customStyle="1">
    <w:name w:val="副标题 字符"/>
    <w:link w:val="955"/>
    <w:uiPriority w:val="11"/>
    <w:qFormat/>
    <w:rPr>
      <w:sz w:val="24"/>
      <w:szCs w:val="24"/>
    </w:rPr>
  </w:style>
  <w:style w:type="paragraph" w:styleId="1022">
    <w:name w:val="Quote"/>
    <w:basedOn w:val="928"/>
    <w:next w:val="928"/>
    <w:link w:val="1023"/>
    <w:uiPriority w:val="29"/>
    <w:qFormat/>
    <w:pPr>
      <w:ind w:left="720" w:right="720"/>
    </w:pPr>
    <w:rPr>
      <w:i/>
    </w:rPr>
  </w:style>
  <w:style w:type="character" w:styleId="1023" w:customStyle="1">
    <w:name w:val="引用 字符"/>
    <w:link w:val="1022"/>
    <w:uiPriority w:val="29"/>
    <w:qFormat/>
    <w:rPr>
      <w:i/>
    </w:rPr>
  </w:style>
  <w:style w:type="paragraph" w:styleId="1024">
    <w:name w:val="Intense Quote"/>
    <w:basedOn w:val="928"/>
    <w:next w:val="928"/>
    <w:link w:val="10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5" w:customStyle="1">
    <w:name w:val="明显引用 字符"/>
    <w:link w:val="1024"/>
    <w:uiPriority w:val="30"/>
    <w:qFormat/>
    <w:rPr>
      <w:i/>
    </w:rPr>
  </w:style>
  <w:style w:type="character" w:styleId="1026" w:customStyle="1">
    <w:name w:val="页眉 字符"/>
    <w:link w:val="952"/>
    <w:uiPriority w:val="99"/>
    <w:qFormat/>
  </w:style>
  <w:style w:type="character" w:styleId="1027" w:customStyle="1">
    <w:name w:val="Footer Char"/>
    <w:uiPriority w:val="99"/>
    <w:qFormat/>
  </w:style>
  <w:style w:type="character" w:styleId="1028" w:customStyle="1">
    <w:name w:val="页脚 字符"/>
    <w:link w:val="951"/>
    <w:uiPriority w:val="99"/>
    <w:qFormat/>
  </w:style>
  <w:style w:type="table" w:styleId="102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3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6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6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1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3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3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5" w:customStyle="1">
    <w:name w:val="脚注文本 字符"/>
    <w:link w:val="956"/>
    <w:uiPriority w:val="99"/>
    <w:qFormat/>
    <w:rPr>
      <w:sz w:val="18"/>
    </w:rPr>
  </w:style>
  <w:style w:type="character" w:styleId="1136" w:customStyle="1">
    <w:name w:val="尾注文本 字符"/>
    <w:link w:val="950"/>
    <w:uiPriority w:val="99"/>
    <w:qFormat/>
    <w:rPr>
      <w:sz w:val="20"/>
    </w:rPr>
  </w:style>
  <w:style w:type="paragraph" w:styleId="1137" w:customStyle="1">
    <w:name w:val="TOC 标题11"/>
    <w:uiPriority w:val="39"/>
    <w:unhideWhenUsed/>
    <w:qFormat/>
    <w:pPr>
      <w:spacing w:after="160" w:line="278" w:lineRule="auto"/>
    </w:pPr>
    <w:rPr>
      <w:rFonts w:ascii="Times New Roman" w:hAnsi="Times New Roman" w:eastAsia="宋体" w:cs="Times New Roman"/>
      <w:lang w:val="en-US" w:eastAsia="zh-CN" w:bidi="ar-SA"/>
    </w:rPr>
  </w:style>
  <w:style w:type="paragraph" w:styleId="1138" w:customStyle="1">
    <w:name w:val="标题 111"/>
    <w:basedOn w:val="928"/>
    <w:next w:val="928"/>
    <w:link w:val="1150"/>
    <w:uiPriority w:val="0"/>
    <w:qFormat/>
    <w:pPr>
      <w:jc w:val="center"/>
      <w:keepNext/>
      <w:outlineLvl w:val="0"/>
    </w:pPr>
    <w:rPr>
      <w:rFonts w:ascii="楷体_GB2312" w:eastAsia="楷体_GB2312"/>
      <w:sz w:val="28"/>
      <w:szCs w:val="28"/>
    </w:rPr>
  </w:style>
  <w:style w:type="paragraph" w:styleId="1139" w:customStyle="1">
    <w:name w:val="标题 21"/>
    <w:basedOn w:val="928"/>
    <w:next w:val="928"/>
    <w:link w:val="115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40" w:customStyle="1">
    <w:name w:val="标题 31"/>
    <w:basedOn w:val="928"/>
    <w:next w:val="1141"/>
    <w:link w:val="1152"/>
    <w:uiPriority w:val="0"/>
    <w:qFormat/>
    <w:pPr>
      <w:keepLines/>
      <w:keepNext/>
      <w:spacing w:before="260" w:after="260" w:line="416" w:lineRule="auto"/>
      <w:outlineLvl w:val="2"/>
    </w:pPr>
    <w:rPr>
      <w:b/>
      <w:bCs/>
      <w:sz w:val="32"/>
      <w:szCs w:val="32"/>
    </w:rPr>
  </w:style>
  <w:style w:type="paragraph" w:styleId="1141" w:customStyle="1">
    <w:name w:val="正文缩进1"/>
    <w:basedOn w:val="928"/>
    <w:link w:val="1153"/>
    <w:uiPriority w:val="0"/>
    <w:qFormat/>
    <w:pPr>
      <w:ind w:firstLine="420"/>
    </w:pPr>
  </w:style>
  <w:style w:type="paragraph" w:styleId="1142" w:customStyle="1">
    <w:name w:val="标题 41"/>
    <w:basedOn w:val="928"/>
    <w:next w:val="1141"/>
    <w:link w:val="1154"/>
    <w:uiPriority w:val="0"/>
    <w:qFormat/>
    <w:pPr>
      <w:keepLines/>
      <w:keepNext/>
      <w:spacing w:before="280" w:after="290" w:line="376" w:lineRule="auto"/>
      <w:outlineLvl w:val="3"/>
    </w:pPr>
    <w:rPr>
      <w:rFonts w:ascii="Arial" w:hAnsi="Arial" w:eastAsia="黑体" w:cs="Arial"/>
      <w:b/>
      <w:bCs/>
      <w:sz w:val="28"/>
      <w:szCs w:val="28"/>
    </w:rPr>
  </w:style>
  <w:style w:type="paragraph" w:styleId="1143" w:customStyle="1">
    <w:name w:val="标题 51"/>
    <w:basedOn w:val="928"/>
    <w:next w:val="1141"/>
    <w:link w:val="1155"/>
    <w:uiPriority w:val="0"/>
    <w:qFormat/>
    <w:pPr>
      <w:keepNext/>
      <w:outlineLvl w:val="4"/>
    </w:pPr>
    <w:rPr>
      <w:rFonts w:ascii="宋体"/>
      <w:color w:val="000000"/>
      <w:sz w:val="28"/>
      <w:szCs w:val="28"/>
    </w:rPr>
  </w:style>
  <w:style w:type="paragraph" w:styleId="1144" w:customStyle="1">
    <w:name w:val="标题 61"/>
    <w:basedOn w:val="928"/>
    <w:next w:val="928"/>
    <w:link w:val="115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145" w:customStyle="1">
    <w:name w:val="标题 71"/>
    <w:basedOn w:val="928"/>
    <w:next w:val="928"/>
    <w:link w:val="1157"/>
    <w:uiPriority w:val="0"/>
    <w:qFormat/>
    <w:pPr>
      <w:numPr>
        <w:ilvl w:val="6"/>
        <w:numId w:val="1"/>
      </w:numPr>
      <w:keepLines/>
      <w:keepNext/>
      <w:spacing w:before="240" w:after="64" w:line="320" w:lineRule="auto"/>
      <w:outlineLvl w:val="6"/>
    </w:pPr>
    <w:rPr>
      <w:b/>
      <w:bCs/>
      <w:sz w:val="24"/>
      <w:szCs w:val="24"/>
    </w:rPr>
  </w:style>
  <w:style w:type="paragraph" w:styleId="1146" w:customStyle="1">
    <w:name w:val="标题 81"/>
    <w:basedOn w:val="928"/>
    <w:next w:val="928"/>
    <w:link w:val="115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147" w:customStyle="1">
    <w:name w:val="标题 91"/>
    <w:basedOn w:val="928"/>
    <w:next w:val="928"/>
    <w:link w:val="1159"/>
    <w:uiPriority w:val="0"/>
    <w:qFormat/>
    <w:pPr>
      <w:numPr>
        <w:ilvl w:val="8"/>
        <w:numId w:val="1"/>
      </w:numPr>
      <w:keepLines/>
      <w:keepNext/>
      <w:spacing w:before="240" w:after="64" w:line="320" w:lineRule="auto"/>
      <w:outlineLvl w:val="8"/>
    </w:pPr>
    <w:rPr>
      <w:rFonts w:ascii="Arial" w:hAnsi="Arial" w:eastAsia="黑体"/>
    </w:rPr>
  </w:style>
  <w:style w:type="character" w:styleId="1148" w:customStyle="1">
    <w:name w:val="默认段落字体1"/>
    <w:uiPriority w:val="1"/>
    <w:unhideWhenUsed/>
    <w:qFormat/>
  </w:style>
  <w:style w:type="table" w:styleId="1149" w:customStyle="1">
    <w:name w:val="普通表格1"/>
    <w:uiPriority w:val="99"/>
    <w:unhideWhenUsed/>
    <w:qFormat/>
    <w:tblPr>
      <w:tblCellMar>
        <w:left w:w="0" w:type="dxa"/>
        <w:top w:w="0" w:type="dxa"/>
        <w:right w:w="0" w:type="dxa"/>
        <w:bottom w:w="0" w:type="dxa"/>
      </w:tblCellMar>
    </w:tblPr>
  </w:style>
  <w:style w:type="character" w:styleId="1150" w:customStyle="1">
    <w:name w:val="标题 1 Char"/>
    <w:link w:val="1138"/>
    <w:uiPriority w:val="0"/>
    <w:qFormat/>
    <w:rPr>
      <w:rFonts w:ascii="楷体_GB2312" w:hAnsi="Times New Roman" w:eastAsia="楷体_GB2312" w:cs="Times New Roman"/>
      <w:sz w:val="28"/>
      <w:szCs w:val="28"/>
    </w:rPr>
  </w:style>
  <w:style w:type="character" w:styleId="1151" w:customStyle="1">
    <w:name w:val="标题 2 Char"/>
    <w:link w:val="1139"/>
    <w:uiPriority w:val="0"/>
    <w:qFormat/>
    <w:rPr>
      <w:rFonts w:ascii="Arial" w:hAnsi="Arial" w:eastAsia="幼圆" w:cs="Arial"/>
      <w:b/>
      <w:bCs/>
      <w:sz w:val="44"/>
      <w:szCs w:val="44"/>
    </w:rPr>
  </w:style>
  <w:style w:type="character" w:styleId="1152" w:customStyle="1">
    <w:name w:val="标题 3 Char"/>
    <w:link w:val="1140"/>
    <w:uiPriority w:val="0"/>
    <w:qFormat/>
    <w:rPr>
      <w:rFonts w:ascii="Times New Roman" w:hAnsi="Times New Roman" w:eastAsia="宋体" w:cs="Times New Roman"/>
      <w:b/>
      <w:bCs/>
      <w:sz w:val="32"/>
      <w:szCs w:val="32"/>
    </w:rPr>
  </w:style>
  <w:style w:type="character" w:styleId="1153" w:customStyle="1">
    <w:name w:val="正文缩进 Char"/>
    <w:link w:val="1141"/>
    <w:uiPriority w:val="0"/>
    <w:qFormat/>
    <w:rPr>
      <w:rFonts w:ascii="Times New Roman" w:hAnsi="Times New Roman" w:eastAsia="宋体" w:cs="Times New Roman"/>
      <w:szCs w:val="21"/>
    </w:rPr>
  </w:style>
  <w:style w:type="character" w:styleId="1154" w:customStyle="1">
    <w:name w:val="标题 4 Char"/>
    <w:link w:val="1142"/>
    <w:uiPriority w:val="0"/>
    <w:qFormat/>
    <w:rPr>
      <w:rFonts w:ascii="Arial" w:hAnsi="Arial" w:eastAsia="黑体" w:cs="Arial"/>
      <w:b/>
      <w:bCs/>
      <w:sz w:val="28"/>
      <w:szCs w:val="28"/>
    </w:rPr>
  </w:style>
  <w:style w:type="character" w:styleId="1155" w:customStyle="1">
    <w:name w:val="标题 5 Char"/>
    <w:link w:val="1143"/>
    <w:uiPriority w:val="0"/>
    <w:qFormat/>
    <w:rPr>
      <w:rFonts w:ascii="宋体" w:hAnsi="Times New Roman" w:eastAsia="宋体" w:cs="Times New Roman"/>
      <w:color w:val="000000"/>
      <w:sz w:val="28"/>
      <w:szCs w:val="28"/>
    </w:rPr>
  </w:style>
  <w:style w:type="character" w:styleId="1156" w:customStyle="1">
    <w:name w:val="标题 6 Char"/>
    <w:link w:val="1144"/>
    <w:uiPriority w:val="0"/>
    <w:qFormat/>
    <w:rPr>
      <w:rFonts w:ascii="Arial" w:hAnsi="Arial" w:eastAsia="黑体" w:cs="Times New Roman"/>
      <w:b/>
      <w:bCs/>
      <w:sz w:val="24"/>
      <w:szCs w:val="24"/>
    </w:rPr>
  </w:style>
  <w:style w:type="character" w:styleId="1157" w:customStyle="1">
    <w:name w:val="标题 7 Char"/>
    <w:link w:val="1145"/>
    <w:uiPriority w:val="0"/>
    <w:qFormat/>
    <w:rPr>
      <w:rFonts w:ascii="Times New Roman" w:hAnsi="Times New Roman" w:eastAsia="宋体" w:cs="Times New Roman"/>
      <w:b/>
      <w:bCs/>
      <w:sz w:val="24"/>
      <w:szCs w:val="24"/>
    </w:rPr>
  </w:style>
  <w:style w:type="character" w:styleId="1158" w:customStyle="1">
    <w:name w:val="标题 8 Char"/>
    <w:link w:val="1146"/>
    <w:uiPriority w:val="0"/>
    <w:qFormat/>
    <w:rPr>
      <w:rFonts w:ascii="Arial" w:hAnsi="Arial" w:eastAsia="黑体" w:cs="Times New Roman"/>
      <w:sz w:val="24"/>
      <w:szCs w:val="24"/>
    </w:rPr>
  </w:style>
  <w:style w:type="character" w:styleId="1159" w:customStyle="1">
    <w:name w:val="标题 9 Char"/>
    <w:link w:val="1147"/>
    <w:uiPriority w:val="0"/>
    <w:qFormat/>
    <w:rPr>
      <w:rFonts w:ascii="Arial" w:hAnsi="Arial" w:eastAsia="黑体" w:cs="Times New Roman"/>
      <w:szCs w:val="21"/>
    </w:rPr>
  </w:style>
  <w:style w:type="paragraph" w:styleId="1160" w:customStyle="1">
    <w:name w:val="列表 31"/>
    <w:basedOn w:val="928"/>
    <w:uiPriority w:val="0"/>
    <w:qFormat/>
    <w:pPr>
      <w:ind w:left="100" w:hanging="200"/>
    </w:pPr>
  </w:style>
  <w:style w:type="paragraph" w:styleId="1161" w:customStyle="1">
    <w:name w:val="目录 71"/>
    <w:basedOn w:val="928"/>
    <w:next w:val="928"/>
    <w:uiPriority w:val="0"/>
    <w:semiHidden/>
    <w:qFormat/>
    <w:pPr>
      <w:ind w:left="1260"/>
      <w:jc w:val="left"/>
    </w:pPr>
  </w:style>
  <w:style w:type="paragraph" w:styleId="1162" w:customStyle="1">
    <w:name w:val="文档结构图1"/>
    <w:basedOn w:val="928"/>
    <w:link w:val="1163"/>
    <w:uiPriority w:val="0"/>
    <w:semiHidden/>
    <w:qFormat/>
    <w:pPr>
      <w:shd w:val="clear" w:color="auto" w:fill="000080"/>
    </w:pPr>
  </w:style>
  <w:style w:type="character" w:styleId="1163" w:customStyle="1">
    <w:name w:val="文档结构图 Char"/>
    <w:link w:val="1162"/>
    <w:uiPriority w:val="0"/>
    <w:semiHidden/>
    <w:qFormat/>
    <w:rPr>
      <w:rFonts w:ascii="Times New Roman" w:hAnsi="Times New Roman" w:eastAsia="宋体" w:cs="Times New Roman"/>
      <w:szCs w:val="21"/>
      <w:shd w:val="clear" w:color="auto" w:fill="000080"/>
    </w:rPr>
  </w:style>
  <w:style w:type="paragraph" w:styleId="1164" w:customStyle="1">
    <w:name w:val="批注文字1"/>
    <w:basedOn w:val="928"/>
    <w:link w:val="1165"/>
    <w:uiPriority w:val="0"/>
    <w:semiHidden/>
    <w:qFormat/>
    <w:pPr>
      <w:jc w:val="left"/>
    </w:pPr>
  </w:style>
  <w:style w:type="character" w:styleId="1165" w:customStyle="1">
    <w:name w:val="批注文字 Char"/>
    <w:link w:val="1164"/>
    <w:uiPriority w:val="0"/>
    <w:semiHidden/>
    <w:qFormat/>
    <w:rPr>
      <w:rFonts w:ascii="Times New Roman" w:hAnsi="Times New Roman" w:eastAsia="宋体" w:cs="Times New Roman"/>
      <w:szCs w:val="21"/>
    </w:rPr>
  </w:style>
  <w:style w:type="paragraph" w:styleId="1166" w:customStyle="1">
    <w:name w:val="正文文本 31"/>
    <w:basedOn w:val="928"/>
    <w:link w:val="1167"/>
    <w:uiPriority w:val="0"/>
    <w:qFormat/>
    <w:rPr>
      <w:rFonts w:ascii="仿宋_GB2312" w:hAnsi="Arial" w:eastAsia="仿宋_GB2312"/>
      <w:sz w:val="32"/>
      <w:szCs w:val="32"/>
    </w:rPr>
  </w:style>
  <w:style w:type="character" w:styleId="1167" w:customStyle="1">
    <w:name w:val="正文文本 3 Char"/>
    <w:link w:val="1166"/>
    <w:uiPriority w:val="0"/>
    <w:qFormat/>
    <w:rPr>
      <w:rFonts w:ascii="仿宋_GB2312" w:hAnsi="Arial" w:eastAsia="仿宋_GB2312" w:cs="Times New Roman"/>
      <w:sz w:val="32"/>
      <w:szCs w:val="32"/>
    </w:rPr>
  </w:style>
  <w:style w:type="character" w:styleId="1168" w:customStyle="1">
    <w:name w:val="正文文本 Char"/>
    <w:link w:val="1007"/>
    <w:uiPriority w:val="0"/>
    <w:qFormat/>
    <w:rPr>
      <w:rFonts w:ascii="楷体_GB2312" w:hAnsi="Arial" w:eastAsia="楷体_GB2312" w:cs="Times New Roman"/>
      <w:sz w:val="28"/>
      <w:szCs w:val="28"/>
    </w:rPr>
  </w:style>
  <w:style w:type="paragraph" w:styleId="1169" w:customStyle="1">
    <w:name w:val="正文文本缩进1"/>
    <w:basedOn w:val="928"/>
    <w:next w:val="928"/>
    <w:link w:val="1170"/>
    <w:uiPriority w:val="0"/>
    <w:qFormat/>
    <w:pPr>
      <w:ind w:firstLine="645"/>
    </w:pPr>
    <w:rPr>
      <w:rFonts w:ascii="楷体_GB2312" w:eastAsia="楷体_GB2312"/>
      <w:sz w:val="32"/>
      <w:szCs w:val="32"/>
    </w:rPr>
  </w:style>
  <w:style w:type="character" w:styleId="1170" w:customStyle="1">
    <w:name w:val="正文文本缩进 Char"/>
    <w:link w:val="1169"/>
    <w:uiPriority w:val="0"/>
    <w:qFormat/>
    <w:rPr>
      <w:rFonts w:ascii="楷体_GB2312" w:hAnsi="Times New Roman" w:eastAsia="楷体_GB2312" w:cs="Times New Roman"/>
      <w:sz w:val="32"/>
      <w:szCs w:val="32"/>
    </w:rPr>
  </w:style>
  <w:style w:type="paragraph" w:styleId="1171" w:customStyle="1">
    <w:name w:val="列表 21"/>
    <w:basedOn w:val="928"/>
    <w:uiPriority w:val="0"/>
    <w:qFormat/>
    <w:pPr>
      <w:ind w:left="100" w:hanging="200"/>
    </w:pPr>
  </w:style>
  <w:style w:type="paragraph" w:styleId="1172" w:customStyle="1">
    <w:name w:val="目录 51"/>
    <w:basedOn w:val="928"/>
    <w:next w:val="928"/>
    <w:uiPriority w:val="0"/>
    <w:semiHidden/>
    <w:qFormat/>
    <w:pPr>
      <w:ind w:left="840"/>
      <w:jc w:val="left"/>
    </w:pPr>
  </w:style>
  <w:style w:type="paragraph" w:styleId="1173" w:customStyle="1">
    <w:name w:val="目录 31"/>
    <w:basedOn w:val="928"/>
    <w:next w:val="928"/>
    <w:uiPriority w:val="0"/>
    <w:semiHidden/>
    <w:qFormat/>
    <w:pPr>
      <w:ind w:left="420"/>
      <w:jc w:val="left"/>
    </w:pPr>
    <w:rPr>
      <w:i/>
      <w:iCs/>
      <w:szCs w:val="24"/>
    </w:rPr>
  </w:style>
  <w:style w:type="paragraph" w:styleId="1174" w:customStyle="1">
    <w:name w:val="纯文本1"/>
    <w:basedOn w:val="928"/>
    <w:link w:val="1175"/>
    <w:uiPriority w:val="0"/>
    <w:qFormat/>
    <w:rPr>
      <w:rFonts w:ascii="宋体" w:hAnsi="Courier New" w:cs="Courier New"/>
    </w:rPr>
  </w:style>
  <w:style w:type="character" w:styleId="1175" w:customStyle="1">
    <w:name w:val="纯文本 Char"/>
    <w:link w:val="1174"/>
    <w:uiPriority w:val="0"/>
    <w:qFormat/>
    <w:rPr>
      <w:rFonts w:ascii="宋体" w:hAnsi="Courier New" w:eastAsia="宋体" w:cs="Courier New"/>
      <w:szCs w:val="21"/>
    </w:rPr>
  </w:style>
  <w:style w:type="paragraph" w:styleId="1176" w:customStyle="1">
    <w:name w:val="目录 81"/>
    <w:basedOn w:val="928"/>
    <w:next w:val="928"/>
    <w:uiPriority w:val="0"/>
    <w:semiHidden/>
    <w:qFormat/>
    <w:pPr>
      <w:ind w:left="1470"/>
      <w:jc w:val="left"/>
    </w:pPr>
  </w:style>
  <w:style w:type="paragraph" w:styleId="1177" w:customStyle="1">
    <w:name w:val="日期1"/>
    <w:basedOn w:val="928"/>
    <w:next w:val="928"/>
    <w:link w:val="1178"/>
    <w:uiPriority w:val="0"/>
    <w:qFormat/>
    <w:rPr>
      <w:sz w:val="24"/>
      <w:szCs w:val="24"/>
    </w:rPr>
  </w:style>
  <w:style w:type="character" w:styleId="1178" w:customStyle="1">
    <w:name w:val="日期 Char"/>
    <w:link w:val="1177"/>
    <w:uiPriority w:val="0"/>
    <w:qFormat/>
    <w:rPr>
      <w:rFonts w:ascii="Times New Roman" w:hAnsi="Times New Roman" w:eastAsia="宋体" w:cs="Times New Roman"/>
      <w:sz w:val="24"/>
      <w:szCs w:val="24"/>
    </w:rPr>
  </w:style>
  <w:style w:type="paragraph" w:styleId="1179" w:customStyle="1">
    <w:name w:val="正文文本缩进 21"/>
    <w:basedOn w:val="928"/>
    <w:link w:val="1180"/>
    <w:uiPriority w:val="0"/>
    <w:qFormat/>
    <w:pPr>
      <w:ind w:left="630" w:firstLine="645"/>
    </w:pPr>
    <w:rPr>
      <w:rFonts w:ascii="Arial" w:hAnsi="Arial" w:eastAsia="仿宋_GB2312" w:cs="Arial"/>
      <w:sz w:val="32"/>
      <w:szCs w:val="32"/>
    </w:rPr>
  </w:style>
  <w:style w:type="character" w:styleId="1180" w:customStyle="1">
    <w:name w:val="正文文本缩进 2 Char"/>
    <w:link w:val="1179"/>
    <w:uiPriority w:val="0"/>
    <w:qFormat/>
    <w:rPr>
      <w:rFonts w:ascii="Arial" w:hAnsi="Arial" w:eastAsia="仿宋_GB2312" w:cs="Arial"/>
      <w:sz w:val="32"/>
      <w:szCs w:val="32"/>
    </w:rPr>
  </w:style>
  <w:style w:type="paragraph" w:styleId="1181" w:customStyle="1">
    <w:name w:val="批注框文本1"/>
    <w:basedOn w:val="928"/>
    <w:link w:val="1182"/>
    <w:uiPriority w:val="0"/>
    <w:semiHidden/>
    <w:qFormat/>
    <w:rPr>
      <w:sz w:val="18"/>
      <w:szCs w:val="18"/>
    </w:rPr>
  </w:style>
  <w:style w:type="character" w:styleId="1182" w:customStyle="1">
    <w:name w:val="批注框文本 Char"/>
    <w:link w:val="1181"/>
    <w:uiPriority w:val="0"/>
    <w:semiHidden/>
    <w:qFormat/>
    <w:rPr>
      <w:rFonts w:ascii="Times New Roman" w:hAnsi="Times New Roman" w:eastAsia="宋体" w:cs="Times New Roman"/>
      <w:sz w:val="18"/>
      <w:szCs w:val="18"/>
    </w:rPr>
  </w:style>
  <w:style w:type="paragraph" w:styleId="1183" w:customStyle="1">
    <w:name w:val="页脚1"/>
    <w:basedOn w:val="928"/>
    <w:link w:val="1184"/>
    <w:uiPriority w:val="0"/>
    <w:qFormat/>
    <w:pPr>
      <w:jc w:val="left"/>
      <w:tabs>
        <w:tab w:val="center" w:pos="4153" w:leader="none"/>
        <w:tab w:val="right" w:pos="8306" w:leader="none"/>
      </w:tabs>
    </w:pPr>
    <w:rPr>
      <w:sz w:val="18"/>
      <w:szCs w:val="18"/>
    </w:rPr>
  </w:style>
  <w:style w:type="character" w:styleId="1184" w:customStyle="1">
    <w:name w:val="页脚 Char"/>
    <w:link w:val="1183"/>
    <w:uiPriority w:val="0"/>
    <w:qFormat/>
    <w:rPr>
      <w:rFonts w:ascii="Times New Roman" w:hAnsi="Times New Roman" w:eastAsia="宋体" w:cs="Times New Roman"/>
      <w:sz w:val="18"/>
      <w:szCs w:val="18"/>
    </w:rPr>
  </w:style>
  <w:style w:type="paragraph" w:styleId="1185" w:customStyle="1">
    <w:name w:val="页眉1"/>
    <w:basedOn w:val="928"/>
    <w:link w:val="1186"/>
    <w:uiPriority w:val="0"/>
    <w:qFormat/>
    <w:pPr>
      <w:jc w:val="center"/>
      <w:tabs>
        <w:tab w:val="center" w:pos="4153" w:leader="none"/>
        <w:tab w:val="right" w:pos="8306" w:leader="none"/>
      </w:tabs>
      <w:pBdr>
        <w:bottom w:val="single" w:color="000000" w:sz="6" w:space="1"/>
      </w:pBdr>
    </w:pPr>
    <w:rPr>
      <w:sz w:val="18"/>
      <w:szCs w:val="18"/>
    </w:rPr>
  </w:style>
  <w:style w:type="character" w:styleId="1186" w:customStyle="1">
    <w:name w:val="页眉 Char"/>
    <w:link w:val="1185"/>
    <w:uiPriority w:val="0"/>
    <w:qFormat/>
    <w:rPr>
      <w:rFonts w:ascii="Times New Roman" w:hAnsi="Times New Roman" w:eastAsia="宋体" w:cs="Times New Roman"/>
      <w:sz w:val="18"/>
      <w:szCs w:val="18"/>
    </w:rPr>
  </w:style>
  <w:style w:type="paragraph" w:styleId="1187" w:customStyle="1">
    <w:name w:val="目录 11"/>
    <w:basedOn w:val="928"/>
    <w:next w:val="928"/>
    <w:uiPriority w:val="0"/>
    <w:semiHidden/>
    <w:qFormat/>
    <w:pPr>
      <w:jc w:val="left"/>
      <w:spacing w:before="120" w:after="120" w:line="400" w:lineRule="exact"/>
      <w:tabs>
        <w:tab w:val="right" w:pos="8720" w:leader="dot"/>
      </w:tabs>
    </w:pPr>
    <w:rPr>
      <w:rFonts w:ascii="宋体" w:hAnsi="宋体"/>
      <w:caps/>
      <w:sz w:val="24"/>
      <w:szCs w:val="24"/>
    </w:rPr>
  </w:style>
  <w:style w:type="paragraph" w:styleId="1188" w:customStyle="1">
    <w:name w:val="目录 41"/>
    <w:basedOn w:val="928"/>
    <w:next w:val="928"/>
    <w:uiPriority w:val="0"/>
    <w:semiHidden/>
    <w:qFormat/>
    <w:pPr>
      <w:ind w:left="630"/>
      <w:jc w:val="left"/>
    </w:pPr>
  </w:style>
  <w:style w:type="paragraph" w:styleId="1189" w:customStyle="1">
    <w:name w:val="列表1"/>
    <w:basedOn w:val="928"/>
    <w:uiPriority w:val="0"/>
    <w:qFormat/>
    <w:pPr>
      <w:ind w:left="200" w:hanging="200"/>
    </w:pPr>
  </w:style>
  <w:style w:type="paragraph" w:styleId="1190" w:customStyle="1">
    <w:name w:val="目录 61"/>
    <w:basedOn w:val="928"/>
    <w:next w:val="928"/>
    <w:uiPriority w:val="0"/>
    <w:semiHidden/>
    <w:qFormat/>
    <w:pPr>
      <w:ind w:left="1050"/>
      <w:jc w:val="left"/>
    </w:pPr>
  </w:style>
  <w:style w:type="paragraph" w:styleId="1191" w:customStyle="1">
    <w:name w:val="正文文本缩进 31"/>
    <w:basedOn w:val="928"/>
    <w:link w:val="1192"/>
    <w:uiPriority w:val="0"/>
    <w:qFormat/>
    <w:pPr>
      <w:ind w:left="645" w:firstLine="645"/>
    </w:pPr>
    <w:rPr>
      <w:rFonts w:ascii="Arial" w:hAnsi="Arial" w:eastAsia="仿宋_GB2312" w:cs="Arial"/>
      <w:color w:val="ffff00"/>
      <w:sz w:val="32"/>
      <w:szCs w:val="32"/>
    </w:rPr>
  </w:style>
  <w:style w:type="character" w:styleId="1192" w:customStyle="1">
    <w:name w:val="正文文本缩进 3 Char"/>
    <w:link w:val="1191"/>
    <w:uiPriority w:val="0"/>
    <w:qFormat/>
    <w:rPr>
      <w:rFonts w:ascii="Arial" w:hAnsi="Arial" w:eastAsia="仿宋_GB2312" w:cs="Arial"/>
      <w:color w:val="ffff00"/>
      <w:sz w:val="32"/>
      <w:szCs w:val="32"/>
    </w:rPr>
  </w:style>
  <w:style w:type="paragraph" w:styleId="1193" w:customStyle="1">
    <w:name w:val="图表目录1"/>
    <w:basedOn w:val="928"/>
    <w:next w:val="928"/>
    <w:uiPriority w:val="0"/>
    <w:semiHidden/>
    <w:qFormat/>
    <w:pPr>
      <w:ind w:left="840" w:hanging="420"/>
    </w:pPr>
  </w:style>
  <w:style w:type="paragraph" w:styleId="1194" w:customStyle="1">
    <w:name w:val="目录 21"/>
    <w:basedOn w:val="928"/>
    <w:next w:val="928"/>
    <w:uiPriority w:val="0"/>
    <w:semiHidden/>
    <w:qFormat/>
    <w:pPr>
      <w:ind w:left="210"/>
      <w:jc w:val="left"/>
    </w:pPr>
    <w:rPr>
      <w:smallCaps/>
      <w:szCs w:val="24"/>
    </w:rPr>
  </w:style>
  <w:style w:type="paragraph" w:styleId="1195" w:customStyle="1">
    <w:name w:val="目录 91"/>
    <w:basedOn w:val="928"/>
    <w:next w:val="928"/>
    <w:uiPriority w:val="0"/>
    <w:semiHidden/>
    <w:qFormat/>
    <w:pPr>
      <w:ind w:left="1680"/>
      <w:jc w:val="left"/>
    </w:pPr>
  </w:style>
  <w:style w:type="paragraph" w:styleId="1196" w:customStyle="1">
    <w:name w:val="正文文本 21"/>
    <w:basedOn w:val="928"/>
    <w:link w:val="1197"/>
    <w:uiPriority w:val="0"/>
    <w:qFormat/>
    <w:pPr>
      <w:jc w:val="center"/>
      <w:widowControl/>
    </w:pPr>
    <w:rPr>
      <w:rFonts w:ascii="楷体_GB2312" w:eastAsia="楷体_GB2312"/>
      <w:sz w:val="28"/>
      <w:szCs w:val="28"/>
    </w:rPr>
  </w:style>
  <w:style w:type="character" w:styleId="1197" w:customStyle="1">
    <w:name w:val="正文文本 2 Char"/>
    <w:link w:val="1196"/>
    <w:uiPriority w:val="0"/>
    <w:qFormat/>
    <w:rPr>
      <w:rFonts w:ascii="楷体_GB2312" w:hAnsi="Times New Roman" w:eastAsia="楷体_GB2312" w:cs="Times New Roman"/>
      <w:sz w:val="28"/>
      <w:szCs w:val="28"/>
    </w:rPr>
  </w:style>
  <w:style w:type="paragraph" w:styleId="1198" w:customStyle="1">
    <w:name w:val="普通(网站)1"/>
    <w:basedOn w:val="928"/>
    <w:uiPriority w:val="99"/>
    <w:qFormat/>
    <w:pPr>
      <w:jc w:val="left"/>
      <w:spacing w:before="100" w:beforeAutospacing="1" w:after="100" w:afterAutospacing="1"/>
      <w:widowControl/>
    </w:pPr>
    <w:rPr>
      <w:rFonts w:ascii="宋体" w:hAnsi="宋体" w:cs="宋体"/>
      <w:sz w:val="24"/>
      <w:szCs w:val="24"/>
    </w:rPr>
  </w:style>
  <w:style w:type="paragraph" w:styleId="1199" w:customStyle="1">
    <w:name w:val="索引 11"/>
    <w:basedOn w:val="928"/>
    <w:next w:val="928"/>
    <w:uiPriority w:val="0"/>
    <w:semiHidden/>
    <w:qFormat/>
    <w:pPr>
      <w:spacing w:line="240" w:lineRule="atLeast"/>
    </w:pPr>
    <w:rPr>
      <w:b/>
      <w:bCs/>
    </w:rPr>
  </w:style>
  <w:style w:type="paragraph" w:styleId="1200" w:customStyle="1">
    <w:name w:val="批注主题1"/>
    <w:basedOn w:val="1164"/>
    <w:next w:val="1164"/>
    <w:link w:val="1201"/>
    <w:uiPriority w:val="0"/>
    <w:semiHidden/>
    <w:qFormat/>
    <w:rPr>
      <w:b/>
      <w:bCs/>
    </w:rPr>
  </w:style>
  <w:style w:type="character" w:styleId="1201" w:customStyle="1">
    <w:name w:val="批注主题 Char"/>
    <w:link w:val="1200"/>
    <w:uiPriority w:val="0"/>
    <w:semiHidden/>
    <w:qFormat/>
    <w:rPr>
      <w:rFonts w:ascii="Times New Roman" w:hAnsi="Times New Roman" w:eastAsia="宋体" w:cs="Times New Roman"/>
      <w:b/>
      <w:bCs/>
      <w:szCs w:val="21"/>
    </w:rPr>
  </w:style>
  <w:style w:type="paragraph" w:styleId="1202" w:customStyle="1">
    <w:name w:val="正文首行缩进1"/>
    <w:basedOn w:val="928"/>
    <w:link w:val="1203"/>
    <w:uiPriority w:val="0"/>
    <w:qFormat/>
    <w:pPr>
      <w:ind w:firstLine="200"/>
      <w:spacing w:line="360" w:lineRule="auto"/>
    </w:pPr>
    <w:rPr>
      <w:rFonts w:ascii="仿宋_GB2312" w:eastAsia="仿宋_GB2312"/>
      <w:sz w:val="30"/>
      <w:szCs w:val="30"/>
    </w:rPr>
  </w:style>
  <w:style w:type="character" w:styleId="1203" w:customStyle="1">
    <w:name w:val="正文首行缩进 Char"/>
    <w:link w:val="1202"/>
    <w:uiPriority w:val="0"/>
    <w:qFormat/>
    <w:rPr>
      <w:rFonts w:ascii="仿宋_GB2312" w:hAnsi="Times New Roman" w:eastAsia="仿宋_GB2312" w:cs="Times New Roman"/>
      <w:sz w:val="30"/>
      <w:szCs w:val="30"/>
    </w:rPr>
  </w:style>
  <w:style w:type="paragraph" w:styleId="1204" w:customStyle="1">
    <w:name w:val="正文首行缩进 21"/>
    <w:basedOn w:val="1169"/>
    <w:link w:val="1205"/>
    <w:uiPriority w:val="0"/>
    <w:qFormat/>
    <w:pPr>
      <w:ind w:firstLine="420"/>
      <w:spacing w:line="360" w:lineRule="auto"/>
    </w:pPr>
    <w:rPr>
      <w:rFonts w:ascii="宋体" w:hAnsi="宋体" w:eastAsia="宋体"/>
      <w:sz w:val="21"/>
      <w:szCs w:val="20"/>
    </w:rPr>
  </w:style>
  <w:style w:type="character" w:styleId="1205" w:customStyle="1">
    <w:name w:val="正文首行缩进 2 Char"/>
    <w:link w:val="1204"/>
    <w:uiPriority w:val="0"/>
    <w:qFormat/>
    <w:rPr>
      <w:rFonts w:ascii="宋体" w:hAnsi="宋体" w:eastAsia="宋体" w:cs="Times New Roman"/>
      <w:sz w:val="32"/>
      <w:szCs w:val="20"/>
    </w:rPr>
  </w:style>
  <w:style w:type="table" w:styleId="1206" w:customStyle="1">
    <w:name w:val="网格型1"/>
    <w:basedOn w:val="1149"/>
    <w:uiPriority w:val="0"/>
    <w:qFormat/>
    <w:pPr>
      <w:jc w:val="both"/>
      <w:widowControl w:val="off"/>
    </w:pPr>
    <w:tblPr/>
  </w:style>
  <w:style w:type="character" w:styleId="1207" w:customStyle="1">
    <w:name w:val="要点1"/>
    <w:uiPriority w:val="0"/>
    <w:qFormat/>
    <w:rPr>
      <w:b/>
      <w:bCs/>
    </w:rPr>
  </w:style>
  <w:style w:type="character" w:styleId="1208" w:customStyle="1">
    <w:name w:val="页码1"/>
    <w:uiPriority w:val="0"/>
    <w:qFormat/>
  </w:style>
  <w:style w:type="character" w:styleId="1209" w:customStyle="1">
    <w:name w:val="已访问的超链接1"/>
    <w:uiPriority w:val="0"/>
    <w:qFormat/>
    <w:rPr>
      <w:color w:val="800080"/>
      <w:u w:val="single"/>
    </w:rPr>
  </w:style>
  <w:style w:type="character" w:styleId="1210" w:customStyle="1">
    <w:name w:val="超链接1"/>
    <w:uiPriority w:val="0"/>
    <w:qFormat/>
    <w:rPr>
      <w:color w:val="0000ff"/>
      <w:u w:val="single"/>
    </w:rPr>
  </w:style>
  <w:style w:type="character" w:styleId="1211" w:customStyle="1">
    <w:name w:val="批注引用1"/>
    <w:uiPriority w:val="0"/>
    <w:semiHidden/>
    <w:qFormat/>
    <w:rPr>
      <w:sz w:val="21"/>
      <w:szCs w:val="21"/>
    </w:rPr>
  </w:style>
  <w:style w:type="paragraph" w:styleId="1212" w:customStyle="1">
    <w:name w:val="正文空2字"/>
    <w:basedOn w:val="1213"/>
    <w:uiPriority w:val="99"/>
    <w:qFormat/>
    <w:pPr>
      <w:ind w:firstLine="640"/>
      <w:spacing w:line="560" w:lineRule="exact"/>
      <w:widowControl w:val="off"/>
    </w:pPr>
    <w:rPr>
      <w:rFonts w:ascii="仿宋_GB2312" w:hAnsi="仿宋_GB2312" w:cs="仿宋_GB2312"/>
      <w:lang w:val="zh-TW"/>
    </w:rPr>
  </w:style>
  <w:style w:type="paragraph" w:styleId="1213" w:customStyle="1">
    <w:name w:val="左对齐正文"/>
    <w:uiPriority w:val="99"/>
    <w:qFormat/>
    <w:pPr>
      <w:spacing w:after="160" w:line="278" w:lineRule="auto"/>
    </w:pPr>
    <w:rPr>
      <w:rFonts w:ascii="Calibri" w:hAnsi="Calibri" w:eastAsia="仿宋_GB2312" w:cs="Calibri"/>
      <w:sz w:val="32"/>
      <w:szCs w:val="32"/>
      <w:lang w:val="en-US" w:eastAsia="zh-CN" w:bidi="ar-SA"/>
    </w:rPr>
  </w:style>
  <w:style w:type="paragraph" w:styleId="1214" w:customStyle="1">
    <w:name w:val="索引 41"/>
    <w:basedOn w:val="928"/>
    <w:next w:val="928"/>
    <w:uiPriority w:val="0"/>
    <w:semiHidden/>
    <w:qFormat/>
    <w:pPr>
      <w:ind w:left="1260"/>
    </w:pPr>
    <w:rPr>
      <w:rFonts w:ascii="Calibri" w:hAnsi="Calibri" w:eastAsia="Calibri" w:cs="宋体"/>
      <w:sz w:val="20"/>
      <w:lang w:val="zh-CN"/>
    </w:rPr>
  </w:style>
  <w:style w:type="character" w:styleId="1215" w:customStyle="1">
    <w:name w:val="font5 Char"/>
    <w:uiPriority w:val="0"/>
    <w:qFormat/>
    <w:rPr>
      <w:rFonts w:ascii="宋体" w:hAnsi="宋体" w:eastAsia="宋体"/>
      <w:sz w:val="28"/>
      <w:szCs w:val="28"/>
      <w:lang w:val="en-US" w:eastAsia="zh-CN" w:bidi="ar-SA"/>
    </w:rPr>
  </w:style>
  <w:style w:type="character" w:styleId="1216" w:customStyle="1">
    <w:name w:val="二级目录 Char"/>
    <w:link w:val="1217"/>
    <w:uiPriority w:val="0"/>
    <w:qFormat/>
    <w:rPr>
      <w:b/>
      <w:sz w:val="30"/>
      <w:szCs w:val="28"/>
    </w:rPr>
  </w:style>
  <w:style w:type="paragraph" w:styleId="1217" w:customStyle="1">
    <w:name w:val="二级目录"/>
    <w:next w:val="928"/>
    <w:link w:val="1216"/>
    <w:uiPriority w:val="0"/>
    <w:qFormat/>
    <w:pPr>
      <w:ind w:left="907" w:hanging="907"/>
      <w:spacing w:after="160" w:line="278" w:lineRule="auto"/>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218" w:customStyle="1">
    <w:name w:val="列出段落 Char"/>
    <w:link w:val="1219"/>
    <w:uiPriority w:val="0"/>
    <w:qFormat/>
    <w:rPr>
      <w:rFonts w:ascii="Calibri" w:hAnsi="Calibri"/>
      <w:sz w:val="24"/>
      <w:szCs w:val="24"/>
      <w:lang w:eastAsia="en-US" w:bidi="en-US"/>
    </w:rPr>
  </w:style>
  <w:style w:type="paragraph" w:styleId="1219" w:customStyle="1">
    <w:name w:val="列出段落1"/>
    <w:basedOn w:val="928"/>
    <w:link w:val="1218"/>
    <w:uiPriority w:val="0"/>
    <w:qFormat/>
    <w:pPr>
      <w:contextualSpacing/>
      <w:ind w:left="720"/>
      <w:jc w:val="left"/>
      <w:widowControl/>
    </w:pPr>
    <w:rPr>
      <w:rFonts w:ascii="Calibri" w:hAnsi="Calibri"/>
      <w:sz w:val="24"/>
      <w:szCs w:val="24"/>
      <w:lang w:eastAsia="en-US" w:bidi="en-US"/>
    </w:rPr>
  </w:style>
  <w:style w:type="paragraph" w:styleId="1220" w:customStyle="1">
    <w:name w:val="Body Text(ch)"/>
    <w:basedOn w:val="928"/>
    <w:next w:val="1007"/>
    <w:uiPriority w:val="0"/>
    <w:qFormat/>
    <w:pPr>
      <w:spacing w:after="120"/>
    </w:pPr>
    <w:rPr>
      <w:rFonts w:ascii="宋体" w:hAnsi="Arial"/>
      <w:bCs/>
      <w:iCs/>
      <w:szCs w:val="24"/>
    </w:rPr>
  </w:style>
  <w:style w:type="paragraph" w:styleId="1221" w:customStyle="1">
    <w:name w:val="xl27"/>
    <w:basedOn w:val="9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22" w:customStyle="1">
    <w:name w:val="xl26"/>
    <w:basedOn w:val="9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23" w:customStyle="1">
    <w:name w:val="Char"/>
    <w:basedOn w:val="928"/>
    <w:uiPriority w:val="0"/>
    <w:qFormat/>
    <w:pPr>
      <w:ind w:firstLine="200"/>
      <w:tabs>
        <w:tab w:val="left" w:pos="360" w:leader="none"/>
      </w:tabs>
    </w:pPr>
    <w:rPr>
      <w:sz w:val="28"/>
      <w:szCs w:val="30"/>
    </w:rPr>
  </w:style>
  <w:style w:type="paragraph" w:styleId="1224" w:customStyle="1">
    <w:name w:val="Char1"/>
    <w:basedOn w:val="1162"/>
    <w:uiPriority w:val="0"/>
    <w:qFormat/>
    <w:rPr>
      <w:rFonts w:ascii="Tahoma" w:hAnsi="Tahoma"/>
      <w:sz w:val="24"/>
      <w:szCs w:val="24"/>
    </w:rPr>
  </w:style>
  <w:style w:type="paragraph" w:styleId="1225" w:customStyle="1">
    <w:name w:val="普通正文"/>
    <w:basedOn w:val="928"/>
    <w:uiPriority w:val="0"/>
    <w:qFormat/>
    <w:pPr>
      <w:ind w:firstLine="480"/>
      <w:jc w:val="left"/>
      <w:spacing w:before="120" w:after="120" w:line="360" w:lineRule="auto"/>
    </w:pPr>
    <w:rPr>
      <w:rFonts w:ascii="Arial" w:hAnsi="Arial"/>
      <w:sz w:val="24"/>
      <w:szCs w:val="24"/>
    </w:rPr>
  </w:style>
  <w:style w:type="paragraph" w:styleId="1226" w:customStyle="1">
    <w:name w:val="table_lines"/>
    <w:basedOn w:val="928"/>
    <w:uiPriority w:val="0"/>
    <w:qFormat/>
    <w:pPr>
      <w:jc w:val="left"/>
      <w:widowControl/>
    </w:pPr>
    <w:rPr>
      <w:sz w:val="20"/>
      <w:szCs w:val="20"/>
      <w:lang w:val="de-DE" w:eastAsia="de-DE"/>
    </w:rPr>
  </w:style>
  <w:style w:type="paragraph" w:styleId="1227" w:customStyle="1">
    <w:name w:val="附录1"/>
    <w:uiPriority w:val="0"/>
    <w:qFormat/>
    <w:pPr>
      <w:numPr>
        <w:ilvl w:val="0"/>
        <w:numId w:val="2"/>
      </w:numPr>
      <w:spacing w:before="240" w:after="160" w:line="600" w:lineRule="atLeast"/>
    </w:pPr>
    <w:rPr>
      <w:rFonts w:ascii="Times New Roman" w:hAnsi="Times New Roman" w:eastAsia="宋体" w:cs="Times New Roman"/>
      <w:b/>
      <w:i/>
      <w:sz w:val="28"/>
      <w:lang w:val="en-US" w:eastAsia="zh-CN" w:bidi="ar-SA"/>
    </w:rPr>
  </w:style>
  <w:style w:type="paragraph" w:styleId="1228" w:customStyle="1">
    <w:name w:val="font7"/>
    <w:basedOn w:val="928"/>
    <w:uiPriority w:val="0"/>
    <w:qFormat/>
    <w:pPr>
      <w:jc w:val="left"/>
      <w:spacing w:before="100" w:beforeAutospacing="1" w:after="100" w:afterAutospacing="1"/>
      <w:widowControl/>
    </w:pPr>
    <w:rPr>
      <w:rFonts w:hint="eastAsia" w:ascii="宋体" w:hAnsi="宋体"/>
      <w:sz w:val="18"/>
      <w:szCs w:val="18"/>
    </w:rPr>
  </w:style>
  <w:style w:type="paragraph" w:styleId="1229" w:customStyle="1">
    <w:name w:val="Char Char Char Char"/>
    <w:basedOn w:val="1162"/>
    <w:uiPriority w:val="0"/>
    <w:qFormat/>
    <w:pPr>
      <w:spacing w:line="360" w:lineRule="auto"/>
    </w:pPr>
    <w:rPr>
      <w:rFonts w:ascii="Tahoma" w:hAnsi="Tahoma"/>
      <w:sz w:val="24"/>
      <w:szCs w:val="24"/>
    </w:rPr>
  </w:style>
  <w:style w:type="paragraph" w:styleId="1230" w:customStyle="1">
    <w:name w:val="列出段落2"/>
    <w:basedOn w:val="928"/>
    <w:uiPriority w:val="0"/>
    <w:qFormat/>
    <w:pPr>
      <w:contextualSpacing/>
      <w:ind w:left="720"/>
      <w:jc w:val="left"/>
      <w:widowControl/>
    </w:pPr>
    <w:rPr>
      <w:rFonts w:ascii="Calibri" w:hAnsi="Calibri"/>
      <w:sz w:val="24"/>
      <w:szCs w:val="24"/>
      <w:lang w:eastAsia="en-US" w:bidi="en-US"/>
    </w:rPr>
  </w:style>
  <w:style w:type="paragraph" w:styleId="1231" w:customStyle="1">
    <w:name w:val="4"/>
    <w:basedOn w:val="928"/>
    <w:next w:val="1191"/>
    <w:uiPriority w:val="0"/>
    <w:qFormat/>
    <w:pPr>
      <w:ind w:firstLine="420"/>
      <w:spacing w:line="360" w:lineRule="auto"/>
    </w:pPr>
    <w:rPr>
      <w:color w:val="ff0000"/>
      <w:sz w:val="24"/>
      <w:szCs w:val="24"/>
    </w:rPr>
  </w:style>
  <w:style w:type="paragraph" w:styleId="1232" w:customStyle="1">
    <w:name w:val="普通 (Web)"/>
    <w:basedOn w:val="928"/>
    <w:uiPriority w:val="0"/>
    <w:qFormat/>
    <w:pPr>
      <w:jc w:val="left"/>
      <w:spacing w:before="100" w:beforeAutospacing="1" w:after="100" w:afterAutospacing="1"/>
      <w:widowControl/>
    </w:pPr>
    <w:rPr>
      <w:rFonts w:ascii="宋体" w:hAnsi="宋体"/>
      <w:sz w:val="24"/>
      <w:szCs w:val="24"/>
    </w:rPr>
  </w:style>
  <w:style w:type="paragraph" w:styleId="1233" w:customStyle="1">
    <w:name w:val="Char Char Char Char Char Char Char Char Char Char"/>
    <w:basedOn w:val="928"/>
    <w:uiPriority w:val="0"/>
    <w:qFormat/>
    <w:pPr>
      <w:spacing w:line="360" w:lineRule="auto"/>
    </w:pPr>
    <w:rPr>
      <w:sz w:val="24"/>
      <w:szCs w:val="20"/>
    </w:rPr>
  </w:style>
  <w:style w:type="paragraph" w:styleId="1234" w:customStyle="1">
    <w:name w:val="样式1"/>
    <w:basedOn w:val="928"/>
    <w:uiPriority w:val="0"/>
    <w:qFormat/>
    <w:pPr>
      <w:numPr>
        <w:ilvl w:val="0"/>
        <w:numId w:val="3"/>
      </w:numPr>
    </w:pPr>
    <w:rPr>
      <w:rFonts w:ascii="宋体" w:hAnsi="宋体"/>
    </w:rPr>
  </w:style>
  <w:style w:type="paragraph" w:styleId="1235" w:customStyle="1">
    <w:name w:val="font6"/>
    <w:basedOn w:val="928"/>
    <w:uiPriority w:val="0"/>
    <w:qFormat/>
    <w:pPr>
      <w:jc w:val="left"/>
      <w:spacing w:before="100" w:beforeAutospacing="1" w:after="100" w:afterAutospacing="1"/>
      <w:widowControl/>
    </w:pPr>
    <w:rPr>
      <w:rFonts w:hint="eastAsia" w:ascii="宋体" w:hAnsi="宋体"/>
      <w:sz w:val="28"/>
      <w:szCs w:val="28"/>
      <w:u w:val="single"/>
    </w:rPr>
  </w:style>
  <w:style w:type="paragraph" w:styleId="1236" w:customStyle="1">
    <w:name w:val="xl25"/>
    <w:basedOn w:val="92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37" w:customStyle="1">
    <w:name w:val="图标"/>
    <w:basedOn w:val="928"/>
    <w:next w:val="92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38" w:customStyle="1">
    <w:name w:val="标题3"/>
    <w:basedOn w:val="928"/>
    <w:next w:val="928"/>
    <w:uiPriority w:val="0"/>
    <w:qFormat/>
    <w:pPr>
      <w:ind w:firstLine="624"/>
      <w:spacing w:line="590" w:lineRule="atLeast"/>
    </w:pPr>
    <w:rPr>
      <w:rFonts w:ascii="方正黑体_GBK" w:eastAsia="方正黑体_GBK"/>
      <w:sz w:val="32"/>
      <w:szCs w:val="32"/>
    </w:rPr>
  </w:style>
  <w:style w:type="paragraph" w:styleId="1239" w:customStyle="1">
    <w:name w:val="xl24"/>
    <w:basedOn w:val="9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0" w:customStyle="1">
    <w:name w:val="xl29"/>
    <w:basedOn w:val="92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41" w:customStyle="1">
    <w:name w:val="Char Char Char Char Char Char Char Char"/>
    <w:basedOn w:val="928"/>
    <w:uiPriority w:val="0"/>
    <w:qFormat/>
    <w:pPr>
      <w:jc w:val="left"/>
      <w:spacing w:line="240" w:lineRule="exact"/>
      <w:widowControl/>
    </w:pPr>
    <w:rPr>
      <w:rFonts w:ascii="Verdana" w:hAnsi="Verdana"/>
      <w:sz w:val="20"/>
      <w:szCs w:val="20"/>
      <w:lang w:eastAsia="en-US"/>
    </w:rPr>
  </w:style>
  <w:style w:type="paragraph" w:styleId="1242" w:customStyle="1">
    <w:name w:val="xl28"/>
    <w:basedOn w:val="92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43" w:customStyle="1">
    <w:name w:val="Char Char Char Char Char Char Char Char1"/>
    <w:basedOn w:val="928"/>
    <w:uiPriority w:val="0"/>
    <w:qFormat/>
    <w:pPr>
      <w:jc w:val="left"/>
      <w:spacing w:line="240" w:lineRule="exact"/>
      <w:widowControl/>
    </w:pPr>
    <w:rPr>
      <w:rFonts w:ascii="Verdana" w:hAnsi="Verdana"/>
      <w:sz w:val="20"/>
      <w:szCs w:val="20"/>
      <w:lang w:eastAsia="en-US"/>
    </w:rPr>
  </w:style>
  <w:style w:type="paragraph" w:styleId="1244" w:customStyle="1">
    <w:name w:val="xl30"/>
    <w:basedOn w:val="928"/>
    <w:uiPriority w:val="0"/>
    <w:qFormat/>
    <w:pPr>
      <w:jc w:val="center"/>
      <w:spacing w:before="100" w:beforeAutospacing="1" w:after="100" w:afterAutospacing="1"/>
      <w:widowControl/>
    </w:pPr>
    <w:rPr>
      <w:rFonts w:ascii="宋体" w:hAnsi="宋体"/>
      <w:b/>
      <w:bCs/>
      <w:sz w:val="36"/>
      <w:szCs w:val="36"/>
    </w:rPr>
  </w:style>
  <w:style w:type="paragraph" w:styleId="1245" w:customStyle="1">
    <w:name w:val="Char Char Char Char1"/>
    <w:basedOn w:val="1162"/>
    <w:uiPriority w:val="0"/>
    <w:qFormat/>
    <w:pPr>
      <w:spacing w:line="360" w:lineRule="auto"/>
    </w:pPr>
    <w:rPr>
      <w:rFonts w:ascii="Tahoma" w:hAnsi="Tahoma"/>
      <w:sz w:val="24"/>
      <w:szCs w:val="24"/>
    </w:rPr>
  </w:style>
  <w:style w:type="paragraph" w:styleId="1246" w:customStyle="1">
    <w:name w:val="table_1stline"/>
    <w:basedOn w:val="928"/>
    <w:uiPriority w:val="0"/>
    <w:qFormat/>
    <w:pPr>
      <w:jc w:val="left"/>
      <w:spacing w:before="120"/>
      <w:widowControl/>
    </w:pPr>
    <w:rPr>
      <w:bCs/>
      <w:sz w:val="20"/>
      <w:szCs w:val="20"/>
      <w:lang w:val="de-DE" w:eastAsia="de-DE"/>
    </w:rPr>
  </w:style>
  <w:style w:type="paragraph" w:styleId="1247" w:customStyle="1">
    <w:name w:val="font5"/>
    <w:basedOn w:val="928"/>
    <w:uiPriority w:val="0"/>
    <w:qFormat/>
    <w:pPr>
      <w:jc w:val="left"/>
      <w:spacing w:before="100" w:beforeAutospacing="1" w:after="100" w:afterAutospacing="1"/>
      <w:widowControl/>
    </w:pPr>
    <w:rPr>
      <w:rFonts w:hint="eastAsia" w:ascii="宋体" w:hAnsi="宋体"/>
      <w:sz w:val="28"/>
      <w:szCs w:val="28"/>
    </w:rPr>
  </w:style>
  <w:style w:type="paragraph" w:styleId="1248" w:customStyle="1">
    <w:name w:val="标题1"/>
    <w:basedOn w:val="928"/>
    <w:next w:val="92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49" w:customStyle="1">
    <w:name w:val="修订1"/>
    <w:uiPriority w:val="99"/>
    <w:semiHidden/>
    <w:qFormat/>
    <w:pPr>
      <w:spacing w:after="160" w:line="278" w:lineRule="auto"/>
    </w:pPr>
    <w:rPr>
      <w:rFonts w:ascii="Times New Roman" w:hAnsi="Times New Roman" w:eastAsia="宋体" w:cs="Times New Roman"/>
      <w:sz w:val="21"/>
      <w:szCs w:val="21"/>
      <w:lang w:val="en-US" w:eastAsia="zh-CN" w:bidi="ar-SA"/>
    </w:rPr>
  </w:style>
  <w:style w:type="paragraph" w:styleId="1250" w:customStyle="1">
    <w:name w:val="无间隔1"/>
    <w:uiPriority w:val="99"/>
    <w:qFormat/>
    <w:pPr>
      <w:jc w:val="both"/>
      <w:spacing w:after="160" w:line="278" w:lineRule="auto"/>
      <w:widowControl w:val="off"/>
    </w:pPr>
    <w:rPr>
      <w:rFonts w:ascii="Times New Roman" w:hAnsi="Times New Roman" w:eastAsia="宋体" w:cs="Times New Roman"/>
      <w:sz w:val="21"/>
      <w:szCs w:val="21"/>
      <w:lang w:val="en-US" w:eastAsia="zh-CN" w:bidi="ar-SA"/>
    </w:rPr>
  </w:style>
  <w:style w:type="table" w:styleId="1251" w:customStyle="1">
    <w:name w:val="Table Normal"/>
    <w:uiPriority w:val="0"/>
    <w:qFormat/>
    <w:tblPr>
      <w:tblCellMar>
        <w:left w:w="0" w:type="dxa"/>
        <w:top w:w="0" w:type="dxa"/>
        <w:right w:w="0" w:type="dxa"/>
        <w:bottom w:w="0" w:type="dxa"/>
      </w:tblCellMar>
    </w:tblPr>
  </w:style>
  <w:style w:type="paragraph" w:styleId="1252" w:customStyle="1">
    <w:name w:val="Normal_5_0"/>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1253" w:customStyle="1">
    <w:name w:val="Normal_6_0"/>
    <w:uiPriority w:val="0"/>
    <w:qFormat/>
    <w:pPr>
      <w:spacing w:after="160" w:line="278" w:lineRule="auto"/>
    </w:pPr>
    <w:rPr>
      <w:rFonts w:ascii="黑体" w:hAnsi="黑体" w:eastAsia="黑体" w:cs="黑体"/>
      <w:b/>
      <w:sz w:val="32"/>
      <w:szCs w:val="24"/>
      <w:lang w:val="en-US" w:eastAsia="zh-CN" w:bidi="ar-SA"/>
    </w:rPr>
  </w:style>
  <w:style w:type="paragraph" w:styleId="1254" w:customStyle="1">
    <w:name w:val="Normal_1_2"/>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255" w:customStyle="1">
    <w:name w:val="正文_2"/>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1256" w:customStyle="1">
    <w:name w:val="正文文本12"/>
    <w:basedOn w:val="928"/>
    <w:uiPriority w:val="1"/>
    <w:qFormat/>
    <w:pPr>
      <w:ind w:left="120"/>
    </w:pPr>
    <w:rPr>
      <w:rFonts w:ascii="宋体" w:hAnsi="宋体" w:cs="宋体"/>
      <w:lang w:val="zh-CN" w:bidi="zh-CN"/>
    </w:rPr>
  </w:style>
  <w:style w:type="paragraph" w:styleId="1257" w:customStyle="1">
    <w:name w:val="正文2"/>
    <w:basedOn w:val="928"/>
    <w:uiPriority w:val="0"/>
    <w:qFormat/>
    <w:pPr>
      <w:ind w:firstLine="510"/>
      <w:spacing w:before="156" w:line="360" w:lineRule="auto"/>
    </w:pPr>
    <w:rPr>
      <w:sz w:val="24"/>
      <w:szCs w:val="20"/>
    </w:rPr>
  </w:style>
  <w:style w:type="paragraph" w:styleId="1258" w:customStyle="1">
    <w:name w:val="首行缩进"/>
    <w:basedOn w:val="928"/>
    <w:uiPriority w:val="0"/>
    <w:qFormat/>
    <w:pPr>
      <w:ind w:firstLine="480"/>
    </w:pPr>
    <w:rPr>
      <w:lang w:val="zh-CN"/>
    </w:rPr>
  </w:style>
  <w:style w:type="paragraph" w:styleId="1259" w:customStyle="1">
    <w:name w:val="Normal_18_0"/>
    <w:uiPriority w:val="0"/>
    <w:qFormat/>
    <w:pPr>
      <w:spacing w:after="160" w:line="278" w:lineRule="auto"/>
    </w:pPr>
    <w:rPr>
      <w:rFonts w:ascii="黑体" w:hAnsi="黑体" w:eastAsia="黑体" w:cs="黑体"/>
      <w:b/>
      <w:sz w:val="32"/>
      <w:szCs w:val="24"/>
      <w:lang w:val="en-US" w:eastAsia="zh-CN" w:bidi="ar-SA"/>
    </w:rPr>
  </w:style>
  <w:style w:type="paragraph" w:styleId="1260" w:customStyle="1">
    <w:name w:val="正文_12_0_0_0_0"/>
    <w:basedOn w:val="928"/>
    <w:uiPriority w:val="0"/>
    <w:qFormat/>
    <w:rPr>
      <w:szCs w:val="24"/>
    </w:rPr>
  </w:style>
  <w:style w:type="paragraph" w:styleId="1261" w:customStyle="1">
    <w:name w:val="正文_12_0_0_0"/>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262" w:customStyle="1">
    <w:name w:val="正文_14_0"/>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1263" w:customStyle="1">
    <w:name w:val="正文_14_0_0"/>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264" w:customStyle="1">
    <w:name w:val="Normal_20"/>
    <w:uiPriority w:val="0"/>
    <w:qFormat/>
    <w:pPr>
      <w:spacing w:after="160" w:line="278" w:lineRule="auto"/>
    </w:pPr>
    <w:rPr>
      <w:rFonts w:ascii="黑体" w:hAnsi="黑体" w:eastAsia="黑体" w:cs="黑体"/>
      <w:b/>
      <w:sz w:val="32"/>
      <w:szCs w:val="24"/>
      <w:lang w:val="en-US" w:eastAsia="zh-CN" w:bidi="ar-SA"/>
    </w:rPr>
  </w:style>
  <w:style w:type="paragraph" w:styleId="1265" w:customStyle="1">
    <w:name w:val="正文_15_0"/>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1266" w:customStyle="1">
    <w:name w:val="Normal_0"/>
    <w:uiPriority w:val="0"/>
    <w:qFormat/>
    <w:pPr>
      <w:spacing w:after="160" w:line="278" w:lineRule="auto"/>
    </w:pPr>
    <w:rPr>
      <w:rFonts w:ascii="黑体" w:hAnsi="黑体" w:eastAsia="黑体" w:cs="Times New Roman"/>
      <w:b/>
      <w:sz w:val="32"/>
      <w:szCs w:val="24"/>
      <w:lang w:val="en-US" w:eastAsia="zh-CN" w:bidi="ar-SA"/>
    </w:rPr>
  </w:style>
  <w:style w:type="paragraph" w:styleId="1267" w:customStyle="1">
    <w:name w:val="部分1"/>
    <w:basedOn w:val="928"/>
    <w:uiPriority w:val="0"/>
    <w:qFormat/>
    <w:pPr>
      <w:jc w:val="center"/>
      <w:keepNext/>
      <w:pageBreakBefore/>
      <w:spacing w:line="360" w:lineRule="auto"/>
      <w:tabs>
        <w:tab w:val="left" w:pos="720" w:leader="none"/>
      </w:tabs>
      <w:outlineLvl w:val="0"/>
    </w:pPr>
    <w:rPr>
      <w:rFonts w:eastAsia="黑体"/>
      <w:b/>
      <w:sz w:val="36"/>
      <w:szCs w:val="20"/>
    </w:rPr>
  </w:style>
  <w:style w:type="paragraph" w:styleId="1268" w:customStyle="1">
    <w:name w:val="Normal_12_0"/>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1269" w:customStyle="1">
    <w:name w:val="正文_9_0"/>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1270" w:customStyle="1">
    <w:name w:val="正文_8_1"/>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1271" w:customStyle="1">
    <w:name w:val="正文_1_0_0_0_0"/>
    <w:uiPriority w:val="0"/>
    <w:qFormat/>
    <w:pPr>
      <w:jc w:val="both"/>
      <w:spacing w:after="160" w:line="278" w:lineRule="auto"/>
      <w:widowControl w:val="off"/>
    </w:pPr>
    <w:rPr>
      <w:rFonts w:ascii="Times New Roman" w:hAnsi="Times New Roman" w:eastAsia="宋体" w:cs="Times New Roman"/>
      <w:sz w:val="21"/>
      <w:lang w:val="en-US" w:eastAsia="zh-CN" w:bidi="ar-SA"/>
    </w:rPr>
  </w:style>
  <w:style w:type="paragraph" w:styleId="1272" w:customStyle="1">
    <w:name w:val="列出段落_2"/>
    <w:basedOn w:val="1270"/>
    <w:uiPriority w:val="34"/>
    <w:qFormat/>
    <w:pPr>
      <w:ind w:firstLine="420"/>
    </w:pPr>
  </w:style>
  <w:style w:type="paragraph" w:styleId="1273" w:customStyle="1">
    <w:name w:val="Normal_13_0"/>
    <w:uiPriority w:val="0"/>
    <w:qFormat/>
    <w:pPr>
      <w:spacing w:after="160" w:line="278" w:lineRule="auto"/>
    </w:pPr>
    <w:rPr>
      <w:rFonts w:ascii="黑体" w:hAnsi="黑体" w:eastAsia="黑体" w:cs="黑体"/>
      <w:b/>
      <w:sz w:val="32"/>
      <w:szCs w:val="24"/>
      <w:lang w:val="en-US" w:eastAsia="zh-CN" w:bidi="ar-SA"/>
    </w:rPr>
  </w:style>
  <w:style w:type="paragraph" w:styleId="1274" w:customStyle="1">
    <w:name w:val="正文_16_0_0"/>
    <w:next w:val="1275"/>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1275" w:customStyle="1">
    <w:name w:val="正文1_0"/>
    <w:uiPriority w:val="0"/>
    <w:qFormat/>
    <w:pPr>
      <w:jc w:val="both"/>
      <w:spacing w:after="160" w:line="278" w:lineRule="auto"/>
      <w:widowControl w:val="off"/>
    </w:pPr>
    <w:rPr>
      <w:rFonts w:ascii="Times New Roman" w:hAnsi="Times New Roman" w:eastAsia="宋体" w:cs="Times New Roman"/>
      <w:szCs w:val="24"/>
      <w:lang w:val="en-US" w:eastAsia="zh-CN" w:bidi="ar-SA"/>
    </w:rPr>
  </w:style>
  <w:style w:type="paragraph" w:styleId="1276" w:customStyle="1">
    <w:name w:val="正文_3_0"/>
    <w:uiPriority w:val="0"/>
    <w:qFormat/>
    <w:pPr>
      <w:jc w:val="both"/>
      <w:spacing w:after="160" w:line="278" w:lineRule="auto"/>
      <w:widowControl w:val="off"/>
    </w:pPr>
    <w:rPr>
      <w:rFonts w:ascii="Times New Roman" w:hAnsi="Times New Roman" w:eastAsia="宋体" w:cs="Times New Roman"/>
      <w:sz w:val="21"/>
      <w:lang w:val="en-US" w:eastAsia="zh-CN" w:bidi="ar-SA"/>
    </w:rPr>
  </w:style>
  <w:style w:type="paragraph" w:styleId="1277" w:customStyle="1">
    <w:name w:val="正文_16"/>
    <w:next w:val="1278"/>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1278" w:customStyle="1">
    <w:name w:val="正文缩进_1"/>
    <w:basedOn w:val="1277"/>
    <w:uiPriority w:val="0"/>
    <w:unhideWhenUsed/>
    <w:qFormat/>
    <w:pPr>
      <w:ind w:firstLine="420"/>
      <w:jc w:val="left"/>
      <w:widowControl/>
    </w:pPr>
    <w:rPr>
      <w:rFonts w:ascii="Times New Roman" w:hAnsi="Times New Roman"/>
      <w:sz w:val="20"/>
      <w:szCs w:val="24"/>
    </w:rPr>
  </w:style>
  <w:style w:type="paragraph" w:styleId="1279" w:customStyle="1">
    <w:name w:val="正文_16_0"/>
    <w:next w:val="1280"/>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280" w:customStyle="1">
    <w:name w:val="正文首行缩进 2_0"/>
    <w:basedOn w:val="1281"/>
    <w:uiPriority w:val="0"/>
    <w:qFormat/>
    <w:pPr>
      <w:ind w:left="420" w:firstLine="420"/>
      <w:spacing w:after="120"/>
    </w:pPr>
    <w:rPr>
      <w:rFonts w:ascii="Times New Roman" w:hAnsi="Times New Roman"/>
    </w:rPr>
  </w:style>
  <w:style w:type="paragraph" w:styleId="1281" w:customStyle="1">
    <w:name w:val="正文文本缩进_0"/>
    <w:basedOn w:val="1282"/>
    <w:uiPriority w:val="0"/>
    <w:qFormat/>
    <w:pPr>
      <w:ind w:firstLine="210"/>
    </w:pPr>
    <w:rPr>
      <w:rFonts w:ascii="Calibri" w:hAnsi="Calibri"/>
      <w:b/>
    </w:rPr>
  </w:style>
  <w:style w:type="paragraph" w:styleId="1282" w:customStyle="1">
    <w:name w:val="正文_0_1"/>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283" w:customStyle="1">
    <w:name w:val="纯文本_1"/>
    <w:basedOn w:val="1284"/>
    <w:next w:val="1284"/>
    <w:uiPriority w:val="0"/>
    <w:unhideWhenUsed/>
    <w:qFormat/>
    <w:rPr>
      <w:rFonts w:ascii="宋体" w:hAnsi="Courier New"/>
      <w:szCs w:val="24"/>
    </w:rPr>
  </w:style>
  <w:style w:type="paragraph" w:styleId="1284" w:customStyle="1">
    <w:name w:val="正文_2_0"/>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1285" w:customStyle="1">
    <w:name w:val="无间隔_0"/>
    <w:uiPriority w:val="1"/>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286" w:customStyle="1">
    <w:name w:val="表内文字居中"/>
    <w:uiPriority w:val="0"/>
    <w:qFormat/>
    <w:pPr>
      <w:jc w:val="center"/>
      <w:spacing w:after="160" w:line="278" w:lineRule="auto"/>
    </w:pPr>
    <w:rPr>
      <w:rFonts w:ascii="Times New Roman" w:hAnsi="Times New Roman" w:eastAsia="宋体" w:cs="Times New Roman"/>
      <w:sz w:val="24"/>
      <w:szCs w:val="24"/>
      <w:lang w:val="en-US" w:eastAsia="zh-CN" w:bidi="ar-SA"/>
    </w:rPr>
  </w:style>
  <w:style w:type="paragraph" w:styleId="1287" w:customStyle="1">
    <w:name w:val="正文_0"/>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288" w:customStyle="1">
    <w:name w:val="正文1"/>
    <w:next w:val="928"/>
    <w:uiPriority w:val="0"/>
    <w:qFormat/>
    <w:pPr>
      <w:contextualSpacing/>
      <w:ind w:firstLine="200"/>
      <w:spacing w:before="120" w:after="120" w:line="180" w:lineRule="auto"/>
    </w:pPr>
    <w:rPr>
      <w:rFonts w:ascii="Calibri" w:hAnsi="Calibri" w:eastAsia="Adobe 仿宋 Std R" w:cs="Times New Roman"/>
      <w:sz w:val="21"/>
      <w:szCs w:val="21"/>
      <w:lang w:val="en-US" w:eastAsia="zh-CN" w:bidi="ar-SA"/>
    </w:rPr>
  </w:style>
  <w:style w:type="paragraph" w:styleId="1289" w:customStyle="1">
    <w:name w:val="修订2"/>
    <w:hidden/>
    <w:uiPriority w:val="99"/>
    <w:unhideWhenUsed/>
    <w:qFormat/>
    <w:pPr>
      <w:spacing w:after="160" w:line="278" w:lineRule="auto"/>
    </w:pPr>
    <w:rPr>
      <w:rFonts w:ascii="Times New Roman" w:hAnsi="Times New Roman" w:eastAsia="宋体" w:cs="Times New Roman"/>
      <w:sz w:val="21"/>
      <w:szCs w:val="21"/>
      <w:lang w:val="en-US" w:eastAsia="zh-CN" w:bidi="ar-SA"/>
    </w:rPr>
  </w:style>
  <w:style w:type="paragraph" w:styleId="1290" w:customStyle="1">
    <w:name w:val="修订3"/>
    <w:hidden/>
    <w:uiPriority w:val="99"/>
    <w:unhideWhenUsed/>
    <w:qFormat/>
    <w:pPr>
      <w:spacing w:after="160" w:line="278" w:lineRule="auto"/>
    </w:pPr>
    <w:rPr>
      <w:rFonts w:ascii="Times New Roman" w:hAnsi="Times New Roman" w:eastAsia="宋体" w:cs="Times New Roman"/>
      <w:sz w:val="21"/>
      <w:szCs w:val="21"/>
      <w:lang w:val="en-US" w:eastAsia="zh-CN" w:bidi="ar-SA"/>
    </w:rPr>
  </w:style>
  <w:style w:type="paragraph" w:styleId="1291" w:customStyle="1">
    <w:name w:val="修订4"/>
    <w:hidden/>
    <w:uiPriority w:val="99"/>
    <w:unhideWhenUsed/>
    <w:qFormat/>
    <w:rPr>
      <w:rFonts w:ascii="Times New Roman" w:hAnsi="Times New Roman" w:eastAsia="宋体" w:cs="Times New Roman"/>
      <w:sz w:val="21"/>
      <w:szCs w:val="21"/>
      <w:lang w:val="en-US" w:eastAsia="zh-CN" w:bidi="ar-SA"/>
    </w:rPr>
  </w:style>
  <w:style w:type="paragraph" w:styleId="1292" w:customStyle="1">
    <w:name w:val="Revision"/>
    <w:hidden/>
    <w:uiPriority w:val="99"/>
    <w:unhideWhenUsed/>
    <w:qFormat/>
    <w:rPr>
      <w:rFonts w:ascii="Times New Roman" w:hAnsi="Times New Roman" w:eastAsia="宋体" w:cs="Times New Roman"/>
      <w:sz w:val="21"/>
      <w:szCs w:val="21"/>
      <w:lang w:val="en-US" w:eastAsia="zh-CN" w:bidi="ar-SA"/>
    </w:rPr>
  </w:style>
  <w:style w:type="character" w:styleId="1293" w:customStyle="1">
    <w:name w:val="批注文字 字符"/>
    <w:basedOn w:val="938"/>
    <w:link w:val="945"/>
    <w:uiPriority w:val="99"/>
    <w:semiHidden/>
    <w:qFormat/>
    <w:rPr>
      <w:sz w:val="21"/>
      <w:szCs w:val="21"/>
    </w:rPr>
  </w:style>
  <w:style w:type="character" w:styleId="1294" w:customStyle="1">
    <w:name w:val="批注主题 字符"/>
    <w:basedOn w:val="1293"/>
    <w:link w:val="963"/>
    <w:uiPriority w:val="99"/>
    <w:semiHidden/>
    <w:qFormat/>
    <w:rPr>
      <w:b/>
      <w:bCs/>
      <w:sz w:val="21"/>
      <w:szCs w:val="21"/>
    </w:rPr>
  </w:style>
  <w:style w:type="numbering" w:styleId="12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customXml" Target="../customXml/item1.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张杨</cp:lastModifiedBy>
  <cp:revision>6</cp:revision>
  <dcterms:created xsi:type="dcterms:W3CDTF">2026-06-08T08:30:00Z</dcterms:created>
  <dcterms:modified xsi:type="dcterms:W3CDTF">2026-06-09T08:17:41Z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AE252A4E26994E12B88F054F65118049_13</vt:lpwstr>
  </property>
  <property fmtid="{D5CDD505-2E9C-101B-9397-08002B2CF9AE}" pid="4" name="KSOTemplateDocerSaveRecord">
    <vt:lpwstr>eyJoZGlkIjoiZjhkNzFjNWVlZWEwMjA4Njk5ZWUzNTE3NDhiMzk1MTYiLCJ1c2VySWQiOiIyMDM3MzQ3MzEifQ==</vt:lpwstr>
  </property>
</Properties>
</file>