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612CF">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hint="eastAsia" w:ascii="仿宋" w:hAnsi="仿宋" w:eastAsia="仿宋" w:cs="仿宋"/>
          <w:b/>
          <w:bCs/>
          <w:color w:val="000000"/>
          <w:sz w:val="36"/>
          <w:szCs w:val="36"/>
          <w:highlight w:val="white"/>
          <w:u w:val="none"/>
          <w:lang w:eastAsia="zh-CN"/>
        </w:rPr>
      </w:pPr>
      <w:r>
        <w:rPr>
          <w:rFonts w:hint="eastAsia" w:ascii="仿宋" w:hAnsi="仿宋" w:eastAsia="仿宋" w:cs="仿宋"/>
          <w:b/>
          <w:bCs/>
          <w:color w:val="000000"/>
          <w:sz w:val="36"/>
          <w:szCs w:val="36"/>
          <w:highlight w:val="white"/>
          <w:u w:val="none"/>
          <w:lang w:eastAsia="zh-CN"/>
        </w:rPr>
        <w:t>宿豫实验高中学生住床、课桌凳更换采购项目征求意见公告</w:t>
      </w:r>
    </w:p>
    <w:p w14:paraId="3A374027">
      <w:pPr>
        <w:spacing w:line="500" w:lineRule="exact"/>
        <w:ind w:firstLine="560" w:firstLineChars="200"/>
        <w:rPr>
          <w:rFonts w:hint="eastAsia" w:ascii="仿宋" w:hAnsi="仿宋" w:eastAsia="仿宋" w:cs="仿宋"/>
          <w:color w:val="000000"/>
          <w:sz w:val="28"/>
          <w:szCs w:val="28"/>
          <w:highlight w:val="white"/>
        </w:rPr>
      </w:pPr>
      <w:r>
        <w:rPr>
          <w:rFonts w:hint="eastAsia" w:ascii="仿宋" w:hAnsi="仿宋" w:eastAsia="仿宋" w:cs="仿宋"/>
          <w:color w:val="000000"/>
          <w:sz w:val="28"/>
          <w:szCs w:val="28"/>
          <w:highlight w:val="white"/>
          <w:u w:val="single"/>
          <w:lang w:eastAsia="zh-CN"/>
        </w:rPr>
        <w:t>宿迁市宿豫区实验高级中学</w:t>
      </w:r>
      <w:r>
        <w:rPr>
          <w:rFonts w:hint="eastAsia" w:ascii="仿宋" w:hAnsi="仿宋" w:eastAsia="仿宋" w:cs="仿宋"/>
          <w:color w:val="000000"/>
          <w:sz w:val="28"/>
          <w:szCs w:val="28"/>
          <w:highlight w:val="white"/>
        </w:rPr>
        <w:t>就</w:t>
      </w:r>
      <w:r>
        <w:rPr>
          <w:rFonts w:hint="eastAsia" w:ascii="仿宋" w:hAnsi="仿宋" w:eastAsia="仿宋" w:cs="仿宋"/>
          <w:color w:val="000000"/>
          <w:sz w:val="28"/>
          <w:szCs w:val="28"/>
          <w:highlight w:val="white"/>
          <w:u w:val="single"/>
          <w:lang w:eastAsia="zh-CN"/>
        </w:rPr>
        <w:t>宿豫实验高中学生住床、课桌凳更换采购项目</w:t>
      </w:r>
      <w:r>
        <w:rPr>
          <w:rFonts w:hint="eastAsia" w:ascii="仿宋" w:hAnsi="仿宋" w:eastAsia="仿宋" w:cs="仿宋"/>
          <w:color w:val="000000"/>
          <w:sz w:val="28"/>
          <w:szCs w:val="28"/>
          <w:highlight w:val="white"/>
        </w:rPr>
        <w:t>进行市场调研，邀请合格的供应商参与市场调研。有关事项如下：</w:t>
      </w:r>
    </w:p>
    <w:p w14:paraId="5AC72AD9">
      <w:pPr>
        <w:spacing w:line="500" w:lineRule="exact"/>
        <w:ind w:firstLine="562" w:firstLineChars="200"/>
        <w:rPr>
          <w:rFonts w:hint="eastAsia" w:ascii="仿宋" w:hAnsi="仿宋" w:eastAsia="仿宋" w:cs="仿宋"/>
          <w:b/>
          <w:sz w:val="28"/>
          <w:szCs w:val="28"/>
          <w:highlight w:val="white"/>
        </w:rPr>
      </w:pPr>
      <w:r>
        <w:rPr>
          <w:rFonts w:hint="eastAsia" w:ascii="仿宋" w:hAnsi="仿宋" w:eastAsia="仿宋" w:cs="仿宋"/>
          <w:b/>
          <w:sz w:val="28"/>
          <w:szCs w:val="28"/>
          <w:highlight w:val="white"/>
        </w:rPr>
        <w:t>一、项目基本情况</w:t>
      </w:r>
    </w:p>
    <w:p w14:paraId="2CCEB9F6">
      <w:pPr>
        <w:spacing w:line="500" w:lineRule="exact"/>
        <w:ind w:firstLine="560" w:firstLineChars="200"/>
        <w:rPr>
          <w:rFonts w:hint="eastAsia" w:ascii="仿宋" w:hAnsi="仿宋" w:eastAsia="仿宋" w:cs="仿宋"/>
          <w:sz w:val="28"/>
          <w:szCs w:val="28"/>
          <w:u w:val="single"/>
          <w:lang w:eastAsia="zh-CN"/>
        </w:rPr>
      </w:pPr>
      <w:r>
        <w:rPr>
          <w:rFonts w:hint="eastAsia" w:ascii="仿宋" w:hAnsi="仿宋" w:eastAsia="仿宋" w:cs="仿宋"/>
          <w:kern w:val="0"/>
          <w:sz w:val="28"/>
          <w:szCs w:val="28"/>
          <w:highlight w:val="white"/>
        </w:rPr>
        <w:t>（一）项目名称：</w:t>
      </w:r>
      <w:r>
        <w:rPr>
          <w:rFonts w:hint="eastAsia" w:ascii="仿宋" w:hAnsi="仿宋" w:eastAsia="仿宋" w:cs="仿宋"/>
          <w:kern w:val="0"/>
          <w:sz w:val="28"/>
          <w:szCs w:val="28"/>
          <w:highlight w:val="white"/>
          <w:lang w:eastAsia="zh-CN"/>
        </w:rPr>
        <w:t>宿豫实验高中学生住床、课桌凳更换采购项目</w:t>
      </w:r>
    </w:p>
    <w:p w14:paraId="6689FE19">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highlight w:val="white"/>
        </w:rPr>
        <w:t>（二）采购需求：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650"/>
        <w:gridCol w:w="4217"/>
        <w:gridCol w:w="1538"/>
      </w:tblGrid>
      <w:tr w14:paraId="5609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14:paraId="4D654F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bookmarkStart w:id="0" w:name="_Hlk109058146"/>
            <w:r>
              <w:rPr>
                <w:rFonts w:hint="eastAsia" w:ascii="仿宋" w:hAnsi="仿宋" w:eastAsia="仿宋" w:cs="仿宋"/>
                <w:kern w:val="0"/>
                <w:sz w:val="28"/>
                <w:szCs w:val="28"/>
              </w:rPr>
              <w:t>序号</w:t>
            </w:r>
          </w:p>
        </w:tc>
        <w:tc>
          <w:tcPr>
            <w:tcW w:w="1650" w:type="dxa"/>
            <w:vAlign w:val="center"/>
          </w:tcPr>
          <w:p w14:paraId="63B9A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标的</w:t>
            </w:r>
          </w:p>
        </w:tc>
        <w:tc>
          <w:tcPr>
            <w:tcW w:w="4217" w:type="dxa"/>
            <w:vAlign w:val="center"/>
          </w:tcPr>
          <w:p w14:paraId="3D087F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主要用途及功能</w:t>
            </w:r>
          </w:p>
        </w:tc>
        <w:tc>
          <w:tcPr>
            <w:tcW w:w="1538" w:type="dxa"/>
            <w:vAlign w:val="center"/>
          </w:tcPr>
          <w:p w14:paraId="41E6FD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估算价（万元）</w:t>
            </w:r>
          </w:p>
        </w:tc>
      </w:tr>
      <w:tr w14:paraId="4383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911" w:type="dxa"/>
            <w:vAlign w:val="center"/>
          </w:tcPr>
          <w:p w14:paraId="0EE0A8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w:t>
            </w:r>
          </w:p>
        </w:tc>
        <w:tc>
          <w:tcPr>
            <w:tcW w:w="1650" w:type="dxa"/>
            <w:vAlign w:val="center"/>
          </w:tcPr>
          <w:p w14:paraId="74AD2C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宿豫实验高中学生住床、课桌凳更换采购项目</w:t>
            </w:r>
          </w:p>
        </w:tc>
        <w:tc>
          <w:tcPr>
            <w:tcW w:w="4217" w:type="dxa"/>
            <w:vAlign w:val="center"/>
          </w:tcPr>
          <w:p w14:paraId="7B938B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本次采购内容为宿豫实验高中学生住床、课桌凳更换采购项目，包括家具制作、运输、装卸、安装、调试及售后三包服务等，详细内容</w:t>
            </w:r>
            <w:r>
              <w:rPr>
                <w:rFonts w:hint="eastAsia" w:ascii="仿宋" w:hAnsi="仿宋" w:eastAsia="仿宋" w:cs="仿宋"/>
                <w:kern w:val="0"/>
                <w:sz w:val="28"/>
                <w:szCs w:val="28"/>
                <w:lang w:val="en-US" w:eastAsia="zh-CN"/>
              </w:rPr>
              <w:t>见采购需求</w:t>
            </w:r>
            <w:r>
              <w:rPr>
                <w:rFonts w:hint="eastAsia" w:ascii="仿宋" w:hAnsi="仿宋" w:eastAsia="仿宋" w:cs="仿宋"/>
                <w:kern w:val="0"/>
                <w:sz w:val="28"/>
                <w:szCs w:val="28"/>
                <w:lang w:eastAsia="zh-CN"/>
              </w:rPr>
              <w:t>。</w:t>
            </w:r>
          </w:p>
        </w:tc>
        <w:tc>
          <w:tcPr>
            <w:tcW w:w="1538" w:type="dxa"/>
            <w:vAlign w:val="center"/>
          </w:tcPr>
          <w:p w14:paraId="77052D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122.37</w:t>
            </w:r>
          </w:p>
        </w:tc>
      </w:tr>
      <w:bookmarkEnd w:id="0"/>
    </w:tbl>
    <w:p w14:paraId="2D1883BF">
      <w:pPr>
        <w:spacing w:line="500" w:lineRule="exact"/>
        <w:ind w:firstLine="562" w:firstLineChars="200"/>
        <w:rPr>
          <w:rFonts w:hint="eastAsia" w:ascii="仿宋" w:hAnsi="仿宋" w:eastAsia="仿宋" w:cs="仿宋"/>
          <w:kern w:val="0"/>
          <w:sz w:val="28"/>
          <w:szCs w:val="28"/>
        </w:rPr>
      </w:pPr>
      <w:r>
        <w:rPr>
          <w:rFonts w:hint="eastAsia" w:ascii="仿宋" w:hAnsi="仿宋" w:eastAsia="仿宋" w:cs="仿宋"/>
          <w:b/>
          <w:sz w:val="28"/>
          <w:szCs w:val="28"/>
          <w:highlight w:val="white"/>
        </w:rPr>
        <w:t>二、供应商资格要求</w:t>
      </w:r>
    </w:p>
    <w:p w14:paraId="065392DF">
      <w:pPr>
        <w:keepNext w:val="0"/>
        <w:keepLines w:val="0"/>
        <w:pageBreakBefore w:val="0"/>
        <w:widowControl w:val="0"/>
        <w:kinsoku/>
        <w:wordWrap/>
        <w:overflowPunct/>
        <w:topLinePunct w:val="0"/>
        <w:autoSpaceDE/>
        <w:autoSpaceDN/>
        <w:bidi w:val="0"/>
        <w:adjustRightInd/>
        <w:snapToGrid/>
        <w:spacing w:line="500" w:lineRule="exact"/>
        <w:ind w:right="1123" w:firstLine="560" w:firstLineChars="200"/>
        <w:textAlignment w:val="auto"/>
        <w:rPr>
          <w:rFonts w:hint="eastAsia" w:ascii="仿宋" w:hAnsi="仿宋" w:eastAsia="仿宋" w:cs="仿宋"/>
          <w:bCs/>
          <w:color w:val="000000"/>
          <w:sz w:val="28"/>
          <w:szCs w:val="28"/>
          <w:highlight w:val="white"/>
          <w:u w:val="none"/>
        </w:rPr>
      </w:pPr>
      <w:r>
        <w:rPr>
          <w:rFonts w:hint="eastAsia" w:ascii="仿宋" w:hAnsi="仿宋" w:eastAsia="仿宋" w:cs="仿宋"/>
          <w:bCs/>
          <w:color w:val="000000"/>
          <w:sz w:val="28"/>
          <w:szCs w:val="28"/>
          <w:highlight w:val="white"/>
          <w:u w:val="none"/>
        </w:rPr>
        <w:t>（一）通用资格要求</w:t>
      </w:r>
    </w:p>
    <w:p w14:paraId="04336AEE">
      <w:pPr>
        <w:spacing w:line="500" w:lineRule="exact"/>
        <w:ind w:firstLine="560" w:firstLineChars="200"/>
        <w:rPr>
          <w:rFonts w:hint="eastAsia" w:ascii="仿宋" w:hAnsi="仿宋" w:eastAsia="仿宋" w:cs="仿宋"/>
          <w:color w:val="000000"/>
          <w:sz w:val="28"/>
          <w:szCs w:val="28"/>
          <w:highlight w:val="white"/>
          <w:u w:val="none"/>
          <w:lang w:eastAsia="zh-CN"/>
        </w:rPr>
      </w:pPr>
      <w:r>
        <w:rPr>
          <w:rFonts w:hint="eastAsia" w:ascii="仿宋" w:hAnsi="仿宋" w:eastAsia="仿宋" w:cs="仿宋"/>
          <w:color w:val="000000"/>
          <w:sz w:val="28"/>
          <w:szCs w:val="28"/>
          <w:highlight w:val="white"/>
          <w:u w:val="none"/>
          <w:lang w:eastAsia="zh-CN"/>
        </w:rPr>
        <w:t>1.具备《中华人民共和国政府采购法》第二十二条第一款规定的6项条件（按要求提供投标声明及承诺函）。</w:t>
      </w:r>
    </w:p>
    <w:p w14:paraId="4C06C39E">
      <w:pPr>
        <w:spacing w:line="500" w:lineRule="exact"/>
        <w:ind w:firstLine="560" w:firstLineChars="200"/>
        <w:rPr>
          <w:rFonts w:hint="eastAsia" w:ascii="仿宋" w:hAnsi="仿宋" w:eastAsia="仿宋" w:cs="仿宋"/>
          <w:color w:val="000000"/>
          <w:sz w:val="28"/>
          <w:szCs w:val="28"/>
          <w:highlight w:val="white"/>
          <w:u w:val="none"/>
          <w:lang w:eastAsia="zh-CN"/>
        </w:rPr>
      </w:pPr>
      <w:r>
        <w:rPr>
          <w:rFonts w:hint="eastAsia" w:ascii="仿宋" w:hAnsi="仿宋" w:eastAsia="仿宋" w:cs="仿宋"/>
          <w:color w:val="000000"/>
          <w:sz w:val="28"/>
          <w:szCs w:val="28"/>
          <w:highlight w:val="white"/>
          <w:u w:val="none"/>
          <w:lang w:eastAsia="zh-CN"/>
        </w:rPr>
        <w:t>2.信用信息。在“信用中国”网站（www.creditchina.gov.cn）查询，投标人被列入失信被执行人、重大税收违法失信主体、政府采购严重违法失信行为记录名单及其他不符合《中华人民共和国政府采购法》第二十二条规定条件的投标人，将拒绝其参与政府采购活动。（投标文件中无需提供证明材料）。</w:t>
      </w:r>
    </w:p>
    <w:p w14:paraId="2AE22E33">
      <w:pPr>
        <w:spacing w:line="500" w:lineRule="exact"/>
        <w:ind w:firstLine="560" w:firstLineChars="200"/>
        <w:rPr>
          <w:rFonts w:hint="eastAsia" w:ascii="仿宋" w:hAnsi="仿宋" w:eastAsia="仿宋" w:cs="仿宋"/>
          <w:color w:val="000000"/>
          <w:sz w:val="28"/>
          <w:szCs w:val="28"/>
          <w:highlight w:val="white"/>
          <w:u w:val="none"/>
          <w:lang w:eastAsia="zh-CN"/>
        </w:rPr>
      </w:pPr>
      <w:r>
        <w:rPr>
          <w:rFonts w:hint="eastAsia" w:ascii="仿宋" w:hAnsi="仿宋" w:eastAsia="仿宋" w:cs="仿宋"/>
          <w:color w:val="000000"/>
          <w:sz w:val="28"/>
          <w:szCs w:val="28"/>
          <w:highlight w:val="white"/>
          <w:u w:val="none"/>
          <w:lang w:eastAsia="zh-CN"/>
        </w:rPr>
        <w:t>3.落实政府采购政策需满足的资格要求：本项目为专门面向中小企业采购的项目（按要求提供中小企业声明函或残疾人福利性单位声明函或监狱企业证明文件）。</w:t>
      </w:r>
    </w:p>
    <w:p w14:paraId="040B9E6D">
      <w:pPr>
        <w:spacing w:line="500" w:lineRule="exact"/>
        <w:ind w:firstLine="560" w:firstLineChars="200"/>
        <w:rPr>
          <w:rFonts w:hint="eastAsia" w:ascii="仿宋" w:hAnsi="仿宋" w:eastAsia="仿宋" w:cs="仿宋"/>
          <w:b w:val="0"/>
          <w:bCs/>
          <w:sz w:val="28"/>
          <w:szCs w:val="28"/>
          <w:highlight w:val="white"/>
        </w:rPr>
      </w:pPr>
      <w:r>
        <w:rPr>
          <w:rFonts w:hint="eastAsia" w:ascii="仿宋" w:hAnsi="仿宋" w:eastAsia="仿宋" w:cs="仿宋"/>
          <w:b w:val="0"/>
          <w:bCs/>
          <w:sz w:val="28"/>
          <w:szCs w:val="28"/>
          <w:highlight w:val="white"/>
        </w:rPr>
        <w:t>（二）本项目的特定资格要求：无。</w:t>
      </w:r>
    </w:p>
    <w:p w14:paraId="0A0B1E07">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highlight w:val="white"/>
        </w:rPr>
        <w:t>三、公告时间</w:t>
      </w:r>
    </w:p>
    <w:p w14:paraId="3DFCEC16">
      <w:pPr>
        <w:keepNext w:val="0"/>
        <w:keepLines w:val="0"/>
        <w:pageBreakBefore w:val="0"/>
        <w:widowControl w:val="0"/>
        <w:kinsoku/>
        <w:wordWrap/>
        <w:overflowPunct/>
        <w:topLinePunct w:val="0"/>
        <w:autoSpaceDE/>
        <w:autoSpaceDN/>
        <w:bidi w:val="0"/>
        <w:adjustRightInd/>
        <w:snapToGrid/>
        <w:spacing w:line="500" w:lineRule="exact"/>
        <w:ind w:right="1123" w:firstLine="560" w:firstLineChars="200"/>
        <w:textAlignment w:val="auto"/>
        <w:rPr>
          <w:rFonts w:hint="eastAsia" w:ascii="仿宋" w:hAnsi="仿宋" w:eastAsia="仿宋" w:cs="仿宋"/>
          <w:bCs/>
          <w:color w:val="000000"/>
          <w:sz w:val="28"/>
          <w:szCs w:val="28"/>
        </w:rPr>
      </w:pPr>
      <w:bookmarkStart w:id="1" w:name="EBd6e08bd78d674b669f89e3eb71dbbd3d"/>
      <w:r>
        <w:rPr>
          <w:rFonts w:hint="eastAsia" w:ascii="仿宋" w:hAnsi="仿宋" w:eastAsia="仿宋" w:cs="仿宋"/>
          <w:bCs/>
          <w:color w:val="000000"/>
          <w:sz w:val="28"/>
          <w:szCs w:val="28"/>
          <w:highlight w:val="white"/>
          <w:u w:val="none"/>
          <w:lang w:val="en-US" w:eastAsia="zh-CN"/>
        </w:rPr>
        <w:t>2026</w:t>
      </w:r>
      <w:r>
        <w:rPr>
          <w:rFonts w:hint="eastAsia" w:ascii="仿宋" w:hAnsi="仿宋" w:eastAsia="仿宋" w:cs="仿宋"/>
          <w:bCs/>
          <w:color w:val="000000"/>
          <w:sz w:val="28"/>
          <w:szCs w:val="28"/>
          <w:highlight w:val="white"/>
          <w:u w:val="none"/>
        </w:rPr>
        <w:t>年</w:t>
      </w:r>
      <w:r>
        <w:rPr>
          <w:rFonts w:hint="eastAsia" w:ascii="仿宋" w:hAnsi="仿宋" w:eastAsia="仿宋" w:cs="仿宋"/>
          <w:bCs/>
          <w:color w:val="000000"/>
          <w:sz w:val="28"/>
          <w:szCs w:val="28"/>
          <w:highlight w:val="white"/>
          <w:u w:val="none"/>
          <w:lang w:val="en-US" w:eastAsia="zh-CN"/>
        </w:rPr>
        <w:t>6</w:t>
      </w:r>
      <w:r>
        <w:rPr>
          <w:rFonts w:hint="eastAsia" w:ascii="仿宋" w:hAnsi="仿宋" w:eastAsia="仿宋" w:cs="仿宋"/>
          <w:bCs/>
          <w:color w:val="000000"/>
          <w:sz w:val="28"/>
          <w:szCs w:val="28"/>
          <w:highlight w:val="white"/>
          <w:u w:val="none"/>
        </w:rPr>
        <w:t>月</w:t>
      </w:r>
      <w:r>
        <w:rPr>
          <w:rFonts w:hint="eastAsia" w:ascii="仿宋" w:hAnsi="仿宋" w:eastAsia="仿宋" w:cs="仿宋"/>
          <w:bCs/>
          <w:color w:val="000000"/>
          <w:sz w:val="28"/>
          <w:szCs w:val="28"/>
          <w:highlight w:val="white"/>
          <w:u w:val="none"/>
          <w:lang w:val="en-US" w:eastAsia="zh-CN"/>
        </w:rPr>
        <w:t>3</w:t>
      </w:r>
      <w:r>
        <w:rPr>
          <w:rFonts w:hint="eastAsia" w:ascii="仿宋" w:hAnsi="仿宋" w:eastAsia="仿宋" w:cs="仿宋"/>
          <w:bCs/>
          <w:color w:val="000000"/>
          <w:sz w:val="28"/>
          <w:szCs w:val="28"/>
          <w:highlight w:val="white"/>
          <w:u w:val="none"/>
        </w:rPr>
        <w:t>日</w:t>
      </w:r>
      <w:bookmarkEnd w:id="1"/>
      <w:r>
        <w:rPr>
          <w:rFonts w:hint="eastAsia" w:ascii="仿宋" w:hAnsi="仿宋" w:eastAsia="仿宋" w:cs="仿宋"/>
          <w:bCs/>
          <w:color w:val="000000"/>
          <w:sz w:val="28"/>
          <w:szCs w:val="28"/>
          <w:highlight w:val="white"/>
          <w:u w:val="none"/>
          <w:lang w:val="en-US" w:eastAsia="zh-CN"/>
        </w:rPr>
        <w:t>09:00</w:t>
      </w:r>
      <w:r>
        <w:rPr>
          <w:rFonts w:hint="eastAsia" w:ascii="仿宋" w:hAnsi="仿宋" w:eastAsia="仿宋" w:cs="仿宋"/>
          <w:bCs/>
          <w:color w:val="000000"/>
          <w:sz w:val="28"/>
          <w:szCs w:val="28"/>
          <w:highlight w:val="white"/>
          <w:u w:val="none"/>
        </w:rPr>
        <w:t>至</w:t>
      </w:r>
      <w:bookmarkStart w:id="2" w:name="EB4a82fe30d91a48338ebb02b9012d939c"/>
      <w:r>
        <w:rPr>
          <w:rFonts w:hint="eastAsia" w:ascii="仿宋" w:hAnsi="仿宋" w:eastAsia="仿宋" w:cs="仿宋"/>
          <w:bCs/>
          <w:color w:val="000000"/>
          <w:sz w:val="28"/>
          <w:szCs w:val="28"/>
          <w:highlight w:val="white"/>
          <w:u w:val="none"/>
          <w:lang w:val="en-US" w:eastAsia="zh-CN"/>
        </w:rPr>
        <w:t>2026</w:t>
      </w:r>
      <w:r>
        <w:rPr>
          <w:rFonts w:hint="eastAsia" w:ascii="仿宋" w:hAnsi="仿宋" w:eastAsia="仿宋" w:cs="仿宋"/>
          <w:bCs/>
          <w:color w:val="000000"/>
          <w:sz w:val="28"/>
          <w:szCs w:val="28"/>
          <w:highlight w:val="white"/>
          <w:u w:val="none"/>
        </w:rPr>
        <w:t>年</w:t>
      </w:r>
      <w:r>
        <w:rPr>
          <w:rFonts w:hint="eastAsia" w:ascii="仿宋" w:hAnsi="仿宋" w:eastAsia="仿宋" w:cs="仿宋"/>
          <w:bCs/>
          <w:color w:val="000000"/>
          <w:sz w:val="28"/>
          <w:szCs w:val="28"/>
          <w:highlight w:val="white"/>
          <w:u w:val="none"/>
          <w:lang w:val="en-US" w:eastAsia="zh-CN"/>
        </w:rPr>
        <w:t>6</w:t>
      </w:r>
      <w:r>
        <w:rPr>
          <w:rFonts w:hint="eastAsia" w:ascii="仿宋" w:hAnsi="仿宋" w:eastAsia="仿宋" w:cs="仿宋"/>
          <w:bCs/>
          <w:color w:val="000000"/>
          <w:sz w:val="28"/>
          <w:szCs w:val="28"/>
          <w:highlight w:val="white"/>
          <w:u w:val="none"/>
        </w:rPr>
        <w:t>月</w:t>
      </w:r>
      <w:r>
        <w:rPr>
          <w:rFonts w:hint="eastAsia" w:ascii="仿宋" w:hAnsi="仿宋" w:eastAsia="仿宋" w:cs="仿宋"/>
          <w:bCs/>
          <w:color w:val="000000"/>
          <w:sz w:val="28"/>
          <w:szCs w:val="28"/>
          <w:highlight w:val="white"/>
          <w:u w:val="none"/>
          <w:lang w:val="en-US" w:eastAsia="zh-CN"/>
        </w:rPr>
        <w:t>5</w:t>
      </w:r>
      <w:r>
        <w:rPr>
          <w:rFonts w:hint="eastAsia" w:ascii="仿宋" w:hAnsi="仿宋" w:eastAsia="仿宋" w:cs="仿宋"/>
          <w:bCs/>
          <w:color w:val="000000"/>
          <w:sz w:val="28"/>
          <w:szCs w:val="28"/>
          <w:highlight w:val="white"/>
          <w:u w:val="none"/>
        </w:rPr>
        <w:t>日</w:t>
      </w:r>
      <w:r>
        <w:rPr>
          <w:rFonts w:hint="eastAsia" w:ascii="仿宋" w:hAnsi="仿宋" w:eastAsia="仿宋" w:cs="仿宋"/>
          <w:bCs/>
          <w:color w:val="000000"/>
          <w:sz w:val="28"/>
          <w:szCs w:val="28"/>
          <w:highlight w:val="white"/>
          <w:u w:val="none"/>
          <w:lang w:val="en-US" w:eastAsia="zh-CN"/>
        </w:rPr>
        <w:t>17</w:t>
      </w:r>
      <w:r>
        <w:rPr>
          <w:rFonts w:hint="eastAsia" w:ascii="仿宋" w:hAnsi="仿宋" w:eastAsia="仿宋" w:cs="仿宋"/>
          <w:bCs/>
          <w:color w:val="000000"/>
          <w:sz w:val="28"/>
          <w:szCs w:val="28"/>
          <w:highlight w:val="white"/>
          <w:u w:val="none"/>
        </w:rPr>
        <w:t>:</w:t>
      </w:r>
      <w:bookmarkEnd w:id="2"/>
      <w:r>
        <w:rPr>
          <w:rFonts w:hint="eastAsia" w:ascii="仿宋" w:hAnsi="仿宋" w:eastAsia="仿宋" w:cs="仿宋"/>
          <w:bCs/>
          <w:color w:val="000000"/>
          <w:sz w:val="28"/>
          <w:szCs w:val="28"/>
          <w:highlight w:val="white"/>
          <w:u w:val="none"/>
          <w:lang w:val="en-US" w:eastAsia="zh-CN"/>
        </w:rPr>
        <w:t>30</w:t>
      </w:r>
      <w:r>
        <w:rPr>
          <w:rFonts w:hint="eastAsia" w:ascii="仿宋" w:hAnsi="仿宋" w:eastAsia="仿宋" w:cs="仿宋"/>
          <w:bCs/>
          <w:color w:val="000000"/>
          <w:sz w:val="28"/>
          <w:szCs w:val="28"/>
          <w:highlight w:val="white"/>
        </w:rPr>
        <w:t>。</w:t>
      </w:r>
    </w:p>
    <w:p w14:paraId="1ABA9FE4">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sz w:val="28"/>
          <w:szCs w:val="28"/>
          <w:highlight w:val="green"/>
        </w:rPr>
      </w:pPr>
      <w:r>
        <w:rPr>
          <w:rFonts w:hint="eastAsia" w:ascii="仿宋" w:hAnsi="仿宋" w:eastAsia="仿宋" w:cs="仿宋"/>
          <w:bCs/>
          <w:color w:val="000000"/>
          <w:sz w:val="28"/>
          <w:szCs w:val="28"/>
          <w:highlight w:val="white"/>
        </w:rPr>
        <w:t>供应商在宿迁市政府采购网（http://zfcg.sqcz.suqian.gov.cn/）找到本项目获取相关调研文件。</w:t>
      </w:r>
    </w:p>
    <w:p w14:paraId="2168C128">
      <w:pPr>
        <w:spacing w:line="500" w:lineRule="exact"/>
        <w:ind w:firstLine="562" w:firstLineChars="200"/>
        <w:rPr>
          <w:rFonts w:hint="eastAsia" w:ascii="仿宋" w:hAnsi="仿宋" w:eastAsia="仿宋" w:cs="仿宋"/>
          <w:b/>
          <w:sz w:val="28"/>
          <w:szCs w:val="28"/>
          <w:highlight w:val="white"/>
        </w:rPr>
      </w:pPr>
      <w:r>
        <w:rPr>
          <w:rFonts w:hint="eastAsia" w:ascii="仿宋" w:hAnsi="仿宋" w:eastAsia="仿宋" w:cs="仿宋"/>
          <w:b/>
          <w:sz w:val="28"/>
          <w:szCs w:val="28"/>
          <w:highlight w:val="white"/>
        </w:rPr>
        <w:t>四、调研提交资料、截止时间和地点</w:t>
      </w:r>
    </w:p>
    <w:p w14:paraId="13F54DB7">
      <w:pPr>
        <w:spacing w:line="500" w:lineRule="exact"/>
        <w:ind w:firstLine="560" w:firstLineChars="200"/>
        <w:rPr>
          <w:rFonts w:hint="eastAsia" w:ascii="仿宋" w:hAnsi="仿宋" w:eastAsia="仿宋" w:cs="仿宋"/>
          <w:sz w:val="28"/>
          <w:szCs w:val="28"/>
          <w:highlight w:val="white"/>
        </w:rPr>
      </w:pPr>
      <w:r>
        <w:rPr>
          <w:rFonts w:hint="eastAsia" w:ascii="仿宋" w:hAnsi="仿宋" w:eastAsia="仿宋" w:cs="仿宋"/>
          <w:sz w:val="28"/>
          <w:szCs w:val="28"/>
          <w:highlight w:val="white"/>
        </w:rPr>
        <w:t>（一）采购需求响应表</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302"/>
        <w:gridCol w:w="1886"/>
        <w:gridCol w:w="1374"/>
      </w:tblGrid>
      <w:tr w14:paraId="6FD3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1F47BDFB">
            <w:pPr>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264" w:type="dxa"/>
            <w:vAlign w:val="center"/>
          </w:tcPr>
          <w:p w14:paraId="434D6FCC">
            <w:pPr>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标的</w:t>
            </w:r>
          </w:p>
        </w:tc>
        <w:tc>
          <w:tcPr>
            <w:tcW w:w="3302" w:type="dxa"/>
            <w:vAlign w:val="center"/>
          </w:tcPr>
          <w:p w14:paraId="2425AB3F">
            <w:pPr>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详细功能、技术参数或服务要求</w:t>
            </w:r>
          </w:p>
        </w:tc>
        <w:tc>
          <w:tcPr>
            <w:tcW w:w="1886" w:type="dxa"/>
            <w:vAlign w:val="center"/>
          </w:tcPr>
          <w:p w14:paraId="259FA50E">
            <w:pPr>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自身优势</w:t>
            </w:r>
          </w:p>
        </w:tc>
        <w:tc>
          <w:tcPr>
            <w:tcW w:w="1374" w:type="dxa"/>
            <w:vAlign w:val="center"/>
          </w:tcPr>
          <w:p w14:paraId="3527A1AD">
            <w:pPr>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参考价</w:t>
            </w:r>
          </w:p>
          <w:p w14:paraId="1E165EFA">
            <w:pPr>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（万元）</w:t>
            </w:r>
          </w:p>
        </w:tc>
      </w:tr>
      <w:tr w14:paraId="2F4B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40C97111">
            <w:pPr>
              <w:spacing w:line="500" w:lineRule="exact"/>
              <w:jc w:val="center"/>
              <w:rPr>
                <w:rFonts w:hint="eastAsia" w:ascii="仿宋" w:hAnsi="仿宋" w:eastAsia="仿宋" w:cs="仿宋"/>
                <w:kern w:val="0"/>
                <w:sz w:val="28"/>
                <w:szCs w:val="28"/>
              </w:rPr>
            </w:pPr>
          </w:p>
        </w:tc>
        <w:tc>
          <w:tcPr>
            <w:tcW w:w="1264" w:type="dxa"/>
            <w:vAlign w:val="center"/>
          </w:tcPr>
          <w:p w14:paraId="70677B7B">
            <w:pPr>
              <w:spacing w:line="500" w:lineRule="exact"/>
              <w:jc w:val="center"/>
              <w:rPr>
                <w:rFonts w:hint="eastAsia" w:ascii="仿宋" w:hAnsi="仿宋" w:eastAsia="仿宋" w:cs="仿宋"/>
                <w:kern w:val="0"/>
                <w:sz w:val="28"/>
                <w:szCs w:val="28"/>
              </w:rPr>
            </w:pPr>
          </w:p>
        </w:tc>
        <w:tc>
          <w:tcPr>
            <w:tcW w:w="3302" w:type="dxa"/>
            <w:vAlign w:val="center"/>
          </w:tcPr>
          <w:p w14:paraId="72D0C042">
            <w:pPr>
              <w:spacing w:line="500" w:lineRule="exact"/>
              <w:jc w:val="center"/>
              <w:rPr>
                <w:rFonts w:hint="eastAsia" w:ascii="仿宋" w:hAnsi="仿宋" w:eastAsia="仿宋" w:cs="仿宋"/>
                <w:kern w:val="0"/>
                <w:sz w:val="28"/>
                <w:szCs w:val="28"/>
              </w:rPr>
            </w:pPr>
          </w:p>
        </w:tc>
        <w:tc>
          <w:tcPr>
            <w:tcW w:w="1886" w:type="dxa"/>
            <w:vAlign w:val="center"/>
          </w:tcPr>
          <w:p w14:paraId="5408DFD8">
            <w:pPr>
              <w:spacing w:line="500" w:lineRule="exact"/>
              <w:jc w:val="center"/>
              <w:rPr>
                <w:rFonts w:hint="eastAsia" w:ascii="仿宋" w:hAnsi="仿宋" w:eastAsia="仿宋" w:cs="仿宋"/>
                <w:kern w:val="0"/>
                <w:sz w:val="28"/>
                <w:szCs w:val="28"/>
              </w:rPr>
            </w:pPr>
          </w:p>
        </w:tc>
        <w:tc>
          <w:tcPr>
            <w:tcW w:w="1374" w:type="dxa"/>
          </w:tcPr>
          <w:p w14:paraId="50EA8757">
            <w:pPr>
              <w:spacing w:line="500" w:lineRule="exact"/>
              <w:jc w:val="center"/>
              <w:rPr>
                <w:rFonts w:hint="eastAsia" w:ascii="仿宋" w:hAnsi="仿宋" w:eastAsia="仿宋" w:cs="仿宋"/>
                <w:kern w:val="0"/>
                <w:sz w:val="28"/>
                <w:szCs w:val="28"/>
              </w:rPr>
            </w:pPr>
          </w:p>
        </w:tc>
      </w:tr>
      <w:tr w14:paraId="3DDB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1193F779">
            <w:pPr>
              <w:spacing w:line="500" w:lineRule="exact"/>
              <w:jc w:val="center"/>
              <w:rPr>
                <w:rFonts w:hint="eastAsia" w:ascii="仿宋" w:hAnsi="仿宋" w:eastAsia="仿宋" w:cs="仿宋"/>
                <w:kern w:val="0"/>
                <w:sz w:val="28"/>
                <w:szCs w:val="28"/>
              </w:rPr>
            </w:pPr>
          </w:p>
        </w:tc>
        <w:tc>
          <w:tcPr>
            <w:tcW w:w="1264" w:type="dxa"/>
            <w:vAlign w:val="center"/>
          </w:tcPr>
          <w:p w14:paraId="5D070B9D">
            <w:pPr>
              <w:spacing w:line="500" w:lineRule="exact"/>
              <w:jc w:val="center"/>
              <w:rPr>
                <w:rFonts w:hint="eastAsia" w:ascii="仿宋" w:hAnsi="仿宋" w:eastAsia="仿宋" w:cs="仿宋"/>
                <w:kern w:val="0"/>
                <w:sz w:val="28"/>
                <w:szCs w:val="28"/>
              </w:rPr>
            </w:pPr>
          </w:p>
        </w:tc>
        <w:tc>
          <w:tcPr>
            <w:tcW w:w="3302" w:type="dxa"/>
            <w:vAlign w:val="center"/>
          </w:tcPr>
          <w:p w14:paraId="23BEE78B">
            <w:pPr>
              <w:spacing w:line="500" w:lineRule="exact"/>
              <w:jc w:val="center"/>
              <w:rPr>
                <w:rFonts w:hint="eastAsia" w:ascii="仿宋" w:hAnsi="仿宋" w:eastAsia="仿宋" w:cs="仿宋"/>
                <w:kern w:val="0"/>
                <w:sz w:val="28"/>
                <w:szCs w:val="28"/>
              </w:rPr>
            </w:pPr>
          </w:p>
        </w:tc>
        <w:tc>
          <w:tcPr>
            <w:tcW w:w="1886" w:type="dxa"/>
            <w:vAlign w:val="center"/>
          </w:tcPr>
          <w:p w14:paraId="66115479">
            <w:pPr>
              <w:spacing w:line="500" w:lineRule="exact"/>
              <w:jc w:val="center"/>
              <w:rPr>
                <w:rFonts w:hint="eastAsia" w:ascii="仿宋" w:hAnsi="仿宋" w:eastAsia="仿宋" w:cs="仿宋"/>
                <w:kern w:val="0"/>
                <w:sz w:val="28"/>
                <w:szCs w:val="28"/>
              </w:rPr>
            </w:pPr>
          </w:p>
        </w:tc>
        <w:tc>
          <w:tcPr>
            <w:tcW w:w="1374" w:type="dxa"/>
          </w:tcPr>
          <w:p w14:paraId="54C97167">
            <w:pPr>
              <w:spacing w:line="500" w:lineRule="exact"/>
              <w:jc w:val="center"/>
              <w:rPr>
                <w:rFonts w:hint="eastAsia" w:ascii="仿宋" w:hAnsi="仿宋" w:eastAsia="仿宋" w:cs="仿宋"/>
                <w:kern w:val="0"/>
                <w:sz w:val="28"/>
                <w:szCs w:val="28"/>
              </w:rPr>
            </w:pPr>
          </w:p>
        </w:tc>
      </w:tr>
      <w:tr w14:paraId="4261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E7A0CBB">
            <w:pPr>
              <w:spacing w:line="500" w:lineRule="exact"/>
              <w:jc w:val="center"/>
              <w:rPr>
                <w:rFonts w:hint="eastAsia" w:ascii="仿宋" w:hAnsi="仿宋" w:eastAsia="仿宋" w:cs="仿宋"/>
                <w:kern w:val="0"/>
                <w:sz w:val="28"/>
                <w:szCs w:val="28"/>
              </w:rPr>
            </w:pPr>
          </w:p>
        </w:tc>
        <w:tc>
          <w:tcPr>
            <w:tcW w:w="1264" w:type="dxa"/>
            <w:vAlign w:val="center"/>
          </w:tcPr>
          <w:p w14:paraId="68E8430E">
            <w:pPr>
              <w:spacing w:line="500" w:lineRule="exact"/>
              <w:jc w:val="center"/>
              <w:rPr>
                <w:rFonts w:hint="eastAsia" w:ascii="仿宋" w:hAnsi="仿宋" w:eastAsia="仿宋" w:cs="仿宋"/>
                <w:kern w:val="0"/>
                <w:sz w:val="28"/>
                <w:szCs w:val="28"/>
              </w:rPr>
            </w:pPr>
          </w:p>
        </w:tc>
        <w:tc>
          <w:tcPr>
            <w:tcW w:w="3302" w:type="dxa"/>
            <w:vAlign w:val="center"/>
          </w:tcPr>
          <w:p w14:paraId="7588EED9">
            <w:pPr>
              <w:spacing w:line="500" w:lineRule="exact"/>
              <w:jc w:val="center"/>
              <w:rPr>
                <w:rFonts w:hint="eastAsia" w:ascii="仿宋" w:hAnsi="仿宋" w:eastAsia="仿宋" w:cs="仿宋"/>
                <w:kern w:val="0"/>
                <w:sz w:val="28"/>
                <w:szCs w:val="28"/>
              </w:rPr>
            </w:pPr>
          </w:p>
        </w:tc>
        <w:tc>
          <w:tcPr>
            <w:tcW w:w="1886" w:type="dxa"/>
            <w:vAlign w:val="center"/>
          </w:tcPr>
          <w:p w14:paraId="2C39D6E8">
            <w:pPr>
              <w:spacing w:line="500" w:lineRule="exact"/>
              <w:jc w:val="center"/>
              <w:rPr>
                <w:rFonts w:hint="eastAsia" w:ascii="仿宋" w:hAnsi="仿宋" w:eastAsia="仿宋" w:cs="仿宋"/>
                <w:kern w:val="0"/>
                <w:sz w:val="28"/>
                <w:szCs w:val="28"/>
              </w:rPr>
            </w:pPr>
          </w:p>
        </w:tc>
        <w:tc>
          <w:tcPr>
            <w:tcW w:w="1374" w:type="dxa"/>
          </w:tcPr>
          <w:p w14:paraId="18A57633">
            <w:pPr>
              <w:spacing w:line="500" w:lineRule="exact"/>
              <w:jc w:val="center"/>
              <w:rPr>
                <w:rFonts w:hint="eastAsia" w:ascii="仿宋" w:hAnsi="仿宋" w:eastAsia="仿宋" w:cs="仿宋"/>
                <w:kern w:val="0"/>
                <w:sz w:val="28"/>
                <w:szCs w:val="28"/>
              </w:rPr>
            </w:pPr>
          </w:p>
        </w:tc>
      </w:tr>
    </w:tbl>
    <w:p w14:paraId="097DBF60">
      <w:pPr>
        <w:spacing w:line="500" w:lineRule="exact"/>
        <w:ind w:firstLine="560" w:firstLineChars="200"/>
        <w:rPr>
          <w:rFonts w:hint="eastAsia" w:ascii="仿宋" w:hAnsi="仿宋" w:eastAsia="仿宋" w:cs="仿宋"/>
          <w:sz w:val="28"/>
          <w:szCs w:val="28"/>
          <w:highlight w:val="white"/>
        </w:rPr>
      </w:pPr>
      <w:r>
        <w:rPr>
          <w:rFonts w:hint="eastAsia" w:ascii="仿宋" w:hAnsi="仿宋" w:eastAsia="仿宋" w:cs="仿宋"/>
          <w:sz w:val="28"/>
          <w:szCs w:val="28"/>
          <w:highlight w:val="white"/>
        </w:rPr>
        <w:t>（二）提交证明资料：</w:t>
      </w:r>
    </w:p>
    <w:p w14:paraId="5EF013C2">
      <w:pPr>
        <w:spacing w:line="500" w:lineRule="exact"/>
        <w:ind w:firstLine="560" w:firstLineChars="200"/>
        <w:rPr>
          <w:rFonts w:hint="eastAsia" w:ascii="仿宋" w:hAnsi="仿宋" w:eastAsia="仿宋" w:cs="仿宋"/>
          <w:sz w:val="28"/>
          <w:szCs w:val="28"/>
          <w:highlight w:val="white"/>
        </w:rPr>
      </w:pPr>
      <w:r>
        <w:rPr>
          <w:rFonts w:hint="eastAsia" w:ascii="仿宋" w:hAnsi="仿宋" w:eastAsia="仿宋" w:cs="仿宋"/>
          <w:sz w:val="28"/>
          <w:szCs w:val="28"/>
          <w:highlight w:val="white"/>
        </w:rPr>
        <w:t>1.</w:t>
      </w:r>
    </w:p>
    <w:p w14:paraId="1993DA57">
      <w:pPr>
        <w:spacing w:line="500" w:lineRule="exact"/>
        <w:ind w:firstLine="560" w:firstLineChars="200"/>
        <w:rPr>
          <w:rFonts w:hint="eastAsia" w:ascii="仿宋" w:hAnsi="仿宋" w:eastAsia="仿宋" w:cs="仿宋"/>
          <w:sz w:val="28"/>
          <w:szCs w:val="28"/>
          <w:highlight w:val="white"/>
        </w:rPr>
      </w:pPr>
      <w:r>
        <w:rPr>
          <w:rFonts w:hint="eastAsia" w:ascii="仿宋" w:hAnsi="仿宋" w:eastAsia="仿宋" w:cs="仿宋"/>
          <w:sz w:val="28"/>
          <w:szCs w:val="28"/>
          <w:highlight w:val="white"/>
        </w:rPr>
        <w:t>2.</w:t>
      </w:r>
    </w:p>
    <w:p w14:paraId="7C1D47EE">
      <w:pPr>
        <w:spacing w:line="500" w:lineRule="exact"/>
        <w:ind w:firstLine="560" w:firstLineChars="200"/>
        <w:rPr>
          <w:rFonts w:hint="eastAsia" w:ascii="仿宋" w:hAnsi="仿宋" w:eastAsia="仿宋" w:cs="仿宋"/>
          <w:sz w:val="28"/>
          <w:szCs w:val="28"/>
          <w:highlight w:val="white"/>
        </w:rPr>
      </w:pPr>
      <w:r>
        <w:rPr>
          <w:rFonts w:hint="eastAsia" w:ascii="仿宋" w:hAnsi="仿宋" w:eastAsia="仿宋" w:cs="仿宋"/>
          <w:sz w:val="28"/>
          <w:szCs w:val="28"/>
          <w:highlight w:val="white"/>
        </w:rPr>
        <w:t>3.</w:t>
      </w:r>
    </w:p>
    <w:p w14:paraId="66CFEFD0">
      <w:pPr>
        <w:spacing w:line="500" w:lineRule="exact"/>
        <w:ind w:firstLine="560" w:firstLineChars="200"/>
        <w:rPr>
          <w:rFonts w:hint="eastAsia" w:ascii="仿宋" w:hAnsi="仿宋" w:eastAsia="仿宋" w:cs="仿宋"/>
          <w:sz w:val="28"/>
          <w:szCs w:val="28"/>
          <w:highlight w:val="none"/>
        </w:rPr>
      </w:pPr>
      <w:bookmarkStart w:id="3" w:name="_GoBack"/>
      <w:r>
        <w:rPr>
          <w:rFonts w:hint="eastAsia" w:ascii="仿宋" w:hAnsi="仿宋" w:eastAsia="仿宋" w:cs="仿宋"/>
          <w:sz w:val="28"/>
          <w:szCs w:val="28"/>
          <w:highlight w:val="none"/>
        </w:rPr>
        <w:t>……</w:t>
      </w:r>
    </w:p>
    <w:p w14:paraId="18CDD5CF">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以上资料加盖供应商公章后扫描发送至邮箱（</w:t>
      </w:r>
      <w:r>
        <w:rPr>
          <w:rFonts w:hint="eastAsia" w:ascii="仿宋" w:hAnsi="仿宋" w:eastAsia="仿宋" w:cs="仿宋"/>
          <w:sz w:val="28"/>
          <w:szCs w:val="28"/>
          <w:highlight w:val="none"/>
          <w:lang w:val="en-US" w:eastAsia="zh-CN"/>
        </w:rPr>
        <w:t>1029224512@qq.com</w:t>
      </w:r>
      <w:r>
        <w:rPr>
          <w:rFonts w:hint="eastAsia" w:ascii="仿宋" w:hAnsi="仿宋" w:eastAsia="仿宋" w:cs="仿宋"/>
          <w:sz w:val="28"/>
          <w:szCs w:val="28"/>
          <w:highlight w:val="none"/>
        </w:rPr>
        <w:t>），其中明确要求产品制造商提供的调研资料请加盖制造商公章后上传。</w:t>
      </w:r>
    </w:p>
    <w:p w14:paraId="7B257ABF">
      <w:pPr>
        <w:spacing w:line="500" w:lineRule="exact"/>
        <w:ind w:firstLine="560" w:firstLineChars="200"/>
        <w:rPr>
          <w:rFonts w:hint="eastAsia" w:ascii="仿宋" w:hAnsi="仿宋" w:eastAsia="仿宋" w:cs="仿宋"/>
          <w:bCs/>
          <w:color w:val="000000"/>
          <w:sz w:val="28"/>
          <w:szCs w:val="28"/>
          <w:highlight w:val="none"/>
          <w:u w:val="single"/>
        </w:rPr>
      </w:pPr>
      <w:r>
        <w:rPr>
          <w:rFonts w:hint="eastAsia" w:ascii="仿宋" w:hAnsi="仿宋" w:eastAsia="仿宋" w:cs="仿宋"/>
          <w:sz w:val="28"/>
          <w:szCs w:val="28"/>
          <w:highlight w:val="none"/>
        </w:rPr>
        <w:t>（三）</w:t>
      </w:r>
      <w:r>
        <w:rPr>
          <w:rFonts w:hint="eastAsia" w:ascii="仿宋" w:hAnsi="仿宋" w:eastAsia="仿宋" w:cs="仿宋"/>
          <w:kern w:val="0"/>
          <w:sz w:val="28"/>
          <w:szCs w:val="28"/>
          <w:highlight w:val="none"/>
        </w:rPr>
        <w:t>提交截止时间：</w:t>
      </w:r>
      <w:r>
        <w:rPr>
          <w:rFonts w:hint="eastAsia" w:ascii="仿宋" w:hAnsi="仿宋" w:eastAsia="仿宋" w:cs="仿宋"/>
          <w:bCs/>
          <w:color w:val="000000"/>
          <w:sz w:val="28"/>
          <w:szCs w:val="28"/>
          <w:highlight w:val="none"/>
          <w:u w:val="single"/>
          <w:lang w:val="en-US" w:eastAsia="zh-CN"/>
        </w:rPr>
        <w:t>2026</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u w:val="single"/>
          <w:lang w:val="en-US" w:eastAsia="zh-CN"/>
        </w:rPr>
        <w:t>6</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u w:val="single"/>
          <w:lang w:val="en-US" w:eastAsia="zh-CN"/>
        </w:rPr>
        <w:t>5</w:t>
      </w:r>
      <w:r>
        <w:rPr>
          <w:rFonts w:hint="eastAsia" w:ascii="仿宋" w:hAnsi="仿宋" w:eastAsia="仿宋" w:cs="仿宋"/>
          <w:bCs/>
          <w:color w:val="000000"/>
          <w:sz w:val="28"/>
          <w:szCs w:val="28"/>
          <w:highlight w:val="none"/>
        </w:rPr>
        <w:t>日</w:t>
      </w:r>
      <w:r>
        <w:rPr>
          <w:rFonts w:hint="eastAsia" w:ascii="仿宋" w:hAnsi="仿宋" w:eastAsia="仿宋" w:cs="仿宋"/>
          <w:bCs/>
          <w:color w:val="000000"/>
          <w:sz w:val="28"/>
          <w:szCs w:val="28"/>
          <w:highlight w:val="none"/>
          <w:u w:val="single"/>
          <w:lang w:val="en-US" w:eastAsia="zh-CN"/>
        </w:rPr>
        <w:t>17</w:t>
      </w:r>
      <w:r>
        <w:rPr>
          <w:rFonts w:hint="eastAsia" w:ascii="仿宋" w:hAnsi="仿宋" w:eastAsia="仿宋" w:cs="仿宋"/>
          <w:bCs/>
          <w:color w:val="000000"/>
          <w:sz w:val="28"/>
          <w:szCs w:val="28"/>
          <w:highlight w:val="none"/>
          <w:u w:val="single"/>
        </w:rPr>
        <w:t>:</w:t>
      </w:r>
      <w:r>
        <w:rPr>
          <w:rFonts w:hint="eastAsia" w:ascii="仿宋" w:hAnsi="仿宋" w:eastAsia="仿宋" w:cs="仿宋"/>
          <w:bCs/>
          <w:color w:val="000000"/>
          <w:sz w:val="28"/>
          <w:szCs w:val="28"/>
          <w:highlight w:val="none"/>
          <w:u w:val="single"/>
          <w:lang w:val="en-US" w:eastAsia="zh-CN"/>
        </w:rPr>
        <w:t>30</w:t>
      </w:r>
    </w:p>
    <w:p w14:paraId="6A611DDC">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（四）供应商应提交截止时间前将电子响应文件发送至邮箱（</w:t>
      </w:r>
      <w:r>
        <w:rPr>
          <w:rFonts w:hint="eastAsia" w:ascii="仿宋" w:hAnsi="仿宋" w:eastAsia="仿宋" w:cs="仿宋"/>
          <w:sz w:val="28"/>
          <w:szCs w:val="28"/>
          <w:highlight w:val="none"/>
          <w:lang w:val="en-US" w:eastAsia="zh-CN"/>
        </w:rPr>
        <w:t>1029224512@qq.com</w:t>
      </w:r>
      <w:r>
        <w:rPr>
          <w:rFonts w:hint="eastAsia" w:ascii="仿宋" w:hAnsi="仿宋" w:eastAsia="仿宋" w:cs="仿宋"/>
          <w:sz w:val="28"/>
          <w:szCs w:val="28"/>
          <w:highlight w:val="none"/>
        </w:rPr>
        <w:t>），逾期完成发送的，采购人不予受理。</w:t>
      </w:r>
    </w:p>
    <w:p w14:paraId="64D5F1B0">
      <w:pPr>
        <w:spacing w:line="500" w:lineRule="exact"/>
        <w:ind w:firstLine="562" w:firstLineChars="200"/>
        <w:rPr>
          <w:rFonts w:hint="eastAsia" w:ascii="仿宋" w:hAnsi="仿宋" w:eastAsia="仿宋" w:cs="仿宋"/>
          <w:b/>
          <w:bCs/>
          <w:iCs/>
          <w:sz w:val="28"/>
          <w:szCs w:val="28"/>
          <w:highlight w:val="none"/>
        </w:rPr>
      </w:pPr>
      <w:r>
        <w:rPr>
          <w:rFonts w:hint="eastAsia" w:ascii="仿宋" w:hAnsi="仿宋" w:eastAsia="仿宋" w:cs="仿宋"/>
          <w:b/>
          <w:bCs/>
          <w:iCs/>
          <w:sz w:val="28"/>
          <w:szCs w:val="28"/>
          <w:highlight w:val="none"/>
        </w:rPr>
        <w:t>五、本次采购联系方式</w:t>
      </w:r>
    </w:p>
    <w:p w14:paraId="544380C8">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1.采购人信息</w:t>
      </w:r>
    </w:p>
    <w:p w14:paraId="38832F20">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宿迁市宿豫区实验高级中学</w:t>
      </w:r>
    </w:p>
    <w:p w14:paraId="6275814C">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eastAsia="zh-CN"/>
        </w:rPr>
        <w:t>江苏省宿迁市宿豫区顺河街道扬子江路3号</w:t>
      </w:r>
    </w:p>
    <w:bookmarkEnd w:id="3"/>
    <w:p w14:paraId="36E091AC">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徐玉斌</w:t>
      </w:r>
    </w:p>
    <w:p w14:paraId="3A756738">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0527-80602976</w:t>
      </w:r>
    </w:p>
    <w:p w14:paraId="4F624B87">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67110C1D-D090-4B49-B390-D267D03A34D5}"/>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hNGE1ZjA3OWVhYTQxNzRkYmQwYTJjYjg4OGRkYTA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4D8694E"/>
    <w:rsid w:val="06283890"/>
    <w:rsid w:val="0A2F7EAD"/>
    <w:rsid w:val="0AE0740A"/>
    <w:rsid w:val="0B756CA4"/>
    <w:rsid w:val="0CF64FD9"/>
    <w:rsid w:val="0D085B39"/>
    <w:rsid w:val="0E7923B1"/>
    <w:rsid w:val="13946135"/>
    <w:rsid w:val="141A0584"/>
    <w:rsid w:val="17D731F6"/>
    <w:rsid w:val="196F62FD"/>
    <w:rsid w:val="19947A8F"/>
    <w:rsid w:val="1BD60356"/>
    <w:rsid w:val="1C9E6B95"/>
    <w:rsid w:val="1D141E95"/>
    <w:rsid w:val="1EEE0DF0"/>
    <w:rsid w:val="20E245E0"/>
    <w:rsid w:val="21FA5CFD"/>
    <w:rsid w:val="22B21C62"/>
    <w:rsid w:val="23BA7796"/>
    <w:rsid w:val="24EF141E"/>
    <w:rsid w:val="253B28B5"/>
    <w:rsid w:val="26914E82"/>
    <w:rsid w:val="28612632"/>
    <w:rsid w:val="2AD815A5"/>
    <w:rsid w:val="2C511062"/>
    <w:rsid w:val="2D260BCB"/>
    <w:rsid w:val="2DBD655D"/>
    <w:rsid w:val="2E5340CC"/>
    <w:rsid w:val="30936632"/>
    <w:rsid w:val="331D184C"/>
    <w:rsid w:val="333C4FE6"/>
    <w:rsid w:val="363A0B09"/>
    <w:rsid w:val="365323FF"/>
    <w:rsid w:val="371107C6"/>
    <w:rsid w:val="382D7206"/>
    <w:rsid w:val="3BA40DCD"/>
    <w:rsid w:val="3C6167CA"/>
    <w:rsid w:val="3FED574D"/>
    <w:rsid w:val="40182BD7"/>
    <w:rsid w:val="405F5252"/>
    <w:rsid w:val="437D2BFE"/>
    <w:rsid w:val="4762455C"/>
    <w:rsid w:val="48AB0A5A"/>
    <w:rsid w:val="492D2391"/>
    <w:rsid w:val="4C107D48"/>
    <w:rsid w:val="4CC9532C"/>
    <w:rsid w:val="4D2361EF"/>
    <w:rsid w:val="4DAC584E"/>
    <w:rsid w:val="506B51A7"/>
    <w:rsid w:val="54062B96"/>
    <w:rsid w:val="54362370"/>
    <w:rsid w:val="565F6AC4"/>
    <w:rsid w:val="5B6F3AEF"/>
    <w:rsid w:val="5DCD7847"/>
    <w:rsid w:val="5FF26CD5"/>
    <w:rsid w:val="61573349"/>
    <w:rsid w:val="64992B79"/>
    <w:rsid w:val="679F0F2F"/>
    <w:rsid w:val="67D07A22"/>
    <w:rsid w:val="69C302E2"/>
    <w:rsid w:val="6C9F4AA4"/>
    <w:rsid w:val="6F617513"/>
    <w:rsid w:val="761353A7"/>
    <w:rsid w:val="76F93003"/>
    <w:rsid w:val="778560AF"/>
    <w:rsid w:val="78542208"/>
    <w:rsid w:val="7B844B2A"/>
    <w:rsid w:val="7BA125C7"/>
    <w:rsid w:val="7DF12C86"/>
    <w:rsid w:val="7ECA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rPr>
      <w:rFonts w:ascii="Times New Roman" w:hAnsi="Times New Roman" w:eastAsia="宋体" w:cs="Times New Roman"/>
      <w:szCs w:val="20"/>
    </w:rPr>
  </w:style>
  <w:style w:type="paragraph" w:styleId="5">
    <w:name w:val="Normal Indent"/>
    <w:basedOn w:val="1"/>
    <w:autoRedefine/>
    <w:qFormat/>
    <w:uiPriority w:val="0"/>
    <w:pPr>
      <w:ind w:firstLine="420"/>
    </w:pPr>
    <w:rPr>
      <w:szCs w:val="21"/>
    </w:rPr>
  </w:style>
  <w:style w:type="paragraph" w:styleId="6">
    <w:name w:val="annotation text"/>
    <w:basedOn w:val="1"/>
    <w:autoRedefine/>
    <w:semiHidden/>
    <w:unhideWhenUsed/>
    <w:qFormat/>
    <w:uiPriority w:val="99"/>
    <w:pPr>
      <w:jc w:val="left"/>
    </w:pPr>
  </w:style>
  <w:style w:type="paragraph" w:styleId="7">
    <w:name w:val="Body Text Indent 2"/>
    <w:basedOn w:val="1"/>
    <w:link w:val="24"/>
    <w:autoRedefine/>
    <w:semiHidden/>
    <w:unhideWhenUsed/>
    <w:qFormat/>
    <w:uiPriority w:val="0"/>
    <w:pPr>
      <w:spacing w:line="540" w:lineRule="exact"/>
      <w:ind w:firstLine="225" w:firstLineChars="225"/>
      <w:jc w:val="left"/>
    </w:pPr>
    <w:rPr>
      <w:rFonts w:ascii="仿宋_GB2312" w:eastAsia="仿宋_GB2312"/>
      <w:sz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style>
  <w:style w:type="character" w:styleId="12">
    <w:name w:val="FollowedHyperlink"/>
    <w:basedOn w:val="10"/>
    <w:autoRedefine/>
    <w:semiHidden/>
    <w:unhideWhenUsed/>
    <w:qFormat/>
    <w:uiPriority w:val="99"/>
    <w:rPr>
      <w:color w:val="800080"/>
      <w:u w:val="none"/>
    </w:rPr>
  </w:style>
  <w:style w:type="character" w:styleId="13">
    <w:name w:val="Emphasis"/>
    <w:basedOn w:val="10"/>
    <w:autoRedefine/>
    <w:qFormat/>
    <w:uiPriority w:val="20"/>
  </w:style>
  <w:style w:type="character" w:styleId="14">
    <w:name w:val="HTML Definition"/>
    <w:basedOn w:val="10"/>
    <w:autoRedefine/>
    <w:semiHidden/>
    <w:unhideWhenUsed/>
    <w:qFormat/>
    <w:uiPriority w:val="99"/>
  </w:style>
  <w:style w:type="character" w:styleId="15">
    <w:name w:val="HTML Typewriter"/>
    <w:basedOn w:val="10"/>
    <w:autoRedefine/>
    <w:semiHidden/>
    <w:unhideWhenUsed/>
    <w:qFormat/>
    <w:uiPriority w:val="99"/>
    <w:rPr>
      <w:rFonts w:hint="default" w:ascii="monospace" w:hAnsi="monospace" w:eastAsia="monospace" w:cs="monospace"/>
      <w:sz w:val="20"/>
    </w:rPr>
  </w:style>
  <w:style w:type="character" w:styleId="16">
    <w:name w:val="HTML Acronym"/>
    <w:basedOn w:val="10"/>
    <w:autoRedefine/>
    <w:semiHidden/>
    <w:unhideWhenUsed/>
    <w:qFormat/>
    <w:uiPriority w:val="99"/>
  </w:style>
  <w:style w:type="character" w:styleId="17">
    <w:name w:val="HTML Variable"/>
    <w:basedOn w:val="10"/>
    <w:autoRedefine/>
    <w:semiHidden/>
    <w:unhideWhenUsed/>
    <w:qFormat/>
    <w:uiPriority w:val="99"/>
  </w:style>
  <w:style w:type="character" w:styleId="18">
    <w:name w:val="Hyperlink"/>
    <w:basedOn w:val="10"/>
    <w:autoRedefine/>
    <w:semiHidden/>
    <w:unhideWhenUsed/>
    <w:qFormat/>
    <w:uiPriority w:val="99"/>
    <w:rPr>
      <w:color w:val="0000FF"/>
      <w:u w:val="none"/>
    </w:rPr>
  </w:style>
  <w:style w:type="character" w:styleId="19">
    <w:name w:val="HTML Code"/>
    <w:basedOn w:val="10"/>
    <w:autoRedefine/>
    <w:semiHidden/>
    <w:unhideWhenUsed/>
    <w:qFormat/>
    <w:uiPriority w:val="99"/>
    <w:rPr>
      <w:rFonts w:ascii="monospace" w:hAnsi="monospace" w:eastAsia="monospace" w:cs="monospace"/>
      <w:sz w:val="20"/>
    </w:rPr>
  </w:style>
  <w:style w:type="character" w:styleId="20">
    <w:name w:val="HTML Cite"/>
    <w:basedOn w:val="10"/>
    <w:autoRedefine/>
    <w:semiHidden/>
    <w:unhideWhenUsed/>
    <w:qFormat/>
    <w:uiPriority w:val="99"/>
  </w:style>
  <w:style w:type="character" w:styleId="21">
    <w:name w:val="HTML Keyboard"/>
    <w:basedOn w:val="10"/>
    <w:autoRedefine/>
    <w:semiHidden/>
    <w:unhideWhenUsed/>
    <w:qFormat/>
    <w:uiPriority w:val="99"/>
    <w:rPr>
      <w:rFonts w:hint="default" w:ascii="monospace" w:hAnsi="monospace" w:eastAsia="monospace" w:cs="monospace"/>
      <w:sz w:val="20"/>
    </w:rPr>
  </w:style>
  <w:style w:type="character" w:styleId="22">
    <w:name w:val="HTML Sample"/>
    <w:basedOn w:val="10"/>
    <w:autoRedefine/>
    <w:semiHidden/>
    <w:unhideWhenUsed/>
    <w:qFormat/>
    <w:uiPriority w:val="99"/>
    <w:rPr>
      <w:rFonts w:hint="default" w:ascii="monospace" w:hAnsi="monospace" w:eastAsia="monospace" w:cs="monospace"/>
    </w:rPr>
  </w:style>
  <w:style w:type="character" w:customStyle="1" w:styleId="23">
    <w:name w:val="标题 1 字符"/>
    <w:basedOn w:val="10"/>
    <w:link w:val="2"/>
    <w:autoRedefine/>
    <w:qFormat/>
    <w:uiPriority w:val="0"/>
    <w:rPr>
      <w:rFonts w:ascii="Times New Roman" w:hAnsi="Times New Roman" w:eastAsia="宋体" w:cs="Times New Roman"/>
      <w:b/>
      <w:kern w:val="44"/>
      <w:sz w:val="44"/>
      <w:szCs w:val="20"/>
    </w:rPr>
  </w:style>
  <w:style w:type="character" w:customStyle="1" w:styleId="24">
    <w:name w:val="正文文本缩进 2 字符"/>
    <w:basedOn w:val="10"/>
    <w:link w:val="7"/>
    <w:autoRedefine/>
    <w:semiHidden/>
    <w:qFormat/>
    <w:uiPriority w:val="0"/>
    <w:rPr>
      <w:rFonts w:ascii="仿宋_GB2312" w:hAnsi="Calibri" w:eastAsia="仿宋_GB2312" w:cs="Times New Roman"/>
      <w:sz w:val="32"/>
    </w:rPr>
  </w:style>
  <w:style w:type="character" w:customStyle="1" w:styleId="25">
    <w:name w:val="old"/>
    <w:basedOn w:val="10"/>
    <w:autoRedefine/>
    <w:qFormat/>
    <w:uiPriority w:val="0"/>
    <w:rPr>
      <w:color w:val="999999"/>
    </w:rPr>
  </w:style>
  <w:style w:type="character" w:customStyle="1" w:styleId="26">
    <w:name w:val="layui-layer-tabnow"/>
    <w:basedOn w:val="10"/>
    <w:autoRedefine/>
    <w:qFormat/>
    <w:uiPriority w:val="0"/>
    <w:rPr>
      <w:bdr w:val="single" w:color="CCCCCC" w:sz="6" w:space="0"/>
      <w:shd w:val="clear" w:fill="FFFFFF"/>
    </w:rPr>
  </w:style>
  <w:style w:type="character" w:customStyle="1" w:styleId="27">
    <w:name w:val="glyphicon"/>
    <w:basedOn w:val="10"/>
    <w:autoRedefine/>
    <w:qFormat/>
    <w:uiPriority w:val="0"/>
  </w:style>
  <w:style w:type="character" w:customStyle="1" w:styleId="28">
    <w:name w:val="hour_am"/>
    <w:basedOn w:val="10"/>
    <w:autoRedefine/>
    <w:qFormat/>
    <w:uiPriority w:val="0"/>
  </w:style>
  <w:style w:type="character" w:customStyle="1" w:styleId="29">
    <w:name w:val="hover5"/>
    <w:basedOn w:val="10"/>
    <w:autoRedefine/>
    <w:qFormat/>
    <w:uiPriority w:val="0"/>
    <w:rPr>
      <w:shd w:val="clear" w:fill="EEEEEE"/>
    </w:rPr>
  </w:style>
  <w:style w:type="character" w:customStyle="1" w:styleId="30">
    <w:name w:val="hour_pm"/>
    <w:basedOn w:val="10"/>
    <w:autoRedefine/>
    <w:qFormat/>
    <w:uiPriority w:val="0"/>
  </w:style>
  <w:style w:type="character" w:customStyle="1" w:styleId="31">
    <w:name w:val="first-child"/>
    <w:basedOn w:val="10"/>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37B-81AE-4AF4-AB3A-081D35362E7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1051</Words>
  <Characters>1188</Characters>
  <Lines>5</Lines>
  <Paragraphs>1</Paragraphs>
  <TotalTime>4</TotalTime>
  <ScaleCrop>false</ScaleCrop>
  <LinksUpToDate>false</LinksUpToDate>
  <CharactersWithSpaces>1188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春暖花开</cp:lastModifiedBy>
  <dcterms:modified xsi:type="dcterms:W3CDTF">2026-06-01T04:06:52Z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D0DBA5F50C7545B9AB07CE0AD9518293_13</vt:lpwstr>
  </property>
  <property fmtid="{D5CDD505-2E9C-101B-9397-08002B2CF9AE}" pid="4" name="KSOTemplateDocerSaveRecord">
    <vt:lpwstr>eyJoZGlkIjoiZjEzNWI5MjU3YjY1NmE4MGNkYjVjNTU5YjE3ZDQ4YTEiLCJ1c2VySWQiOiI0MTAzODI5MzAifQ==</vt:lpwstr>
  </property>
</Properties>
</file>