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490EC">
      <w:pPr>
        <w:keepNext/>
        <w:keepLines/>
        <w:shd w:val="clear" w:color="auto"/>
        <w:spacing w:before="480" w:after="200"/>
        <w:jc w:val="center"/>
        <w:outlineLvl w:val="0"/>
        <w:rPr>
          <w:rFonts w:hint="eastAsia" w:ascii="宋体" w:hAnsi="宋体" w:eastAsia="宋体" w:cs="宋体"/>
          <w:b/>
          <w:bCs w:val="0"/>
          <w:color w:val="auto"/>
          <w:sz w:val="44"/>
          <w:szCs w:val="40"/>
          <w:highlight w:val="none"/>
          <w:lang w:val="en-US" w:eastAsia="zh-CN" w:bidi="ar-SA"/>
        </w:rPr>
      </w:pPr>
      <w:r>
        <w:rPr>
          <w:rFonts w:hint="eastAsia" w:ascii="宋体" w:hAnsi="宋体" w:eastAsia="宋体" w:cs="宋体"/>
          <w:b/>
          <w:bCs w:val="0"/>
          <w:color w:val="auto"/>
          <w:sz w:val="44"/>
          <w:szCs w:val="40"/>
          <w:highlight w:val="none"/>
          <w:lang w:val="en-US" w:eastAsia="zh-CN" w:bidi="ar-SA"/>
        </w:rPr>
        <w:t>采购需求</w:t>
      </w:r>
    </w:p>
    <w:p w14:paraId="10ECDA8D">
      <w:pPr>
        <w:keepNext w:val="0"/>
        <w:keepLines w:val="0"/>
        <w:pageBreakBefore w:val="0"/>
        <w:widowControl w:val="0"/>
        <w:spacing w:line="560" w:lineRule="exact"/>
        <w:jc w:val="left"/>
        <w:rPr>
          <w:rFonts w:hint="default" w:ascii="宋体" w:hAnsi="宋体" w:eastAsia="宋体" w:cs="宋体"/>
          <w:b/>
          <w:bCs/>
          <w:color w:val="auto"/>
          <w:kern w:val="0"/>
          <w:sz w:val="24"/>
          <w:szCs w:val="24"/>
          <w:highlight w:val="none"/>
          <w:lang w:val="en-US" w:eastAsia="zh-CN"/>
        </w:rPr>
      </w:pPr>
    </w:p>
    <w:p w14:paraId="7BABF7C7">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项目属性：货物类项目</w:t>
      </w:r>
    </w:p>
    <w:p w14:paraId="618AD7F4">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本项目采购标的对应的中小企业划分标准所属行业：</w:t>
      </w:r>
      <w:r>
        <w:rPr>
          <w:rFonts w:hint="eastAsia" w:ascii="宋体" w:hAnsi="宋体" w:eastAsia="宋体" w:cs="宋体"/>
          <w:color w:val="auto"/>
          <w:kern w:val="0"/>
          <w:sz w:val="24"/>
          <w:szCs w:val="24"/>
          <w:highlight w:val="none"/>
          <w:u w:val="single"/>
          <w:lang w:val="en-US" w:eastAsia="zh-CN"/>
        </w:rPr>
        <w:t>工业</w:t>
      </w:r>
    </w:p>
    <w:p w14:paraId="5EA55BDB">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本项目</w:t>
      </w:r>
      <w:r>
        <w:rPr>
          <w:rFonts w:hint="eastAsia" w:ascii="宋体" w:hAnsi="宋体" w:eastAsia="宋体" w:cs="宋体"/>
          <w:color w:val="auto"/>
          <w:kern w:val="0"/>
          <w:sz w:val="24"/>
          <w:szCs w:val="24"/>
          <w:highlight w:val="none"/>
          <w:u w:val="single"/>
          <w:lang w:val="en-US" w:eastAsia="zh-CN"/>
        </w:rPr>
        <w:t xml:space="preserve"> 不接受 </w:t>
      </w:r>
      <w:r>
        <w:rPr>
          <w:rFonts w:hint="eastAsia" w:ascii="宋体" w:hAnsi="宋体" w:eastAsia="宋体" w:cs="宋体"/>
          <w:color w:val="auto"/>
          <w:kern w:val="0"/>
          <w:sz w:val="24"/>
          <w:szCs w:val="24"/>
          <w:highlight w:val="none"/>
          <w:lang w:val="en-US" w:eastAsia="zh-CN"/>
        </w:rPr>
        <w:t>（接受/不接受）进口产品。</w:t>
      </w:r>
    </w:p>
    <w:p w14:paraId="2FECF6BE">
      <w:pPr>
        <w:keepNext w:val="0"/>
        <w:keepLines w:val="0"/>
        <w:pageBreakBefore w:val="0"/>
        <w:widowControl/>
        <w:numPr>
          <w:ilvl w:val="0"/>
          <w:numId w:val="0"/>
        </w:numPr>
        <w:kinsoku/>
        <w:wordWrap/>
        <w:overflowPunct/>
        <w:topLinePunct w:val="0"/>
        <w:autoSpaceDE/>
        <w:autoSpaceDN/>
        <w:bidi w:val="0"/>
        <w:spacing w:line="360" w:lineRule="auto"/>
        <w:ind w:firstLine="482" w:firstLineChars="200"/>
        <w:jc w:val="left"/>
        <w:textAlignment w:val="auto"/>
        <w:rPr>
          <w:rFonts w:hint="eastAsia" w:ascii="宋体" w:hAnsi="宋体" w:eastAsia="宋体" w:cs="宋体"/>
          <w:b/>
          <w:bCs/>
          <w:color w:val="auto"/>
          <w:kern w:val="0"/>
          <w:sz w:val="24"/>
          <w:szCs w:val="22"/>
          <w:highlight w:val="none"/>
          <w:lang w:val="en-US" w:eastAsia="zh-CN" w:bidi="ar-SA"/>
        </w:rPr>
      </w:pPr>
      <w:bookmarkStart w:id="0" w:name="_Toc31498"/>
      <w:bookmarkStart w:id="1" w:name="_Toc760"/>
      <w:bookmarkStart w:id="2" w:name="_Toc256000014"/>
      <w:bookmarkStart w:id="3" w:name="_Toc111564910"/>
      <w:r>
        <w:rPr>
          <w:rFonts w:hint="eastAsia" w:ascii="宋体" w:hAnsi="宋体" w:eastAsia="宋体" w:cs="宋体"/>
          <w:b/>
          <w:bCs/>
          <w:color w:val="auto"/>
          <w:kern w:val="0"/>
          <w:sz w:val="24"/>
          <w:szCs w:val="22"/>
          <w:highlight w:val="none"/>
          <w:lang w:val="en-US" w:eastAsia="zh-CN" w:bidi="ar-SA"/>
        </w:rPr>
        <w:t>一、项目概况</w:t>
      </w:r>
      <w:bookmarkEnd w:id="0"/>
      <w:bookmarkEnd w:id="1"/>
      <w:bookmarkEnd w:id="2"/>
      <w:bookmarkEnd w:id="3"/>
    </w:p>
    <w:p w14:paraId="6E11071B">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Times New Roman"/>
          <w:kern w:val="2"/>
          <w:sz w:val="24"/>
          <w:szCs w:val="24"/>
          <w:lang w:val="en-US" w:eastAsia="zh-CN" w:bidi="ar-SA"/>
        </w:rPr>
        <w:t>（一）</w:t>
      </w:r>
      <w:r>
        <w:rPr>
          <w:rFonts w:hint="eastAsia" w:ascii="宋体" w:hAnsi="宋体" w:eastAsia="宋体" w:cs="宋体"/>
          <w:color w:val="auto"/>
          <w:kern w:val="0"/>
          <w:sz w:val="24"/>
          <w:szCs w:val="24"/>
          <w:highlight w:val="none"/>
          <w:lang w:eastAsia="zh-CN"/>
        </w:rPr>
        <w:t>宿迁市2026年（省体育局资助）全民健身器材采购项目</w:t>
      </w:r>
    </w:p>
    <w:p w14:paraId="0CAAD7F1">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分包一：采购一代户外健身路径80套，本分包核心产品为一代户外健身路径，预算为196.8</w:t>
      </w:r>
      <w:bookmarkStart w:id="19" w:name="_GoBack"/>
      <w:bookmarkEnd w:id="19"/>
      <w:r>
        <w:rPr>
          <w:rFonts w:hint="eastAsia" w:ascii="宋体" w:hAnsi="宋体" w:eastAsia="宋体" w:cs="Times New Roman"/>
          <w:kern w:val="2"/>
          <w:sz w:val="24"/>
          <w:szCs w:val="24"/>
          <w:lang w:val="en-US" w:eastAsia="zh-CN" w:bidi="ar-SA"/>
        </w:rPr>
        <w:t>万元。</w:t>
      </w:r>
    </w:p>
    <w:p w14:paraId="204732D0">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分包二：采购室外地埋式篮球架50套，本分包核心产品为室外地埋式篮球架，预算为39万元。</w:t>
      </w:r>
    </w:p>
    <w:p w14:paraId="32C875E4">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分包三：采购室外乒乓球桌200张，本分包核心产品为室外乒乓球桌，预算为59万元。</w:t>
      </w:r>
    </w:p>
    <w:p w14:paraId="2264B4B6">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分包四：采购室外灯光篮球场2片，本分包核心产品为室外灯光篮球场，预算为59万元。</w:t>
      </w:r>
    </w:p>
    <w:p w14:paraId="51526965">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both"/>
        <w:textAlignment w:val="auto"/>
        <w:rPr>
          <w:rFonts w:hint="default"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（二）招标内容：采购、安装、维保。</w:t>
      </w:r>
    </w:p>
    <w:p w14:paraId="22094305">
      <w:pPr>
        <w:keepNext w:val="0"/>
        <w:keepLines w:val="0"/>
        <w:pageBreakBefore w:val="0"/>
        <w:widowControl/>
        <w:numPr>
          <w:ilvl w:val="0"/>
          <w:numId w:val="0"/>
        </w:numPr>
        <w:kinsoku/>
        <w:wordWrap/>
        <w:overflowPunct/>
        <w:topLinePunct w:val="0"/>
        <w:autoSpaceDE/>
        <w:autoSpaceDN/>
        <w:bidi w:val="0"/>
        <w:spacing w:line="360" w:lineRule="auto"/>
        <w:ind w:firstLine="482" w:firstLineChars="200"/>
        <w:jc w:val="left"/>
        <w:textAlignment w:val="auto"/>
        <w:rPr>
          <w:rFonts w:hint="eastAsia"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（三）质量要求</w:t>
      </w:r>
    </w:p>
    <w:p w14:paraId="11BAEDC0">
      <w:pPr>
        <w:keepNext w:val="0"/>
        <w:keepLines w:val="0"/>
        <w:pageBreakBefore w:val="0"/>
        <w:widowControl/>
        <w:numPr>
          <w:ilvl w:val="0"/>
          <w:numId w:val="0"/>
        </w:numPr>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Times New Roman"/>
          <w:b w:val="0"/>
          <w:bCs/>
          <w:kern w:val="2"/>
          <w:sz w:val="24"/>
          <w:szCs w:val="24"/>
          <w:lang w:val="en-US" w:eastAsia="zh-CN" w:bidi="ar-SA"/>
        </w:rPr>
        <w:t>分包一：全部符合“室外健身器材的安全通用要求（GB19272-2024）”的有关要求，并提供国家体育用品质量监督检验中心出具的检验报告以及国家体育总局认可的权威检测机构相关证书</w:t>
      </w:r>
      <w:r>
        <w:rPr>
          <w:rFonts w:hint="eastAsia" w:ascii="宋体" w:hAnsi="宋体" w:eastAsia="宋体" w:cs="宋体"/>
          <w:b w:val="0"/>
          <w:bCs/>
          <w:color w:val="auto"/>
          <w:kern w:val="0"/>
          <w:sz w:val="24"/>
          <w:szCs w:val="24"/>
          <w:highlight w:val="none"/>
          <w:lang w:val="en-US" w:eastAsia="zh-CN" w:bidi="ar-SA"/>
        </w:rPr>
        <w:t>。</w:t>
      </w:r>
    </w:p>
    <w:p w14:paraId="37B9A38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Times New Roman"/>
          <w:b w:val="0"/>
          <w:bCs/>
          <w:kern w:val="0"/>
          <w:sz w:val="24"/>
          <w:szCs w:val="24"/>
          <w:lang w:val="en-US" w:eastAsia="zh-CN" w:bidi="ar-SA"/>
        </w:rPr>
      </w:pPr>
      <w:r>
        <w:rPr>
          <w:rFonts w:hint="eastAsia" w:ascii="宋体" w:hAnsi="宋体" w:eastAsia="宋体" w:cs="Times New Roman"/>
          <w:b w:val="0"/>
          <w:bCs/>
          <w:kern w:val="0"/>
          <w:sz w:val="24"/>
          <w:szCs w:val="24"/>
          <w:lang w:val="en-US" w:eastAsia="zh-CN" w:bidi="ar-SA"/>
        </w:rPr>
        <w:t>分包二：</w:t>
      </w:r>
      <w:r>
        <w:rPr>
          <w:rFonts w:hint="eastAsia" w:ascii="宋体" w:hAnsi="宋体" w:eastAsia="宋体" w:cs="Times New Roman"/>
          <w:b w:val="0"/>
          <w:bCs/>
          <w:kern w:val="2"/>
          <w:sz w:val="24"/>
          <w:szCs w:val="24"/>
          <w:lang w:val="en-US" w:eastAsia="zh-CN" w:bidi="ar-SA"/>
        </w:rPr>
        <w:t>全部符合“室外健身器材的安全通用要求（GB19272-2024）”的有关要求，并提供国家体育用品质量监督检验中心出具的检验报告以及国家体育总局认可的权威检测机构相关证书</w:t>
      </w:r>
      <w:r>
        <w:rPr>
          <w:rFonts w:hint="eastAsia" w:ascii="宋体" w:hAnsi="宋体" w:eastAsia="宋体" w:cs="Times New Roman"/>
          <w:b w:val="0"/>
          <w:bCs/>
          <w:kern w:val="0"/>
          <w:sz w:val="24"/>
          <w:szCs w:val="24"/>
          <w:lang w:val="en-US" w:eastAsia="zh-CN" w:bidi="ar-SA"/>
        </w:rPr>
        <w:t>。</w:t>
      </w:r>
    </w:p>
    <w:p w14:paraId="6F463AD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Times New Roman"/>
          <w:b w:val="0"/>
          <w:bCs/>
          <w:kern w:val="0"/>
          <w:sz w:val="24"/>
          <w:szCs w:val="24"/>
        </w:rPr>
      </w:pPr>
      <w:r>
        <w:rPr>
          <w:rFonts w:hint="eastAsia" w:ascii="宋体" w:hAnsi="宋体" w:eastAsia="宋体" w:cs="Times New Roman"/>
          <w:b w:val="0"/>
          <w:bCs/>
          <w:kern w:val="0"/>
          <w:sz w:val="24"/>
          <w:szCs w:val="24"/>
          <w:lang w:val="en-US" w:eastAsia="zh-CN" w:bidi="ar-SA"/>
        </w:rPr>
        <w:t>分包三</w:t>
      </w:r>
      <w:r>
        <w:rPr>
          <w:rFonts w:hint="eastAsia" w:ascii="宋体" w:hAnsi="宋体" w:eastAsia="宋体" w:cs="Times New Roman"/>
          <w:b w:val="0"/>
          <w:bCs/>
          <w:kern w:val="2"/>
          <w:sz w:val="24"/>
          <w:szCs w:val="24"/>
          <w:lang w:val="en-US" w:eastAsia="zh-CN" w:bidi="ar-SA"/>
        </w:rPr>
        <w:t>：全部符合“室外健身器材的安全通用要求（GB19272-2024）”的有关要求，并提供国家体育用品质量监督检验中心出具的检验报告以及国家体育总局认可的权威检测机构相关证书</w:t>
      </w:r>
      <w:r>
        <w:rPr>
          <w:rFonts w:hint="eastAsia" w:ascii="宋体" w:hAnsi="宋体" w:eastAsia="宋体" w:cs="Times New Roman"/>
          <w:b w:val="0"/>
          <w:bCs/>
          <w:kern w:val="0"/>
          <w:sz w:val="24"/>
          <w:szCs w:val="24"/>
        </w:rPr>
        <w:t>。</w:t>
      </w:r>
    </w:p>
    <w:p w14:paraId="0E534DB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Calibri" w:hAnsi="Calibri" w:eastAsia="Arial" w:cs="Times New Roman"/>
          <w:b w:val="0"/>
          <w:bCs/>
          <w:kern w:val="0"/>
          <w:szCs w:val="22"/>
          <w:lang w:val="en-US" w:eastAsia="zh-CN"/>
        </w:rPr>
      </w:pPr>
      <w:r>
        <w:rPr>
          <w:rFonts w:hint="eastAsia" w:ascii="宋体" w:hAnsi="宋体" w:eastAsia="宋体" w:cs="Times New Roman"/>
          <w:b w:val="0"/>
          <w:bCs/>
          <w:kern w:val="0"/>
          <w:sz w:val="24"/>
          <w:szCs w:val="24"/>
          <w:lang w:val="en-US" w:eastAsia="zh-CN" w:bidi="ar-SA"/>
        </w:rPr>
        <w:t>分包四：</w:t>
      </w:r>
      <w:r>
        <w:rPr>
          <w:rFonts w:hint="eastAsia" w:ascii="宋体" w:hAnsi="宋体" w:eastAsia="宋体" w:cs="Times New Roman"/>
          <w:kern w:val="0"/>
          <w:sz w:val="24"/>
          <w:szCs w:val="24"/>
          <w:lang w:val="en-US" w:eastAsia="zh-CN" w:bidi="ar-SA"/>
        </w:rPr>
        <w:t>投标围网（笼式足球场、笼式多功能场地等）须符合“室外健身器材的安全通用要求（GB19272-2024）”的有关要求，并提供国家体育用品质量检验检测中心出具的检验报告以及国家体育总局认可的权威检测机构相关证书</w:t>
      </w:r>
      <w:r>
        <w:rPr>
          <w:rFonts w:hint="eastAsia" w:ascii="宋体" w:hAnsi="宋体" w:eastAsia="宋体" w:cs="Times New Roman"/>
          <w:b w:val="0"/>
          <w:bCs/>
          <w:kern w:val="0"/>
          <w:sz w:val="24"/>
          <w:szCs w:val="24"/>
          <w:lang w:val="en-US" w:eastAsia="zh-CN" w:bidi="ar-SA"/>
        </w:rPr>
        <w:t>。</w:t>
      </w:r>
    </w:p>
    <w:p w14:paraId="0F02B9ED">
      <w:pPr>
        <w:keepNext w:val="0"/>
        <w:keepLines w:val="0"/>
        <w:pageBreakBefore w:val="0"/>
        <w:widowControl/>
        <w:numPr>
          <w:ilvl w:val="0"/>
          <w:numId w:val="0"/>
        </w:numPr>
        <w:kinsoku/>
        <w:wordWrap/>
        <w:overflowPunct/>
        <w:topLinePunct w:val="0"/>
        <w:autoSpaceDE/>
        <w:autoSpaceDN/>
        <w:bidi w:val="0"/>
        <w:spacing w:line="360" w:lineRule="auto"/>
        <w:ind w:firstLine="482" w:firstLineChars="200"/>
        <w:jc w:val="left"/>
        <w:textAlignment w:val="auto"/>
        <w:rPr>
          <w:rFonts w:hint="eastAsia" w:ascii="宋体" w:hAnsi="宋体" w:eastAsia="宋体" w:cs="宋体"/>
          <w:b/>
          <w:bCs/>
          <w:color w:val="auto"/>
          <w:kern w:val="0"/>
          <w:sz w:val="24"/>
          <w:szCs w:val="22"/>
          <w:highlight w:val="none"/>
          <w:lang w:val="en-US" w:eastAsia="zh-CN" w:bidi="ar-SA"/>
        </w:rPr>
      </w:pPr>
      <w:bookmarkStart w:id="4" w:name="_Toc256000038"/>
      <w:bookmarkStart w:id="5" w:name="_Toc462997022"/>
      <w:bookmarkStart w:id="6" w:name="_Toc510533529"/>
      <w:bookmarkStart w:id="7" w:name="_Toc5123"/>
      <w:bookmarkStart w:id="8" w:name="_Toc514921155"/>
      <w:bookmarkStart w:id="9" w:name="_Toc536788500"/>
      <w:bookmarkStart w:id="10" w:name="_Toc495673448"/>
      <w:bookmarkStart w:id="11" w:name="_Toc18066"/>
      <w:bookmarkStart w:id="12" w:name="_Toc12084"/>
      <w:bookmarkStart w:id="13" w:name="_Toc514426469"/>
      <w:bookmarkStart w:id="14" w:name="_Toc111564911"/>
      <w:bookmarkStart w:id="15" w:name="_Toc256000015"/>
      <w:bookmarkStart w:id="16" w:name="_Toc105493079"/>
      <w:r>
        <w:rPr>
          <w:rFonts w:hint="eastAsia" w:ascii="宋体" w:hAnsi="宋体" w:eastAsia="宋体" w:cs="宋体"/>
          <w:b/>
          <w:bCs/>
          <w:color w:val="auto"/>
          <w:kern w:val="0"/>
          <w:sz w:val="24"/>
          <w:szCs w:val="22"/>
          <w:highlight w:val="none"/>
          <w:lang w:val="en-US" w:eastAsia="zh-CN" w:bidi="ar-SA"/>
        </w:rPr>
        <w:t>二、采购清单</w:t>
      </w:r>
      <w:bookmarkEnd w:id="4"/>
      <w:bookmarkEnd w:id="5"/>
      <w:bookmarkEnd w:id="6"/>
      <w:bookmarkEnd w:id="7"/>
      <w:bookmarkEnd w:id="8"/>
      <w:bookmarkEnd w:id="9"/>
      <w:bookmarkEnd w:id="10"/>
      <w:bookmarkEnd w:id="11"/>
      <w:bookmarkEnd w:id="12"/>
      <w:bookmarkEnd w:id="13"/>
      <w:bookmarkEnd w:id="14"/>
      <w:bookmarkEnd w:id="15"/>
      <w:bookmarkEnd w:id="16"/>
      <w:r>
        <w:rPr>
          <w:rFonts w:hint="eastAsia" w:ascii="宋体" w:hAnsi="宋体" w:eastAsia="宋体" w:cs="宋体"/>
          <w:b/>
          <w:bCs/>
          <w:color w:val="auto"/>
          <w:kern w:val="0"/>
          <w:sz w:val="24"/>
          <w:szCs w:val="22"/>
          <w:highlight w:val="none"/>
          <w:lang w:val="en-US" w:eastAsia="zh-CN" w:bidi="ar-SA"/>
        </w:rPr>
        <w:t>及技术参数</w:t>
      </w:r>
    </w:p>
    <w:p w14:paraId="6BF00001">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Times New Roman"/>
          <w:b/>
          <w:kern w:val="0"/>
          <w:sz w:val="24"/>
          <w:szCs w:val="24"/>
          <w:lang w:val="en-US" w:eastAsia="zh-CN" w:bidi="ar-SA"/>
        </w:rPr>
      </w:pPr>
      <w:r>
        <w:rPr>
          <w:rFonts w:hint="eastAsia" w:ascii="宋体" w:hAnsi="宋体" w:eastAsia="宋体" w:cs="Times New Roman"/>
          <w:b/>
          <w:kern w:val="0"/>
          <w:sz w:val="24"/>
          <w:szCs w:val="24"/>
          <w:lang w:val="en-US" w:eastAsia="zh-CN" w:bidi="ar-SA"/>
        </w:rPr>
        <w:t>分包一：</w:t>
      </w:r>
    </w:p>
    <w:tbl>
      <w:tblPr>
        <w:tblStyle w:val="2"/>
        <w:tblW w:w="51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36"/>
        <w:gridCol w:w="2766"/>
        <w:gridCol w:w="4269"/>
        <w:gridCol w:w="427"/>
        <w:gridCol w:w="429"/>
      </w:tblGrid>
      <w:tr w14:paraId="6B8F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top"/>
          </w:tcPr>
          <w:p w14:paraId="0265F9E3">
            <w:pPr>
              <w:widowControl w:val="0"/>
              <w:adjustRightInd w:val="0"/>
              <w:snapToGrid w:val="0"/>
              <w:spacing w:line="360" w:lineRule="auto"/>
              <w:jc w:val="both"/>
              <w:rPr>
                <w:rFonts w:hint="eastAsia"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（一）通用要求</w:t>
            </w:r>
          </w:p>
        </w:tc>
      </w:tr>
      <w:tr w14:paraId="6514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center"/>
          </w:tcPr>
          <w:p w14:paraId="38C06397">
            <w:pPr>
              <w:widowControl w:val="0"/>
              <w:tabs>
                <w:tab w:val="left" w:pos="522"/>
              </w:tabs>
              <w:spacing w:line="370" w:lineRule="exact"/>
              <w:jc w:val="both"/>
              <w:rPr>
                <w:rFonts w:hint="eastAsia" w:ascii="宋体-PUA" w:hAnsi="宋体-PUA" w:eastAsia="宋体-PUA" w:cs="宋体-PUA"/>
                <w:b/>
                <w:kern w:val="2"/>
                <w:sz w:val="21"/>
                <w:szCs w:val="21"/>
                <w:lang w:val="en-US" w:eastAsia="zh-CN" w:bidi="ar-SA"/>
              </w:rPr>
            </w:pPr>
            <w:r>
              <w:rPr>
                <w:rFonts w:hint="eastAsia" w:ascii="宋体-PUA" w:hAnsi="宋体-PUA" w:eastAsia="宋体-PUA" w:cs="宋体-PUA"/>
                <w:b/>
                <w:kern w:val="2"/>
                <w:sz w:val="21"/>
                <w:szCs w:val="21"/>
                <w:lang w:val="en-US" w:eastAsia="zh-CN" w:bidi="ar-SA"/>
              </w:rPr>
              <w:t>★1、为保证全民健身路径健身器材统一、管理规范化，投标供应商所有健身器材的品牌必须要求一致，不得出现多个不同品牌产品，器材主要材料为：钢管、</w:t>
            </w:r>
            <w:bookmarkStart w:id="17" w:name="OLE_LINK1"/>
            <w:r>
              <w:rPr>
                <w:rFonts w:hint="eastAsia" w:ascii="宋体-PUA" w:hAnsi="宋体-PUA" w:eastAsia="宋体-PUA" w:cs="宋体-PUA"/>
                <w:b/>
                <w:kern w:val="2"/>
                <w:sz w:val="21"/>
                <w:szCs w:val="21"/>
                <w:lang w:val="en-US" w:eastAsia="zh-CN" w:bidi="ar-SA"/>
              </w:rPr>
              <w:t>镀锌</w:t>
            </w:r>
            <w:bookmarkEnd w:id="17"/>
            <w:r>
              <w:rPr>
                <w:rFonts w:hint="eastAsia" w:ascii="宋体-PUA" w:hAnsi="宋体-PUA" w:eastAsia="宋体-PUA" w:cs="宋体-PUA"/>
                <w:b/>
                <w:kern w:val="2"/>
                <w:sz w:val="21"/>
                <w:szCs w:val="21"/>
                <w:lang w:val="en-US" w:eastAsia="zh-CN" w:bidi="ar-SA"/>
              </w:rPr>
              <w:t>钢管，否则作无效投标处理。</w:t>
            </w:r>
          </w:p>
          <w:p w14:paraId="797AFDAB">
            <w:pPr>
              <w:widowControl w:val="0"/>
              <w:tabs>
                <w:tab w:val="left" w:pos="522"/>
              </w:tabs>
              <w:spacing w:line="370" w:lineRule="exact"/>
              <w:jc w:val="both"/>
              <w:rPr>
                <w:rFonts w:hint="eastAsia" w:ascii="宋体-PUA" w:hAnsi="宋体-PUA" w:eastAsia="宋体-PUA" w:cs="宋体-PUA"/>
                <w:b/>
                <w:kern w:val="2"/>
                <w:sz w:val="21"/>
                <w:szCs w:val="21"/>
                <w:lang w:val="en-US" w:eastAsia="zh-CN" w:bidi="ar-SA"/>
              </w:rPr>
            </w:pPr>
            <w:r>
              <w:rPr>
                <w:rFonts w:hint="eastAsia" w:ascii="宋体-PUA" w:hAnsi="宋体-PUA" w:eastAsia="宋体-PUA" w:cs="宋体-PUA"/>
                <w:b/>
                <w:kern w:val="2"/>
                <w:sz w:val="21"/>
                <w:szCs w:val="21"/>
                <w:lang w:val="en-US" w:eastAsia="zh-CN" w:bidi="ar-SA"/>
              </w:rPr>
              <w:t>★2、为了体现产品的成熟性，所投产品（含所有配件以及涂层橡胶、塑料件等有害物质限量）每一件都必须单独符合GB19272-2024《室外健身器材的安全通用要求》的规定要求，并提供国家体育用品质量监督检验中心出具的检验报告以及国家体育总局认可的权威检测机构相关证书，否则作为无效投标处理。</w:t>
            </w:r>
          </w:p>
          <w:p w14:paraId="0D20EB93">
            <w:pPr>
              <w:jc w:val="left"/>
              <w:rPr>
                <w:rFonts w:hint="eastAsia" w:ascii="Calibri" w:hAnsi="Calibri" w:eastAsia="黑体" w:cs="黑体"/>
                <w:b/>
                <w:kern w:val="2"/>
                <w:sz w:val="21"/>
                <w:szCs w:val="22"/>
                <w:lang w:val="en-US" w:eastAsia="zh-CN" w:bidi="ar-SA"/>
              </w:rPr>
            </w:pPr>
            <w:r>
              <w:rPr>
                <w:rFonts w:hint="eastAsia" w:ascii="宋体-PUA" w:hAnsi="宋体-PUA" w:eastAsia="宋体-PUA" w:cs="宋体-PUA"/>
                <w:b/>
                <w:kern w:val="2"/>
                <w:sz w:val="21"/>
                <w:szCs w:val="21"/>
                <w:lang w:val="en-US" w:eastAsia="zh-CN" w:bidi="ar-SA"/>
              </w:rPr>
              <w:t>★3、所有器材安全使用寿命不低于8年，供应商在出厂前在器材铭牌上方单独制作报修二维码铭牌，器材铭牌、报修铭牌2项内容需经采购方同意后制作。</w:t>
            </w:r>
          </w:p>
        </w:tc>
      </w:tr>
      <w:tr w14:paraId="5E92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center"/>
          </w:tcPr>
          <w:p w14:paraId="1271C3AF">
            <w:pPr>
              <w:jc w:val="both"/>
              <w:rPr>
                <w:rFonts w:hint="eastAsia" w:ascii="Calibri" w:hAnsi="Calibri" w:eastAsia="黑体" w:cs="黑体"/>
                <w:b/>
                <w:kern w:val="2"/>
                <w:sz w:val="21"/>
                <w:szCs w:val="22"/>
                <w:lang w:val="en-US" w:eastAsia="zh-CN" w:bidi="ar-SA"/>
              </w:rPr>
            </w:pPr>
            <w:r>
              <w:rPr>
                <w:rFonts w:hint="eastAsia" w:ascii="宋体" w:hAnsi="宋体" w:eastAsia="黑体" w:cs="黑体"/>
                <w:b/>
                <w:sz w:val="24"/>
                <w:szCs w:val="24"/>
                <w:lang w:val="en-US" w:eastAsia="zh-CN" w:bidi="ar-SA"/>
              </w:rPr>
              <w:t>（二）参数要求</w:t>
            </w:r>
          </w:p>
        </w:tc>
      </w:tr>
      <w:tr w14:paraId="26CD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center"/>
          </w:tcPr>
          <w:p w14:paraId="55587DF0">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1</w:t>
            </w:r>
          </w:p>
        </w:tc>
        <w:tc>
          <w:tcPr>
            <w:tcW w:w="0" w:type="auto"/>
            <w:noWrap w:val="0"/>
            <w:vAlign w:val="center"/>
          </w:tcPr>
          <w:p w14:paraId="630F5A85">
            <w:pPr>
              <w:widowControl w:val="0"/>
              <w:spacing w:line="360" w:lineRule="exact"/>
              <w:jc w:val="center"/>
              <w:rPr>
                <w:rFonts w:hint="default" w:ascii="宋体-PUA" w:hAnsi="宋体-PUA" w:eastAsia="宋体-PUA" w:cs="宋体-PUA"/>
                <w:bCs/>
                <w:kern w:val="2"/>
                <w:szCs w:val="21"/>
                <w:lang w:val="en-US" w:eastAsia="zh-CN" w:bidi="ar-SA"/>
              </w:rPr>
            </w:pPr>
            <w:r>
              <w:rPr>
                <w:rFonts w:hint="eastAsia" w:ascii="宋体-PUA" w:hAnsi="宋体-PUA" w:eastAsia="宋体-PUA" w:cs="宋体-PUA"/>
                <w:bCs/>
                <w:kern w:val="2"/>
                <w:szCs w:val="21"/>
                <w:lang w:val="en-US" w:eastAsia="zh-CN" w:bidi="ar-SA"/>
              </w:rPr>
              <w:t>告</w:t>
            </w:r>
          </w:p>
          <w:p w14:paraId="008BAE7E">
            <w:pPr>
              <w:widowControl w:val="0"/>
              <w:spacing w:line="360" w:lineRule="exact"/>
              <w:jc w:val="center"/>
              <w:rPr>
                <w:rFonts w:hint="default" w:ascii="宋体-PUA" w:hAnsi="宋体-PUA" w:eastAsia="宋体-PUA" w:cs="宋体-PUA"/>
                <w:bCs/>
                <w:kern w:val="2"/>
                <w:szCs w:val="21"/>
                <w:lang w:val="en-US" w:eastAsia="zh-CN" w:bidi="ar-SA"/>
              </w:rPr>
            </w:pPr>
            <w:r>
              <w:rPr>
                <w:rFonts w:hint="eastAsia" w:ascii="宋体-PUA" w:hAnsi="宋体-PUA" w:eastAsia="宋体-PUA" w:cs="宋体-PUA"/>
                <w:bCs/>
                <w:kern w:val="2"/>
                <w:szCs w:val="21"/>
                <w:lang w:val="en-US" w:eastAsia="zh-CN" w:bidi="ar-SA"/>
              </w:rPr>
              <w:t>示</w:t>
            </w:r>
          </w:p>
          <w:p w14:paraId="5DF92188">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Cs w:val="21"/>
                <w:lang w:val="en-US" w:eastAsia="zh-CN" w:bidi="ar-SA"/>
              </w:rPr>
              <w:t>牌</w:t>
            </w:r>
          </w:p>
        </w:tc>
        <w:tc>
          <w:tcPr>
            <w:tcW w:w="0" w:type="auto"/>
            <w:noWrap w:val="0"/>
            <w:vAlign w:val="top"/>
          </w:tcPr>
          <w:p w14:paraId="7BEFE621">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Times New Roman" w:hAnsi="Times New Roman" w:eastAsia="宋体" w:cs="Times New Roman"/>
                <w:kern w:val="2"/>
                <w:szCs w:val="21"/>
              </w:rPr>
              <w:drawing>
                <wp:inline distT="0" distB="0" distL="114300" distR="114300">
                  <wp:extent cx="1447800" cy="9906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47800" cy="990600"/>
                          </a:xfrm>
                          <a:prstGeom prst="rect">
                            <a:avLst/>
                          </a:prstGeom>
                          <a:noFill/>
                          <a:ln>
                            <a:noFill/>
                          </a:ln>
                        </pic:spPr>
                      </pic:pic>
                    </a:graphicData>
                  </a:graphic>
                </wp:inline>
              </w:drawing>
            </w:r>
          </w:p>
        </w:tc>
        <w:tc>
          <w:tcPr>
            <w:tcW w:w="0" w:type="auto"/>
            <w:noWrap w:val="0"/>
            <w:vAlign w:val="top"/>
          </w:tcPr>
          <w:p w14:paraId="1E23871E">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1、产品尺寸≥800*114*1600mm。</w:t>
            </w:r>
          </w:p>
          <w:p w14:paraId="5E7AE47C">
            <w:pPr>
              <w:widowControl/>
              <w:jc w:val="left"/>
              <w:rPr>
                <w:rFonts w:hint="default" w:ascii="Times New Roman" w:hAnsi="Times New Roman" w:eastAsia="宋体" w:cs="Times New Roman"/>
                <w:kern w:val="2"/>
                <w:szCs w:val="21"/>
              </w:rPr>
            </w:pPr>
            <w:r>
              <w:rPr>
                <w:rFonts w:hint="eastAsia" w:ascii="宋体-PUA" w:hAnsi="宋体-PUA" w:eastAsia="宋体-PUA" w:cs="宋体-PUA"/>
                <w:kern w:val="2"/>
                <w:szCs w:val="21"/>
              </w:rPr>
              <w:t>2、主要承载立柱（单柱或双柱）≥Φ114*3mm镀锌管材；主要承载横梁≥40*40*2.5mm管材。</w:t>
            </w:r>
          </w:p>
          <w:p w14:paraId="3CF318D0">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3、器材立柱顶部应采用钢制封头，避免淋入雨水；棱边和棱角半径不小于3.0mm；牌面采用夹层式设计，防止产生刮伤的可能。器材应采用横式不锈钢牌面，牌面尺寸(700~900) ×(500~600)mm，板材厚度不小于1mm，图样及字样蚀刻处理，人体易接触区域不应有钩挂、缠绕结构。告示牌至少包含以下内容：监管单位名称（市县区体育部门）和联系电话；责任单位名称（受赠方）、责任人名字、联系电话；安全警示说明、发现器材有缺陷应立即停止使用直到修复的说明、器材供应商的全称及售后服务电话、管理维护单位及联系电话等。</w:t>
            </w:r>
          </w:p>
        </w:tc>
        <w:tc>
          <w:tcPr>
            <w:tcW w:w="0" w:type="auto"/>
            <w:noWrap w:val="0"/>
            <w:vAlign w:val="center"/>
          </w:tcPr>
          <w:p w14:paraId="3DF2F71C">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728E8CF0">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71DD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4392D2D">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2</w:t>
            </w:r>
          </w:p>
        </w:tc>
        <w:tc>
          <w:tcPr>
            <w:tcW w:w="0" w:type="auto"/>
            <w:noWrap w:val="0"/>
            <w:vAlign w:val="center"/>
          </w:tcPr>
          <w:p w14:paraId="0886874B">
            <w:pPr>
              <w:widowControl/>
              <w:jc w:val="center"/>
              <w:rPr>
                <w:rFonts w:hint="eastAsia" w:ascii="宋体" w:hAnsi="Calibri" w:eastAsia="宋体" w:cs="宋体"/>
                <w:color w:val="000000"/>
                <w:kern w:val="0"/>
                <w:sz w:val="22"/>
                <w:szCs w:val="22"/>
                <w:lang w:val="en-US" w:eastAsia="zh-CN" w:bidi="ar-SA"/>
              </w:rPr>
            </w:pPr>
            <w:r>
              <w:rPr>
                <w:rFonts w:hint="eastAsia" w:ascii="宋体" w:hAnsi="宋体" w:eastAsia="宋体" w:cs="宋体"/>
                <w:color w:val="000000"/>
                <w:kern w:val="0"/>
                <w:sz w:val="22"/>
                <w:szCs w:val="21"/>
              </w:rPr>
              <w:t>肋木架</w:t>
            </w:r>
          </w:p>
        </w:tc>
        <w:tc>
          <w:tcPr>
            <w:tcW w:w="0" w:type="auto"/>
            <w:noWrap w:val="0"/>
            <w:vAlign w:val="top"/>
          </w:tcPr>
          <w:p w14:paraId="5F5870B0">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Times New Roman" w:hAnsi="Times New Roman" w:eastAsia="宋体" w:cs="Times New Roman"/>
                <w:kern w:val="2"/>
                <w:szCs w:val="21"/>
              </w:rPr>
              <w:drawing>
                <wp:inline distT="0" distB="0" distL="114300" distR="114300">
                  <wp:extent cx="960120" cy="1181100"/>
                  <wp:effectExtent l="0" t="0" r="1143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5"/>
                          <a:stretch>
                            <a:fillRect/>
                          </a:stretch>
                        </pic:blipFill>
                        <pic:spPr>
                          <a:xfrm>
                            <a:off x="0" y="0"/>
                            <a:ext cx="960120" cy="1181100"/>
                          </a:xfrm>
                          <a:prstGeom prst="rect">
                            <a:avLst/>
                          </a:prstGeom>
                          <a:noFill/>
                          <a:ln>
                            <a:noFill/>
                          </a:ln>
                        </pic:spPr>
                      </pic:pic>
                    </a:graphicData>
                  </a:graphic>
                </wp:inline>
              </w:drawing>
            </w:r>
          </w:p>
        </w:tc>
        <w:tc>
          <w:tcPr>
            <w:tcW w:w="0" w:type="auto"/>
            <w:noWrap w:val="0"/>
            <w:vAlign w:val="center"/>
          </w:tcPr>
          <w:p w14:paraId="6BF531E7">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1、产品尺寸≥1200*114*2200mm。</w:t>
            </w:r>
          </w:p>
          <w:p w14:paraId="397561A2">
            <w:pPr>
              <w:widowControl/>
              <w:jc w:val="left"/>
              <w:rPr>
                <w:rFonts w:hint="default" w:ascii="宋体-PUA" w:hAnsi="宋体-PUA" w:eastAsia="宋体-PUA" w:cs="宋体-PUA"/>
                <w:kern w:val="2"/>
                <w:szCs w:val="21"/>
              </w:rPr>
            </w:pPr>
            <w:r>
              <w:rPr>
                <w:rFonts w:hint="eastAsia" w:ascii="宋体-PUA" w:hAnsi="宋体-PUA" w:eastAsia="宋体-PUA" w:cs="宋体-PUA"/>
                <w:kern w:val="2"/>
                <w:szCs w:val="21"/>
              </w:rPr>
              <w:t>2、主要承载立柱≥Φ114*3mm镀锌管材；主要承载横梁≥Φ32*3mm管材。</w:t>
            </w:r>
          </w:p>
          <w:p w14:paraId="319DE115">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★3、器材采用整体焊接方式连接，</w:t>
            </w:r>
            <w:r>
              <w:rPr>
                <w:rFonts w:hint="eastAsia" w:ascii="宋体-PUA" w:hAnsi="宋体-PUA" w:eastAsia="宋体-PUA" w:cs="宋体-PUA"/>
                <w:kern w:val="2"/>
                <w:szCs w:val="21"/>
                <w:lang w:val="en-US" w:eastAsia="zh-CN"/>
              </w:rPr>
              <w:t>横杆</w:t>
            </w:r>
            <w:r>
              <w:rPr>
                <w:rFonts w:hint="eastAsia" w:ascii="宋体-PUA" w:hAnsi="宋体-PUA" w:eastAsia="宋体-PUA" w:cs="宋体-PUA"/>
                <w:kern w:val="2"/>
                <w:szCs w:val="21"/>
              </w:rPr>
              <w:t>数量不少于6个。</w:t>
            </w:r>
          </w:p>
        </w:tc>
        <w:tc>
          <w:tcPr>
            <w:tcW w:w="0" w:type="auto"/>
            <w:noWrap w:val="0"/>
            <w:vAlign w:val="center"/>
          </w:tcPr>
          <w:p w14:paraId="6279744D">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3ACDFF81">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7533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E359642">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3</w:t>
            </w:r>
          </w:p>
        </w:tc>
        <w:tc>
          <w:tcPr>
            <w:tcW w:w="0" w:type="auto"/>
            <w:noWrap w:val="0"/>
            <w:vAlign w:val="center"/>
          </w:tcPr>
          <w:p w14:paraId="4FC5C3D6">
            <w:pPr>
              <w:widowControl/>
              <w:jc w:val="center"/>
              <w:rPr>
                <w:rFonts w:hint="eastAsia" w:ascii="宋体" w:hAnsi="Calibri" w:eastAsia="宋体" w:cs="宋体"/>
                <w:color w:val="000000"/>
                <w:kern w:val="0"/>
                <w:sz w:val="22"/>
                <w:szCs w:val="22"/>
                <w:lang w:val="en-US" w:eastAsia="zh-CN" w:bidi="ar-SA"/>
              </w:rPr>
            </w:pPr>
            <w:r>
              <w:rPr>
                <w:rFonts w:hint="eastAsia" w:ascii="宋体" w:hAnsi="Times New Roman" w:eastAsia="宋体" w:cs="宋体"/>
                <w:color w:val="000000"/>
                <w:kern w:val="0"/>
                <w:sz w:val="22"/>
                <w:szCs w:val="21"/>
              </w:rPr>
              <w:t>天梯</w:t>
            </w:r>
          </w:p>
        </w:tc>
        <w:tc>
          <w:tcPr>
            <w:tcW w:w="0" w:type="auto"/>
            <w:noWrap w:val="0"/>
            <w:vAlign w:val="top"/>
          </w:tcPr>
          <w:p w14:paraId="42B11431">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Times New Roman" w:hAnsi="Times New Roman" w:eastAsia="宋体" w:cs="Times New Roman"/>
                <w:kern w:val="2"/>
                <w:szCs w:val="21"/>
              </w:rPr>
              <w:drawing>
                <wp:inline distT="0" distB="0" distL="114300" distR="114300">
                  <wp:extent cx="1485900" cy="1074420"/>
                  <wp:effectExtent l="0" t="0" r="0" b="1143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6"/>
                          <a:stretch>
                            <a:fillRect/>
                          </a:stretch>
                        </pic:blipFill>
                        <pic:spPr>
                          <a:xfrm>
                            <a:off x="0" y="0"/>
                            <a:ext cx="1485900" cy="1074420"/>
                          </a:xfrm>
                          <a:prstGeom prst="rect">
                            <a:avLst/>
                          </a:prstGeom>
                          <a:noFill/>
                          <a:ln>
                            <a:noFill/>
                          </a:ln>
                        </pic:spPr>
                      </pic:pic>
                    </a:graphicData>
                  </a:graphic>
                </wp:inline>
              </w:drawing>
            </w:r>
          </w:p>
        </w:tc>
        <w:tc>
          <w:tcPr>
            <w:tcW w:w="0" w:type="auto"/>
            <w:noWrap w:val="0"/>
            <w:vAlign w:val="center"/>
          </w:tcPr>
          <w:p w14:paraId="508869C5">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1、产品尺寸≥2800*900*2200mm。</w:t>
            </w:r>
          </w:p>
          <w:p w14:paraId="1398307D">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2、主要承载立柱≥Φ114*3mm镀锌管材；主要承载横梁≥Φ60*3mm管材。</w:t>
            </w:r>
          </w:p>
        </w:tc>
        <w:tc>
          <w:tcPr>
            <w:tcW w:w="0" w:type="auto"/>
            <w:noWrap w:val="0"/>
            <w:vAlign w:val="center"/>
          </w:tcPr>
          <w:p w14:paraId="43BFB7BF">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2144FAD6">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044B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F7F5675">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4</w:t>
            </w:r>
          </w:p>
        </w:tc>
        <w:tc>
          <w:tcPr>
            <w:tcW w:w="0" w:type="auto"/>
            <w:noWrap w:val="0"/>
            <w:vAlign w:val="center"/>
          </w:tcPr>
          <w:p w14:paraId="72E1B75A">
            <w:pPr>
              <w:widowControl/>
              <w:jc w:val="center"/>
              <w:rPr>
                <w:rFonts w:hint="eastAsia" w:ascii="宋体" w:hAnsi="Calibri" w:eastAsia="宋体" w:cs="宋体"/>
                <w:color w:val="000000"/>
                <w:kern w:val="0"/>
                <w:sz w:val="22"/>
                <w:szCs w:val="22"/>
                <w:lang w:val="en-US" w:eastAsia="zh-CN" w:bidi="ar-SA"/>
              </w:rPr>
            </w:pPr>
            <w:r>
              <w:rPr>
                <w:rFonts w:hint="eastAsia" w:ascii="宋体" w:hAnsi="宋体" w:eastAsia="宋体" w:cs="宋体"/>
                <w:color w:val="000000"/>
                <w:kern w:val="0"/>
                <w:sz w:val="22"/>
                <w:szCs w:val="21"/>
              </w:rPr>
              <w:t>双位漫步机</w:t>
            </w:r>
          </w:p>
        </w:tc>
        <w:tc>
          <w:tcPr>
            <w:tcW w:w="0" w:type="auto"/>
            <w:noWrap w:val="0"/>
            <w:vAlign w:val="top"/>
          </w:tcPr>
          <w:p w14:paraId="651A5549">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Times New Roman" w:hAnsi="Times New Roman" w:eastAsia="宋体" w:cs="Times New Roman"/>
                <w:kern w:val="2"/>
                <w:szCs w:val="21"/>
              </w:rPr>
              <w:drawing>
                <wp:inline distT="0" distB="0" distL="114300" distR="114300">
                  <wp:extent cx="1750060" cy="1329690"/>
                  <wp:effectExtent l="0" t="0" r="2540" b="381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7"/>
                          <a:stretch>
                            <a:fillRect/>
                          </a:stretch>
                        </pic:blipFill>
                        <pic:spPr>
                          <a:xfrm>
                            <a:off x="0" y="0"/>
                            <a:ext cx="1750060" cy="1329690"/>
                          </a:xfrm>
                          <a:prstGeom prst="rect">
                            <a:avLst/>
                          </a:prstGeom>
                          <a:noFill/>
                          <a:ln>
                            <a:noFill/>
                          </a:ln>
                        </pic:spPr>
                      </pic:pic>
                    </a:graphicData>
                  </a:graphic>
                </wp:inline>
              </w:drawing>
            </w:r>
          </w:p>
        </w:tc>
        <w:tc>
          <w:tcPr>
            <w:tcW w:w="0" w:type="auto"/>
            <w:noWrap w:val="0"/>
            <w:vAlign w:val="center"/>
          </w:tcPr>
          <w:p w14:paraId="709980F1">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1、产品尺寸≥2100*500*1280mm。</w:t>
            </w:r>
          </w:p>
          <w:p w14:paraId="3C86D378">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2、主要承载立柱≥Φ114*3mm镀锌管材；主要承载横梁≥Φ60*3mm管材。</w:t>
            </w:r>
          </w:p>
        </w:tc>
        <w:tc>
          <w:tcPr>
            <w:tcW w:w="0" w:type="auto"/>
            <w:noWrap w:val="0"/>
            <w:vAlign w:val="center"/>
          </w:tcPr>
          <w:p w14:paraId="549B3123">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65990009">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0549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2587568">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5</w:t>
            </w:r>
          </w:p>
        </w:tc>
        <w:tc>
          <w:tcPr>
            <w:tcW w:w="0" w:type="auto"/>
            <w:noWrap w:val="0"/>
            <w:vAlign w:val="center"/>
          </w:tcPr>
          <w:p w14:paraId="2D078C05">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1"/>
              </w:rPr>
              <w:t>双</w:t>
            </w:r>
            <w:r>
              <w:rPr>
                <w:rFonts w:hint="eastAsia" w:ascii="宋体" w:hAnsi="宋体" w:eastAsia="宋体" w:cs="宋体"/>
                <w:color w:val="000000"/>
                <w:kern w:val="0"/>
                <w:sz w:val="22"/>
                <w:szCs w:val="21"/>
                <w:lang w:val="en-US" w:eastAsia="zh-CN"/>
              </w:rPr>
              <w:t>杠</w:t>
            </w:r>
          </w:p>
        </w:tc>
        <w:tc>
          <w:tcPr>
            <w:tcW w:w="0" w:type="auto"/>
            <w:noWrap w:val="0"/>
            <w:vAlign w:val="top"/>
          </w:tcPr>
          <w:p w14:paraId="0AE8D764">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Calibri" w:hAnsi="Calibri" w:eastAsia="Arial" w:cs="Times New Roman"/>
                <w:kern w:val="0"/>
                <w:szCs w:val="22"/>
              </w:rPr>
              <w:drawing>
                <wp:inline distT="0" distB="0" distL="114300" distR="114300">
                  <wp:extent cx="1424940" cy="1078230"/>
                  <wp:effectExtent l="0" t="0" r="3810" b="762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8"/>
                          <a:stretch>
                            <a:fillRect/>
                          </a:stretch>
                        </pic:blipFill>
                        <pic:spPr>
                          <a:xfrm>
                            <a:off x="0" y="0"/>
                            <a:ext cx="1424940" cy="1078230"/>
                          </a:xfrm>
                          <a:prstGeom prst="rect">
                            <a:avLst/>
                          </a:prstGeom>
                          <a:noFill/>
                          <a:ln>
                            <a:noFill/>
                          </a:ln>
                        </pic:spPr>
                      </pic:pic>
                    </a:graphicData>
                  </a:graphic>
                </wp:inline>
              </w:drawing>
            </w:r>
          </w:p>
        </w:tc>
        <w:tc>
          <w:tcPr>
            <w:tcW w:w="0" w:type="auto"/>
            <w:noWrap w:val="0"/>
            <w:vAlign w:val="center"/>
          </w:tcPr>
          <w:p w14:paraId="649AC5C5">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1、产品尺寸≥2</w:t>
            </w:r>
            <w:r>
              <w:rPr>
                <w:rFonts w:hint="eastAsia" w:ascii="宋体-PUA" w:hAnsi="宋体-PUA" w:eastAsia="宋体-PUA" w:cs="宋体-PUA"/>
                <w:kern w:val="2"/>
                <w:szCs w:val="21"/>
                <w:lang w:val="en-US" w:eastAsia="zh-CN"/>
              </w:rPr>
              <w:t>4</w:t>
            </w:r>
            <w:r>
              <w:rPr>
                <w:rFonts w:hint="eastAsia" w:ascii="宋体-PUA" w:hAnsi="宋体-PUA" w:eastAsia="宋体-PUA" w:cs="宋体-PUA"/>
                <w:kern w:val="2"/>
                <w:szCs w:val="21"/>
              </w:rPr>
              <w:t>00*</w:t>
            </w:r>
            <w:r>
              <w:rPr>
                <w:rFonts w:hint="eastAsia" w:ascii="宋体-PUA" w:hAnsi="宋体-PUA" w:eastAsia="宋体-PUA" w:cs="宋体-PUA"/>
                <w:kern w:val="2"/>
                <w:szCs w:val="21"/>
                <w:lang w:val="en-US" w:eastAsia="zh-CN"/>
              </w:rPr>
              <w:t>70</w:t>
            </w:r>
            <w:r>
              <w:rPr>
                <w:rFonts w:hint="eastAsia" w:ascii="宋体-PUA" w:hAnsi="宋体-PUA" w:eastAsia="宋体-PUA" w:cs="宋体-PUA"/>
                <w:kern w:val="2"/>
                <w:szCs w:val="21"/>
              </w:rPr>
              <w:t>0*1</w:t>
            </w:r>
            <w:r>
              <w:rPr>
                <w:rFonts w:hint="eastAsia" w:ascii="宋体-PUA" w:hAnsi="宋体-PUA" w:eastAsia="宋体-PUA" w:cs="宋体-PUA"/>
                <w:kern w:val="2"/>
                <w:szCs w:val="21"/>
                <w:lang w:val="en-US" w:eastAsia="zh-CN"/>
              </w:rPr>
              <w:t>40</w:t>
            </w:r>
            <w:r>
              <w:rPr>
                <w:rFonts w:hint="eastAsia" w:ascii="宋体-PUA" w:hAnsi="宋体-PUA" w:eastAsia="宋体-PUA" w:cs="宋体-PUA"/>
                <w:kern w:val="2"/>
                <w:szCs w:val="21"/>
              </w:rPr>
              <w:t>0mm。</w:t>
            </w:r>
          </w:p>
          <w:p w14:paraId="765FA5A2">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2、主要承载立柱≥Φ114*3mm镀锌管材；主要承载横梁≥Φ</w:t>
            </w:r>
            <w:r>
              <w:rPr>
                <w:rFonts w:hint="eastAsia" w:ascii="宋体-PUA" w:hAnsi="宋体-PUA" w:eastAsia="宋体-PUA" w:cs="宋体-PUA"/>
                <w:kern w:val="2"/>
                <w:szCs w:val="21"/>
                <w:lang w:val="en-US" w:eastAsia="zh-CN"/>
              </w:rPr>
              <w:t>42</w:t>
            </w:r>
            <w:r>
              <w:rPr>
                <w:rFonts w:hint="eastAsia" w:ascii="宋体-PUA" w:hAnsi="宋体-PUA" w:eastAsia="宋体-PUA" w:cs="宋体-PUA"/>
                <w:kern w:val="2"/>
                <w:szCs w:val="21"/>
              </w:rPr>
              <w:t>*</w:t>
            </w:r>
            <w:r>
              <w:rPr>
                <w:rFonts w:hint="eastAsia" w:ascii="宋体-PUA" w:hAnsi="宋体-PUA" w:eastAsia="宋体-PUA" w:cs="宋体-PUA"/>
                <w:kern w:val="2"/>
                <w:szCs w:val="21"/>
                <w:lang w:val="en-US" w:eastAsia="zh-CN"/>
              </w:rPr>
              <w:t>4</w:t>
            </w:r>
            <w:r>
              <w:rPr>
                <w:rFonts w:hint="eastAsia" w:ascii="宋体-PUA" w:hAnsi="宋体-PUA" w:eastAsia="宋体-PUA" w:cs="宋体-PUA"/>
                <w:kern w:val="2"/>
                <w:szCs w:val="21"/>
              </w:rPr>
              <w:t>mm管材。</w:t>
            </w:r>
          </w:p>
        </w:tc>
        <w:tc>
          <w:tcPr>
            <w:tcW w:w="0" w:type="auto"/>
            <w:noWrap w:val="0"/>
            <w:vAlign w:val="center"/>
          </w:tcPr>
          <w:p w14:paraId="5CE9702B">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40A29116">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35A5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3049067">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6</w:t>
            </w:r>
          </w:p>
        </w:tc>
        <w:tc>
          <w:tcPr>
            <w:tcW w:w="0" w:type="auto"/>
            <w:noWrap w:val="0"/>
            <w:vAlign w:val="center"/>
          </w:tcPr>
          <w:p w14:paraId="6A25A656">
            <w:pPr>
              <w:widowControl/>
              <w:jc w:val="center"/>
              <w:rPr>
                <w:rFonts w:hint="eastAsia" w:ascii="宋体" w:hAnsi="Calibri" w:eastAsia="宋体" w:cs="宋体"/>
                <w:color w:val="000000"/>
                <w:kern w:val="0"/>
                <w:sz w:val="22"/>
                <w:szCs w:val="22"/>
                <w:lang w:val="en-US" w:eastAsia="zh-CN" w:bidi="ar-SA"/>
              </w:rPr>
            </w:pPr>
            <w:r>
              <w:rPr>
                <w:rFonts w:hint="eastAsia" w:ascii="宋体" w:hAnsi="宋体" w:eastAsia="宋体" w:cs="宋体"/>
                <w:color w:val="000000"/>
                <w:kern w:val="0"/>
                <w:sz w:val="22"/>
                <w:szCs w:val="21"/>
              </w:rPr>
              <w:t>上肢牵引器</w:t>
            </w:r>
          </w:p>
        </w:tc>
        <w:tc>
          <w:tcPr>
            <w:tcW w:w="0" w:type="auto"/>
            <w:noWrap w:val="0"/>
            <w:vAlign w:val="top"/>
          </w:tcPr>
          <w:p w14:paraId="3A579A61">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Times New Roman" w:hAnsi="Times New Roman" w:eastAsia="宋体" w:cs="Times New Roman"/>
                <w:kern w:val="2"/>
                <w:szCs w:val="21"/>
              </w:rPr>
              <w:drawing>
                <wp:inline distT="0" distB="0" distL="114300" distR="114300">
                  <wp:extent cx="975360" cy="1432560"/>
                  <wp:effectExtent l="0" t="0" r="15240" b="15240"/>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9"/>
                          <a:stretch>
                            <a:fillRect/>
                          </a:stretch>
                        </pic:blipFill>
                        <pic:spPr>
                          <a:xfrm>
                            <a:off x="0" y="0"/>
                            <a:ext cx="975360" cy="1432560"/>
                          </a:xfrm>
                          <a:prstGeom prst="rect">
                            <a:avLst/>
                          </a:prstGeom>
                          <a:noFill/>
                          <a:ln>
                            <a:noFill/>
                          </a:ln>
                        </pic:spPr>
                      </pic:pic>
                    </a:graphicData>
                  </a:graphic>
                </wp:inline>
              </w:drawing>
            </w:r>
          </w:p>
        </w:tc>
        <w:tc>
          <w:tcPr>
            <w:tcW w:w="0" w:type="auto"/>
            <w:noWrap w:val="0"/>
            <w:vAlign w:val="center"/>
          </w:tcPr>
          <w:p w14:paraId="63830DEA">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1、产品尺寸≥700*600*2400mm。</w:t>
            </w:r>
          </w:p>
          <w:p w14:paraId="11078738">
            <w:pPr>
              <w:widowControl/>
              <w:jc w:val="left"/>
              <w:rPr>
                <w:rFonts w:hint="default" w:ascii="Times New Roman" w:hAnsi="Times New Roman" w:eastAsia="宋体" w:cs="Times New Roman"/>
                <w:kern w:val="2"/>
                <w:szCs w:val="21"/>
              </w:rPr>
            </w:pPr>
            <w:r>
              <w:rPr>
                <w:rFonts w:hint="eastAsia" w:ascii="宋体-PUA" w:hAnsi="宋体-PUA" w:eastAsia="宋体-PUA" w:cs="宋体-PUA"/>
                <w:kern w:val="2"/>
                <w:szCs w:val="21"/>
              </w:rPr>
              <w:t>2、主要承载立柱≥Φ114*3mm镀锌管材；主要承载横梁≥Φ89*3mm管材。</w:t>
            </w:r>
          </w:p>
          <w:p w14:paraId="359585F0">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 xml:space="preserve">3、器材能够同时满足2人使用。    </w:t>
            </w:r>
          </w:p>
        </w:tc>
        <w:tc>
          <w:tcPr>
            <w:tcW w:w="0" w:type="auto"/>
            <w:noWrap w:val="0"/>
            <w:vAlign w:val="center"/>
          </w:tcPr>
          <w:p w14:paraId="632B926B">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0C8297B8">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7795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B34538F">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7</w:t>
            </w:r>
          </w:p>
        </w:tc>
        <w:tc>
          <w:tcPr>
            <w:tcW w:w="0" w:type="auto"/>
            <w:noWrap w:val="0"/>
            <w:vAlign w:val="center"/>
          </w:tcPr>
          <w:p w14:paraId="2CB08A28">
            <w:pPr>
              <w:widowControl/>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1"/>
              </w:rPr>
              <w:t>三位扭腰</w:t>
            </w:r>
          </w:p>
        </w:tc>
        <w:tc>
          <w:tcPr>
            <w:tcW w:w="0" w:type="auto"/>
            <w:noWrap w:val="0"/>
            <w:vAlign w:val="top"/>
          </w:tcPr>
          <w:p w14:paraId="75957197">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Times New Roman" w:hAnsi="Times New Roman" w:eastAsia="宋体" w:cs="Times New Roman"/>
                <w:kern w:val="2"/>
                <w:szCs w:val="21"/>
              </w:rPr>
              <w:drawing>
                <wp:inline distT="0" distB="0" distL="114300" distR="114300">
                  <wp:extent cx="1617345" cy="1463040"/>
                  <wp:effectExtent l="0" t="0" r="1905" b="381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0"/>
                          <a:stretch>
                            <a:fillRect/>
                          </a:stretch>
                        </pic:blipFill>
                        <pic:spPr>
                          <a:xfrm>
                            <a:off x="0" y="0"/>
                            <a:ext cx="1617345" cy="1463040"/>
                          </a:xfrm>
                          <a:prstGeom prst="rect">
                            <a:avLst/>
                          </a:prstGeom>
                          <a:noFill/>
                          <a:ln>
                            <a:noFill/>
                          </a:ln>
                        </pic:spPr>
                      </pic:pic>
                    </a:graphicData>
                  </a:graphic>
                </wp:inline>
              </w:drawing>
            </w:r>
          </w:p>
        </w:tc>
        <w:tc>
          <w:tcPr>
            <w:tcW w:w="0" w:type="auto"/>
            <w:noWrap w:val="0"/>
            <w:vAlign w:val="center"/>
          </w:tcPr>
          <w:p w14:paraId="14AB17E3">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1、产品尺寸≥1300*1100*1200mm。</w:t>
            </w:r>
          </w:p>
          <w:p w14:paraId="63FF5078">
            <w:pPr>
              <w:widowControl/>
              <w:jc w:val="left"/>
              <w:rPr>
                <w:rFonts w:hint="default" w:ascii="Times New Roman" w:hAnsi="Times New Roman" w:eastAsia="宋体" w:cs="Times New Roman"/>
                <w:kern w:val="2"/>
                <w:szCs w:val="21"/>
              </w:rPr>
            </w:pPr>
            <w:r>
              <w:rPr>
                <w:rFonts w:hint="eastAsia" w:ascii="宋体-PUA" w:hAnsi="宋体-PUA" w:eastAsia="宋体-PUA" w:cs="宋体-PUA"/>
                <w:kern w:val="2"/>
                <w:szCs w:val="21"/>
              </w:rPr>
              <w:t>2、主要承载立柱≥Φ114*3mm镀锌管材；主要承载横梁≥Φ32*3mm管材。</w:t>
            </w:r>
          </w:p>
          <w:p w14:paraId="43990C23">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★3、器材能够同时满足3人使用。</w:t>
            </w:r>
          </w:p>
        </w:tc>
        <w:tc>
          <w:tcPr>
            <w:tcW w:w="0" w:type="auto"/>
            <w:noWrap w:val="0"/>
            <w:vAlign w:val="center"/>
          </w:tcPr>
          <w:p w14:paraId="14915CF3">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04F050FB">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5BE3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84D450C">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8</w:t>
            </w:r>
          </w:p>
        </w:tc>
        <w:tc>
          <w:tcPr>
            <w:tcW w:w="0" w:type="auto"/>
            <w:noWrap w:val="0"/>
            <w:vAlign w:val="center"/>
          </w:tcPr>
          <w:p w14:paraId="2DBF7A9D">
            <w:pPr>
              <w:widowControl/>
              <w:jc w:val="center"/>
              <w:rPr>
                <w:rFonts w:hint="eastAsia" w:ascii="宋体" w:hAnsi="Calibri" w:eastAsia="宋体" w:cs="宋体"/>
                <w:color w:val="000000"/>
                <w:kern w:val="0"/>
                <w:sz w:val="22"/>
                <w:szCs w:val="22"/>
                <w:lang w:val="en-US" w:eastAsia="zh-CN" w:bidi="ar-SA"/>
              </w:rPr>
            </w:pPr>
            <w:r>
              <w:rPr>
                <w:rFonts w:hint="eastAsia" w:ascii="宋体" w:hAnsi="宋体" w:eastAsia="宋体" w:cs="宋体"/>
                <w:color w:val="000000"/>
                <w:kern w:val="0"/>
                <w:sz w:val="22"/>
                <w:szCs w:val="21"/>
              </w:rPr>
              <w:t>腰背按摩器</w:t>
            </w:r>
          </w:p>
        </w:tc>
        <w:tc>
          <w:tcPr>
            <w:tcW w:w="0" w:type="auto"/>
            <w:noWrap w:val="0"/>
            <w:vAlign w:val="top"/>
          </w:tcPr>
          <w:p w14:paraId="548714E7">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Times New Roman" w:hAnsi="Times New Roman" w:eastAsia="宋体" w:cs="Times New Roman"/>
                <w:kern w:val="2"/>
                <w:szCs w:val="21"/>
              </w:rPr>
              <w:drawing>
                <wp:inline distT="0" distB="0" distL="114300" distR="114300">
                  <wp:extent cx="1310640" cy="1463040"/>
                  <wp:effectExtent l="0" t="0" r="3810" b="381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1"/>
                          <a:stretch>
                            <a:fillRect/>
                          </a:stretch>
                        </pic:blipFill>
                        <pic:spPr>
                          <a:xfrm>
                            <a:off x="0" y="0"/>
                            <a:ext cx="1310640" cy="1463040"/>
                          </a:xfrm>
                          <a:prstGeom prst="rect">
                            <a:avLst/>
                          </a:prstGeom>
                          <a:noFill/>
                          <a:ln>
                            <a:noFill/>
                          </a:ln>
                        </pic:spPr>
                      </pic:pic>
                    </a:graphicData>
                  </a:graphic>
                </wp:inline>
              </w:drawing>
            </w:r>
          </w:p>
        </w:tc>
        <w:tc>
          <w:tcPr>
            <w:tcW w:w="0" w:type="auto"/>
            <w:noWrap w:val="0"/>
            <w:vAlign w:val="center"/>
          </w:tcPr>
          <w:p w14:paraId="6EBAF637">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1、产品尺寸≥1000*700*1370mm。</w:t>
            </w:r>
          </w:p>
          <w:p w14:paraId="20831D36">
            <w:pPr>
              <w:widowControl/>
              <w:jc w:val="left"/>
              <w:rPr>
                <w:rFonts w:hint="default" w:ascii="Times New Roman" w:hAnsi="Times New Roman" w:eastAsia="宋体" w:cs="Times New Roman"/>
                <w:kern w:val="2"/>
                <w:szCs w:val="21"/>
              </w:rPr>
            </w:pPr>
            <w:r>
              <w:rPr>
                <w:rFonts w:hint="eastAsia" w:ascii="宋体-PUA" w:hAnsi="宋体-PUA" w:eastAsia="宋体-PUA" w:cs="宋体-PUA"/>
                <w:kern w:val="2"/>
                <w:szCs w:val="21"/>
              </w:rPr>
              <w:t>2、主要承载立柱≥Φ114*3mm镀锌管材；主要承载横梁≥Φ48*3mm管材。</w:t>
            </w:r>
          </w:p>
          <w:p w14:paraId="45E862D4">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★3、器材可两人同时使用坐式腰背按摩与立式腰背按摩。</w:t>
            </w:r>
          </w:p>
        </w:tc>
        <w:tc>
          <w:tcPr>
            <w:tcW w:w="0" w:type="auto"/>
            <w:noWrap w:val="0"/>
            <w:vAlign w:val="center"/>
          </w:tcPr>
          <w:p w14:paraId="72EA7831">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31EAE11E">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7112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2F09FEB">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9</w:t>
            </w:r>
          </w:p>
        </w:tc>
        <w:tc>
          <w:tcPr>
            <w:tcW w:w="0" w:type="auto"/>
            <w:noWrap w:val="0"/>
            <w:vAlign w:val="center"/>
          </w:tcPr>
          <w:p w14:paraId="1BA4ECBC">
            <w:pPr>
              <w:widowControl/>
              <w:jc w:val="center"/>
              <w:rPr>
                <w:rFonts w:hint="eastAsia" w:ascii="宋体" w:hAnsi="Calibri" w:eastAsia="宋体" w:cs="宋体"/>
                <w:color w:val="000000"/>
                <w:kern w:val="0"/>
                <w:sz w:val="22"/>
                <w:szCs w:val="22"/>
                <w:lang w:val="en-US" w:eastAsia="zh-CN" w:bidi="ar-SA"/>
              </w:rPr>
            </w:pPr>
            <w:r>
              <w:rPr>
                <w:rFonts w:hint="eastAsia" w:ascii="宋体" w:hAnsi="Times New Roman" w:eastAsia="宋体" w:cs="宋体"/>
                <w:color w:val="000000"/>
                <w:kern w:val="0"/>
                <w:sz w:val="22"/>
                <w:szCs w:val="21"/>
              </w:rPr>
              <w:t>太极揉推器</w:t>
            </w:r>
          </w:p>
        </w:tc>
        <w:tc>
          <w:tcPr>
            <w:tcW w:w="0" w:type="auto"/>
            <w:noWrap w:val="0"/>
            <w:vAlign w:val="top"/>
          </w:tcPr>
          <w:p w14:paraId="5CF91160">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Times New Roman" w:hAnsi="Times New Roman" w:eastAsia="宋体" w:cs="Times New Roman"/>
                <w:kern w:val="2"/>
                <w:szCs w:val="21"/>
              </w:rPr>
              <w:drawing>
                <wp:inline distT="0" distB="0" distL="114300" distR="114300">
                  <wp:extent cx="1709420" cy="1405890"/>
                  <wp:effectExtent l="0" t="0" r="5080" b="3810"/>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2"/>
                          <a:stretch>
                            <a:fillRect/>
                          </a:stretch>
                        </pic:blipFill>
                        <pic:spPr>
                          <a:xfrm>
                            <a:off x="0" y="0"/>
                            <a:ext cx="1709420" cy="1405890"/>
                          </a:xfrm>
                          <a:prstGeom prst="rect">
                            <a:avLst/>
                          </a:prstGeom>
                          <a:noFill/>
                          <a:ln>
                            <a:noFill/>
                          </a:ln>
                        </pic:spPr>
                      </pic:pic>
                    </a:graphicData>
                  </a:graphic>
                </wp:inline>
              </w:drawing>
            </w:r>
          </w:p>
        </w:tc>
        <w:tc>
          <w:tcPr>
            <w:tcW w:w="0" w:type="auto"/>
            <w:noWrap w:val="0"/>
            <w:vAlign w:val="center"/>
          </w:tcPr>
          <w:p w14:paraId="06D7282A">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1、产品尺寸≥1050*1050*1270mm。</w:t>
            </w:r>
          </w:p>
          <w:p w14:paraId="5CB7503D">
            <w:pPr>
              <w:widowControl/>
              <w:jc w:val="left"/>
              <w:rPr>
                <w:rFonts w:hint="default" w:ascii="Times New Roman" w:hAnsi="Times New Roman" w:eastAsia="宋体" w:cs="Times New Roman"/>
                <w:kern w:val="2"/>
                <w:szCs w:val="21"/>
              </w:rPr>
            </w:pPr>
            <w:r>
              <w:rPr>
                <w:rFonts w:hint="eastAsia" w:ascii="宋体-PUA" w:hAnsi="宋体-PUA" w:eastAsia="宋体-PUA" w:cs="宋体-PUA"/>
                <w:kern w:val="2"/>
                <w:szCs w:val="21"/>
              </w:rPr>
              <w:t>2、主要承载立柱≥Φ114*3mm镀锌管材；主要承载横梁≥Φ60*3mm管材。</w:t>
            </w:r>
          </w:p>
          <w:p w14:paraId="626C4F66">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Cs w:val="21"/>
              </w:rPr>
              <w:t>3、器材能够同时满足2人使用。</w:t>
            </w:r>
          </w:p>
        </w:tc>
        <w:tc>
          <w:tcPr>
            <w:tcW w:w="0" w:type="auto"/>
            <w:noWrap w:val="0"/>
            <w:vAlign w:val="center"/>
          </w:tcPr>
          <w:p w14:paraId="07DEA9B1">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noWrap w:val="0"/>
            <w:vAlign w:val="center"/>
          </w:tcPr>
          <w:p w14:paraId="57CED858">
            <w:pPr>
              <w:jc w:val="center"/>
              <w:rPr>
                <w:rFonts w:hint="default"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r w14:paraId="72EB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5843B62">
            <w:pPr>
              <w:widowControl w:val="0"/>
              <w:spacing w:line="360" w:lineRule="exact"/>
              <w:jc w:val="center"/>
              <w:rPr>
                <w:rFonts w:hint="default"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10</w:t>
            </w:r>
          </w:p>
        </w:tc>
        <w:tc>
          <w:tcPr>
            <w:tcW w:w="0" w:type="auto"/>
            <w:noWrap w:val="0"/>
            <w:vAlign w:val="center"/>
          </w:tcPr>
          <w:p w14:paraId="289A97CB">
            <w:pPr>
              <w:widowControl/>
              <w:jc w:val="center"/>
              <w:rPr>
                <w:rFonts w:hint="eastAsia" w:ascii="宋体" w:hAnsi="Times New Roman" w:eastAsia="宋体" w:cs="宋体"/>
                <w:color w:val="000000"/>
                <w:kern w:val="0"/>
                <w:sz w:val="22"/>
                <w:szCs w:val="21"/>
                <w:lang w:val="en-US" w:eastAsia="zh-CN"/>
              </w:rPr>
            </w:pPr>
            <w:r>
              <w:rPr>
                <w:rFonts w:hint="eastAsia" w:ascii="宋体" w:hAnsi="Times New Roman" w:eastAsia="宋体" w:cs="宋体"/>
                <w:color w:val="000000"/>
                <w:kern w:val="0"/>
                <w:sz w:val="22"/>
                <w:szCs w:val="21"/>
                <w:lang w:val="en-US" w:eastAsia="zh-CN"/>
              </w:rPr>
              <w:t>棋牌桌</w:t>
            </w:r>
          </w:p>
        </w:tc>
        <w:tc>
          <w:tcPr>
            <w:tcW w:w="0" w:type="auto"/>
            <w:noWrap w:val="0"/>
            <w:vAlign w:val="top"/>
          </w:tcPr>
          <w:p w14:paraId="6AA06516">
            <w:pPr>
              <w:widowControl/>
              <w:spacing w:line="360" w:lineRule="auto"/>
              <w:ind w:left="-105" w:leftChars="-50" w:right="-105" w:rightChars="-50"/>
              <w:jc w:val="center"/>
              <w:outlineLvl w:val="0"/>
              <w:rPr>
                <w:rFonts w:hint="eastAsia" w:ascii="Times New Roman" w:hAnsi="Times New Roman" w:eastAsia="宋体" w:cs="Times New Roman"/>
                <w:kern w:val="2"/>
                <w:szCs w:val="21"/>
                <w:lang w:eastAsia="zh-CN"/>
              </w:rPr>
            </w:pPr>
            <w:r>
              <w:rPr>
                <w:rFonts w:hint="eastAsia" w:ascii="Times New Roman" w:hAnsi="Times New Roman" w:eastAsia="宋体" w:cs="Times New Roman"/>
                <w:kern w:val="2"/>
                <w:szCs w:val="21"/>
                <w:lang w:eastAsia="zh-CN"/>
              </w:rPr>
              <w:drawing>
                <wp:inline distT="0" distB="0" distL="114300" distR="114300">
                  <wp:extent cx="1616710" cy="1271270"/>
                  <wp:effectExtent l="0" t="0" r="2540" b="5080"/>
                  <wp:docPr id="14" name="图片 14" descr="3f34a81b-53e7-41f7-aab6-56aacea8f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f34a81b-53e7-41f7-aab6-56aacea8f374"/>
                          <pic:cNvPicPr>
                            <a:picLocks noChangeAspect="1"/>
                          </pic:cNvPicPr>
                        </pic:nvPicPr>
                        <pic:blipFill>
                          <a:blip r:embed="rId13"/>
                          <a:stretch>
                            <a:fillRect/>
                          </a:stretch>
                        </pic:blipFill>
                        <pic:spPr>
                          <a:xfrm>
                            <a:off x="0" y="0"/>
                            <a:ext cx="1616710" cy="1271270"/>
                          </a:xfrm>
                          <a:prstGeom prst="rect">
                            <a:avLst/>
                          </a:prstGeom>
                        </pic:spPr>
                      </pic:pic>
                    </a:graphicData>
                  </a:graphic>
                </wp:inline>
              </w:drawing>
            </w:r>
          </w:p>
        </w:tc>
        <w:tc>
          <w:tcPr>
            <w:tcW w:w="0" w:type="auto"/>
            <w:noWrap w:val="0"/>
            <w:vAlign w:val="center"/>
          </w:tcPr>
          <w:p w14:paraId="0842B44B">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1、产品尺寸≥1</w:t>
            </w:r>
            <w:r>
              <w:rPr>
                <w:rFonts w:hint="eastAsia" w:ascii="宋体-PUA" w:hAnsi="宋体-PUA" w:eastAsia="宋体-PUA" w:cs="宋体-PUA"/>
                <w:kern w:val="2"/>
                <w:szCs w:val="21"/>
                <w:lang w:val="en-US" w:eastAsia="zh-CN"/>
              </w:rPr>
              <w:t>80</w:t>
            </w:r>
            <w:r>
              <w:rPr>
                <w:rFonts w:hint="eastAsia" w:ascii="宋体-PUA" w:hAnsi="宋体-PUA" w:eastAsia="宋体-PUA" w:cs="宋体-PUA"/>
                <w:kern w:val="2"/>
                <w:szCs w:val="21"/>
              </w:rPr>
              <w:t>0*1</w:t>
            </w:r>
            <w:r>
              <w:rPr>
                <w:rFonts w:hint="eastAsia" w:ascii="宋体-PUA" w:hAnsi="宋体-PUA" w:eastAsia="宋体-PUA" w:cs="宋体-PUA"/>
                <w:kern w:val="2"/>
                <w:szCs w:val="21"/>
                <w:lang w:val="en-US" w:eastAsia="zh-CN"/>
              </w:rPr>
              <w:t>80</w:t>
            </w:r>
            <w:r>
              <w:rPr>
                <w:rFonts w:hint="eastAsia" w:ascii="宋体-PUA" w:hAnsi="宋体-PUA" w:eastAsia="宋体-PUA" w:cs="宋体-PUA"/>
                <w:kern w:val="2"/>
                <w:szCs w:val="21"/>
              </w:rPr>
              <w:t>0*</w:t>
            </w:r>
            <w:r>
              <w:rPr>
                <w:rFonts w:hint="eastAsia" w:ascii="宋体-PUA" w:hAnsi="宋体-PUA" w:eastAsia="宋体-PUA" w:cs="宋体-PUA"/>
                <w:kern w:val="2"/>
                <w:szCs w:val="21"/>
                <w:lang w:val="en-US" w:eastAsia="zh-CN"/>
              </w:rPr>
              <w:t>60</w:t>
            </w:r>
            <w:r>
              <w:rPr>
                <w:rFonts w:hint="eastAsia" w:ascii="宋体-PUA" w:hAnsi="宋体-PUA" w:eastAsia="宋体-PUA" w:cs="宋体-PUA"/>
                <w:kern w:val="2"/>
                <w:szCs w:val="21"/>
              </w:rPr>
              <w:t>0mm。</w:t>
            </w:r>
          </w:p>
          <w:p w14:paraId="4F1278BF">
            <w:pPr>
              <w:widowControl/>
              <w:jc w:val="left"/>
              <w:rPr>
                <w:rFonts w:hint="eastAsia" w:ascii="宋体-PUA" w:hAnsi="宋体-PUA" w:eastAsia="宋体-PUA" w:cs="宋体-PUA"/>
                <w:kern w:val="2"/>
                <w:szCs w:val="21"/>
              </w:rPr>
            </w:pPr>
            <w:r>
              <w:rPr>
                <w:rFonts w:hint="eastAsia" w:ascii="宋体-PUA" w:hAnsi="宋体-PUA" w:eastAsia="宋体-PUA" w:cs="宋体-PUA"/>
                <w:kern w:val="2"/>
                <w:szCs w:val="21"/>
              </w:rPr>
              <w:t>2、主要承载立柱≥Φ114*3mm镀锌管材；主要承载横梁≥</w:t>
            </w:r>
            <w:r>
              <w:rPr>
                <w:rFonts w:hint="eastAsia" w:ascii="宋体-PUA" w:hAnsi="宋体-PUA" w:eastAsia="宋体-PUA" w:cs="宋体-PUA"/>
                <w:kern w:val="2"/>
                <w:szCs w:val="21"/>
                <w:lang w:val="en-US" w:eastAsia="zh-CN"/>
              </w:rPr>
              <w:t>2</w:t>
            </w:r>
            <w:r>
              <w:rPr>
                <w:rFonts w:hint="eastAsia" w:ascii="宋体-PUA" w:hAnsi="宋体-PUA" w:eastAsia="宋体-PUA" w:cs="宋体-PUA"/>
                <w:kern w:val="2"/>
                <w:szCs w:val="21"/>
              </w:rPr>
              <w:t>0*</w:t>
            </w:r>
            <w:r>
              <w:rPr>
                <w:rFonts w:hint="eastAsia" w:ascii="宋体-PUA" w:hAnsi="宋体-PUA" w:eastAsia="宋体-PUA" w:cs="宋体-PUA"/>
                <w:kern w:val="2"/>
                <w:szCs w:val="21"/>
                <w:lang w:val="en-US" w:eastAsia="zh-CN"/>
              </w:rPr>
              <w:t>40*</w:t>
            </w:r>
            <w:r>
              <w:rPr>
                <w:rFonts w:hint="eastAsia" w:ascii="宋体-PUA" w:hAnsi="宋体-PUA" w:eastAsia="宋体-PUA" w:cs="宋体-PUA"/>
                <w:kern w:val="2"/>
                <w:szCs w:val="21"/>
              </w:rPr>
              <w:t>3mm管材。</w:t>
            </w:r>
          </w:p>
          <w:p w14:paraId="51673FE5">
            <w:pPr>
              <w:widowControl/>
              <w:jc w:val="left"/>
              <w:rPr>
                <w:rFonts w:hint="default" w:ascii="Calibri" w:hAnsi="Calibri" w:eastAsia="宋体-PUA" w:cs="Times New Roman"/>
                <w:kern w:val="0"/>
                <w:szCs w:val="22"/>
                <w:lang w:val="en-US" w:eastAsia="zh-CN"/>
              </w:rPr>
            </w:pPr>
            <w:r>
              <w:rPr>
                <w:rFonts w:hint="eastAsia" w:ascii="宋体-PUA" w:hAnsi="宋体-PUA" w:eastAsia="宋体-PUA" w:cs="宋体-PUA"/>
                <w:kern w:val="2"/>
                <w:szCs w:val="21"/>
                <w:lang w:val="en-US" w:eastAsia="zh-CN"/>
              </w:rPr>
              <w:t>3、4个座椅独立安装。</w:t>
            </w:r>
          </w:p>
        </w:tc>
        <w:tc>
          <w:tcPr>
            <w:tcW w:w="0" w:type="auto"/>
            <w:shd w:val="clear" w:color="auto" w:fill="auto"/>
            <w:noWrap w:val="0"/>
            <w:vAlign w:val="center"/>
          </w:tcPr>
          <w:p w14:paraId="0A040AE7">
            <w:pPr>
              <w:jc w:val="center"/>
              <w:rPr>
                <w:rFonts w:hint="eastAsia" w:ascii="Calibri" w:hAnsi="Calibri" w:eastAsia="黑体" w:cs="黑体"/>
                <w:b/>
                <w:kern w:val="2"/>
                <w:sz w:val="21"/>
                <w:szCs w:val="22"/>
                <w:lang w:val="en-US" w:eastAsia="zh-CN" w:bidi="ar-SA"/>
              </w:rPr>
            </w:pPr>
            <w:r>
              <w:rPr>
                <w:rFonts w:hint="eastAsia" w:ascii="黑体" w:hAnsi="黑体" w:eastAsia="黑体" w:cs="黑体"/>
                <w:b/>
                <w:kern w:val="2"/>
                <w:sz w:val="21"/>
                <w:szCs w:val="22"/>
                <w:lang w:val="en-US" w:eastAsia="zh-CN" w:bidi="ar-SA"/>
              </w:rPr>
              <w:t>件</w:t>
            </w:r>
          </w:p>
        </w:tc>
        <w:tc>
          <w:tcPr>
            <w:tcW w:w="0" w:type="auto"/>
            <w:shd w:val="clear" w:color="auto" w:fill="auto"/>
            <w:noWrap w:val="0"/>
            <w:vAlign w:val="center"/>
          </w:tcPr>
          <w:p w14:paraId="027542D8">
            <w:pPr>
              <w:jc w:val="center"/>
              <w:rPr>
                <w:rFonts w:hint="eastAsia" w:ascii="Calibri" w:hAnsi="Calibri" w:eastAsia="宋体" w:cs="黑体"/>
                <w:b/>
                <w:kern w:val="2"/>
                <w:sz w:val="21"/>
                <w:szCs w:val="22"/>
                <w:lang w:val="en-US" w:eastAsia="zh-CN" w:bidi="ar-SA"/>
              </w:rPr>
            </w:pPr>
            <w:r>
              <w:rPr>
                <w:rFonts w:hint="eastAsia" w:ascii="Calibri" w:hAnsi="Calibri" w:eastAsia="宋体" w:cs="黑体"/>
                <w:b/>
                <w:kern w:val="2"/>
                <w:sz w:val="21"/>
                <w:szCs w:val="22"/>
                <w:lang w:val="en-US" w:eastAsia="zh-CN" w:bidi="ar-SA"/>
              </w:rPr>
              <w:t>80</w:t>
            </w:r>
          </w:p>
        </w:tc>
      </w:tr>
    </w:tbl>
    <w:p w14:paraId="2D23BE7E">
      <w:pPr>
        <w:widowControl w:val="0"/>
        <w:jc w:val="both"/>
        <w:rPr>
          <w:rFonts w:hint="default" w:ascii="楷体_GB2312" w:hAnsi="Arial" w:eastAsia="楷体_GB2312" w:cs="Times New Roman"/>
          <w:sz w:val="28"/>
          <w:szCs w:val="28"/>
          <w:lang w:val="en-US" w:eastAsia="zh-CN" w:bidi="ar-SA"/>
        </w:rPr>
      </w:pPr>
    </w:p>
    <w:p w14:paraId="6DEEBC52">
      <w:pPr>
        <w:widowControl/>
        <w:jc w:val="left"/>
        <w:rPr>
          <w:rFonts w:hint="eastAsia" w:ascii="宋体" w:hAnsi="宋体" w:eastAsia="宋体" w:cs="宋体"/>
          <w:b/>
          <w:bCs/>
          <w:color w:val="auto"/>
          <w:kern w:val="0"/>
          <w:sz w:val="24"/>
          <w:szCs w:val="22"/>
          <w:highlight w:val="none"/>
          <w:lang w:val="en-US" w:eastAsia="zh-CN" w:bidi="ar-SA"/>
        </w:rPr>
      </w:pPr>
      <w:r>
        <w:rPr>
          <w:rFonts w:hint="eastAsia" w:ascii="宋体" w:hAnsi="宋体" w:eastAsia="宋体" w:cs="宋体"/>
          <w:b/>
          <w:bCs/>
          <w:color w:val="auto"/>
          <w:kern w:val="0"/>
          <w:sz w:val="24"/>
          <w:szCs w:val="22"/>
          <w:highlight w:val="none"/>
          <w:lang w:val="en-US" w:eastAsia="zh-CN" w:bidi="ar-SA"/>
        </w:rPr>
        <w:t>分包二：</w:t>
      </w:r>
    </w:p>
    <w:p w14:paraId="5BAEE47A">
      <w:pPr>
        <w:widowControl w:val="0"/>
        <w:jc w:val="both"/>
        <w:rPr>
          <w:rFonts w:hint="eastAsia" w:ascii="宋体" w:hAnsi="宋体" w:eastAsia="宋体" w:cs="宋体"/>
          <w:b/>
          <w:bCs/>
          <w:color w:val="auto"/>
          <w:sz w:val="24"/>
          <w:szCs w:val="22"/>
          <w:highlight w:val="none"/>
          <w:lang w:val="en-US" w:eastAsia="zh-CN" w:bidi="ar-SA"/>
        </w:rPr>
      </w:pPr>
    </w:p>
    <w:tbl>
      <w:tblPr>
        <w:tblStyle w:val="2"/>
        <w:tblW w:w="51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
        <w:gridCol w:w="428"/>
        <w:gridCol w:w="2465"/>
        <w:gridCol w:w="4657"/>
        <w:gridCol w:w="403"/>
        <w:gridCol w:w="398"/>
      </w:tblGrid>
      <w:tr w14:paraId="77CF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top"/>
          </w:tcPr>
          <w:p w14:paraId="64652777">
            <w:pPr>
              <w:widowControl/>
              <w:adjustRightInd w:val="0"/>
              <w:snapToGrid w:val="0"/>
              <w:spacing w:line="360" w:lineRule="auto"/>
              <w:jc w:val="left"/>
              <w:rPr>
                <w:rFonts w:hint="eastAsia" w:ascii="宋体" w:hAnsi="宋体" w:eastAsia="宋体" w:cs="Times New Roman"/>
                <w:b/>
                <w:kern w:val="0"/>
                <w:sz w:val="24"/>
                <w:szCs w:val="24"/>
                <w:lang w:val="en-US" w:eastAsia="zh-CN" w:bidi="ar-SA"/>
              </w:rPr>
            </w:pPr>
            <w:r>
              <w:rPr>
                <w:rFonts w:hint="eastAsia" w:ascii="宋体" w:hAnsi="宋体" w:eastAsia="宋体" w:cs="Times New Roman"/>
                <w:b/>
                <w:kern w:val="0"/>
                <w:sz w:val="24"/>
                <w:szCs w:val="24"/>
                <w:lang w:val="en-US" w:eastAsia="zh-CN" w:bidi="ar-SA"/>
              </w:rPr>
              <w:t>（一）通用要求</w:t>
            </w:r>
          </w:p>
        </w:tc>
      </w:tr>
      <w:tr w14:paraId="2AFF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center"/>
          </w:tcPr>
          <w:p w14:paraId="5E323765">
            <w:pPr>
              <w:widowControl w:val="0"/>
              <w:numPr>
                <w:ilvl w:val="0"/>
                <w:numId w:val="1"/>
              </w:numPr>
              <w:tabs>
                <w:tab w:val="left" w:pos="522"/>
              </w:tabs>
              <w:spacing w:line="370" w:lineRule="exact"/>
              <w:jc w:val="both"/>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器材涂层、橡胶、塑料件有害物质限量以及器材闭合开口、不完全闭合开口、地埋式器材地埋深度、器材安装等都必须符合GB 19272-2011《室外健身器材的安全通用要求》的要求，并提供有效证明文件（具有资质的检验机构的检验报告）；</w:t>
            </w:r>
          </w:p>
          <w:p w14:paraId="4E49C844">
            <w:pPr>
              <w:widowControl w:val="0"/>
              <w:numPr>
                <w:ilvl w:val="0"/>
                <w:numId w:val="1"/>
              </w:numPr>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螺钉、螺母应防锈、防松和防盗；并应采取措施对螺栓、螺纹永久的覆盖。覆盖件在其安装面以上直角部分的高度小于3mm；覆盖件直线部分超过3mm的，其突出部分外角应不小于105°或不应有易钩挂形状；器材不允许存在和使用功能无关的凸出物，使用者或第三者易接触的零部件的其他所有棱边应予以圆滑过渡或加以防护；</w:t>
            </w:r>
          </w:p>
          <w:p w14:paraId="01A37D56">
            <w:pPr>
              <w:widowControl w:val="0"/>
              <w:numPr>
                <w:ilvl w:val="0"/>
                <w:numId w:val="1"/>
              </w:numPr>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钢铁制件（不锈钢除外）表面，应经过酸洗、磷化处理后或经过表面热度锌处理后，进行表面喷塑处理，涂层厚度不小于0.7mm。</w:t>
            </w:r>
          </w:p>
          <w:p w14:paraId="22334163">
            <w:pPr>
              <w:widowControl w:val="0"/>
              <w:tabs>
                <w:tab w:val="left" w:pos="522"/>
              </w:tabs>
              <w:spacing w:line="370" w:lineRule="exact"/>
              <w:jc w:val="both"/>
              <w:rPr>
                <w:rFonts w:hint="eastAsia" w:ascii="宋体-PUA" w:hAnsi="宋体-PUA" w:eastAsia="宋体-PUA" w:cs="宋体-PUA"/>
                <w:b/>
                <w:kern w:val="2"/>
                <w:sz w:val="21"/>
                <w:szCs w:val="21"/>
                <w:lang w:val="en-US" w:eastAsia="zh-CN" w:bidi="ar-SA"/>
              </w:rPr>
            </w:pPr>
            <w:r>
              <w:rPr>
                <w:rFonts w:hint="eastAsia" w:ascii="宋体-PUA" w:hAnsi="宋体-PUA" w:eastAsia="宋体-PUA" w:cs="宋体-PUA"/>
                <w:b/>
                <w:kern w:val="2"/>
                <w:sz w:val="21"/>
                <w:szCs w:val="21"/>
                <w:lang w:val="en-US" w:eastAsia="zh-CN" w:bidi="ar-SA"/>
              </w:rPr>
              <w:t>★4、为保证全民健身器材统一、管理规范化，投标供应商所投器材的品牌必须要求一致，不得出现多个不同品牌产品，每一件都必须单独符合GB19272-2011《室外健身器材的安全通用要求》的规定要求，并提供国家体育用品质量监督检验中心出具的检验报告以及国家体育总局认可的权威检测机构相关证书，否则作为无效投标处理。</w:t>
            </w:r>
          </w:p>
          <w:p w14:paraId="5B7F447A">
            <w:pPr>
              <w:widowControl w:val="0"/>
              <w:tabs>
                <w:tab w:val="left" w:pos="522"/>
              </w:tabs>
              <w:spacing w:line="370" w:lineRule="exact"/>
              <w:jc w:val="both"/>
              <w:rPr>
                <w:rFonts w:hint="eastAsia" w:ascii="Calibri" w:hAnsi="Calibri" w:eastAsia="宋体" w:cs="Times New Roman"/>
                <w:kern w:val="2"/>
                <w:sz w:val="21"/>
                <w:szCs w:val="22"/>
                <w:lang w:val="en-US" w:eastAsia="zh-CN" w:bidi="ar-SA"/>
              </w:rPr>
            </w:pPr>
            <w:r>
              <w:rPr>
                <w:rFonts w:hint="eastAsia" w:ascii="宋体-PUA" w:hAnsi="宋体-PUA" w:eastAsia="宋体-PUA" w:cs="宋体-PUA"/>
                <w:kern w:val="2"/>
                <w:sz w:val="21"/>
                <w:szCs w:val="21"/>
              </w:rPr>
              <w:t>★</w:t>
            </w:r>
            <w:r>
              <w:rPr>
                <w:rFonts w:hint="eastAsia" w:ascii="宋体-PUA" w:hAnsi="宋体-PUA" w:eastAsia="宋体-PUA" w:cs="宋体-PUA"/>
                <w:b/>
                <w:kern w:val="2"/>
                <w:sz w:val="21"/>
                <w:szCs w:val="21"/>
                <w:lang w:val="en-US" w:eastAsia="zh-CN" w:bidi="ar-SA"/>
              </w:rPr>
              <w:t>5、所有器材安全使用寿命不低于8年，供应商在出厂前在器材铭牌上方单独制作报修二维码铭牌，器材铭牌、报修铭牌2项内容需经采购方同意后制作。</w:t>
            </w:r>
          </w:p>
        </w:tc>
      </w:tr>
      <w:tr w14:paraId="6EFA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center"/>
          </w:tcPr>
          <w:p w14:paraId="2A14EF85">
            <w:pPr>
              <w:jc w:val="both"/>
              <w:rPr>
                <w:rFonts w:hint="default" w:ascii="Calibri" w:hAnsi="Calibri" w:eastAsia="黑体" w:cs="Times New Roman"/>
                <w:b w:val="0"/>
                <w:kern w:val="2"/>
                <w:sz w:val="21"/>
                <w:szCs w:val="22"/>
                <w:lang w:val="en-US" w:eastAsia="zh-CN" w:bidi="ar-SA"/>
              </w:rPr>
            </w:pPr>
            <w:r>
              <w:rPr>
                <w:rFonts w:hint="eastAsia" w:ascii="宋体" w:hAnsi="宋体" w:eastAsia="Times New Roman" w:cs="Times New Roman"/>
                <w:b/>
                <w:sz w:val="24"/>
                <w:szCs w:val="24"/>
                <w:lang w:val="en-US" w:eastAsia="zh-CN" w:bidi="ar-SA"/>
              </w:rPr>
              <w:t>（二）参数要求（图片为网上下载，仅作样式提示，具体要求以产品参数为准）</w:t>
            </w:r>
          </w:p>
        </w:tc>
      </w:tr>
      <w:tr w14:paraId="54BF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9" w:type="pct"/>
            <w:noWrap w:val="0"/>
            <w:vAlign w:val="top"/>
          </w:tcPr>
          <w:p w14:paraId="7BCE3BD6">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2</w:t>
            </w:r>
          </w:p>
        </w:tc>
        <w:tc>
          <w:tcPr>
            <w:tcW w:w="245" w:type="pct"/>
            <w:noWrap w:val="0"/>
            <w:vAlign w:val="center"/>
          </w:tcPr>
          <w:p w14:paraId="337FA49D">
            <w:pPr>
              <w:widowControl/>
              <w:jc w:val="center"/>
              <w:rPr>
                <w:rFonts w:hint="default" w:ascii="宋体" w:hAnsi="Calibri"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rPr>
              <w:t>室外圆管地埋式篮球架</w:t>
            </w:r>
          </w:p>
        </w:tc>
        <w:tc>
          <w:tcPr>
            <w:tcW w:w="1407" w:type="pct"/>
            <w:noWrap w:val="0"/>
            <w:vAlign w:val="top"/>
          </w:tcPr>
          <w:p w14:paraId="2EDDABD6">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Calibri" w:hAnsi="Calibri" w:eastAsia="宋体" w:cs="Times New Roman"/>
                <w:kern w:val="2"/>
                <w:szCs w:val="22"/>
              </w:rPr>
              <w:drawing>
                <wp:inline distT="0" distB="0" distL="114300" distR="114300">
                  <wp:extent cx="1525270" cy="2155825"/>
                  <wp:effectExtent l="0" t="0" r="17780" b="1587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4"/>
                          <a:stretch>
                            <a:fillRect/>
                          </a:stretch>
                        </pic:blipFill>
                        <pic:spPr>
                          <a:xfrm>
                            <a:off x="0" y="0"/>
                            <a:ext cx="1525270" cy="2155825"/>
                          </a:xfrm>
                          <a:prstGeom prst="rect">
                            <a:avLst/>
                          </a:prstGeom>
                          <a:noFill/>
                          <a:ln>
                            <a:noFill/>
                          </a:ln>
                        </pic:spPr>
                      </pic:pic>
                    </a:graphicData>
                  </a:graphic>
                </wp:inline>
              </w:drawing>
            </w:r>
          </w:p>
        </w:tc>
        <w:tc>
          <w:tcPr>
            <w:tcW w:w="2659" w:type="pct"/>
            <w:noWrap w:val="0"/>
            <w:vAlign w:val="center"/>
          </w:tcPr>
          <w:p w14:paraId="0D4A2E77">
            <w:pPr>
              <w:widowControl/>
              <w:jc w:val="left"/>
              <w:rPr>
                <w:rFonts w:hint="eastAsia" w:ascii="宋体-PUA" w:hAnsi="宋体-PUA" w:eastAsia="宋体-PUA" w:cs="宋体-PUA"/>
                <w:kern w:val="2"/>
                <w:sz w:val="21"/>
                <w:szCs w:val="21"/>
                <w:lang w:eastAsia="zh-CN"/>
              </w:rPr>
            </w:pPr>
            <w:r>
              <w:rPr>
                <w:rFonts w:hint="eastAsia" w:ascii="宋体-PUA" w:hAnsi="宋体-PUA" w:eastAsia="宋体-PUA" w:cs="宋体-PUA"/>
                <w:kern w:val="2"/>
                <w:szCs w:val="21"/>
                <w:lang w:val="en-US" w:eastAsia="zh-CN"/>
              </w:rPr>
              <w:t>1、</w:t>
            </w:r>
            <w:r>
              <w:rPr>
                <w:rFonts w:hint="eastAsia" w:ascii="宋体-PUA" w:hAnsi="宋体-PUA" w:eastAsia="宋体-PUA" w:cs="宋体-PUA"/>
                <w:kern w:val="2"/>
                <w:sz w:val="21"/>
                <w:szCs w:val="21"/>
              </w:rPr>
              <w:t xml:space="preserve">外形尺寸（长×宽×高） </w:t>
            </w:r>
            <w:r>
              <w:rPr>
                <w:rFonts w:hint="eastAsia" w:ascii="宋体-PUA" w:hAnsi="宋体-PUA" w:eastAsia="宋体-PUA" w:cs="宋体-PUA"/>
                <w:kern w:val="2"/>
                <w:sz w:val="21"/>
                <w:szCs w:val="21"/>
                <w:lang w:val="en-US" w:eastAsia="zh-CN"/>
              </w:rPr>
              <w:t>≥</w:t>
            </w:r>
            <w:r>
              <w:rPr>
                <w:rFonts w:hint="eastAsia" w:ascii="宋体-PUA" w:hAnsi="宋体-PUA" w:eastAsia="宋体-PUA" w:cs="宋体-PUA"/>
                <w:kern w:val="2"/>
                <w:sz w:val="21"/>
                <w:szCs w:val="21"/>
              </w:rPr>
              <w:t>2585×1800×3950mm</w:t>
            </w:r>
            <w:r>
              <w:rPr>
                <w:rFonts w:hint="eastAsia" w:ascii="宋体-PUA" w:hAnsi="宋体-PUA" w:eastAsia="宋体-PUA" w:cs="宋体-PUA"/>
                <w:kern w:val="2"/>
                <w:sz w:val="21"/>
                <w:szCs w:val="21"/>
                <w:lang w:eastAsia="zh-CN"/>
              </w:rPr>
              <w:t>。</w:t>
            </w:r>
          </w:p>
          <w:p w14:paraId="0EEE79E4">
            <w:pPr>
              <w:widowControl/>
              <w:jc w:val="left"/>
              <w:rPr>
                <w:rFonts w:hint="eastAsia" w:ascii="宋体-PUA" w:hAnsi="宋体-PUA" w:eastAsia="宋体-PUA" w:cs="宋体-PUA"/>
                <w:kern w:val="2"/>
                <w:sz w:val="21"/>
                <w:szCs w:val="21"/>
                <w:lang w:eastAsia="zh-CN"/>
              </w:rPr>
            </w:pPr>
            <w:r>
              <w:rPr>
                <w:rFonts w:hint="eastAsia" w:ascii="宋体-PUA" w:hAnsi="宋体-PUA" w:eastAsia="宋体-PUA" w:cs="宋体-PUA"/>
                <w:kern w:val="2"/>
                <w:sz w:val="21"/>
                <w:szCs w:val="21"/>
                <w:lang w:val="en-US" w:eastAsia="zh-CN"/>
              </w:rPr>
              <w:t>2、</w:t>
            </w:r>
            <w:r>
              <w:rPr>
                <w:rFonts w:hint="eastAsia" w:ascii="宋体-PUA" w:hAnsi="宋体-PUA" w:eastAsia="宋体-PUA" w:cs="宋体-PUA"/>
                <w:kern w:val="2"/>
                <w:sz w:val="21"/>
                <w:szCs w:val="21"/>
              </w:rPr>
              <w:t>主要承载立柱</w:t>
            </w:r>
            <w:r>
              <w:rPr>
                <w:rFonts w:hint="eastAsia" w:ascii="宋体-PUA" w:hAnsi="宋体-PUA" w:eastAsia="宋体-PUA" w:cs="宋体-PUA"/>
                <w:kern w:val="2"/>
                <w:sz w:val="21"/>
                <w:szCs w:val="21"/>
                <w:lang w:val="en-US" w:eastAsia="zh-CN"/>
              </w:rPr>
              <w:t>尺寸≥</w:t>
            </w:r>
            <w:r>
              <w:rPr>
                <w:rFonts w:hint="eastAsia" w:ascii="宋体-PUA" w:hAnsi="宋体-PUA" w:eastAsia="宋体-PUA" w:cs="宋体-PUA"/>
                <w:kern w:val="2"/>
                <w:sz w:val="21"/>
                <w:szCs w:val="21"/>
              </w:rPr>
              <w:t>Φ165×4mm</w:t>
            </w:r>
            <w:r>
              <w:rPr>
                <w:rFonts w:hint="eastAsia" w:ascii="宋体-PUA" w:hAnsi="宋体-PUA" w:eastAsia="宋体-PUA" w:cs="宋体-PUA"/>
                <w:kern w:val="2"/>
                <w:sz w:val="21"/>
                <w:szCs w:val="21"/>
                <w:lang w:eastAsia="zh-CN"/>
              </w:rPr>
              <w:t>。</w:t>
            </w:r>
          </w:p>
          <w:p w14:paraId="1231FA6C">
            <w:pPr>
              <w:widowControl/>
              <w:jc w:val="left"/>
              <w:rPr>
                <w:rFonts w:hint="eastAsia" w:ascii="宋体-PUA" w:hAnsi="宋体-PUA" w:eastAsia="宋体-PUA" w:cs="宋体-PUA"/>
                <w:kern w:val="2"/>
                <w:sz w:val="21"/>
                <w:szCs w:val="21"/>
                <w:lang w:eastAsia="zh-CN"/>
              </w:rPr>
            </w:pPr>
            <w:r>
              <w:rPr>
                <w:rFonts w:hint="eastAsia" w:ascii="宋体-PUA" w:hAnsi="宋体-PUA" w:eastAsia="宋体-PUA" w:cs="宋体-PUA"/>
                <w:kern w:val="2"/>
                <w:sz w:val="21"/>
                <w:szCs w:val="21"/>
                <w:lang w:val="en-US" w:eastAsia="zh-CN"/>
              </w:rPr>
              <w:t>3</w:t>
            </w:r>
            <w:r>
              <w:rPr>
                <w:rFonts w:hint="eastAsia" w:ascii="宋体-PUA" w:hAnsi="宋体-PUA" w:eastAsia="宋体-PUA" w:cs="宋体-PUA"/>
                <w:kern w:val="2"/>
                <w:sz w:val="21"/>
                <w:szCs w:val="21"/>
              </w:rPr>
              <w:t>、主要承载横梁</w:t>
            </w:r>
            <w:r>
              <w:rPr>
                <w:rFonts w:hint="eastAsia" w:ascii="宋体-PUA" w:hAnsi="宋体-PUA" w:eastAsia="宋体-PUA" w:cs="宋体-PUA"/>
                <w:kern w:val="2"/>
                <w:sz w:val="21"/>
                <w:szCs w:val="21"/>
                <w:lang w:val="en-US" w:eastAsia="zh-CN"/>
              </w:rPr>
              <w:t>尺寸≥</w:t>
            </w:r>
            <w:r>
              <w:rPr>
                <w:rFonts w:hint="eastAsia" w:ascii="宋体-PUA" w:hAnsi="宋体-PUA" w:eastAsia="宋体-PUA" w:cs="宋体-PUA"/>
                <w:kern w:val="2"/>
                <w:sz w:val="21"/>
                <w:szCs w:val="21"/>
              </w:rPr>
              <w:t>Φ165×4mm</w:t>
            </w:r>
            <w:r>
              <w:rPr>
                <w:rFonts w:hint="eastAsia" w:ascii="宋体-PUA" w:hAnsi="宋体-PUA" w:eastAsia="宋体-PUA" w:cs="宋体-PUA"/>
                <w:kern w:val="2"/>
                <w:sz w:val="21"/>
                <w:szCs w:val="21"/>
                <w:lang w:eastAsia="zh-CN"/>
              </w:rPr>
              <w:t>。</w:t>
            </w:r>
          </w:p>
          <w:p w14:paraId="6BEEB8DF">
            <w:pPr>
              <w:widowControl/>
              <w:jc w:val="left"/>
              <w:rPr>
                <w:rFonts w:hint="default" w:ascii="宋体-PUA" w:hAnsi="宋体-PUA" w:eastAsia="宋体-PUA" w:cs="宋体-PUA"/>
                <w:kern w:val="2"/>
                <w:sz w:val="21"/>
                <w:szCs w:val="21"/>
                <w:lang w:val="en-US" w:eastAsia="zh-CN"/>
              </w:rPr>
            </w:pPr>
            <w:r>
              <w:rPr>
                <w:rFonts w:hint="eastAsia" w:ascii="宋体-PUA" w:hAnsi="宋体-PUA" w:eastAsia="宋体-PUA" w:cs="宋体-PUA"/>
                <w:kern w:val="2"/>
                <w:sz w:val="21"/>
                <w:szCs w:val="21"/>
                <w:lang w:val="en-US" w:eastAsia="zh-CN"/>
              </w:rPr>
              <w:t>4、安装方式：直埋式或预埋式。</w:t>
            </w:r>
          </w:p>
          <w:p w14:paraId="0A504ECE">
            <w:pPr>
              <w:widowControl/>
              <w:jc w:val="left"/>
              <w:rPr>
                <w:rFonts w:hint="default" w:ascii="宋体-PUA" w:hAnsi="宋体-PUA" w:eastAsia="宋体-PUA" w:cs="宋体-PUA"/>
                <w:kern w:val="2"/>
                <w:sz w:val="21"/>
                <w:szCs w:val="21"/>
                <w:lang w:val="en-US" w:eastAsia="zh-CN"/>
              </w:rPr>
            </w:pPr>
            <w:r>
              <w:rPr>
                <w:rFonts w:hint="eastAsia" w:ascii="宋体-PUA" w:hAnsi="宋体-PUA" w:eastAsia="宋体-PUA" w:cs="宋体-PUA"/>
                <w:kern w:val="2"/>
                <w:sz w:val="21"/>
                <w:szCs w:val="21"/>
                <w:lang w:val="en-US" w:eastAsia="zh-CN"/>
              </w:rPr>
              <w:t>5</w:t>
            </w:r>
            <w:r>
              <w:rPr>
                <w:rFonts w:hint="eastAsia" w:ascii="宋体-PUA" w:hAnsi="宋体-PUA" w:eastAsia="宋体-PUA" w:cs="宋体-PUA"/>
                <w:kern w:val="2"/>
                <w:sz w:val="21"/>
                <w:szCs w:val="21"/>
              </w:rPr>
              <w:t>、</w:t>
            </w:r>
            <w:r>
              <w:rPr>
                <w:rFonts w:hint="eastAsia" w:ascii="宋体-PUA" w:hAnsi="宋体-PUA" w:eastAsia="宋体-PUA" w:cs="宋体-PUA"/>
                <w:kern w:val="2"/>
                <w:sz w:val="21"/>
                <w:szCs w:val="21"/>
                <w:lang w:val="en-US" w:eastAsia="zh-CN"/>
              </w:rPr>
              <w:t>表面处理工艺为：脱脂-抛丸-静电喷涂或其他更优质工艺。</w:t>
            </w:r>
          </w:p>
          <w:p w14:paraId="484D7A73">
            <w:pPr>
              <w:widowControl/>
              <w:jc w:val="left"/>
              <w:rPr>
                <w:rFonts w:hint="eastAsia" w:ascii="宋体-PUA" w:hAnsi="宋体-PUA" w:eastAsia="宋体-PUA" w:cs="宋体-PUA"/>
                <w:kern w:val="2"/>
                <w:sz w:val="21"/>
                <w:szCs w:val="21"/>
                <w:lang w:eastAsia="zh-CN"/>
              </w:rPr>
            </w:pPr>
            <w:r>
              <w:rPr>
                <w:rFonts w:hint="eastAsia" w:ascii="宋体-PUA" w:hAnsi="宋体-PUA" w:eastAsia="宋体-PUA" w:cs="宋体-PUA"/>
                <w:kern w:val="2"/>
                <w:sz w:val="21"/>
                <w:szCs w:val="21"/>
                <w:lang w:val="en-US" w:eastAsia="zh-CN"/>
              </w:rPr>
              <w:t>6</w:t>
            </w:r>
            <w:r>
              <w:rPr>
                <w:rFonts w:hint="eastAsia" w:ascii="宋体-PUA" w:hAnsi="宋体-PUA" w:eastAsia="宋体-PUA" w:cs="宋体-PUA"/>
                <w:kern w:val="2"/>
                <w:sz w:val="21"/>
                <w:szCs w:val="21"/>
              </w:rPr>
              <w:t>、</w:t>
            </w:r>
            <w:r>
              <w:rPr>
                <w:rFonts w:hint="eastAsia" w:ascii="宋体-PUA" w:hAnsi="宋体-PUA" w:eastAsia="宋体-PUA" w:cs="宋体-PUA"/>
                <w:kern w:val="2"/>
                <w:sz w:val="21"/>
                <w:szCs w:val="21"/>
                <w:lang w:val="en-US" w:eastAsia="zh-CN"/>
              </w:rPr>
              <w:t>球架</w:t>
            </w:r>
            <w:r>
              <w:rPr>
                <w:rFonts w:hint="eastAsia" w:ascii="宋体-PUA" w:hAnsi="宋体-PUA" w:eastAsia="宋体-PUA" w:cs="宋体-PUA"/>
                <w:kern w:val="2"/>
                <w:sz w:val="21"/>
                <w:szCs w:val="21"/>
              </w:rPr>
              <w:t>伸臂为1800mm，篮筐到地面距离3050mm</w:t>
            </w:r>
            <w:r>
              <w:rPr>
                <w:rFonts w:hint="eastAsia" w:ascii="宋体-PUA" w:hAnsi="宋体-PUA" w:eastAsia="宋体-PUA" w:cs="宋体-PUA"/>
                <w:kern w:val="2"/>
                <w:sz w:val="21"/>
                <w:szCs w:val="21"/>
                <w:lang w:eastAsia="zh-CN"/>
              </w:rPr>
              <w:t>。</w:t>
            </w:r>
          </w:p>
          <w:p w14:paraId="2B39F560">
            <w:pPr>
              <w:widowControl/>
              <w:jc w:val="left"/>
              <w:rPr>
                <w:rFonts w:hint="eastAsia" w:ascii="宋体-PUA" w:hAnsi="宋体-PUA" w:eastAsia="宋体-PUA" w:cs="宋体-PUA"/>
                <w:kern w:val="2"/>
                <w:szCs w:val="21"/>
                <w:lang w:eastAsia="zh-CN"/>
              </w:rPr>
            </w:pPr>
            <w:r>
              <w:rPr>
                <w:rFonts w:hint="eastAsia" w:ascii="宋体-PUA" w:hAnsi="宋体-PUA" w:eastAsia="宋体-PUA" w:cs="宋体-PUA"/>
                <w:kern w:val="2"/>
                <w:sz w:val="21"/>
                <w:szCs w:val="21"/>
                <w:lang w:val="en-US" w:eastAsia="zh-CN"/>
              </w:rPr>
              <w:t>7、</w:t>
            </w:r>
            <w:r>
              <w:rPr>
                <w:rFonts w:hint="eastAsia" w:ascii="宋体-PUA" w:hAnsi="宋体-PUA" w:eastAsia="宋体-PUA" w:cs="宋体-PUA"/>
                <w:kern w:val="2"/>
                <w:sz w:val="21"/>
                <w:szCs w:val="21"/>
              </w:rPr>
              <w:t>篮板采用SMC</w:t>
            </w:r>
            <w:r>
              <w:rPr>
                <w:rFonts w:hint="eastAsia" w:ascii="宋体-PUA" w:hAnsi="宋体-PUA" w:eastAsia="宋体-PUA" w:cs="宋体-PUA"/>
                <w:kern w:val="2"/>
                <w:szCs w:val="21"/>
              </w:rPr>
              <w:t xml:space="preserve"> 篮板，五点连接，厚度50mm，背面采用“井”字形和辐射向加强筋</w:t>
            </w:r>
            <w:r>
              <w:rPr>
                <w:rFonts w:hint="eastAsia" w:ascii="宋体-PUA" w:hAnsi="宋体-PUA" w:eastAsia="宋体-PUA" w:cs="宋体-PUA"/>
                <w:kern w:val="2"/>
                <w:szCs w:val="21"/>
                <w:lang w:eastAsia="zh-CN"/>
              </w:rPr>
              <w:t>。</w:t>
            </w:r>
          </w:p>
          <w:p w14:paraId="641661FB">
            <w:pPr>
              <w:widowControl/>
              <w:jc w:val="left"/>
              <w:rPr>
                <w:rFonts w:hint="eastAsia" w:ascii="宋体-PUA" w:hAnsi="宋体-PUA" w:eastAsia="宋体-PUA" w:cs="宋体-PUA"/>
                <w:kern w:val="2"/>
                <w:szCs w:val="21"/>
                <w:lang w:eastAsia="zh-CN"/>
              </w:rPr>
            </w:pPr>
            <w:r>
              <w:rPr>
                <w:rFonts w:hint="eastAsia" w:ascii="宋体-PUA" w:hAnsi="宋体-PUA" w:eastAsia="宋体-PUA" w:cs="宋体-PUA"/>
                <w:kern w:val="2"/>
                <w:szCs w:val="21"/>
                <w:lang w:val="en-US" w:eastAsia="zh-CN"/>
              </w:rPr>
              <w:t>8、</w:t>
            </w:r>
            <w:r>
              <w:rPr>
                <w:rFonts w:hint="eastAsia" w:ascii="宋体-PUA" w:hAnsi="宋体-PUA" w:eastAsia="宋体-PUA" w:cs="宋体-PUA"/>
                <w:kern w:val="2"/>
                <w:szCs w:val="21"/>
              </w:rPr>
              <w:t>立柱和横梁采用直径165*4.0mm 优质钢管，一次性热弯成形</w:t>
            </w:r>
            <w:r>
              <w:rPr>
                <w:rFonts w:hint="eastAsia" w:ascii="宋体-PUA" w:hAnsi="宋体-PUA" w:eastAsia="宋体-PUA" w:cs="宋体-PUA"/>
                <w:kern w:val="2"/>
                <w:szCs w:val="21"/>
                <w:lang w:eastAsia="zh-CN"/>
              </w:rPr>
              <w:t>。</w:t>
            </w:r>
          </w:p>
          <w:p w14:paraId="4B48E99F">
            <w:pPr>
              <w:widowControl/>
              <w:jc w:val="left"/>
              <w:rPr>
                <w:rFonts w:hint="eastAsia" w:ascii="宋体-PUA" w:hAnsi="宋体-PUA" w:eastAsia="宋体-PUA" w:cs="宋体-PUA"/>
                <w:kern w:val="2"/>
                <w:szCs w:val="21"/>
                <w:lang w:eastAsia="zh-CN"/>
              </w:rPr>
            </w:pPr>
            <w:r>
              <w:rPr>
                <w:rFonts w:hint="eastAsia" w:ascii="宋体-PUA" w:hAnsi="宋体-PUA" w:eastAsia="宋体-PUA" w:cs="宋体-PUA"/>
                <w:kern w:val="2"/>
                <w:szCs w:val="21"/>
                <w:lang w:val="en-US" w:eastAsia="zh-CN"/>
              </w:rPr>
              <w:t>9、篮球架</w:t>
            </w:r>
            <w:r>
              <w:rPr>
                <w:rFonts w:hint="eastAsia" w:ascii="宋体-PUA" w:hAnsi="宋体-PUA" w:eastAsia="宋体-PUA" w:cs="宋体-PUA"/>
                <w:kern w:val="2"/>
                <w:szCs w:val="21"/>
              </w:rPr>
              <w:t>上下拉杆可调节篮板的垂直度、与地面的平行度</w:t>
            </w:r>
            <w:r>
              <w:rPr>
                <w:rFonts w:hint="eastAsia" w:ascii="宋体-PUA" w:hAnsi="宋体-PUA" w:eastAsia="宋体-PUA" w:cs="宋体-PUA"/>
                <w:kern w:val="2"/>
                <w:szCs w:val="21"/>
                <w:lang w:eastAsia="zh-CN"/>
              </w:rPr>
              <w:t>。</w:t>
            </w:r>
          </w:p>
          <w:p w14:paraId="7855CF03">
            <w:pPr>
              <w:widowControl/>
              <w:jc w:val="left"/>
              <w:rPr>
                <w:rFonts w:hint="eastAsia" w:ascii="宋体-PUA" w:hAnsi="宋体-PUA" w:eastAsia="宋体-PUA" w:cs="宋体-PUA"/>
                <w:kern w:val="2"/>
                <w:szCs w:val="21"/>
              </w:rPr>
            </w:pPr>
            <w:r>
              <w:rPr>
                <w:rFonts w:hint="eastAsia" w:ascii="宋体-PUA" w:hAnsi="宋体-PUA" w:eastAsia="宋体-PUA" w:cs="宋体-PUA"/>
                <w:kern w:val="2"/>
                <w:szCs w:val="21"/>
                <w:lang w:val="en-US" w:eastAsia="zh-CN"/>
              </w:rPr>
              <w:t>10、</w:t>
            </w:r>
            <w:r>
              <w:rPr>
                <w:rFonts w:hint="eastAsia" w:ascii="宋体-PUA" w:hAnsi="宋体-PUA" w:eastAsia="宋体-PUA" w:cs="宋体-PUA"/>
                <w:kern w:val="2"/>
                <w:szCs w:val="21"/>
              </w:rPr>
              <w:t>篮圈采用优质圆钢，圈下焊有十二段均匀分布的挂网环，内穿钢丝，配篮网</w:t>
            </w:r>
            <w:r>
              <w:rPr>
                <w:rFonts w:hint="eastAsia" w:ascii="宋体-PUA" w:hAnsi="宋体-PUA" w:eastAsia="宋体-PUA" w:cs="宋体-PUA"/>
                <w:kern w:val="2"/>
                <w:szCs w:val="21"/>
                <w:lang w:eastAsia="zh-CN"/>
              </w:rPr>
              <w:t>。</w:t>
            </w:r>
            <w:r>
              <w:rPr>
                <w:rFonts w:hint="eastAsia" w:ascii="宋体-PUA" w:hAnsi="宋体-PUA" w:eastAsia="宋体-PUA" w:cs="宋体-PUA"/>
                <w:kern w:val="2"/>
                <w:szCs w:val="21"/>
              </w:rPr>
              <w:t xml:space="preserve"> </w:t>
            </w:r>
          </w:p>
          <w:p w14:paraId="1626C841">
            <w:pPr>
              <w:widowControl/>
              <w:jc w:val="left"/>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rPr>
              <w:t>注：第1-5项具体参数以投标品牌NSCC国体认证登记信息为准，第6-8项具体参数以国家体育用品质量监督检验中心检测报告为准，其余以</w:t>
            </w:r>
            <w:r>
              <w:rPr>
                <w:rFonts w:hint="default" w:ascii="Calibri" w:hAnsi="Calibri" w:eastAsia="宋体" w:cs="Times New Roman"/>
                <w:kern w:val="2"/>
                <w:szCs w:val="22"/>
              </w:rPr>
              <w:t>《响应偏离表》</w:t>
            </w:r>
            <w:r>
              <w:rPr>
                <w:rFonts w:hint="eastAsia" w:ascii="Calibri" w:hAnsi="Calibri" w:eastAsia="宋体" w:cs="Times New Roman"/>
                <w:kern w:val="2"/>
                <w:szCs w:val="22"/>
                <w:lang w:val="en-US" w:eastAsia="zh-CN"/>
              </w:rPr>
              <w:t>为准</w:t>
            </w:r>
            <w:r>
              <w:rPr>
                <w:rFonts w:hint="eastAsia" w:ascii="宋体-PUA" w:hAnsi="宋体-PUA" w:eastAsia="宋体-PUA" w:cs="宋体-PUA"/>
                <w:kern w:val="2"/>
                <w:sz w:val="21"/>
                <w:szCs w:val="21"/>
                <w:lang w:val="en-US" w:eastAsia="zh-CN"/>
              </w:rPr>
              <w:t>。</w:t>
            </w:r>
          </w:p>
        </w:tc>
        <w:tc>
          <w:tcPr>
            <w:tcW w:w="230" w:type="pct"/>
            <w:noWrap w:val="0"/>
            <w:vAlign w:val="center"/>
          </w:tcPr>
          <w:p w14:paraId="05AC2D15">
            <w:pPr>
              <w:jc w:val="center"/>
              <w:rPr>
                <w:rFonts w:hint="eastAsia" w:ascii="Calibri" w:hAnsi="Calibri" w:eastAsia="宋体" w:cs="Times New Roman"/>
                <w:b w:val="0"/>
                <w:kern w:val="2"/>
                <w:sz w:val="21"/>
                <w:szCs w:val="22"/>
                <w:lang w:val="en-US" w:eastAsia="zh-CN" w:bidi="ar-SA"/>
              </w:rPr>
            </w:pPr>
            <w:r>
              <w:rPr>
                <w:rFonts w:hint="eastAsia" w:ascii="Times New Roman" w:hAnsi="Times New Roman" w:eastAsia="宋体" w:cs="Times New Roman"/>
                <w:b w:val="0"/>
                <w:kern w:val="2"/>
                <w:sz w:val="21"/>
                <w:szCs w:val="22"/>
                <w:lang w:val="en-US" w:eastAsia="zh-CN" w:bidi="ar-SA"/>
              </w:rPr>
              <w:t>套</w:t>
            </w:r>
          </w:p>
        </w:tc>
        <w:tc>
          <w:tcPr>
            <w:tcW w:w="227" w:type="pct"/>
            <w:noWrap w:val="0"/>
            <w:vAlign w:val="center"/>
          </w:tcPr>
          <w:p w14:paraId="4E6D7564">
            <w:pPr>
              <w:jc w:val="center"/>
              <w:rPr>
                <w:rFonts w:hint="default" w:ascii="Calibri" w:hAnsi="Calibri" w:eastAsia="宋体" w:cs="Times New Roman"/>
                <w:b w:val="0"/>
                <w:kern w:val="2"/>
                <w:sz w:val="21"/>
                <w:szCs w:val="22"/>
                <w:lang w:val="en-US" w:eastAsia="zh-CN" w:bidi="ar-SA"/>
              </w:rPr>
            </w:pPr>
            <w:r>
              <w:rPr>
                <w:rFonts w:hint="eastAsia" w:ascii="Times New Roman" w:hAnsi="Times New Roman" w:eastAsia="Times New Roman" w:cs="Times New Roman"/>
                <w:b w:val="0"/>
                <w:kern w:val="2"/>
                <w:sz w:val="21"/>
                <w:szCs w:val="22"/>
                <w:lang w:val="en-US" w:eastAsia="zh-CN" w:bidi="ar-SA"/>
              </w:rPr>
              <w:t>50</w:t>
            </w:r>
          </w:p>
        </w:tc>
      </w:tr>
    </w:tbl>
    <w:p w14:paraId="4E290AD4">
      <w:pPr>
        <w:widowControl/>
        <w:jc w:val="left"/>
        <w:rPr>
          <w:rFonts w:hint="eastAsia" w:ascii="宋体" w:hAnsi="宋体" w:eastAsia="宋体" w:cs="宋体"/>
          <w:b/>
          <w:bCs/>
          <w:color w:val="auto"/>
          <w:kern w:val="0"/>
          <w:sz w:val="24"/>
          <w:szCs w:val="22"/>
          <w:highlight w:val="none"/>
          <w:lang w:val="en-US" w:eastAsia="zh-CN" w:bidi="ar-SA"/>
        </w:rPr>
      </w:pPr>
    </w:p>
    <w:p w14:paraId="0470DB3C">
      <w:pPr>
        <w:widowControl w:val="0"/>
        <w:jc w:val="both"/>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分包三：</w:t>
      </w:r>
    </w:p>
    <w:p w14:paraId="75977E70">
      <w:pPr>
        <w:widowControl/>
        <w:jc w:val="left"/>
        <w:rPr>
          <w:rFonts w:hint="eastAsia" w:ascii="宋体" w:hAnsi="宋体" w:eastAsia="宋体" w:cs="宋体"/>
          <w:b/>
          <w:bCs/>
          <w:color w:val="auto"/>
          <w:kern w:val="0"/>
          <w:sz w:val="24"/>
          <w:szCs w:val="22"/>
          <w:highlight w:val="none"/>
          <w:lang w:val="en-US" w:eastAsia="zh-CN" w:bidi="ar-SA"/>
        </w:rPr>
      </w:pPr>
    </w:p>
    <w:tbl>
      <w:tblPr>
        <w:tblStyle w:val="2"/>
        <w:tblW w:w="51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
        <w:gridCol w:w="428"/>
        <w:gridCol w:w="2465"/>
        <w:gridCol w:w="4657"/>
        <w:gridCol w:w="403"/>
        <w:gridCol w:w="398"/>
      </w:tblGrid>
      <w:tr w14:paraId="7303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top"/>
          </w:tcPr>
          <w:p w14:paraId="6A85EFD3">
            <w:pPr>
              <w:widowControl/>
              <w:adjustRightInd w:val="0"/>
              <w:snapToGrid w:val="0"/>
              <w:spacing w:line="360" w:lineRule="auto"/>
              <w:jc w:val="left"/>
              <w:rPr>
                <w:rFonts w:hint="eastAsia" w:ascii="宋体" w:hAnsi="宋体" w:eastAsia="宋体" w:cs="Times New Roman"/>
                <w:b/>
                <w:kern w:val="0"/>
                <w:sz w:val="24"/>
                <w:szCs w:val="24"/>
                <w:lang w:val="en-US" w:eastAsia="zh-CN" w:bidi="ar-SA"/>
              </w:rPr>
            </w:pPr>
            <w:r>
              <w:rPr>
                <w:rFonts w:hint="eastAsia" w:ascii="宋体" w:hAnsi="宋体" w:eastAsia="宋体" w:cs="Times New Roman"/>
                <w:b/>
                <w:kern w:val="0"/>
                <w:sz w:val="24"/>
                <w:szCs w:val="24"/>
                <w:lang w:val="en-US" w:eastAsia="zh-CN" w:bidi="ar-SA"/>
              </w:rPr>
              <w:t>（一）通用要求</w:t>
            </w:r>
          </w:p>
        </w:tc>
      </w:tr>
      <w:tr w14:paraId="73EA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center"/>
          </w:tcPr>
          <w:p w14:paraId="15EB985E">
            <w:pPr>
              <w:widowControl w:val="0"/>
              <w:numPr>
                <w:ilvl w:val="0"/>
                <w:numId w:val="2"/>
              </w:numPr>
              <w:tabs>
                <w:tab w:val="left" w:pos="522"/>
              </w:tabs>
              <w:spacing w:line="370" w:lineRule="exact"/>
              <w:jc w:val="both"/>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器材涂层、橡胶、塑料件有害物质限量以及器材闭合开口、不完全闭合开口、地埋式器材地埋深度、器材安装等都必须符合GB 19272-2011《室外健身器材的安全通用要求》的要求，并提供有效证明文件（具有资质的检验机构的检验报告）；</w:t>
            </w:r>
          </w:p>
          <w:p w14:paraId="734F292E">
            <w:pPr>
              <w:widowControl w:val="0"/>
              <w:numPr>
                <w:ilvl w:val="0"/>
                <w:numId w:val="2"/>
              </w:numPr>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螺钉、螺母应防锈、防松和防盗；并应采取措施对螺栓、螺纹永久的覆盖。</w:t>
            </w:r>
          </w:p>
          <w:p w14:paraId="47E4AF50">
            <w:pPr>
              <w:widowControl w:val="0"/>
              <w:numPr>
                <w:ilvl w:val="0"/>
                <w:numId w:val="2"/>
              </w:numPr>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覆盖件在其安装面以上直角部分的高度小于3mm；覆盖件直线部分超过3mm的，其突出部分外角应不小于105°或不应有易钩挂形状；</w:t>
            </w:r>
          </w:p>
          <w:p w14:paraId="39EC32E4">
            <w:pPr>
              <w:widowControl w:val="0"/>
              <w:numPr>
                <w:ilvl w:val="0"/>
                <w:numId w:val="2"/>
              </w:numPr>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器材不允许存在和使用功能无关的凸出物，使用者或第三者易接触的零部件的其他所有棱边应予以圆滑过渡或加以防护；</w:t>
            </w:r>
          </w:p>
          <w:p w14:paraId="1A8530A0">
            <w:pPr>
              <w:widowControl w:val="0"/>
              <w:numPr>
                <w:ilvl w:val="0"/>
                <w:numId w:val="2"/>
              </w:numPr>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钢铁制件（不锈钢除外）表面，应经过酸洗、磷化处理后或经过表面热度锌处理后，进行表面喷塑处理，涂层厚度不小于0.7mm。</w:t>
            </w:r>
          </w:p>
          <w:p w14:paraId="0B461CE3">
            <w:pPr>
              <w:widowControl w:val="0"/>
              <w:tabs>
                <w:tab w:val="left" w:pos="522"/>
              </w:tabs>
              <w:spacing w:line="370" w:lineRule="exact"/>
              <w:jc w:val="both"/>
              <w:rPr>
                <w:rFonts w:hint="eastAsia" w:ascii="宋体-PUA" w:hAnsi="宋体-PUA" w:eastAsia="宋体-PUA" w:cs="宋体-PUA"/>
                <w:b/>
                <w:kern w:val="2"/>
                <w:sz w:val="21"/>
                <w:szCs w:val="21"/>
                <w:lang w:val="en-US" w:eastAsia="zh-CN" w:bidi="ar-SA"/>
              </w:rPr>
            </w:pPr>
            <w:r>
              <w:rPr>
                <w:rFonts w:hint="eastAsia" w:ascii="宋体-PUA" w:hAnsi="宋体-PUA" w:eastAsia="宋体-PUA" w:cs="宋体-PUA"/>
                <w:b/>
                <w:kern w:val="2"/>
                <w:sz w:val="21"/>
                <w:szCs w:val="21"/>
                <w:lang w:val="en-US" w:eastAsia="zh-CN" w:bidi="ar-SA"/>
              </w:rPr>
              <w:t>★6、为保证全民健身器材统一、管理规范化，投标供应商所投器材的品牌必须要求一致，不得出现多个不同品牌产品，每一件都必须单独符合GB19272-2011《室外健身器材的安全通用要求》的规定要求，并提供国家体育用品质量监督检验中心出具的检验报告以及国家体育总局认可的权威检测机构相关证书，否则作为无效投标处理。</w:t>
            </w:r>
          </w:p>
          <w:p w14:paraId="52785914">
            <w:pPr>
              <w:widowControl w:val="0"/>
              <w:tabs>
                <w:tab w:val="left" w:pos="522"/>
              </w:tabs>
              <w:spacing w:line="370" w:lineRule="exact"/>
              <w:jc w:val="both"/>
              <w:rPr>
                <w:rFonts w:hint="eastAsia" w:ascii="Calibri" w:hAnsi="Calibri" w:eastAsia="宋体" w:cs="Times New Roman"/>
                <w:kern w:val="2"/>
                <w:sz w:val="21"/>
                <w:szCs w:val="22"/>
                <w:lang w:val="en-US" w:eastAsia="zh-CN" w:bidi="ar-SA"/>
              </w:rPr>
            </w:pPr>
            <w:r>
              <w:rPr>
                <w:rFonts w:hint="eastAsia" w:ascii="宋体-PUA" w:hAnsi="宋体-PUA" w:eastAsia="宋体-PUA" w:cs="宋体-PUA"/>
                <w:b/>
                <w:kern w:val="2"/>
                <w:sz w:val="21"/>
                <w:szCs w:val="21"/>
                <w:lang w:val="en-US" w:eastAsia="zh-CN" w:bidi="ar-SA"/>
              </w:rPr>
              <w:t>★7、所有器材安全使用寿命不低于8年，且在出厂前在器材铭牌上方单独制作经采购方同意的器材报修二维码铭牌，否则作无效投标处理。</w:t>
            </w:r>
          </w:p>
        </w:tc>
      </w:tr>
      <w:tr w14:paraId="6B23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center"/>
          </w:tcPr>
          <w:p w14:paraId="720B190A">
            <w:pPr>
              <w:jc w:val="both"/>
              <w:rPr>
                <w:rFonts w:hint="default" w:ascii="Calibri" w:hAnsi="Calibri" w:eastAsia="黑体" w:cs="Times New Roman"/>
                <w:b w:val="0"/>
                <w:kern w:val="2"/>
                <w:sz w:val="21"/>
                <w:szCs w:val="22"/>
                <w:lang w:val="en-US" w:eastAsia="zh-CN" w:bidi="ar-SA"/>
              </w:rPr>
            </w:pPr>
            <w:r>
              <w:rPr>
                <w:rFonts w:hint="eastAsia" w:ascii="宋体" w:hAnsi="宋体" w:eastAsia="Times New Roman" w:cs="Times New Roman"/>
                <w:b/>
                <w:sz w:val="24"/>
                <w:szCs w:val="24"/>
                <w:lang w:val="en-US" w:eastAsia="zh-CN" w:bidi="ar-SA"/>
              </w:rPr>
              <w:t>（二）参数要求（图片为网上下载，仅作样式提示，具体要求以产品参数为准）</w:t>
            </w:r>
          </w:p>
        </w:tc>
      </w:tr>
      <w:tr w14:paraId="26D3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29" w:type="pct"/>
            <w:noWrap w:val="0"/>
            <w:vAlign w:val="center"/>
          </w:tcPr>
          <w:p w14:paraId="7A370B1F">
            <w:pPr>
              <w:widowControl w:val="0"/>
              <w:spacing w:line="360" w:lineRule="exact"/>
              <w:jc w:val="center"/>
              <w:rPr>
                <w:rFonts w:hint="eastAsia"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1</w:t>
            </w:r>
          </w:p>
        </w:tc>
        <w:tc>
          <w:tcPr>
            <w:tcW w:w="245" w:type="pct"/>
            <w:noWrap w:val="0"/>
            <w:vAlign w:val="center"/>
          </w:tcPr>
          <w:p w14:paraId="30ABFC91">
            <w:pPr>
              <w:widowControl w:val="0"/>
              <w:spacing w:line="360" w:lineRule="exact"/>
              <w:jc w:val="center"/>
              <w:rPr>
                <w:rFonts w:hint="default" w:ascii="宋体-PUA" w:hAnsi="宋体-PUA" w:eastAsia="宋体-PUA" w:cs="宋体-PUA"/>
                <w:bCs/>
                <w:kern w:val="2"/>
                <w:sz w:val="21"/>
                <w:szCs w:val="21"/>
                <w:lang w:val="en-US" w:eastAsia="zh-CN" w:bidi="ar-SA"/>
              </w:rPr>
            </w:pPr>
            <w:r>
              <w:rPr>
                <w:rFonts w:hint="eastAsia" w:ascii="宋体-PUA" w:hAnsi="宋体-PUA" w:eastAsia="宋体-PUA" w:cs="宋体-PUA"/>
                <w:bCs/>
                <w:kern w:val="2"/>
                <w:sz w:val="21"/>
                <w:szCs w:val="21"/>
                <w:lang w:val="en-US" w:eastAsia="zh-CN" w:bidi="ar-SA"/>
              </w:rPr>
              <w:t>室外乒乓球桌</w:t>
            </w:r>
          </w:p>
        </w:tc>
        <w:tc>
          <w:tcPr>
            <w:tcW w:w="1407" w:type="pct"/>
            <w:noWrap w:val="0"/>
            <w:vAlign w:val="top"/>
          </w:tcPr>
          <w:p w14:paraId="3B717DA8">
            <w:pPr>
              <w:widowControl/>
              <w:spacing w:line="360" w:lineRule="auto"/>
              <w:ind w:left="-105" w:leftChars="-50" w:right="-105" w:rightChars="-50"/>
              <w:jc w:val="center"/>
              <w:outlineLvl w:val="0"/>
              <w:rPr>
                <w:rFonts w:hint="eastAsia" w:ascii="仿宋_GB2312" w:hAnsi="宋体" w:eastAsia="仿宋_GB2312" w:cs="Times New Roman"/>
                <w:b/>
                <w:kern w:val="2"/>
                <w:sz w:val="21"/>
                <w:szCs w:val="21"/>
                <w:lang w:val="en-US" w:eastAsia="zh-CN" w:bidi="ar-SA"/>
              </w:rPr>
            </w:pPr>
            <w:r>
              <w:rPr>
                <w:rFonts w:hint="default" w:ascii="Calibri" w:hAnsi="Calibri" w:eastAsia="宋体" w:cs="Times New Roman"/>
                <w:kern w:val="2"/>
                <w:szCs w:val="22"/>
              </w:rPr>
              <w:drawing>
                <wp:inline distT="0" distB="0" distL="114300" distR="114300">
                  <wp:extent cx="1503680" cy="759460"/>
                  <wp:effectExtent l="0" t="0" r="1270" b="254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5"/>
                          <a:stretch>
                            <a:fillRect/>
                          </a:stretch>
                        </pic:blipFill>
                        <pic:spPr>
                          <a:xfrm>
                            <a:off x="0" y="0"/>
                            <a:ext cx="1503680" cy="759460"/>
                          </a:xfrm>
                          <a:prstGeom prst="rect">
                            <a:avLst/>
                          </a:prstGeom>
                          <a:noFill/>
                          <a:ln>
                            <a:noFill/>
                          </a:ln>
                        </pic:spPr>
                      </pic:pic>
                    </a:graphicData>
                  </a:graphic>
                </wp:inline>
              </w:drawing>
            </w:r>
          </w:p>
        </w:tc>
        <w:tc>
          <w:tcPr>
            <w:tcW w:w="2659" w:type="pct"/>
            <w:noWrap w:val="0"/>
            <w:vAlign w:val="top"/>
          </w:tcPr>
          <w:p w14:paraId="692C992A">
            <w:pPr>
              <w:widowControl w:val="0"/>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1、外形尺寸（长×宽×高） ≥2740×1570×912mm。</w:t>
            </w:r>
          </w:p>
          <w:p w14:paraId="3E20D159">
            <w:pPr>
              <w:widowControl w:val="0"/>
              <w:tabs>
                <w:tab w:val="left" w:pos="522"/>
              </w:tabs>
              <w:spacing w:line="370" w:lineRule="exact"/>
              <w:jc w:val="both"/>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2、主要承载立柱尺寸≥φ60mm×3mm。</w:t>
            </w:r>
          </w:p>
          <w:p w14:paraId="381CAF8A">
            <w:pPr>
              <w:widowControl w:val="0"/>
              <w:tabs>
                <w:tab w:val="left" w:pos="522"/>
              </w:tabs>
              <w:spacing w:line="370" w:lineRule="exact"/>
              <w:jc w:val="both"/>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3、主要承载横梁尺寸≥40mm×20mm×2.5mm。</w:t>
            </w:r>
          </w:p>
          <w:p w14:paraId="67D1520C">
            <w:pPr>
              <w:widowControl w:val="0"/>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4、安装方式：预埋式。</w:t>
            </w:r>
          </w:p>
          <w:p w14:paraId="295AD536">
            <w:pPr>
              <w:widowControl w:val="0"/>
              <w:tabs>
                <w:tab w:val="left" w:pos="522"/>
              </w:tabs>
              <w:spacing w:line="370" w:lineRule="exact"/>
              <w:jc w:val="both"/>
              <w:rPr>
                <w:rFonts w:hint="default"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5、表面处理工艺为：脱脂-抛丸-静电喷涂或其他更优质工艺。</w:t>
            </w:r>
          </w:p>
          <w:p w14:paraId="56246B5E">
            <w:pPr>
              <w:widowControl w:val="0"/>
              <w:tabs>
                <w:tab w:val="left" w:pos="522"/>
              </w:tabs>
              <w:spacing w:line="370" w:lineRule="exact"/>
              <w:jc w:val="both"/>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6、乒乓球桌台面SMC材料，翻边高50mm,板面厚5mm，台板背面井字型结构加强筋；支撑框架4纵4横结构连接；撑管采用30×20×2.0mm钢管；彩虹腿采用φ60mm×3mm焊管；网架采用钢管与钢板拼焊而成。</w:t>
            </w:r>
          </w:p>
          <w:p w14:paraId="1CAD976C">
            <w:pPr>
              <w:widowControl w:val="0"/>
              <w:tabs>
                <w:tab w:val="left" w:pos="522"/>
              </w:tabs>
              <w:spacing w:line="370" w:lineRule="exact"/>
              <w:jc w:val="both"/>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7、棱边和棱角半径不小于3.0mm。</w:t>
            </w:r>
          </w:p>
          <w:p w14:paraId="61948993">
            <w:pPr>
              <w:widowControl w:val="0"/>
              <w:tabs>
                <w:tab w:val="left" w:pos="522"/>
              </w:tabs>
              <w:spacing w:line="370" w:lineRule="exact"/>
              <w:jc w:val="both"/>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8、紧固件材质为不锈钢，具有防盗.防锈.防松功能，螺纹突出部分不应超过其螺距3倍的长度，需专用工具方可拆卸。</w:t>
            </w:r>
          </w:p>
          <w:p w14:paraId="709D57CD">
            <w:pPr>
              <w:widowControl w:val="0"/>
              <w:tabs>
                <w:tab w:val="left" w:pos="522"/>
              </w:tabs>
              <w:spacing w:line="370" w:lineRule="exact"/>
              <w:jc w:val="both"/>
              <w:rPr>
                <w:rFonts w:hint="eastAsia" w:ascii="宋体-PUA" w:hAnsi="宋体-PUA" w:eastAsia="宋体-PUA" w:cs="宋体-PUA"/>
                <w:kern w:val="2"/>
                <w:sz w:val="21"/>
                <w:szCs w:val="21"/>
                <w:lang w:val="en-US" w:eastAsia="zh-CN" w:bidi="ar-SA"/>
              </w:rPr>
            </w:pPr>
            <w:r>
              <w:rPr>
                <w:rFonts w:hint="eastAsia" w:ascii="宋体-PUA" w:hAnsi="宋体-PUA" w:eastAsia="宋体-PUA" w:cs="宋体-PUA"/>
                <w:kern w:val="2"/>
                <w:sz w:val="21"/>
                <w:szCs w:val="21"/>
                <w:lang w:val="en-US" w:eastAsia="zh-CN" w:bidi="ar-SA"/>
              </w:rPr>
              <w:t>注：第1-5项具体参数以投标品牌NSCC国体认证登记信息为准，第6项具体参数以国家体育用品质量监督检验中心检测报告为准，其余以</w:t>
            </w:r>
            <w:r>
              <w:rPr>
                <w:rFonts w:hint="default" w:ascii="Calibri" w:hAnsi="Calibri" w:eastAsia="宋体" w:cs="Times New Roman"/>
                <w:kern w:val="2"/>
                <w:sz w:val="21"/>
                <w:szCs w:val="22"/>
                <w:lang w:val="en-US" w:eastAsia="zh-CN" w:bidi="ar-SA"/>
              </w:rPr>
              <w:t>《响应偏离表》</w:t>
            </w:r>
            <w:r>
              <w:rPr>
                <w:rFonts w:hint="eastAsia" w:ascii="Calibri" w:hAnsi="Calibri" w:eastAsia="宋体" w:cs="Times New Roman"/>
                <w:kern w:val="2"/>
                <w:sz w:val="21"/>
                <w:szCs w:val="22"/>
                <w:lang w:val="en-US" w:eastAsia="zh-CN" w:bidi="ar-SA"/>
              </w:rPr>
              <w:t>为准</w:t>
            </w:r>
            <w:r>
              <w:rPr>
                <w:rFonts w:hint="eastAsia" w:ascii="宋体-PUA" w:hAnsi="宋体-PUA" w:eastAsia="宋体-PUA" w:cs="宋体-PUA"/>
                <w:kern w:val="2"/>
                <w:sz w:val="21"/>
                <w:szCs w:val="21"/>
                <w:lang w:val="en-US" w:eastAsia="zh-CN" w:bidi="ar-SA"/>
              </w:rPr>
              <w:t>。</w:t>
            </w:r>
          </w:p>
        </w:tc>
        <w:tc>
          <w:tcPr>
            <w:tcW w:w="230" w:type="pct"/>
            <w:noWrap w:val="0"/>
            <w:vAlign w:val="center"/>
          </w:tcPr>
          <w:p w14:paraId="67CAD423">
            <w:pPr>
              <w:jc w:val="center"/>
              <w:rPr>
                <w:rFonts w:hint="eastAsia" w:ascii="Calibri" w:hAnsi="Calibri" w:eastAsia="宋体" w:cs="Times New Roman"/>
                <w:b w:val="0"/>
                <w:kern w:val="2"/>
                <w:sz w:val="21"/>
                <w:szCs w:val="22"/>
                <w:lang w:val="en-US" w:eastAsia="zh-CN" w:bidi="ar-SA"/>
              </w:rPr>
            </w:pPr>
            <w:r>
              <w:rPr>
                <w:rFonts w:hint="eastAsia" w:ascii="Times New Roman" w:hAnsi="Times New Roman" w:eastAsia="宋体" w:cs="Times New Roman"/>
                <w:b w:val="0"/>
                <w:kern w:val="2"/>
                <w:sz w:val="21"/>
                <w:szCs w:val="22"/>
                <w:lang w:val="en-US" w:eastAsia="zh-CN" w:bidi="ar-SA"/>
              </w:rPr>
              <w:t>张</w:t>
            </w:r>
          </w:p>
        </w:tc>
        <w:tc>
          <w:tcPr>
            <w:tcW w:w="227" w:type="pct"/>
            <w:noWrap w:val="0"/>
            <w:vAlign w:val="center"/>
          </w:tcPr>
          <w:p w14:paraId="52DFCB33">
            <w:pPr>
              <w:jc w:val="center"/>
              <w:rPr>
                <w:rFonts w:hint="default" w:ascii="Calibri" w:hAnsi="Calibri" w:eastAsia="宋体" w:cs="Times New Roman"/>
                <w:b w:val="0"/>
                <w:kern w:val="2"/>
                <w:sz w:val="21"/>
                <w:szCs w:val="22"/>
                <w:lang w:val="en-US" w:eastAsia="zh-CN" w:bidi="ar-SA"/>
              </w:rPr>
            </w:pPr>
            <w:r>
              <w:rPr>
                <w:rFonts w:hint="eastAsia" w:ascii="Calibri" w:hAnsi="Calibri" w:eastAsia="宋体" w:cs="Times New Roman"/>
                <w:b w:val="0"/>
                <w:kern w:val="2"/>
                <w:sz w:val="21"/>
                <w:szCs w:val="22"/>
                <w:lang w:val="en-US" w:eastAsia="zh-CN" w:bidi="ar-SA"/>
              </w:rPr>
              <w:t>200</w:t>
            </w:r>
          </w:p>
        </w:tc>
      </w:tr>
    </w:tbl>
    <w:p w14:paraId="56C1598E">
      <w:pPr>
        <w:widowControl w:val="0"/>
        <w:jc w:val="both"/>
        <w:rPr>
          <w:rFonts w:hint="default" w:ascii="楷体_GB2312" w:hAnsi="Arial" w:eastAsia="楷体_GB2312" w:cs="Times New Roman"/>
          <w:sz w:val="28"/>
          <w:szCs w:val="28"/>
          <w:lang w:val="en-US" w:eastAsia="zh-CN" w:bidi="ar-SA"/>
        </w:rPr>
      </w:pPr>
    </w:p>
    <w:p w14:paraId="5C8FC2AF">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分包四：</w:t>
      </w:r>
    </w:p>
    <w:p w14:paraId="3E1CBC41">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笼式多功能灯光球场2片，含围网、灯光、悬浮式拼装地板地面及运动器材等。</w:t>
      </w:r>
    </w:p>
    <w:p w14:paraId="5BB0B28B">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 xml:space="preserve">★（一）篮球场场地尺寸：2片篮球场,总体尺寸35米*37米，围网总长度≥144米，围网高度4米；悬浮式拼装地板总面积≥1295平方米，平均厚度≥17.5mm。场地合理配置2个出入门，出入门设计需采购人审核同意。  </w:t>
      </w:r>
    </w:p>
    <w:p w14:paraId="5190DB47">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投标围网（笼式足球场、笼式多功能场地等）须符合“室外健身器材的安全通用要求（GB19272-2024）”的有关要求，并提供国家体育用品质量检验检测中心出具的检验报告以及国家体育总局认可的权威检测机构相关证书（含非有效期证书的确认函），否则作为无效投标处理。</w:t>
      </w:r>
    </w:p>
    <w:p w14:paraId="7668FEED">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★（三）投标悬浮式拼装地板检测符合“GB/T14833-2020标准”的有关要求，并提供第三方合法合规检测机构出具的检验报告，否则作为无效投标处理。</w:t>
      </w:r>
    </w:p>
    <w:p w14:paraId="0E98B78B">
      <w:pPr>
        <w:adjustRightInd w:val="0"/>
        <w:snapToGrid w:val="0"/>
        <w:spacing w:line="360" w:lineRule="auto"/>
        <w:ind w:firstLine="482" w:firstLineChars="200"/>
        <w:rPr>
          <w:rFonts w:hint="default"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★（四）投标篮球架符合</w:t>
      </w:r>
      <w:r>
        <w:rPr>
          <w:rFonts w:hint="eastAsia" w:ascii="宋体" w:hAnsi="宋体" w:eastAsia="宋体" w:cs="宋体"/>
          <w:b/>
          <w:bCs/>
          <w:color w:val="auto"/>
          <w:sz w:val="24"/>
          <w:szCs w:val="22"/>
          <w:highlight w:val="none"/>
          <w:lang w:val="en-US" w:eastAsia="zh-CN" w:bidi="ar-SA"/>
        </w:rPr>
        <w:tab/>
      </w:r>
      <w:r>
        <w:rPr>
          <w:rFonts w:hint="eastAsia" w:ascii="宋体" w:hAnsi="宋体" w:eastAsia="宋体" w:cs="宋体"/>
          <w:b/>
          <w:bCs/>
          <w:color w:val="auto"/>
          <w:sz w:val="24"/>
          <w:szCs w:val="22"/>
          <w:highlight w:val="none"/>
          <w:lang w:val="en-US" w:eastAsia="zh-CN" w:bidi="ar-SA"/>
        </w:rPr>
        <w:t>GB/T23176-2008《篮球架》的检验要求，并提供国家体育用品质量检验检测中心出具的检验报告，否则作为无效投标处理。</w:t>
      </w:r>
    </w:p>
    <w:p w14:paraId="41E26D9F">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（五）框架式场地围网系统：</w:t>
      </w:r>
    </w:p>
    <w:p w14:paraId="6DC69D98">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1.框架：围网主要承载立柱采用（Q235B材质）Ф76×3mm的优质钢管，立柱间隔≤3m，埋入地下深度400mm，地基尺寸400mm×400mm。主要承载立柱尺寸以国家体育总局认可的权威检测机构相关证书登记信息为依据，证书中所登记信息未明确标注主要承载立柱尺寸信息的视为负偏离。</w:t>
      </w:r>
    </w:p>
    <w:p w14:paraId="06DB1AD9">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2.围网主要承载横梁采用（Q235B材质）Ф60×3mm的优质钢管，位于立柱顶端，横向与立柱连接，在不安装网片情况下，构建成独立框架结构。主要承载横梁尺寸以国家体育总局认可的权威检测机构相关证书登记信息为依据，证书中所登记信息未明确标注主要承载横梁尺寸信息的视为负偏离。</w:t>
      </w:r>
    </w:p>
    <w:p w14:paraId="44065B69">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3.围网采用模块拼接式，围网总高度4000mm，现场立柱独立直埋或预埋后安装网片。围网框架主要承载横梁采用（Q235B材质）Ф60×3mm或60×40×3mm的优质钢管。所有管材表面须经过静电粉末喷塑处理，颜色为墨绿色，色泽保持八年不变。</w:t>
      </w:r>
    </w:p>
    <w:p w14:paraId="0AAB1B19">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4.围网进出口为1.4m宽、2m高的双开式框架进出口，采用50×50×t 2.5mm的方管，全部采用防盗不锈钢螺栓，并采用防松螺母防松方式，保证连接长期可靠，风载荷标准值0.35Kn/m2。</w:t>
      </w:r>
    </w:p>
    <w:p w14:paraId="3A7FDC5F">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★5.围网网片使用压框覆盖包塑网，防止刮伤。</w:t>
      </w:r>
    </w:p>
    <w:p w14:paraId="416F4A9E">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6.网丝：包塑网片丝浸塑处理后网片径Ф4.0mm, 采用优质低碳镀锌钢丝，处理前丝径≥Ф3 mm，网孔50 mm，勾花网或链式网，受到撞击后可迅速恢复原形，并有效保护使用者在撞击围网时不受伤害；网丝颜色为墨绿色，表面光滑细腻，吸水率为0%。围网孔径与运动功能相适应，具有防止球脱出的功能。</w:t>
      </w:r>
    </w:p>
    <w:p w14:paraId="68DA96DA">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（六）篮球架：</w:t>
      </w:r>
    </w:p>
    <w:p w14:paraId="578B1BD9">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1. 篮球架伸臂长2.25m，篮圈上沿离地面3.05m，篮架底座尺寸长x宽=2.0x1（m）。</w:t>
      </w:r>
    </w:p>
    <w:p w14:paraId="1561EE71">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2.产品用材。球架立柱采用定制口150x150x4优质大圆角方管制作，圆角R30mm，造型美观，安全性高；篮架伸臂采用δ3进口优质铁板在连续模中进行冲压成型，保持产品的美观性和统配性，伸臂上拉杆固定孔均采用冲压成型后焊接内置焊接螺母，篮架立柱底板采用优质精密铸钢件制作，造型美观大方，性能安全可靠，篮架上拉杆采用Φ48×2圆管与后拉杆采用口50×40×3优质方管在特制弯管设备上一次成型，避免了电焊及焊渣易引起生锈的隐患。球架底座轮廓采用δ3进口优质铁板在自动机器人线辅助冲压成型后再由全自动焊接线进行焊接。为了增强球架的使用安全性，单只球架可放置配重物不少于510kg。篮架所有紧固件均采用热镀锌处理，能保证长年不生锈。</w:t>
      </w:r>
    </w:p>
    <w:p w14:paraId="5E87909D">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3.篮板。规格：1800x1050（mm），篮板配用国际通用的高强度安全玻璃篮板，具有透明度高、耐侯性好、抗老化、耐腐蚀、不易模糊等特点，并在篮板下沿及侧面覆盖有保护条，能保护运动员运动时不受伤害。</w:t>
      </w:r>
    </w:p>
    <w:p w14:paraId="0EA81FA5">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4.篮圈。篮圈采用φ19实心圆钢制作，圈下焊有冲压成型的圆弧形网钩，十二段均匀分布留适当间隙，配篮网。篮圈抗弯性能好，水平固定在篮板上，与篮架连接的钢板和篮圈盖板均采用优质钢板一次冲压成型，造型美观。</w:t>
      </w:r>
    </w:p>
    <w:p w14:paraId="59F35A85">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sz w:val="24"/>
          <w:szCs w:val="24"/>
          <w:lang w:val="en-US" w:eastAsia="zh-CN" w:bidi="ar-SA"/>
        </w:rPr>
      </w:pPr>
      <w:r>
        <w:rPr>
          <w:rFonts w:hint="eastAsia" w:ascii="宋体" w:hAnsi="宋体" w:eastAsia="宋体" w:cs="Times New Roman"/>
          <w:sz w:val="24"/>
          <w:szCs w:val="24"/>
          <w:lang w:val="en-US" w:eastAsia="zh-CN" w:bidi="ar-SA"/>
        </w:rPr>
        <w:t>5.表面处理。产品涂层厚度70—80um，铅笔硬度达3H+。产品具有耐酸碱、耐湿热、抗老化、外观美观等优点，能适合潮湿和酸雨环境，且前处理过程以及产品涂料配方均不含有毒元素，避免损害使用者的健康。</w:t>
      </w:r>
    </w:p>
    <w:p w14:paraId="030B112A">
      <w:pPr>
        <w:widowControl/>
        <w:numPr>
          <w:ilvl w:val="0"/>
          <w:numId w:val="0"/>
        </w:numPr>
        <w:tabs>
          <w:tab w:val="left" w:pos="240"/>
        </w:tabs>
        <w:spacing w:after="120" w:line="360" w:lineRule="auto"/>
        <w:ind w:leftChars="0"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rPr>
        <w:t>（七）</w:t>
      </w:r>
      <w:r>
        <w:rPr>
          <w:rFonts w:hint="eastAsia" w:ascii="宋体" w:hAnsi="宋体" w:eastAsia="宋体" w:cs="Times New Roman"/>
          <w:kern w:val="2"/>
          <w:sz w:val="24"/>
          <w:szCs w:val="24"/>
        </w:rPr>
        <w:t xml:space="preserve">宣传标示牌： </w:t>
      </w:r>
    </w:p>
    <w:p w14:paraId="1A233E4C">
      <w:pPr>
        <w:widowControl/>
        <w:adjustRightInd w:val="0"/>
        <w:snapToGrid w:val="0"/>
        <w:spacing w:line="360" w:lineRule="auto"/>
        <w:ind w:firstLine="480" w:firstLineChars="200"/>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1.应牢固固定于进出口区域，面板采用不锈钢材质，耐蚀性能相当于0Cr18Ni9（SUS304），厚度1mm，面板边缘及尖角不得翘起，图样及字样蚀刻处理。</w:t>
      </w:r>
    </w:p>
    <w:p w14:paraId="5B036B59">
      <w:pPr>
        <w:widowControl/>
        <w:adjustRightInd w:val="0"/>
        <w:snapToGrid w:val="0"/>
        <w:spacing w:line="360" w:lineRule="auto"/>
        <w:ind w:firstLine="480" w:firstLineChars="200"/>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2.每块场地1块宣传标示牌。内容包含：中国体育彩票公益金资助标识；产品名称、型号；简明的科学健身提示，功能介绍、使用方法，产品使用安全注意事项、必要的警示标志；产品供应商的全称、生产地址、安装日期、安全使用年限、执行标准，售后服务电话及督查电话，产品认证标志；管理维护单位及联系电话；报修二维码、联系人、联系方式等。应配备安全警示，应有禁止攀爬的警示语，安全出/入口的标示。内容须经采购人审核同意后方可制作。</w:t>
      </w:r>
    </w:p>
    <w:p w14:paraId="545D270A">
      <w:pPr>
        <w:widowControl/>
        <w:adjustRightInd w:val="0"/>
        <w:snapToGrid w:val="0"/>
        <w:spacing w:line="360" w:lineRule="auto"/>
        <w:ind w:firstLine="480" w:firstLineChars="200"/>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（八）场地运动面层系统：悬浮式拼装地板。</w:t>
      </w:r>
    </w:p>
    <w:p w14:paraId="618C899B">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1.悬浮式拼装地板采用PP(聚丙烯)，无毒、无味、绿色环保。双层镂空设计，宽梁加大平面接触率，细腻磨砂防滑纹理，地板结构为25小块软连接结构设计，弹性可伸缩，防止气候变化导致地板热胀冷缩而产生的起鼓，断裂，立体多重固化结构、不变形、不脱扣。大尺寸板体，铺装效率高，更适用于大型场地，板体不搓动、不位移，场地更稳定。</w:t>
      </w:r>
    </w:p>
    <w:p w14:paraId="10AD2127">
      <w:pPr>
        <w:widowControl/>
        <w:adjustRightInd w:val="0"/>
        <w:snapToGrid w:val="0"/>
        <w:spacing w:line="360" w:lineRule="auto"/>
        <w:ind w:firstLine="480" w:firstLineChars="200"/>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2.地板规格要求：50×50cm，地板厚度不低于17.5mm。</w:t>
      </w:r>
    </w:p>
    <w:p w14:paraId="0C2F98A3">
      <w:pPr>
        <w:widowControl/>
        <w:adjustRightInd w:val="0"/>
        <w:snapToGrid w:val="0"/>
        <w:spacing w:line="360" w:lineRule="auto"/>
        <w:ind w:firstLine="480" w:firstLineChars="200"/>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3.依据GB/T14833-2020标准，冲击吸收（23℃±2℃）：20%-50%，垂直变形：≤3mm，球反弹率：≥75%，撕裂强度：≥5kN/m。</w:t>
      </w:r>
    </w:p>
    <w:p w14:paraId="5C4F8384">
      <w:pPr>
        <w:widowControl/>
        <w:adjustRightInd w:val="0"/>
        <w:snapToGrid w:val="0"/>
        <w:spacing w:line="360" w:lineRule="auto"/>
        <w:ind w:firstLine="480" w:firstLineChars="200"/>
        <w:jc w:val="left"/>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4.依据GB/T14833-2020标准，甲醛：≤0.4mg/(m².h)，甲苯、二甲苯和乙苯总和：≤1.0mg/(m².h)，可溶性铅含量：≤50mg/kg，可溶性镉含量：≤10mg/kg，游离甲苯二异氰酸酯（TDI）和游离六亚甲基二异氰酸酯（HDI）≤0.2g /kg。</w:t>
      </w:r>
    </w:p>
    <w:p w14:paraId="03F2D020">
      <w:pPr>
        <w:widowControl w:val="0"/>
        <w:numPr>
          <w:ilvl w:val="0"/>
          <w:numId w:val="0"/>
        </w:numPr>
        <w:tabs>
          <w:tab w:val="center" w:pos="4153"/>
        </w:tabs>
        <w:spacing w:line="360" w:lineRule="auto"/>
        <w:ind w:firstLine="480" w:firstLineChars="200"/>
        <w:jc w:val="both"/>
        <w:rPr>
          <w:rFonts w:hint="eastAsia" w:ascii="宋体" w:hAnsi="宋体" w:eastAsia="宋体" w:cs="Calibri"/>
          <w:kern w:val="2"/>
          <w:sz w:val="24"/>
          <w:szCs w:val="24"/>
          <w:lang w:val="en-US" w:eastAsia="zh-CN" w:bidi="ar-SA"/>
        </w:rPr>
      </w:pPr>
      <w:r>
        <w:rPr>
          <w:rFonts w:hint="eastAsia" w:ascii="宋体" w:hAnsi="宋体" w:eastAsia="宋体" w:cs="Calibri"/>
          <w:kern w:val="2"/>
          <w:sz w:val="24"/>
          <w:szCs w:val="24"/>
          <w:lang w:val="en-US" w:eastAsia="zh-CN" w:bidi="ar-SA"/>
        </w:rPr>
        <w:t>（九）配套灯光系统</w:t>
      </w:r>
    </w:p>
    <w:p w14:paraId="16D0194D">
      <w:pPr>
        <w:widowControl w:val="0"/>
        <w:numPr>
          <w:ilvl w:val="0"/>
          <w:numId w:val="0"/>
        </w:numPr>
        <w:tabs>
          <w:tab w:val="center" w:pos="4153"/>
        </w:tabs>
        <w:spacing w:line="360" w:lineRule="auto"/>
        <w:ind w:firstLine="480" w:firstLineChars="200"/>
        <w:jc w:val="both"/>
        <w:rPr>
          <w:rFonts w:hint="eastAsia" w:ascii="宋体" w:hAnsi="宋体" w:eastAsia="宋体" w:cs="Calibri"/>
          <w:kern w:val="2"/>
          <w:sz w:val="24"/>
          <w:szCs w:val="24"/>
          <w:lang w:val="en-US" w:eastAsia="zh-CN" w:bidi="ar-SA"/>
        </w:rPr>
      </w:pPr>
      <w:r>
        <w:rPr>
          <w:rFonts w:hint="eastAsia" w:ascii="宋体" w:hAnsi="宋体" w:eastAsia="宋体" w:cs="Calibri"/>
          <w:kern w:val="2"/>
          <w:sz w:val="24"/>
          <w:szCs w:val="24"/>
          <w:highlight w:val="none"/>
          <w:lang w:val="en-US" w:eastAsia="zh-CN" w:bidi="ar-SA"/>
        </w:rPr>
        <w:t>1.</w:t>
      </w:r>
      <w:r>
        <w:rPr>
          <w:rFonts w:hint="eastAsia" w:ascii="宋体" w:hAnsi="宋体" w:eastAsia="宋体" w:cs="Calibri"/>
          <w:kern w:val="2"/>
          <w:sz w:val="24"/>
          <w:szCs w:val="24"/>
          <w:lang w:val="en-US" w:eastAsia="zh-CN" w:bidi="ar-SA"/>
        </w:rPr>
        <w:t>单片场地，灯柱为围网的一部分，在整场围网中亦为围网的主立柱，增强围网的稳定性。灯柱采用（Q235B材质）≥Ф114×3mm的优质钢管，6米高。</w:t>
      </w:r>
    </w:p>
    <w:p w14:paraId="10D56D2B">
      <w:pPr>
        <w:widowControl w:val="0"/>
        <w:numPr>
          <w:ilvl w:val="0"/>
          <w:numId w:val="0"/>
        </w:numPr>
        <w:tabs>
          <w:tab w:val="center" w:pos="4153"/>
        </w:tabs>
        <w:spacing w:line="360" w:lineRule="auto"/>
        <w:ind w:firstLine="480" w:firstLineChars="200"/>
        <w:jc w:val="both"/>
        <w:rPr>
          <w:rFonts w:hint="default" w:ascii="宋体" w:hAnsi="宋体" w:eastAsia="宋体" w:cs="Calibri"/>
          <w:kern w:val="2"/>
          <w:sz w:val="24"/>
          <w:szCs w:val="24"/>
          <w:lang w:val="en-US" w:eastAsia="zh-CN" w:bidi="ar-SA"/>
        </w:rPr>
      </w:pPr>
      <w:r>
        <w:rPr>
          <w:rFonts w:hint="eastAsia" w:ascii="宋体" w:hAnsi="宋体" w:eastAsia="宋体" w:cs="Calibri"/>
          <w:kern w:val="2"/>
          <w:sz w:val="24"/>
          <w:szCs w:val="24"/>
          <w:lang w:val="en-US" w:eastAsia="zh-CN" w:bidi="ar-SA"/>
        </w:rPr>
        <w:t>2.篮球场单片灯柱8根。所有灯柱每个灯头分别配套LED投光照明灯。灯柱采用预埋或直埋方式，预埋深度600mm，地基尺寸600×600mm。连片场地，相邻球场灯柱可单独设置或者混合使用，设置和混合使用方案须经采购方同意。</w:t>
      </w:r>
    </w:p>
    <w:p w14:paraId="61D208B7">
      <w:pPr>
        <w:widowControl w:val="0"/>
        <w:numPr>
          <w:ilvl w:val="0"/>
          <w:numId w:val="0"/>
        </w:numPr>
        <w:tabs>
          <w:tab w:val="center" w:pos="4153"/>
        </w:tabs>
        <w:spacing w:line="360" w:lineRule="auto"/>
        <w:ind w:firstLine="480" w:firstLineChars="200"/>
        <w:jc w:val="both"/>
        <w:rPr>
          <w:rFonts w:hint="eastAsia" w:ascii="宋体" w:hAnsi="宋体" w:eastAsia="宋体" w:cs="Calibri"/>
          <w:kern w:val="2"/>
          <w:sz w:val="24"/>
          <w:szCs w:val="24"/>
          <w:lang w:val="en-US" w:eastAsia="zh-CN" w:bidi="ar-SA"/>
        </w:rPr>
      </w:pPr>
      <w:r>
        <w:rPr>
          <w:rFonts w:hint="eastAsia" w:ascii="宋体" w:hAnsi="宋体" w:eastAsia="宋体" w:cs="Calibri"/>
          <w:kern w:val="2"/>
          <w:sz w:val="24"/>
          <w:szCs w:val="24"/>
          <w:lang w:val="en-US" w:eastAsia="zh-CN" w:bidi="ar-SA"/>
        </w:rPr>
        <w:t>3.每块场地均需独立配备配电柜。配电柜及线路：电线（场内、场外RVV4平方线分别配备100米，灯柱内RVV2.5平方线），配三相63A漏电开关及双极15A空气开关，分组控制，分两个回路，使用一半灯照明时，相隔灯亮。带漏电保护（采用配电箱，开关、电线与电负荷相匹配）。所有电线均需用PVC管穿套后地埋，地埋深度不低于10cm，通过灯柱内与顶端的灯具连接，PVC管的连接处必须密封，严禁PVC套管及电线裸露在外。</w:t>
      </w:r>
    </w:p>
    <w:p w14:paraId="2A176342">
      <w:pPr>
        <w:widowControl w:val="0"/>
        <w:numPr>
          <w:ilvl w:val="0"/>
          <w:numId w:val="0"/>
        </w:numPr>
        <w:tabs>
          <w:tab w:val="center" w:pos="4153"/>
        </w:tabs>
        <w:spacing w:line="360" w:lineRule="auto"/>
        <w:ind w:firstLine="480" w:firstLineChars="200"/>
        <w:jc w:val="both"/>
        <w:rPr>
          <w:rFonts w:hint="eastAsia" w:ascii="宋体" w:hAnsi="宋体" w:eastAsia="宋体" w:cs="Calibri"/>
          <w:kern w:val="2"/>
          <w:sz w:val="24"/>
          <w:szCs w:val="24"/>
          <w:lang w:val="en-US" w:eastAsia="zh-CN" w:bidi="ar-SA"/>
        </w:rPr>
      </w:pPr>
      <w:r>
        <w:rPr>
          <w:rFonts w:hint="eastAsia" w:ascii="宋体" w:hAnsi="宋体" w:eastAsia="宋体" w:cs="Calibri"/>
          <w:kern w:val="2"/>
          <w:sz w:val="24"/>
          <w:szCs w:val="24"/>
          <w:lang w:val="en-US" w:eastAsia="zh-CN" w:bidi="ar-SA"/>
        </w:rPr>
        <w:t>4.灯具采用室外球场专用灯具。可30°角调节，</w:t>
      </w:r>
      <w:r>
        <w:rPr>
          <w:rFonts w:hint="eastAsia" w:ascii="Times New Roman" w:hAnsi="Times New Roman" w:eastAsia="宋体" w:cs="Calibri"/>
          <w:kern w:val="2"/>
          <w:sz w:val="24"/>
          <w:szCs w:val="32"/>
          <w:lang w:val="en-US" w:eastAsia="zh-CN" w:bidi="ar-SA"/>
        </w:rPr>
        <w:t>最少具有3种及以上配光，</w:t>
      </w:r>
      <w:r>
        <w:rPr>
          <w:rFonts w:hint="eastAsia" w:ascii="宋体" w:hAnsi="宋体" w:eastAsia="宋体" w:cs="Calibri"/>
          <w:kern w:val="2"/>
          <w:sz w:val="24"/>
          <w:szCs w:val="24"/>
          <w:lang w:val="en-US" w:eastAsia="zh-CN" w:bidi="ar-SA"/>
        </w:rPr>
        <w:t>亮度符合国际标准，光照度均匀，灯光柔和不刺眼，</w:t>
      </w:r>
      <w:r>
        <w:rPr>
          <w:rFonts w:hint="eastAsia" w:ascii="Times New Roman" w:hAnsi="Times New Roman" w:eastAsia="宋体" w:cs="Calibri"/>
          <w:kern w:val="2"/>
          <w:sz w:val="24"/>
          <w:szCs w:val="32"/>
          <w:lang w:val="en-US" w:eastAsia="zh-CN" w:bidi="ar-SA"/>
        </w:rPr>
        <w:t>避免眩光</w:t>
      </w:r>
      <w:r>
        <w:rPr>
          <w:rFonts w:hint="eastAsia" w:ascii="宋体" w:hAnsi="宋体" w:eastAsia="宋体" w:cs="Calibri"/>
          <w:kern w:val="2"/>
          <w:sz w:val="24"/>
          <w:szCs w:val="24"/>
          <w:lang w:val="en-US" w:eastAsia="zh-CN" w:bidi="ar-SA"/>
        </w:rPr>
        <w:t>。</w:t>
      </w:r>
      <w:r>
        <w:rPr>
          <w:rFonts w:hint="eastAsia" w:ascii="Times New Roman" w:hAnsi="Times New Roman" w:eastAsia="宋体" w:cs="Calibri"/>
          <w:kern w:val="2"/>
          <w:sz w:val="24"/>
          <w:szCs w:val="32"/>
          <w:lang w:val="en-US" w:eastAsia="zh-CN" w:bidi="ar-SA"/>
        </w:rPr>
        <w:t>灯具采用LED光源，采用SMD封装模式，不可采用LED集成光源、COB光源。</w:t>
      </w:r>
    </w:p>
    <w:p w14:paraId="6BA155BC">
      <w:pPr>
        <w:widowControl w:val="0"/>
        <w:numPr>
          <w:ilvl w:val="0"/>
          <w:numId w:val="0"/>
        </w:numPr>
        <w:tabs>
          <w:tab w:val="center" w:pos="4153"/>
        </w:tabs>
        <w:spacing w:line="360" w:lineRule="auto"/>
        <w:ind w:firstLine="480" w:firstLineChars="200"/>
        <w:jc w:val="both"/>
        <w:rPr>
          <w:rFonts w:hint="eastAsia" w:ascii="Times New Roman" w:hAnsi="Times New Roman" w:eastAsia="宋体" w:cs="Calibri"/>
          <w:kern w:val="2"/>
          <w:sz w:val="24"/>
          <w:szCs w:val="32"/>
          <w:lang w:val="en-US" w:eastAsia="zh-CN" w:bidi="ar-SA"/>
        </w:rPr>
      </w:pPr>
      <w:r>
        <w:rPr>
          <w:rFonts w:hint="eastAsia" w:ascii="宋体" w:hAnsi="宋体" w:eastAsia="宋体" w:cs="Calibri"/>
          <w:kern w:val="2"/>
          <w:sz w:val="24"/>
          <w:szCs w:val="24"/>
          <w:lang w:val="en-US" w:eastAsia="zh-CN" w:bidi="ar-SA"/>
        </w:rPr>
        <w:t>5.单个灯具</w:t>
      </w:r>
      <w:r>
        <w:rPr>
          <w:rFonts w:hint="eastAsia" w:ascii="Times New Roman" w:hAnsi="Times New Roman" w:eastAsia="宋体" w:cs="Calibri"/>
          <w:kern w:val="2"/>
          <w:sz w:val="24"/>
          <w:szCs w:val="32"/>
          <w:lang w:val="en-US" w:eastAsia="zh-CN" w:bidi="ar-SA"/>
        </w:rPr>
        <w:t>额定电压：220V-50/60HZ，功率：200W，额定电流：1A，光通量：≥24000lm，色温：5000-6000K。显色指数：Ra≥80，功率因数≥0.97；</w:t>
      </w:r>
      <w:r>
        <w:rPr>
          <w:rFonts w:hint="eastAsia" w:ascii="Times New Roman" w:hAnsi="Times New Roman" w:eastAsia="宋体" w:cs="Calibri"/>
          <w:color w:val="auto"/>
          <w:kern w:val="2"/>
          <w:sz w:val="24"/>
          <w:szCs w:val="24"/>
          <w:lang w:val="en-US" w:eastAsia="zh-CN" w:bidi="ar-SA"/>
        </w:rPr>
        <w:t>UGR≤30（提供相关检测报告，否则视为负偏离）</w:t>
      </w:r>
      <w:r>
        <w:rPr>
          <w:rFonts w:hint="eastAsia" w:ascii="Times New Roman" w:hAnsi="Times New Roman" w:eastAsia="宋体" w:cs="Calibri"/>
          <w:kern w:val="2"/>
          <w:sz w:val="24"/>
          <w:szCs w:val="32"/>
          <w:lang w:val="en-US" w:eastAsia="zh-CN" w:bidi="ar-SA"/>
        </w:rPr>
        <w:t>。</w:t>
      </w:r>
    </w:p>
    <w:p w14:paraId="7D8DEA66">
      <w:pPr>
        <w:widowControl w:val="0"/>
        <w:numPr>
          <w:ilvl w:val="0"/>
          <w:numId w:val="0"/>
        </w:numPr>
        <w:tabs>
          <w:tab w:val="center" w:pos="4153"/>
        </w:tabs>
        <w:spacing w:line="360" w:lineRule="auto"/>
        <w:ind w:firstLine="480" w:firstLineChars="200"/>
        <w:jc w:val="both"/>
        <w:rPr>
          <w:rFonts w:hint="eastAsia" w:ascii="Times New Roman" w:hAnsi="Times New Roman" w:eastAsia="宋体" w:cs="Calibri"/>
          <w:kern w:val="2"/>
          <w:sz w:val="24"/>
          <w:szCs w:val="32"/>
          <w:lang w:val="en-US" w:eastAsia="zh-CN" w:bidi="ar-SA"/>
        </w:rPr>
      </w:pPr>
      <w:r>
        <w:rPr>
          <w:rFonts w:hint="eastAsia" w:ascii="Times New Roman" w:hAnsi="Times New Roman" w:eastAsia="宋体" w:cs="Calibri"/>
          <w:kern w:val="2"/>
          <w:sz w:val="24"/>
          <w:szCs w:val="32"/>
          <w:lang w:val="en-US" w:eastAsia="zh-CN" w:bidi="ar-SA"/>
        </w:rPr>
        <w:t>6.灯具采用航空铝（海军铝）合金耐腐蚀性材料，并采用先进镀锌工艺处理。防护等级≥IP65，使用环境温度 （℃）： -20～+40 。灯具防腐等级达到WF2（提供检测报告</w:t>
      </w:r>
      <w:r>
        <w:rPr>
          <w:rFonts w:hint="eastAsia" w:ascii="Times New Roman" w:hAnsi="Times New Roman" w:eastAsia="宋体" w:cs="Calibri"/>
          <w:color w:val="auto"/>
          <w:kern w:val="2"/>
          <w:sz w:val="24"/>
          <w:szCs w:val="24"/>
          <w:lang w:val="en-US" w:eastAsia="zh-CN" w:bidi="ar-SA"/>
        </w:rPr>
        <w:t>，否则视为负偏离</w:t>
      </w:r>
      <w:r>
        <w:rPr>
          <w:rFonts w:hint="eastAsia" w:ascii="Times New Roman" w:hAnsi="Times New Roman" w:eastAsia="宋体" w:cs="Calibri"/>
          <w:kern w:val="2"/>
          <w:sz w:val="24"/>
          <w:szCs w:val="32"/>
          <w:lang w:val="en-US" w:eastAsia="zh-CN" w:bidi="ar-SA"/>
        </w:rPr>
        <w:t>）。</w:t>
      </w:r>
    </w:p>
    <w:p w14:paraId="5231ED58">
      <w:pPr>
        <w:widowControl w:val="0"/>
        <w:numPr>
          <w:ilvl w:val="0"/>
          <w:numId w:val="0"/>
        </w:numPr>
        <w:tabs>
          <w:tab w:val="center" w:pos="4153"/>
        </w:tabs>
        <w:spacing w:line="360" w:lineRule="auto"/>
        <w:ind w:firstLine="480" w:firstLineChars="200"/>
        <w:jc w:val="both"/>
        <w:rPr>
          <w:rFonts w:hint="eastAsia" w:ascii="Times New Roman" w:hAnsi="Times New Roman" w:eastAsia="宋体" w:cs="Calibri"/>
          <w:kern w:val="2"/>
          <w:sz w:val="24"/>
          <w:szCs w:val="32"/>
          <w:lang w:val="en-US" w:eastAsia="zh-CN" w:bidi="ar-SA"/>
        </w:rPr>
      </w:pPr>
      <w:r>
        <w:rPr>
          <w:rFonts w:hint="eastAsia" w:ascii="Times New Roman" w:hAnsi="Times New Roman" w:eastAsia="宋体" w:cs="Calibri"/>
          <w:kern w:val="2"/>
          <w:sz w:val="24"/>
          <w:szCs w:val="32"/>
          <w:lang w:val="en-US" w:eastAsia="zh-CN" w:bidi="ar-SA"/>
        </w:rPr>
        <w:t>7.灯具驱动采用优质电子器件，恒流电路设计技术；驱动电源带有防雷设计、具有过电流过电压保护、短路保护、抗浪涌、过温保护功能；驱动内部要采用灌胶工艺，防护等级达到IP66。</w:t>
      </w:r>
    </w:p>
    <w:p w14:paraId="28425AA1">
      <w:pPr>
        <w:widowControl w:val="0"/>
        <w:numPr>
          <w:ilvl w:val="0"/>
          <w:numId w:val="0"/>
        </w:numPr>
        <w:tabs>
          <w:tab w:val="center" w:pos="4153"/>
        </w:tabs>
        <w:spacing w:line="360" w:lineRule="auto"/>
        <w:ind w:firstLine="480" w:firstLineChars="200"/>
        <w:jc w:val="both"/>
        <w:rPr>
          <w:rFonts w:hint="eastAsia" w:ascii="Times New Roman" w:hAnsi="Times New Roman" w:eastAsia="宋体" w:cs="Calibri"/>
          <w:kern w:val="2"/>
          <w:sz w:val="24"/>
          <w:szCs w:val="32"/>
          <w:lang w:val="en-US" w:eastAsia="zh-CN" w:bidi="ar-SA"/>
        </w:rPr>
      </w:pPr>
      <w:r>
        <w:rPr>
          <w:rFonts w:hint="eastAsia" w:ascii="Times New Roman" w:hAnsi="Times New Roman" w:eastAsia="宋体" w:cs="Calibri"/>
          <w:kern w:val="2"/>
          <w:sz w:val="24"/>
          <w:szCs w:val="32"/>
          <w:lang w:val="en-US" w:eastAsia="zh-CN" w:bidi="ar-SA"/>
        </w:rPr>
        <w:t>8.</w:t>
      </w:r>
      <w:r>
        <w:rPr>
          <w:rFonts w:hint="eastAsia" w:ascii="宋体" w:hAnsi="宋体" w:eastAsia="宋体" w:cs="Calibri"/>
          <w:kern w:val="2"/>
          <w:sz w:val="24"/>
          <w:szCs w:val="24"/>
          <w:lang w:val="en-US" w:eastAsia="zh-CN" w:bidi="ar-SA"/>
        </w:rPr>
        <w:t>灯具内部需通过结构和材料双重减震，整体抗震性能良好。</w:t>
      </w:r>
      <w:r>
        <w:rPr>
          <w:rFonts w:hint="eastAsia" w:ascii="Times New Roman" w:hAnsi="Times New Roman" w:eastAsia="宋体" w:cs="Calibri"/>
          <w:kern w:val="2"/>
          <w:sz w:val="24"/>
          <w:szCs w:val="32"/>
          <w:lang w:val="en-US" w:eastAsia="zh-CN" w:bidi="ar-SA"/>
        </w:rPr>
        <w:t>灯具经过振动测试，测试等级：IK08。（提供检测报告</w:t>
      </w:r>
      <w:r>
        <w:rPr>
          <w:rFonts w:hint="eastAsia" w:ascii="Times New Roman" w:hAnsi="Times New Roman" w:eastAsia="宋体" w:cs="Calibri"/>
          <w:color w:val="auto"/>
          <w:kern w:val="2"/>
          <w:sz w:val="24"/>
          <w:szCs w:val="24"/>
          <w:lang w:val="en-US" w:eastAsia="zh-CN" w:bidi="ar-SA"/>
        </w:rPr>
        <w:t>，否则视为负偏离</w:t>
      </w:r>
      <w:r>
        <w:rPr>
          <w:rFonts w:hint="eastAsia" w:ascii="Times New Roman" w:hAnsi="Times New Roman" w:eastAsia="宋体" w:cs="Calibri"/>
          <w:kern w:val="2"/>
          <w:sz w:val="24"/>
          <w:szCs w:val="32"/>
          <w:lang w:val="en-US" w:eastAsia="zh-CN" w:bidi="ar-SA"/>
        </w:rPr>
        <w:t>）</w:t>
      </w:r>
    </w:p>
    <w:p w14:paraId="53A488B4">
      <w:pPr>
        <w:adjustRightInd w:val="0"/>
        <w:snapToGrid w:val="0"/>
        <w:spacing w:line="360" w:lineRule="auto"/>
        <w:ind w:firstLine="482" w:firstLineChars="200"/>
        <w:rPr>
          <w:rFonts w:hint="eastAsia"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★9.光源及灯具质保8年，禁止使用假冒伪劣产品，必须是原厂灯具，验收交付所使用的灯具必须与投标灯具一致，否则验收不合格，因此造成的损失由投标人承担。</w:t>
      </w:r>
    </w:p>
    <w:p w14:paraId="2FABF79E">
      <w:pPr>
        <w:widowControl/>
        <w:jc w:val="left"/>
        <w:rPr>
          <w:rFonts w:hint="default" w:ascii="Calibri" w:hAnsi="Calibri" w:eastAsia="Arial" w:cs="Times New Roman"/>
          <w:kern w:val="0"/>
          <w:szCs w:val="22"/>
          <w:lang w:val="en-US" w:eastAsia="zh-CN"/>
        </w:rPr>
      </w:pPr>
    </w:p>
    <w:p w14:paraId="1AD44E8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482" w:firstLineChars="200"/>
        <w:jc w:val="both"/>
        <w:textAlignment w:val="auto"/>
        <w:rPr>
          <w:rFonts w:hint="eastAsia" w:ascii="宋体" w:hAnsi="宋体" w:eastAsia="宋体" w:cs="宋体"/>
          <w:b/>
          <w:bCs/>
          <w:kern w:val="2"/>
          <w:sz w:val="24"/>
          <w:szCs w:val="22"/>
          <w:lang w:val="en-US" w:eastAsia="zh-CN" w:bidi="ar-SA"/>
        </w:rPr>
      </w:pPr>
      <w:r>
        <w:rPr>
          <w:rFonts w:hint="eastAsia" w:ascii="宋体" w:hAnsi="宋体" w:eastAsia="宋体" w:cs="宋体"/>
          <w:b/>
          <w:bCs/>
          <w:kern w:val="2"/>
          <w:sz w:val="24"/>
          <w:szCs w:val="22"/>
          <w:lang w:val="en-US" w:eastAsia="zh-CN" w:bidi="ar-SA"/>
        </w:rPr>
        <w:t>三、付款方式</w:t>
      </w:r>
    </w:p>
    <w:p w14:paraId="333281B8">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对于满足合同约定支付条件的，自收到发票后10个工作日内将资金支付到合同约定的投标人账户或投标人数字人民币账户。</w:t>
      </w:r>
    </w:p>
    <w:p w14:paraId="67CD5734">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1、合同签订后自收到供应商发票之日起10个工作日内，采购人向中标人支付合同总价款的30%作为预付款。</w:t>
      </w:r>
    </w:p>
    <w:p w14:paraId="3E822F4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2、项目建成并验收合格，采购人自收到供应商发票之日起10个工作日内付至合同价款的100%。</w:t>
      </w:r>
    </w:p>
    <w:p w14:paraId="41FD711B">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jc w:val="both"/>
        <w:textAlignment w:val="auto"/>
        <w:rPr>
          <w:rFonts w:hint="eastAsia"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注：在签订合同时，中标人明确表示无需预付款或者主动要求降低付款比例的金额，采购人可不适用前述规定。</w:t>
      </w:r>
    </w:p>
    <w:p w14:paraId="5468A6A4">
      <w:pPr>
        <w:keepNext w:val="0"/>
        <w:keepLines w:val="0"/>
        <w:pageBreakBefore w:val="0"/>
        <w:widowControl w:val="0"/>
        <w:kinsoku/>
        <w:wordWrap/>
        <w:overflowPunct/>
        <w:topLinePunct w:val="0"/>
        <w:autoSpaceDE/>
        <w:autoSpaceDN/>
        <w:bidi w:val="0"/>
        <w:spacing w:line="560" w:lineRule="exact"/>
        <w:ind w:firstLine="482" w:firstLineChars="200"/>
        <w:jc w:val="both"/>
        <w:textAlignment w:val="auto"/>
        <w:outlineLvl w:val="1"/>
        <w:rPr>
          <w:rFonts w:hint="eastAsia" w:ascii="宋体" w:hAnsi="宋体" w:eastAsia="宋体" w:cs="宋体"/>
          <w:b/>
          <w:bCs/>
          <w:kern w:val="2"/>
          <w:sz w:val="24"/>
          <w:szCs w:val="22"/>
          <w:lang w:val="en-US" w:eastAsia="zh-CN" w:bidi="ar-SA"/>
        </w:rPr>
      </w:pPr>
      <w:r>
        <w:rPr>
          <w:rFonts w:hint="eastAsia" w:ascii="宋体" w:hAnsi="宋体" w:eastAsia="宋体" w:cs="宋体"/>
          <w:b/>
          <w:bCs/>
          <w:kern w:val="2"/>
          <w:sz w:val="24"/>
          <w:szCs w:val="22"/>
          <w:lang w:val="en-US" w:eastAsia="zh-CN" w:bidi="ar-SA"/>
        </w:rPr>
        <w:t>四、售后服务期限及地点</w:t>
      </w:r>
    </w:p>
    <w:p w14:paraId="3303BB60">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（一）售后服务期：8年（费用含在本次报价中，自安装调试验收合格之日起计算）。</w:t>
      </w:r>
    </w:p>
    <w:p w14:paraId="49A94D4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（二）供货期： 30个日历天。</w:t>
      </w:r>
    </w:p>
    <w:p w14:paraId="4DEE40B0">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（三）实施地点：采购人指定。</w:t>
      </w:r>
    </w:p>
    <w:p w14:paraId="1984260E">
      <w:pPr>
        <w:keepNext w:val="0"/>
        <w:keepLines w:val="0"/>
        <w:pageBreakBefore w:val="0"/>
        <w:widowControl w:val="0"/>
        <w:kinsoku/>
        <w:wordWrap/>
        <w:overflowPunct/>
        <w:topLinePunct w:val="0"/>
        <w:autoSpaceDE/>
        <w:autoSpaceDN/>
        <w:bidi w:val="0"/>
        <w:spacing w:line="560" w:lineRule="exact"/>
        <w:ind w:firstLine="482" w:firstLineChars="200"/>
        <w:jc w:val="both"/>
        <w:textAlignment w:val="auto"/>
        <w:outlineLvl w:val="1"/>
        <w:rPr>
          <w:rFonts w:hint="eastAsia" w:ascii="宋体" w:hAnsi="宋体" w:eastAsia="宋体" w:cs="宋体"/>
          <w:b/>
          <w:bCs/>
          <w:kern w:val="2"/>
          <w:sz w:val="24"/>
          <w:szCs w:val="22"/>
          <w:lang w:val="en-US" w:eastAsia="zh-CN" w:bidi="ar-SA"/>
        </w:rPr>
      </w:pPr>
      <w:r>
        <w:rPr>
          <w:rFonts w:hint="eastAsia" w:ascii="宋体" w:hAnsi="宋体" w:eastAsia="宋体" w:cs="宋体"/>
          <w:b/>
          <w:bCs/>
          <w:kern w:val="2"/>
          <w:sz w:val="24"/>
          <w:szCs w:val="22"/>
          <w:lang w:val="en-US" w:eastAsia="zh-CN" w:bidi="ar-SA"/>
        </w:rPr>
        <w:t>五、其他要求</w:t>
      </w:r>
    </w:p>
    <w:p w14:paraId="12481B7F">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jc w:val="both"/>
        <w:textAlignment w:val="auto"/>
        <w:rPr>
          <w:rFonts w:hint="default" w:ascii="宋体" w:hAnsi="宋体" w:eastAsia="宋体" w:cs="Times New Roman"/>
          <w:b/>
          <w:bCs/>
          <w:color w:val="000000"/>
          <w:kern w:val="2"/>
          <w:sz w:val="24"/>
          <w:szCs w:val="21"/>
          <w:lang w:val="en-US" w:eastAsia="zh-CN" w:bidi="ar-SA"/>
        </w:rPr>
      </w:pPr>
      <w:r>
        <w:rPr>
          <w:rFonts w:hint="eastAsia" w:ascii="宋体" w:hAnsi="宋体" w:eastAsia="宋体" w:cs="Times New Roman"/>
          <w:b/>
          <w:bCs/>
          <w:color w:val="000000"/>
          <w:kern w:val="2"/>
          <w:sz w:val="24"/>
          <w:szCs w:val="21"/>
          <w:lang w:val="en-US" w:eastAsia="zh-CN" w:bidi="ar-SA"/>
        </w:rPr>
        <w:t>（一）项目实施方案、</w:t>
      </w:r>
      <w:r>
        <w:rPr>
          <w:rFonts w:hint="default" w:ascii="宋体" w:hAnsi="宋体" w:eastAsia="宋体" w:cs="Times New Roman"/>
          <w:b/>
          <w:bCs/>
          <w:color w:val="000000"/>
          <w:kern w:val="2"/>
          <w:sz w:val="24"/>
          <w:szCs w:val="21"/>
          <w:lang w:val="en-US" w:eastAsia="zh-CN" w:bidi="ar-SA"/>
        </w:rPr>
        <w:t>设备安装、调试要求</w:t>
      </w:r>
    </w:p>
    <w:p w14:paraId="73E8DEC6">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1.送至采购人指定地点并安装调试到位，必须依照招标文件的要求和投标文件的承诺，将器材安装并调试至最佳状态。</w:t>
      </w:r>
    </w:p>
    <w:p w14:paraId="62EC376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2.器材无侵权行为、表面无划损、无任何缺陷隐患，在中国境内可依常规安全合法使用。</w:t>
      </w:r>
    </w:p>
    <w:p w14:paraId="64612079">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3.货物为原厂商未启封全新包装，出厂合格证，序列号、包装箱号与出厂批号一致，并可追溯查阅，所有随设备的附件必须齐全。</w:t>
      </w:r>
    </w:p>
    <w:p w14:paraId="6D7282B1">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4.根据投标人的实施项目供货计划、安装工期安排、安装技术人员配备、现场安装流程、安装质量要求、项目验收方案等编制方案。</w:t>
      </w:r>
    </w:p>
    <w:p w14:paraId="4792CE88">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jc w:val="both"/>
        <w:textAlignment w:val="auto"/>
        <w:rPr>
          <w:rFonts w:hint="default" w:ascii="宋体" w:hAnsi="宋体" w:eastAsia="宋体" w:cs="Times New Roman"/>
          <w:b/>
          <w:bCs/>
          <w:color w:val="000000"/>
          <w:kern w:val="2"/>
          <w:sz w:val="24"/>
          <w:szCs w:val="21"/>
          <w:lang w:val="en-US" w:eastAsia="zh-CN" w:bidi="ar-SA"/>
        </w:rPr>
      </w:pPr>
      <w:r>
        <w:rPr>
          <w:rFonts w:hint="eastAsia" w:ascii="宋体" w:hAnsi="宋体" w:eastAsia="宋体" w:cs="Times New Roman"/>
          <w:b/>
          <w:bCs/>
          <w:color w:val="000000"/>
          <w:kern w:val="2"/>
          <w:sz w:val="24"/>
          <w:szCs w:val="21"/>
          <w:lang w:val="en-US" w:eastAsia="zh-CN" w:bidi="ar-SA"/>
        </w:rPr>
        <w:t>（二）</w:t>
      </w:r>
      <w:r>
        <w:rPr>
          <w:rFonts w:hint="default" w:ascii="宋体" w:hAnsi="宋体" w:eastAsia="宋体" w:cs="Times New Roman"/>
          <w:b/>
          <w:bCs/>
          <w:color w:val="000000"/>
          <w:kern w:val="2"/>
          <w:sz w:val="24"/>
          <w:szCs w:val="21"/>
          <w:lang w:val="en-US" w:eastAsia="zh-CN" w:bidi="ar-SA"/>
        </w:rPr>
        <w:t>验收</w:t>
      </w:r>
    </w:p>
    <w:p w14:paraId="4DC889E0">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Times New Roman"/>
          <w:bCs/>
          <w:color w:val="000000"/>
          <w:kern w:val="2"/>
          <w:sz w:val="24"/>
          <w:szCs w:val="21"/>
          <w:lang w:val="en-US" w:eastAsia="zh-CN" w:bidi="ar-SA"/>
        </w:rPr>
      </w:pPr>
      <w:r>
        <w:rPr>
          <w:rFonts w:hint="eastAsia" w:ascii="宋体" w:hAnsi="宋体" w:eastAsia="宋体" w:cs="Times New Roman"/>
          <w:bCs/>
          <w:color w:val="000000"/>
          <w:kern w:val="2"/>
          <w:sz w:val="24"/>
          <w:szCs w:val="21"/>
          <w:lang w:val="en-US" w:eastAsia="zh-CN" w:bidi="ar-SA"/>
        </w:rPr>
        <w:t>1.采购人按国家有关规定、规范以及招标文件、投标文件、技术资料、质量要求和双方签订的合同规定的条款组织验收，必要时邀请相关的专业人员或机构参与验收。因货物质量问题发生争议时，由本地质量技术监督部门鉴定。货物符合质量技术标准的，鉴定费由采购人承担；否则鉴定费由中标人承担。</w:t>
      </w:r>
    </w:p>
    <w:p w14:paraId="6A6461D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宋体" w:hAnsi="宋体" w:eastAsia="宋体" w:cs="Times New Roman"/>
          <w:bCs/>
          <w:color w:val="000000"/>
          <w:kern w:val="2"/>
          <w:sz w:val="24"/>
          <w:szCs w:val="21"/>
          <w:lang w:val="en-US" w:eastAsia="zh-CN" w:bidi="ar-SA"/>
        </w:rPr>
      </w:pPr>
      <w:r>
        <w:rPr>
          <w:rFonts w:hint="eastAsia" w:ascii="宋体" w:hAnsi="宋体" w:eastAsia="宋体" w:cs="Times New Roman"/>
          <w:bCs/>
          <w:color w:val="000000"/>
          <w:kern w:val="2"/>
          <w:sz w:val="24"/>
          <w:szCs w:val="21"/>
          <w:lang w:val="en-US" w:eastAsia="zh-CN" w:bidi="ar-SA"/>
        </w:rPr>
        <w:t>2.中标供应商根据招标要求进行产品的安装，在货物进场并安装调试完毕 15 日内，由采购人或采购人聘请技术专家或专业检测机构进行验收（验收内容包括但不限于器材质量、站点和器材信息是否已按要求录入省平台、编码是否已印制在告示牌和器材上并激活等其它采购人要求的内容），因此支出的相关费用（包括但不限于检测费用及出具质量检测报告费用）均由中标供应商承担。</w:t>
      </w:r>
    </w:p>
    <w:p w14:paraId="1030EA09">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jc w:val="both"/>
        <w:textAlignment w:val="auto"/>
        <w:rPr>
          <w:rFonts w:hint="default" w:ascii="宋体" w:hAnsi="宋体" w:eastAsia="宋体" w:cs="Times New Roman"/>
          <w:b/>
          <w:bCs w:val="0"/>
          <w:color w:val="000000"/>
          <w:kern w:val="2"/>
          <w:sz w:val="24"/>
          <w:szCs w:val="21"/>
          <w:lang w:val="en-US" w:eastAsia="zh-CN" w:bidi="ar-SA"/>
        </w:rPr>
      </w:pPr>
      <w:r>
        <w:rPr>
          <w:rFonts w:hint="eastAsia" w:ascii="宋体" w:hAnsi="宋体" w:eastAsia="宋体" w:cs="Times New Roman"/>
          <w:b/>
          <w:bCs w:val="0"/>
          <w:color w:val="000000"/>
          <w:kern w:val="2"/>
          <w:sz w:val="24"/>
          <w:szCs w:val="21"/>
          <w:lang w:val="en-US" w:eastAsia="zh-CN" w:bidi="ar-SA"/>
        </w:rPr>
        <w:t>（三）</w:t>
      </w:r>
      <w:r>
        <w:rPr>
          <w:rFonts w:hint="default" w:ascii="宋体" w:hAnsi="宋体" w:eastAsia="宋体" w:cs="Times New Roman"/>
          <w:b/>
          <w:bCs w:val="0"/>
          <w:color w:val="000000"/>
          <w:kern w:val="2"/>
          <w:sz w:val="24"/>
          <w:szCs w:val="21"/>
          <w:lang w:val="en-US" w:eastAsia="zh-CN" w:bidi="ar-SA"/>
        </w:rPr>
        <w:t>售后服务要求</w:t>
      </w:r>
    </w:p>
    <w:p w14:paraId="5872261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bCs/>
          <w:kern w:val="2"/>
          <w:sz w:val="24"/>
          <w:szCs w:val="21"/>
          <w:lang w:val="en-US" w:eastAsia="zh-CN" w:bidi="ar-SA"/>
        </w:rPr>
      </w:pPr>
      <w:r>
        <w:rPr>
          <w:rFonts w:hint="default" w:ascii="宋体" w:hAnsi="宋体" w:eastAsia="宋体" w:cs="Times New Roman"/>
          <w:bCs/>
          <w:kern w:val="2"/>
          <w:sz w:val="24"/>
          <w:szCs w:val="21"/>
          <w:lang w:val="en-US" w:eastAsia="zh-CN" w:bidi="ar-SA"/>
        </w:rPr>
        <w:t>1.提供售后服务质量保障方案，建立完善的售后服务管理体系及拥有专业的维护队伍</w:t>
      </w:r>
      <w:r>
        <w:rPr>
          <w:rFonts w:hint="eastAsia" w:ascii="宋体" w:hAnsi="宋体" w:eastAsia="宋体" w:cs="Times New Roman"/>
          <w:bCs/>
          <w:kern w:val="2"/>
          <w:sz w:val="24"/>
          <w:szCs w:val="21"/>
          <w:lang w:val="en-US" w:eastAsia="zh-CN" w:bidi="ar-SA"/>
        </w:rPr>
        <w:t>。</w:t>
      </w:r>
    </w:p>
    <w:p w14:paraId="598C9E04">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bCs/>
          <w:kern w:val="2"/>
          <w:sz w:val="24"/>
          <w:szCs w:val="21"/>
          <w:lang w:val="en-US" w:eastAsia="zh-CN" w:bidi="ar-SA"/>
        </w:rPr>
      </w:pPr>
      <w:r>
        <w:rPr>
          <w:rFonts w:hint="default" w:ascii="宋体" w:hAnsi="宋体" w:eastAsia="宋体" w:cs="Times New Roman"/>
          <w:bCs/>
          <w:kern w:val="2"/>
          <w:sz w:val="24"/>
          <w:szCs w:val="21"/>
          <w:lang w:val="en-US" w:eastAsia="zh-CN" w:bidi="ar-SA"/>
        </w:rPr>
        <w:t>2.质保期内中标人对所供货物实行包修、包换、包退、包维护保养，质保期满后可提供终身维修保养服务，只收取成本费用。</w:t>
      </w:r>
    </w:p>
    <w:p w14:paraId="24C3A8E0">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宋体" w:hAnsi="宋体" w:eastAsia="宋体" w:cs="Times New Roman"/>
          <w:bCs/>
          <w:kern w:val="2"/>
          <w:sz w:val="24"/>
          <w:szCs w:val="21"/>
          <w:lang w:val="en-US" w:eastAsia="zh-CN" w:bidi="ar-SA"/>
        </w:rPr>
      </w:pPr>
      <w:r>
        <w:rPr>
          <w:rFonts w:hint="default" w:ascii="宋体" w:hAnsi="宋体" w:eastAsia="宋体" w:cs="Times New Roman"/>
          <w:bCs/>
          <w:kern w:val="2"/>
          <w:sz w:val="24"/>
          <w:szCs w:val="21"/>
          <w:lang w:val="en-US" w:eastAsia="zh-CN" w:bidi="ar-SA"/>
        </w:rPr>
        <w:t>3.应针对本项目提供详细、明确、具体的日常维护和应急解决方案，应据自身的实际情况提供详细具体的售后服务方案。</w:t>
      </w:r>
    </w:p>
    <w:p w14:paraId="485B160F">
      <w:pPr>
        <w:keepNext w:val="0"/>
        <w:keepLines w:val="0"/>
        <w:pageBreakBefore w:val="0"/>
        <w:widowControl/>
        <w:spacing w:line="560" w:lineRule="exact"/>
        <w:ind w:firstLine="482"/>
        <w:jc w:val="left"/>
        <w:rPr>
          <w:rFonts w:hint="eastAsia" w:ascii="宋体" w:hAnsi="宋体" w:eastAsia="宋体" w:cs="宋体"/>
          <w:b/>
          <w:bCs w:val="0"/>
          <w:color w:val="auto"/>
          <w:kern w:val="0"/>
          <w:sz w:val="24"/>
          <w:szCs w:val="22"/>
          <w:highlight w:val="none"/>
          <w:lang w:val="en-US" w:eastAsia="zh-CN" w:bidi="ar-SA"/>
        </w:rPr>
      </w:pPr>
      <w:r>
        <w:rPr>
          <w:rFonts w:hint="eastAsia" w:ascii="宋体" w:hAnsi="宋体" w:eastAsia="宋体" w:cs="宋体"/>
          <w:b/>
          <w:bCs w:val="0"/>
          <w:color w:val="auto"/>
          <w:kern w:val="0"/>
          <w:sz w:val="24"/>
          <w:szCs w:val="21"/>
          <w:highlight w:val="none"/>
          <w:lang w:val="en-US" w:eastAsia="zh-CN" w:bidi="ar-SA"/>
        </w:rPr>
        <w:t>（四）落实商品包装、快递包装政府采购需求标准</w:t>
      </w:r>
    </w:p>
    <w:p w14:paraId="01CB1B06">
      <w:pPr>
        <w:keepNext w:val="0"/>
        <w:keepLines w:val="0"/>
        <w:pageBreakBefore w:val="0"/>
        <w:widowControl/>
        <w:spacing w:line="560" w:lineRule="exact"/>
        <w:ind w:firstLine="480"/>
        <w:jc w:val="left"/>
        <w:rPr>
          <w:rFonts w:hint="eastAsia" w:ascii="宋体" w:hAnsi="宋体" w:eastAsia="宋体" w:cs="宋体"/>
          <w:bCs/>
          <w:color w:val="auto"/>
          <w:kern w:val="0"/>
          <w:sz w:val="24"/>
          <w:szCs w:val="22"/>
          <w:highlight w:val="none"/>
          <w:lang w:val="en-US" w:eastAsia="zh-CN" w:bidi="ar-SA"/>
        </w:rPr>
      </w:pPr>
      <w:r>
        <w:rPr>
          <w:rFonts w:hint="eastAsia" w:ascii="宋体" w:hAnsi="宋体" w:eastAsia="宋体" w:cs="宋体"/>
          <w:bCs/>
          <w:color w:val="auto"/>
          <w:kern w:val="0"/>
          <w:sz w:val="24"/>
          <w:szCs w:val="21"/>
          <w:highlight w:val="none"/>
          <w:lang w:val="en-US" w:eastAsia="zh-CN" w:bidi="ar-SA"/>
        </w:rPr>
        <w:t>供应商所投产品需进行商品包装和快递包装的，应不低于《关于印发〈商品包装政府采购需求标准（试行）〉、〈快递包装政府采购需求标准（试行）〉的通知》（财办库〔2020〕123 号）文件规定的参考标准。在履约验收时按照本条款执行，违反本约定的对照合同违约条款追究违约责任。供应商一旦参与本项目投标，即完全响应本条款要求。</w:t>
      </w:r>
    </w:p>
    <w:p w14:paraId="4696AC88">
      <w:pPr>
        <w:keepNext w:val="0"/>
        <w:keepLines w:val="0"/>
        <w:pageBreakBefore w:val="0"/>
        <w:widowControl/>
        <w:spacing w:line="560" w:lineRule="exact"/>
        <w:ind w:firstLine="482"/>
        <w:jc w:val="left"/>
        <w:rPr>
          <w:rFonts w:hint="eastAsia" w:ascii="宋体" w:hAnsi="宋体" w:eastAsia="宋体" w:cs="宋体"/>
          <w:b/>
          <w:bCs w:val="0"/>
          <w:color w:val="auto"/>
          <w:kern w:val="0"/>
          <w:sz w:val="24"/>
          <w:szCs w:val="22"/>
          <w:highlight w:val="none"/>
          <w:lang w:val="en-US" w:eastAsia="zh-CN" w:bidi="ar-SA"/>
        </w:rPr>
      </w:pPr>
      <w:r>
        <w:rPr>
          <w:rFonts w:hint="eastAsia" w:ascii="宋体" w:hAnsi="宋体" w:eastAsia="宋体" w:cs="宋体"/>
          <w:b/>
          <w:bCs w:val="0"/>
          <w:color w:val="auto"/>
          <w:kern w:val="0"/>
          <w:sz w:val="24"/>
          <w:szCs w:val="21"/>
          <w:highlight w:val="none"/>
          <w:lang w:val="en-US" w:eastAsia="zh-CN" w:bidi="ar-SA"/>
        </w:rPr>
        <w:t>（五）落实节能、环保产品政策</w:t>
      </w:r>
    </w:p>
    <w:p w14:paraId="0CD1455F">
      <w:pPr>
        <w:keepNext w:val="0"/>
        <w:keepLines w:val="0"/>
        <w:pageBreakBefore w:val="0"/>
        <w:widowControl/>
        <w:spacing w:line="560" w:lineRule="exact"/>
        <w:ind w:firstLine="480"/>
        <w:jc w:val="left"/>
        <w:rPr>
          <w:rFonts w:hint="eastAsia" w:ascii="宋体" w:hAnsi="宋体" w:eastAsia="宋体" w:cs="宋体"/>
          <w:bCs/>
          <w:color w:val="auto"/>
          <w:kern w:val="0"/>
          <w:sz w:val="24"/>
          <w:szCs w:val="21"/>
          <w:highlight w:val="none"/>
          <w:lang w:val="en-US" w:eastAsia="zh-CN" w:bidi="ar-SA"/>
        </w:rPr>
      </w:pPr>
      <w:r>
        <w:rPr>
          <w:rFonts w:hint="eastAsia" w:ascii="宋体" w:hAnsi="宋体" w:eastAsia="宋体" w:cs="宋体"/>
          <w:bCs/>
          <w:color w:val="auto"/>
          <w:kern w:val="0"/>
          <w:sz w:val="24"/>
          <w:szCs w:val="21"/>
          <w:highlight w:val="none"/>
          <w:lang w:val="en-US" w:eastAsia="zh-CN" w:bidi="ar-SA"/>
        </w:rPr>
        <w:t>对照财库〔2019〕9 号、财库〔2019〕19 号文件规定，供应商所投产品属于强制采购产品的，应提供国家市场监督管理局确定的列入“参与实施政府采购节能产品认证机构名录”内的认证机构出具的、有效期内的该产品的节能产品认证证书电子件，不满足以上要求的按无效标处理。</w:t>
      </w:r>
    </w:p>
    <w:p w14:paraId="0697B132">
      <w:pPr>
        <w:keepNext w:val="0"/>
        <w:keepLines w:val="0"/>
        <w:pageBreakBefore w:val="0"/>
        <w:widowControl/>
        <w:numPr>
          <w:ilvl w:val="0"/>
          <w:numId w:val="3"/>
        </w:numPr>
        <w:spacing w:line="560" w:lineRule="exact"/>
        <w:ind w:firstLine="482"/>
        <w:jc w:val="left"/>
        <w:rPr>
          <w:rFonts w:hint="eastAsia" w:ascii="宋体" w:hAnsi="宋体" w:eastAsia="宋体" w:cs="宋体"/>
          <w:b/>
          <w:bCs w:val="0"/>
          <w:color w:val="auto"/>
          <w:kern w:val="0"/>
          <w:sz w:val="24"/>
          <w:szCs w:val="21"/>
          <w:highlight w:val="none"/>
          <w:lang w:val="en-US" w:eastAsia="zh-CN" w:bidi="ar-SA"/>
        </w:rPr>
      </w:pPr>
      <w:r>
        <w:rPr>
          <w:rFonts w:hint="eastAsia" w:ascii="宋体" w:hAnsi="宋体" w:eastAsia="宋体" w:cs="宋体"/>
          <w:b/>
          <w:bCs w:val="0"/>
          <w:color w:val="auto"/>
          <w:kern w:val="0"/>
          <w:sz w:val="24"/>
          <w:szCs w:val="21"/>
          <w:highlight w:val="none"/>
          <w:lang w:val="en-US" w:eastAsia="zh-CN" w:bidi="ar-SA"/>
        </w:rPr>
        <w:t>采购本国产品的支持政策</w:t>
      </w:r>
    </w:p>
    <w:p w14:paraId="7522C9DB">
      <w:pPr>
        <w:widowControl/>
        <w:spacing w:line="480" w:lineRule="exact"/>
        <w:ind w:firstLine="480"/>
        <w:jc w:val="left"/>
        <w:rPr>
          <w:rFonts w:hint="eastAsia" w:ascii="宋体" w:hAnsi="宋体" w:eastAsia="宋体" w:cs="宋体"/>
          <w:color w:val="FF0000"/>
          <w:kern w:val="0"/>
          <w:sz w:val="24"/>
          <w:szCs w:val="22"/>
          <w:highlight w:val="none"/>
        </w:rPr>
      </w:pPr>
      <w:r>
        <w:rPr>
          <w:rFonts w:hint="eastAsia" w:ascii="宋体" w:hAnsi="宋体" w:eastAsia="宋体" w:cs="宋体"/>
          <w:kern w:val="0"/>
          <w:sz w:val="24"/>
          <w:szCs w:val="22"/>
          <w:highlight w:val="none"/>
        </w:rPr>
        <w:t>1</w:t>
      </w:r>
      <w:r>
        <w:rPr>
          <w:rFonts w:hint="eastAsia" w:ascii="宋体" w:hAnsi="宋体" w:eastAsia="宋体" w:cs="宋体"/>
          <w:kern w:val="0"/>
          <w:sz w:val="24"/>
          <w:szCs w:val="22"/>
          <w:highlight w:val="none"/>
          <w:lang w:eastAsia="zh-CN"/>
        </w:rPr>
        <w:t>.</w:t>
      </w:r>
      <w:r>
        <w:rPr>
          <w:rFonts w:hint="eastAsia" w:ascii="宋体" w:hAnsi="宋体" w:eastAsia="宋体" w:cs="宋体"/>
          <w:bCs/>
          <w:kern w:val="0"/>
          <w:sz w:val="24"/>
          <w:szCs w:val="24"/>
          <w:highlight w:val="none"/>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6A214B9">
      <w:pPr>
        <w:widowControl/>
        <w:spacing w:line="480" w:lineRule="exact"/>
        <w:ind w:firstLine="480"/>
        <w:jc w:val="left"/>
        <w:rPr>
          <w:rFonts w:hint="eastAsia" w:ascii="宋体" w:hAnsi="宋体" w:eastAsia="宋体" w:cs="宋体"/>
          <w:color w:val="FF0000"/>
          <w:kern w:val="0"/>
          <w:sz w:val="24"/>
          <w:szCs w:val="22"/>
          <w:highlight w:val="none"/>
        </w:rPr>
      </w:pPr>
      <w:r>
        <w:rPr>
          <w:rFonts w:hint="eastAsia" w:ascii="宋体" w:hAnsi="宋体" w:eastAsia="宋体" w:cs="宋体"/>
          <w:bCs/>
          <w:kern w:val="0"/>
          <w:sz w:val="24"/>
          <w:szCs w:val="24"/>
          <w:highlight w:val="none"/>
          <w:lang w:val="en-US" w:eastAsia="zh-CN"/>
        </w:rPr>
        <w:t>2.</w:t>
      </w:r>
      <w:r>
        <w:rPr>
          <w:rFonts w:hint="eastAsia" w:ascii="宋体" w:hAnsi="宋体" w:eastAsia="宋体" w:cs="宋体"/>
          <w:bCs/>
          <w:kern w:val="0"/>
          <w:sz w:val="24"/>
          <w:szCs w:val="24"/>
          <w:highlight w:val="none"/>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332C9162">
      <w:pPr>
        <w:widowControl/>
        <w:spacing w:line="480" w:lineRule="exact"/>
        <w:ind w:firstLine="480"/>
        <w:jc w:val="left"/>
        <w:rPr>
          <w:rFonts w:hint="eastAsia" w:ascii="宋体" w:hAnsi="宋体" w:eastAsia="宋体" w:cs="宋体"/>
          <w:color w:val="FF0000"/>
          <w:kern w:val="0"/>
          <w:sz w:val="24"/>
          <w:szCs w:val="22"/>
          <w:highlight w:val="none"/>
        </w:rPr>
      </w:pPr>
      <w:r>
        <w:rPr>
          <w:rFonts w:hint="eastAsia" w:ascii="宋体" w:hAnsi="宋体" w:eastAsia="宋体" w:cs="宋体"/>
          <w:kern w:val="0"/>
          <w:sz w:val="24"/>
          <w:szCs w:val="22"/>
          <w:highlight w:val="none"/>
          <w:lang w:val="en-US" w:eastAsia="zh-CN"/>
        </w:rPr>
        <w:t>3.</w:t>
      </w:r>
      <w:r>
        <w:rPr>
          <w:rFonts w:hint="eastAsia" w:ascii="宋体" w:hAnsi="宋体" w:eastAsia="宋体" w:cs="宋体"/>
          <w:kern w:val="0"/>
          <w:sz w:val="24"/>
          <w:szCs w:val="22"/>
          <w:highlight w:val="none"/>
        </w:rPr>
        <w:t>本项目政府采购活动中既有本国产品又有非本国产品参与竞争的，</w:t>
      </w:r>
      <w:bookmarkStart w:id="18" w:name="OLE_LINK7"/>
      <w:r>
        <w:rPr>
          <w:rFonts w:hint="eastAsia" w:ascii="宋体" w:hAnsi="宋体" w:eastAsia="宋体" w:cs="宋体"/>
          <w:kern w:val="0"/>
          <w:sz w:val="24"/>
          <w:szCs w:val="22"/>
          <w:highlight w:val="none"/>
        </w:rPr>
        <w:t>依法对本国产品给予价格评审优惠，对本国产品的报价给予</w:t>
      </w:r>
      <w:r>
        <w:rPr>
          <w:rFonts w:hint="eastAsia" w:ascii="宋体" w:hAnsi="宋体" w:eastAsia="宋体" w:cs="宋体"/>
          <w:b/>
          <w:bCs/>
          <w:kern w:val="0"/>
          <w:sz w:val="24"/>
          <w:szCs w:val="22"/>
          <w:highlight w:val="none"/>
          <w:u w:val="single"/>
        </w:rPr>
        <w:t>20%</w:t>
      </w:r>
      <w:r>
        <w:rPr>
          <w:rFonts w:hint="eastAsia" w:ascii="宋体" w:hAnsi="宋体" w:eastAsia="宋体" w:cs="宋体"/>
          <w:kern w:val="0"/>
          <w:sz w:val="24"/>
          <w:szCs w:val="22"/>
          <w:highlight w:val="none"/>
        </w:rPr>
        <w:t>的价格扣除，用扣除后的价格参与评审。</w:t>
      </w:r>
      <w:bookmarkEnd w:id="18"/>
    </w:p>
    <w:p w14:paraId="0C4E0C76">
      <w:pPr>
        <w:widowControl/>
        <w:spacing w:line="480" w:lineRule="exact"/>
        <w:ind w:firstLine="480"/>
        <w:jc w:val="left"/>
        <w:rPr>
          <w:rFonts w:hint="eastAsia" w:ascii="宋体" w:hAnsi="宋体" w:eastAsia="宋体" w:cs="宋体"/>
          <w:kern w:val="0"/>
          <w:sz w:val="24"/>
          <w:szCs w:val="22"/>
          <w:highlight w:val="none"/>
        </w:rPr>
      </w:pPr>
      <w:r>
        <w:rPr>
          <w:rFonts w:hint="eastAsia" w:ascii="宋体" w:hAnsi="宋体" w:eastAsia="宋体" w:cs="宋体"/>
          <w:kern w:val="0"/>
          <w:sz w:val="24"/>
          <w:szCs w:val="22"/>
          <w:highlight w:val="none"/>
          <w:lang w:val="en-US" w:eastAsia="zh-CN"/>
        </w:rPr>
        <w:t>4.</w:t>
      </w:r>
      <w:r>
        <w:rPr>
          <w:rFonts w:hint="eastAsia" w:ascii="宋体" w:hAnsi="宋体" w:eastAsia="宋体" w:cs="宋体"/>
          <w:kern w:val="0"/>
          <w:sz w:val="24"/>
          <w:szCs w:val="22"/>
          <w:highlight w:val="none"/>
        </w:rPr>
        <w:t>当采购项目或者采购包中含有多种产品，投标人为该采购项目或者采购包提供的符合本国产品标准的产品成本之和占该投标人提供的全部产品成本之和的比例达到</w:t>
      </w:r>
      <w:r>
        <w:rPr>
          <w:rFonts w:hint="eastAsia" w:ascii="宋体" w:hAnsi="宋体" w:eastAsia="宋体" w:cs="宋体"/>
          <w:b/>
          <w:bCs/>
          <w:kern w:val="0"/>
          <w:sz w:val="24"/>
          <w:szCs w:val="22"/>
          <w:highlight w:val="none"/>
        </w:rPr>
        <w:t>80%以上</w:t>
      </w:r>
      <w:r>
        <w:rPr>
          <w:rFonts w:hint="eastAsia" w:ascii="宋体" w:hAnsi="宋体" w:eastAsia="宋体" w:cs="宋体"/>
          <w:kern w:val="0"/>
          <w:sz w:val="24"/>
          <w:szCs w:val="22"/>
          <w:highlight w:val="none"/>
        </w:rPr>
        <w:t>时（投标人需在“第六章 投标文件格式”的“分项报价表”中填写比例数值），依法对该投标人提供的全部产品给予价格评审优惠，即对该投标人提供的全部产品的总报价给予20%的价格扣除，用扣除后的价格参与评审。投标人未填写比例数值，或比例数值未达到80%的，将不享受本国产品价格评审优惠。</w:t>
      </w:r>
    </w:p>
    <w:p w14:paraId="780725F0">
      <w:pPr>
        <w:widowControl/>
        <w:spacing w:line="480" w:lineRule="exact"/>
        <w:ind w:firstLine="480"/>
        <w:jc w:val="left"/>
        <w:rPr>
          <w:rFonts w:hint="eastAsia" w:ascii="宋体" w:hAnsi="宋体" w:eastAsia="宋体" w:cs="宋体"/>
          <w:kern w:val="0"/>
          <w:sz w:val="24"/>
          <w:szCs w:val="22"/>
          <w:highlight w:val="none"/>
        </w:rPr>
      </w:pPr>
      <w:r>
        <w:rPr>
          <w:rFonts w:hint="eastAsia" w:ascii="宋体" w:hAnsi="宋体" w:eastAsia="宋体" w:cs="宋体"/>
          <w:kern w:val="0"/>
          <w:sz w:val="24"/>
          <w:szCs w:val="22"/>
          <w:highlight w:val="none"/>
          <w:lang w:val="en-US" w:eastAsia="zh-CN"/>
        </w:rPr>
        <w:t>5.</w:t>
      </w:r>
      <w:r>
        <w:rPr>
          <w:rFonts w:hint="eastAsia" w:ascii="宋体" w:hAnsi="宋体" w:eastAsia="宋体" w:cs="宋体"/>
          <w:kern w:val="0"/>
          <w:sz w:val="24"/>
          <w:szCs w:val="22"/>
          <w:highlight w:val="none"/>
        </w:rPr>
        <w:t>投标人需按照招标文件的要求提供《关于符合本国产品标准的声明函》，如不提供将不享受本国产品价格评审优惠。</w:t>
      </w:r>
    </w:p>
    <w:p w14:paraId="660DC0D3">
      <w:pPr>
        <w:widowControl/>
        <w:spacing w:line="480" w:lineRule="exact"/>
        <w:ind w:firstLine="480"/>
        <w:jc w:val="left"/>
        <w:rPr>
          <w:rFonts w:hint="eastAsia" w:ascii="宋体" w:hAnsi="宋体" w:eastAsia="宋体" w:cs="宋体"/>
          <w:kern w:val="0"/>
          <w:sz w:val="24"/>
          <w:szCs w:val="22"/>
          <w:highlight w:val="none"/>
        </w:rPr>
      </w:pPr>
      <w:r>
        <w:rPr>
          <w:rFonts w:hint="eastAsia" w:ascii="宋体" w:hAnsi="宋体" w:eastAsia="宋体" w:cs="宋体"/>
          <w:kern w:val="0"/>
          <w:sz w:val="24"/>
          <w:szCs w:val="22"/>
          <w:highlight w:val="none"/>
          <w:lang w:val="en-US" w:eastAsia="zh-CN"/>
        </w:rPr>
        <w:t>6.</w:t>
      </w:r>
      <w:r>
        <w:rPr>
          <w:rFonts w:hint="eastAsia" w:ascii="宋体" w:hAnsi="宋体" w:eastAsia="宋体" w:cs="宋体"/>
          <w:kern w:val="0"/>
          <w:sz w:val="24"/>
          <w:szCs w:val="22"/>
          <w:highlight w:val="none"/>
        </w:rPr>
        <w:t xml:space="preserve"> 投标人需在《关于符合本国产品标准的声明函》中逐一、准确填写产品名称、厂名、生产厂址三项信息（用斜线划除的地方无需填写），三项信息中任意一项未填写的视为该项产品不符合本国产品标准，不享受本国产品价格评审优惠。</w:t>
      </w:r>
    </w:p>
    <w:p w14:paraId="4CA4F8F1">
      <w:pPr>
        <w:widowControl/>
        <w:spacing w:line="480" w:lineRule="exact"/>
        <w:ind w:firstLine="480"/>
        <w:jc w:val="left"/>
        <w:rPr>
          <w:rFonts w:hint="eastAsia" w:ascii="宋体" w:hAnsi="宋体" w:eastAsia="宋体" w:cs="宋体"/>
          <w:bCs/>
          <w:color w:val="auto"/>
          <w:kern w:val="0"/>
          <w:sz w:val="24"/>
          <w:szCs w:val="21"/>
          <w:highlight w:val="none"/>
          <w:lang w:val="en-US" w:eastAsia="zh-CN" w:bidi="ar-SA"/>
        </w:rPr>
      </w:pPr>
      <w:r>
        <w:rPr>
          <w:rFonts w:hint="eastAsia" w:ascii="宋体" w:hAnsi="宋体" w:eastAsia="宋体" w:cs="宋体"/>
          <w:kern w:val="0"/>
          <w:sz w:val="24"/>
          <w:szCs w:val="22"/>
          <w:highlight w:val="none"/>
          <w:lang w:val="en-US" w:eastAsia="zh-CN"/>
        </w:rPr>
        <w:t>7.</w:t>
      </w:r>
      <w:r>
        <w:rPr>
          <w:rFonts w:hint="eastAsia" w:ascii="宋体" w:hAnsi="宋体" w:eastAsia="宋体" w:cs="宋体"/>
          <w:kern w:val="0"/>
          <w:sz w:val="24"/>
          <w:szCs w:val="22"/>
          <w:highlight w:val="none"/>
        </w:rPr>
        <w:t>评标过程中，如发现投标人在《关于符合本国产品标准的声明函》内容含义不明确、同类事项与投标文件表述不一致或者有明显文字错误等情况的，评标委员会应当以书面形式要求投标人作出必要的澄清、说明或者补正。经澄清、说明或者补正的仍然不符合《国务院办公厅关于在政府采购中实施本国产品标准及相关政策的通知》（国办发〔2025〕34号）和招标文件规定的，投标人提供的相关产品视为不符合本国产品标准。</w:t>
      </w:r>
    </w:p>
    <w:p w14:paraId="11F3378D">
      <w:pPr>
        <w:keepNext w:val="0"/>
        <w:keepLines w:val="0"/>
        <w:pageBreakBefore w:val="0"/>
        <w:widowControl/>
        <w:numPr>
          <w:ilvl w:val="0"/>
          <w:numId w:val="3"/>
        </w:numPr>
        <w:spacing w:line="560" w:lineRule="exact"/>
        <w:ind w:firstLine="482"/>
        <w:jc w:val="left"/>
        <w:rPr>
          <w:rFonts w:hint="eastAsia" w:ascii="宋体" w:hAnsi="宋体" w:eastAsia="宋体" w:cs="宋体"/>
          <w:b/>
          <w:bCs w:val="0"/>
          <w:color w:val="auto"/>
          <w:kern w:val="0"/>
          <w:sz w:val="24"/>
          <w:szCs w:val="21"/>
          <w:highlight w:val="none"/>
          <w:lang w:val="en-US" w:eastAsia="zh-CN" w:bidi="ar-SA"/>
        </w:rPr>
      </w:pPr>
      <w:r>
        <w:rPr>
          <w:rFonts w:hint="eastAsia" w:ascii="宋体" w:hAnsi="宋体" w:eastAsia="宋体" w:cs="宋体"/>
          <w:b/>
          <w:bCs w:val="0"/>
          <w:color w:val="auto"/>
          <w:kern w:val="0"/>
          <w:sz w:val="24"/>
          <w:szCs w:val="21"/>
          <w:highlight w:val="none"/>
          <w:lang w:val="en-US" w:eastAsia="zh-CN" w:bidi="ar-SA"/>
        </w:rPr>
        <w:t>注意事项</w:t>
      </w:r>
    </w:p>
    <w:p w14:paraId="4962E238">
      <w:pPr>
        <w:keepNext w:val="0"/>
        <w:keepLines w:val="0"/>
        <w:pageBreakBefore w:val="0"/>
        <w:widowControl w:val="0"/>
        <w:spacing w:line="560" w:lineRule="exact"/>
        <w:ind w:firstLine="480"/>
        <w:jc w:val="both"/>
        <w:rPr>
          <w:rFonts w:hint="eastAsia" w:ascii="宋体" w:hAnsi="宋体" w:eastAsia="宋体" w:cs="宋体"/>
          <w:bCs/>
          <w:color w:val="auto"/>
          <w:kern w:val="0"/>
          <w:sz w:val="24"/>
          <w:szCs w:val="20"/>
          <w:highlight w:val="none"/>
          <w:lang w:val="en-US" w:eastAsia="zh-CN" w:bidi="ar-SA"/>
        </w:rPr>
      </w:pPr>
      <w:r>
        <w:rPr>
          <w:rFonts w:hint="eastAsia" w:ascii="宋体" w:hAnsi="宋体" w:eastAsia="宋体" w:cs="宋体"/>
          <w:bCs/>
          <w:color w:val="auto"/>
          <w:kern w:val="0"/>
          <w:sz w:val="24"/>
          <w:szCs w:val="20"/>
          <w:highlight w:val="none"/>
          <w:lang w:val="en-US" w:eastAsia="zh-CN" w:bidi="ar-SA"/>
        </w:rPr>
        <w:t xml:space="preserve">1.本项目对任何有选择的报价将不予接受，只允许有一个报价。报价内容包括: 货物本身价格、辅材、运输、装卸、人工、产品损耗等相关工作、售后服务及货物交付使用过程中涉及到的其他一切费用。 </w:t>
      </w:r>
    </w:p>
    <w:p w14:paraId="52C0F6B6">
      <w:pPr>
        <w:keepNext w:val="0"/>
        <w:keepLines w:val="0"/>
        <w:pageBreakBefore w:val="0"/>
        <w:widowControl w:val="0"/>
        <w:spacing w:line="560" w:lineRule="exact"/>
        <w:ind w:firstLine="480"/>
        <w:jc w:val="both"/>
        <w:rPr>
          <w:rFonts w:hint="eastAsia" w:ascii="宋体" w:hAnsi="宋体" w:eastAsia="宋体" w:cs="宋体"/>
          <w:bCs/>
          <w:color w:val="auto"/>
          <w:kern w:val="0"/>
          <w:sz w:val="24"/>
          <w:szCs w:val="20"/>
          <w:highlight w:val="none"/>
          <w:lang w:val="en-US" w:eastAsia="zh-CN" w:bidi="ar-SA"/>
        </w:rPr>
      </w:pPr>
      <w:r>
        <w:rPr>
          <w:rFonts w:hint="eastAsia" w:ascii="宋体" w:hAnsi="宋体" w:eastAsia="宋体" w:cs="宋体"/>
          <w:bCs/>
          <w:color w:val="auto"/>
          <w:kern w:val="0"/>
          <w:sz w:val="24"/>
          <w:szCs w:val="20"/>
          <w:highlight w:val="none"/>
          <w:lang w:val="en-US" w:eastAsia="zh-CN" w:bidi="ar-SA"/>
        </w:rPr>
        <w:t>2.供应商报价时应充分考虑所有可能影响到报价的因素，一旦最终中标，总价将包定。不予调整。如发生漏、缺、少项，都将被认为是成交人的报价让利行为，损失自负。</w:t>
      </w:r>
    </w:p>
    <w:p w14:paraId="29C0A4C6">
      <w:pPr>
        <w:keepNext w:val="0"/>
        <w:keepLines w:val="0"/>
        <w:pageBreakBefore w:val="0"/>
        <w:widowControl w:val="0"/>
        <w:spacing w:line="560" w:lineRule="exact"/>
        <w:ind w:firstLine="480"/>
        <w:jc w:val="both"/>
        <w:rPr>
          <w:rFonts w:hint="eastAsia" w:ascii="宋体" w:hAnsi="宋体" w:eastAsia="宋体" w:cs="宋体"/>
          <w:bCs/>
          <w:color w:val="auto"/>
          <w:kern w:val="0"/>
          <w:sz w:val="24"/>
          <w:szCs w:val="20"/>
          <w:highlight w:val="none"/>
          <w:lang w:val="en-US" w:eastAsia="zh-CN" w:bidi="ar-SA"/>
        </w:rPr>
      </w:pPr>
      <w:r>
        <w:rPr>
          <w:rFonts w:hint="eastAsia" w:ascii="宋体" w:hAnsi="宋体" w:eastAsia="宋体" w:cs="宋体"/>
          <w:bCs/>
          <w:color w:val="auto"/>
          <w:kern w:val="0"/>
          <w:sz w:val="24"/>
          <w:szCs w:val="20"/>
          <w:highlight w:val="none"/>
          <w:lang w:val="en-US" w:eastAsia="zh-CN" w:bidi="ar-SA"/>
        </w:rPr>
        <w:t>备注：1.★部分为实质性要求，不接受负偏离。否则，作为无效标处理。</w:t>
      </w:r>
    </w:p>
    <w:p w14:paraId="66286346">
      <w:pPr>
        <w:keepNext w:val="0"/>
        <w:keepLines w:val="0"/>
        <w:pageBreakBefore w:val="0"/>
        <w:widowControl w:val="0"/>
        <w:spacing w:line="560" w:lineRule="exact"/>
        <w:ind w:firstLine="480"/>
        <w:jc w:val="both"/>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Cs/>
          <w:color w:val="auto"/>
          <w:kern w:val="0"/>
          <w:sz w:val="24"/>
          <w:szCs w:val="20"/>
          <w:highlight w:val="none"/>
          <w:lang w:val="en-US" w:eastAsia="zh-CN" w:bidi="ar-SA"/>
        </w:rPr>
        <w:t>2.本项目所涉及的均为推荐品牌，中标人选投非推荐品牌的，需提供相关资料证明其技术性能及质量等级等于或高于推荐品牌。</w:t>
      </w:r>
    </w:p>
    <w:p w14:paraId="143BC3A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PUA">
    <w:altName w:val="宋体"/>
    <w:panose1 w:val="02010600030101010101"/>
    <w:charset w:val="86"/>
    <w:family w:val="auto"/>
    <w:pitch w:val="default"/>
    <w:sig w:usb0="00000000" w:usb1="00000000" w:usb2="00000000" w:usb3="00000000" w:csb0="00040000"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8DF1E9"/>
    <w:multiLevelType w:val="singleLevel"/>
    <w:tmpl w:val="158DF1E9"/>
    <w:lvl w:ilvl="0" w:tentative="0">
      <w:start w:val="1"/>
      <w:numFmt w:val="decimal"/>
      <w:suff w:val="nothing"/>
      <w:lvlText w:val="%1、"/>
      <w:lvlJc w:val="left"/>
    </w:lvl>
  </w:abstractNum>
  <w:abstractNum w:abstractNumId="1">
    <w:nsid w:val="16578191"/>
    <w:multiLevelType w:val="singleLevel"/>
    <w:tmpl w:val="16578191"/>
    <w:lvl w:ilvl="0" w:tentative="0">
      <w:start w:val="1"/>
      <w:numFmt w:val="decimal"/>
      <w:suff w:val="nothing"/>
      <w:lvlText w:val="%1、"/>
      <w:lvlJc w:val="left"/>
    </w:lvl>
  </w:abstractNum>
  <w:abstractNum w:abstractNumId="2">
    <w:nsid w:val="60382F6E"/>
    <w:multiLevelType w:val="multilevel"/>
    <w:tmpl w:val="60382F6E"/>
    <w:lvl w:ilvl="0" w:tentative="0">
      <w:start w:val="6"/>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B910B8"/>
    <w:rsid w:val="28CA2526"/>
    <w:rsid w:val="41EF0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910</Words>
  <Characters>977</Characters>
  <Lines>0</Lines>
  <Paragraphs>0</Paragraphs>
  <TotalTime>3</TotalTime>
  <ScaleCrop>false</ScaleCrop>
  <LinksUpToDate>false</LinksUpToDate>
  <CharactersWithSpaces>979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2023-10-23T02:17:00Z</dcterms:created>
  <dc:creator>Administrator</dc:creator>
  <cp:lastModifiedBy>lanmao</cp:lastModifiedBy>
  <dcterms:modified xsi:type="dcterms:W3CDTF">2026-07-28T03:00:53Z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58671B95AA5B47B38C761A2AA8434406_12</vt:lpwstr>
  </property>
  <property fmtid="{D5CDD505-2E9C-101B-9397-08002B2CF9AE}" pid="4" name="KSOTemplateDocerSaveRecord">
    <vt:lpwstr>eyJoZGlkIjoiNWE0NzVjNjdlNzVkZDU5NzBiY2Q0MWZiMWQ0NjRlOTQiLCJ1c2VySWQiOiIxNjM4OTI4ODQ0In0=</vt:lpwstr>
  </property>
</Properties>
</file>