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26"/>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26"/>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宿迁学院新校区南食堂大厅家具采购项目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JSZC-321300-SSJT-G2026-0040</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26"/>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6"/>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26"/>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26"/>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2026年7月3日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63"/>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3"/>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3"/>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3"/>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3"/>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3"/>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42"/>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yellow"/>
          <w:u w:val="single"/>
        </w:rPr>
        <w:t xml:space="preserve">2026年</w:t>
      </w:r>
      <w:r>
        <w:rPr>
          <w:rFonts w:hint="eastAsia" w:ascii="宋体" w:hAnsi="宋体" w:eastAsia="宋体" w:cs="宋体"/>
          <w:b/>
          <w:bCs/>
          <w:color w:val="auto"/>
          <w:sz w:val="24"/>
          <w:szCs w:val="24"/>
          <w:highlight w:val="yellow"/>
          <w:u w:val="single"/>
          <w:lang w:val="en-US" w:eastAsia="zh-CN"/>
        </w:rPr>
        <w:t xml:space="preserve">7</w:t>
      </w:r>
      <w:r>
        <w:rPr>
          <w:rFonts w:hint="eastAsia" w:ascii="宋体" w:hAnsi="宋体" w:eastAsia="宋体" w:cs="宋体"/>
          <w:b/>
          <w:bCs/>
          <w:color w:val="auto"/>
          <w:sz w:val="24"/>
          <w:szCs w:val="24"/>
          <w:highlight w:val="yellow"/>
          <w:u w:val="single"/>
        </w:rPr>
        <w:t xml:space="preserve">月</w:t>
      </w:r>
      <w:r>
        <w:rPr>
          <w:rFonts w:hint="eastAsia" w:ascii="宋体" w:hAnsi="宋体" w:eastAsia="宋体" w:cs="宋体"/>
          <w:b/>
          <w:bCs/>
          <w:color w:val="auto"/>
          <w:sz w:val="24"/>
          <w:szCs w:val="24"/>
          <w:highlight w:val="yellow"/>
          <w:u w:val="single"/>
          <w:lang w:val="en-US" w:eastAsia="zh-CN"/>
        </w:rPr>
        <w:t xml:space="preserve">23</w:t>
      </w:r>
      <w:r>
        <w:rPr>
          <w:rFonts w:hint="eastAsia" w:ascii="宋体" w:hAnsi="宋体" w:eastAsia="宋体" w:cs="宋体"/>
          <w:b/>
          <w:bCs/>
          <w:color w:val="auto"/>
          <w:sz w:val="24"/>
          <w:szCs w:val="24"/>
          <w:highlight w:val="yellow"/>
          <w:u w:val="single"/>
        </w:rPr>
        <w:t xml:space="preserve">日 10点00分</w:t>
      </w:r>
      <w:r>
        <w:rPr>
          <w:rFonts w:hint="eastAsia" w:ascii="宋体" w:hAnsi="宋体" w:eastAsia="宋体" w:cs="宋体"/>
          <w:bCs/>
          <w:color w:val="auto"/>
          <w:sz w:val="24"/>
          <w:szCs w:val="24"/>
          <w:highlight w:val="yellow"/>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621"/>
      <w:r/>
      <w:bookmarkStart w:id="2" w:name="_Toc28359079"/>
      <w:r/>
      <w:bookmarkStart w:id="3" w:name="_Toc35393790"/>
      <w:r/>
      <w:bookmarkStart w:id="4" w:name="_Toc28359002"/>
      <w:r/>
      <w:bookmarkStart w:id="5" w:name="_Toc38985263"/>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JSZC-321300-SSJT-G2026-0040</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163.8万元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yellow"/>
          <w:lang w:val="en-US" w:eastAsia="zh-CN"/>
        </w:rPr>
        <w:t xml:space="preserve">135.435</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宿迁学院新校区南食堂大厅餐桌椅采购，相关后续售后服务等全部内容，详细内容见本招标文件第四章。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合同签订后15日历天内完成所有家具供货至采购人指定地点，接到采购人通知后7日内安装调试完毕（含二次搬运）并交付使用。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791"/>
      <w:r/>
      <w:bookmarkStart w:id="8" w:name="_Toc28359080"/>
      <w:r/>
      <w:bookmarkStart w:id="9" w:name="_Toc35393622"/>
      <w:r/>
      <w:bookmarkStart w:id="10" w:name="_Toc38985264"/>
      <w:r/>
      <w:bookmarkStart w:id="11" w:name="_Toc28359003"/>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81"/>
      <w:r/>
      <w:bookmarkStart w:id="13" w:name="_Toc35393792"/>
      <w:r/>
      <w:bookmarkStart w:id="14" w:name="_Toc38985265"/>
      <w:r/>
      <w:bookmarkStart w:id="15" w:name="_Toc35393623"/>
      <w:r/>
      <w:bookmarkStart w:id="1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5393793"/>
      <w:r/>
      <w:bookmarkStart w:id="20" w:name="_Toc35393624"/>
      <w:r/>
      <w:bookmarkStart w:id="21" w:name="_Toc38985266"/>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yellow"/>
          <w:lang w:eastAsia="zh-CN"/>
        </w:rPr>
        <w:t xml:space="preserve">2026年</w:t>
      </w:r>
      <w:r>
        <w:rPr>
          <w:rFonts w:hint="eastAsia" w:ascii="宋体" w:hAnsi="宋体" w:eastAsia="宋体" w:cs="宋体"/>
          <w:color w:val="auto"/>
          <w:sz w:val="24"/>
          <w:szCs w:val="24"/>
          <w:highlight w:val="yellow"/>
          <w:lang w:val="en-US" w:eastAsia="zh-CN"/>
        </w:rPr>
        <w:t xml:space="preserve">7</w:t>
      </w:r>
      <w:r>
        <w:rPr>
          <w:rFonts w:hint="eastAsia" w:ascii="宋体" w:hAnsi="宋体" w:eastAsia="宋体" w:cs="宋体"/>
          <w:color w:val="auto"/>
          <w:sz w:val="24"/>
          <w:szCs w:val="24"/>
          <w:highlight w:val="yellow"/>
          <w:lang w:eastAsia="zh-CN"/>
        </w:rPr>
        <w:t xml:space="preserve">月2</w:t>
      </w:r>
      <w:r>
        <w:rPr>
          <w:rFonts w:hint="eastAsia" w:ascii="宋体" w:hAnsi="宋体" w:eastAsia="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eastAsia="zh-CN"/>
        </w:rPr>
        <w:t xml:space="preserve">日</w:t>
      </w:r>
      <w:r>
        <w:rPr>
          <w:rFonts w:hint="eastAsia" w:ascii="宋体" w:hAnsi="宋体" w:eastAsia="宋体" w:cs="宋体"/>
          <w:color w:val="auto"/>
          <w:sz w:val="24"/>
          <w:szCs w:val="24"/>
          <w:highlight w:val="yellow"/>
        </w:rPr>
        <w:t xml:space="preserve"> 10点00分</w:t>
      </w:r>
      <w:r>
        <w:rPr>
          <w:rFonts w:hint="eastAsia" w:ascii="宋体" w:hAnsi="宋体" w:eastAsia="宋体" w:cs="宋体"/>
          <w:bCs/>
          <w:color w:val="auto"/>
          <w:sz w:val="24"/>
          <w:szCs w:val="24"/>
          <w:highlight w:val="yellow"/>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35393796"/>
      <w:r/>
      <w:bookmarkStart w:id="34" w:name="_Toc28359085"/>
      <w:r/>
      <w:bookmarkStart w:id="35" w:name="_Toc28359008"/>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44"/>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42"/>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16938518"/>
      <w:r/>
      <w:bookmarkStart w:id="44" w:name="_Toc120614213"/>
      <w:r/>
      <w:bookmarkStart w:id="45" w:name="_Toc20823274"/>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52"/>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rPr>
            </w:pPr>
            <w:r/>
            <w:bookmarkStart w:id="46" w:name="_Toc120614214"/>
            <w:r/>
            <w:bookmarkStart w:id="47" w:name="_Toc16938519"/>
            <w:r/>
            <w:bookmarkStart w:id="48" w:name="_Toc20823275"/>
            <w:r/>
            <w:bookmarkStart w:id="49" w:name="_Toc513029203"/>
            <w:r>
              <w:rPr>
                <w:rFonts w:hint="eastAsia" w:ascii="宋体" w:hAnsi="宋体" w:eastAsia="宋体" w:cs="宋体"/>
                <w:b/>
                <w:bCs/>
                <w:color w:val="auto"/>
                <w:sz w:val="24"/>
                <w:szCs w:val="24"/>
                <w:highlight w:val="none"/>
              </w:rPr>
              <w:br w:type="page" w:clear="all"/>
            </w:r>
            <w:bookmarkStart w:id="50" w:name="_Toc29262"/>
            <w:r/>
            <w:bookmarkStart w:id="51" w:name="_Toc81575154"/>
            <w:r/>
            <w:bookmarkStart w:id="52"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3" w:name="EB9a5853ee094f4f0ea6ec3169265f6f2c"/>
            <w:r>
              <w:rPr>
                <w:rFonts w:hint="eastAsia" w:ascii="Times New Roman" w:hAnsi="Times New Roman" w:cs="仿宋"/>
                <w:sz w:val="24"/>
                <w:szCs w:val="24"/>
              </w:rPr>
              <w:t xml:space="preserve">属性按以下第</w:t>
            </w:r>
            <w:bookmarkEnd w:id="5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4" w:name="EBd5c6c026f9674c39b21b31ecd0c1e7fa"/>
            <w:r>
              <w:rPr>
                <w:rFonts w:hint="eastAsia" w:ascii="Times New Roman" w:hAnsi="Times New Roman" w:cs="仿宋"/>
                <w:sz w:val="24"/>
                <w:szCs w:val="24"/>
              </w:rPr>
              <w:t xml:space="preserve">采购；2.</w:t>
            </w:r>
            <w:bookmarkEnd w:id="54"/>
            <w:r>
              <w:rPr>
                <w:rFonts w:hint="eastAsia" w:ascii="Times New Roman" w:hAnsi="Times New Roman" w:cs="仿宋"/>
                <w:sz w:val="24"/>
                <w:szCs w:val="24"/>
              </w:rPr>
              <w:t xml:space="preserve">服务</w:t>
            </w:r>
            <w:bookmarkStart w:id="55" w:name="EBf7d2a4f44ecb4166a93ea852e73be69f"/>
            <w:r>
              <w:rPr>
                <w:rFonts w:hint="eastAsia" w:ascii="Times New Roman" w:hAnsi="Times New Roman" w:cs="仿宋"/>
                <w:sz w:val="24"/>
                <w:szCs w:val="24"/>
              </w:rPr>
              <w:t xml:space="preserve">采购；3.</w:t>
            </w:r>
            <w:bookmarkEnd w:id="5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6" w:name="EBd40b5fb42f2944a3b45e579ce3941f02"/>
            <w:r/>
            <w:bookmarkEnd w:id="56"/>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w:t>
            </w:r>
            <w:bookmarkEnd w:id="5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4"/>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20823277"/>
      <w:r/>
      <w:bookmarkStart w:id="66"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513029206"/>
      <w:r/>
      <w:bookmarkStart w:id="68" w:name="_Toc20823278"/>
      <w:r/>
      <w:bookmarkStart w:id="69"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16938523"/>
      <w:r/>
      <w:bookmarkStart w:id="71" w:name="_Toc20823279"/>
      <w:r/>
      <w:bookmarkStart w:id="72" w:name="_Toc513029207"/>
      <w:r/>
      <w:bookmarkStart w:id="73" w:name="_Toc46256406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27"/>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45"/>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44"/>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16938525"/>
      <w:r/>
      <w:bookmarkStart w:id="75" w:name="_Toc20823281"/>
      <w:r/>
      <w:bookmarkStart w:id="76" w:name="_Toc513029209"/>
      <w:r/>
      <w:bookmarkStart w:id="77" w:name="_Toc12061421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16938526"/>
      <w:r/>
      <w:bookmarkStart w:id="79" w:name="_Toc20823282"/>
      <w:r/>
      <w:bookmarkStart w:id="80"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5"/>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513029211"/>
      <w:r/>
      <w:bookmarkStart w:id="82" w:name="_Toc16938527"/>
      <w:r/>
      <w:bookmarkStart w:id="83" w:name="_Toc20823283"/>
      <w:r/>
      <w:bookmarkStart w:id="84"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45"/>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16938528"/>
      <w:r/>
      <w:bookmarkStart w:id="86" w:name="_Toc513029212"/>
      <w:r/>
      <w:bookmarkStart w:id="87" w:name="_Toc462564071"/>
      <w:r/>
      <w:bookmarkStart w:id="88" w:name="_Toc20823284"/>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44"/>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462564072"/>
      <w:r/>
      <w:bookmarkStart w:id="90" w:name="_Toc120614216"/>
      <w:r/>
      <w:bookmarkStart w:id="91" w:name="_Toc513029213"/>
      <w:r/>
      <w:bookmarkStart w:id="92" w:name="_Toc16938529"/>
      <w:r/>
      <w:bookmarkStart w:id="93" w:name="_Toc20823285"/>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45"/>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462564073"/>
      <w:r/>
      <w:bookmarkStart w:id="95" w:name="_Toc20823286"/>
      <w:r/>
      <w:bookmarkStart w:id="96" w:name="_Toc16938530"/>
      <w:r/>
      <w:bookmarkStart w:id="97"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16938531"/>
      <w:r/>
      <w:bookmarkStart w:id="99" w:name="_Toc462564074"/>
      <w:r/>
      <w:bookmarkStart w:id="100" w:name="_Toc513029215"/>
      <w:r/>
      <w:bookmarkStart w:id="101" w:name="_Toc20823287"/>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70360"/>
      <w:r/>
      <w:bookmarkEnd w:id="103"/>
      <w:r/>
      <w:bookmarkStart w:id="104" w:name="_Hlt26668975"/>
      <w:r/>
      <w:bookmarkEnd w:id="104"/>
      <w:r/>
      <w:bookmarkStart w:id="105" w:name="_Hlt26954838"/>
      <w:r/>
      <w:bookmarkEnd w:id="105"/>
      <w:r/>
      <w:bookmarkStart w:id="106" w:name="_Toc513029219"/>
      <w:r/>
      <w:bookmarkStart w:id="107" w:name="_Toc14577354"/>
      <w:r/>
      <w:bookmarkStart w:id="108" w:name="_Toc49090507"/>
      <w:r/>
      <w:bookmarkStart w:id="109" w:name="_Toc49090509"/>
      <w:r/>
      <w:bookmarkStart w:id="110" w:name="_Toc14577357"/>
      <w:r/>
      <w:bookmarkStart w:id="111" w:name="_Toc513029216"/>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45"/>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670486"/>
      <w:r/>
      <w:bookmarkEnd w:id="117"/>
      <w:r/>
      <w:bookmarkStart w:id="118" w:name="_Hlt26954844"/>
      <w:r/>
      <w:bookmarkEnd w:id="118"/>
      <w:r/>
      <w:bookmarkStart w:id="119" w:name="_Hlt26670482"/>
      <w:r/>
      <w:bookmarkEnd w:id="119"/>
      <w:r/>
      <w:bookmarkStart w:id="120" w:name="_Hlt26954731"/>
      <w:r/>
      <w:bookmarkEnd w:id="120"/>
      <w:r/>
      <w:bookmarkStart w:id="121" w:name="_Hlt26668983"/>
      <w:r/>
      <w:bookmarkEnd w:id="121"/>
      <w:r/>
      <w:bookmarkStart w:id="122" w:name="_Hlt26954846"/>
      <w:r/>
      <w:bookmarkEnd w:id="122"/>
      <w:r/>
      <w:bookmarkStart w:id="123" w:name="_Hlt26670403"/>
      <w:r/>
      <w:bookmarkEnd w:id="123"/>
      <w:r/>
      <w:bookmarkStart w:id="124" w:name="_Hlt26954848"/>
      <w:r/>
      <w:bookmarkEnd w:id="124"/>
      <w:r/>
      <w:bookmarkStart w:id="125" w:name="_Hlt26954842"/>
      <w:r/>
      <w:bookmarkEnd w:id="125"/>
      <w:r/>
      <w:bookmarkStart w:id="126" w:name="_Hlt26670425"/>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44"/>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852"/>
      <w:r/>
      <w:bookmarkEnd w:id="134"/>
      <w:r/>
      <w:bookmarkStart w:id="135" w:name="_Hlt26954739"/>
      <w:r/>
      <w:bookmarkEnd w:id="135"/>
      <w:r/>
      <w:bookmarkStart w:id="136" w:name="_Toc20823296"/>
      <w:r/>
      <w:bookmarkStart w:id="137" w:name="_Toc120614217"/>
      <w:r/>
      <w:bookmarkStart w:id="138" w:name="_Toc513029224"/>
      <w:r/>
      <w:bookmarkStart w:id="139" w:name="_Toc16938540"/>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16938541"/>
      <w:r/>
      <w:bookmarkStart w:id="141" w:name="_Toc462564084"/>
      <w:r/>
      <w:bookmarkStart w:id="142" w:name="_Toc513029225"/>
      <w:r/>
      <w:bookmarkStart w:id="143" w:name="_Toc20823297"/>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16938542"/>
      <w:r/>
      <w:bookmarkStart w:id="145" w:name="_Toc513029226"/>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20823299"/>
      <w:r/>
      <w:bookmarkStart w:id="149"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20823300"/>
      <w:r/>
      <w:bookmarkStart w:id="151" w:name="_Toc16938544"/>
      <w:r/>
      <w:bookmarkStart w:id="152" w:name="_Toc513029228"/>
      <w:r/>
      <w:bookmarkStart w:id="153" w:name="_Toc20823301"/>
      <w:r/>
      <w:bookmarkStart w:id="154" w:name="_Toc120614218"/>
      <w:r/>
      <w:bookmarkStart w:id="155" w:name="_Toc513029229"/>
      <w:r/>
      <w:bookmarkStart w:id="156"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44"/>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20823302"/>
      <w:r/>
      <w:bookmarkStart w:id="158" w:name="_Toc513029230"/>
      <w:r/>
      <w:bookmarkStart w:id="159" w:name="_Toc16938546"/>
      <w:r/>
      <w:bookmarkStart w:id="160" w:name="_Toc16938547"/>
      <w:r/>
      <w:bookmarkStart w:id="161" w:name="_Toc513029231"/>
      <w:r/>
      <w:bookmarkStart w:id="162" w:name="_Toc20823303"/>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29"/>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29"/>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16938548"/>
      <w:r/>
      <w:bookmarkStart w:id="164" w:name="_Toc513029232"/>
      <w:r/>
      <w:bookmarkStart w:id="165"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29"/>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16938549"/>
      <w:r/>
      <w:bookmarkStart w:id="167" w:name="_Toc20823305"/>
      <w:r/>
      <w:bookmarkStart w:id="168"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16938550"/>
      <w:r/>
      <w:bookmarkStart w:id="170" w:name="_Toc20823306"/>
      <w:r/>
      <w:bookmarkStart w:id="171"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20823307"/>
      <w:r/>
      <w:bookmarkStart w:id="173" w:name="_Toc16938551"/>
      <w:r/>
      <w:bookmarkStart w:id="174"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44"/>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16938554"/>
      <w:r/>
      <w:bookmarkStart w:id="178" w:name="_Toc20823310"/>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20823308"/>
      <w:r/>
      <w:bookmarkStart w:id="182" w:name="_Toc513029236"/>
      <w:r/>
      <w:bookmarkStart w:id="183" w:name="_Toc120614220"/>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44"/>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513029237"/>
      <w:r/>
      <w:bookmarkStart w:id="185" w:name="_Toc20823309"/>
      <w:r/>
      <w:bookmarkStart w:id="186"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45"/>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53"/>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5"/>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42"/>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1"/>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5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52"/>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42"/>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42"/>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rPr>
      </w:pPr>
      <w:r>
        <w:rPr>
          <w:rFonts w:hint="eastAsia" w:ascii="宋体" w:hAnsi="宋体"/>
          <w:b/>
          <w:bCs/>
          <w:color w:val="000000"/>
          <w:sz w:val="24"/>
        </w:rPr>
        <w:t xml:space="preserve">核心产品：</w:t>
      </w:r>
      <w:r>
        <w:rPr>
          <w:rFonts w:hint="eastAsia" w:ascii="宋体" w:hAnsi="宋体"/>
          <w:b/>
          <w:bCs/>
          <w:color w:val="000000"/>
          <w:sz w:val="24"/>
          <w:lang w:val="en-US" w:eastAsia="zh-CN"/>
        </w:rPr>
        <w:t xml:space="preserve">木制</w:t>
      </w:r>
      <w:r>
        <w:rPr>
          <w:rFonts w:hint="eastAsia" w:ascii="宋体" w:hAnsi="宋体"/>
          <w:b/>
          <w:bCs/>
          <w:color w:val="000000"/>
          <w:sz w:val="24"/>
        </w:rPr>
        <w:t xml:space="preserve">餐椅</w:t>
      </w:r>
      <w:r/>
    </w:p>
    <w:p>
      <w:pPr>
        <w:spacing w:line="440" w:lineRule="exact"/>
        <w:rPr>
          <w:rFonts w:ascii="宋体" w:hAnsi="宋体"/>
          <w:b/>
          <w:color w:val="000000"/>
          <w:sz w:val="24"/>
        </w:rPr>
      </w:pPr>
      <w:r>
        <w:rPr>
          <w:rFonts w:hint="eastAsia" w:ascii="宋体" w:hAnsi="宋体"/>
          <w:b/>
          <w:color w:val="000000"/>
          <w:sz w:val="24"/>
        </w:rPr>
        <w:t xml:space="preserve">一、项目基本情况</w:t>
      </w:r>
      <w:r/>
    </w:p>
    <w:p>
      <w:pPr>
        <w:ind w:left="479" w:firstLine="64"/>
        <w:spacing w:line="440" w:lineRule="exact"/>
        <w:rPr>
          <w:rFonts w:ascii="宋体" w:hAnsi="宋体"/>
          <w:bCs/>
          <w:color w:val="000000"/>
          <w:sz w:val="24"/>
        </w:rPr>
      </w:pPr>
      <w:r>
        <w:rPr>
          <w:rFonts w:hint="eastAsia" w:ascii="宋体" w:hAnsi="宋体" w:cs="宋体"/>
          <w:bCs/>
          <w:sz w:val="24"/>
          <w:highlight w:val="white"/>
        </w:rPr>
        <w:t xml:space="preserve">本次采购内容为宿迁学院新校区南食堂大厅家具采购项目采购，包括家具制作、运输、装卸、安装、调试及售后三包服务等。</w:t>
      </w:r>
      <w:r>
        <w:rPr>
          <w:rFonts w:hint="eastAsia" w:ascii="宋体" w:hAnsi="宋体"/>
          <w:bCs/>
          <w:color w:val="000000"/>
          <w:sz w:val="24"/>
        </w:rPr>
        <w:t xml:space="preserve"> </w:t>
      </w:r>
      <w:r/>
    </w:p>
    <w:p>
      <w:pPr>
        <w:numPr>
          <w:ilvl w:val="0"/>
          <w:numId w:val="8"/>
        </w:numPr>
        <w:spacing w:line="440" w:lineRule="exact"/>
        <w:rPr>
          <w:rFonts w:ascii="宋体" w:hAnsi="宋体"/>
          <w:b/>
          <w:color w:val="000000"/>
          <w:sz w:val="24"/>
        </w:rPr>
      </w:pPr>
      <w:r>
        <w:rPr>
          <w:rFonts w:hint="eastAsia" w:ascii="宋体" w:hAnsi="宋体"/>
          <w:b/>
          <w:color w:val="000000"/>
          <w:sz w:val="24"/>
        </w:rPr>
        <w:t xml:space="preserve">技术参数要求</w:t>
      </w:r>
      <w:r/>
    </w:p>
    <w:tbl>
      <w:tblPr>
        <w:tblStyle w:val="752"/>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663"/>
        <w:gridCol w:w="1091"/>
        <w:gridCol w:w="2779"/>
        <w:gridCol w:w="678"/>
        <w:gridCol w:w="2072"/>
        <w:gridCol w:w="1421"/>
      </w:tblGrid>
      <w:tr>
        <w:trPr>
          <w:trHeight w:val="1220"/>
        </w:trPr>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图片样式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w:t>
            </w:r>
            <w:r/>
          </w:p>
        </w:tc>
      </w:tr>
      <w:tr>
        <w:trPr>
          <w:trHeight w:val="380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1.尺寸：D1200*W600*H750mm±10mm；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2.材质：抗倍特板+钢架；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3.桌面：材质采用18mm抗倍特一体成型，耐80度以上高温，防水：浸水24小时后的膨胀指数不多于0.1mm，面板四周采CNC修边，四周倒角，圆润光滑无任何毛边。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4.横杆尺寸：20*40mm，厚度1.5mm，桌脚采用直径38*38mm，厚度1.8mm钢管，表面采用高温粉体烤漆，耐腐蚀，不易生锈；底部配四个脚垫。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5.▲《抗倍特板》符合GB/T 20284-2006《建筑材料或制品的单体燃烧试验》燃烧增长速率指数≦250W/S；火焰横向蔓延：不可到达试样长翼边缘；600s内总放热量≦15MJ；烟气生成速率指数≦30M²/S²；600s总烟气生成量≦50m²；600s内滴落物：无滴落物。</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6.▲桌面环保性能---甲醛释放量≤0.025mg/m³；桌面TVOC释放量需符合 GB/T 39600-2021《人造板及其制品甲醛释放量分级》 TVOC释放量≤0.5mg/m³·h 。（投标文件中提供具有CMA标识的符合本项要求的检验检测报告电子件）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7.▲桌面放射性核素照射指数IRa≤0.8和外照射指数Iy≤1.0</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lang w:val="en-US" w:eastAsia="zh-CN"/>
              </w:rPr>
              <w:suppressLineNumbers w:val="0"/>
            </w:pPr>
            <w:r>
              <w:rPr>
                <w:rFonts w:hint="eastAsia" w:ascii="Arial" w:hAnsi="Arial" w:cs="Arial"/>
                <w:i w:val="0"/>
                <w:iCs w:val="0"/>
                <w:color w:val="000000"/>
                <w:sz w:val="20"/>
                <w:szCs w:val="20"/>
                <w:highlight w:val="yellow"/>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wp:posOffset>
                      </wp:positionH>
                      <wp:positionV relativeFrom="paragraph">
                        <wp:posOffset>732155</wp:posOffset>
                      </wp:positionV>
                      <wp:extent cx="1181100" cy="121412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4" name="图片_1"/>
                              <pic:cNvPicPr/>
                              <pic:nvPr/>
                            </pic:nvPicPr>
                            <pic:blipFill>
                              <a:blip r:embed="rId15"/>
                              <a:stretch/>
                            </pic:blipFill>
                            <pic:spPr bwMode="auto">
                              <a:xfrm>
                                <a:off x="0" y="0"/>
                                <a:ext cx="118109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1.8pt;mso-position-horizontal:absolute;mso-position-vertical-relative:text;margin-top:57.6pt;mso-position-vertical:absolute;width:93.0pt;height:95.6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2920"/>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14</w:t>
            </w:r>
            <w:r>
              <w:rPr>
                <w:rFonts w:hint="eastAsia" w:ascii="Arial" w:hAnsi="Arial" w:cs="Arial"/>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23495</wp:posOffset>
                      </wp:positionH>
                      <wp:positionV relativeFrom="paragraph">
                        <wp:posOffset>92710</wp:posOffset>
                      </wp:positionV>
                      <wp:extent cx="1114425" cy="1146810"/>
                      <wp:effectExtent l="0" t="0" r="0" b="0"/>
                      <wp:wrapNone/>
                      <wp:docPr id="5"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16"/>
                              <a:stretch/>
                            </pic:blipFill>
                            <pic:spPr bwMode="auto">
                              <a:xfrm>
                                <a:off x="0" y="0"/>
                                <a:ext cx="111442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1.8pt;mso-position-horizontal:absolute;mso-position-vertical-relative:text;margin-top:7.3pt;mso-position-vertical:absolute;width:87.8pt;height:90.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625"/>
        </w:trPr>
        <w:tc>
          <w:tcPr>
            <w:tcBorders>
              <w:top w:val="single" w:color="000000" w:sz="4" w:space="0"/>
              <w:left w:val="single" w:color="000000" w:sz="4" w:space="0"/>
              <w:bottom w:val="non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wp:posOffset>
                      </wp:positionH>
                      <wp:positionV relativeFrom="paragraph">
                        <wp:posOffset>571500</wp:posOffset>
                      </wp:positionV>
                      <wp:extent cx="1230630" cy="1268730"/>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7"/>
                              <a:stretch/>
                            </pic:blipFill>
                            <pic:spPr bwMode="auto">
                              <a:xfrm>
                                <a:off x="0" y="0"/>
                                <a:ext cx="123063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0.8pt;mso-position-horizontal:absolute;mso-position-vertical-relative:text;margin-top:45.0pt;mso-position-vertical:absolute;width:96.9pt;height:99.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3220"/>
        </w:trPr>
        <w:tc>
          <w:tcPr>
            <w:tcBorders>
              <w:top w:val="single" w:color="000000" w:sz="4" w:space="0"/>
              <w:left w:val="single" w:color="000000" w:sz="4" w:space="0"/>
              <w:bottom w:val="non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-3175</wp:posOffset>
                      </wp:positionH>
                      <wp:positionV relativeFrom="paragraph">
                        <wp:posOffset>378460</wp:posOffset>
                      </wp:positionV>
                      <wp:extent cx="1167765" cy="1200785"/>
                      <wp:effectExtent l="0" t="0" r="0" b="0"/>
                      <wp:wrapNone/>
                      <wp:docPr id="7"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8"/>
                              <a:stretch/>
                            </pic:blipFill>
                            <pic:spPr bwMode="auto">
                              <a:xfrm>
                                <a:off x="0" y="0"/>
                                <a:ext cx="1167765"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2576;o:allowoverlap:true;o:allowincell:true;mso-position-horizontal-relative:text;margin-left:-0.2pt;mso-position-horizontal:absolute;mso-position-vertical-relative:text;margin-top:29.8pt;mso-position-vertical:absolute;width:91.9pt;height:94.5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2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w:t>
            </w:r>
            <w:r>
              <w:rPr>
                <w:rFonts w:hint="eastAsia" w:ascii="Arial" w:hAnsi="Arial" w:cs="Arial"/>
                <w:i w:val="0"/>
                <w:iCs w:val="0"/>
                <w:color w:val="000000"/>
                <w:sz w:val="20"/>
                <w:szCs w:val="20"/>
                <w:u w:val="none"/>
                <w:lang w:val="en-US" w:eastAsia="zh-CN" w:bidi="ar"/>
              </w:rPr>
              <w:t xml:space="preserve">3</w:t>
            </w:r>
            <w:r>
              <w:rPr>
                <w:rFonts w:hint="default" w:ascii="Arial" w:hAnsi="Arial" w:eastAsia="宋体" w:cs="Arial"/>
                <w:i w:val="0"/>
                <w:iCs w:val="0"/>
                <w:color w:val="000000"/>
                <w:sz w:val="20"/>
                <w:szCs w:val="20"/>
                <w:u w:val="none"/>
                <w:lang w:val="en-US" w:eastAsia="zh-CN" w:bidi="ar"/>
              </w:rPr>
              <w:t xml:space="preserve">0*4</w:t>
            </w:r>
            <w:r>
              <w:rPr>
                <w:rFonts w:hint="eastAsia" w:ascii="Arial" w:hAnsi="Arial" w:cs="Arial"/>
                <w:i w:val="0"/>
                <w:iCs w:val="0"/>
                <w:color w:val="000000"/>
                <w:sz w:val="20"/>
                <w:szCs w:val="20"/>
                <w:u w:val="none"/>
                <w:lang w:val="en-US" w:eastAsia="zh-CN" w:bidi="ar"/>
              </w:rPr>
              <w:t xml:space="preserve">6</w:t>
            </w:r>
            <w:r>
              <w:rPr>
                <w:rFonts w:hint="default" w:ascii="Arial" w:hAnsi="Arial" w:eastAsia="宋体" w:cs="Arial"/>
                <w:i w:val="0"/>
                <w:iCs w:val="0"/>
                <w:color w:val="000000"/>
                <w:sz w:val="20"/>
                <w:szCs w:val="20"/>
                <w:u w:val="none"/>
                <w:lang w:val="en-US" w:eastAsia="zh-CN" w:bidi="ar"/>
              </w:rPr>
              <w:t xml:space="preserve">0*</w:t>
            </w:r>
            <w:r>
              <w:rPr>
                <w:rFonts w:hint="eastAsia" w:ascii="Arial" w:hAnsi="Arial" w:cs="Arial"/>
                <w:i w:val="0"/>
                <w:iCs w:val="0"/>
                <w:color w:val="000000"/>
                <w:sz w:val="20"/>
                <w:szCs w:val="20"/>
                <w:u w:val="none"/>
                <w:lang w:val="en-US" w:eastAsia="zh-CN" w:bidi="ar"/>
              </w:rPr>
              <w:t xml:space="preserve">76</w:t>
            </w:r>
            <w:r>
              <w:rPr>
                <w:rFonts w:hint="default" w:ascii="Arial" w:hAnsi="Arial" w:eastAsia="宋体" w:cs="Arial"/>
                <w:i w:val="0"/>
                <w:iCs w:val="0"/>
                <w:color w:val="000000"/>
                <w:sz w:val="20"/>
                <w:szCs w:val="20"/>
                <w:u w:val="none"/>
                <w:lang w:val="en-US" w:eastAsia="zh-CN" w:bidi="ar"/>
              </w:rPr>
              <w:t xml:space="preserve">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规格：</w:t>
            </w:r>
            <w:r>
              <w:rPr>
                <w:rFonts w:ascii="Arial" w:hAnsi="Arial" w:eastAsia="宋体" w:cs="Arial"/>
                <w:color w:val="000000"/>
                <w:sz w:val="20"/>
                <w:szCs w:val="20"/>
                <w:lang w:val="en-US" w:eastAsia="en-US" w:bidi="ar"/>
              </w:rPr>
              <w:t xml:space="preserve">530*460*760mm</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2.</w:t>
            </w:r>
            <w:r>
              <w:rPr>
                <w:rFonts w:hint="eastAsia" w:ascii="宋体" w:hAnsi="宋体" w:eastAsia="宋体" w:cs="宋体"/>
                <w:color w:val="000000"/>
                <w:sz w:val="20"/>
                <w:szCs w:val="20"/>
                <w:lang w:val="en-US" w:eastAsia="en-US" w:bidi="ar"/>
              </w:rPr>
              <w:t xml:space="preserve">椅座：采用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420mm*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430mm*</w:t>
            </w:r>
            <w:r>
              <w:rPr>
                <w:rFonts w:hint="eastAsia" w:ascii="宋体" w:hAnsi="宋体" w:eastAsia="宋体" w:cs="宋体"/>
                <w:color w:val="000000"/>
                <w:sz w:val="20"/>
                <w:szCs w:val="20"/>
                <w:lang w:val="en-US" w:eastAsia="en-US" w:bidi="ar"/>
              </w:rPr>
              <w:t xml:space="preserve">（坐高）</w:t>
            </w:r>
            <w:r>
              <w:rPr>
                <w:rFonts w:hint="eastAsia" w:ascii="Arial" w:hAnsi="Arial" w:cs="Arial"/>
                <w:color w:val="000000"/>
                <w:sz w:val="20"/>
                <w:szCs w:val="20"/>
                <w:lang w:val="en-US" w:eastAsia="zh-CN" w:bidi="ar"/>
              </w:rPr>
              <w:t xml:space="preserve">440</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，座板厚</w:t>
            </w:r>
            <w:r>
              <w:rPr>
                <w:rFonts w:ascii="Arial" w:hAnsi="Arial" w:eastAsia="宋体" w:cs="Arial"/>
                <w:color w:val="000000"/>
                <w:sz w:val="20"/>
                <w:szCs w:val="20"/>
                <w:lang w:val="en-US" w:eastAsia="en-US" w:bidi="ar"/>
              </w:rPr>
              <w:t xml:space="preserve">≥6mm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椅背：采用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530mm*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200mm*</w:t>
            </w:r>
            <w:r>
              <w:rPr>
                <w:rFonts w:hint="eastAsia" w:ascii="宋体" w:hAnsi="宋体" w:eastAsia="宋体" w:cs="宋体"/>
                <w:color w:val="000000"/>
                <w:sz w:val="20"/>
                <w:szCs w:val="20"/>
                <w:lang w:val="en-US" w:eastAsia="en-US" w:bidi="ar"/>
              </w:rPr>
              <w:t xml:space="preserve">（背高）</w:t>
            </w:r>
            <w:r>
              <w:rPr>
                <w:rFonts w:ascii="Arial" w:hAnsi="Arial" w:eastAsia="宋体" w:cs="Arial"/>
                <w:color w:val="000000"/>
                <w:sz w:val="20"/>
                <w:szCs w:val="20"/>
                <w:lang w:val="en-US" w:eastAsia="en-US" w:bidi="ar"/>
              </w:rPr>
              <w:t xml:space="preserve">330mm</w:t>
            </w:r>
            <w:r>
              <w:rPr>
                <w:rFonts w:hint="eastAsia" w:ascii="宋体" w:hAnsi="宋体" w:eastAsia="宋体" w:cs="宋体"/>
                <w:color w:val="000000"/>
                <w:sz w:val="20"/>
                <w:szCs w:val="20"/>
                <w:lang w:val="en-US" w:eastAsia="en-US" w:bidi="ar"/>
              </w:rPr>
              <w:t xml:space="preserve">；靠背整体成</w:t>
            </w:r>
            <w:r>
              <w:rPr>
                <w:rFonts w:ascii="Arial" w:hAnsi="Arial" w:eastAsia="宋体" w:cs="Arial"/>
                <w:color w:val="000000"/>
                <w:sz w:val="20"/>
                <w:szCs w:val="20"/>
                <w:lang w:val="en-US" w:eastAsia="en-US" w:bidi="ar"/>
              </w:rPr>
              <w:t xml:space="preserve"> T </w:t>
            </w:r>
            <w:r>
              <w:rPr>
                <w:rFonts w:hint="eastAsia" w:ascii="宋体" w:hAnsi="宋体" w:eastAsia="宋体" w:cs="宋体"/>
                <w:color w:val="000000"/>
                <w:sz w:val="20"/>
                <w:szCs w:val="20"/>
                <w:lang w:val="en-US" w:eastAsia="en-US" w:bidi="ar"/>
              </w:rPr>
              <w:t xml:space="preserve">字型。</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4.</w:t>
            </w:r>
            <w:r>
              <w:rPr>
                <w:rFonts w:hint="eastAsia" w:ascii="Calibri" w:hAnsi="Calibri" w:eastAsia="宋体"/>
                <w:sz w:val="21"/>
                <w:szCs w:val="24"/>
                <w:lang w:val="en-US" w:eastAsia="en-US" w:bidi="ar-SA"/>
              </w:rPr>
              <w:t xml:space="preserve"> </w:t>
            </w:r>
            <w:r>
              <w:rPr>
                <w:rFonts w:hint="eastAsia" w:ascii="宋体" w:hAnsi="宋体" w:eastAsia="宋体" w:cs="宋体"/>
                <w:color w:val="000000"/>
                <w:sz w:val="20"/>
                <w:szCs w:val="20"/>
                <w:lang w:val="en-US" w:eastAsia="en-US" w:bidi="ar"/>
              </w:rPr>
              <w:t xml:space="preserve">椅腿由粗到细呈变化厚度，最小处直径</w:t>
            </w:r>
            <w:r>
              <w:rPr>
                <w:rFonts w:ascii="Arial" w:hAnsi="Arial" w:eastAsia="宋体" w:cs="Arial"/>
                <w:color w:val="000000"/>
                <w:sz w:val="20"/>
                <w:szCs w:val="20"/>
                <w:lang w:val="en-US" w:eastAsia="en-US" w:bidi="ar"/>
              </w:rPr>
              <w:t xml:space="preserve">≥2</w:t>
            </w:r>
            <w:r>
              <w:rPr>
                <w:rFonts w:hint="eastAsia" w:ascii="Arial" w:hAnsi="Arial" w:cs="Arial"/>
                <w:color w:val="000000"/>
                <w:sz w:val="20"/>
                <w:szCs w:val="20"/>
                <w:lang w:val="en-US" w:eastAsia="zh-CN" w:bidi="ar"/>
              </w:rPr>
              <w:t xml:space="preserve">4</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，最大处直径</w:t>
            </w:r>
            <w:r>
              <w:rPr>
                <w:rFonts w:ascii="Arial" w:hAnsi="Arial" w:eastAsia="宋体" w:cs="Arial"/>
                <w:color w:val="000000"/>
                <w:sz w:val="20"/>
                <w:szCs w:val="20"/>
                <w:lang w:val="en-US" w:eastAsia="en-US" w:bidi="ar"/>
              </w:rPr>
              <w:t xml:space="preserve">≥30mm</w:t>
            </w:r>
            <w:r>
              <w:rPr>
                <w:rFonts w:hint="eastAsia" w:ascii="宋体" w:hAnsi="宋体" w:eastAsia="宋体" w:cs="宋体"/>
                <w:color w:val="000000"/>
                <w:sz w:val="20"/>
                <w:szCs w:val="20"/>
                <w:lang w:val="en-US" w:eastAsia="en-US" w:bidi="ar"/>
              </w:rPr>
              <w:t xml:space="preserve">，椅脚采用高质量</w:t>
            </w:r>
            <w:r>
              <w:rPr>
                <w:rFonts w:ascii="Arial" w:hAnsi="Arial" w:eastAsia="宋体" w:cs="Arial"/>
                <w:color w:val="000000"/>
                <w:sz w:val="20"/>
                <w:szCs w:val="20"/>
                <w:lang w:val="en-US" w:eastAsia="en-US" w:bidi="ar"/>
              </w:rPr>
              <w:t xml:space="preserve">PVC</w:t>
            </w:r>
            <w:r>
              <w:rPr>
                <w:rFonts w:hint="eastAsia" w:ascii="宋体" w:hAnsi="宋体" w:eastAsia="宋体" w:cs="宋体"/>
                <w:color w:val="000000"/>
                <w:sz w:val="20"/>
                <w:szCs w:val="20"/>
                <w:lang w:val="en-US" w:eastAsia="en-US" w:bidi="ar"/>
              </w:rPr>
              <w:t xml:space="preserve">硅胶耐磨脚垫。</w:t>
            </w:r>
            <w:r>
              <w:rPr>
                <w:rFonts w:ascii="Arial" w:hAnsi="Arial" w:eastAsia="宋体" w:cs="Arial"/>
                <w:color w:val="000000"/>
                <w:sz w:val="20"/>
                <w:szCs w:val="20"/>
                <w:lang w:val="en-US" w:eastAsia="en-US" w:bidi="ar"/>
              </w:rPr>
              <w:t xml:space="preserve">                                                                                                5.▲PP</w:t>
            </w:r>
            <w:r>
              <w:rPr>
                <w:rFonts w:hint="eastAsia" w:ascii="宋体" w:hAnsi="宋体" w:eastAsia="宋体" w:cs="宋体"/>
                <w:color w:val="000000"/>
                <w:sz w:val="20"/>
                <w:szCs w:val="20"/>
                <w:lang w:val="en-US" w:eastAsia="en-US" w:bidi="ar"/>
              </w:rPr>
              <w:t xml:space="preserve">塑料</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val="en-US" w:eastAsia="en-US" w:bidi="ar"/>
              </w:rPr>
              <w:t xml:space="preserve">依据</w:t>
            </w:r>
            <w:r>
              <w:rPr>
                <w:rFonts w:ascii="Arial" w:hAnsi="Arial" w:eastAsia="宋体" w:cs="Arial"/>
                <w:color w:val="000000"/>
                <w:sz w:val="20"/>
                <w:szCs w:val="20"/>
                <w:lang w:val="en-US" w:eastAsia="en-US" w:bidi="ar"/>
              </w:rPr>
              <w:t xml:space="preserve">GB/T 31402-2023</w:t>
            </w:r>
            <w:r>
              <w:rPr>
                <w:rFonts w:hint="eastAsia" w:ascii="宋体" w:hAnsi="宋体" w:eastAsia="宋体" w:cs="宋体"/>
                <w:color w:val="000000"/>
                <w:sz w:val="20"/>
                <w:szCs w:val="20"/>
                <w:lang w:val="en-US" w:eastAsia="en-US" w:bidi="ar"/>
              </w:rPr>
              <w:t xml:space="preserve">《塑料和其他无孔材料表面抗菌活性的测定》、</w:t>
            </w:r>
            <w:r>
              <w:rPr>
                <w:rFonts w:ascii="Arial" w:hAnsi="Arial" w:eastAsia="宋体" w:cs="Arial"/>
                <w:color w:val="000000"/>
                <w:sz w:val="20"/>
                <w:szCs w:val="20"/>
                <w:lang w:val="en-US" w:eastAsia="en-US" w:bidi="ar"/>
              </w:rPr>
              <w:t xml:space="preserve">GB/T 24128-2018</w:t>
            </w:r>
            <w:r>
              <w:rPr>
                <w:rFonts w:hint="eastAsia" w:ascii="宋体" w:hAnsi="宋体" w:eastAsia="宋体" w:cs="宋体"/>
                <w:color w:val="000000"/>
                <w:sz w:val="20"/>
                <w:szCs w:val="20"/>
                <w:lang w:val="en-US" w:eastAsia="en-US" w:bidi="ar"/>
              </w:rPr>
              <w:t xml:space="preserve">《塑料</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塑料防霉剂的防霉效果评估》、</w:t>
            </w:r>
            <w:r>
              <w:rPr>
                <w:rFonts w:ascii="Arial" w:hAnsi="Arial" w:eastAsia="宋体" w:cs="Arial"/>
                <w:color w:val="000000"/>
                <w:sz w:val="20"/>
                <w:szCs w:val="20"/>
                <w:lang w:val="en-US" w:eastAsia="en-US" w:bidi="ar"/>
              </w:rPr>
              <w:t xml:space="preserve">GB/T 32487-2016</w:t>
            </w:r>
            <w:r>
              <w:rPr>
                <w:rFonts w:hint="eastAsia" w:ascii="宋体" w:hAnsi="宋体" w:eastAsia="宋体" w:cs="宋体"/>
                <w:color w:val="000000"/>
                <w:sz w:val="20"/>
                <w:szCs w:val="20"/>
                <w:lang w:val="en-US" w:eastAsia="en-US" w:bidi="ar"/>
              </w:rPr>
              <w:t xml:space="preserve">《塑料家具通用技术条件》，关于抗菌率</w:t>
            </w:r>
            <w:r>
              <w:rPr>
                <w:rFonts w:ascii="Arial" w:hAnsi="Arial" w:eastAsia="宋体" w:cs="Arial"/>
                <w:color w:val="000000"/>
                <w:sz w:val="20"/>
                <w:szCs w:val="20"/>
                <w:lang w:val="en-US" w:eastAsia="en-US" w:bidi="ar"/>
              </w:rPr>
              <w:t xml:space="preserve">≥99%</w:t>
            </w:r>
            <w:r>
              <w:rPr>
                <w:rFonts w:hint="eastAsia" w:ascii="宋体" w:hAnsi="宋体" w:eastAsia="宋体" w:cs="宋体"/>
                <w:color w:val="000000"/>
                <w:sz w:val="20"/>
                <w:szCs w:val="20"/>
                <w:lang w:val="en-US" w:eastAsia="en-US" w:bidi="ar"/>
              </w:rPr>
              <w:t xml:space="preserve">（不少于五个菌种）、防霉等级（菌种：出芽短梗霉、腊叶芽枝霉、桔青霉、链格孢、黑曲霉、宛氏拟青霉、绳状青霉</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0</w:t>
            </w:r>
            <w:r>
              <w:rPr>
                <w:rFonts w:hint="eastAsia" w:ascii="宋体" w:hAnsi="宋体" w:eastAsia="宋体" w:cs="宋体"/>
                <w:color w:val="000000"/>
                <w:sz w:val="20"/>
                <w:szCs w:val="20"/>
                <w:lang w:val="en-US" w:eastAsia="en-US" w:bidi="ar"/>
              </w:rPr>
              <w:t xml:space="preserve">级或</w:t>
            </w: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级、总迁移量</w:t>
            </w:r>
            <w:r>
              <w:rPr>
                <w:rFonts w:ascii="Arial" w:hAnsi="Arial" w:eastAsia="宋体" w:cs="Arial"/>
                <w:color w:val="000000"/>
                <w:sz w:val="20"/>
                <w:szCs w:val="20"/>
                <w:lang w:val="en-US" w:eastAsia="en-US" w:bidi="ar"/>
              </w:rPr>
              <w:t xml:space="preserve">-4%</w:t>
            </w:r>
            <w:r>
              <w:rPr>
                <w:rFonts w:hint="eastAsia" w:ascii="宋体" w:hAnsi="宋体" w:eastAsia="宋体" w:cs="宋体"/>
                <w:color w:val="000000"/>
                <w:sz w:val="20"/>
                <w:szCs w:val="20"/>
                <w:lang w:val="en-US" w:eastAsia="en-US" w:bidi="ar"/>
              </w:rPr>
              <w:t xml:space="preserve">乙酸（体积分数），</w:t>
            </w:r>
            <w:r>
              <w:rPr>
                <w:rFonts w:ascii="Arial" w:hAnsi="Arial" w:eastAsia="宋体" w:cs="Arial"/>
                <w:color w:val="000000"/>
                <w:sz w:val="20"/>
                <w:szCs w:val="20"/>
                <w:lang w:val="en-US" w:eastAsia="en-US" w:bidi="ar"/>
              </w:rPr>
              <w:t xml:space="preserve">40</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10d</w:t>
            </w:r>
            <w:r>
              <w:rPr>
                <w:rFonts w:hint="eastAsia" w:ascii="宋体" w:hAnsi="宋体" w:eastAsia="宋体" w:cs="宋体"/>
                <w:color w:val="000000"/>
                <w:sz w:val="20"/>
                <w:szCs w:val="20"/>
                <w:lang w:val="en-US" w:eastAsia="en-US" w:bidi="ar"/>
              </w:rPr>
              <w:t xml:space="preserve">检验结果</w:t>
            </w:r>
            <w:r>
              <w:rPr>
                <w:rFonts w:ascii="Arial" w:hAnsi="Arial" w:eastAsia="宋体" w:cs="Arial"/>
                <w:color w:val="000000"/>
                <w:sz w:val="20"/>
                <w:szCs w:val="20"/>
                <w:lang w:val="en-US" w:eastAsia="en-US" w:bidi="ar"/>
              </w:rPr>
              <w:t xml:space="preserve">≤1.5mg/d</w:t>
            </w:r>
            <w:r>
              <w:rPr>
                <w:rFonts w:hint="eastAsia" w:ascii="宋体" w:hAnsi="宋体" w:eastAsia="宋体" w:cs="宋体"/>
                <w:color w:val="000000"/>
                <w:sz w:val="20"/>
                <w:szCs w:val="20"/>
                <w:lang w:val="en-US" w:eastAsia="en-US" w:bidi="ar"/>
              </w:rPr>
              <w:t xml:space="preserve">㎡、耐老化性（外观颜色变化评级</w:t>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级，冲击强度的保持率</w:t>
            </w:r>
            <w:r>
              <w:rPr>
                <w:rFonts w:ascii="Arial" w:hAnsi="Arial" w:eastAsia="宋体" w:cs="Arial"/>
                <w:color w:val="000000"/>
                <w:sz w:val="20"/>
                <w:szCs w:val="20"/>
                <w:lang w:val="en-US" w:eastAsia="en-US" w:bidi="ar"/>
              </w:rPr>
              <w:t xml:space="preserve">≥60%</w:t>
            </w:r>
            <w:r>
              <w:rPr>
                <w:rFonts w:hint="eastAsia" w:ascii="宋体" w:hAnsi="宋体" w:eastAsia="宋体" w:cs="宋体"/>
                <w:color w:val="000000"/>
                <w:sz w:val="20"/>
                <w:szCs w:val="20"/>
                <w:lang w:val="en-US" w:eastAsia="en-US" w:bidi="ar"/>
              </w:rPr>
              <w:t xml:space="preserve">）、邻苯二甲酸酯总量</w:t>
            </w:r>
            <w:r>
              <w:rPr>
                <w:rFonts w:ascii="Arial" w:hAnsi="Arial" w:eastAsia="宋体" w:cs="Arial"/>
                <w:color w:val="000000"/>
                <w:sz w:val="20"/>
                <w:szCs w:val="20"/>
                <w:lang w:val="en-US" w:eastAsia="en-US" w:bidi="ar"/>
              </w:rPr>
              <w:t xml:space="preserve">≤0.1%</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18</w:t>
            </w:r>
            <w:r>
              <w:rPr>
                <w:rFonts w:hint="eastAsia" w:ascii="宋体" w:hAnsi="宋体" w:eastAsia="宋体" w:cs="宋体"/>
                <w:color w:val="000000"/>
                <w:sz w:val="20"/>
                <w:szCs w:val="20"/>
                <w:lang w:val="en-US" w:eastAsia="en-US" w:bidi="ar"/>
              </w:rPr>
              <w:t xml:space="preserve">种多环芳烃（</w:t>
            </w:r>
            <w:r>
              <w:rPr>
                <w:rFonts w:ascii="Arial" w:hAnsi="Arial" w:eastAsia="宋体" w:cs="Arial"/>
                <w:color w:val="000000"/>
                <w:sz w:val="20"/>
                <w:szCs w:val="20"/>
                <w:lang w:val="en-US" w:eastAsia="en-US" w:bidi="ar"/>
              </w:rPr>
              <w:t xml:space="preserve">PAH</w:t>
            </w:r>
            <w:r>
              <w:rPr>
                <w:rFonts w:hint="eastAsia" w:ascii="宋体" w:hAnsi="宋体" w:eastAsia="宋体" w:cs="宋体"/>
                <w:color w:val="000000"/>
                <w:sz w:val="20"/>
                <w:szCs w:val="20"/>
                <w:lang w:val="en-US" w:eastAsia="en-US" w:bidi="ar"/>
              </w:rPr>
              <w:t xml:space="preserve">）总量</w:t>
            </w:r>
            <w:r>
              <w:rPr>
                <w:rFonts w:ascii="Arial" w:hAnsi="Arial" w:eastAsia="宋体" w:cs="Arial"/>
                <w:color w:val="000000"/>
                <w:sz w:val="20"/>
                <w:szCs w:val="20"/>
                <w:lang w:val="en-US" w:eastAsia="en-US" w:bidi="ar"/>
              </w:rPr>
              <w:t xml:space="preserve">≤10mg/kg</w:t>
            </w:r>
            <w:r>
              <w:rPr>
                <w:rFonts w:hint="eastAsia" w:ascii="宋体" w:hAnsi="宋体" w:eastAsia="宋体" w:cs="宋体"/>
                <w:color w:val="000000"/>
                <w:sz w:val="20"/>
                <w:szCs w:val="20"/>
                <w:lang w:val="en-US" w:eastAsia="en-US" w:bidi="ar"/>
              </w:rPr>
              <w:t xml:space="preserve">、多溴联苯</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、多溴二苯醚</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w:t>
            </w:r>
            <w:r>
              <w:rPr>
                <w:rFonts w:hint="eastAsia" w:ascii="宋体" w:hAnsi="宋体" w:eastAsia="宋体" w:cs="宋体"/>
                <w:b/>
                <w:bCs/>
                <w:color w:val="000000"/>
                <w:sz w:val="20"/>
                <w:szCs w:val="20"/>
                <w:lang w:val="en-US" w:eastAsia="en-US" w:bidi="ar"/>
              </w:rPr>
              <w:t xml:space="preserve">（投标文件中提供具有</w:t>
            </w:r>
            <w:r>
              <w:rPr>
                <w:rFonts w:ascii="Arial" w:hAnsi="Arial" w:eastAsia="宋体" w:cs="Arial"/>
                <w:b/>
                <w:bCs/>
                <w:color w:val="000000"/>
                <w:sz w:val="20"/>
                <w:szCs w:val="20"/>
                <w:lang w:val="en-US" w:eastAsia="en-US" w:bidi="ar"/>
              </w:rPr>
              <w:t xml:space="preserve">CMA</w:t>
            </w:r>
            <w:r>
              <w:rPr>
                <w:rFonts w:hint="eastAsia" w:ascii="宋体" w:hAnsi="宋体" w:eastAsia="宋体" w:cs="宋体"/>
                <w:b/>
                <w:bCs/>
                <w:color w:val="000000"/>
                <w:sz w:val="20"/>
                <w:szCs w:val="20"/>
                <w:lang w:val="en-US" w:eastAsia="en-US" w:bidi="ar"/>
              </w:rPr>
              <w:t xml:space="preserve">标识的符合本项要求的检验检测报告电子件）。</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w:t>
            </w:r>
            <w:r>
              <w:rPr>
                <w:rFonts w:hint="eastAsia" w:ascii="Arial" w:hAnsi="Arial" w:cs="Arial"/>
                <w:i w:val="0"/>
                <w:iCs w:val="0"/>
                <w:color w:val="000000"/>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57150</wp:posOffset>
                      </wp:positionH>
                      <wp:positionV relativeFrom="paragraph">
                        <wp:posOffset>468630</wp:posOffset>
                      </wp:positionV>
                      <wp:extent cx="985520" cy="1109345"/>
                      <wp:effectExtent l="0" t="0" r="5080" b="14604"/>
                      <wp:wrapNone/>
                      <wp:docPr id="8" name="ID_165AD37F7FB44EE8BDC48CE7256E8DEF"/>
                      <wp:cNvGraphicFramePr/>
                      <a:graphic xmlns:a="http://schemas.openxmlformats.org/drawingml/2006/main">
                        <a:graphicData uri="http://schemas.openxmlformats.org/drawingml/2006/picture">
                          <pic:pic xmlns:pic="http://schemas.openxmlformats.org/drawingml/2006/picture">
                            <pic:nvPicPr>
                              <pic:cNvPr id="8" name="ID_165AD37F7FB44EE8BDC48CE7256E8DEF"/>
                              <pic:cNvPicPr/>
                              <pic:nvPr/>
                            </pic:nvPicPr>
                            <pic:blipFill>
                              <a:blip r:embed="rId19"/>
                              <a:stretch/>
                            </pic:blipFill>
                            <pic:spPr bwMode="auto">
                              <a:xfrm>
                                <a:off x="0" y="0"/>
                                <a:ext cx="985519"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3600;o:allowoverlap:true;o:allowincell:true;mso-position-horizontal-relative:text;margin-left:4.5pt;mso-position-horizontal:absolute;mso-position-vertical-relative:text;margin-top:36.9pt;mso-position-vertical:absolute;width:77.6pt;height:87.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50800</wp:posOffset>
                      </wp:positionH>
                      <wp:positionV relativeFrom="paragraph">
                        <wp:posOffset>520065</wp:posOffset>
                      </wp:positionV>
                      <wp:extent cx="972820" cy="1045210"/>
                      <wp:effectExtent l="0" t="0" r="17780" b="2540"/>
                      <wp:wrapNone/>
                      <wp:docPr id="9" name="ID_851DCDBC983E40E98CEBB1864BDCF0BD"/>
                      <wp:cNvGraphicFramePr/>
                      <a:graphic xmlns:a="http://schemas.openxmlformats.org/drawingml/2006/main">
                        <a:graphicData uri="http://schemas.openxmlformats.org/drawingml/2006/picture">
                          <pic:pic xmlns:pic="http://schemas.openxmlformats.org/drawingml/2006/picture">
                            <pic:nvPicPr>
                              <pic:cNvPr id="9" name="ID_851DCDBC983E40E98CEBB1864BDCF0BD"/>
                              <pic:cNvPicPr/>
                              <pic:nvPr/>
                            </pic:nvPicPr>
                            <pic:blipFill>
                              <a:blip r:embed="rId20"/>
                              <a:stretch/>
                            </pic:blipFill>
                            <pic:spPr bwMode="auto">
                              <a:xfrm>
                                <a:off x="0" y="0"/>
                                <a:ext cx="972819"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0pt;mso-position-horizontal:absolute;mso-position-vertical-relative:text;margin-top:40.9pt;mso-position-vertical:absolute;width:76.6pt;height:82.3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萝卜橘</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56515</wp:posOffset>
                      </wp:positionH>
                      <wp:positionV relativeFrom="paragraph">
                        <wp:posOffset>468630</wp:posOffset>
                      </wp:positionV>
                      <wp:extent cx="1010285" cy="1058545"/>
                      <wp:effectExtent l="0" t="0" r="18415" b="8255"/>
                      <wp:wrapNone/>
                      <wp:docPr id="10" name="ID_9FAD14C1E62C43A49CDD002839C91E30"/>
                      <wp:cNvGraphicFramePr/>
                      <a:graphic xmlns:a="http://schemas.openxmlformats.org/drawingml/2006/main">
                        <a:graphicData uri="http://schemas.openxmlformats.org/drawingml/2006/picture">
                          <pic:pic xmlns:pic="http://schemas.openxmlformats.org/drawingml/2006/picture">
                            <pic:nvPicPr>
                              <pic:cNvPr id="10" name="ID_9FAD14C1E62C43A49CDD002839C91E30"/>
                              <pic:cNvPicPr/>
                              <pic:nvPr/>
                            </pic:nvPicPr>
                            <pic:blipFill>
                              <a:blip r:embed="rId21"/>
                              <a:stretch/>
                            </pic:blipFill>
                            <pic:spPr bwMode="auto">
                              <a:xfrm>
                                <a:off x="0" y="0"/>
                                <a:ext cx="1010285"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5648;o:allowoverlap:true;o:allowincell:true;mso-position-horizontal-relative:text;margin-left:4.5pt;mso-position-horizontal:absolute;mso-position-vertical-relative:text;margin-top:36.9pt;mso-position-vertical:absolute;width:79.5pt;height:83.3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抹茶绿</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450*400*800mm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rPr>
                <w:rStyle w:val="943"/>
                <w:lang w:val="en-US" w:eastAsia="zh-CN" w:bidi="ar"/>
              </w:rPr>
              <w:t xml:space="preserve">尺寸：整椅尺寸为</w:t>
            </w:r>
            <w:r>
              <w:rPr>
                <w:rStyle w:val="944"/>
                <w:rFonts w:eastAsia="宋体"/>
                <w:lang w:val="en-US" w:eastAsia="zh-CN" w:bidi="ar"/>
              </w:rPr>
              <w:t xml:space="preserve">450mm</w:t>
            </w:r>
            <w:r>
              <w:rPr>
                <w:rStyle w:val="943"/>
                <w:lang w:val="en-US" w:eastAsia="zh-CN" w:bidi="ar"/>
              </w:rPr>
              <w:t xml:space="preserve">（宽）</w:t>
            </w:r>
            <w:r>
              <w:rPr>
                <w:rStyle w:val="944"/>
                <w:rFonts w:eastAsia="宋体"/>
                <w:lang w:val="en-US" w:eastAsia="zh-CN" w:bidi="ar"/>
              </w:rPr>
              <w:t xml:space="preserve">* 400mm</w:t>
            </w:r>
            <w:r>
              <w:rPr>
                <w:rStyle w:val="943"/>
                <w:lang w:val="en-US" w:eastAsia="zh-CN" w:bidi="ar"/>
              </w:rPr>
              <w:t xml:space="preserve">（深）</w:t>
            </w:r>
            <w:r>
              <w:rPr>
                <w:rStyle w:val="944"/>
                <w:rFonts w:eastAsia="宋体"/>
                <w:lang w:val="en-US" w:eastAsia="zh-CN" w:bidi="ar"/>
              </w:rPr>
              <w:t xml:space="preserve">*800mm</w:t>
            </w:r>
            <w:r>
              <w:rPr>
                <w:rStyle w:val="943"/>
                <w:lang w:val="en-US" w:eastAsia="zh-CN" w:bidi="ar"/>
              </w:rPr>
              <w:t xml:space="preserve">（高），座高</w:t>
            </w:r>
            <w:r>
              <w:rPr>
                <w:rStyle w:val="944"/>
                <w:rFonts w:eastAsia="宋体"/>
                <w:lang w:val="en-US" w:eastAsia="zh-CN" w:bidi="ar"/>
              </w:rPr>
              <w:t xml:space="preserve">450mm</w:t>
            </w:r>
            <w:r>
              <w:rPr>
                <w:rStyle w:val="943"/>
                <w:lang w:val="en-US" w:eastAsia="zh-CN" w:bidi="ar"/>
              </w:rPr>
              <w:t xml:space="preserve">，符合人体工学标准。</w:t>
            </w:r>
            <w:r>
              <w:rPr>
                <w:rStyle w:val="944"/>
                <w:rFonts w:eastAsia="宋体"/>
                <w:lang w:val="en-US" w:eastAsia="zh-CN" w:bidi="ar"/>
              </w:rPr>
              <w:br/>
            </w:r>
            <w:r>
              <w:rPr>
                <w:rStyle w:val="944"/>
                <w:rFonts w:eastAsia="宋体"/>
                <w:lang w:val="en-US" w:eastAsia="zh-CN" w:bidi="ar"/>
              </w:rPr>
              <w:t xml:space="preserve">2.</w:t>
            </w:r>
            <w:r>
              <w:rPr>
                <w:rStyle w:val="943"/>
                <w:lang w:val="en-US" w:eastAsia="zh-CN" w:bidi="ar"/>
              </w:rPr>
              <w:t xml:space="preserve">框架：优质碳钢，规格</w:t>
            </w:r>
            <w:r>
              <w:rPr>
                <w:rStyle w:val="944"/>
                <w:rFonts w:eastAsia="宋体"/>
                <w:lang w:val="en-US" w:eastAsia="zh-CN" w:bidi="ar"/>
              </w:rPr>
              <w:t xml:space="preserve">≥40×25mm </w:t>
            </w:r>
            <w:r>
              <w:rPr>
                <w:rStyle w:val="943"/>
                <w:lang w:val="en-US" w:eastAsia="zh-CN" w:bidi="ar"/>
              </w:rPr>
              <w:t xml:space="preserve">壁厚</w:t>
            </w:r>
            <w:r>
              <w:rPr>
                <w:rStyle w:val="944"/>
                <w:rFonts w:eastAsia="宋体"/>
                <w:lang w:val="en-US" w:eastAsia="zh-CN" w:bidi="ar"/>
              </w:rPr>
              <w:t xml:space="preserve">1.5mm</w:t>
            </w:r>
            <w:r>
              <w:rPr>
                <w:rStyle w:val="943"/>
                <w:lang w:val="en-US" w:eastAsia="zh-CN" w:bidi="ar"/>
              </w:rPr>
              <w:t xml:space="preserve">，四根腿加横向加固梁</w:t>
            </w:r>
            <w:r>
              <w:rPr>
                <w:rStyle w:val="944"/>
                <w:rFonts w:eastAsia="宋体"/>
                <w:lang w:val="en-US" w:eastAsia="zh-CN" w:bidi="ar"/>
              </w:rPr>
              <w:t xml:space="preserve">≥20*40mm</w:t>
            </w:r>
            <w:r>
              <w:rPr>
                <w:rStyle w:val="943"/>
                <w:lang w:val="en-US" w:eastAsia="zh-CN" w:bidi="ar"/>
              </w:rPr>
              <w:t xml:space="preserve">；表面做热转印处理。</w:t>
            </w:r>
            <w:r>
              <w:rPr>
                <w:rStyle w:val="944"/>
                <w:rFonts w:eastAsia="宋体"/>
                <w:lang w:val="en-US" w:eastAsia="zh-CN" w:bidi="ar"/>
              </w:rPr>
              <w:br/>
            </w:r>
            <w:r>
              <w:rPr>
                <w:rStyle w:val="944"/>
                <w:rFonts w:eastAsia="宋体"/>
                <w:lang w:val="en-US" w:eastAsia="zh-CN" w:bidi="ar"/>
              </w:rPr>
              <w:t xml:space="preserve">3.</w:t>
            </w:r>
            <w:r>
              <w:rPr>
                <w:rStyle w:val="943"/>
                <w:lang w:val="en-US" w:eastAsia="zh-CN" w:bidi="ar"/>
              </w:rPr>
              <w:t xml:space="preserve">座面</w:t>
            </w:r>
            <w:r>
              <w:rPr>
                <w:rStyle w:val="944"/>
                <w:rFonts w:eastAsia="宋体"/>
                <w:lang w:val="en-US" w:eastAsia="zh-CN" w:bidi="ar"/>
              </w:rPr>
              <w:t xml:space="preserve">/</w:t>
            </w:r>
            <w:r>
              <w:rPr>
                <w:rStyle w:val="943"/>
                <w:lang w:val="en-US" w:eastAsia="zh-CN" w:bidi="ar"/>
              </w:rPr>
              <w:t xml:space="preserve">靠背：基材采用</w:t>
            </w:r>
            <w:r>
              <w:rPr>
                <w:rStyle w:val="944"/>
                <w:rFonts w:eastAsia="宋体"/>
                <w:lang w:val="en-US" w:eastAsia="zh-CN" w:bidi="ar"/>
              </w:rPr>
              <w:t xml:space="preserve">≥25mm</w:t>
            </w:r>
            <w:r>
              <w:rPr>
                <w:rStyle w:val="943"/>
                <w:lang w:val="en-US" w:eastAsia="zh-CN" w:bidi="ar"/>
              </w:rPr>
              <w:t xml:space="preserve">厚</w:t>
            </w:r>
            <w:r>
              <w:rPr>
                <w:rStyle w:val="944"/>
                <w:rFonts w:eastAsia="宋体"/>
                <w:lang w:val="en-US" w:eastAsia="zh-CN" w:bidi="ar"/>
              </w:rPr>
              <w:t xml:space="preserve">E1</w:t>
            </w:r>
            <w:r>
              <w:rPr>
                <w:rStyle w:val="943"/>
                <w:lang w:val="en-US" w:eastAsia="zh-CN" w:bidi="ar"/>
              </w:rPr>
              <w:t xml:space="preserve">级实木多层板，面贴</w:t>
            </w:r>
            <w:r>
              <w:rPr>
                <w:rStyle w:val="944"/>
                <w:rFonts w:eastAsia="宋体"/>
                <w:lang w:val="en-US" w:eastAsia="zh-CN" w:bidi="ar"/>
              </w:rPr>
              <w:t xml:space="preserve">≥0.7mm</w:t>
            </w:r>
            <w:r>
              <w:rPr>
                <w:rStyle w:val="943"/>
                <w:lang w:val="en-US" w:eastAsia="zh-CN" w:bidi="ar"/>
              </w:rPr>
              <w:t xml:space="preserve">厚防火板，四周油漆封边处理。</w:t>
            </w:r>
            <w:r>
              <w:rPr>
                <w:rStyle w:val="944"/>
                <w:rFonts w:eastAsia="宋体"/>
                <w:lang w:val="en-US" w:eastAsia="zh-CN" w:bidi="ar"/>
              </w:rPr>
              <w:br/>
            </w:r>
            <w:r>
              <w:rPr>
                <w:rStyle w:val="944"/>
                <w:rFonts w:eastAsia="宋体"/>
                <w:lang w:val="en-US" w:eastAsia="zh-CN" w:bidi="ar"/>
              </w:rPr>
              <w:t xml:space="preserve">4.</w:t>
            </w:r>
            <w:r>
              <w:rPr>
                <w:rStyle w:val="943"/>
                <w:lang w:val="en-US" w:eastAsia="zh-CN" w:bidi="ar"/>
              </w:rPr>
              <w:t xml:space="preserve">承重：</w:t>
            </w:r>
            <w:r>
              <w:rPr>
                <w:rStyle w:val="944"/>
                <w:rFonts w:eastAsia="宋体"/>
                <w:lang w:val="en-US" w:eastAsia="zh-CN" w:bidi="ar"/>
              </w:rPr>
              <w:t xml:space="preserve">≥ 150kg</w:t>
            </w:r>
            <w:r>
              <w:rPr>
                <w:rStyle w:val="943"/>
                <w:lang w:val="en-US" w:eastAsia="zh-CN" w:bidi="ar"/>
              </w:rPr>
              <w:t xml:space="preserve">（符合公共家具标准）。</w:t>
            </w:r>
            <w:r>
              <w:rPr>
                <w:rStyle w:val="944"/>
                <w:rFonts w:eastAsia="宋体"/>
                <w:lang w:val="en-US" w:eastAsia="zh-CN" w:bidi="ar"/>
              </w:rPr>
              <w:b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167005</wp:posOffset>
                      </wp:positionH>
                      <wp:positionV relativeFrom="paragraph">
                        <wp:posOffset>772795</wp:posOffset>
                      </wp:positionV>
                      <wp:extent cx="788035" cy="1119505"/>
                      <wp:effectExtent l="0" t="0" r="12065" b="4445"/>
                      <wp:wrapNone/>
                      <wp:docPr id="11" name="ID_0D5780662CB9415B9507E1EEF7151995"/>
                      <wp:cNvGraphicFramePr/>
                      <a:graphic xmlns:a="http://schemas.openxmlformats.org/drawingml/2006/main">
                        <a:graphicData uri="http://schemas.openxmlformats.org/drawingml/2006/picture">
                          <pic:pic xmlns:pic="http://schemas.openxmlformats.org/drawingml/2006/picture">
                            <pic:nvPicPr>
                              <pic:cNvPr id="11" name="ID_0D5780662CB9415B9507E1EEF7151995"/>
                              <pic:cNvPicPr/>
                              <pic:nvPr/>
                            </pic:nvPicPr>
                            <pic:blipFill>
                              <a:blip r:embed="rId22"/>
                              <a:stretch/>
                            </pic:blipFill>
                            <pic:spPr bwMode="auto">
                              <a:xfrm>
                                <a:off x="0" y="0"/>
                                <a:ext cx="788034"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6672;o:allowoverlap:true;o:allowincell:true;mso-position-horizontal-relative:text;margin-left:13.1pt;mso-position-horizontal:absolute;mso-position-vertical-relative:text;margin-top:60.8pt;mso-position-vertical:absolute;width:62.0pt;height:88.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73025</wp:posOffset>
                      </wp:positionH>
                      <wp:positionV relativeFrom="paragraph">
                        <wp:posOffset>860425</wp:posOffset>
                      </wp:positionV>
                      <wp:extent cx="999490" cy="1029970"/>
                      <wp:effectExtent l="0" t="0" r="10160" b="17780"/>
                      <wp:wrapNone/>
                      <wp:docPr id="12" name="图片_1_SpCnt_1"/>
                      <wp:cNvGraphicFramePr/>
                      <a:graphic xmlns:a="http://schemas.openxmlformats.org/drawingml/2006/main">
                        <a:graphicData uri="http://schemas.openxmlformats.org/drawingml/2006/picture">
                          <pic:pic xmlns:pic="http://schemas.openxmlformats.org/drawingml/2006/picture">
                            <pic:nvPicPr>
                              <pic:cNvPr id="12" name="图片_1_SpCnt_1"/>
                              <pic:cNvPicPr/>
                              <pic:nvPr/>
                            </pic:nvPicPr>
                            <pic:blipFill>
                              <a:blip r:embed="rId23"/>
                              <a:stretch/>
                            </pic:blipFill>
                            <pic:spPr bwMode="auto">
                              <a:xfrm>
                                <a:off x="0" y="0"/>
                                <a:ext cx="99949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5.8pt;mso-position-horizontal:absolute;mso-position-vertical-relative:text;margin-top:67.8pt;mso-position-vertical:absolute;width:78.7pt;height:81.1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靠背和座面浅湖蓝色，椅腿白蜡木纹色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99060</wp:posOffset>
                      </wp:positionH>
                      <wp:positionV relativeFrom="paragraph">
                        <wp:posOffset>421640</wp:posOffset>
                      </wp:positionV>
                      <wp:extent cx="953770" cy="1000125"/>
                      <wp:effectExtent l="0" t="0" r="17780" b="9525"/>
                      <wp:wrapNone/>
                      <wp:docPr id="13" name="ID_CA99A3B32C04491FB577B7221C706358"/>
                      <wp:cNvGraphicFramePr/>
                      <a:graphic xmlns:a="http://schemas.openxmlformats.org/drawingml/2006/main">
                        <a:graphicData uri="http://schemas.openxmlformats.org/drawingml/2006/picture">
                          <pic:pic xmlns:pic="http://schemas.openxmlformats.org/drawingml/2006/picture">
                            <pic:nvPicPr>
                              <pic:cNvPr id="13" name="ID_CA99A3B32C04491FB577B7221C706358"/>
                              <pic:cNvPicPr/>
                              <pic:nvPr/>
                            </pic:nvPicPr>
                            <pic:blipFill>
                              <a:blip r:embed="rId24"/>
                              <a:stretch/>
                            </pic:blipFill>
                            <pic:spPr bwMode="auto">
                              <a:xfrm>
                                <a:off x="0" y="0"/>
                                <a:ext cx="95377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8720;o:allowoverlap:true;o:allowincell:true;mso-position-horizontal-relative:text;margin-left:7.8pt;mso-position-horizontal:absolute;mso-position-vertical-relative:text;margin-top:33.2pt;mso-position-vertical:absolute;width:75.1pt;height:78.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wp:posOffset>
                      </wp:positionH>
                      <wp:positionV relativeFrom="paragraph">
                        <wp:posOffset>382905</wp:posOffset>
                      </wp:positionV>
                      <wp:extent cx="1026160" cy="1076960"/>
                      <wp:effectExtent l="0" t="0" r="2540" b="8890"/>
                      <wp:wrapNone/>
                      <wp:docPr id="14" name="ID_CA99A3B32C04491FB577B7221C706358_SpCnt_1"/>
                      <wp:cNvGraphicFramePr/>
                      <a:graphic xmlns:a="http://schemas.openxmlformats.org/drawingml/2006/main">
                        <a:graphicData uri="http://schemas.openxmlformats.org/drawingml/2006/picture">
                          <pic:pic xmlns:pic="http://schemas.openxmlformats.org/drawingml/2006/picture">
                            <pic:nvPicPr>
                              <pic:cNvPr id="14" name="ID_CA99A3B32C04491FB577B7221C706358_SpCnt_1"/>
                              <pic:cNvPicPr/>
                              <pic:nvPr/>
                            </pic:nvPicPr>
                            <pic:blipFill>
                              <a:blip r:embed="rId25"/>
                              <a:stretch/>
                            </pic:blipFill>
                            <pic:spPr bwMode="auto">
                              <a:xfrm>
                                <a:off x="0" y="0"/>
                                <a:ext cx="1026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9744;o:allowoverlap:true;o:allowincell:true;mso-position-horizontal-relative:text;margin-left:0.3pt;mso-position-horizontal:absolute;mso-position-vertical-relative:text;margin-top:30.1pt;mso-position-vertical:absolute;width:80.8pt;height:84.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黑</w:t>
            </w:r>
            <w:r>
              <w:rPr>
                <w:rFonts w:hint="eastAsia" w:ascii="宋体" w:hAnsi="宋体" w:eastAsia="宋体" w:cs="宋体"/>
                <w:i w:val="0"/>
                <w:iCs w:val="0"/>
                <w:color w:val="000000"/>
                <w:sz w:val="20"/>
                <w:szCs w:val="20"/>
                <w:u w:val="none"/>
                <w:lang w:val="en-US" w:eastAsia="zh-CN" w:bidi="ar"/>
              </w:rPr>
              <w:t xml:space="preserve">色</w:t>
            </w:r>
            <w:r/>
          </w:p>
        </w:tc>
      </w:tr>
    </w:tbl>
    <w:p>
      <w:pPr>
        <w:numPr>
          <w:ilvl w:val="12"/>
          <w:numId w:val="0"/>
        </w:numPr>
        <w:spacing w:line="440" w:lineRule="exact"/>
        <w:rPr>
          <w:rFonts w:ascii="宋体" w:hAnsi="宋体"/>
          <w:b/>
          <w:color w:val="000000"/>
          <w:sz w:val="24"/>
        </w:rPr>
      </w:pPr>
      <w:r>
        <w:rPr>
          <w:rFonts w:ascii="宋体" w:hAnsi="宋体"/>
          <w:b/>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三、交付期、</w:t>
      </w:r>
      <w:r>
        <w:rPr>
          <w:rFonts w:hint="eastAsia" w:ascii="宋体" w:hAnsi="宋体" w:cs="宋体"/>
          <w:b/>
          <w:bCs/>
          <w:color w:val="000000"/>
          <w:sz w:val="24"/>
        </w:rPr>
        <w:t xml:space="preserve">交付地点</w:t>
      </w:r>
      <w:r>
        <w:rPr>
          <w:rFonts w:hint="eastAsia" w:ascii="宋体" w:hAnsi="宋体"/>
          <w:b/>
          <w:color w:val="000000"/>
          <w:sz w:val="24"/>
        </w:rPr>
        <w:t xml:space="preserve">及</w:t>
      </w:r>
      <w:r>
        <w:rPr>
          <w:rFonts w:hint="eastAsia" w:ascii="宋体" w:hAnsi="宋体" w:cs="宋体"/>
          <w:b/>
          <w:bCs/>
          <w:color w:val="000000"/>
          <w:sz w:val="24"/>
        </w:rPr>
        <w:t xml:space="preserve">质保期限</w:t>
      </w:r>
      <w:r>
        <w:rPr>
          <w:rFonts w:hint="eastAsia" w:ascii="宋体" w:hAnsi="宋体"/>
          <w:b/>
          <w:color w:val="000000"/>
          <w:sz w:val="24"/>
        </w:rPr>
        <w:t xml:space="preserve">等要求：</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rPr>
        <w:t xml:space="preserve">合同签订后15日历天内完成所有家具供货至采购人指定地点，接到采购人通知后7日内安装调试完毕（含二次搬运）并交付使用。</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single"/>
        </w:rPr>
        <w:t xml:space="preserve">3</w:t>
      </w:r>
      <w:r>
        <w:rPr>
          <w:rFonts w:hint="eastAsia" w:ascii="宋体" w:hAnsi="宋体" w:cs="宋体"/>
          <w:color w:val="000000"/>
          <w:sz w:val="24"/>
        </w:rPr>
        <w:t xml:space="preserve">年；  </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rPr>
      </w:pPr>
      <w:r>
        <w:rPr>
          <w:rFonts w:hint="eastAsia" w:ascii="宋体" w:hAnsi="宋体" w:cs="宋体"/>
          <w:i/>
          <w:iCs/>
          <w:color w:val="000000"/>
          <w:sz w:val="24"/>
          <w:u w:val="single"/>
        </w:rPr>
        <w:t xml:space="preserve">5.</w:t>
      </w:r>
      <w:r>
        <w:rPr>
          <w:rFonts w:hint="eastAsia" w:ascii="宋体" w:hAnsi="宋体" w:cs="宋体"/>
          <w:b/>
          <w:bCs/>
          <w:i/>
          <w:iCs/>
          <w:color w:val="000000"/>
          <w:sz w:val="24"/>
          <w:u w:val="single"/>
        </w:rPr>
        <w:t xml:space="preserve">本项目</w:t>
      </w:r>
      <w:r>
        <w:rPr>
          <w:rFonts w:hint="eastAsia" w:ascii="宋体" w:hAnsi="宋体"/>
          <w:b/>
          <w:bCs/>
          <w:i/>
          <w:iCs/>
          <w:color w:val="000000"/>
          <w:sz w:val="24"/>
          <w:u w:val="single"/>
        </w:rPr>
        <w:t xml:space="preserve">不接受进口产品投标。</w:t>
      </w:r>
      <w:r/>
    </w:p>
    <w:p>
      <w:pPr>
        <w:spacing w:line="440" w:lineRule="exact"/>
        <w:rPr>
          <w:rFonts w:ascii="宋体" w:hAnsi="宋体"/>
          <w:b/>
          <w:color w:val="000000"/>
          <w:sz w:val="24"/>
        </w:rPr>
      </w:pPr>
      <w:r>
        <w:rPr>
          <w:rFonts w:hint="eastAsia" w:ascii="宋体" w:hAnsi="宋体"/>
          <w:b/>
          <w:color w:val="000000"/>
          <w:sz w:val="24"/>
        </w:rPr>
        <w:t xml:space="preserve">四、付款方式：</w:t>
      </w:r>
      <w:r/>
    </w:p>
    <w:p>
      <w:pPr>
        <w:pStyle w:val="758"/>
        <w:ind w:firstLine="480"/>
        <w:spacing w:before="120" w:after="120"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rPr>
      </w:pPr>
      <w:r>
        <w:rPr>
          <w:rFonts w:hint="eastAsia" w:ascii="宋体" w:hAnsi="宋体" w:cs="宋体"/>
          <w:bCs/>
          <w:sz w:val="24"/>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rPr>
      </w:pPr>
      <w:r>
        <w:rPr>
          <w:rFonts w:hint="eastAsia" w:ascii="Times New Roman" w:hAnsi="Times New Roman" w:eastAsia="宋体"/>
          <w:sz w:val="24"/>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rPr>
      </w:pPr>
      <w:r>
        <w:rPr>
          <w:rFonts w:hint="eastAsia" w:ascii="宋体" w:hAnsi="宋体"/>
          <w:b/>
          <w:color w:val="000000"/>
          <w:sz w:val="24"/>
        </w:rPr>
        <w:t xml:space="preserve">商务要求</w:t>
      </w:r>
      <w:r/>
    </w:p>
    <w:p>
      <w:pPr>
        <w:ind w:firstLine="241"/>
        <w:spacing w:line="440" w:lineRule="exact"/>
        <w:tabs>
          <w:tab w:val="left" w:pos="900" w:leader="none"/>
        </w:tabs>
        <w:rPr>
          <w:rFonts w:ascii="宋体" w:hAnsi="宋体"/>
          <w:b/>
          <w:color w:val="000000"/>
          <w:sz w:val="24"/>
        </w:rPr>
      </w:pPr>
      <w:r>
        <w:rPr>
          <w:rFonts w:hint="eastAsia" w:ascii="宋体" w:hAnsi="宋体"/>
          <w:b/>
          <w:color w:val="000000"/>
          <w:sz w:val="24"/>
        </w:rPr>
        <w:t xml:space="preserve">5.1质量保证及进度安排</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1、质量保障措施要求：投标人应在投标文件中提出详细的产品生产质量管理计划，计划应包含生产车间安全管理、质量控制措施、出厂检验标准以及测试程序。</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45"/>
        <w:jc w:val="both"/>
        <w:spacing w:beforeAutospacing="0" w:afterAutospacing="0" w:line="440" w:lineRule="exact"/>
        <w:rPr>
          <w:rFonts w:ascii="宋体" w:hAnsi="宋体"/>
          <w:b/>
          <w:color w:val="000000"/>
        </w:rPr>
      </w:pPr>
      <w:r>
        <w:rPr>
          <w:rFonts w:hint="eastAsia" w:ascii="宋体" w:hAnsi="宋体" w:cs="宋体"/>
          <w:color w:val="000000"/>
        </w:rPr>
        <w:t xml:space="preserve">  </w:t>
      </w:r>
      <w:r>
        <w:rPr>
          <w:rFonts w:hint="eastAsia" w:ascii="宋体" w:hAnsi="宋体"/>
          <w:b/>
          <w:color w:val="000000"/>
        </w:rPr>
        <w:t xml:space="preserve">5.2现场管理及突发事件处置方案</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45"/>
        <w:jc w:val="both"/>
        <w:spacing w:beforeAutospacing="0" w:afterAutospacing="0" w:line="440" w:lineRule="exact"/>
        <w:rPr>
          <w:rFonts w:ascii="宋体" w:hAnsi="宋体"/>
          <w:b/>
          <w:color w:val="000000"/>
        </w:rPr>
      </w:pPr>
      <w:r>
        <w:rPr>
          <w:rFonts w:hint="eastAsia" w:ascii="宋体" w:hAnsi="宋体"/>
          <w:b/>
          <w:color w:val="000000"/>
        </w:rPr>
        <w:t xml:space="preserve">5.3配送及安装方案</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45"/>
        <w:jc w:val="both"/>
        <w:spacing w:beforeAutospacing="0" w:afterAutospacing="0" w:line="440" w:lineRule="exact"/>
        <w:rPr>
          <w:rFonts w:ascii="宋体" w:hAnsi="宋体"/>
          <w:b/>
          <w:color w:val="000000"/>
        </w:rPr>
      </w:pPr>
      <w:r>
        <w:rPr>
          <w:rFonts w:hint="eastAsia" w:ascii="宋体" w:hAnsi="宋体"/>
          <w:b/>
          <w:color w:val="000000"/>
        </w:rPr>
        <w:t xml:space="preserve">5.4售后服务要求</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1、中标人对所售出的产品实行三包：售后服务期限为三年，即产品在正常使用情况下发生质量问题时，供方应按使用方的要求，负责对产品实行包修、包换、包退。</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lang w:eastAsia="zh-CN"/>
        </w:rPr>
        <w:t xml:space="preserve">，</w:t>
      </w:r>
      <w:r>
        <w:rPr>
          <w:rFonts w:hint="eastAsia" w:ascii="宋体" w:hAnsi="宋体" w:cs="宋体"/>
          <w:color w:val="000000"/>
        </w:rPr>
        <w:t xml:space="preserve">涉及安全方面的问题4小时内解决，相关费用包含在本次投标报价内。 </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4、中标人除提供所供全部设备的安装调试服务外，还需有完善的培训服务体系，保证使用方能掌握设备的正常使用及日常维护工作。</w:t>
      </w:r>
      <w:r/>
    </w:p>
    <w:p>
      <w:pPr>
        <w:pStyle w:val="945"/>
        <w:ind w:firstLine="420"/>
        <w:jc w:val="both"/>
        <w:spacing w:beforeAutospacing="0" w:afterAutospacing="0" w:line="440" w:lineRule="exact"/>
        <w:rPr>
          <w:rFonts w:ascii="宋体" w:hAnsi="宋体"/>
          <w:b/>
          <w:color w:val="000000"/>
        </w:rPr>
      </w:pPr>
      <w:r>
        <w:rPr>
          <w:rFonts w:hint="eastAsia" w:ascii="宋体" w:hAnsi="宋体"/>
          <w:b/>
          <w:color w:val="000000"/>
        </w:rPr>
        <w:t xml:space="preserve">六、验收</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2、货物交付后，在安装前应仔细检查货物自身无缺陷后方可安装，如果存在货物破损、自身材质、规格等质量缺陷，甲方有权要求将货物退场，由此引起的一切后果由乙方承担。</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lang w:eastAsia="zh-CN"/>
        </w:rPr>
        <w:t xml:space="preserve">及</w:t>
      </w:r>
      <w:r>
        <w:rPr>
          <w:rFonts w:hint="eastAsia" w:ascii="宋体" w:hAnsi="宋体" w:cs="宋体"/>
          <w:color w:val="000000"/>
        </w:rPr>
        <w:t xml:space="preserve">家具包装是否完好。甲方应按签订采购合同约定时间组织验收。</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5、中标人的投标实物样品在采购招标活动结束后将由采购人封存，以供批量到货验收时比对或检测选择使用。</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45"/>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7、采购标的对应的中小企业划分标准所属行业一览表</w:t>
      </w:r>
      <w:r/>
    </w:p>
    <w:tbl>
      <w:tblPr>
        <w:tblStyle w:val="752"/>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45"/>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45"/>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45"/>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45"/>
              <w:jc w:val="center"/>
              <w:spacing w:beforeAutospacing="0" w:afterAutospacing="0"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45"/>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宿迁学院新校区南食堂大厅家具</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45"/>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工业 </w:t>
            </w:r>
            <w:r/>
          </w:p>
        </w:tc>
      </w:tr>
    </w:tbl>
    <w:p>
      <w:pPr>
        <w:numPr>
          <w:ilvl w:val="0"/>
          <w:numId w:val="0"/>
        </w:numPr>
        <w:jc w:val="left"/>
        <w:spacing w:line="46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投标时样品（小样）携带：</w:t>
      </w:r>
      <w:r/>
    </w:p>
    <w:p>
      <w:pPr>
        <w:jc w:val="left"/>
        <w:spacing w:line="460" w:lineRule="exact"/>
        <w:rPr>
          <w:rFonts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.1、请供应商根据本项目技术参数要求和工艺要求，现场提供以下实物样品：</w:t>
      </w:r>
      <w:r/>
    </w:p>
    <w:tbl>
      <w:tblPr>
        <w:tblStyle w:val="752"/>
        <w:tblW w:w="8323" w:type="dxa"/>
        <w:jc w:val="center"/>
        <w:tblLayout w:type="fixed"/>
        <w:tblCellMar>
          <w:left w:w="108" w:type="dxa"/>
          <w:top w:w="0" w:type="dxa"/>
          <w:right w:w="108" w:type="dxa"/>
          <w:bottom w:w="0" w:type="dxa"/>
        </w:tblCellMar>
        <w:tblLook w:val="04A0" w:firstRow="1" w:lastRow="0" w:firstColumn="1" w:lastColumn="0" w:noHBand="0" w:noVBand="1"/>
      </w:tblPr>
      <w:tblGrid>
        <w:gridCol w:w="678"/>
        <w:gridCol w:w="1275"/>
        <w:gridCol w:w="3860"/>
        <w:gridCol w:w="2510"/>
      </w:tblGrid>
      <w:tr>
        <w:trPr>
          <w:jc w:val="center"/>
          <w:trHeight w:val="661"/>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桌面板1</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采用抗倍特一体成型</w:t>
            </w:r>
            <w:r>
              <w:rPr>
                <w:rFonts w:hint="eastAsia" w:ascii="宋体" w:hAnsi="宋体" w:cs="宋体"/>
                <w:szCs w:val="21"/>
                <w:lang w:eastAsia="zh-CN"/>
              </w:rPr>
              <w:t xml:space="preserve">。</w:t>
            </w:r>
            <w:r/>
          </w:p>
          <w:p>
            <w:pPr>
              <w:jc w:val="left"/>
              <w:widowControl/>
              <w:rPr>
                <w:rFonts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面板四周采用CNC修边，四周倒角</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b/>
                <w:bCs/>
                <w:szCs w:val="21"/>
                <w:lang w:val="en-US" w:eastAsia="zh-CN"/>
              </w:rPr>
              <w:t xml:space="preserve">外观：</w:t>
            </w:r>
            <w:r>
              <w:rPr>
                <w:rFonts w:hint="eastAsia" w:ascii="宋体" w:hAnsi="宋体" w:cs="宋体"/>
                <w:szCs w:val="21"/>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桌脚</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采用钢管</w:t>
            </w:r>
            <w:r>
              <w:rPr>
                <w:rFonts w:hint="eastAsia" w:ascii="宋体" w:hAnsi="宋体" w:cs="宋体"/>
                <w:szCs w:val="21"/>
                <w:lang w:eastAsia="zh-CN"/>
              </w:rPr>
              <w:t xml:space="preserve">。</w:t>
            </w:r>
            <w:r/>
          </w:p>
          <w:p>
            <w:pPr>
              <w:widowControl/>
              <w:rPr>
                <w:rFonts w:hint="eastAsia" w:ascii="宋体" w:hAnsi="宋体" w:cs="宋体"/>
                <w:szCs w:val="21"/>
                <w:lang w:eastAsia="zh-CN"/>
              </w:rPr>
            </w:pPr>
            <w:r>
              <w:rPr>
                <w:rFonts w:hint="eastAsia" w:ascii="宋体" w:hAnsi="宋体" w:cs="宋体"/>
                <w:b/>
                <w:bCs/>
                <w:szCs w:val="21"/>
                <w:lang w:val="en-US" w:eastAsia="zh-CN"/>
              </w:rPr>
              <w:t xml:space="preserve">工艺：</w:t>
            </w:r>
            <w:r>
              <w:rPr>
                <w:rFonts w:hint="eastAsia" w:ascii="宋体" w:hAnsi="宋体" w:cs="宋体"/>
                <w:szCs w:val="21"/>
              </w:rPr>
              <w:t xml:space="preserve">表面采用高温粉体烤漆</w:t>
            </w:r>
            <w:r>
              <w:rPr>
                <w:rFonts w:hint="eastAsia" w:ascii="宋体" w:hAnsi="宋体" w:cs="宋体"/>
                <w:szCs w:val="21"/>
                <w:lang w:eastAsia="zh-CN"/>
              </w:rPr>
              <w:t xml:space="preserve">，</w:t>
            </w:r>
            <w:r>
              <w:rPr>
                <w:rFonts w:hint="eastAsia" w:ascii="宋体" w:hAnsi="宋体" w:cs="宋体"/>
                <w:szCs w:val="21"/>
              </w:rPr>
              <w:t xml:space="preserve">耐腐蚀，不易生锈</w:t>
            </w:r>
            <w:r>
              <w:rPr>
                <w:rFonts w:hint="eastAsia" w:ascii="宋体" w:hAnsi="宋体" w:cs="宋体"/>
                <w:szCs w:val="21"/>
                <w:lang w:eastAsia="zh-CN"/>
              </w:rPr>
              <w:t xml:space="preserve">。</w:t>
            </w:r>
            <w:r/>
          </w:p>
          <w:p>
            <w:pPr>
              <w:widowControl/>
              <w:rPr>
                <w:rFonts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提供桌脚切割小样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桌面板2</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采用实木多层板，面贴高压装饰防火板，纹理采用胡桃木纹理</w:t>
            </w:r>
            <w:r>
              <w:rPr>
                <w:rFonts w:hint="eastAsia" w:ascii="宋体" w:hAnsi="宋体" w:cs="宋体"/>
                <w:szCs w:val="21"/>
                <w:lang w:eastAsia="zh-CN"/>
              </w:rPr>
              <w:t xml:space="preserve">。</w:t>
            </w:r>
            <w:r/>
          </w:p>
          <w:p>
            <w:pPr>
              <w:widowControl/>
              <w:rPr>
                <w:rFonts w:hint="eastAsia"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四周做倒鸭嘴斜角环保油漆封边。</w:t>
            </w:r>
            <w:r/>
          </w:p>
          <w:p>
            <w:pPr>
              <w:widowControl/>
              <w:rPr>
                <w:rFonts w:hint="eastAsia"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椅子</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Style w:val="943"/>
                <w:lang w:val="en-US" w:eastAsia="zh-CN" w:bidi="ar"/>
              </w:rPr>
            </w:pPr>
            <w:r>
              <w:rPr>
                <w:rFonts w:hint="eastAsia" w:ascii="宋体" w:hAnsi="宋体" w:cs="宋体"/>
                <w:b/>
                <w:bCs/>
                <w:szCs w:val="21"/>
              </w:rPr>
              <w:t xml:space="preserve">材质:</w:t>
            </w:r>
            <w:r>
              <w:rPr>
                <w:rStyle w:val="943"/>
                <w:lang w:val="en-US" w:eastAsia="zh-CN" w:bidi="ar"/>
              </w:rPr>
              <w:t xml:space="preserve">框架：优质碳钢，座面</w:t>
            </w:r>
            <w:r>
              <w:rPr>
                <w:rStyle w:val="944"/>
                <w:rFonts w:eastAsia="宋体"/>
                <w:lang w:val="en-US" w:eastAsia="zh-CN" w:bidi="ar"/>
              </w:rPr>
              <w:t xml:space="preserve">/</w:t>
            </w:r>
            <w:r>
              <w:rPr>
                <w:rStyle w:val="943"/>
                <w:lang w:val="en-US" w:eastAsia="zh-CN" w:bidi="ar"/>
              </w:rPr>
              <w:t xml:space="preserve">靠背：基材采用实木多层板，面贴防火板。</w:t>
            </w:r>
            <w:r/>
          </w:p>
          <w:p>
            <w:pPr>
              <w:widowControl/>
              <w:rPr>
                <w:rStyle w:val="943"/>
                <w:lang w:val="en-US" w:eastAsia="zh-CN" w:bidi="ar"/>
              </w:rPr>
            </w:pPr>
            <w:r>
              <w:rPr>
                <w:rFonts w:hint="eastAsia" w:ascii="宋体" w:hAnsi="宋体" w:cs="宋体"/>
                <w:b/>
                <w:bCs/>
                <w:szCs w:val="21"/>
                <w:lang w:val="en-US" w:eastAsia="zh-CN"/>
              </w:rPr>
              <w:t xml:space="preserve">工艺：</w:t>
            </w:r>
            <w:r>
              <w:rPr>
                <w:rStyle w:val="943"/>
                <w:lang w:val="en-US" w:eastAsia="zh-CN" w:bidi="ar"/>
              </w:rPr>
              <w:t xml:space="preserve">框架表面做热转印，座面</w:t>
            </w:r>
            <w:r>
              <w:rPr>
                <w:rStyle w:val="944"/>
                <w:rFonts w:eastAsia="宋体"/>
                <w:lang w:val="en-US" w:eastAsia="zh-CN" w:bidi="ar"/>
              </w:rPr>
              <w:t xml:space="preserve">/</w:t>
            </w:r>
            <w:r>
              <w:rPr>
                <w:rStyle w:val="943"/>
                <w:lang w:val="en-US" w:eastAsia="zh-CN" w:bidi="ar"/>
              </w:rPr>
              <w:t xml:space="preserve">靠背四周油漆封边处理，处理</w:t>
            </w:r>
            <w:r>
              <w:rPr>
                <w:rStyle w:val="943"/>
                <w:rFonts w:hint="eastAsia"/>
                <w:lang w:val="en-US" w:eastAsia="zh-CN" w:bidi="ar"/>
              </w:rPr>
              <w:t xml:space="preserve">颜色：</w:t>
            </w:r>
            <w:r>
              <w:rPr>
                <w:rFonts w:hint="eastAsia" w:ascii="宋体" w:hAnsi="宋体" w:eastAsia="宋体" w:cs="宋体"/>
                <w:i w:val="0"/>
                <w:iCs w:val="0"/>
                <w:color w:val="000000"/>
                <w:sz w:val="20"/>
                <w:szCs w:val="20"/>
                <w:u w:val="none"/>
                <w:lang w:val="en-US" w:eastAsia="zh-CN" w:bidi="ar"/>
              </w:rPr>
              <w:t xml:space="preserve">白蜡木纹色</w:t>
            </w:r>
            <w:r>
              <w:rPr>
                <w:rFonts w:hint="eastAsia" w:ascii="宋体" w:hAnsi="宋体" w:cs="宋体"/>
                <w:i w:val="0"/>
                <w:iCs w:val="0"/>
                <w:color w:val="000000"/>
                <w:sz w:val="20"/>
                <w:szCs w:val="20"/>
                <w:u w:val="none"/>
                <w:lang w:val="en-US" w:eastAsia="zh-CN" w:bidi="ar"/>
              </w:rPr>
              <w:t xml:space="preserve">。</w:t>
            </w:r>
            <w:r/>
          </w:p>
          <w:p>
            <w:pPr>
              <w:widowControl/>
              <w:rPr>
                <w:rStyle w:val="943"/>
                <w:rFonts w:hint="default"/>
                <w:lang w:val="en-US" w:eastAsia="zh-CN" w:bidi="ar"/>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整体一把</w:t>
            </w:r>
            <w:r/>
          </w:p>
        </w:tc>
      </w:tr>
    </w:tbl>
    <w:p>
      <w:pPr>
        <w:ind w:firstLine="480"/>
        <w:jc w:val="left"/>
        <w:spacing w:line="360" w:lineRule="exact"/>
        <w:rPr>
          <w:rFonts w:hint="eastAsia" w:ascii="宋体" w:hAnsi="宋体" w:cs="宋体"/>
          <w:sz w:val="24"/>
        </w:rPr>
      </w:pPr>
      <w:r>
        <w:rPr>
          <w:rFonts w:hint="eastAsia" w:ascii="宋体" w:hAnsi="宋体" w:cs="宋体"/>
          <w:sz w:val="24"/>
        </w:rPr>
      </w:r>
      <w:r/>
    </w:p>
    <w:p>
      <w:pPr>
        <w:ind w:firstLine="480"/>
        <w:jc w:val="left"/>
        <w:spacing w:line="360" w:lineRule="exact"/>
        <w:rPr>
          <w:rFonts w:ascii="宋体" w:hAnsi="宋体" w:cs="宋体"/>
          <w:sz w:val="24"/>
        </w:rPr>
      </w:pPr>
      <w:r>
        <w:rPr>
          <w:rFonts w:hint="eastAsia" w:ascii="宋体" w:hAnsi="宋体" w:cs="宋体"/>
          <w:sz w:val="24"/>
        </w:rPr>
        <w:t xml:space="preserve">注：小样技术</w:t>
      </w:r>
      <w:r>
        <w:rPr>
          <w:rFonts w:ascii="宋体" w:hAnsi="宋体" w:cs="宋体"/>
          <w:sz w:val="24"/>
        </w:rPr>
        <w:t xml:space="preserve">参照采购需求中的技术参数</w:t>
      </w:r>
      <w:r>
        <w:rPr>
          <w:rFonts w:hint="eastAsia" w:ascii="宋体" w:hAnsi="宋体" w:cs="宋体"/>
          <w:sz w:val="24"/>
        </w:rPr>
        <w:t xml:space="preserve">，尺寸自拟（便于携带和评审，不作为评分依据）。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bookmarkStart w:id="214" w:name="_GoBack"/>
      <w:r>
        <w:rPr>
          <w:rFonts w:hint="eastAsia" w:ascii="宋体" w:hAnsi="宋体"/>
          <w:color w:val="000000"/>
          <w:sz w:val="24"/>
          <w:szCs w:val="24"/>
          <w:highlight w:val="yellow"/>
        </w:rPr>
        <w:t xml:space="preserve">2026年7月</w:t>
      </w:r>
      <w:r>
        <w:rPr>
          <w:rFonts w:hint="eastAsia" w:ascii="宋体" w:hAnsi="宋体"/>
          <w:color w:val="000000"/>
          <w:sz w:val="24"/>
          <w:szCs w:val="24"/>
          <w:highlight w:val="yellow"/>
          <w:lang w:val="en-US" w:eastAsia="zh-CN"/>
        </w:rPr>
        <w:t xml:space="preserve">22</w:t>
      </w:r>
      <w:r>
        <w:rPr>
          <w:rFonts w:hint="eastAsia" w:ascii="宋体" w:hAnsi="宋体"/>
          <w:color w:val="000000"/>
          <w:sz w:val="24"/>
          <w:szCs w:val="24"/>
          <w:highlight w:val="yellow"/>
        </w:rPr>
        <w:t xml:space="preserve">日上午10:30-12:00，</w:t>
      </w:r>
      <w:r>
        <w:rPr>
          <w:rFonts w:hint="eastAsia" w:ascii="宋体" w:hAnsi="宋体"/>
          <w:color w:val="000000"/>
          <w:sz w:val="24"/>
          <w:szCs w:val="24"/>
          <w:highlight w:val="yellow"/>
          <w:lang w:eastAsia="zh-CN"/>
        </w:rPr>
        <w:t xml:space="preserve">14:30</w:t>
      </w:r>
      <w:r>
        <w:rPr>
          <w:rFonts w:hint="eastAsia" w:ascii="宋体" w:hAnsi="宋体"/>
          <w:color w:val="000000"/>
          <w:sz w:val="24"/>
          <w:szCs w:val="24"/>
          <w:highlight w:val="yellow"/>
        </w:rPr>
        <w:t xml:space="preserve">-17:30。</w:t>
      </w:r>
      <w:bookmarkEnd w:id="214"/>
      <w:r>
        <w:rPr>
          <w:rFonts w:hint="eastAsia" w:ascii="宋体" w:hAnsi="宋体"/>
          <w:color w:val="000000"/>
          <w:sz w:val="24"/>
          <w:szCs w:val="24"/>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eastAsia="宋体"/>
          <w:color w:val="000000"/>
          <w:sz w:val="24"/>
          <w:szCs w:val="24"/>
          <w:lang w:val="en-US" w:eastAsia="zh-CN"/>
        </w:rPr>
        <w:t xml:space="preserve">雍老师1395399908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2"/>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25"/>
        <w:rPr>
          <w:rFonts w:hint="eastAsia"/>
          <w:lang w:val="en-US" w:eastAsia="zh-CN"/>
        </w:rPr>
      </w:pPr>
      <w:r>
        <w:rPr>
          <w:rFonts w:hint="eastAsia"/>
          <w:lang w:val="en-US" w:eastAsia="zh-CN"/>
        </w:rPr>
      </w:r>
      <w:r/>
    </w:p>
    <w:p>
      <w:pPr>
        <w:pStyle w:val="742"/>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52"/>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52"/>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52"/>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962"/>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8</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针对招标文件“第四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、采购需求”中的“三、技术参数要求”所列内容)进行评分，所投产品技术参数完全满足或优于招标文件技术参数要求的得</w:t>
            </w:r>
            <w:r>
              <w:rPr>
                <w:rFonts w:hint="eastAsia" w:ascii="宋体" w:hAnsi="宋体" w:eastAsia="宋体" w:cs="宋体"/>
                <w:sz w:val="21"/>
                <w:szCs w:val="21"/>
                <w:lang w:val="en-US" w:eastAsia="zh-CN" w:bidi="ar-SA"/>
              </w:rPr>
              <w:t xml:space="preserve">28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2.1“▲”为重点参数要求，每有一项（共</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项）不满足的扣</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分，共10分；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2.2其余指标为一般性指标，每有一项（共</w:t>
            </w: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lang w:val="en-US" w:eastAsia="en-US" w:bidi="ar-SA"/>
              </w:rPr>
              <w:t xml:space="preserve">项）负偏离扣</w:t>
            </w: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en-US" w:bidi="ar-SA"/>
              </w:rPr>
              <w:t xml:space="preserve">分，共</w:t>
            </w: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9 </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spacing w:line="360" w:lineRule="exac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评审委员会根据投标人所提供的样品（</w:t>
            </w:r>
            <w:r>
              <w:rPr>
                <w:rFonts w:hint="eastAsia" w:ascii="宋体" w:hAnsi="宋体" w:eastAsia="宋体" w:cs="宋体"/>
                <w:color w:val="000000"/>
                <w:sz w:val="21"/>
                <w:szCs w:val="21"/>
                <w:lang w:val="zh-CN" w:eastAsia="en-US" w:bidi="ar-SA"/>
              </w:rPr>
              <w:t xml:space="preserve">桌面板1、桌脚、桌面板2、</w:t>
            </w:r>
            <w:r>
              <w:rPr>
                <w:rFonts w:hint="eastAsia" w:ascii="宋体" w:hAnsi="宋体" w:eastAsia="宋体" w:cs="宋体"/>
                <w:color w:val="000000"/>
                <w:sz w:val="21"/>
                <w:szCs w:val="21"/>
                <w:lang w:val="en-US" w:eastAsia="en-US" w:bidi="ar-SA"/>
              </w:rPr>
              <w:t xml:space="preserve">椅子</w:t>
            </w:r>
            <w:r>
              <w:rPr>
                <w:rFonts w:hint="eastAsia" w:ascii="宋体" w:hAnsi="宋体" w:eastAsia="宋体" w:cs="宋体"/>
                <w:sz w:val="21"/>
                <w:szCs w:val="21"/>
                <w:lang w:val="en-US" w:eastAsia="en-US" w:bidi="ar-SA"/>
              </w:rPr>
              <w:t xml:space="preserve">）进行评审。</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3.1</w:t>
            </w:r>
            <w:bookmarkStart w:id="194" w:name="OLE_LINK37"/>
            <w:r>
              <w:rPr>
                <w:rFonts w:hint="eastAsia" w:ascii="宋体" w:hAnsi="宋体" w:eastAsia="宋体" w:cs="宋体"/>
                <w:sz w:val="21"/>
                <w:szCs w:val="21"/>
                <w:lang w:val="en-US" w:eastAsia="en-US" w:bidi="ar-SA"/>
              </w:rPr>
              <w:t xml:space="preserve">样品的</w:t>
            </w:r>
            <w:bookmarkEnd w:id="194"/>
            <w:r>
              <w:rPr>
                <w:rFonts w:hint="eastAsia" w:ascii="宋体" w:hAnsi="宋体" w:eastAsia="宋体" w:cs="宋体"/>
                <w:sz w:val="21"/>
                <w:szCs w:val="21"/>
                <w:lang w:val="en-US" w:eastAsia="en-US" w:bidi="ar-SA"/>
              </w:rPr>
              <w:t xml:space="preserve">外观优于“样品清单列表”要求的得3分，符合“样品清单列表”要求的得1.5分，不符合“样品清单列表”要求或未按要求提供样品的不得分。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3.2样品的材质优于“样品清单列表”要求的得3分，符合“样品清单列表”要求的得1.5分，不符合“样品清单列表”要求或未按要求提供样品的不得分。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3.3样品的工艺优于“样品清单列表”要求的得3分，符合“样品清单列表”要求的得1.5分，不符合“样品清单列表”要求或未按要求提供样品的不得分。</w:t>
            </w:r>
            <w:r/>
          </w:p>
        </w:tc>
      </w:tr>
      <w:tr>
        <w:trPr>
          <w:trHeight w:val="2208"/>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rPr>
              <w:t xml:space="preserve">、自动封边机</w:t>
            </w:r>
            <w:r>
              <w:rPr>
                <w:rFonts w:hint="eastAsia" w:ascii="宋体" w:hAnsi="宋体" w:eastAsia="宋体" w:cs="宋体"/>
                <w:sz w:val="21"/>
                <w:szCs w:val="21"/>
                <w:lang w:val="en-US" w:eastAsia="en-US" w:bidi="ar-SA"/>
              </w:rPr>
              <w:t xml:space="preserve">，每提供一项得</w:t>
            </w:r>
            <w:r>
              <w:rPr>
                <w:rFonts w:hint="eastAsia" w:ascii="宋体" w:hAnsi="宋体" w:eastAsia="宋体" w:cs="宋体"/>
                <w:sz w:val="21"/>
                <w:szCs w:val="21"/>
                <w:lang w:val="en-US" w:eastAsia="zh-CN" w:bidi="ar-SA"/>
              </w:rPr>
              <w:t xml:space="preserve">0.5</w:t>
            </w:r>
            <w:r>
              <w:rPr>
                <w:rFonts w:hint="eastAsia" w:ascii="宋体" w:hAnsi="宋体" w:eastAsia="宋体" w:cs="宋体"/>
                <w:sz w:val="21"/>
                <w:szCs w:val="21"/>
                <w:lang w:val="en-US" w:eastAsia="en-US" w:bidi="ar-SA"/>
              </w:rPr>
              <w:t xml:space="preserve">分，本项最高得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w:t>
            </w: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5" w:name="OLE_LINK18"/>
            <w:r>
              <w:rPr>
                <w:rFonts w:hint="eastAsia" w:ascii="宋体" w:hAnsi="宋体" w:eastAsia="宋体" w:cs="宋体"/>
                <w:sz w:val="21"/>
                <w:szCs w:val="21"/>
                <w:lang w:val="en-US" w:eastAsia="en-US" w:bidi="ar-SA"/>
              </w:rPr>
              <w:t xml:space="preserve">中国环境标志产品认证证书</w:t>
            </w:r>
            <w:bookmarkEnd w:id="195"/>
            <w:r>
              <w:rPr>
                <w:rFonts w:hint="eastAsia" w:ascii="宋体" w:hAnsi="宋体" w:eastAsia="宋体" w:cs="宋体"/>
                <w:sz w:val="21"/>
                <w:szCs w:val="21"/>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10</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投标人具有自2023年1月1日（以合同签订时间为准）以来,承担过与本项目类似家具业绩，每提供一个得</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分，最多得10分。注：业绩需提供项目合同材料电子件，且业绩合同中主要内容、标的、金额、签订时间等清晰可见，否则该业绩不得分。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七、质量保证及进度安排方案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：五-商务要求，5.1质量保证及进度安排制定制定项目实施方案，优于采购需求的，得5分；满足采购需求的，得3分；</w:t>
            </w:r>
            <w:bookmarkStart w:id="196"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6"/>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八、现场管理及突发事件处置方案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：五-商务要求，5.2现场管理及突发事件处置方案，优于采购需求的，得5分；满足采购需求的，得3分；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九、配送及安装方案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投标人根据招标文件“第四部分：五-商务要求，5.3配送及安装方案，优于采购需求的，得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42"/>
        <w:jc w:val="center"/>
        <w:shd w:val="clear" w:color="auto"/>
        <w:rPr>
          <w:rFonts w:hint="eastAsia" w:ascii="宋体" w:hAnsi="宋体" w:eastAsia="宋体" w:cs="宋体"/>
          <w:b/>
          <w:bCs w:val="0"/>
          <w:color w:val="auto"/>
          <w:sz w:val="44"/>
          <w:highlight w:val="none"/>
        </w:rPr>
      </w:pPr>
      <w:r/>
      <w:bookmarkStart w:id="197" w:name="_Toc20454"/>
      <w:r>
        <w:rPr>
          <w:rFonts w:hint="eastAsia" w:ascii="宋体" w:hAnsi="宋体" w:eastAsia="宋体" w:cs="宋体"/>
          <w:b/>
          <w:bCs w:val="0"/>
          <w:color w:val="auto"/>
          <w:sz w:val="44"/>
          <w:highlight w:val="none"/>
        </w:rPr>
        <w:t xml:space="preserve">第六章  投标文件格式</w:t>
      </w:r>
      <w:bookmarkEnd w:id="197"/>
      <w:r/>
      <w:r/>
    </w:p>
    <w:p>
      <w:pPr>
        <w:jc w:val="center"/>
        <w:shd w:val="clear" w:color="auto"/>
        <w:rPr>
          <w:rFonts w:hint="eastAsia" w:ascii="宋体" w:hAnsi="宋体" w:eastAsia="宋体" w:cs="宋体"/>
          <w:b/>
          <w:color w:val="auto"/>
          <w:sz w:val="72"/>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32"/>
        <w:shd w:val="clear" w:color="auto"/>
        <w:rPr>
          <w:rFonts w:hint="eastAsia" w:ascii="宋体" w:hAnsi="宋体" w:eastAsia="宋体" w:cs="宋体"/>
          <w:b/>
          <w:color w:val="auto"/>
          <w:sz w:val="32"/>
          <w:szCs w:val="32"/>
          <w:highlight w:val="none"/>
        </w:rPr>
        <w:outlineLvl w:val="1"/>
      </w:pPr>
      <w:r/>
      <w:bookmarkStart w:id="203" w:name="_Toc23838"/>
      <w:r>
        <w:rPr>
          <w:rFonts w:hint="eastAsia" w:ascii="宋体" w:hAnsi="宋体" w:eastAsia="宋体" w:cs="宋体"/>
          <w:color w:val="auto"/>
          <w:highlight w:val="none"/>
        </w:rPr>
        <w:br w:type="page" w:clear="all"/>
      </w:r>
      <w:bookmarkEnd w:id="203"/>
      <w:r>
        <w:rPr>
          <w:rFonts w:hint="eastAsia" w:ascii="宋体" w:hAnsi="宋体" w:eastAsia="宋体" w:cs="宋体"/>
          <w:b/>
          <w:color w:val="auto"/>
          <w:sz w:val="32"/>
          <w:szCs w:val="32"/>
          <w:highlight w:val="none"/>
        </w:rPr>
        <w:t xml:space="preserve">一、</w:t>
      </w:r>
      <w:bookmarkEnd w:id="200"/>
      <w:r/>
      <w:bookmarkEnd w:id="201"/>
      <w:r/>
      <w:bookmarkEnd w:id="202"/>
      <w:r>
        <w:rPr>
          <w:rFonts w:hint="eastAsia" w:ascii="宋体" w:hAnsi="宋体" w:eastAsia="宋体" w:cs="宋体"/>
          <w:b/>
          <w:color w:val="auto"/>
          <w:sz w:val="32"/>
          <w:szCs w:val="32"/>
          <w:highlight w:val="none"/>
        </w:rPr>
        <w:t xml:space="preserve">投标声明及承诺函</w:t>
      </w:r>
      <w:r/>
    </w:p>
    <w:p>
      <w:pPr>
        <w:pStyle w:val="933"/>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33"/>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33"/>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32"/>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34"/>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34"/>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34"/>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34"/>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34"/>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34"/>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3"/>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35"/>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35"/>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5"/>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35"/>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35"/>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35"/>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35"/>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35"/>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35"/>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35"/>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35"/>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ascii="宋体" w:hAnsi="宋体" w:eastAsia="宋体" w:cs="宋体"/>
          <w:color w:val="auto"/>
          <w:sz w:val="24"/>
          <w:szCs w:val="24"/>
          <w:highlight w:val="none"/>
          <w:u w:val="single"/>
        </w:rPr>
        <w:t xml:space="preserve">                                            </w:t>
      </w:r>
      <w:r/>
    </w:p>
    <w:p>
      <w:pPr>
        <w:pStyle w:val="753"/>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53"/>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JSZC-321300-SSJT-G2026-0040</w:t>
      </w:r>
      <w:r/>
    </w:p>
    <w:tbl>
      <w:tblPr>
        <w:tblStyle w:val="752"/>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26"/>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26"/>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26"/>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26"/>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2"/>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25"/>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36"/>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36"/>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6"/>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36"/>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36"/>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36"/>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36"/>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6"/>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52"/>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71"/>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5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1"/>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1"/>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1"/>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1"/>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1"/>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7"/>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71"/>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71"/>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7" w:name="_Toc11176"/>
      <w:r>
        <w:rPr>
          <w:rFonts w:hint="eastAsia" w:ascii="宋体" w:hAnsi="宋体" w:eastAsia="宋体" w:cs="宋体"/>
          <w:b/>
          <w:color w:val="auto"/>
          <w:sz w:val="32"/>
          <w:highlight w:val="none"/>
        </w:rPr>
        <w:t xml:space="preserve">十、</w:t>
      </w:r>
      <w:bookmarkEnd w:id="207"/>
      <w:r>
        <w:rPr>
          <w:rFonts w:hint="eastAsia" w:ascii="宋体" w:hAnsi="宋体" w:eastAsia="宋体" w:cs="宋体"/>
          <w:b/>
          <w:color w:val="auto"/>
          <w:sz w:val="32"/>
          <w:highlight w:val="none"/>
        </w:rPr>
        <w:t xml:space="preserve">企业业绩</w:t>
      </w:r>
      <w:r/>
    </w:p>
    <w:p>
      <w:pPr>
        <w:pStyle w:val="939"/>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5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4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0"/>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39"/>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8" w:name="_Toc28140"/>
      <w:r/>
      <w:r/>
    </w:p>
    <w:p>
      <w:pPr>
        <w:pStyle w:val="941"/>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41"/>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8"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19"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0"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1"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3"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8"/>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53"/>
        <w:ind w:firstLine="0"/>
        <w:shd w:val="clear" w:color="auto"/>
        <w:rPr>
          <w:rFonts w:hint="eastAsia" w:ascii="宋体" w:hAnsi="宋体" w:eastAsia="宋体" w:cs="宋体"/>
          <w:color w:val="auto"/>
          <w:sz w:val="24"/>
          <w:highlight w:val="none"/>
        </w:rPr>
      </w:pPr>
      <w:r/>
      <w:bookmarkStart w:id="209" w:name="_Hlt26671374"/>
      <w:r/>
      <w:bookmarkEnd w:id="209"/>
      <w:r/>
      <w:bookmarkStart w:id="210" w:name="_Hlt26955066"/>
      <w:r/>
      <w:bookmarkEnd w:id="210"/>
      <w:r/>
      <w:bookmarkStart w:id="211" w:name="_Toc462564146"/>
      <w:r/>
      <w:bookmarkEnd w:id="211"/>
      <w:r/>
      <w:bookmarkStart w:id="212" w:name="_Hlt26609389"/>
      <w:r/>
      <w:bookmarkEnd w:id="212"/>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7"/>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7"/>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numPr>
          <w:ilvl w:val="0"/>
          <w:numId w:val="0"/>
        </w:numPr>
        <w:shd w:val="clear" w:color="auto"/>
        <w:rPr>
          <w:rFonts w:hint="eastAsia" w:ascii="宋体" w:hAnsi="宋体" w:eastAsia="宋体" w:cs="宋体"/>
          <w:color w:val="auto"/>
          <w:highlight w:val="none"/>
          <w:lang w:val="en-US" w:eastAsia="zh-CN"/>
        </w:rPr>
        <w:outlineLvl w:val="1"/>
      </w:pPr>
      <w:r/>
      <w:bookmarkStart w:id="213" w:name="_格式2__法定代表人授权书"/>
      <w:r/>
      <w:bookmarkEnd w:id="213"/>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42"/>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Times New Roman">
    <w:panose1 w:val="02020603050405020304"/>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8"/>
    <w:lvlOverride w:ilvl="0">
      <w:startOverride w:val="1"/>
    </w:lvlOverride>
  </w:num>
  <w:num w:numId="3">
    <w:abstractNumId w:val="0"/>
    <w:lvlOverride w:ilvl="0">
      <w:startOverride w:val="1"/>
    </w:lvlOverride>
  </w:num>
  <w:num w:numId="4">
    <w:abstractNumId w:val="6"/>
    <w:lvlOverride w:ilvl="0">
      <w:startOverride w:val="2"/>
    </w:lvlOverride>
  </w:num>
  <w:num w:numId="5">
    <w:abstractNumId w:val="4"/>
    <w:lvlOverride w:ilvl="0">
      <w:startOverride w:val="6"/>
    </w:lvlOverride>
  </w:num>
  <w:num w:numId="6">
    <w:abstractNumId w:val="7"/>
    <w:lvlOverride w:ilvl="0">
      <w:startOverride w:val="16"/>
    </w:lvlOverride>
  </w:num>
  <w:num w:numId="7">
    <w:abstractNumId w:val="1"/>
    <w:lvlOverride w:ilvl="0">
      <w:startOverride w:val="23"/>
    </w:lvlOverride>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rPr>
      <w:rFonts w:hint="default" w:asciiTheme="minorHAnsi" w:hAnsiTheme="minorHAnsi" w:eastAsiaTheme="minorEastAsia" w:cstheme="minorBidi"/>
      <w:sz w:val="21"/>
      <w:szCs w:val="22"/>
      <w:lang w:val="en-US" w:eastAsia="zh-CN" w:bidi="ar-SA"/>
    </w:rPr>
  </w:style>
  <w:style w:type="paragraph" w:styleId="742">
    <w:name w:val="Heading 1"/>
    <w:basedOn w:val="741"/>
    <w:next w:val="74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78"/>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53"/>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53"/>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81"/>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2"/>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84"/>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85"/>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0"/>
    <w:semiHidden/>
    <w:qFormat/>
  </w:style>
  <w:style w:type="table" w:styleId="752" w:default="1">
    <w:name w:val="Normal Table"/>
    <w:uiPriority w:val="0"/>
    <w:semiHidden/>
    <w:qFormat/>
    <w:tblPr>
      <w:tblCellMar>
        <w:left w:w="108" w:type="dxa"/>
        <w:top w:w="0" w:type="dxa"/>
        <w:right w:w="108" w:type="dxa"/>
        <w:bottom w:w="0" w:type="dxa"/>
      </w:tblCellMar>
    </w:tblPr>
  </w:style>
  <w:style w:type="paragraph" w:styleId="753">
    <w:name w:val="Normal Indent"/>
    <w:basedOn w:val="741"/>
    <w:next w:val="741"/>
    <w:uiPriority w:val="0"/>
    <w:qFormat/>
    <w:pPr>
      <w:ind w:firstLine="420"/>
    </w:pPr>
  </w:style>
  <w:style w:type="paragraph" w:styleId="754">
    <w:name w:val="toc 7"/>
    <w:basedOn w:val="741"/>
    <w:next w:val="741"/>
    <w:uiPriority w:val="39"/>
    <w:unhideWhenUsed/>
    <w:qFormat/>
    <w:pPr>
      <w:ind w:left="1701" w:right="0" w:firstLine="0"/>
      <w:spacing w:after="57"/>
    </w:pPr>
  </w:style>
  <w:style w:type="paragraph" w:styleId="755">
    <w:name w:val="Caption"/>
    <w:basedOn w:val="741"/>
    <w:next w:val="74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6">
    <w:name w:val="toc 5"/>
    <w:basedOn w:val="741"/>
    <w:next w:val="741"/>
    <w:uiPriority w:val="39"/>
    <w:unhideWhenUsed/>
    <w:qFormat/>
    <w:pPr>
      <w:ind w:left="1134" w:right="0" w:firstLine="0"/>
      <w:spacing w:after="57"/>
    </w:pPr>
  </w:style>
  <w:style w:type="paragraph" w:styleId="757">
    <w:name w:val="toc 3"/>
    <w:basedOn w:val="741"/>
    <w:next w:val="741"/>
    <w:uiPriority w:val="39"/>
    <w:unhideWhenUsed/>
    <w:qFormat/>
    <w:pPr>
      <w:ind w:left="567" w:right="0" w:firstLine="0"/>
      <w:spacing w:after="57"/>
    </w:pPr>
  </w:style>
  <w:style w:type="paragraph" w:styleId="758">
    <w:name w:val="Plain Text"/>
    <w:basedOn w:val="741"/>
    <w:uiPriority w:val="0"/>
    <w:qFormat/>
    <w:rPr>
      <w:rFonts w:ascii="宋体" w:hAnsi="Courier New" w:cs="Courier New"/>
    </w:rPr>
  </w:style>
  <w:style w:type="paragraph" w:styleId="759">
    <w:name w:val="toc 8"/>
    <w:basedOn w:val="741"/>
    <w:next w:val="741"/>
    <w:uiPriority w:val="39"/>
    <w:unhideWhenUsed/>
    <w:qFormat/>
    <w:pPr>
      <w:ind w:left="1984" w:right="0" w:firstLine="0"/>
      <w:spacing w:after="57"/>
    </w:pPr>
  </w:style>
  <w:style w:type="paragraph" w:styleId="760">
    <w:name w:val="endnote text"/>
    <w:basedOn w:val="741"/>
    <w:link w:val="923"/>
    <w:uiPriority w:val="99"/>
    <w:semiHidden/>
    <w:unhideWhenUsed/>
    <w:qFormat/>
    <w:pPr>
      <w:spacing w:after="0" w:line="240" w:lineRule="auto"/>
    </w:pPr>
    <w:rPr>
      <w:sz w:val="20"/>
    </w:rPr>
  </w:style>
  <w:style w:type="paragraph" w:styleId="761">
    <w:name w:val="Footer"/>
    <w:basedOn w:val="741"/>
    <w:uiPriority w:val="99"/>
    <w:unhideWhenUsed/>
    <w:qFormat/>
    <w:pPr>
      <w:tabs>
        <w:tab w:val="center" w:pos="7143" w:leader="none"/>
        <w:tab w:val="right" w:pos="14287" w:leader="none"/>
      </w:tabs>
    </w:pPr>
  </w:style>
  <w:style w:type="paragraph" w:styleId="762">
    <w:name w:val="Header"/>
    <w:basedOn w:val="741"/>
    <w:uiPriority w:val="99"/>
    <w:unhideWhenUsed/>
    <w:qFormat/>
    <w:pPr>
      <w:tabs>
        <w:tab w:val="center" w:pos="7143" w:leader="none"/>
        <w:tab w:val="right" w:pos="14287" w:leader="none"/>
      </w:tabs>
    </w:pPr>
  </w:style>
  <w:style w:type="paragraph" w:styleId="763">
    <w:name w:val="toc 1"/>
    <w:basedOn w:val="741"/>
    <w:next w:val="741"/>
    <w:uiPriority w:val="39"/>
    <w:unhideWhenUsed/>
    <w:qFormat/>
    <w:pPr>
      <w:spacing w:after="57"/>
    </w:pPr>
  </w:style>
  <w:style w:type="paragraph" w:styleId="764">
    <w:name w:val="toc 4"/>
    <w:basedOn w:val="741"/>
    <w:next w:val="741"/>
    <w:uiPriority w:val="39"/>
    <w:unhideWhenUsed/>
    <w:qFormat/>
    <w:pPr>
      <w:ind w:left="850" w:right="0" w:firstLine="0"/>
      <w:spacing w:after="57"/>
    </w:pPr>
  </w:style>
  <w:style w:type="paragraph" w:styleId="765">
    <w:name w:val="Subtitle"/>
    <w:basedOn w:val="741"/>
    <w:next w:val="741"/>
    <w:link w:val="789"/>
    <w:uiPriority w:val="11"/>
    <w:qFormat/>
    <w:pPr>
      <w:spacing w:before="200" w:after="200"/>
    </w:pPr>
    <w:rPr>
      <w:sz w:val="24"/>
      <w:szCs w:val="24"/>
    </w:rPr>
  </w:style>
  <w:style w:type="paragraph" w:styleId="766">
    <w:name w:val="footnote text"/>
    <w:basedOn w:val="741"/>
    <w:link w:val="922"/>
    <w:uiPriority w:val="99"/>
    <w:semiHidden/>
    <w:unhideWhenUsed/>
    <w:qFormat/>
    <w:pPr>
      <w:spacing w:after="40" w:line="240" w:lineRule="auto"/>
    </w:pPr>
    <w:rPr>
      <w:sz w:val="18"/>
    </w:rPr>
  </w:style>
  <w:style w:type="paragraph" w:styleId="767">
    <w:name w:val="toc 6"/>
    <w:basedOn w:val="741"/>
    <w:next w:val="741"/>
    <w:uiPriority w:val="39"/>
    <w:unhideWhenUsed/>
    <w:qFormat/>
    <w:pPr>
      <w:ind w:left="1417" w:right="0" w:firstLine="0"/>
      <w:spacing w:after="57"/>
    </w:pPr>
  </w:style>
  <w:style w:type="paragraph" w:styleId="768">
    <w:name w:val="table of figures"/>
    <w:basedOn w:val="741"/>
    <w:next w:val="741"/>
    <w:uiPriority w:val="99"/>
    <w:unhideWhenUsed/>
    <w:qFormat/>
    <w:pPr>
      <w:spacing w:after="0" w:afterAutospacing="0"/>
    </w:pPr>
  </w:style>
  <w:style w:type="paragraph" w:styleId="769">
    <w:name w:val="toc 2"/>
    <w:basedOn w:val="741"/>
    <w:next w:val="741"/>
    <w:uiPriority w:val="39"/>
    <w:unhideWhenUsed/>
    <w:qFormat/>
    <w:pPr>
      <w:ind w:left="283" w:right="0" w:firstLine="0"/>
      <w:spacing w:after="57"/>
    </w:pPr>
  </w:style>
  <w:style w:type="paragraph" w:styleId="770">
    <w:name w:val="toc 9"/>
    <w:basedOn w:val="741"/>
    <w:next w:val="741"/>
    <w:uiPriority w:val="39"/>
    <w:unhideWhenUsed/>
    <w:qFormat/>
    <w:pPr>
      <w:ind w:left="2268" w:right="0" w:firstLine="0"/>
      <w:spacing w:after="57"/>
    </w:pPr>
  </w:style>
  <w:style w:type="paragraph" w:styleId="771">
    <w:name w:val="Normal (Web)"/>
    <w:basedOn w:val="741"/>
    <w:uiPriority w:val="99"/>
    <w:qFormat/>
    <w:pPr>
      <w:spacing w:before="100" w:beforeAutospacing="1" w:after="100" w:afterAutospacing="1"/>
    </w:pPr>
    <w:rPr>
      <w:rFonts w:ascii="宋体" w:hAnsi="宋体" w:cs="宋体"/>
      <w:sz w:val="24"/>
      <w:szCs w:val="24"/>
    </w:rPr>
  </w:style>
  <w:style w:type="paragraph" w:styleId="772">
    <w:name w:val="Title"/>
    <w:basedOn w:val="741"/>
    <w:next w:val="741"/>
    <w:link w:val="788"/>
    <w:uiPriority w:val="10"/>
    <w:qFormat/>
    <w:pPr>
      <w:contextualSpacing/>
      <w:spacing w:before="300" w:after="200"/>
    </w:pPr>
    <w:rPr>
      <w:sz w:val="48"/>
      <w:szCs w:val="48"/>
    </w:rPr>
  </w:style>
  <w:style w:type="table" w:styleId="773">
    <w:name w:val="Table Grid"/>
    <w:basedOn w:val="75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51"/>
    <w:uiPriority w:val="99"/>
    <w:semiHidden/>
    <w:unhideWhenUsed/>
    <w:qFormat/>
    <w:rPr>
      <w:vertAlign w:val="superscript"/>
    </w:rPr>
  </w:style>
  <w:style w:type="character" w:styleId="775">
    <w:name w:val="Hyperlink"/>
    <w:uiPriority w:val="99"/>
    <w:unhideWhenUsed/>
    <w:qFormat/>
    <w:rPr>
      <w:color w:val="0026e5" w:themeColor="hyperlink"/>
      <w:u w:val="single"/>
      <w14:textFill>
        <w14:solidFill>
          <w14:schemeClr w14:val="hlink"/>
        </w14:solidFill>
      </w14:textFill>
    </w:rPr>
  </w:style>
  <w:style w:type="character" w:styleId="776">
    <w:name w:val="footnote reference"/>
    <w:basedOn w:val="751"/>
    <w:uiPriority w:val="99"/>
    <w:unhideWhenUsed/>
    <w:qFormat/>
    <w:rPr>
      <w:vertAlign w:val="superscript"/>
    </w:rPr>
  </w:style>
  <w:style w:type="character" w:styleId="777" w:customStyle="1">
    <w:name w:val="Heading 1 Char"/>
    <w:basedOn w:val="751"/>
    <w:uiPriority w:val="9"/>
    <w:qFormat/>
    <w:rPr>
      <w:rFonts w:ascii="Arial" w:hAnsi="Arial" w:eastAsia="Arial" w:cs="Arial"/>
      <w:sz w:val="40"/>
      <w:szCs w:val="40"/>
    </w:rPr>
  </w:style>
  <w:style w:type="character" w:styleId="778" w:customStyle="1">
    <w:name w:val="Heading 2 Char"/>
    <w:basedOn w:val="751"/>
    <w:link w:val="743"/>
    <w:uiPriority w:val="9"/>
    <w:qFormat/>
    <w:rPr>
      <w:rFonts w:ascii="Arial" w:hAnsi="Arial" w:eastAsia="Arial" w:cs="Arial"/>
      <w:sz w:val="34"/>
    </w:rPr>
  </w:style>
  <w:style w:type="character" w:styleId="779" w:customStyle="1">
    <w:name w:val="Heading 3 Char"/>
    <w:basedOn w:val="751"/>
    <w:uiPriority w:val="9"/>
    <w:qFormat/>
    <w:rPr>
      <w:rFonts w:ascii="Arial" w:hAnsi="Arial" w:eastAsia="Arial" w:cs="Arial"/>
      <w:sz w:val="30"/>
      <w:szCs w:val="30"/>
    </w:rPr>
  </w:style>
  <w:style w:type="character" w:styleId="780" w:customStyle="1">
    <w:name w:val="Heading 4 Char"/>
    <w:basedOn w:val="751"/>
    <w:uiPriority w:val="9"/>
    <w:qFormat/>
    <w:rPr>
      <w:rFonts w:ascii="Arial" w:hAnsi="Arial" w:eastAsia="Arial" w:cs="Arial"/>
      <w:b/>
      <w:bCs/>
      <w:sz w:val="26"/>
      <w:szCs w:val="26"/>
    </w:rPr>
  </w:style>
  <w:style w:type="character" w:styleId="781" w:customStyle="1">
    <w:name w:val="Heading 5 Char"/>
    <w:basedOn w:val="751"/>
    <w:link w:val="746"/>
    <w:uiPriority w:val="9"/>
    <w:qFormat/>
    <w:rPr>
      <w:rFonts w:ascii="Arial" w:hAnsi="Arial" w:eastAsia="Arial" w:cs="Arial"/>
      <w:b/>
      <w:bCs/>
      <w:sz w:val="24"/>
      <w:szCs w:val="24"/>
    </w:rPr>
  </w:style>
  <w:style w:type="character" w:styleId="782" w:customStyle="1">
    <w:name w:val="Heading 6 Char"/>
    <w:basedOn w:val="751"/>
    <w:link w:val="747"/>
    <w:uiPriority w:val="9"/>
    <w:qFormat/>
    <w:rPr>
      <w:rFonts w:ascii="Arial" w:hAnsi="Arial" w:eastAsia="Arial" w:cs="Arial"/>
      <w:b/>
      <w:bCs/>
      <w:sz w:val="22"/>
      <w:szCs w:val="22"/>
    </w:rPr>
  </w:style>
  <w:style w:type="character" w:styleId="783" w:customStyle="1">
    <w:name w:val="Heading 7 Char"/>
    <w:basedOn w:val="751"/>
    <w:link w:val="748"/>
    <w:uiPriority w:val="9"/>
    <w:qFormat/>
    <w:rPr>
      <w:rFonts w:ascii="Arial" w:hAnsi="Arial" w:eastAsia="Arial" w:cs="Arial"/>
      <w:b/>
      <w:bCs/>
      <w:i/>
      <w:iCs/>
      <w:sz w:val="22"/>
      <w:szCs w:val="22"/>
    </w:rPr>
  </w:style>
  <w:style w:type="character" w:styleId="784" w:customStyle="1">
    <w:name w:val="Heading 8 Char"/>
    <w:basedOn w:val="751"/>
    <w:link w:val="749"/>
    <w:uiPriority w:val="9"/>
    <w:qFormat/>
    <w:rPr>
      <w:rFonts w:ascii="Arial" w:hAnsi="Arial" w:eastAsia="Arial" w:cs="Arial"/>
      <w:i/>
      <w:iCs/>
      <w:sz w:val="22"/>
      <w:szCs w:val="22"/>
    </w:rPr>
  </w:style>
  <w:style w:type="character" w:styleId="785" w:customStyle="1">
    <w:name w:val="Heading 9 Char"/>
    <w:basedOn w:val="751"/>
    <w:link w:val="750"/>
    <w:uiPriority w:val="9"/>
    <w:qFormat/>
    <w:rPr>
      <w:rFonts w:ascii="Arial" w:hAnsi="Arial" w:eastAsia="Arial" w:cs="Arial"/>
      <w:i/>
      <w:iCs/>
      <w:sz w:val="21"/>
      <w:szCs w:val="21"/>
    </w:rPr>
  </w:style>
  <w:style w:type="paragraph" w:styleId="786">
    <w:name w:val="List Paragraph"/>
    <w:basedOn w:val="741"/>
    <w:uiPriority w:val="34"/>
    <w:qFormat/>
    <w:pPr>
      <w:contextualSpacing/>
      <w:ind w:left="720"/>
    </w:pPr>
  </w:style>
  <w:style w:type="paragraph" w:styleId="787">
    <w:name w:val="No Spacing"/>
    <w:uiPriority w:val="1"/>
    <w:qFormat/>
    <w:pPr>
      <w:spacing w:before="0" w:after="0" w:line="240" w:lineRule="auto"/>
    </w:pPr>
    <w:rPr>
      <w:rFonts w:hint="default" w:asciiTheme="minorHAnsi" w:hAnsiTheme="minorHAnsi" w:eastAsiaTheme="minorEastAsia" w:cstheme="minorBidi"/>
    </w:rPr>
  </w:style>
  <w:style w:type="character" w:styleId="788" w:customStyle="1">
    <w:name w:val="Title Char"/>
    <w:basedOn w:val="751"/>
    <w:link w:val="772"/>
    <w:uiPriority w:val="10"/>
    <w:qFormat/>
    <w:rPr>
      <w:sz w:val="48"/>
      <w:szCs w:val="48"/>
    </w:rPr>
  </w:style>
  <w:style w:type="character" w:styleId="789" w:customStyle="1">
    <w:name w:val="Subtitle Char"/>
    <w:basedOn w:val="751"/>
    <w:link w:val="765"/>
    <w:uiPriority w:val="11"/>
    <w:qFormat/>
    <w:rPr>
      <w:sz w:val="24"/>
      <w:szCs w:val="24"/>
    </w:rPr>
  </w:style>
  <w:style w:type="paragraph" w:styleId="790">
    <w:name w:val="Quote"/>
    <w:basedOn w:val="741"/>
    <w:next w:val="741"/>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41"/>
    <w:next w:val="74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51"/>
    <w:uiPriority w:val="99"/>
    <w:qFormat/>
  </w:style>
  <w:style w:type="character" w:styleId="795" w:customStyle="1">
    <w:name w:val="Footer Char"/>
    <w:basedOn w:val="751"/>
    <w:uiPriority w:val="99"/>
    <w:qFormat/>
  </w:style>
  <w:style w:type="character" w:styleId="796" w:customStyle="1">
    <w:name w:val="Caption Char"/>
    <w:uiPriority w:val="99"/>
    <w:qFormat/>
  </w:style>
  <w:style w:type="table" w:styleId="797"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7"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5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6" w:customStyle="1">
    <w:name w:val="Grid Table 4 - Accent 2"/>
    <w:basedOn w:val="75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7" w:customStyle="1">
    <w:name w:val="Grid Table 4 - Accent 3"/>
    <w:basedOn w:val="75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8" w:customStyle="1">
    <w:name w:val="Grid Table 4 - Accent 4"/>
    <w:basedOn w:val="75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9" w:customStyle="1">
    <w:name w:val="Grid Table 4 - Accent 5"/>
    <w:basedOn w:val="75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0" w:customStyle="1">
    <w:name w:val="Grid Table 4 - Accent 6"/>
    <w:basedOn w:val="75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1"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3"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4"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5"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6"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7"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8"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5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5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5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4" w:customStyle="1">
    <w:name w:val="Grid Table 6 Colorful - Accent 6"/>
    <w:basedOn w:val="75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5"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5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5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5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5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5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5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5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5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5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5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5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5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5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1" w:customStyle="1">
    <w:name w:val="List Table 2 - Accent 2"/>
    <w:basedOn w:val="75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2" w:customStyle="1">
    <w:name w:val="List Table 2 - Accent 3"/>
    <w:basedOn w:val="75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3" w:customStyle="1">
    <w:name w:val="List Table 2 - Accent 4"/>
    <w:basedOn w:val="75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4" w:customStyle="1">
    <w:name w:val="List Table 2 - Accent 5"/>
    <w:basedOn w:val="75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5" w:customStyle="1">
    <w:name w:val="List Table 2 - Accent 6"/>
    <w:basedOn w:val="75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6"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5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3 - Accent 2"/>
    <w:basedOn w:val="7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5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5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5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3"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5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4 - Accent 2"/>
    <w:basedOn w:val="75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6" w:customStyle="1">
    <w:name w:val="List Table 4 - Accent 3"/>
    <w:basedOn w:val="75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7" w:customStyle="1">
    <w:name w:val="List Table 4 - Accent 4"/>
    <w:basedOn w:val="75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8" w:customStyle="1">
    <w:name w:val="List Table 4 - Accent 5"/>
    <w:basedOn w:val="75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9" w:customStyle="1">
    <w:name w:val="List Table 4 - Accent 6"/>
    <w:basedOn w:val="75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0"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5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5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5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5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5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5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5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9" w:customStyle="1">
    <w:name w:val="List Table 6 Colorful - Accent 2"/>
    <w:basedOn w:val="75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0" w:customStyle="1">
    <w:name w:val="List Table 6 Colorful - Accent 3"/>
    <w:basedOn w:val="75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1" w:customStyle="1">
    <w:name w:val="List Table 6 Colorful - Accent 4"/>
    <w:basedOn w:val="75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2" w:customStyle="1">
    <w:name w:val="List Table 6 Colorful - Accent 5"/>
    <w:basedOn w:val="75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3" w:customStyle="1">
    <w:name w:val="List Table 6 Colorful - Accent 6"/>
    <w:basedOn w:val="75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4"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5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5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5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5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5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5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5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Bordered &amp; Lined - Accent 2"/>
    <w:basedOn w:val="75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Bordered &amp; Lined - Accent 3"/>
    <w:basedOn w:val="75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Bordered &amp; Lined - Accent 4"/>
    <w:basedOn w:val="75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Bordered &amp; Lined - Accent 5"/>
    <w:basedOn w:val="75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Bordered &amp; Lined - Accent 6"/>
    <w:basedOn w:val="75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7" w:customStyle="1">
    <w:name w:val="Bordered - Accent 2"/>
    <w:basedOn w:val="7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8" w:customStyle="1">
    <w:name w:val="Bordered - Accent 3"/>
    <w:basedOn w:val="7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9" w:customStyle="1">
    <w:name w:val="Bordered - Accent 4"/>
    <w:basedOn w:val="7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0" w:customStyle="1">
    <w:name w:val="Bordered - Accent 5"/>
    <w:basedOn w:val="7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1" w:customStyle="1">
    <w:name w:val="Bordered - Accent 6"/>
    <w:basedOn w:val="7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2" w:customStyle="1">
    <w:name w:val="Footnote Text Char"/>
    <w:link w:val="766"/>
    <w:uiPriority w:val="99"/>
    <w:qFormat/>
    <w:rPr>
      <w:sz w:val="18"/>
    </w:rPr>
  </w:style>
  <w:style w:type="character" w:styleId="923" w:customStyle="1">
    <w:name w:val="Endnote Text Char"/>
    <w:link w:val="760"/>
    <w:uiPriority w:val="99"/>
    <w:qFormat/>
    <w:rPr>
      <w:sz w:val="20"/>
    </w:rPr>
  </w:style>
  <w:style w:type="paragraph" w:styleId="924" w:customStyle="1">
    <w:name w:val="TOC Heading"/>
    <w:uiPriority w:val="39"/>
    <w:unhideWhenUsed/>
    <w:qFormat/>
    <w:rPr>
      <w:rFonts w:hint="default" w:asciiTheme="minorHAnsi" w:hAnsiTheme="minorHAnsi" w:eastAsiaTheme="minorEastAsia" w:cstheme="minorBidi"/>
    </w:rPr>
  </w:style>
  <w:style w:type="paragraph" w:styleId="925" w:customStyle="1">
    <w:name w:val="正文文本缩进11"/>
    <w:basedOn w:val="741"/>
    <w:next w:val="741"/>
    <w:uiPriority w:val="0"/>
    <w:qFormat/>
    <w:pPr>
      <w:ind w:firstLine="225"/>
    </w:pPr>
    <w:rPr>
      <w:rFonts w:ascii="仿宋_GB2312" w:eastAsia="仿宋_GB2312"/>
      <w:sz w:val="32"/>
    </w:rPr>
  </w:style>
  <w:style w:type="paragraph" w:styleId="926" w:customStyle="1">
    <w:name w:val="普通正文"/>
    <w:basedOn w:val="741"/>
    <w:uiPriority w:val="0"/>
    <w:qFormat/>
    <w:pPr>
      <w:ind w:firstLine="480"/>
      <w:spacing w:before="120" w:after="120" w:line="360" w:lineRule="auto"/>
    </w:pPr>
    <w:rPr>
      <w:rFonts w:ascii="Arial" w:hAnsi="Arial"/>
      <w:sz w:val="24"/>
      <w:szCs w:val="24"/>
    </w:rPr>
  </w:style>
  <w:style w:type="paragraph" w:styleId="927" w:customStyle="1">
    <w:name w:val="正文空2字"/>
    <w:basedOn w:val="928"/>
    <w:uiPriority w:val="99"/>
    <w:qFormat/>
    <w:pPr>
      <w:ind w:firstLine="640"/>
      <w:spacing w:line="560" w:lineRule="exact"/>
      <w:widowControl w:val="off"/>
    </w:pPr>
    <w:rPr>
      <w:rFonts w:ascii="仿宋_GB2312" w:hAnsi="仿宋_GB2312" w:cs="仿宋_GB2312"/>
      <w:lang w:val="zh-TW"/>
    </w:rPr>
  </w:style>
  <w:style w:type="paragraph" w:styleId="928" w:customStyle="1">
    <w:name w:val="左对齐正文"/>
    <w:uiPriority w:val="99"/>
    <w:qFormat/>
    <w:rPr>
      <w:rFonts w:hint="default" w:ascii="Calibri" w:hAnsi="Calibri" w:eastAsia="仿宋_GB2312" w:cs="Calibri"/>
      <w:sz w:val="32"/>
      <w:szCs w:val="32"/>
      <w:lang w:val="en-US" w:eastAsia="zh-CN" w:bidi="ar-SA"/>
    </w:rPr>
  </w:style>
  <w:style w:type="paragraph" w:styleId="929" w:customStyle="1">
    <w:name w:val="首行缩进"/>
    <w:basedOn w:val="741"/>
    <w:uiPriority w:val="0"/>
    <w:qFormat/>
    <w:pPr>
      <w:ind w:firstLine="480"/>
    </w:pPr>
    <w:rPr>
      <w:rFonts w:ascii="Times New Roman" w:hAnsi="Times New Roman" w:cs="Times New Roman"/>
      <w:lang w:val="zh-CN"/>
    </w:rPr>
  </w:style>
  <w:style w:type="table" w:styleId="930" w:customStyle="1">
    <w:name w:val="网格型1"/>
    <w:basedOn w:val="931"/>
    <w:uiPriority w:val="0"/>
    <w:qFormat/>
    <w:pPr>
      <w:jc w:val="both"/>
      <w:widowControl w:val="off"/>
    </w:pPr>
    <w:tblPr/>
  </w:style>
  <w:style w:type="table" w:styleId="931" w:customStyle="1">
    <w:name w:val="普通表格1"/>
    <w:uiPriority w:val="99"/>
    <w:unhideWhenUsed/>
    <w:qFormat/>
    <w:tblPr/>
  </w:style>
  <w:style w:type="paragraph" w:styleId="93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Char"/>
    <w:basedOn w:val="741"/>
    <w:uiPriority w:val="0"/>
    <w:qFormat/>
    <w:pPr>
      <w:ind w:firstLine="200"/>
      <w:tabs>
        <w:tab w:val="left" w:pos="360" w:leader="none"/>
      </w:tabs>
    </w:pPr>
    <w:rPr>
      <w:sz w:val="28"/>
      <w:szCs w:val="30"/>
    </w:rPr>
  </w:style>
  <w:style w:type="paragraph" w:styleId="936" w:customStyle="1">
    <w:name w:val="Normal_12_0"/>
    <w:uiPriority w:val="0"/>
    <w:qFormat/>
    <w:rPr>
      <w:rFonts w:hint="default" w:ascii="黑体" w:hAnsi="黑体" w:eastAsia="黑体" w:cs="Times New Roman"/>
      <w:b/>
      <w:sz w:val="32"/>
      <w:szCs w:val="24"/>
      <w:lang w:val="en-US" w:eastAsia="zh-CN" w:bidi="ar-SA"/>
    </w:rPr>
  </w:style>
  <w:style w:type="paragraph" w:styleId="937" w:customStyle="1">
    <w:name w:val="正文_12_0_0_0_0"/>
    <w:basedOn w:val="741"/>
    <w:uiPriority w:val="0"/>
    <w:qFormat/>
    <w:rPr>
      <w:rFonts w:ascii="Times New Roman" w:hAnsi="Times New Roman"/>
      <w:szCs w:val="24"/>
    </w:rPr>
  </w:style>
  <w:style w:type="paragraph" w:styleId="93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4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Normal_20"/>
    <w:uiPriority w:val="0"/>
    <w:qFormat/>
    <w:rPr>
      <w:rFonts w:hint="default" w:ascii="黑体" w:hAnsi="黑体" w:eastAsia="黑体" w:cs="黑体"/>
      <w:b/>
      <w:sz w:val="32"/>
      <w:szCs w:val="24"/>
      <w:lang w:val="en-US" w:eastAsia="zh-CN" w:bidi="ar-SA"/>
    </w:rPr>
  </w:style>
  <w:style w:type="paragraph" w:styleId="9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43" w:customStyle="1">
    <w:name w:val="font11"/>
    <w:basedOn w:val="751"/>
    <w:uiPriority w:val="0"/>
    <w:qFormat/>
    <w:rPr>
      <w:rFonts w:hint="eastAsia" w:ascii="宋体" w:hAnsi="宋体" w:eastAsia="宋体" w:cs="宋体"/>
      <w:color w:val="000000"/>
      <w:sz w:val="20"/>
      <w:szCs w:val="20"/>
      <w:u w:val="none"/>
    </w:rPr>
  </w:style>
  <w:style w:type="character" w:styleId="944" w:customStyle="1">
    <w:name w:val="font01"/>
    <w:basedOn w:val="751"/>
    <w:uiPriority w:val="0"/>
    <w:qFormat/>
    <w:rPr>
      <w:rFonts w:hint="default" w:ascii="Arial" w:hAnsi="Arial" w:cs="Arial"/>
      <w:color w:val="000000"/>
      <w:sz w:val="20"/>
      <w:szCs w:val="20"/>
      <w:u w:val="none"/>
    </w:rPr>
  </w:style>
  <w:style w:type="paragraph" w:styleId="945" w:customStyle="1">
    <w:name w:val="普通(网站)1"/>
    <w:basedOn w:val="741"/>
    <w:uiPriority w:val="0"/>
    <w:qFormat/>
    <w:pPr>
      <w:jc w:val="left"/>
      <w:spacing w:beforeAutospacing="1" w:afterAutospacing="1"/>
    </w:pPr>
    <w:rPr>
      <w:sz w:val="24"/>
    </w:rPr>
  </w:style>
  <w:style w:type="numbering" w:styleId="13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11</cp:revision>
  <dcterms:created xsi:type="dcterms:W3CDTF">2022-10-10T04:43:00Z</dcterms:created>
  <dcterms:modified xsi:type="dcterms:W3CDTF">2026-07-03T06:58:43Z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9E14DD79BB4B411B9EC3FEB089CDB689_13</vt:lpwstr>
  </property>
  <property fmtid="{D5CDD505-2E9C-101B-9397-08002B2CF9AE}" pid="4" name="KSOTemplateDocerSaveRecord">
    <vt:lpwstr>eyJoZGlkIjoiODAyYjE2NTJhMzMzODg2NGNjYWU0OWNkMTJiN2E5MWYiLCJ1c2VySWQiOiIxOTQ5NzAzNjMifQ==</vt:lpwstr>
  </property>
</Properties>
</file>