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19DDD">
      <w:pPr>
        <w:pStyle w:val="15"/>
        <w:ind w:firstLine="0"/>
        <w:rPr>
          <w:rFonts w:hint="eastAsia" w:ascii="宋体" w:hAnsi="宋体" w:cs="宋体"/>
          <w:b/>
          <w:bCs/>
          <w:color w:val="000000"/>
          <w:sz w:val="84"/>
          <w:highlight w:val="white"/>
        </w:rPr>
      </w:pPr>
    </w:p>
    <w:p w14:paraId="3460B8C8">
      <w:pPr>
        <w:pStyle w:val="15"/>
        <w:ind w:firstLine="0"/>
        <w:jc w:val="center"/>
        <w:rPr>
          <w:rFonts w:hint="eastAsia" w:ascii="宋体" w:hAnsi="宋体" w:cs="宋体"/>
          <w:b/>
          <w:bCs/>
          <w:color w:val="000000"/>
          <w:sz w:val="84"/>
          <w:highlight w:val="white"/>
        </w:rPr>
      </w:pPr>
      <w:r>
        <w:rPr>
          <w:rFonts w:hint="eastAsia" w:ascii="宋体" w:hAnsi="宋体" w:cs="宋体"/>
          <w:b/>
          <w:bCs/>
          <w:color w:val="000000"/>
          <w:sz w:val="84"/>
          <w:highlight w:val="white"/>
        </w:rPr>
        <w:t>招　标　文　件</w:t>
      </w:r>
    </w:p>
    <w:p w14:paraId="1DEF8AAC">
      <w:pPr>
        <w:pStyle w:val="15"/>
        <w:ind w:firstLine="0"/>
        <w:rPr>
          <w:rFonts w:hint="eastAsia" w:ascii="宋体" w:hAnsi="宋体" w:cs="宋体"/>
          <w:b/>
          <w:bCs/>
          <w:color w:val="000000"/>
          <w:sz w:val="32"/>
          <w:highlight w:val="white"/>
        </w:rPr>
      </w:pPr>
    </w:p>
    <w:p w14:paraId="77C1E44C">
      <w:pPr>
        <w:pStyle w:val="15"/>
        <w:ind w:firstLine="0"/>
        <w:rPr>
          <w:rFonts w:hint="eastAsia" w:ascii="宋体" w:hAnsi="宋体" w:cs="宋体"/>
          <w:b/>
          <w:bCs/>
          <w:color w:val="000000"/>
          <w:sz w:val="32"/>
          <w:highlight w:val="white"/>
        </w:rPr>
      </w:pPr>
    </w:p>
    <w:p w14:paraId="1189701B">
      <w:pPr>
        <w:pStyle w:val="15"/>
        <w:ind w:firstLine="0"/>
        <w:jc w:val="center"/>
        <w:rPr>
          <w:rFonts w:hint="eastAsia" w:ascii="宋体" w:hAnsi="宋体" w:cs="宋体"/>
          <w:b/>
          <w:bCs/>
          <w:color w:val="000000"/>
          <w:sz w:val="32"/>
          <w:highlight w:val="white"/>
        </w:rPr>
      </w:pPr>
      <w:r>
        <w:rPr>
          <w:rFonts w:hint="eastAsia" w:ascii="宋体" w:hAnsi="宋体" w:cs="宋体"/>
          <w:b/>
          <w:bCs/>
          <w:color w:val="000000"/>
          <w:sz w:val="32"/>
          <w:highlight w:val="white"/>
        </w:rPr>
        <w:t>项目名称：泗阳县融媒体中心全媒体播出系统全面高清化、智慧化建设采购项目</w:t>
      </w:r>
    </w:p>
    <w:p w14:paraId="63CD91ED">
      <w:pPr>
        <w:jc w:val="center"/>
        <w:rPr>
          <w:rFonts w:hint="eastAsia" w:ascii="宋体" w:hAnsi="宋体" w:cs="宋体"/>
          <w:b/>
          <w:color w:val="000000"/>
          <w:sz w:val="30"/>
          <w:szCs w:val="30"/>
          <w:highlight w:val="white"/>
        </w:rPr>
      </w:pPr>
      <w:r>
        <w:rPr>
          <w:rFonts w:hint="eastAsia" w:ascii="宋体" w:hAnsi="宋体" w:cs="宋体"/>
          <w:b/>
          <w:bCs/>
          <w:color w:val="000000"/>
          <w:sz w:val="32"/>
          <w:highlight w:val="white"/>
        </w:rPr>
        <w:t>项目编号：JSZC-321323-KYJL-G2026-0008</w:t>
      </w:r>
    </w:p>
    <w:p w14:paraId="2645B618">
      <w:pPr>
        <w:ind w:left="2100"/>
        <w:rPr>
          <w:rFonts w:hint="eastAsia" w:ascii="宋体" w:hAnsi="宋体" w:cs="宋体"/>
          <w:b/>
          <w:color w:val="000000"/>
          <w:sz w:val="30"/>
          <w:szCs w:val="30"/>
          <w:highlight w:val="white"/>
        </w:rPr>
      </w:pPr>
    </w:p>
    <w:p w14:paraId="5E16E8E6">
      <w:pPr>
        <w:ind w:left="2100"/>
        <w:rPr>
          <w:rFonts w:hint="eastAsia" w:ascii="宋体" w:hAnsi="宋体" w:cs="宋体"/>
          <w:b/>
          <w:color w:val="000000"/>
          <w:sz w:val="30"/>
          <w:szCs w:val="30"/>
          <w:highlight w:val="white"/>
        </w:rPr>
      </w:pPr>
      <w:r>
        <w:rPr>
          <w:rFonts w:hint="eastAsia" w:ascii="宋体" w:hAnsi="宋体" w:cs="宋体"/>
          <w:b/>
          <w:color w:val="000000"/>
          <w:sz w:val="30"/>
          <w:szCs w:val="30"/>
          <w:highlight w:val="white"/>
        </w:rPr>
        <w:t>（货物类项目，</w:t>
      </w:r>
      <w:r>
        <w:rPr>
          <w:rFonts w:hint="eastAsia" w:ascii="宋体" w:hAnsi="宋体" w:cs="宋体"/>
          <w:b/>
          <w:color w:val="000000"/>
          <w:sz w:val="30"/>
          <w:szCs w:val="30"/>
          <w:highlight w:val="white"/>
          <w:u w:val="single"/>
        </w:rPr>
        <w:t xml:space="preserve"> 否 </w:t>
      </w:r>
      <w:r>
        <w:rPr>
          <w:rFonts w:hint="eastAsia" w:ascii="宋体" w:hAnsi="宋体" w:cs="宋体"/>
          <w:b/>
          <w:color w:val="000000"/>
          <w:sz w:val="30"/>
          <w:szCs w:val="30"/>
          <w:highlight w:val="white"/>
        </w:rPr>
        <w:t>专门面向中小企业）</w:t>
      </w:r>
    </w:p>
    <w:p w14:paraId="3FEA12E8">
      <w:pPr>
        <w:pStyle w:val="15"/>
        <w:spacing w:before="0" w:after="0"/>
        <w:ind w:firstLine="0"/>
        <w:rPr>
          <w:rFonts w:hint="eastAsia" w:ascii="宋体" w:hAnsi="宋体" w:cs="宋体"/>
          <w:color w:val="000000"/>
          <w:highlight w:val="white"/>
        </w:rPr>
      </w:pPr>
    </w:p>
    <w:p w14:paraId="512C56B5">
      <w:pPr>
        <w:pStyle w:val="15"/>
        <w:spacing w:before="0" w:after="0"/>
        <w:ind w:firstLine="0"/>
        <w:rPr>
          <w:rFonts w:hint="eastAsia" w:ascii="宋体" w:hAnsi="宋体" w:cs="宋体"/>
          <w:color w:val="000000"/>
          <w:highlight w:val="white"/>
        </w:rPr>
      </w:pPr>
    </w:p>
    <w:p w14:paraId="4AEE9C87">
      <w:pPr>
        <w:pStyle w:val="15"/>
        <w:spacing w:before="0" w:after="0"/>
        <w:ind w:firstLine="0"/>
        <w:rPr>
          <w:rFonts w:hint="eastAsia" w:ascii="宋体" w:hAnsi="宋体" w:cs="宋体"/>
          <w:color w:val="000000"/>
          <w:highlight w:val="white"/>
        </w:rPr>
      </w:pPr>
    </w:p>
    <w:p w14:paraId="6C725055">
      <w:pPr>
        <w:pStyle w:val="15"/>
        <w:spacing w:before="0" w:after="0"/>
        <w:ind w:firstLine="0"/>
        <w:rPr>
          <w:rFonts w:hint="eastAsia" w:ascii="宋体" w:hAnsi="宋体" w:cs="宋体"/>
          <w:color w:val="000000"/>
          <w:highlight w:val="white"/>
        </w:rPr>
      </w:pPr>
    </w:p>
    <w:p w14:paraId="5C7D268F">
      <w:pPr>
        <w:pStyle w:val="15"/>
        <w:spacing w:before="0" w:after="0"/>
        <w:ind w:firstLine="0"/>
        <w:rPr>
          <w:rFonts w:hint="eastAsia" w:ascii="宋体" w:hAnsi="宋体" w:cs="宋体"/>
          <w:color w:val="000000"/>
          <w:highlight w:val="white"/>
        </w:rPr>
      </w:pPr>
    </w:p>
    <w:p w14:paraId="7BC9B157">
      <w:pPr>
        <w:pStyle w:val="15"/>
        <w:spacing w:before="0" w:after="0"/>
        <w:ind w:firstLine="0"/>
        <w:rPr>
          <w:rFonts w:hint="eastAsia" w:ascii="宋体" w:hAnsi="宋体" w:cs="宋体"/>
          <w:color w:val="000000"/>
          <w:highlight w:val="white"/>
        </w:rPr>
      </w:pPr>
    </w:p>
    <w:p w14:paraId="1DBE2B3C">
      <w:pPr>
        <w:pStyle w:val="15"/>
        <w:spacing w:before="0" w:after="0"/>
        <w:ind w:firstLine="0"/>
        <w:rPr>
          <w:rFonts w:hint="eastAsia" w:ascii="宋体" w:hAnsi="宋体" w:cs="宋体"/>
          <w:color w:val="000000"/>
          <w:highlight w:val="white"/>
        </w:rPr>
      </w:pPr>
    </w:p>
    <w:p w14:paraId="5C6F857C">
      <w:pPr>
        <w:pStyle w:val="15"/>
        <w:ind w:firstLine="1690"/>
        <w:jc w:val="both"/>
        <w:rPr>
          <w:rFonts w:hint="eastAsia" w:ascii="宋体" w:hAnsi="宋体" w:cs="宋体"/>
          <w:b/>
          <w:bCs/>
          <w:color w:val="000000"/>
          <w:sz w:val="32"/>
          <w:highlight w:val="white"/>
          <w:u w:val="single"/>
        </w:rPr>
      </w:pPr>
      <w:r>
        <w:rPr>
          <w:rFonts w:hint="eastAsia" w:ascii="宋体" w:hAnsi="宋体" w:cs="宋体"/>
          <w:b/>
          <w:bCs/>
          <w:color w:val="000000"/>
          <w:sz w:val="32"/>
          <w:highlight w:val="white"/>
        </w:rPr>
        <w:t>采购人：</w:t>
      </w:r>
      <w:r>
        <w:rPr>
          <w:rFonts w:hint="eastAsia" w:ascii="宋体" w:hAnsi="宋体" w:cs="宋体"/>
          <w:b/>
          <w:bCs/>
          <w:color w:val="000000"/>
          <w:sz w:val="32"/>
          <w:highlight w:val="white"/>
          <w:u w:val="single"/>
        </w:rPr>
        <w:t xml:space="preserve">    泗阳县融媒体中心    </w:t>
      </w:r>
    </w:p>
    <w:p w14:paraId="14421B4A">
      <w:pPr>
        <w:pStyle w:val="15"/>
        <w:ind w:firstLine="1606"/>
        <w:jc w:val="both"/>
        <w:rPr>
          <w:rFonts w:hint="eastAsia" w:ascii="宋体" w:hAnsi="宋体" w:cs="宋体"/>
          <w:b/>
          <w:bCs/>
          <w:color w:val="000000"/>
          <w:sz w:val="32"/>
          <w:highlight w:val="white"/>
          <w:u w:val="single"/>
        </w:rPr>
      </w:pPr>
      <w:r>
        <w:rPr>
          <w:rFonts w:hint="eastAsia" w:ascii="宋体" w:hAnsi="宋体" w:cs="宋体"/>
          <w:b/>
          <w:bCs/>
          <w:color w:val="000000"/>
          <w:sz w:val="32"/>
          <w:highlight w:val="white"/>
        </w:rPr>
        <w:t>采购代理机构：</w:t>
      </w:r>
      <w:r>
        <w:rPr>
          <w:rFonts w:hint="eastAsia" w:ascii="宋体" w:hAnsi="宋体" w:cs="宋体"/>
          <w:b/>
          <w:bCs/>
          <w:color w:val="000000"/>
          <w:sz w:val="32"/>
          <w:highlight w:val="white"/>
          <w:u w:val="single"/>
        </w:rPr>
        <w:t xml:space="preserve">江苏开源工程咨询监理有限公司 </w:t>
      </w:r>
    </w:p>
    <w:p w14:paraId="03CE3B1C">
      <w:pPr>
        <w:pStyle w:val="15"/>
        <w:jc w:val="center"/>
        <w:rPr>
          <w:rFonts w:hint="eastAsia" w:ascii="宋体" w:hAnsi="宋体" w:cs="宋体"/>
          <w:b/>
          <w:color w:val="000000"/>
          <w:sz w:val="44"/>
          <w:highlight w:val="white"/>
        </w:rPr>
      </w:pPr>
      <w:r>
        <w:rPr>
          <w:rFonts w:hint="eastAsia" w:ascii="宋体" w:hAnsi="宋体" w:cs="宋体"/>
          <w:b/>
          <w:bCs/>
          <w:color w:val="000000"/>
          <w:sz w:val="32"/>
          <w:highlight w:val="white"/>
          <w:u w:val="single"/>
        </w:rPr>
        <w:t>2026年</w:t>
      </w:r>
      <w:r>
        <w:rPr>
          <w:rFonts w:hint="eastAsia" w:ascii="宋体" w:hAnsi="宋体" w:cs="宋体"/>
          <w:b/>
          <w:bCs/>
          <w:color w:val="000000"/>
          <w:sz w:val="32"/>
          <w:highlight w:val="white"/>
          <w:u w:val="single"/>
          <w:lang w:val="en-US" w:eastAsia="zh-CN"/>
        </w:rPr>
        <w:t>6</w:t>
      </w:r>
      <w:r>
        <w:rPr>
          <w:rFonts w:hint="eastAsia" w:ascii="宋体" w:hAnsi="宋体" w:cs="宋体"/>
          <w:b/>
          <w:bCs/>
          <w:color w:val="000000"/>
          <w:sz w:val="32"/>
          <w:highlight w:val="white"/>
          <w:u w:val="single"/>
        </w:rPr>
        <w:t>月2</w:t>
      </w:r>
      <w:r>
        <w:rPr>
          <w:rFonts w:hint="eastAsia" w:ascii="宋体" w:hAnsi="宋体" w:cs="宋体"/>
          <w:b/>
          <w:bCs/>
          <w:color w:val="000000"/>
          <w:sz w:val="32"/>
          <w:highlight w:val="white"/>
          <w:u w:val="single"/>
          <w:lang w:val="en-US" w:eastAsia="zh-CN"/>
        </w:rPr>
        <w:t>9</w:t>
      </w:r>
      <w:r>
        <w:rPr>
          <w:rFonts w:hint="eastAsia" w:ascii="宋体" w:hAnsi="宋体" w:cs="宋体"/>
          <w:b/>
          <w:bCs/>
          <w:color w:val="000000"/>
          <w:sz w:val="32"/>
          <w:highlight w:val="white"/>
          <w:u w:val="single"/>
        </w:rPr>
        <w:t>日</w:t>
      </w:r>
      <w:r>
        <w:rPr>
          <w:rFonts w:hint="eastAsia" w:ascii="宋体" w:hAnsi="宋体" w:cs="宋体"/>
          <w:color w:val="000000"/>
          <w:highlight w:val="white"/>
        </w:rPr>
        <w:br w:type="page" w:clear="all"/>
      </w:r>
      <w:r>
        <w:rPr>
          <w:rFonts w:hint="eastAsia" w:ascii="宋体" w:hAnsi="宋体" w:cs="宋体"/>
          <w:color w:val="000000"/>
          <w:highlight w:val="white"/>
        </w:rPr>
        <w:t xml:space="preserve"> </w:t>
      </w:r>
      <w:r>
        <w:rPr>
          <w:rFonts w:hint="eastAsia" w:ascii="宋体" w:hAnsi="宋体" w:cs="宋体"/>
          <w:b/>
          <w:color w:val="000000"/>
          <w:sz w:val="44"/>
          <w:highlight w:val="white"/>
        </w:rPr>
        <w:t>总  目  录</w:t>
      </w:r>
    </w:p>
    <w:p w14:paraId="092B09CF">
      <w:pPr>
        <w:spacing w:line="480" w:lineRule="auto"/>
        <w:rPr>
          <w:rFonts w:hint="eastAsia" w:ascii="宋体" w:hAnsi="宋体" w:cs="宋体"/>
          <w:b/>
          <w:color w:val="000000"/>
          <w:sz w:val="28"/>
          <w:highlight w:val="white"/>
        </w:rPr>
      </w:pPr>
    </w:p>
    <w:p w14:paraId="7D25DAB5">
      <w:pPr>
        <w:numPr>
          <w:ilvl w:val="0"/>
          <w:numId w:val="1"/>
        </w:numPr>
        <w:spacing w:line="480" w:lineRule="auto"/>
        <w:outlineLvl w:val="0"/>
        <w:rPr>
          <w:rFonts w:hint="eastAsia" w:ascii="宋体" w:hAnsi="宋体" w:cs="宋体"/>
          <w:color w:val="000000"/>
          <w:sz w:val="32"/>
          <w:highlight w:val="white"/>
        </w:rPr>
      </w:pPr>
      <w:r>
        <w:rPr>
          <w:rFonts w:hint="eastAsia" w:ascii="宋体" w:hAnsi="宋体" w:cs="宋体"/>
          <w:color w:val="000000"/>
          <w:sz w:val="36"/>
          <w:highlight w:val="white"/>
        </w:rPr>
        <w:t xml:space="preserve">投标邀请 </w:t>
      </w:r>
    </w:p>
    <w:p w14:paraId="55EE1674">
      <w:pPr>
        <w:numPr>
          <w:ilvl w:val="0"/>
          <w:numId w:val="1"/>
        </w:numPr>
        <w:spacing w:line="480" w:lineRule="auto"/>
        <w:outlineLvl w:val="0"/>
        <w:rPr>
          <w:rFonts w:hint="eastAsia" w:ascii="宋体" w:hAnsi="宋体" w:cs="宋体"/>
          <w:color w:val="000000"/>
          <w:sz w:val="36"/>
          <w:highlight w:val="white"/>
        </w:rPr>
      </w:pPr>
      <w:r>
        <w:rPr>
          <w:rFonts w:hint="eastAsia" w:ascii="宋体" w:hAnsi="宋体" w:cs="宋体"/>
          <w:bCs/>
          <w:color w:val="000000"/>
          <w:sz w:val="36"/>
          <w:szCs w:val="36"/>
          <w:highlight w:val="white"/>
        </w:rPr>
        <w:t>供应商须知</w:t>
      </w:r>
    </w:p>
    <w:p w14:paraId="35FBBA70">
      <w:pPr>
        <w:numPr>
          <w:ilvl w:val="0"/>
          <w:numId w:val="1"/>
        </w:numPr>
        <w:spacing w:line="480" w:lineRule="auto"/>
        <w:outlineLvl w:val="0"/>
        <w:rPr>
          <w:rFonts w:hint="eastAsia" w:ascii="宋体" w:hAnsi="宋体" w:cs="宋体"/>
          <w:color w:val="000000"/>
          <w:sz w:val="36"/>
          <w:highlight w:val="white"/>
        </w:rPr>
      </w:pPr>
      <w:r>
        <w:rPr>
          <w:rFonts w:hint="eastAsia" w:ascii="宋体" w:hAnsi="宋体" w:cs="宋体"/>
          <w:color w:val="000000"/>
          <w:sz w:val="36"/>
          <w:highlight w:val="white"/>
        </w:rPr>
        <w:t>合同文本</w:t>
      </w:r>
    </w:p>
    <w:p w14:paraId="6285CE01">
      <w:pPr>
        <w:numPr>
          <w:ilvl w:val="0"/>
          <w:numId w:val="1"/>
        </w:numPr>
        <w:spacing w:line="480" w:lineRule="auto"/>
        <w:outlineLvl w:val="0"/>
        <w:rPr>
          <w:rFonts w:hint="eastAsia" w:ascii="宋体" w:hAnsi="宋体" w:cs="宋体"/>
          <w:color w:val="000000"/>
          <w:sz w:val="36"/>
          <w:highlight w:val="white"/>
        </w:rPr>
      </w:pPr>
      <w:r>
        <w:rPr>
          <w:rFonts w:hint="eastAsia" w:ascii="宋体" w:hAnsi="宋体" w:cs="宋体"/>
          <w:color w:val="000000"/>
          <w:sz w:val="36"/>
          <w:highlight w:val="white"/>
        </w:rPr>
        <w:t>采购需求</w:t>
      </w:r>
    </w:p>
    <w:p w14:paraId="20541392">
      <w:pPr>
        <w:numPr>
          <w:ilvl w:val="0"/>
          <w:numId w:val="1"/>
        </w:numPr>
        <w:spacing w:line="480" w:lineRule="auto"/>
        <w:outlineLvl w:val="0"/>
        <w:rPr>
          <w:rFonts w:hint="eastAsia" w:ascii="宋体" w:hAnsi="宋体" w:cs="宋体"/>
          <w:color w:val="000000"/>
          <w:sz w:val="36"/>
          <w:highlight w:val="white"/>
        </w:rPr>
      </w:pPr>
      <w:r>
        <w:rPr>
          <w:rFonts w:hint="eastAsia" w:ascii="宋体" w:hAnsi="宋体" w:cs="宋体"/>
          <w:bCs/>
          <w:color w:val="000000"/>
          <w:sz w:val="36"/>
          <w:szCs w:val="36"/>
          <w:highlight w:val="white"/>
        </w:rPr>
        <w:t>评标方法与评标标准</w:t>
      </w:r>
    </w:p>
    <w:p w14:paraId="4392B1A3">
      <w:pPr>
        <w:numPr>
          <w:ilvl w:val="0"/>
          <w:numId w:val="1"/>
        </w:numPr>
        <w:spacing w:line="480" w:lineRule="auto"/>
        <w:outlineLvl w:val="0"/>
        <w:rPr>
          <w:rFonts w:hint="eastAsia" w:ascii="宋体" w:hAnsi="宋体" w:cs="宋体"/>
          <w:color w:val="000000"/>
          <w:sz w:val="36"/>
          <w:highlight w:val="white"/>
        </w:rPr>
      </w:pPr>
      <w:r>
        <w:rPr>
          <w:rFonts w:hint="eastAsia" w:ascii="宋体" w:hAnsi="宋体" w:cs="宋体"/>
          <w:color w:val="000000"/>
          <w:sz w:val="36"/>
          <w:highlight w:val="white"/>
        </w:rPr>
        <w:t>投标文件格式</w:t>
      </w:r>
    </w:p>
    <w:p w14:paraId="76135994"/>
    <w:p w14:paraId="58BA7432"/>
    <w:p w14:paraId="3C55DD68"/>
    <w:p w14:paraId="56AAD843"/>
    <w:p w14:paraId="1D651E41"/>
    <w:p w14:paraId="526EAD78"/>
    <w:p w14:paraId="6D47D1AE"/>
    <w:p w14:paraId="3D688400"/>
    <w:p w14:paraId="3D76F121"/>
    <w:p w14:paraId="04BAA87C"/>
    <w:p w14:paraId="67077B91"/>
    <w:p w14:paraId="1A8AA0D5"/>
    <w:p w14:paraId="5789A6B5"/>
    <w:p w14:paraId="7E0EEBBA"/>
    <w:p w14:paraId="73E0DFB0"/>
    <w:p w14:paraId="56539784"/>
    <w:p w14:paraId="34098404"/>
    <w:p w14:paraId="58C582B5"/>
    <w:p w14:paraId="678CB896"/>
    <w:p w14:paraId="04832A06"/>
    <w:p w14:paraId="39226443"/>
    <w:p w14:paraId="32BDFE12"/>
    <w:p w14:paraId="7F614596"/>
    <w:p w14:paraId="217D9C7C"/>
    <w:p w14:paraId="63317E83"/>
    <w:p w14:paraId="6971F633"/>
    <w:p w14:paraId="2D32B5E2"/>
    <w:p w14:paraId="1BE42D7C"/>
    <w:p w14:paraId="13BC56DC">
      <w:pPr>
        <w:pStyle w:val="16"/>
        <w:rPr>
          <w:rFonts w:hint="eastAsia" w:ascii="宋体" w:hAnsi="宋体" w:eastAsia="宋体" w:cs="宋体"/>
          <w:bCs/>
          <w:color w:val="000000"/>
          <w:sz w:val="44"/>
          <w:szCs w:val="44"/>
          <w:highlight w:val="white"/>
        </w:rPr>
      </w:pPr>
      <w:r>
        <w:rPr>
          <w:rFonts w:hint="eastAsia" w:ascii="宋体" w:hAnsi="宋体" w:eastAsia="宋体" w:cs="宋体"/>
          <w:color w:val="000000"/>
          <w:sz w:val="44"/>
          <w:szCs w:val="44"/>
          <w:highlight w:val="white"/>
        </w:rPr>
        <w:t>第一章  投标邀请</w:t>
      </w:r>
    </w:p>
    <w:p w14:paraId="46735CF8">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受</w:t>
      </w:r>
      <w:r>
        <w:rPr>
          <w:rFonts w:hint="eastAsia" w:ascii="宋体" w:hAnsi="宋体" w:cs="宋体"/>
          <w:color w:val="000000"/>
          <w:sz w:val="24"/>
          <w:szCs w:val="24"/>
          <w:highlight w:val="white"/>
          <w:u w:val="single"/>
        </w:rPr>
        <w:t xml:space="preserve"> 泗阳县融媒体中心  </w:t>
      </w:r>
      <w:r>
        <w:rPr>
          <w:rFonts w:hint="eastAsia" w:ascii="宋体" w:hAnsi="宋体" w:cs="宋体"/>
          <w:color w:val="000000"/>
          <w:sz w:val="24"/>
          <w:szCs w:val="24"/>
          <w:highlight w:val="white"/>
        </w:rPr>
        <w:t>的委托，</w:t>
      </w:r>
      <w:r>
        <w:rPr>
          <w:rFonts w:hint="eastAsia" w:ascii="宋体" w:hAnsi="宋体" w:cs="宋体"/>
          <w:color w:val="000000"/>
          <w:sz w:val="24"/>
          <w:szCs w:val="24"/>
          <w:highlight w:val="white"/>
          <w:u w:val="single"/>
        </w:rPr>
        <w:t xml:space="preserve"> 江苏开源工程咨询监理有限公司 </w:t>
      </w:r>
      <w:r>
        <w:rPr>
          <w:rFonts w:hint="eastAsia" w:ascii="宋体" w:hAnsi="宋体" w:cs="宋体"/>
          <w:color w:val="000000"/>
          <w:sz w:val="24"/>
          <w:szCs w:val="24"/>
          <w:highlight w:val="white"/>
        </w:rPr>
        <w:t>就</w:t>
      </w:r>
      <w:r>
        <w:rPr>
          <w:rFonts w:hint="eastAsia" w:ascii="宋体" w:hAnsi="宋体" w:cs="宋体"/>
          <w:color w:val="000000"/>
          <w:sz w:val="24"/>
          <w:szCs w:val="24"/>
          <w:highlight w:val="white"/>
          <w:u w:val="single"/>
        </w:rPr>
        <w:t xml:space="preserve"> 泗阳县融媒体中心全媒体播出系统全面高清化、智慧化建设采购项目(JSZC-321323-KYJL-G2026-0008)</w:t>
      </w:r>
      <w:r>
        <w:rPr>
          <w:rFonts w:hint="eastAsia" w:ascii="宋体" w:hAnsi="宋体" w:cs="宋体"/>
          <w:color w:val="000000"/>
          <w:sz w:val="24"/>
          <w:szCs w:val="24"/>
          <w:highlight w:val="white"/>
        </w:rPr>
        <w:t>项目进行公开招标采购，欢迎符合条件的供应商投标。</w:t>
      </w:r>
    </w:p>
    <w:p w14:paraId="6A5B2381">
      <w:pPr>
        <w:pBdr>
          <w:top w:val="single" w:color="000000" w:sz="4" w:space="1"/>
          <w:left w:val="single" w:color="000000" w:sz="4" w:space="4"/>
          <w:bottom w:val="single" w:color="000000" w:sz="4" w:space="1"/>
          <w:right w:val="single" w:color="000000" w:sz="4" w:space="4"/>
        </w:pBd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项目概况</w:t>
      </w:r>
    </w:p>
    <w:p w14:paraId="509611FE">
      <w:pPr>
        <w:pBdr>
          <w:top w:val="single" w:color="000000" w:sz="4" w:space="1"/>
          <w:left w:val="single" w:color="000000" w:sz="4" w:space="4"/>
          <w:bottom w:val="single" w:color="000000" w:sz="4" w:space="1"/>
          <w:right w:val="single" w:color="000000" w:sz="4" w:space="4"/>
        </w:pBdr>
        <w:spacing w:line="560" w:lineRule="exact"/>
        <w:ind w:firstLine="480"/>
        <w:jc w:val="left"/>
        <w:rPr>
          <w:rFonts w:hint="eastAsia" w:ascii="宋体" w:hAnsi="宋体" w:cs="宋体"/>
          <w:color w:val="000000"/>
          <w:sz w:val="24"/>
          <w:szCs w:val="24"/>
          <w:highlight w:val="white"/>
        </w:rPr>
      </w:pPr>
      <w:r>
        <w:rPr>
          <w:rFonts w:hint="eastAsia" w:ascii="宋体" w:hAnsi="宋体" w:cs="宋体"/>
          <w:color w:val="000000"/>
          <w:sz w:val="24"/>
          <w:szCs w:val="24"/>
          <w:highlight w:val="white"/>
          <w:u w:val="single"/>
        </w:rPr>
        <w:t xml:space="preserve"> (泗阳县融媒体中心全媒体播出系统全面高清化、智慧化建设采购项目 JSZC-321323-KYJL-G2026-0008)</w:t>
      </w:r>
      <w:r>
        <w:rPr>
          <w:rFonts w:hint="eastAsia" w:ascii="宋体" w:hAnsi="宋体" w:cs="宋体"/>
          <w:color w:val="000000"/>
          <w:sz w:val="24"/>
          <w:szCs w:val="24"/>
          <w:highlight w:val="white"/>
        </w:rPr>
        <w:t xml:space="preserve"> 采购项目的潜在供应商应在“苏采云”系统（网址： http://jszfcg.jsczt.cn/） 获取招标文件，并于</w:t>
      </w:r>
      <w:r>
        <w:rPr>
          <w:rFonts w:hint="eastAsia" w:ascii="宋体" w:hAnsi="宋体" w:cs="宋体"/>
          <w:color w:val="000000"/>
          <w:sz w:val="24"/>
          <w:szCs w:val="24"/>
          <w:highlight w:val="white"/>
          <w:u w:val="single"/>
        </w:rPr>
        <w:t xml:space="preserve"> 2026</w:t>
      </w:r>
      <w:r>
        <w:rPr>
          <w:rFonts w:hint="eastAsia" w:ascii="宋体" w:hAnsi="宋体" w:cs="宋体"/>
          <w:bCs/>
          <w:color w:val="000000"/>
          <w:sz w:val="24"/>
          <w:szCs w:val="24"/>
          <w:highlight w:val="white"/>
          <w:u w:val="single"/>
        </w:rPr>
        <w:t>年</w:t>
      </w:r>
      <w:r>
        <w:rPr>
          <w:rFonts w:hint="eastAsia" w:ascii="宋体" w:hAnsi="宋体" w:cs="宋体"/>
          <w:bCs/>
          <w:color w:val="000000"/>
          <w:sz w:val="24"/>
          <w:szCs w:val="24"/>
          <w:highlight w:val="white"/>
          <w:u w:val="single"/>
          <w:lang w:val="en-US" w:eastAsia="zh-CN"/>
        </w:rPr>
        <w:t>07</w:t>
      </w:r>
      <w:r>
        <w:rPr>
          <w:rFonts w:hint="eastAsia" w:ascii="宋体" w:hAnsi="宋体" w:cs="宋体"/>
          <w:bCs/>
          <w:color w:val="000000"/>
          <w:sz w:val="24"/>
          <w:szCs w:val="24"/>
          <w:highlight w:val="white"/>
          <w:u w:val="single"/>
        </w:rPr>
        <w:t>月</w:t>
      </w:r>
      <w:r>
        <w:rPr>
          <w:rFonts w:hint="eastAsia" w:ascii="宋体" w:hAnsi="宋体" w:cs="宋体"/>
          <w:bCs/>
          <w:color w:val="000000"/>
          <w:sz w:val="24"/>
          <w:szCs w:val="24"/>
          <w:highlight w:val="white"/>
          <w:u w:val="single"/>
          <w:lang w:val="en-US" w:eastAsia="zh-CN"/>
        </w:rPr>
        <w:t>21</w:t>
      </w:r>
      <w:r>
        <w:rPr>
          <w:rFonts w:hint="eastAsia" w:ascii="宋体" w:hAnsi="宋体" w:cs="宋体"/>
          <w:bCs/>
          <w:color w:val="000000"/>
          <w:sz w:val="24"/>
          <w:szCs w:val="24"/>
          <w:highlight w:val="white"/>
          <w:u w:val="single"/>
        </w:rPr>
        <w:t>日09点00分（</w:t>
      </w:r>
      <w:r>
        <w:rPr>
          <w:rFonts w:hint="eastAsia" w:ascii="宋体" w:hAnsi="宋体" w:cs="宋体"/>
          <w:bCs/>
          <w:color w:val="000000"/>
          <w:sz w:val="24"/>
          <w:szCs w:val="24"/>
          <w:highlight w:val="white"/>
        </w:rPr>
        <w:t>北京时间）前递交投标文件</w:t>
      </w:r>
      <w:r>
        <w:rPr>
          <w:rFonts w:hint="eastAsia" w:ascii="宋体" w:hAnsi="宋体" w:cs="宋体"/>
          <w:color w:val="000000"/>
          <w:sz w:val="24"/>
          <w:szCs w:val="24"/>
          <w:highlight w:val="white"/>
        </w:rPr>
        <w:t>。</w:t>
      </w:r>
    </w:p>
    <w:p w14:paraId="1307C87B">
      <w:pPr>
        <w:pStyle w:val="17"/>
        <w:spacing w:before="145" w:after="145" w:line="360" w:lineRule="auto"/>
        <w:ind w:firstLine="498"/>
        <w:rPr>
          <w:rFonts w:hint="eastAsia" w:ascii="宋体" w:hAnsi="宋体" w:cs="宋体"/>
          <w:color w:val="000000"/>
          <w:highlight w:val="white"/>
        </w:rPr>
      </w:pPr>
      <w:bookmarkStart w:id="0" w:name="_Toc35393621"/>
      <w:bookmarkStart w:id="1" w:name="_Toc35393790"/>
      <w:bookmarkStart w:id="2" w:name="_Toc28359002"/>
      <w:bookmarkStart w:id="3" w:name="_Toc28359079"/>
      <w:bookmarkStart w:id="4" w:name="_Toc38985263"/>
      <w:bookmarkStart w:id="5" w:name="_Hlk24379207"/>
      <w:r>
        <w:rPr>
          <w:rFonts w:hint="eastAsia" w:ascii="宋体" w:hAnsi="宋体" w:cs="宋体"/>
          <w:color w:val="000000"/>
          <w:highlight w:val="white"/>
        </w:rPr>
        <w:t>一、项目基本情况</w:t>
      </w:r>
      <w:bookmarkEnd w:id="0"/>
      <w:bookmarkEnd w:id="1"/>
      <w:bookmarkEnd w:id="2"/>
      <w:bookmarkEnd w:id="3"/>
      <w:bookmarkEnd w:id="4"/>
    </w:p>
    <w:p w14:paraId="0014151D">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1.项目编号：JSZC-321323-KYJL-G2026-0008</w:t>
      </w:r>
    </w:p>
    <w:p w14:paraId="7041A4B8">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2.项目名称：</w:t>
      </w:r>
      <w:bookmarkEnd w:id="5"/>
      <w:r>
        <w:rPr>
          <w:rFonts w:hint="eastAsia" w:ascii="宋体" w:hAnsi="宋体" w:cs="宋体"/>
          <w:color w:val="000000"/>
          <w:sz w:val="24"/>
          <w:szCs w:val="24"/>
          <w:highlight w:val="white"/>
          <w:u w:val="single"/>
        </w:rPr>
        <w:t>泗阳县融媒体中心全媒体播出系统全面高清化、智慧化建设采购项目</w:t>
      </w:r>
    </w:p>
    <w:p w14:paraId="47324BAE">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3.预算金额：120万元；</w:t>
      </w:r>
    </w:p>
    <w:p w14:paraId="529DAF5E">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4.本项目</w:t>
      </w:r>
      <w:r>
        <w:rPr>
          <w:rFonts w:hint="eastAsia" w:ascii="宋体" w:hAnsi="宋体" w:cs="宋体"/>
          <w:color w:val="000000"/>
          <w:sz w:val="24"/>
          <w:szCs w:val="24"/>
          <w:highlight w:val="white"/>
          <w:u w:val="single"/>
        </w:rPr>
        <w:t xml:space="preserve"> 设定 </w:t>
      </w:r>
      <w:r>
        <w:rPr>
          <w:rFonts w:hint="eastAsia" w:ascii="宋体" w:hAnsi="宋体" w:cs="宋体"/>
          <w:color w:val="000000"/>
          <w:sz w:val="24"/>
          <w:szCs w:val="24"/>
          <w:highlight w:val="white"/>
        </w:rPr>
        <w:t>最高限价，</w:t>
      </w:r>
      <w:r>
        <w:rPr>
          <w:rFonts w:hint="eastAsia" w:ascii="宋体" w:hAnsi="宋体" w:cs="宋体"/>
          <w:sz w:val="24"/>
          <w:szCs w:val="24"/>
          <w:highlight w:val="white"/>
        </w:rPr>
        <w:t>最高限价为</w:t>
      </w:r>
      <w:r>
        <w:rPr>
          <w:rFonts w:hint="eastAsia" w:ascii="宋体" w:hAnsi="宋体" w:cs="宋体"/>
          <w:sz w:val="24"/>
          <w:highlight w:val="white"/>
        </w:rPr>
        <w:t>：</w:t>
      </w:r>
      <w:r>
        <w:rPr>
          <w:rFonts w:hint="eastAsia" w:ascii="宋体" w:hAnsi="宋体" w:cs="宋体"/>
          <w:sz w:val="24"/>
          <w:szCs w:val="24"/>
          <w:highlight w:val="white"/>
        </w:rPr>
        <w:t>120万元，高于此限价为无效标</w:t>
      </w:r>
      <w:r>
        <w:rPr>
          <w:rFonts w:hint="eastAsia" w:ascii="宋体" w:hAnsi="宋体" w:cs="宋体"/>
          <w:color w:val="000000"/>
          <w:sz w:val="24"/>
          <w:szCs w:val="24"/>
          <w:highlight w:val="white"/>
        </w:rPr>
        <w:t>。</w:t>
      </w:r>
    </w:p>
    <w:p w14:paraId="76643CA6">
      <w:pPr>
        <w:spacing w:line="360" w:lineRule="auto"/>
        <w:ind w:firstLine="480" w:firstLineChars="200"/>
        <w:jc w:val="left"/>
        <w:rPr>
          <w:rFonts w:hint="eastAsia" w:ascii="宋体" w:hAnsi="宋体" w:cs="宋体"/>
          <w:color w:val="000000"/>
          <w:sz w:val="24"/>
          <w:szCs w:val="24"/>
          <w:highlight w:val="white"/>
        </w:rPr>
      </w:pPr>
      <w:r>
        <w:rPr>
          <w:rFonts w:hint="eastAsia" w:ascii="宋体" w:hAnsi="宋体" w:cs="宋体"/>
          <w:color w:val="000000"/>
          <w:sz w:val="24"/>
          <w:szCs w:val="24"/>
          <w:highlight w:val="white"/>
        </w:rPr>
        <w:t>5.采购需求</w:t>
      </w:r>
      <w:r>
        <w:rPr>
          <w:rFonts w:hint="eastAsia" w:ascii="宋体" w:hAnsi="宋体" w:cs="宋体"/>
          <w:sz w:val="24"/>
          <w:szCs w:val="24"/>
          <w:highlight w:val="white"/>
        </w:rPr>
        <w:t>（简介）：</w:t>
      </w:r>
      <w:r>
        <w:rPr>
          <w:rFonts w:hint="eastAsia" w:asciiTheme="minorEastAsia" w:hAnsiTheme="minorEastAsia" w:eastAsiaTheme="minorEastAsia" w:cstheme="minorEastAsia"/>
          <w:sz w:val="24"/>
          <w:szCs w:val="24"/>
        </w:rPr>
        <w:t>本次采购内容为泗阳县融媒体中心全媒体播出系统全面高清化、智慧化建设采购项目,</w:t>
      </w:r>
      <w:r>
        <w:rPr>
          <w:rFonts w:hint="eastAsia" w:ascii="宋体" w:hAnsi="宋体" w:cs="宋体"/>
          <w:sz w:val="24"/>
          <w:szCs w:val="24"/>
          <w:highlight w:val="white"/>
        </w:rPr>
        <w:t>具体详见采购需求部分。</w:t>
      </w:r>
    </w:p>
    <w:p w14:paraId="2151DD5E">
      <w:pPr>
        <w:spacing w:line="48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6.合同履行期限</w:t>
      </w:r>
      <w:r>
        <w:rPr>
          <w:rFonts w:hint="eastAsia" w:asciiTheme="minorEastAsia" w:hAnsiTheme="minorEastAsia" w:eastAsiaTheme="minorEastAsia" w:cstheme="minorEastAsia"/>
          <w:sz w:val="24"/>
          <w:szCs w:val="24"/>
        </w:rPr>
        <w:t>：签订合同后60日历天内完成供货安装调试.</w:t>
      </w:r>
    </w:p>
    <w:p w14:paraId="2EF6DBAF">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7.本项目</w:t>
      </w:r>
      <w:r>
        <w:rPr>
          <w:rFonts w:hint="eastAsia" w:ascii="宋体" w:hAnsi="宋体" w:cs="宋体"/>
          <w:color w:val="000000"/>
          <w:sz w:val="24"/>
          <w:szCs w:val="24"/>
          <w:highlight w:val="white"/>
          <w:u w:val="single"/>
        </w:rPr>
        <w:t xml:space="preserve"> 不接受  </w:t>
      </w:r>
      <w:r>
        <w:rPr>
          <w:rFonts w:hint="eastAsia" w:ascii="宋体" w:hAnsi="宋体" w:cs="宋体"/>
          <w:color w:val="000000"/>
          <w:sz w:val="24"/>
          <w:szCs w:val="24"/>
          <w:highlight w:val="white"/>
        </w:rPr>
        <w:t>联合体投标。</w:t>
      </w:r>
    </w:p>
    <w:p w14:paraId="65AB093B">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8.本项目采购的标的对应的中小企业划分标准所属行业为</w:t>
      </w:r>
      <w:r>
        <w:rPr>
          <w:rFonts w:hint="eastAsia" w:ascii="宋体" w:hAnsi="宋体" w:cs="宋体"/>
          <w:color w:val="000000"/>
          <w:sz w:val="24"/>
          <w:szCs w:val="24"/>
          <w:highlight w:val="white"/>
          <w:u w:val="single"/>
        </w:rPr>
        <w:t>工业</w:t>
      </w:r>
      <w:r>
        <w:rPr>
          <w:rFonts w:hint="eastAsia" w:ascii="宋体" w:hAnsi="宋体" w:cs="宋体"/>
          <w:color w:val="000000"/>
          <w:sz w:val="24"/>
          <w:szCs w:val="24"/>
          <w:highlight w:val="white"/>
        </w:rPr>
        <w:t>。</w:t>
      </w:r>
    </w:p>
    <w:p w14:paraId="43B49787">
      <w:pPr>
        <w:pStyle w:val="17"/>
        <w:spacing w:before="145" w:after="145" w:line="360" w:lineRule="auto"/>
        <w:ind w:firstLine="498"/>
        <w:rPr>
          <w:rFonts w:hint="eastAsia" w:ascii="宋体" w:hAnsi="宋体" w:cs="宋体"/>
          <w:color w:val="000000"/>
          <w:highlight w:val="white"/>
        </w:rPr>
      </w:pPr>
      <w:bookmarkStart w:id="6" w:name="_Toc28359080"/>
      <w:bookmarkStart w:id="7" w:name="_Toc28359003"/>
      <w:bookmarkStart w:id="8" w:name="_Toc35393622"/>
      <w:bookmarkStart w:id="9" w:name="_Toc35393791"/>
      <w:bookmarkStart w:id="10" w:name="_Toc38985264"/>
      <w:r>
        <w:rPr>
          <w:rFonts w:hint="eastAsia" w:ascii="宋体" w:hAnsi="宋体" w:cs="宋体"/>
          <w:color w:val="000000"/>
          <w:highlight w:val="white"/>
        </w:rPr>
        <w:t>二、申请人的资格要求：</w:t>
      </w:r>
      <w:bookmarkEnd w:id="6"/>
      <w:bookmarkEnd w:id="7"/>
      <w:bookmarkEnd w:id="8"/>
      <w:bookmarkEnd w:id="9"/>
      <w:bookmarkEnd w:id="10"/>
    </w:p>
    <w:p w14:paraId="2C8A8833">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（一）通用资格要求</w:t>
      </w:r>
    </w:p>
    <w:p w14:paraId="2417C55D">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1.具备《中华人民共和国政府采购法》第二十二条第一款规定的6项条件（按要求提供投标声明及承诺函）。</w:t>
      </w:r>
    </w:p>
    <w:p w14:paraId="45988C53">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2.信用信息。信用信息查询渠道：“信用中国”网（www.creditchina.gov.cn）、“中国政府采购”网（www.ccgp.gov.cn）、江苏政府采购网（www.ccgp-jiangsu.gov.cn）。    </w:t>
      </w:r>
    </w:p>
    <w:p w14:paraId="74A8BB6A">
      <w:pPr>
        <w:spacing w:line="560" w:lineRule="exact"/>
        <w:ind w:firstLine="480"/>
        <w:rPr>
          <w:rFonts w:hint="eastAsia" w:ascii="宋体" w:hAnsi="宋体" w:cs="宋体"/>
          <w:color w:val="000000"/>
          <w:sz w:val="36"/>
          <w:szCs w:val="36"/>
          <w:highlight w:val="white"/>
        </w:rPr>
      </w:pPr>
      <w:r>
        <w:rPr>
          <w:rFonts w:hint="eastAsia" w:ascii="宋体" w:hAnsi="宋体" w:cs="宋体"/>
          <w:color w:val="000000"/>
          <w:sz w:val="24"/>
          <w:szCs w:val="24"/>
          <w:highlight w:val="white"/>
        </w:rPr>
        <w:t>信用信息的使用规则：供应商被列入失信被执行人、重大税收违法失信主体、政府采购严重违法失信行为记录名单及其他不符合《中华人民共和国政府采购法》第二十二条规定条件的供应商，将拒绝其参与政府采购活动。</w:t>
      </w:r>
    </w:p>
    <w:p w14:paraId="54488CF2">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3.落实政府采购政策需满足的资格要求：</w:t>
      </w:r>
      <w:r>
        <w:rPr>
          <w:rFonts w:hint="eastAsia" w:ascii="宋体" w:hAnsi="宋体" w:cs="宋体"/>
          <w:sz w:val="24"/>
          <w:szCs w:val="24"/>
          <w:highlight w:val="white"/>
        </w:rPr>
        <w:t>投标人提供的货物、工程或者服务符合规定情形的，对小微企业报价给予扣除（扣除比例详见评标办法），用扣除后的价格参加评审。</w:t>
      </w:r>
    </w:p>
    <w:p w14:paraId="41F70C0F">
      <w:pPr>
        <w:spacing w:line="480" w:lineRule="exact"/>
        <w:ind w:firstLine="480"/>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（二）本项目的特定资格要求：</w:t>
      </w:r>
      <w:r>
        <w:rPr>
          <w:rFonts w:hint="eastAsia" w:ascii="宋体" w:hAnsi="宋体" w:cs="宋体"/>
          <w:color w:val="000000"/>
          <w:sz w:val="24"/>
          <w:szCs w:val="24"/>
          <w:highlight w:val="white"/>
          <w:lang w:val="en-US" w:eastAsia="zh-CN"/>
        </w:rPr>
        <w:t>无。</w:t>
      </w:r>
    </w:p>
    <w:p w14:paraId="71BC0B0C">
      <w:pPr>
        <w:pStyle w:val="17"/>
        <w:spacing w:before="145" w:after="145" w:line="360" w:lineRule="auto"/>
        <w:ind w:firstLine="498"/>
        <w:rPr>
          <w:rFonts w:hint="eastAsia" w:ascii="宋体" w:hAnsi="宋体" w:cs="宋体"/>
          <w:color w:val="000000"/>
          <w:highlight w:val="white"/>
        </w:rPr>
      </w:pPr>
      <w:r>
        <w:rPr>
          <w:rFonts w:hint="eastAsia" w:ascii="宋体" w:hAnsi="宋体" w:cs="宋体"/>
          <w:color w:val="000000"/>
          <w:highlight w:val="white"/>
        </w:rPr>
        <w:t>三、获取招标文件</w:t>
      </w:r>
    </w:p>
    <w:p w14:paraId="73E09C94">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1.时间2026年</w:t>
      </w:r>
      <w:r>
        <w:rPr>
          <w:rFonts w:hint="eastAsia" w:ascii="宋体" w:hAnsi="宋体" w:cs="宋体"/>
          <w:color w:val="000000"/>
          <w:sz w:val="24"/>
          <w:szCs w:val="24"/>
          <w:highlight w:val="white"/>
          <w:lang w:val="en-US" w:eastAsia="zh-CN"/>
        </w:rPr>
        <w:t>07</w:t>
      </w:r>
      <w:r>
        <w:rPr>
          <w:rFonts w:hint="eastAsia" w:ascii="宋体" w:hAnsi="宋体" w:cs="宋体"/>
          <w:color w:val="000000"/>
          <w:sz w:val="24"/>
          <w:szCs w:val="24"/>
          <w:highlight w:val="white"/>
        </w:rPr>
        <w:t>月</w:t>
      </w:r>
      <w:r>
        <w:rPr>
          <w:rFonts w:hint="eastAsia" w:ascii="宋体" w:hAnsi="宋体" w:cs="宋体"/>
          <w:color w:val="000000"/>
          <w:sz w:val="24"/>
          <w:szCs w:val="24"/>
          <w:highlight w:val="white"/>
          <w:lang w:val="en-US" w:eastAsia="zh-CN"/>
        </w:rPr>
        <w:t>01</w:t>
      </w:r>
      <w:r>
        <w:rPr>
          <w:rFonts w:hint="eastAsia" w:ascii="宋体" w:hAnsi="宋体" w:cs="宋体"/>
          <w:color w:val="000000"/>
          <w:sz w:val="24"/>
          <w:szCs w:val="24"/>
          <w:highlight w:val="white"/>
        </w:rPr>
        <w:t>日00:00至2026年</w:t>
      </w:r>
      <w:r>
        <w:rPr>
          <w:rFonts w:hint="eastAsia" w:ascii="宋体" w:hAnsi="宋体" w:cs="宋体"/>
          <w:color w:val="000000"/>
          <w:sz w:val="24"/>
          <w:szCs w:val="24"/>
          <w:highlight w:val="white"/>
          <w:lang w:val="en-US" w:eastAsia="zh-CN"/>
        </w:rPr>
        <w:t>07</w:t>
      </w:r>
      <w:r>
        <w:rPr>
          <w:rFonts w:hint="eastAsia" w:ascii="宋体" w:hAnsi="宋体" w:cs="宋体"/>
          <w:color w:val="000000"/>
          <w:sz w:val="24"/>
          <w:szCs w:val="24"/>
          <w:highlight w:val="white"/>
        </w:rPr>
        <w:t>月</w:t>
      </w:r>
      <w:r>
        <w:rPr>
          <w:rFonts w:hint="eastAsia" w:ascii="宋体" w:hAnsi="宋体" w:cs="宋体"/>
          <w:color w:val="000000"/>
          <w:sz w:val="24"/>
          <w:szCs w:val="24"/>
          <w:highlight w:val="white"/>
          <w:lang w:val="en-US" w:eastAsia="zh-CN"/>
        </w:rPr>
        <w:t>07</w:t>
      </w:r>
      <w:r>
        <w:rPr>
          <w:rFonts w:hint="eastAsia" w:ascii="宋体" w:hAnsi="宋体" w:cs="宋体"/>
          <w:color w:val="000000"/>
          <w:sz w:val="24"/>
          <w:szCs w:val="24"/>
          <w:highlight w:val="white"/>
        </w:rPr>
        <w:t>日23：59。</w:t>
      </w:r>
    </w:p>
    <w:p w14:paraId="67E98A27">
      <w:pPr>
        <w:spacing w:line="560" w:lineRule="exact"/>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2.方式：供应商应在招标文件提供的时间内，通过“苏采云”系统（网址：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06787400">
      <w:pPr>
        <w:spacing w:line="560" w:lineRule="exact"/>
        <w:ind w:firstLine="480"/>
        <w:rPr>
          <w:rFonts w:hint="eastAsia" w:ascii="宋体" w:hAnsi="宋体" w:cs="宋体"/>
          <w:color w:val="000000"/>
          <w:sz w:val="24"/>
          <w:szCs w:val="24"/>
          <w:highlight w:val="white"/>
        </w:rPr>
      </w:pPr>
      <w:bookmarkStart w:id="11" w:name="EB0c44ff4da61f4af989d119fe214be450"/>
      <w:r>
        <w:rPr>
          <w:rFonts w:hint="eastAsia" w:ascii="宋体" w:hAnsi="宋体" w:cs="宋体"/>
          <w:color w:val="000000"/>
          <w:sz w:val="24"/>
          <w:szCs w:val="24"/>
          <w:highlight w:val="white"/>
        </w:rPr>
        <w:t>3.本项目共分一个包。供应商未按要求获取招标文件导致无法投标的，后果自负（其投标文件不予接受）。</w:t>
      </w:r>
      <w:bookmarkEnd w:id="11"/>
    </w:p>
    <w:p w14:paraId="5208938D">
      <w:pPr>
        <w:pStyle w:val="17"/>
        <w:spacing w:before="145" w:after="145" w:line="360" w:lineRule="auto"/>
        <w:ind w:firstLine="498"/>
        <w:rPr>
          <w:rFonts w:hint="eastAsia" w:ascii="宋体" w:hAnsi="宋体" w:cs="宋体"/>
          <w:color w:val="000000"/>
          <w:highlight w:val="white"/>
        </w:rPr>
      </w:pPr>
      <w:r>
        <w:rPr>
          <w:rFonts w:hint="eastAsia" w:ascii="宋体" w:hAnsi="宋体" w:cs="宋体"/>
          <w:color w:val="000000"/>
          <w:highlight w:val="white"/>
        </w:rPr>
        <w:t>四、提交投标文件截止时间、开标时间和地点</w:t>
      </w:r>
    </w:p>
    <w:p w14:paraId="25168E78">
      <w:pPr>
        <w:spacing w:line="560" w:lineRule="exact"/>
        <w:ind w:left="479"/>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1.</w:t>
      </w:r>
      <w:r>
        <w:rPr>
          <w:rFonts w:hint="eastAsia" w:ascii="宋体" w:hAnsi="宋体" w:cs="宋体"/>
          <w:color w:val="000000"/>
          <w:sz w:val="24"/>
          <w:szCs w:val="24"/>
          <w:highlight w:val="white"/>
        </w:rPr>
        <w:t>提交投标文件截止时间、开标时间：2026年</w:t>
      </w:r>
      <w:r>
        <w:rPr>
          <w:rFonts w:hint="eastAsia" w:ascii="宋体" w:hAnsi="宋体" w:cs="宋体"/>
          <w:color w:val="000000"/>
          <w:sz w:val="24"/>
          <w:szCs w:val="24"/>
          <w:highlight w:val="white"/>
          <w:lang w:val="en-US" w:eastAsia="zh-CN"/>
        </w:rPr>
        <w:t>07</w:t>
      </w:r>
      <w:r>
        <w:rPr>
          <w:rFonts w:hint="eastAsia" w:ascii="宋体" w:hAnsi="宋体" w:cs="宋体"/>
          <w:color w:val="000000"/>
          <w:sz w:val="24"/>
          <w:szCs w:val="24"/>
          <w:highlight w:val="white"/>
        </w:rPr>
        <w:t>月</w:t>
      </w:r>
      <w:r>
        <w:rPr>
          <w:rFonts w:hint="eastAsia" w:ascii="宋体" w:hAnsi="宋体" w:cs="宋体"/>
          <w:color w:val="000000"/>
          <w:sz w:val="24"/>
          <w:szCs w:val="24"/>
          <w:highlight w:val="white"/>
          <w:lang w:val="en-US" w:eastAsia="zh-CN"/>
        </w:rPr>
        <w:t>21</w:t>
      </w:r>
      <w:r>
        <w:rPr>
          <w:rFonts w:hint="eastAsia" w:ascii="宋体" w:hAnsi="宋体" w:cs="宋体"/>
          <w:color w:val="000000"/>
          <w:sz w:val="24"/>
          <w:szCs w:val="24"/>
          <w:highlight w:val="white"/>
        </w:rPr>
        <w:t>日09点00分</w:t>
      </w:r>
      <w:r>
        <w:rPr>
          <w:rFonts w:hint="eastAsia" w:ascii="宋体" w:hAnsi="宋体" w:cs="宋体"/>
          <w:bCs/>
          <w:color w:val="000000"/>
          <w:sz w:val="24"/>
          <w:szCs w:val="24"/>
          <w:highlight w:val="white"/>
        </w:rPr>
        <w:t>（北京时间）</w:t>
      </w:r>
    </w:p>
    <w:p w14:paraId="6822F17C">
      <w:pPr>
        <w:spacing w:line="560" w:lineRule="exact"/>
        <w:ind w:left="479"/>
        <w:rPr>
          <w:rFonts w:hint="eastAsia" w:ascii="宋体" w:hAnsi="宋体" w:cs="宋体"/>
          <w:color w:val="000000"/>
          <w:sz w:val="24"/>
          <w:szCs w:val="24"/>
          <w:highlight w:val="white"/>
        </w:rPr>
      </w:pPr>
      <w:r>
        <w:rPr>
          <w:rFonts w:hint="eastAsia" w:ascii="宋体" w:hAnsi="宋体" w:cs="宋体"/>
          <w:color w:val="000000"/>
          <w:sz w:val="24"/>
          <w:szCs w:val="24"/>
          <w:highlight w:val="white"/>
        </w:rPr>
        <w:t>2.地点：“苏采云”政府采购交易系统网上开标大厅。</w:t>
      </w:r>
    </w:p>
    <w:p w14:paraId="214DC73F">
      <w:pPr>
        <w:pStyle w:val="17"/>
        <w:spacing w:before="145" w:after="145" w:line="360" w:lineRule="auto"/>
        <w:ind w:firstLine="498"/>
        <w:rPr>
          <w:rFonts w:hint="eastAsia" w:ascii="宋体" w:hAnsi="宋体" w:cs="宋体"/>
          <w:color w:val="000000"/>
          <w:highlight w:val="white"/>
        </w:rPr>
      </w:pPr>
      <w:bookmarkStart w:id="12" w:name="_Toc28359007"/>
      <w:bookmarkStart w:id="13" w:name="_Toc35393794"/>
      <w:bookmarkStart w:id="14" w:name="_Toc38985267"/>
      <w:bookmarkStart w:id="15" w:name="_Toc35393625"/>
      <w:bookmarkStart w:id="16" w:name="_Toc28359084"/>
      <w:r>
        <w:rPr>
          <w:rFonts w:hint="eastAsia" w:ascii="宋体" w:hAnsi="宋体" w:cs="宋体"/>
          <w:color w:val="000000"/>
          <w:highlight w:val="white"/>
        </w:rPr>
        <w:t>五、公告期限</w:t>
      </w:r>
      <w:bookmarkEnd w:id="12"/>
      <w:bookmarkEnd w:id="13"/>
      <w:bookmarkEnd w:id="14"/>
      <w:bookmarkEnd w:id="15"/>
      <w:bookmarkEnd w:id="16"/>
    </w:p>
    <w:p w14:paraId="7C1C62C8">
      <w:pPr>
        <w:spacing w:line="560" w:lineRule="exact"/>
        <w:ind w:firstLine="482"/>
        <w:rPr>
          <w:rFonts w:hint="eastAsia" w:ascii="宋体" w:hAnsi="宋体" w:cs="宋体"/>
          <w:color w:val="000000"/>
          <w:sz w:val="24"/>
          <w:szCs w:val="24"/>
          <w:highlight w:val="white"/>
        </w:rPr>
      </w:pPr>
      <w:bookmarkStart w:id="17" w:name="_Toc35393795"/>
      <w:bookmarkStart w:id="18" w:name="_Toc35393626"/>
      <w:bookmarkStart w:id="19" w:name="_Toc38985268"/>
      <w:r>
        <w:rPr>
          <w:rFonts w:hint="eastAsia" w:ascii="宋体" w:hAnsi="宋体" w:cs="宋体"/>
          <w:color w:val="000000"/>
          <w:sz w:val="24"/>
          <w:szCs w:val="24"/>
          <w:highlight w:val="white"/>
        </w:rPr>
        <w:t>招标公告及招标文件公告期限为自本公告发布之日起5个工作日。</w:t>
      </w:r>
      <w:r>
        <w:rPr>
          <w:rFonts w:hint="eastAsia" w:ascii="宋体" w:hAnsi="宋体" w:cs="宋体"/>
          <w:color w:val="000000"/>
          <w:sz w:val="24"/>
          <w:highlight w:val="white"/>
        </w:rPr>
        <w:t>招标公告发布媒体：宿迁市政府采购网</w:t>
      </w:r>
      <w:r>
        <w:rPr>
          <w:rFonts w:hint="eastAsia" w:ascii="宋体" w:hAnsi="宋体" w:cs="宋体"/>
          <w:color w:val="000000"/>
          <w:sz w:val="24"/>
          <w:szCs w:val="28"/>
          <w:highlight w:val="white"/>
        </w:rPr>
        <w:t>、宿迁市公共资源交易平台</w:t>
      </w:r>
      <w:r>
        <w:rPr>
          <w:rFonts w:hint="eastAsia" w:ascii="宋体" w:hAnsi="宋体" w:cs="宋体"/>
          <w:color w:val="000000"/>
          <w:sz w:val="24"/>
          <w:highlight w:val="white"/>
        </w:rPr>
        <w:t>、江苏省财政部门指定的媒体</w:t>
      </w:r>
      <w:r>
        <w:rPr>
          <w:rFonts w:hint="eastAsia" w:ascii="宋体" w:hAnsi="宋体" w:cs="宋体"/>
          <w:color w:val="000000"/>
          <w:sz w:val="24"/>
          <w:szCs w:val="24"/>
          <w:highlight w:val="white"/>
        </w:rPr>
        <w:t>。</w:t>
      </w:r>
    </w:p>
    <w:p w14:paraId="76F18D2C">
      <w:pPr>
        <w:pStyle w:val="17"/>
        <w:spacing w:before="145" w:after="145" w:line="360" w:lineRule="auto"/>
        <w:ind w:firstLine="498"/>
        <w:rPr>
          <w:rFonts w:hint="eastAsia" w:ascii="宋体" w:hAnsi="宋体" w:cs="宋体"/>
          <w:color w:val="000000"/>
          <w:highlight w:val="white"/>
        </w:rPr>
      </w:pPr>
      <w:r>
        <w:rPr>
          <w:rFonts w:hint="eastAsia" w:ascii="宋体" w:hAnsi="宋体" w:cs="宋体"/>
          <w:color w:val="000000"/>
          <w:highlight w:val="white"/>
        </w:rPr>
        <w:t>六、其他补充事宜</w:t>
      </w:r>
      <w:bookmarkEnd w:id="17"/>
      <w:bookmarkEnd w:id="18"/>
      <w:bookmarkEnd w:id="19"/>
    </w:p>
    <w:p w14:paraId="629D8969">
      <w:pPr>
        <w:spacing w:line="560" w:lineRule="exact"/>
        <w:ind w:firstLine="480"/>
        <w:rPr>
          <w:rFonts w:hint="eastAsia" w:ascii="宋体" w:hAnsi="宋体" w:cs="宋体"/>
          <w:color w:val="000000"/>
          <w:sz w:val="24"/>
          <w:highlight w:val="white"/>
        </w:rPr>
      </w:pPr>
      <w:bookmarkStart w:id="20" w:name="EB64e1f522fd8c43fcb4d3ba471386b3e7"/>
      <w:r>
        <w:rPr>
          <w:rFonts w:hint="eastAsia" w:ascii="宋体" w:hAnsi="宋体" w:cs="宋体"/>
          <w:color w:val="000000"/>
          <w:sz w:val="24"/>
          <w:highlight w:val="white"/>
        </w:rPr>
        <w:t>1.财政部门监督电话：0527-85229058。</w:t>
      </w:r>
    </w:p>
    <w:p w14:paraId="6D0FAAE6">
      <w:pPr>
        <w:spacing w:line="560" w:lineRule="exact"/>
        <w:ind w:firstLine="480"/>
        <w:rPr>
          <w:rFonts w:hint="eastAsia" w:ascii="宋体" w:hAnsi="宋体" w:cs="宋体"/>
          <w:color w:val="000000"/>
          <w:sz w:val="24"/>
          <w:highlight w:val="white"/>
        </w:rPr>
      </w:pPr>
      <w:r>
        <w:rPr>
          <w:rFonts w:hint="eastAsia" w:ascii="宋体" w:hAnsi="宋体" w:cs="宋体"/>
          <w:color w:val="000000"/>
          <w:sz w:val="24"/>
          <w:highlight w:val="white"/>
        </w:rPr>
        <w:t>2.“CA”数字证书办理：“苏采云”系统目前仅支持“苏采云”系统下的意源CA。省内各地区办理的“苏采云”系统下的意源CA全省通用。宿迁地区CA数字证书办理联系方式：</w:t>
      </w:r>
      <w:r>
        <w:rPr>
          <w:rFonts w:hint="eastAsia" w:cs="Times New Roman"/>
          <w:caps w:val="0"/>
          <w:color w:val="000000"/>
          <w:sz w:val="24"/>
          <w:highlight w:val="white"/>
          <w:lang w:val="en-US" w:eastAsia="zh-CN"/>
        </w:rPr>
        <w:t>18351098172</w:t>
      </w:r>
      <w:r>
        <w:rPr>
          <w:rFonts w:hint="eastAsia" w:ascii="宋体" w:hAnsi="宋体" w:cs="宋体"/>
          <w:color w:val="000000"/>
          <w:sz w:val="24"/>
          <w:highlight w:val="white"/>
        </w:rPr>
        <w:t>。</w:t>
      </w:r>
    </w:p>
    <w:p w14:paraId="55A60B7A">
      <w:pPr>
        <w:pStyle w:val="20"/>
        <w:ind w:firstLine="480"/>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lang w:val="en-US"/>
        </w:rPr>
        <w:t>3.宿迁地区“苏采云”技术支持客服电话：0527-84225125、0519-86722806。</w:t>
      </w:r>
    </w:p>
    <w:p w14:paraId="779F791B">
      <w:pPr>
        <w:pStyle w:val="20"/>
        <w:ind w:firstLine="480"/>
        <w:rPr>
          <w:rFonts w:hint="eastAsia" w:ascii="宋体" w:hAnsi="宋体" w:eastAsia="宋体" w:cs="宋体"/>
          <w:color w:val="000000"/>
          <w:sz w:val="24"/>
          <w:szCs w:val="21"/>
          <w:highlight w:val="white"/>
          <w:lang w:eastAsia="zh-TW"/>
        </w:rPr>
      </w:pPr>
      <w:r>
        <w:rPr>
          <w:rFonts w:hint="eastAsia" w:ascii="宋体" w:hAnsi="宋体" w:eastAsia="宋体" w:cs="宋体"/>
          <w:color w:val="000000"/>
          <w:sz w:val="24"/>
          <w:szCs w:val="21"/>
          <w:highlight w:val="white"/>
          <w:lang w:val="en-US" w:eastAsia="zh-TW"/>
        </w:rPr>
        <w:t>4.如果供应商通过苏采云系统参与政府采购项目，相关操作手册详见链接：</w:t>
      </w:r>
      <w:r>
        <w:rPr>
          <w:rFonts w:hint="eastAsia" w:ascii="宋体" w:hAnsi="宋体" w:eastAsia="宋体" w:cs="宋体"/>
          <w:color w:val="000000"/>
          <w:spacing w:val="-6"/>
          <w:sz w:val="24"/>
          <w:szCs w:val="21"/>
          <w:highlight w:val="white"/>
          <w:lang w:val="en-US" w:eastAsia="zh-TW"/>
        </w:rPr>
        <w:t>http://www.ccgp-jiangsu.gov.cn/jiangsu/zlxz/ee/ee3a4bc5a3454aa2b0d9312230633ce9.html。</w:t>
      </w:r>
      <w:bookmarkEnd w:id="20"/>
    </w:p>
    <w:p w14:paraId="47076ED6">
      <w:pPr>
        <w:spacing w:line="560" w:lineRule="exact"/>
        <w:ind w:firstLine="480"/>
        <w:rPr>
          <w:rFonts w:hint="eastAsia" w:ascii="宋体" w:hAnsi="宋体" w:cs="宋体"/>
          <w:b/>
          <w:bCs/>
          <w:iCs/>
          <w:color w:val="000000"/>
          <w:sz w:val="24"/>
          <w:highlight w:val="white"/>
        </w:rPr>
      </w:pPr>
      <w:r>
        <w:rPr>
          <w:rFonts w:hint="eastAsia" w:ascii="宋体" w:hAnsi="宋体" w:cs="宋体"/>
          <w:color w:val="000000"/>
          <w:sz w:val="24"/>
          <w:highlight w:val="white"/>
        </w:rPr>
        <w:t xml:space="preserve">5.现场勘察及答疑：本项目不组织集中勘察及答疑，供应商如对采购需求有疑问，请咨询采购单位联系人。 </w:t>
      </w:r>
    </w:p>
    <w:p w14:paraId="4F7F4BB3">
      <w:pPr>
        <w:pStyle w:val="4"/>
        <w:spacing w:before="156" w:beforeLines="50" w:after="156" w:afterLines="50" w:line="360" w:lineRule="auto"/>
        <w:ind w:firstLine="498" w:firstLineChars="155"/>
      </w:pPr>
      <w:r>
        <w:rPr>
          <w:rFonts w:hint="eastAsia"/>
        </w:rPr>
        <w:t>七、本次招标联系方式</w:t>
      </w:r>
    </w:p>
    <w:p w14:paraId="50E01159">
      <w:pPr>
        <w:widowControl/>
        <w:spacing w:line="560" w:lineRule="exact"/>
        <w:jc w:val="left"/>
        <w:rPr>
          <w:kern w:val="2"/>
          <w:sz w:val="24"/>
          <w:szCs w:val="24"/>
        </w:rPr>
      </w:pPr>
      <w:r>
        <w:rPr>
          <w:rFonts w:hint="eastAsia" w:eastAsia="仿宋" w:cs="宋体"/>
          <w:kern w:val="2"/>
          <w:sz w:val="28"/>
          <w:szCs w:val="28"/>
        </w:rPr>
        <w:t>　　</w:t>
      </w:r>
      <w:r>
        <w:rPr>
          <w:rFonts w:hint="eastAsia" w:cs="宋体"/>
          <w:kern w:val="2"/>
          <w:sz w:val="24"/>
          <w:szCs w:val="24"/>
        </w:rPr>
        <w:t>1.采购人信息</w:t>
      </w:r>
    </w:p>
    <w:p w14:paraId="678BA48B">
      <w:pPr>
        <w:spacing w:line="560" w:lineRule="exact"/>
        <w:ind w:left="479" w:firstLine="180"/>
        <w:jc w:val="left"/>
        <w:rPr>
          <w:color w:val="000000"/>
          <w:sz w:val="24"/>
          <w:szCs w:val="24"/>
        </w:rPr>
      </w:pPr>
      <w:r>
        <w:rPr>
          <w:rFonts w:hint="eastAsia"/>
          <w:color w:val="000000"/>
          <w:sz w:val="24"/>
          <w:szCs w:val="24"/>
        </w:rPr>
        <w:t>名 称：</w:t>
      </w:r>
      <w:r>
        <w:rPr>
          <w:rFonts w:hint="eastAsia"/>
          <w:color w:val="000000"/>
          <w:sz w:val="24"/>
          <w:szCs w:val="24"/>
          <w:u w:val="single"/>
        </w:rPr>
        <w:t>　</w:t>
      </w:r>
      <w:bookmarkStart w:id="21" w:name="EB1362ee37e1304d719f896e4bf97cdd63"/>
      <w:r>
        <w:rPr>
          <w:rFonts w:hint="eastAsia"/>
          <w:color w:val="000000"/>
          <w:sz w:val="24"/>
          <w:szCs w:val="24"/>
          <w:u w:val="single"/>
        </w:rPr>
        <w:t>泗阳县融媒体中心</w:t>
      </w:r>
      <w:bookmarkEnd w:id="21"/>
      <w:r>
        <w:rPr>
          <w:rFonts w:hint="eastAsia"/>
          <w:color w:val="000000"/>
          <w:sz w:val="24"/>
          <w:szCs w:val="24"/>
          <w:u w:val="single"/>
        </w:rPr>
        <w:t>　　　</w:t>
      </w:r>
    </w:p>
    <w:p w14:paraId="2594D2C5">
      <w:pPr>
        <w:spacing w:line="560" w:lineRule="exact"/>
        <w:ind w:left="479" w:firstLine="180"/>
        <w:jc w:val="left"/>
        <w:rPr>
          <w:color w:val="000000"/>
          <w:sz w:val="24"/>
          <w:szCs w:val="24"/>
        </w:rPr>
      </w:pPr>
      <w:r>
        <w:rPr>
          <w:rFonts w:hint="eastAsia"/>
          <w:color w:val="000000"/>
          <w:sz w:val="24"/>
          <w:szCs w:val="24"/>
        </w:rPr>
        <w:t>地址：</w:t>
      </w:r>
      <w:r>
        <w:rPr>
          <w:rFonts w:hint="eastAsia"/>
          <w:color w:val="000000"/>
          <w:sz w:val="24"/>
          <w:szCs w:val="24"/>
          <w:u w:val="single"/>
        </w:rPr>
        <w:t>　　</w:t>
      </w:r>
      <w:bookmarkStart w:id="22" w:name="EB56584df6d7a94fbba4fdfdc5b0e454cb"/>
      <w:r>
        <w:rPr>
          <w:rFonts w:hint="eastAsia"/>
          <w:color w:val="000000"/>
          <w:sz w:val="24"/>
          <w:szCs w:val="24"/>
          <w:u w:val="single"/>
        </w:rPr>
        <w:t xml:space="preserve">宿迁市泗阳县北京中路广电大楼(解放北路) </w:t>
      </w:r>
      <w:bookmarkEnd w:id="22"/>
      <w:r>
        <w:rPr>
          <w:rFonts w:hint="eastAsia"/>
          <w:color w:val="000000"/>
          <w:sz w:val="24"/>
          <w:szCs w:val="24"/>
          <w:u w:val="single"/>
        </w:rPr>
        <w:t>　　</w:t>
      </w:r>
    </w:p>
    <w:p w14:paraId="43BB95D1">
      <w:pPr>
        <w:spacing w:line="560" w:lineRule="exact"/>
        <w:ind w:left="479" w:firstLine="180"/>
        <w:jc w:val="left"/>
        <w:rPr>
          <w:color w:val="000000"/>
          <w:sz w:val="24"/>
          <w:szCs w:val="24"/>
        </w:rPr>
      </w:pPr>
      <w:r>
        <w:rPr>
          <w:rFonts w:hint="eastAsia"/>
          <w:color w:val="000000"/>
          <w:sz w:val="24"/>
          <w:szCs w:val="24"/>
        </w:rPr>
        <w:t>联系人：</w:t>
      </w:r>
      <w:r>
        <w:rPr>
          <w:rFonts w:hint="eastAsia"/>
          <w:color w:val="000000"/>
          <w:sz w:val="24"/>
          <w:szCs w:val="24"/>
          <w:u w:val="single"/>
        </w:rPr>
        <w:t xml:space="preserve">      周军              </w:t>
      </w:r>
    </w:p>
    <w:p w14:paraId="05E85A61">
      <w:pPr>
        <w:spacing w:line="560" w:lineRule="exact"/>
        <w:ind w:left="479" w:firstLine="180"/>
        <w:jc w:val="left"/>
        <w:rPr>
          <w:color w:val="000000"/>
          <w:sz w:val="24"/>
          <w:szCs w:val="24"/>
          <w:u w:val="single"/>
        </w:rPr>
      </w:pPr>
      <w:r>
        <w:rPr>
          <w:rFonts w:hint="eastAsia"/>
          <w:color w:val="000000"/>
          <w:sz w:val="24"/>
          <w:szCs w:val="24"/>
        </w:rPr>
        <w:t>联系方式：</w:t>
      </w:r>
      <w:r>
        <w:rPr>
          <w:rFonts w:hint="eastAsia"/>
          <w:color w:val="000000"/>
          <w:sz w:val="24"/>
          <w:szCs w:val="24"/>
          <w:u w:val="single"/>
        </w:rPr>
        <w:t>　</w:t>
      </w:r>
      <w:bookmarkStart w:id="23" w:name="EB4c7135abe8d94c059173fcfc77fa7371"/>
      <w:r>
        <w:rPr>
          <w:rFonts w:hint="eastAsia"/>
          <w:color w:val="000000"/>
          <w:sz w:val="24"/>
          <w:szCs w:val="24"/>
          <w:u w:val="single"/>
        </w:rPr>
        <w:t>18751058699</w:t>
      </w:r>
      <w:bookmarkEnd w:id="23"/>
      <w:r>
        <w:rPr>
          <w:rFonts w:hint="eastAsia"/>
          <w:color w:val="000000"/>
          <w:sz w:val="24"/>
          <w:szCs w:val="24"/>
          <w:u w:val="single"/>
        </w:rPr>
        <w:t xml:space="preserve">　　　 </w:t>
      </w:r>
      <w:bookmarkStart w:id="24" w:name="_Toc28359086"/>
      <w:bookmarkStart w:id="25" w:name="_Toc28359009"/>
    </w:p>
    <w:p w14:paraId="0630F5CB">
      <w:pPr>
        <w:widowControl/>
        <w:spacing w:line="560" w:lineRule="exact"/>
        <w:ind w:firstLine="480"/>
        <w:jc w:val="left"/>
        <w:rPr>
          <w:color w:val="000000"/>
          <w:sz w:val="24"/>
          <w:szCs w:val="24"/>
        </w:rPr>
      </w:pPr>
      <w:r>
        <w:rPr>
          <w:rFonts w:hint="eastAsia" w:cs="宋体"/>
          <w:color w:val="000000"/>
          <w:sz w:val="24"/>
          <w:szCs w:val="24"/>
        </w:rPr>
        <w:t>2.</w:t>
      </w:r>
      <w:bookmarkEnd w:id="24"/>
      <w:bookmarkEnd w:id="25"/>
      <w:r>
        <w:rPr>
          <w:rFonts w:hint="eastAsia" w:cs="宋体"/>
          <w:color w:val="000000"/>
          <w:sz w:val="24"/>
          <w:szCs w:val="24"/>
        </w:rPr>
        <w:t>采购代理机构信息</w:t>
      </w:r>
    </w:p>
    <w:p w14:paraId="42A6FAFE">
      <w:pPr>
        <w:spacing w:line="560" w:lineRule="exact"/>
        <w:ind w:firstLine="720"/>
        <w:rPr>
          <w:color w:val="000000"/>
          <w:sz w:val="24"/>
          <w:szCs w:val="24"/>
        </w:rPr>
      </w:pPr>
      <w:r>
        <w:rPr>
          <w:rFonts w:hint="eastAsia"/>
          <w:color w:val="000000"/>
          <w:sz w:val="24"/>
          <w:szCs w:val="24"/>
        </w:rPr>
        <w:t>地　址：</w:t>
      </w:r>
      <w:r>
        <w:rPr>
          <w:rFonts w:hint="eastAsia"/>
          <w:color w:val="000000"/>
          <w:sz w:val="24"/>
          <w:szCs w:val="24"/>
          <w:u w:val="single"/>
        </w:rPr>
        <w:t>　</w:t>
      </w:r>
      <w:bookmarkStart w:id="26" w:name="EB08225640f9de4100a05d495bb483e049"/>
      <w:r>
        <w:rPr>
          <w:rFonts w:hint="eastAsia"/>
          <w:color w:val="000000"/>
          <w:sz w:val="24"/>
          <w:szCs w:val="24"/>
          <w:u w:val="single"/>
        </w:rPr>
        <w:t>泗阳县众兴街道众兴路88号开元大酒店西北角裙楼1栋302室</w:t>
      </w:r>
      <w:bookmarkEnd w:id="26"/>
      <w:r>
        <w:rPr>
          <w:rFonts w:hint="eastAsia"/>
          <w:color w:val="000000"/>
          <w:sz w:val="24"/>
          <w:szCs w:val="24"/>
          <w:u w:val="single"/>
        </w:rPr>
        <w:t>　　　</w:t>
      </w:r>
    </w:p>
    <w:p w14:paraId="6CEFFD81">
      <w:pPr>
        <w:spacing w:line="560" w:lineRule="exact"/>
        <w:ind w:firstLine="720"/>
        <w:rPr>
          <w:color w:val="000000"/>
          <w:sz w:val="24"/>
          <w:szCs w:val="24"/>
        </w:rPr>
      </w:pPr>
      <w:r>
        <w:rPr>
          <w:rFonts w:hint="eastAsia"/>
          <w:color w:val="000000"/>
          <w:sz w:val="24"/>
          <w:szCs w:val="24"/>
        </w:rPr>
        <w:t>联系人：</w:t>
      </w:r>
      <w:r>
        <w:rPr>
          <w:rFonts w:hint="eastAsia"/>
          <w:color w:val="000000"/>
          <w:sz w:val="24"/>
          <w:szCs w:val="24"/>
          <w:u w:val="single"/>
        </w:rPr>
        <w:t xml:space="preserve">    陈悦        </w:t>
      </w:r>
    </w:p>
    <w:p w14:paraId="423B1A19">
      <w:pPr>
        <w:spacing w:line="560" w:lineRule="exact"/>
        <w:ind w:firstLine="720"/>
        <w:rPr>
          <w:color w:val="000000"/>
          <w:sz w:val="24"/>
          <w:szCs w:val="24"/>
        </w:rPr>
      </w:pPr>
      <w:r>
        <w:rPr>
          <w:rFonts w:hint="eastAsia"/>
          <w:color w:val="000000"/>
          <w:sz w:val="24"/>
          <w:szCs w:val="24"/>
        </w:rPr>
        <w:t>联系方式：</w:t>
      </w:r>
      <w:bookmarkStart w:id="27" w:name="_Toc28359010"/>
      <w:bookmarkStart w:id="28" w:name="_Toc28359087"/>
      <w:r>
        <w:rPr>
          <w:rFonts w:hint="eastAsia"/>
          <w:color w:val="000000"/>
          <w:sz w:val="24"/>
          <w:szCs w:val="24"/>
          <w:u w:val="single"/>
        </w:rPr>
        <w:t>　18752721795　　　　　　</w:t>
      </w:r>
    </w:p>
    <w:bookmarkEnd w:id="27"/>
    <w:bookmarkEnd w:id="28"/>
    <w:p w14:paraId="5C4F2A08">
      <w:pPr>
        <w:pStyle w:val="17"/>
        <w:spacing w:before="145" w:after="145" w:line="360" w:lineRule="auto"/>
        <w:ind w:firstLine="498"/>
        <w:rPr>
          <w:rFonts w:hint="eastAsia" w:ascii="宋体" w:hAnsi="宋体" w:cs="宋体"/>
          <w:color w:val="000000"/>
          <w:highlight w:val="white"/>
        </w:rPr>
      </w:pPr>
      <w:r>
        <w:rPr>
          <w:rFonts w:hint="eastAsia" w:ascii="宋体" w:hAnsi="宋体" w:cs="宋体"/>
          <w:color w:val="000000"/>
          <w:highlight w:val="white"/>
        </w:rPr>
        <w:t>八、其他</w:t>
      </w:r>
    </w:p>
    <w:p w14:paraId="493A72EB">
      <w:pPr>
        <w:spacing w:line="560" w:lineRule="exact"/>
        <w:ind w:firstLine="480"/>
        <w:rPr>
          <w:rFonts w:hint="eastAsia" w:ascii="宋体" w:hAnsi="宋体" w:cs="宋体"/>
          <w:iCs/>
          <w:color w:val="000000"/>
          <w:sz w:val="24"/>
          <w:highlight w:val="white"/>
        </w:rPr>
      </w:pPr>
      <w:r>
        <w:rPr>
          <w:rFonts w:hint="eastAsia" w:ascii="宋体" w:hAnsi="宋体" w:cs="宋体"/>
          <w:iCs/>
          <w:color w:val="000000"/>
          <w:sz w:val="24"/>
          <w:highlight w:val="white"/>
        </w:rPr>
        <w:t>1.有关本次招标的事项若存在变动或修改，敬请及时关注“宿迁市政府采购网”更正公告。</w:t>
      </w:r>
    </w:p>
    <w:p w14:paraId="11999D3C">
      <w:pPr>
        <w:tabs>
          <w:tab w:val="left" w:pos="900"/>
        </w:tabs>
        <w:spacing w:line="560" w:lineRule="exact"/>
        <w:ind w:firstLine="482"/>
        <w:rPr>
          <w:rFonts w:hint="eastAsia" w:ascii="宋体" w:hAnsi="宋体" w:cs="宋体"/>
          <w:bCs/>
          <w:color w:val="000000"/>
          <w:sz w:val="24"/>
          <w:szCs w:val="24"/>
          <w:highlight w:val="white"/>
        </w:rPr>
      </w:pPr>
      <w:r>
        <w:rPr>
          <w:rFonts w:hint="eastAsia" w:ascii="宋体" w:hAnsi="宋体" w:cs="宋体"/>
          <w:b/>
          <w:bCs/>
          <w:iCs/>
          <w:color w:val="000000"/>
          <w:sz w:val="24"/>
          <w:highlight w:val="white"/>
        </w:rPr>
        <w:t>2</w:t>
      </w:r>
      <w:r>
        <w:rPr>
          <w:rFonts w:hint="eastAsia" w:ascii="宋体" w:hAnsi="宋体" w:cs="宋体"/>
          <w:bCs/>
          <w:color w:val="000000"/>
          <w:sz w:val="24"/>
          <w:szCs w:val="24"/>
          <w:highlight w:val="white"/>
        </w:rPr>
        <w:t>.本次招标不收取投标保证金。</w:t>
      </w:r>
    </w:p>
    <w:p w14:paraId="1940B30E"/>
    <w:p w14:paraId="1D2D382C"/>
    <w:p w14:paraId="3882527B"/>
    <w:p w14:paraId="0E6A972A"/>
    <w:p w14:paraId="73EB65F7"/>
    <w:p w14:paraId="44B0C8AF"/>
    <w:p w14:paraId="70ADD10D"/>
    <w:p w14:paraId="6AC2AEB4"/>
    <w:p w14:paraId="6CD61FE4"/>
    <w:p w14:paraId="37C6C771"/>
    <w:p w14:paraId="6FFBAD5B"/>
    <w:p w14:paraId="40837A32"/>
    <w:p w14:paraId="7E4118D9"/>
    <w:p w14:paraId="43C6DA32"/>
    <w:p w14:paraId="0AFD2C9D"/>
    <w:p w14:paraId="78519BC3"/>
    <w:p w14:paraId="01BD260B"/>
    <w:p w14:paraId="32715AB1"/>
    <w:p w14:paraId="6CC89651"/>
    <w:p w14:paraId="17CB0C46"/>
    <w:p w14:paraId="116D93F6"/>
    <w:p w14:paraId="38A91B44"/>
    <w:p w14:paraId="68BA66AE"/>
    <w:p w14:paraId="0605852B"/>
    <w:p w14:paraId="009310D0"/>
    <w:p w14:paraId="4AA425AB"/>
    <w:p w14:paraId="50C74F73">
      <w:pPr>
        <w:pStyle w:val="22"/>
        <w:ind w:firstLine="2429"/>
        <w:jc w:val="both"/>
        <w:rPr>
          <w:rFonts w:hint="eastAsia" w:ascii="宋体" w:hAnsi="宋体" w:eastAsia="宋体" w:cs="宋体"/>
          <w:b w:val="0"/>
          <w:bCs w:val="0"/>
          <w:color w:val="000000"/>
          <w:highlight w:val="white"/>
        </w:rPr>
      </w:pPr>
      <w:bookmarkStart w:id="29" w:name="_Toc120614211"/>
      <w:r>
        <w:rPr>
          <w:rFonts w:hint="eastAsia" w:ascii="宋体" w:hAnsi="宋体" w:eastAsia="宋体" w:cs="宋体"/>
          <w:color w:val="000000"/>
          <w:highlight w:val="white"/>
        </w:rPr>
        <w:t xml:space="preserve">第二章  </w:t>
      </w:r>
      <w:bookmarkEnd w:id="29"/>
      <w:bookmarkStart w:id="30" w:name="_Toc20823274"/>
      <w:bookmarkStart w:id="31" w:name="_Toc120614213"/>
      <w:bookmarkStart w:id="32" w:name="_Toc513029202"/>
      <w:bookmarkStart w:id="33" w:name="_Toc16938518"/>
      <w:r>
        <w:rPr>
          <w:rFonts w:hint="eastAsia" w:ascii="宋体" w:hAnsi="宋体" w:eastAsia="宋体" w:cs="宋体"/>
          <w:color w:val="000000"/>
          <w:highlight w:val="white"/>
        </w:rPr>
        <w:t>供应商须知</w:t>
      </w:r>
      <w:bookmarkEnd w:id="30"/>
      <w:bookmarkEnd w:id="31"/>
      <w:bookmarkEnd w:id="32"/>
      <w:bookmarkEnd w:id="33"/>
    </w:p>
    <w:p w14:paraId="77A0F233">
      <w:pPr>
        <w:pStyle w:val="23"/>
        <w:keepNext w:val="0"/>
        <w:keepLines w:val="0"/>
        <w:rPr>
          <w:rFonts w:hint="eastAsia" w:ascii="宋体" w:hAnsi="宋体" w:eastAsia="宋体" w:cs="宋体"/>
          <w:color w:val="000000"/>
          <w:highlight w:val="white"/>
        </w:rPr>
      </w:pPr>
      <w:bookmarkStart w:id="34" w:name="_Toc81575191"/>
      <w:bookmarkStart w:id="35" w:name="_Toc169853376"/>
      <w:bookmarkStart w:id="36" w:name="_Toc81575154"/>
      <w:r>
        <w:rPr>
          <w:rFonts w:hint="eastAsia" w:ascii="宋体" w:hAnsi="宋体" w:eastAsia="宋体" w:cs="宋体"/>
          <w:color w:val="000000"/>
          <w:highlight w:val="white"/>
        </w:rPr>
        <w:t>供应商须知前附表：</w:t>
      </w:r>
      <w:bookmarkEnd w:id="34"/>
      <w:bookmarkEnd w:id="35"/>
      <w:bookmarkEnd w:id="36"/>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315"/>
        <w:gridCol w:w="5786"/>
      </w:tblGrid>
      <w:tr w14:paraId="4F92D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jc w:val="center"/>
        </w:trPr>
        <w:tc>
          <w:tcPr>
            <w:tcW w:w="959" w:type="dxa"/>
            <w:vAlign w:val="center"/>
          </w:tcPr>
          <w:p w14:paraId="420E9769">
            <w:pPr>
              <w:jc w:val="center"/>
              <w:rPr>
                <w:rFonts w:hint="eastAsia" w:asciiTheme="minorEastAsia" w:hAnsiTheme="minorEastAsia" w:eastAsiaTheme="minorEastAsia" w:cstheme="minorEastAsia"/>
                <w:b/>
                <w:bCs/>
                <w:color w:val="000000"/>
                <w:sz w:val="24"/>
                <w:szCs w:val="24"/>
                <w:highlight w:val="white"/>
              </w:rPr>
            </w:pPr>
            <w:r>
              <w:rPr>
                <w:rFonts w:hint="eastAsia" w:asciiTheme="minorEastAsia" w:hAnsiTheme="minorEastAsia" w:eastAsiaTheme="minorEastAsia" w:cstheme="minorEastAsia"/>
                <w:b/>
                <w:bCs/>
                <w:color w:val="000000"/>
                <w:sz w:val="24"/>
                <w:szCs w:val="24"/>
                <w:highlight w:val="white"/>
              </w:rPr>
              <w:t>序号</w:t>
            </w:r>
          </w:p>
        </w:tc>
        <w:tc>
          <w:tcPr>
            <w:tcW w:w="2315" w:type="dxa"/>
            <w:vAlign w:val="center"/>
          </w:tcPr>
          <w:p w14:paraId="424B923E">
            <w:pPr>
              <w:jc w:val="center"/>
              <w:rPr>
                <w:rFonts w:hint="eastAsia" w:asciiTheme="minorEastAsia" w:hAnsiTheme="minorEastAsia" w:eastAsiaTheme="minorEastAsia" w:cstheme="minorEastAsia"/>
                <w:b/>
                <w:color w:val="000000"/>
                <w:sz w:val="24"/>
                <w:szCs w:val="24"/>
                <w:highlight w:val="white"/>
              </w:rPr>
            </w:pPr>
            <w:r>
              <w:rPr>
                <w:rFonts w:hint="eastAsia" w:asciiTheme="minorEastAsia" w:hAnsiTheme="minorEastAsia" w:eastAsiaTheme="minorEastAsia" w:cstheme="minorEastAsia"/>
                <w:b/>
                <w:color w:val="000000"/>
                <w:sz w:val="24"/>
                <w:szCs w:val="24"/>
                <w:highlight w:val="white"/>
              </w:rPr>
              <w:t>内容</w:t>
            </w:r>
          </w:p>
        </w:tc>
        <w:tc>
          <w:tcPr>
            <w:tcW w:w="5786" w:type="dxa"/>
            <w:vAlign w:val="center"/>
          </w:tcPr>
          <w:p w14:paraId="4EE70F1D">
            <w:pPr>
              <w:jc w:val="center"/>
              <w:rPr>
                <w:rFonts w:hint="eastAsia" w:asciiTheme="minorEastAsia" w:hAnsiTheme="minorEastAsia" w:eastAsiaTheme="minorEastAsia" w:cstheme="minorEastAsia"/>
                <w:b/>
                <w:bCs/>
                <w:color w:val="000000"/>
                <w:sz w:val="24"/>
                <w:szCs w:val="24"/>
                <w:highlight w:val="white"/>
              </w:rPr>
            </w:pPr>
            <w:r>
              <w:rPr>
                <w:rFonts w:hint="eastAsia" w:asciiTheme="minorEastAsia" w:hAnsiTheme="minorEastAsia" w:eastAsiaTheme="minorEastAsia" w:cstheme="minorEastAsia"/>
                <w:b/>
                <w:bCs/>
                <w:color w:val="000000"/>
                <w:sz w:val="24"/>
                <w:szCs w:val="24"/>
                <w:highlight w:val="white"/>
              </w:rPr>
              <w:t>说明及要求</w:t>
            </w:r>
          </w:p>
        </w:tc>
      </w:tr>
      <w:tr w14:paraId="59412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49AAA220">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w:t>
            </w:r>
          </w:p>
        </w:tc>
        <w:tc>
          <w:tcPr>
            <w:tcW w:w="2315" w:type="dxa"/>
            <w:vAlign w:val="center"/>
          </w:tcPr>
          <w:p w14:paraId="55579992">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特别说明</w:t>
            </w:r>
          </w:p>
        </w:tc>
        <w:tc>
          <w:tcPr>
            <w:tcW w:w="5786" w:type="dxa"/>
            <w:vAlign w:val="center"/>
          </w:tcPr>
          <w:p w14:paraId="46447A18">
            <w:pPr>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本招标文件中“当地公共资源交易中心”是指：</w:t>
            </w:r>
            <w:bookmarkStart w:id="37" w:name="EB12b2d41f40b34f7a8d6fc2ffc7e97a46"/>
            <w:r>
              <w:rPr>
                <w:rFonts w:hint="eastAsia" w:asciiTheme="minorEastAsia" w:hAnsiTheme="minorEastAsia" w:eastAsiaTheme="minorEastAsia" w:cstheme="minorEastAsia"/>
                <w:color w:val="000000"/>
                <w:sz w:val="24"/>
                <w:szCs w:val="24"/>
                <w:highlight w:val="white"/>
              </w:rPr>
              <w:t>泗阳县公共资源交易中心</w:t>
            </w:r>
            <w:bookmarkEnd w:id="37"/>
          </w:p>
        </w:tc>
      </w:tr>
      <w:tr w14:paraId="36418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13E2BF8F">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w:t>
            </w:r>
          </w:p>
        </w:tc>
        <w:tc>
          <w:tcPr>
            <w:tcW w:w="2315" w:type="dxa"/>
            <w:vAlign w:val="center"/>
          </w:tcPr>
          <w:p w14:paraId="05337C0B">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项目类别</w:t>
            </w:r>
          </w:p>
        </w:tc>
        <w:tc>
          <w:tcPr>
            <w:tcW w:w="5786" w:type="dxa"/>
            <w:vAlign w:val="center"/>
          </w:tcPr>
          <w:p w14:paraId="4BAC1584">
            <w:pPr>
              <w:spacing w:line="400" w:lineRule="exact"/>
              <w:jc w:val="left"/>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本项目</w:t>
            </w:r>
            <w:bookmarkStart w:id="38" w:name="EB9a5853ee094f4f0ea6ec3169265f6f2c"/>
            <w:r>
              <w:rPr>
                <w:rFonts w:hint="eastAsia" w:asciiTheme="minorEastAsia" w:hAnsiTheme="minorEastAsia" w:eastAsiaTheme="minorEastAsia" w:cstheme="minorEastAsia"/>
                <w:sz w:val="24"/>
                <w:szCs w:val="24"/>
                <w:highlight w:val="white"/>
              </w:rPr>
              <w:t>类别按以下第</w:t>
            </w:r>
            <w:bookmarkEnd w:id="38"/>
            <w:r>
              <w:rPr>
                <w:rFonts w:hint="eastAsia" w:asciiTheme="minorEastAsia" w:hAnsiTheme="minorEastAsia" w:eastAsiaTheme="minorEastAsia" w:cstheme="minorEastAsia"/>
                <w:sz w:val="24"/>
                <w:szCs w:val="24"/>
                <w:highlight w:val="white"/>
                <w:u w:val="single"/>
              </w:rPr>
              <w:t xml:space="preserve"> 1 </w:t>
            </w:r>
            <w:r>
              <w:rPr>
                <w:rFonts w:hint="eastAsia" w:asciiTheme="minorEastAsia" w:hAnsiTheme="minorEastAsia" w:eastAsiaTheme="minorEastAsia" w:cstheme="minorEastAsia"/>
                <w:sz w:val="24"/>
                <w:szCs w:val="24"/>
                <w:highlight w:val="white"/>
              </w:rPr>
              <w:t>种确定：</w:t>
            </w:r>
          </w:p>
          <w:p w14:paraId="2D2101F9">
            <w:pPr>
              <w:spacing w:line="50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sz w:val="24"/>
                <w:szCs w:val="24"/>
                <w:highlight w:val="white"/>
              </w:rPr>
              <w:t>1.货物</w:t>
            </w:r>
            <w:bookmarkStart w:id="39" w:name="EBd5c6c026f9674c39b21b31ecd0c1e7fa"/>
            <w:r>
              <w:rPr>
                <w:rFonts w:hint="eastAsia" w:asciiTheme="minorEastAsia" w:hAnsiTheme="minorEastAsia" w:eastAsiaTheme="minorEastAsia" w:cstheme="minorEastAsia"/>
                <w:sz w:val="24"/>
                <w:szCs w:val="24"/>
                <w:highlight w:val="white"/>
              </w:rPr>
              <w:t>采购；2.</w:t>
            </w:r>
            <w:bookmarkEnd w:id="39"/>
            <w:r>
              <w:rPr>
                <w:rFonts w:hint="eastAsia" w:asciiTheme="minorEastAsia" w:hAnsiTheme="minorEastAsia" w:eastAsiaTheme="minorEastAsia" w:cstheme="minorEastAsia"/>
                <w:sz w:val="24"/>
                <w:szCs w:val="24"/>
                <w:highlight w:val="white"/>
              </w:rPr>
              <w:t>服务</w:t>
            </w:r>
            <w:bookmarkStart w:id="40" w:name="EBf7d2a4f44ecb4166a93ea852e73be69f"/>
            <w:r>
              <w:rPr>
                <w:rFonts w:hint="eastAsia" w:asciiTheme="minorEastAsia" w:hAnsiTheme="minorEastAsia" w:eastAsiaTheme="minorEastAsia" w:cstheme="minorEastAsia"/>
                <w:sz w:val="24"/>
                <w:szCs w:val="24"/>
                <w:highlight w:val="white"/>
              </w:rPr>
              <w:t>采购；3.</w:t>
            </w:r>
            <w:bookmarkEnd w:id="40"/>
            <w:r>
              <w:rPr>
                <w:rFonts w:hint="eastAsia" w:asciiTheme="minorEastAsia" w:hAnsiTheme="minorEastAsia" w:eastAsiaTheme="minorEastAsia" w:cstheme="minorEastAsia"/>
                <w:sz w:val="24"/>
                <w:szCs w:val="24"/>
                <w:highlight w:val="white"/>
              </w:rPr>
              <w:t>工程采购。</w:t>
            </w:r>
          </w:p>
        </w:tc>
      </w:tr>
      <w:tr w14:paraId="50149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1F94439A">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3</w:t>
            </w:r>
          </w:p>
        </w:tc>
        <w:tc>
          <w:tcPr>
            <w:tcW w:w="2315" w:type="dxa"/>
            <w:vAlign w:val="center"/>
          </w:tcPr>
          <w:p w14:paraId="0B858B0D">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投标保证金</w:t>
            </w:r>
          </w:p>
        </w:tc>
        <w:tc>
          <w:tcPr>
            <w:tcW w:w="5786" w:type="dxa"/>
            <w:vAlign w:val="center"/>
          </w:tcPr>
          <w:p w14:paraId="058B3E22">
            <w:pPr>
              <w:spacing w:line="360" w:lineRule="exact"/>
              <w:rPr>
                <w:rFonts w:hint="eastAsia" w:asciiTheme="minorEastAsia" w:hAnsiTheme="minorEastAsia" w:eastAsiaTheme="minorEastAsia" w:cstheme="minorEastAsia"/>
                <w:color w:val="000000"/>
                <w:sz w:val="24"/>
                <w:szCs w:val="24"/>
                <w:highlight w:val="white"/>
              </w:rPr>
            </w:pPr>
            <w:bookmarkStart w:id="41" w:name="EBf0aa7f1acb3d4486acc37d897a18eaa5"/>
            <w:r>
              <w:rPr>
                <w:rFonts w:hint="eastAsia" w:asciiTheme="minorEastAsia" w:hAnsiTheme="minorEastAsia" w:eastAsiaTheme="minorEastAsia" w:cstheme="minorEastAsia"/>
                <w:color w:val="000000"/>
                <w:sz w:val="24"/>
                <w:szCs w:val="24"/>
                <w:highlight w:val="white"/>
              </w:rPr>
              <w:t>本项目不收取投标保证金。</w:t>
            </w:r>
            <w:bookmarkEnd w:id="41"/>
          </w:p>
        </w:tc>
      </w:tr>
      <w:tr w14:paraId="4B72C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59" w:type="dxa"/>
            <w:vAlign w:val="center"/>
          </w:tcPr>
          <w:p w14:paraId="7C5944ED">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4</w:t>
            </w:r>
          </w:p>
        </w:tc>
        <w:tc>
          <w:tcPr>
            <w:tcW w:w="2315" w:type="dxa"/>
            <w:vAlign w:val="center"/>
          </w:tcPr>
          <w:p w14:paraId="2D01FDCF">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投标有效期</w:t>
            </w:r>
          </w:p>
        </w:tc>
        <w:tc>
          <w:tcPr>
            <w:tcW w:w="5786" w:type="dxa"/>
            <w:vAlign w:val="center"/>
          </w:tcPr>
          <w:p w14:paraId="7B505E2E">
            <w:pPr>
              <w:widowControl/>
              <w:spacing w:line="360" w:lineRule="exact"/>
              <w:rPr>
                <w:rFonts w:hint="eastAsia" w:asciiTheme="minorEastAsia" w:hAnsiTheme="minorEastAsia" w:eastAsiaTheme="minorEastAsia" w:cstheme="minorEastAsia"/>
                <w:color w:val="000000"/>
                <w:sz w:val="24"/>
                <w:szCs w:val="24"/>
                <w:highlight w:val="white"/>
              </w:rPr>
            </w:pPr>
            <w:bookmarkStart w:id="42" w:name="EBd40b5fb42f2944a3b45e579ce3941f02"/>
            <w:r>
              <w:rPr>
                <w:rFonts w:hint="eastAsia" w:asciiTheme="minorEastAsia" w:hAnsiTheme="minorEastAsia" w:eastAsiaTheme="minorEastAsia" w:cstheme="minorEastAsia"/>
                <w:color w:val="000000"/>
                <w:sz w:val="24"/>
                <w:szCs w:val="24"/>
                <w:highlight w:val="white"/>
              </w:rPr>
              <w:t>60</w:t>
            </w:r>
            <w:bookmarkEnd w:id="42"/>
            <w:r>
              <w:rPr>
                <w:rFonts w:hint="eastAsia" w:asciiTheme="minorEastAsia" w:hAnsiTheme="minorEastAsia" w:eastAsiaTheme="minorEastAsia" w:cstheme="minorEastAsia"/>
                <w:color w:val="000000"/>
                <w:sz w:val="24"/>
                <w:szCs w:val="24"/>
                <w:highlight w:val="white"/>
              </w:rPr>
              <w:t>日（从提交投标文件截止之日起算）</w:t>
            </w:r>
          </w:p>
        </w:tc>
      </w:tr>
      <w:tr w14:paraId="2F185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0862B2F0">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5</w:t>
            </w:r>
          </w:p>
        </w:tc>
        <w:tc>
          <w:tcPr>
            <w:tcW w:w="2315" w:type="dxa"/>
            <w:vAlign w:val="center"/>
          </w:tcPr>
          <w:p w14:paraId="1844DAA1">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投标文件份数</w:t>
            </w:r>
          </w:p>
        </w:tc>
        <w:tc>
          <w:tcPr>
            <w:tcW w:w="5786" w:type="dxa"/>
            <w:vAlign w:val="center"/>
          </w:tcPr>
          <w:p w14:paraId="553A9518">
            <w:pPr>
              <w:widowControl/>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提交加密电子投标文件1份。</w:t>
            </w:r>
          </w:p>
        </w:tc>
      </w:tr>
      <w:tr w14:paraId="04F40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4843D0F5">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6</w:t>
            </w:r>
          </w:p>
        </w:tc>
        <w:tc>
          <w:tcPr>
            <w:tcW w:w="2315" w:type="dxa"/>
            <w:vAlign w:val="center"/>
          </w:tcPr>
          <w:p w14:paraId="75698CB6">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评标办法</w:t>
            </w:r>
          </w:p>
        </w:tc>
        <w:tc>
          <w:tcPr>
            <w:tcW w:w="5786" w:type="dxa"/>
            <w:vAlign w:val="center"/>
          </w:tcPr>
          <w:p w14:paraId="33F71D55">
            <w:pPr>
              <w:widowControl/>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综合评分法；具体详见招标文件第五章评标方法与评标标准。</w:t>
            </w:r>
          </w:p>
          <w:p w14:paraId="1A7CCF6F">
            <w:pPr>
              <w:widowControl/>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评标委员会按照招标文件规定评标办法和标准推荐3名中标候选人。</w:t>
            </w:r>
          </w:p>
        </w:tc>
      </w:tr>
      <w:tr w14:paraId="44F7B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08158BB0">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7</w:t>
            </w:r>
          </w:p>
        </w:tc>
        <w:tc>
          <w:tcPr>
            <w:tcW w:w="2315" w:type="dxa"/>
            <w:vAlign w:val="center"/>
          </w:tcPr>
          <w:p w14:paraId="0BF8423F">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分包要求</w:t>
            </w:r>
          </w:p>
        </w:tc>
        <w:tc>
          <w:tcPr>
            <w:tcW w:w="5786" w:type="dxa"/>
            <w:vAlign w:val="center"/>
          </w:tcPr>
          <w:p w14:paraId="42841A40">
            <w:pPr>
              <w:widowControl/>
              <w:spacing w:line="360" w:lineRule="exact"/>
              <w:rPr>
                <w:rFonts w:hint="eastAsia" w:asciiTheme="minorEastAsia" w:hAnsiTheme="minorEastAsia" w:eastAsiaTheme="minorEastAsia" w:cstheme="minorEastAsia"/>
                <w:color w:val="000000"/>
                <w:sz w:val="24"/>
                <w:szCs w:val="24"/>
                <w:highlight w:val="white"/>
              </w:rPr>
            </w:pPr>
            <w:bookmarkStart w:id="43" w:name="EBebac1462c5d9459fbda8a75065c2455d"/>
            <w:r>
              <w:rPr>
                <w:rFonts w:hint="eastAsia" w:asciiTheme="minorEastAsia" w:hAnsiTheme="minorEastAsia" w:eastAsiaTheme="minorEastAsia" w:cstheme="minorEastAsia"/>
                <w:color w:val="000000"/>
                <w:sz w:val="24"/>
                <w:szCs w:val="24"/>
                <w:highlight w:val="white"/>
              </w:rPr>
              <w:t xml:space="preserve"> □ </w:t>
            </w:r>
            <w:bookmarkEnd w:id="43"/>
            <w:r>
              <w:rPr>
                <w:rFonts w:hint="eastAsia" w:asciiTheme="minorEastAsia" w:hAnsiTheme="minorEastAsia" w:eastAsiaTheme="minorEastAsia" w:cstheme="minorEastAsia"/>
                <w:color w:val="000000"/>
                <w:sz w:val="24"/>
                <w:szCs w:val="24"/>
                <w:highlight w:val="white"/>
              </w:rPr>
              <w:t>允许分包，</w:t>
            </w:r>
            <w:bookmarkStart w:id="44" w:name="EB512ba06683724173802e2aae54a26079"/>
            <w:r>
              <w:rPr>
                <w:rFonts w:hint="eastAsia" w:asciiTheme="minorEastAsia" w:hAnsiTheme="minorEastAsia" w:eastAsiaTheme="minorEastAsia" w:cstheme="minorEastAsia"/>
                <w:color w:val="000000"/>
                <w:sz w:val="24"/>
                <w:szCs w:val="24"/>
                <w:highlight w:val="white"/>
              </w:rPr>
              <w:t>/</w:t>
            </w:r>
            <w:bookmarkEnd w:id="44"/>
          </w:p>
          <w:p w14:paraId="3CD78B9B">
            <w:pPr>
              <w:widowControl/>
              <w:spacing w:line="360" w:lineRule="exact"/>
              <w:rPr>
                <w:rFonts w:hint="eastAsia" w:asciiTheme="minorEastAsia" w:hAnsiTheme="minorEastAsia" w:eastAsiaTheme="minorEastAsia" w:cstheme="minorEastAsia"/>
                <w:color w:val="000000"/>
                <w:sz w:val="24"/>
                <w:szCs w:val="24"/>
                <w:highlight w:val="white"/>
              </w:rPr>
            </w:pPr>
            <w:bookmarkStart w:id="45" w:name="EBe736f7e952dc4539950235f053527a10"/>
            <w:r>
              <w:rPr>
                <w:rFonts w:hint="eastAsia" w:asciiTheme="minorEastAsia" w:hAnsiTheme="minorEastAsia" w:eastAsiaTheme="minorEastAsia" w:cstheme="minorEastAsia"/>
                <w:color w:val="000000"/>
                <w:sz w:val="24"/>
                <w:szCs w:val="24"/>
                <w:highlight w:val="white"/>
              </w:rPr>
              <w:t xml:space="preserve"> ☑ </w:t>
            </w:r>
            <w:bookmarkEnd w:id="45"/>
            <w:r>
              <w:rPr>
                <w:rFonts w:hint="eastAsia" w:asciiTheme="minorEastAsia" w:hAnsiTheme="minorEastAsia" w:eastAsiaTheme="minorEastAsia" w:cstheme="minorEastAsia"/>
                <w:color w:val="000000"/>
                <w:sz w:val="24"/>
                <w:szCs w:val="24"/>
                <w:highlight w:val="white"/>
              </w:rPr>
              <w:t>不允许分包。</w:t>
            </w:r>
          </w:p>
        </w:tc>
      </w:tr>
      <w:tr w14:paraId="13F48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62E4296C">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8</w:t>
            </w:r>
          </w:p>
        </w:tc>
        <w:tc>
          <w:tcPr>
            <w:tcW w:w="2315" w:type="dxa"/>
            <w:vAlign w:val="center"/>
          </w:tcPr>
          <w:p w14:paraId="1F1F69E2">
            <w:pPr>
              <w:spacing w:line="440" w:lineRule="exact"/>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代理费用收取方式及标准</w:t>
            </w:r>
          </w:p>
        </w:tc>
        <w:tc>
          <w:tcPr>
            <w:tcW w:w="5786" w:type="dxa"/>
            <w:vAlign w:val="center"/>
          </w:tcPr>
          <w:p w14:paraId="648F00B0">
            <w:pPr>
              <w:widowControl/>
              <w:spacing w:line="440" w:lineRule="exact"/>
              <w:rPr>
                <w:rFonts w:hint="eastAsia" w:asciiTheme="minorEastAsia" w:hAnsiTheme="minorEastAsia" w:eastAsiaTheme="minorEastAsia" w:cstheme="minorEastAsia"/>
                <w:color w:val="000000"/>
                <w:sz w:val="24"/>
                <w:szCs w:val="24"/>
                <w:highlight w:val="white"/>
              </w:rPr>
            </w:pPr>
            <w:r>
              <w:rPr>
                <w:rFonts w:hint="eastAsia" w:ascii="宋体" w:hAnsi="宋体" w:cs="宋体"/>
                <w:bCs/>
                <w:sz w:val="24"/>
              </w:rPr>
              <w:t>由中标人支付:</w:t>
            </w:r>
            <w:r>
              <w:rPr>
                <w:rFonts w:hint="eastAsia" w:asciiTheme="minorEastAsia" w:hAnsiTheme="minorEastAsia" w:eastAsiaTheme="minorEastAsia" w:cstheme="minorEastAsia"/>
                <w:sz w:val="24"/>
                <w:szCs w:val="24"/>
                <w:highlight w:val="white"/>
              </w:rPr>
              <w:t>参照苏招协【2022】002 收费标准支付</w:t>
            </w:r>
            <w:r>
              <w:rPr>
                <w:rFonts w:hint="eastAsia" w:asciiTheme="minorEastAsia" w:hAnsiTheme="minorEastAsia" w:eastAsiaTheme="minorEastAsia" w:cstheme="minorEastAsia"/>
                <w:color w:val="000000"/>
                <w:sz w:val="24"/>
                <w:szCs w:val="24"/>
                <w:highlight w:val="white"/>
              </w:rPr>
              <w:t>；支付方式可以通过</w:t>
            </w:r>
            <w:r>
              <w:rPr>
                <w:rFonts w:hint="eastAsia" w:asciiTheme="minorEastAsia" w:hAnsiTheme="minorEastAsia" w:eastAsiaTheme="minorEastAsia" w:cstheme="minorEastAsia"/>
                <w:color w:val="000000"/>
                <w:sz w:val="24"/>
                <w:szCs w:val="24"/>
                <w:highlight w:val="white"/>
                <w:lang w:val="en-US" w:eastAsia="zh-CN"/>
              </w:rPr>
              <w:t>现金、</w:t>
            </w:r>
            <w:r>
              <w:rPr>
                <w:rFonts w:hint="eastAsia" w:asciiTheme="minorEastAsia" w:hAnsiTheme="minorEastAsia" w:eastAsiaTheme="minorEastAsia" w:cstheme="minorEastAsia"/>
                <w:color w:val="000000"/>
                <w:sz w:val="24"/>
                <w:szCs w:val="24"/>
                <w:highlight w:val="white"/>
              </w:rPr>
              <w:t>转账或数字人民币等方式。</w:t>
            </w:r>
          </w:p>
        </w:tc>
      </w:tr>
      <w:tr w14:paraId="0F405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75C26776">
            <w:pPr>
              <w:spacing w:line="440" w:lineRule="exact"/>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9</w:t>
            </w:r>
          </w:p>
        </w:tc>
        <w:tc>
          <w:tcPr>
            <w:tcW w:w="2315" w:type="dxa"/>
            <w:vAlign w:val="center"/>
          </w:tcPr>
          <w:p w14:paraId="21A91E36">
            <w:pPr>
              <w:jc w:val="center"/>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其他</w:t>
            </w:r>
          </w:p>
        </w:tc>
        <w:tc>
          <w:tcPr>
            <w:tcW w:w="5786" w:type="dxa"/>
            <w:vAlign w:val="center"/>
          </w:tcPr>
          <w:p w14:paraId="1055DD88">
            <w:pPr>
              <w:widowControl/>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 投标文件响应要求：</w:t>
            </w:r>
          </w:p>
          <w:p w14:paraId="5CD97748">
            <w:pPr>
              <w:widowControl/>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（1）合同履行期限：签订合同后60日历天内完成供货安装调试.；</w:t>
            </w:r>
          </w:p>
          <w:p w14:paraId="7E39A995">
            <w:pPr>
              <w:widowControl/>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（2）质量标准：合格；</w:t>
            </w:r>
          </w:p>
          <w:p w14:paraId="3148CF8D">
            <w:pPr>
              <w:widowControl/>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3）免费质保期：3年，自项目验收合格之日起；免费维保期内：如出现招标内容中的设备（或备品备件）有损坏或老化，项目中标单位对损坏或老化的设备（或备品备件），必须免费予以更换、安装、维护、保养及调试，由此产生的一切费用（包括设备采购），均由中标方承担。</w:t>
            </w:r>
          </w:p>
          <w:p w14:paraId="734D0060">
            <w:pPr>
              <w:widowControl/>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如出现采购人要求的软件维护和升级，项目中标单位必须免费予以维护和升级至最新状态，由此产生的一切费用，均由中标方承担。</w:t>
            </w:r>
          </w:p>
          <w:p w14:paraId="4E37AFF5">
            <w:pPr>
              <w:widowControl/>
              <w:spacing w:line="360" w:lineRule="exact"/>
              <w:rPr>
                <w:rFonts w:hint="eastAsia" w:asciiTheme="minorEastAsia" w:hAnsiTheme="minorEastAsia" w:eastAsiaTheme="minorEastAsia" w:cstheme="minorEastAsia"/>
                <w:color w:val="000000"/>
                <w:sz w:val="24"/>
                <w:szCs w:val="24"/>
                <w:highlight w:val="white"/>
              </w:rPr>
            </w:pPr>
            <w:bookmarkStart w:id="46" w:name="_Toc18778"/>
            <w:r>
              <w:rPr>
                <w:rFonts w:hint="eastAsia" w:asciiTheme="minorEastAsia" w:hAnsiTheme="minorEastAsia" w:eastAsiaTheme="minorEastAsia" w:cstheme="minorEastAsia"/>
                <w:color w:val="000000"/>
                <w:sz w:val="24"/>
                <w:szCs w:val="24"/>
                <w:highlight w:val="white"/>
              </w:rPr>
              <w:t>如项目中标单位对损坏或老化的设备（或备品备件），不予更换，对采购需求的软件升级不予升级的，采购人将自行选择维护、维修单位和软件维护、升级单位，由此产生包括维护、设备更换和软件维护、升级的一切费用，采购人将从中标单位的合同价款中扣除，不足的，由中标单位无条件补齐，否则采购人将上报招投标监管部门，记中标单位不良记录。</w:t>
            </w:r>
            <w:bookmarkEnd w:id="46"/>
          </w:p>
          <w:p w14:paraId="708D0180">
            <w:pPr>
              <w:widowControl/>
              <w:spacing w:line="360" w:lineRule="exact"/>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供应商应该在投标文件中上传真实、有效、充分的证明材料，凡弄虚作假，提供假证明、假文件、假材料的，一经查实，由采购人取消其投标资格，并按有关规定予以处罚；对已经宣布中标的供应商则由采购人取消其中标资格，并按有关规定予以处罚。</w:t>
            </w:r>
          </w:p>
        </w:tc>
      </w:tr>
    </w:tbl>
    <w:p w14:paraId="71E6AC65">
      <w:pPr>
        <w:pStyle w:val="17"/>
        <w:spacing w:before="0" w:after="0" w:line="560" w:lineRule="exact"/>
        <w:ind w:firstLine="498"/>
        <w:rPr>
          <w:rFonts w:hint="eastAsia" w:ascii="宋体" w:hAnsi="宋体" w:cs="宋体"/>
          <w:color w:val="000000"/>
          <w:highlight w:val="white"/>
        </w:rPr>
      </w:pPr>
    </w:p>
    <w:p w14:paraId="212D05BD">
      <w:pPr>
        <w:pStyle w:val="17"/>
        <w:spacing w:before="0" w:after="0" w:line="360" w:lineRule="auto"/>
        <w:ind w:firstLine="498"/>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一、总则</w:t>
      </w:r>
    </w:p>
    <w:p w14:paraId="0F1E9C67">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47" w:name="_Hlt16619475"/>
      <w:bookmarkEnd w:id="47"/>
      <w:bookmarkStart w:id="48" w:name="_Toc458694821"/>
      <w:bookmarkStart w:id="49" w:name="_Toc20823276"/>
      <w:bookmarkStart w:id="50" w:name="_Toc16938520"/>
      <w:bookmarkStart w:id="51" w:name="_Toc513029204"/>
      <w:r>
        <w:rPr>
          <w:rFonts w:hint="eastAsia" w:asciiTheme="minorEastAsia" w:hAnsiTheme="minorEastAsia" w:eastAsiaTheme="minorEastAsia" w:cstheme="minorEastAsia"/>
          <w:b w:val="0"/>
          <w:bCs w:val="0"/>
          <w:color w:val="000000"/>
          <w:sz w:val="24"/>
          <w:szCs w:val="24"/>
          <w:highlight w:val="white"/>
        </w:rPr>
        <w:t>1</w:t>
      </w:r>
      <w:bookmarkEnd w:id="48"/>
      <w:r>
        <w:rPr>
          <w:rFonts w:hint="eastAsia" w:asciiTheme="minorEastAsia" w:hAnsiTheme="minorEastAsia" w:eastAsiaTheme="minorEastAsia" w:cstheme="minorEastAsia"/>
          <w:b w:val="0"/>
          <w:bCs w:val="0"/>
          <w:color w:val="000000"/>
          <w:sz w:val="24"/>
          <w:szCs w:val="24"/>
          <w:highlight w:val="white"/>
        </w:rPr>
        <w:t>、招标方式</w:t>
      </w:r>
      <w:bookmarkEnd w:id="49"/>
      <w:bookmarkEnd w:id="50"/>
      <w:bookmarkEnd w:id="51"/>
    </w:p>
    <w:p w14:paraId="72A61F62">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1.1 本次招标采取公开招标方式，本招标文件仅适用于招标公告中所述项目。</w:t>
      </w:r>
    </w:p>
    <w:p w14:paraId="0830AE86">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52" w:name="_Toc20823277"/>
      <w:bookmarkStart w:id="53" w:name="_Toc513029205"/>
      <w:bookmarkStart w:id="54" w:name="_Toc16938521"/>
      <w:r>
        <w:rPr>
          <w:rFonts w:hint="eastAsia" w:asciiTheme="minorEastAsia" w:hAnsiTheme="minorEastAsia" w:eastAsiaTheme="minorEastAsia" w:cstheme="minorEastAsia"/>
          <w:b w:val="0"/>
          <w:bCs w:val="0"/>
          <w:color w:val="000000"/>
          <w:sz w:val="24"/>
          <w:szCs w:val="24"/>
          <w:highlight w:val="white"/>
        </w:rPr>
        <w:t>2、合格的</w:t>
      </w:r>
      <w:bookmarkEnd w:id="52"/>
      <w:bookmarkEnd w:id="53"/>
      <w:bookmarkEnd w:id="54"/>
      <w:r>
        <w:rPr>
          <w:rFonts w:hint="eastAsia" w:asciiTheme="minorEastAsia" w:hAnsiTheme="minorEastAsia" w:eastAsiaTheme="minorEastAsia" w:cstheme="minorEastAsia"/>
          <w:b w:val="0"/>
          <w:bCs w:val="0"/>
          <w:color w:val="000000"/>
          <w:sz w:val="24"/>
          <w:szCs w:val="24"/>
          <w:highlight w:val="white"/>
        </w:rPr>
        <w:t>供应商</w:t>
      </w:r>
    </w:p>
    <w:p w14:paraId="6029D2EF">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2.1满足招标公告中供应商的资格要求的规定。</w:t>
      </w:r>
    </w:p>
    <w:p w14:paraId="4E86361C">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2.2 满足本文件实质性要求和条件的规定。</w:t>
      </w:r>
    </w:p>
    <w:p w14:paraId="34DA40D6">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55" w:name="_Toc16938522"/>
      <w:bookmarkStart w:id="56" w:name="_Toc513029206"/>
      <w:bookmarkStart w:id="57" w:name="_Toc20823278"/>
      <w:r>
        <w:rPr>
          <w:rFonts w:hint="eastAsia" w:asciiTheme="minorEastAsia" w:hAnsiTheme="minorEastAsia" w:eastAsiaTheme="minorEastAsia" w:cstheme="minorEastAsia"/>
          <w:b w:val="0"/>
          <w:bCs w:val="0"/>
          <w:color w:val="000000"/>
          <w:sz w:val="24"/>
          <w:szCs w:val="24"/>
          <w:highlight w:val="white"/>
        </w:rPr>
        <w:t>3、适用法律</w:t>
      </w:r>
      <w:bookmarkEnd w:id="55"/>
      <w:bookmarkEnd w:id="56"/>
      <w:bookmarkEnd w:id="57"/>
    </w:p>
    <w:p w14:paraId="7436618C">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3.1 本次招标及由此产生的合同受中华人民共和国有关的法律法规制约和保护。</w:t>
      </w:r>
    </w:p>
    <w:p w14:paraId="36C77654">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58" w:name="_Toc513029207"/>
      <w:bookmarkStart w:id="59" w:name="_Toc16938523"/>
      <w:bookmarkStart w:id="60" w:name="_Toc462564067"/>
      <w:bookmarkStart w:id="61" w:name="_Toc20823279"/>
      <w:r>
        <w:rPr>
          <w:rFonts w:hint="eastAsia" w:asciiTheme="minorEastAsia" w:hAnsiTheme="minorEastAsia" w:eastAsiaTheme="minorEastAsia" w:cstheme="minorEastAsia"/>
          <w:b w:val="0"/>
          <w:bCs w:val="0"/>
          <w:color w:val="000000"/>
          <w:sz w:val="24"/>
          <w:szCs w:val="24"/>
          <w:highlight w:val="white"/>
        </w:rPr>
        <w:t>4、投标费用</w:t>
      </w:r>
      <w:bookmarkEnd w:id="58"/>
      <w:bookmarkEnd w:id="59"/>
      <w:bookmarkEnd w:id="60"/>
      <w:bookmarkEnd w:id="61"/>
    </w:p>
    <w:p w14:paraId="58287CBB">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4.1 供应商应自行承担所有与参加投标有关的费用，无论投标过程中的做法和结果如何，</w:t>
      </w:r>
      <w:r>
        <w:rPr>
          <w:rFonts w:hint="eastAsia" w:asciiTheme="minorEastAsia" w:hAnsiTheme="minorEastAsia" w:eastAsiaTheme="minorEastAsia" w:cstheme="minorEastAsia"/>
          <w:b/>
          <w:bCs/>
          <w:color w:val="000000"/>
          <w:sz w:val="24"/>
          <w:szCs w:val="24"/>
          <w:highlight w:val="white"/>
          <w:u w:val="single"/>
        </w:rPr>
        <w:t xml:space="preserve"> 江苏开源工程咨询监理有限公司</w:t>
      </w:r>
      <w:r>
        <w:rPr>
          <w:rFonts w:hint="eastAsia" w:asciiTheme="minorEastAsia" w:hAnsiTheme="minorEastAsia" w:eastAsiaTheme="minorEastAsia" w:cstheme="minorEastAsia"/>
          <w:color w:val="000000"/>
          <w:sz w:val="24"/>
          <w:szCs w:val="24"/>
          <w:highlight w:val="white"/>
          <w:u w:val="single"/>
        </w:rPr>
        <w:t xml:space="preserve">  </w:t>
      </w:r>
      <w:r>
        <w:rPr>
          <w:rFonts w:hint="eastAsia" w:asciiTheme="minorEastAsia" w:hAnsiTheme="minorEastAsia" w:eastAsiaTheme="minorEastAsia" w:cstheme="minorEastAsia"/>
          <w:color w:val="000000"/>
          <w:sz w:val="24"/>
          <w:szCs w:val="24"/>
          <w:highlight w:val="white"/>
        </w:rPr>
        <w:t>（以下简称采购代理机构）在任何情况下均无义务和责任承担这些费用。</w:t>
      </w:r>
    </w:p>
    <w:p w14:paraId="63B936FB">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4.2代理费用收取方式及标准：按以下第</w:t>
      </w:r>
      <w:r>
        <w:rPr>
          <w:rFonts w:hint="eastAsia" w:asciiTheme="minorEastAsia" w:hAnsiTheme="minorEastAsia" w:eastAsiaTheme="minorEastAsia" w:cstheme="minorEastAsia"/>
          <w:color w:val="000000"/>
          <w:sz w:val="24"/>
          <w:szCs w:val="24"/>
          <w:highlight w:val="white"/>
          <w:u w:val="single"/>
        </w:rPr>
        <w:t xml:space="preserve">  4.2.2   </w:t>
      </w:r>
      <w:r>
        <w:rPr>
          <w:rFonts w:hint="eastAsia" w:asciiTheme="minorEastAsia" w:hAnsiTheme="minorEastAsia" w:eastAsiaTheme="minorEastAsia" w:cstheme="minorEastAsia"/>
          <w:color w:val="000000"/>
          <w:sz w:val="24"/>
          <w:szCs w:val="24"/>
          <w:highlight w:val="white"/>
        </w:rPr>
        <w:t xml:space="preserve"> 种方式执行</w:t>
      </w:r>
    </w:p>
    <w:p w14:paraId="06335EC5">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lang w:val="zh-CN"/>
        </w:rPr>
        <w:t>4.2.1无需支付；</w:t>
      </w:r>
    </w:p>
    <w:p w14:paraId="04A16BDF">
      <w:pPr>
        <w:pStyle w:val="20"/>
        <w:spacing w:line="360" w:lineRule="auto"/>
        <w:ind w:firstLine="480"/>
        <w:rPr>
          <w:rFonts w:hint="eastAsia" w:asciiTheme="minorEastAsia" w:hAnsiTheme="minorEastAsia" w:eastAsiaTheme="minorEastAsia" w:cstheme="minorEastAsia"/>
          <w:color w:val="000000"/>
          <w:sz w:val="24"/>
          <w:szCs w:val="24"/>
          <w:highlight w:val="white"/>
          <w:u w:val="single"/>
        </w:rPr>
      </w:pPr>
      <w:r>
        <w:rPr>
          <w:rFonts w:hint="eastAsia" w:asciiTheme="minorEastAsia" w:hAnsiTheme="minorEastAsia" w:eastAsiaTheme="minorEastAsia" w:cstheme="minorEastAsia"/>
          <w:color w:val="000000"/>
          <w:sz w:val="24"/>
          <w:szCs w:val="24"/>
          <w:highlight w:val="white"/>
          <w:lang w:val="zh-CN"/>
        </w:rPr>
        <w:t>4.2.2：</w:t>
      </w:r>
      <w:r>
        <w:rPr>
          <w:rFonts w:hint="eastAsia" w:ascii="宋体" w:hAnsi="宋体" w:eastAsia="宋体" w:cs="宋体"/>
          <w:bCs/>
          <w:sz w:val="24"/>
        </w:rPr>
        <w:t>中标人支付：</w:t>
      </w:r>
      <w:r>
        <w:rPr>
          <w:rFonts w:hint="eastAsia" w:asciiTheme="minorEastAsia" w:hAnsiTheme="minorEastAsia" w:eastAsiaTheme="minorEastAsia" w:cstheme="minorEastAsia"/>
          <w:sz w:val="24"/>
          <w:szCs w:val="24"/>
          <w:highlight w:val="white"/>
          <w:u w:val="single"/>
        </w:rPr>
        <w:t>参照</w:t>
      </w:r>
      <w:r>
        <w:rPr>
          <w:rFonts w:hint="eastAsia" w:asciiTheme="minorEastAsia" w:hAnsiTheme="minorEastAsia" w:eastAsiaTheme="minorEastAsia" w:cstheme="minorEastAsia"/>
          <w:sz w:val="24"/>
          <w:szCs w:val="24"/>
          <w:highlight w:val="white"/>
          <w:u w:val="single"/>
          <w:lang w:val="en-US"/>
        </w:rPr>
        <w:t>苏招协【2022】002 收费标准支付</w:t>
      </w:r>
      <w:r>
        <w:rPr>
          <w:rFonts w:hint="eastAsia" w:asciiTheme="minorEastAsia" w:hAnsiTheme="minorEastAsia" w:eastAsiaTheme="minorEastAsia" w:cstheme="minorEastAsia"/>
          <w:color w:val="000000"/>
          <w:sz w:val="24"/>
          <w:szCs w:val="24"/>
          <w:highlight w:val="white"/>
          <w:u w:val="single"/>
          <w:lang w:val="en-US"/>
        </w:rPr>
        <w:t>；</w:t>
      </w:r>
      <w:r>
        <w:rPr>
          <w:rFonts w:hint="eastAsia" w:asciiTheme="minorEastAsia" w:hAnsiTheme="minorEastAsia" w:eastAsiaTheme="minorEastAsia" w:cstheme="minorEastAsia"/>
          <w:color w:val="000000"/>
          <w:sz w:val="24"/>
          <w:szCs w:val="24"/>
          <w:highlight w:val="white"/>
          <w:u w:val="single"/>
        </w:rPr>
        <w:t>支付方式可以通过</w:t>
      </w:r>
      <w:r>
        <w:rPr>
          <w:rFonts w:hint="eastAsia" w:asciiTheme="minorEastAsia" w:hAnsiTheme="minorEastAsia" w:eastAsiaTheme="minorEastAsia" w:cstheme="minorEastAsia"/>
          <w:color w:val="000000"/>
          <w:sz w:val="24"/>
          <w:szCs w:val="24"/>
          <w:highlight w:val="white"/>
          <w:u w:val="single"/>
          <w:lang w:val="en-US" w:eastAsia="zh-CN"/>
        </w:rPr>
        <w:t>现金、</w:t>
      </w:r>
      <w:r>
        <w:rPr>
          <w:rFonts w:hint="eastAsia" w:asciiTheme="minorEastAsia" w:hAnsiTheme="minorEastAsia" w:eastAsiaTheme="minorEastAsia" w:cstheme="minorEastAsia"/>
          <w:color w:val="000000"/>
          <w:sz w:val="24"/>
          <w:szCs w:val="24"/>
          <w:highlight w:val="white"/>
          <w:u w:val="single"/>
        </w:rPr>
        <w:t>转账或数字人民币等方式。</w:t>
      </w:r>
    </w:p>
    <w:p w14:paraId="0E065F49">
      <w:pPr>
        <w:pStyle w:val="25"/>
        <w:spacing w:before="0" w:after="0" w:line="360" w:lineRule="auto"/>
        <w:ind w:firstLine="602"/>
        <w:rPr>
          <w:rFonts w:hint="eastAsia" w:asciiTheme="minorEastAsia" w:hAnsiTheme="minorEastAsia" w:eastAsiaTheme="minorEastAsia" w:cstheme="minorEastAsia"/>
          <w:b w:val="0"/>
          <w:bCs w:val="0"/>
          <w:color w:val="000000"/>
          <w:sz w:val="24"/>
          <w:szCs w:val="24"/>
          <w:highlight w:val="white"/>
        </w:rPr>
      </w:pPr>
      <w:r>
        <w:rPr>
          <w:rFonts w:hint="eastAsia" w:asciiTheme="minorEastAsia" w:hAnsiTheme="minorEastAsia" w:eastAsiaTheme="minorEastAsia" w:cstheme="minorEastAsia"/>
          <w:color w:val="000000"/>
          <w:sz w:val="24"/>
          <w:szCs w:val="24"/>
          <w:highlight w:val="white"/>
        </w:rPr>
        <w:t>5、</w:t>
      </w:r>
      <w:r>
        <w:rPr>
          <w:rFonts w:hint="eastAsia" w:asciiTheme="minorEastAsia" w:hAnsiTheme="minorEastAsia" w:eastAsiaTheme="minorEastAsia" w:cstheme="minorEastAsia"/>
          <w:b w:val="0"/>
          <w:bCs w:val="0"/>
          <w:color w:val="000000"/>
          <w:sz w:val="24"/>
          <w:szCs w:val="24"/>
          <w:highlight w:val="white"/>
        </w:rPr>
        <w:t>招标文件的约束力</w:t>
      </w:r>
    </w:p>
    <w:p w14:paraId="409D1E8B">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5.1</w:t>
      </w:r>
      <w:r>
        <w:rPr>
          <w:rFonts w:hint="eastAsia" w:asciiTheme="minorEastAsia" w:hAnsiTheme="minorEastAsia" w:eastAsiaTheme="minorEastAsia" w:cstheme="minorEastAsia"/>
          <w:color w:val="000000"/>
          <w:sz w:val="24"/>
          <w:szCs w:val="24"/>
          <w:highlight w:val="white"/>
        </w:rPr>
        <w:t xml:space="preserve"> 供应商一旦参加本项目采购活动，即被认为接受了本招标文件的规定和约束。</w:t>
      </w:r>
    </w:p>
    <w:p w14:paraId="4A2CC5CF">
      <w:pPr>
        <w:pStyle w:val="17"/>
        <w:spacing w:before="0" w:after="0" w:line="360" w:lineRule="auto"/>
        <w:ind w:firstLine="321"/>
        <w:rPr>
          <w:rFonts w:hint="eastAsia" w:asciiTheme="minorEastAsia" w:hAnsiTheme="minorEastAsia" w:eastAsiaTheme="minorEastAsia" w:cstheme="minorEastAsia"/>
          <w:color w:val="000000"/>
          <w:sz w:val="24"/>
          <w:szCs w:val="24"/>
          <w:highlight w:val="white"/>
        </w:rPr>
      </w:pPr>
      <w:bookmarkStart w:id="62" w:name="_Toc20823281"/>
      <w:bookmarkStart w:id="63" w:name="_Toc120614215"/>
      <w:bookmarkStart w:id="64" w:name="_Toc16938525"/>
      <w:bookmarkStart w:id="65" w:name="_Toc513029209"/>
      <w:r>
        <w:rPr>
          <w:rFonts w:hint="eastAsia" w:asciiTheme="minorEastAsia" w:hAnsiTheme="minorEastAsia" w:eastAsiaTheme="minorEastAsia" w:cstheme="minorEastAsia"/>
          <w:color w:val="000000"/>
          <w:sz w:val="24"/>
          <w:szCs w:val="24"/>
          <w:highlight w:val="white"/>
        </w:rPr>
        <w:t>二、招标文件</w:t>
      </w:r>
      <w:bookmarkEnd w:id="62"/>
      <w:bookmarkEnd w:id="63"/>
      <w:bookmarkEnd w:id="64"/>
      <w:bookmarkEnd w:id="65"/>
    </w:p>
    <w:p w14:paraId="2356619C">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66" w:name="_Toc16938526"/>
      <w:bookmarkStart w:id="67" w:name="_Toc20823282"/>
      <w:bookmarkStart w:id="68" w:name="_Toc513029210"/>
      <w:r>
        <w:rPr>
          <w:rFonts w:hint="eastAsia" w:asciiTheme="minorEastAsia" w:hAnsiTheme="minorEastAsia" w:eastAsiaTheme="minorEastAsia" w:cstheme="minorEastAsia"/>
          <w:b w:val="0"/>
          <w:bCs w:val="0"/>
          <w:color w:val="000000"/>
          <w:sz w:val="24"/>
          <w:szCs w:val="24"/>
          <w:highlight w:val="white"/>
        </w:rPr>
        <w:t>6、招标文件构成</w:t>
      </w:r>
      <w:bookmarkEnd w:id="66"/>
      <w:bookmarkEnd w:id="67"/>
      <w:bookmarkEnd w:id="68"/>
    </w:p>
    <w:p w14:paraId="56202AF6">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6.1</w:t>
      </w:r>
      <w:r>
        <w:rPr>
          <w:rFonts w:hint="eastAsia" w:asciiTheme="minorEastAsia" w:hAnsiTheme="minorEastAsia" w:eastAsiaTheme="minorEastAsia" w:cstheme="minorEastAsia"/>
          <w:color w:val="000000"/>
          <w:sz w:val="24"/>
          <w:szCs w:val="24"/>
          <w:highlight w:val="white"/>
        </w:rPr>
        <w:t xml:space="preserve"> 招标文件由以下部分组成：</w:t>
      </w:r>
    </w:p>
    <w:p w14:paraId="58C4CE69">
      <w:pPr>
        <w:spacing w:line="360" w:lineRule="auto"/>
        <w:ind w:firstLine="36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（1）投标邀请</w:t>
      </w:r>
    </w:p>
    <w:p w14:paraId="2822A778">
      <w:pPr>
        <w:spacing w:line="360" w:lineRule="auto"/>
        <w:ind w:firstLine="36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（2）供应商须知</w:t>
      </w:r>
    </w:p>
    <w:p w14:paraId="3F14A578">
      <w:pPr>
        <w:spacing w:line="360" w:lineRule="auto"/>
        <w:ind w:firstLine="36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（3）合同文本</w:t>
      </w:r>
    </w:p>
    <w:p w14:paraId="7D177D89">
      <w:pPr>
        <w:spacing w:line="360" w:lineRule="auto"/>
        <w:ind w:firstLine="36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（4）采购需求</w:t>
      </w:r>
    </w:p>
    <w:p w14:paraId="4D5437F7">
      <w:pPr>
        <w:spacing w:line="360" w:lineRule="auto"/>
        <w:ind w:firstLine="36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（5）评标方法与评标标准</w:t>
      </w:r>
    </w:p>
    <w:p w14:paraId="09941C55">
      <w:pPr>
        <w:spacing w:line="360" w:lineRule="auto"/>
        <w:ind w:firstLine="36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（6）投标文件格式</w:t>
      </w:r>
    </w:p>
    <w:p w14:paraId="4552BD60">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请仔细检查招标文件是否齐全，如有缺漏请立即与采购代理机构联系解决。</w:t>
      </w:r>
    </w:p>
    <w:p w14:paraId="0970026C">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6.2</w:t>
      </w:r>
      <w:r>
        <w:rPr>
          <w:rFonts w:hint="eastAsia" w:asciiTheme="minorEastAsia" w:hAnsiTheme="minorEastAsia" w:eastAsiaTheme="minorEastAsia" w:cstheme="minorEastAsia"/>
          <w:color w:val="000000"/>
          <w:sz w:val="24"/>
          <w:szCs w:val="24"/>
          <w:highlight w:val="whit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05C76BE9">
      <w:pPr>
        <w:pStyle w:val="25"/>
        <w:spacing w:before="0" w:after="0" w:line="360" w:lineRule="auto"/>
        <w:ind w:firstLine="560"/>
        <w:rPr>
          <w:rFonts w:hint="eastAsia" w:asciiTheme="minorEastAsia" w:hAnsiTheme="minorEastAsia" w:eastAsiaTheme="minorEastAsia" w:cstheme="minorEastAsia"/>
          <w:b w:val="0"/>
          <w:bCs w:val="0"/>
          <w:color w:val="000000"/>
          <w:sz w:val="24"/>
          <w:szCs w:val="24"/>
          <w:highlight w:val="white"/>
        </w:rPr>
      </w:pPr>
      <w:bookmarkStart w:id="69" w:name="_Toc513029211"/>
      <w:bookmarkStart w:id="70" w:name="_Toc20823283"/>
      <w:bookmarkStart w:id="71" w:name="_Toc462564070"/>
      <w:bookmarkStart w:id="72" w:name="_Toc16938527"/>
      <w:r>
        <w:rPr>
          <w:rFonts w:hint="eastAsia" w:asciiTheme="minorEastAsia" w:hAnsiTheme="minorEastAsia" w:eastAsiaTheme="minorEastAsia" w:cstheme="minorEastAsia"/>
          <w:b w:val="0"/>
          <w:bCs w:val="0"/>
          <w:color w:val="000000"/>
          <w:sz w:val="24"/>
          <w:szCs w:val="24"/>
          <w:highlight w:val="white"/>
        </w:rPr>
        <w:t>7、招标文件的澄清</w:t>
      </w:r>
      <w:bookmarkEnd w:id="69"/>
      <w:bookmarkEnd w:id="70"/>
      <w:bookmarkEnd w:id="71"/>
      <w:bookmarkEnd w:id="72"/>
    </w:p>
    <w:p w14:paraId="3DAB29EC">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7.1</w:t>
      </w:r>
      <w:r>
        <w:rPr>
          <w:rFonts w:hint="eastAsia" w:asciiTheme="minorEastAsia" w:hAnsiTheme="minorEastAsia" w:eastAsiaTheme="minorEastAsia" w:cstheme="minorEastAsia"/>
          <w:color w:val="000000"/>
          <w:sz w:val="24"/>
          <w:szCs w:val="24"/>
          <w:highlight w:val="white"/>
        </w:rPr>
        <w:t xml:space="preserve"> 任何要求对招标文件进行澄清的供应商，应在投标截止期</w:t>
      </w:r>
      <w:r>
        <w:rPr>
          <w:rFonts w:hint="eastAsia" w:asciiTheme="minorEastAsia" w:hAnsiTheme="minorEastAsia" w:eastAsiaTheme="minorEastAsia" w:cstheme="minorEastAsia"/>
          <w:bCs/>
          <w:color w:val="000000"/>
          <w:sz w:val="24"/>
          <w:szCs w:val="24"/>
          <w:highlight w:val="white"/>
        </w:rPr>
        <w:t>十日</w:t>
      </w:r>
      <w:r>
        <w:rPr>
          <w:rFonts w:hint="eastAsia" w:asciiTheme="minorEastAsia" w:hAnsiTheme="minorEastAsia" w:eastAsiaTheme="minorEastAsia" w:cstheme="minorEastAsia"/>
          <w:color w:val="000000"/>
          <w:sz w:val="24"/>
          <w:szCs w:val="24"/>
          <w:highlight w:val="white"/>
        </w:rPr>
        <w:t>前按招标公告中的通讯地址，以书面形式通知采购代理机构。</w:t>
      </w:r>
    </w:p>
    <w:p w14:paraId="20F670EF">
      <w:pPr>
        <w:pStyle w:val="25"/>
        <w:spacing w:before="0" w:after="0" w:line="360" w:lineRule="auto"/>
        <w:ind w:firstLine="560"/>
        <w:rPr>
          <w:rFonts w:hint="eastAsia" w:asciiTheme="minorEastAsia" w:hAnsiTheme="minorEastAsia" w:eastAsiaTheme="minorEastAsia" w:cstheme="minorEastAsia"/>
          <w:b w:val="0"/>
          <w:bCs w:val="0"/>
          <w:color w:val="000000"/>
          <w:sz w:val="24"/>
          <w:szCs w:val="24"/>
          <w:highlight w:val="white"/>
        </w:rPr>
      </w:pPr>
      <w:bookmarkStart w:id="73" w:name="_Toc513029212"/>
      <w:bookmarkStart w:id="74" w:name="_Toc16938528"/>
      <w:bookmarkStart w:id="75" w:name="_Toc20823284"/>
      <w:bookmarkStart w:id="76" w:name="_Toc462564071"/>
      <w:r>
        <w:rPr>
          <w:rFonts w:hint="eastAsia" w:asciiTheme="minorEastAsia" w:hAnsiTheme="minorEastAsia" w:eastAsiaTheme="minorEastAsia" w:cstheme="minorEastAsia"/>
          <w:b w:val="0"/>
          <w:bCs w:val="0"/>
          <w:color w:val="000000"/>
          <w:sz w:val="24"/>
          <w:szCs w:val="24"/>
          <w:highlight w:val="white"/>
        </w:rPr>
        <w:t>8、招标文件的修改</w:t>
      </w:r>
      <w:bookmarkEnd w:id="73"/>
      <w:bookmarkEnd w:id="74"/>
      <w:bookmarkEnd w:id="75"/>
      <w:bookmarkEnd w:id="76"/>
    </w:p>
    <w:p w14:paraId="43E2A09C">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4E13A48F">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8.2 在投标截止时间前，采购代理机构可以对招标文件进行修改。</w:t>
      </w:r>
    </w:p>
    <w:p w14:paraId="691420F6">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8.3 采购代理机构有权按照法定的要求推迟投标截止日期和开标日期。</w:t>
      </w:r>
    </w:p>
    <w:p w14:paraId="4969FCDA">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8.4招标文件的修改将在原公告媒体上发布更正公告，补充文件将作为招标文件的组成部分，并对供应商具有约束力，发布的更正公告视同为以书面形式通知所有获取招标文件的潜在供应商。</w:t>
      </w:r>
    </w:p>
    <w:p w14:paraId="2B155113">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 xml:space="preserve">8.5供应商应及时登录“苏采云”系统获取澄清答疑文件（修改后招标文件），如因供应商原因未能及时下载澄清和修改后的招标文件，由此造成的相关责任，由供应商承担。 </w:t>
      </w:r>
    </w:p>
    <w:p w14:paraId="14B924C0">
      <w:pPr>
        <w:pStyle w:val="17"/>
        <w:spacing w:before="0" w:after="0" w:line="360" w:lineRule="auto"/>
        <w:ind w:firstLine="482"/>
        <w:rPr>
          <w:rFonts w:hint="eastAsia" w:asciiTheme="minorEastAsia" w:hAnsiTheme="minorEastAsia" w:eastAsiaTheme="minorEastAsia" w:cstheme="minorEastAsia"/>
          <w:color w:val="000000"/>
          <w:sz w:val="24"/>
          <w:szCs w:val="24"/>
          <w:highlight w:val="white"/>
        </w:rPr>
      </w:pPr>
      <w:bookmarkStart w:id="77" w:name="_Toc513029213"/>
      <w:bookmarkStart w:id="78" w:name="_Toc462564072"/>
      <w:bookmarkStart w:id="79" w:name="_Toc16938529"/>
      <w:bookmarkStart w:id="80" w:name="_Toc20823285"/>
      <w:bookmarkStart w:id="81" w:name="_Toc120614216"/>
      <w:r>
        <w:rPr>
          <w:rFonts w:hint="eastAsia" w:asciiTheme="minorEastAsia" w:hAnsiTheme="minorEastAsia" w:eastAsiaTheme="minorEastAsia" w:cstheme="minorEastAsia"/>
          <w:color w:val="000000"/>
          <w:sz w:val="24"/>
          <w:szCs w:val="24"/>
          <w:highlight w:val="white"/>
        </w:rPr>
        <w:t>三、投标文件的编制</w:t>
      </w:r>
      <w:bookmarkEnd w:id="77"/>
      <w:bookmarkEnd w:id="78"/>
      <w:bookmarkEnd w:id="79"/>
      <w:bookmarkEnd w:id="80"/>
      <w:bookmarkEnd w:id="81"/>
    </w:p>
    <w:p w14:paraId="5F331B1B">
      <w:pPr>
        <w:pStyle w:val="25"/>
        <w:spacing w:before="0" w:after="0" w:line="360" w:lineRule="auto"/>
        <w:ind w:firstLine="560"/>
        <w:rPr>
          <w:rFonts w:hint="eastAsia" w:asciiTheme="minorEastAsia" w:hAnsiTheme="minorEastAsia" w:eastAsiaTheme="minorEastAsia" w:cstheme="minorEastAsia"/>
          <w:bCs w:val="0"/>
          <w:color w:val="000000"/>
          <w:sz w:val="24"/>
          <w:szCs w:val="24"/>
          <w:highlight w:val="white"/>
        </w:rPr>
      </w:pPr>
      <w:bookmarkStart w:id="82" w:name="_Toc20823286"/>
      <w:bookmarkStart w:id="83" w:name="_Toc16938530"/>
      <w:bookmarkStart w:id="84" w:name="_Toc462564073"/>
      <w:bookmarkStart w:id="85" w:name="_Toc513029214"/>
      <w:r>
        <w:rPr>
          <w:rFonts w:hint="eastAsia" w:asciiTheme="minorEastAsia" w:hAnsiTheme="minorEastAsia" w:eastAsiaTheme="minorEastAsia" w:cstheme="minorEastAsia"/>
          <w:b w:val="0"/>
          <w:bCs w:val="0"/>
          <w:color w:val="000000"/>
          <w:sz w:val="24"/>
          <w:szCs w:val="24"/>
          <w:highlight w:val="white"/>
        </w:rPr>
        <w:t>9、投标文件的语言及度量衡单位</w:t>
      </w:r>
      <w:bookmarkEnd w:id="82"/>
      <w:bookmarkEnd w:id="83"/>
      <w:bookmarkEnd w:id="84"/>
      <w:bookmarkEnd w:id="85"/>
    </w:p>
    <w:p w14:paraId="5903ABC8">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9.1</w:t>
      </w:r>
      <w:r>
        <w:rPr>
          <w:rFonts w:hint="eastAsia" w:asciiTheme="minorEastAsia" w:hAnsiTheme="minorEastAsia" w:eastAsiaTheme="minorEastAsia" w:cstheme="minorEastAsia"/>
          <w:color w:val="000000"/>
          <w:sz w:val="24"/>
          <w:szCs w:val="24"/>
          <w:highlight w:val="white"/>
        </w:rPr>
        <w:t xml:space="preserve"> 供应商提交的投标文件以及供应商与采购代理机构就有关投标的所有来往通知、函件和文件均应使用</w:t>
      </w:r>
      <w:r>
        <w:rPr>
          <w:rFonts w:hint="eastAsia" w:asciiTheme="minorEastAsia" w:hAnsiTheme="minorEastAsia" w:eastAsiaTheme="minorEastAsia" w:cstheme="minorEastAsia"/>
          <w:b/>
          <w:bCs/>
          <w:color w:val="000000"/>
          <w:sz w:val="24"/>
          <w:szCs w:val="24"/>
          <w:highlight w:val="white"/>
        </w:rPr>
        <w:t>简体中文</w:t>
      </w:r>
      <w:r>
        <w:rPr>
          <w:rFonts w:hint="eastAsia" w:asciiTheme="minorEastAsia" w:hAnsiTheme="minorEastAsia" w:eastAsiaTheme="minorEastAsia" w:cstheme="minorEastAsia"/>
          <w:color w:val="000000"/>
          <w:sz w:val="24"/>
          <w:szCs w:val="24"/>
          <w:highlight w:val="white"/>
        </w:rPr>
        <w:t>。</w:t>
      </w:r>
    </w:p>
    <w:p w14:paraId="13243DC2">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9.2</w:t>
      </w:r>
      <w:r>
        <w:rPr>
          <w:rFonts w:hint="eastAsia" w:asciiTheme="minorEastAsia" w:hAnsiTheme="minorEastAsia" w:eastAsiaTheme="minorEastAsia" w:cstheme="minorEastAsia"/>
          <w:color w:val="000000"/>
          <w:sz w:val="24"/>
          <w:szCs w:val="24"/>
          <w:highlight w:val="white"/>
        </w:rPr>
        <w:t xml:space="preserve"> 除技术性能另有规定外，投标文件所使用的度量衡单位，均须采用国家法定计量单位。</w:t>
      </w:r>
    </w:p>
    <w:p w14:paraId="0539C8DB">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86" w:name="_Toc462564074"/>
      <w:bookmarkStart w:id="87" w:name="_Toc16938531"/>
      <w:bookmarkStart w:id="88" w:name="_Toc20823287"/>
      <w:bookmarkStart w:id="89" w:name="_Toc513029215"/>
      <w:r>
        <w:rPr>
          <w:rFonts w:hint="eastAsia" w:asciiTheme="minorEastAsia" w:hAnsiTheme="minorEastAsia" w:eastAsiaTheme="minorEastAsia" w:cstheme="minorEastAsia"/>
          <w:b w:val="0"/>
          <w:bCs w:val="0"/>
          <w:color w:val="000000"/>
          <w:sz w:val="24"/>
          <w:szCs w:val="24"/>
          <w:highlight w:val="white"/>
        </w:rPr>
        <w:t>10、投标文件构成</w:t>
      </w:r>
      <w:bookmarkEnd w:id="86"/>
      <w:bookmarkEnd w:id="87"/>
      <w:bookmarkEnd w:id="88"/>
      <w:bookmarkEnd w:id="89"/>
    </w:p>
    <w:p w14:paraId="572BDE37">
      <w:pPr>
        <w:widowControl/>
        <w:spacing w:line="360" w:lineRule="auto"/>
        <w:ind w:firstLine="480"/>
        <w:jc w:val="left"/>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10.1供应商应仔细阅读“招标文件”的所有内容，参考“招标文件”第六章“投标文件有关格式”编制“电子投标文件”，如有必要，可以增加附页，作为投标文件的组成部分。本次招标不接受纸质投标文件。供应商须保证所提供的全部资料的真实性、完整性及有效性，以使其投标对“招标文件”作出实质性响应。否则，可能被拒绝。</w:t>
      </w:r>
    </w:p>
    <w:p w14:paraId="4B43D37C">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各供应商在编制投标文件时请按照招标文件第六</w:t>
      </w:r>
      <w:r>
        <w:rPr>
          <w:rFonts w:hint="eastAsia" w:asciiTheme="minorEastAsia" w:hAnsiTheme="minorEastAsia" w:eastAsiaTheme="minorEastAsia" w:cstheme="minorEastAsia"/>
          <w:bCs/>
          <w:color w:val="000000"/>
          <w:sz w:val="24"/>
          <w:szCs w:val="24"/>
          <w:highlight w:val="white"/>
        </w:rPr>
        <w:t>章</w:t>
      </w:r>
      <w:r>
        <w:rPr>
          <w:rFonts w:hint="eastAsia" w:asciiTheme="minorEastAsia" w:hAnsiTheme="minorEastAsia" w:eastAsiaTheme="minorEastAsia" w:cstheme="minorEastAsia"/>
          <w:bCs/>
          <w:color w:val="000000"/>
          <w:sz w:val="24"/>
          <w:szCs w:val="24"/>
          <w:highlight w:val="white"/>
          <w:lang w:val="zh-CN"/>
        </w:rPr>
        <w:t>规定的格式进行，混乱的编排导致投标文件被误读或评委会查找不到有效文件是供应商的风险。</w:t>
      </w:r>
    </w:p>
    <w:p w14:paraId="1C8DA237">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10.2 供应商编写的投标文件应包括资格证明文件、符合性证明文件、投标报价明细表、技术响应及偏离表、其他证明文件、投标声明及承诺函、开标一览表等部分。</w:t>
      </w:r>
    </w:p>
    <w:p w14:paraId="4183506C">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 xml:space="preserve">10.3投标文件须加盖电子签章之处，应按要求加盖供应商数字证书的电子签章。其他需要盖章但未明确要求电子签章的，供应商可按要求加盖公章后上传材料电子件或直接加盖电子签章。 </w:t>
      </w:r>
    </w:p>
    <w:p w14:paraId="3A55F60D">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52067DC6">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10.5 如标书制作工具中格式和内容与“宿迁市政府采购网”发布的招标文件不一致，请以“宿迁市政府采购网”发布的招标文件为准。</w:t>
      </w:r>
    </w:p>
    <w:p w14:paraId="3190E329">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 xml:space="preserve">10.6中标后按相关要求提供与电子投标文件一致的纸质打印投标文件4份。 </w:t>
      </w:r>
    </w:p>
    <w:p w14:paraId="6036E08D">
      <w:pPr>
        <w:spacing w:line="360" w:lineRule="auto"/>
        <w:ind w:firstLine="480"/>
        <w:rPr>
          <w:rFonts w:hint="eastAsia" w:asciiTheme="minorEastAsia" w:hAnsiTheme="minorEastAsia" w:eastAsiaTheme="minorEastAsia" w:cstheme="minorEastAsia"/>
          <w:bCs/>
          <w:color w:val="000000"/>
          <w:sz w:val="24"/>
          <w:szCs w:val="24"/>
          <w:highlight w:val="white"/>
        </w:rPr>
      </w:pPr>
      <w:bookmarkStart w:id="90" w:name="EBc50e2bb832bb43068403b10c1cce6141"/>
      <w:r>
        <w:rPr>
          <w:rFonts w:hint="eastAsia" w:asciiTheme="minorEastAsia" w:hAnsiTheme="minorEastAsia" w:eastAsiaTheme="minorEastAsia" w:cstheme="minorEastAsia"/>
          <w:bCs/>
          <w:color w:val="000000"/>
          <w:sz w:val="24"/>
          <w:szCs w:val="24"/>
          <w:highlight w:val="white"/>
        </w:rPr>
        <w:t>注：（1）投标文件构成资料为非中文时应提供中文译版；（2）招标文件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投标文件中未包含相关资料电子件的，评委会可以视同其未提供。</w:t>
      </w:r>
      <w:bookmarkEnd w:id="90"/>
    </w:p>
    <w:p w14:paraId="2127948D">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91" w:name="_Hlt26670360"/>
      <w:bookmarkEnd w:id="91"/>
      <w:bookmarkStart w:id="92" w:name="_Hlt26668975"/>
      <w:bookmarkEnd w:id="92"/>
      <w:bookmarkStart w:id="93" w:name="_Hlt26954838"/>
      <w:bookmarkEnd w:id="93"/>
      <w:bookmarkStart w:id="94" w:name="_Toc14577354"/>
      <w:bookmarkStart w:id="95" w:name="_Toc49090507"/>
      <w:bookmarkStart w:id="96" w:name="_Toc513029216"/>
      <w:bookmarkStart w:id="97" w:name="_Toc14577357"/>
      <w:bookmarkStart w:id="98" w:name="_Toc513029219"/>
      <w:bookmarkStart w:id="99" w:name="_Toc49090509"/>
      <w:r>
        <w:rPr>
          <w:rFonts w:hint="eastAsia" w:asciiTheme="minorEastAsia" w:hAnsiTheme="minorEastAsia" w:eastAsiaTheme="minorEastAsia" w:cstheme="minorEastAsia"/>
          <w:b w:val="0"/>
          <w:bCs w:val="0"/>
          <w:color w:val="000000"/>
          <w:sz w:val="24"/>
          <w:szCs w:val="24"/>
          <w:highlight w:val="white"/>
        </w:rPr>
        <w:t>11、证明供应商及投标标的符合招标文件规定的文件</w:t>
      </w:r>
      <w:bookmarkEnd w:id="94"/>
      <w:bookmarkEnd w:id="95"/>
      <w:bookmarkEnd w:id="96"/>
      <w:bookmarkEnd w:id="97"/>
      <w:bookmarkEnd w:id="98"/>
      <w:bookmarkEnd w:id="99"/>
    </w:p>
    <w:p w14:paraId="247E9E59">
      <w:pPr>
        <w:spacing w:line="360" w:lineRule="auto"/>
        <w:rPr>
          <w:rFonts w:hint="eastAsia" w:asciiTheme="minorEastAsia" w:hAnsiTheme="minorEastAsia" w:eastAsiaTheme="minorEastAsia" w:cstheme="minorEastAsia"/>
          <w:color w:val="000000"/>
          <w:sz w:val="24"/>
          <w:szCs w:val="24"/>
          <w:highlight w:val="white"/>
        </w:rPr>
      </w:pPr>
      <w:bookmarkStart w:id="100" w:name="_Toc14577355"/>
      <w:bookmarkStart w:id="101" w:name="_Toc49090508"/>
      <w:r>
        <w:rPr>
          <w:rFonts w:hint="eastAsia" w:asciiTheme="minorEastAsia" w:hAnsiTheme="minorEastAsia" w:eastAsiaTheme="minorEastAsia" w:cstheme="minorEastAsia"/>
          <w:color w:val="000000"/>
          <w:sz w:val="24"/>
          <w:szCs w:val="24"/>
          <w:highlight w:val="white"/>
        </w:rPr>
        <w:t xml:space="preserve">    11.1 供应商应按照法律、法规、规章和规范性文件以及招标文件要求提交证明文件，证明其及投标标的符合招标文件规定。</w:t>
      </w:r>
    </w:p>
    <w:p w14:paraId="7C418131">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11.2招标文件对证明文件无明确形式要求的，证明文件可以以文字资料、图纸和数据等形式提交。</w:t>
      </w:r>
    </w:p>
    <w:p w14:paraId="12556B5D">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r>
        <w:rPr>
          <w:rFonts w:hint="eastAsia" w:asciiTheme="minorEastAsia" w:hAnsiTheme="minorEastAsia" w:eastAsiaTheme="minorEastAsia" w:cstheme="minorEastAsia"/>
          <w:b w:val="0"/>
          <w:bCs w:val="0"/>
          <w:color w:val="000000"/>
          <w:sz w:val="24"/>
          <w:szCs w:val="24"/>
          <w:highlight w:val="white"/>
        </w:rPr>
        <w:t>12、投标分项报价</w:t>
      </w:r>
      <w:bookmarkEnd w:id="100"/>
      <w:bookmarkStart w:id="102" w:name="_Hlt26670373"/>
      <w:bookmarkEnd w:id="102"/>
      <w:r>
        <w:rPr>
          <w:rFonts w:hint="eastAsia" w:asciiTheme="minorEastAsia" w:hAnsiTheme="minorEastAsia" w:eastAsiaTheme="minorEastAsia" w:cstheme="minorEastAsia"/>
          <w:b w:val="0"/>
          <w:bCs w:val="0"/>
          <w:color w:val="000000"/>
          <w:sz w:val="24"/>
          <w:szCs w:val="24"/>
          <w:highlight w:val="white"/>
        </w:rPr>
        <w:t>表</w:t>
      </w:r>
      <w:bookmarkEnd w:id="101"/>
    </w:p>
    <w:p w14:paraId="407CFDA3">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12.1</w:t>
      </w:r>
      <w:r>
        <w:rPr>
          <w:rFonts w:hint="eastAsia" w:asciiTheme="minorEastAsia" w:hAnsiTheme="minorEastAsia" w:eastAsiaTheme="minorEastAsia" w:cstheme="minorEastAsia"/>
          <w:color w:val="000000"/>
          <w:sz w:val="24"/>
          <w:szCs w:val="24"/>
          <w:highlight w:val="white"/>
        </w:rPr>
        <w:t xml:space="preserve"> 供应商应按照招标文件规定格式填报投标分项报价表</w:t>
      </w:r>
      <w:bookmarkStart w:id="103" w:name="_Hlt26670399"/>
      <w:bookmarkEnd w:id="103"/>
      <w:r>
        <w:rPr>
          <w:rFonts w:hint="eastAsia" w:asciiTheme="minorEastAsia" w:hAnsiTheme="minorEastAsia" w:eastAsiaTheme="minorEastAsia" w:cstheme="minorEastAsia"/>
          <w:color w:val="000000"/>
          <w:sz w:val="24"/>
          <w:szCs w:val="24"/>
          <w:highlight w:val="white"/>
        </w:rPr>
        <w:t>(即投标报价明细表）。</w:t>
      </w:r>
    </w:p>
    <w:p w14:paraId="3FA8AABF">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12.2</w:t>
      </w:r>
      <w:r>
        <w:rPr>
          <w:rFonts w:hint="eastAsia" w:asciiTheme="minorEastAsia" w:hAnsiTheme="minorEastAsia" w:eastAsiaTheme="minorEastAsia" w:cstheme="minorEastAsia"/>
          <w:bCs/>
          <w:color w:val="000000"/>
          <w:sz w:val="24"/>
          <w:szCs w:val="24"/>
          <w:highlight w:val="white"/>
        </w:rPr>
        <w:t>投标货币。投标文件中的单价和总价无特殊规定的采用人民币报价，以元为单位标注。</w:t>
      </w:r>
      <w:r>
        <w:rPr>
          <w:rFonts w:hint="eastAsia" w:asciiTheme="minorEastAsia" w:hAnsiTheme="minorEastAsia" w:eastAsiaTheme="minorEastAsia" w:cstheme="minorEastAsia"/>
          <w:color w:val="000000"/>
          <w:sz w:val="24"/>
          <w:szCs w:val="24"/>
          <w:highlight w:val="white"/>
        </w:rPr>
        <w:t>招标文件中另有规定的按规定执行。</w:t>
      </w:r>
    </w:p>
    <w:p w14:paraId="138DE59A">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12.3本项目不接受备选的投标方案或有选择的报价，只允许有一个报价。投标报价内容包括：</w:t>
      </w:r>
      <w:bookmarkStart w:id="104" w:name="EB54dd097a55df4796bd5f9b6bdf2ddc40"/>
      <w:r>
        <w:rPr>
          <w:rFonts w:hint="eastAsia" w:asciiTheme="minorEastAsia" w:hAnsiTheme="minorEastAsia" w:eastAsiaTheme="minorEastAsia" w:cstheme="minorEastAsia"/>
          <w:color w:val="000000"/>
          <w:sz w:val="24"/>
          <w:szCs w:val="24"/>
          <w:highlight w:val="white"/>
        </w:rPr>
        <w:t>本项目采用固定单价合同。</w:t>
      </w:r>
      <w:bookmarkEnd w:id="104"/>
      <w:r>
        <w:rPr>
          <w:rFonts w:hint="eastAsia" w:asciiTheme="minorEastAsia" w:hAnsiTheme="minorEastAsia" w:eastAsiaTheme="minorEastAsia" w:cstheme="minorEastAsia"/>
          <w:color w:val="000000"/>
          <w:sz w:val="24"/>
          <w:szCs w:val="24"/>
          <w:highlight w:val="white"/>
        </w:rPr>
        <w:t>本次投标报价应包括产品本身、标准附件、专用工具、包装、人工费、运输装卸、运输过程中至交付前的保险费、</w:t>
      </w:r>
      <w:r>
        <w:rPr>
          <w:rFonts w:hint="eastAsia" w:asciiTheme="minorEastAsia" w:hAnsiTheme="minorEastAsia" w:eastAsiaTheme="minorEastAsia" w:cstheme="minorEastAsia"/>
          <w:bCs/>
          <w:sz w:val="24"/>
          <w:szCs w:val="24"/>
          <w:highlight w:val="white"/>
        </w:rPr>
        <w:t>售后服务费用、施工安装</w:t>
      </w:r>
      <w:r>
        <w:rPr>
          <w:rFonts w:hint="eastAsia" w:asciiTheme="minorEastAsia" w:hAnsiTheme="minorEastAsia" w:eastAsiaTheme="minorEastAsia" w:cstheme="minorEastAsia"/>
          <w:color w:val="000000"/>
          <w:sz w:val="24"/>
          <w:szCs w:val="24"/>
          <w:highlight w:val="white"/>
        </w:rPr>
        <w:t>、货物保管费用、验收费、税金等完成本项目所涉及到的一切相关费用。</w:t>
      </w:r>
    </w:p>
    <w:p w14:paraId="1557961D">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105" w:name="_Hlt26670403"/>
      <w:bookmarkEnd w:id="105"/>
      <w:bookmarkStart w:id="106" w:name="_Hlt26954842"/>
      <w:bookmarkEnd w:id="106"/>
      <w:bookmarkStart w:id="107" w:name="_Hlt26954846"/>
      <w:bookmarkEnd w:id="107"/>
      <w:bookmarkStart w:id="108" w:name="_Hlt26954844"/>
      <w:bookmarkEnd w:id="108"/>
      <w:bookmarkStart w:id="109" w:name="_Hlt26670486"/>
      <w:bookmarkEnd w:id="109"/>
      <w:bookmarkStart w:id="110" w:name="_Hlt26670425"/>
      <w:bookmarkEnd w:id="110"/>
      <w:bookmarkStart w:id="111" w:name="_Hlt26954848"/>
      <w:bookmarkEnd w:id="111"/>
      <w:bookmarkStart w:id="112" w:name="_Hlt26670482"/>
      <w:bookmarkEnd w:id="112"/>
      <w:bookmarkStart w:id="113" w:name="_Hlt26954731"/>
      <w:bookmarkEnd w:id="113"/>
      <w:bookmarkStart w:id="114" w:name="_Hlt26668983"/>
      <w:bookmarkEnd w:id="114"/>
      <w:bookmarkStart w:id="115" w:name="_Toc49090510"/>
      <w:bookmarkStart w:id="116" w:name="_Toc14577359"/>
      <w:r>
        <w:rPr>
          <w:rFonts w:hint="eastAsia" w:asciiTheme="minorEastAsia" w:hAnsiTheme="minorEastAsia" w:eastAsiaTheme="minorEastAsia" w:cstheme="minorEastAsia"/>
          <w:b w:val="0"/>
          <w:bCs w:val="0"/>
          <w:color w:val="000000"/>
          <w:sz w:val="24"/>
          <w:szCs w:val="24"/>
          <w:highlight w:val="white"/>
        </w:rPr>
        <w:t>13、技术要求响应及偏离表、商务要求响应及偏离表</w:t>
      </w:r>
    </w:p>
    <w:p w14:paraId="5985206D">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13.1</w:t>
      </w:r>
      <w:r>
        <w:rPr>
          <w:rFonts w:hint="eastAsia" w:asciiTheme="minorEastAsia" w:hAnsiTheme="minorEastAsia" w:eastAsiaTheme="minorEastAsia" w:cstheme="minorEastAsia"/>
          <w:color w:val="000000"/>
          <w:sz w:val="24"/>
          <w:szCs w:val="24"/>
          <w:highlight w:val="white"/>
          <w:lang w:val="zh-CN"/>
        </w:rPr>
        <w:t xml:space="preserve"> 供应商需对招标文件中的技术要求与商务要求逐项作出响应或偏离，并说明原因。</w:t>
      </w:r>
    </w:p>
    <w:p w14:paraId="55B7E056">
      <w:pPr>
        <w:tabs>
          <w:tab w:val="left" w:pos="1035"/>
        </w:tabs>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lang w:val="zh-CN"/>
        </w:rPr>
        <w:t>13.2 供应商可在投标文件中提供认为需要的其他技术文件或说明。</w:t>
      </w:r>
    </w:p>
    <w:p w14:paraId="2B7B3ECB">
      <w:pPr>
        <w:keepNext/>
        <w:keepLines/>
        <w:spacing w:line="360" w:lineRule="auto"/>
        <w:ind w:firstLine="420"/>
        <w:outlineLvl w:val="3"/>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14、服务承诺、培训计划、人员安排及其他</w:t>
      </w:r>
    </w:p>
    <w:p w14:paraId="3DD945B8">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 xml:space="preserve">14.1 </w:t>
      </w:r>
      <w:r>
        <w:rPr>
          <w:rFonts w:hint="eastAsia" w:asciiTheme="minorEastAsia" w:hAnsiTheme="minorEastAsia" w:eastAsiaTheme="minorEastAsia" w:cstheme="minorEastAsia"/>
          <w:color w:val="000000"/>
          <w:sz w:val="24"/>
          <w:szCs w:val="24"/>
          <w:highlight w:val="white"/>
        </w:rPr>
        <w:t>供应商需根据招标文件要求提供有关售后服务的管理制度，售后服务机构的分布情况，售后服务人员的数量、素质、技术水平及售后服务的反应能力等。</w:t>
      </w:r>
    </w:p>
    <w:p w14:paraId="00707FDB">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14.2 供应商需根据招标文件要求提供培训计划。</w:t>
      </w:r>
    </w:p>
    <w:p w14:paraId="4F5F9960">
      <w:pPr>
        <w:spacing w:line="360" w:lineRule="auto"/>
        <w:ind w:firstLine="480"/>
        <w:rPr>
          <w:rFonts w:hint="eastAsia" w:asciiTheme="minorEastAsia" w:hAnsiTheme="minorEastAsia" w:eastAsiaTheme="minorEastAsia" w:cstheme="minorEastAsia"/>
          <w:b/>
          <w:bCs/>
          <w:color w:val="000000"/>
          <w:sz w:val="24"/>
          <w:szCs w:val="24"/>
          <w:highlight w:val="white"/>
        </w:rPr>
      </w:pPr>
      <w:r>
        <w:rPr>
          <w:rFonts w:hint="eastAsia" w:asciiTheme="minorEastAsia" w:hAnsiTheme="minorEastAsia" w:eastAsiaTheme="minorEastAsia" w:cstheme="minorEastAsia"/>
          <w:color w:val="000000"/>
          <w:sz w:val="24"/>
          <w:szCs w:val="24"/>
          <w:highlight w:val="white"/>
        </w:rPr>
        <w:t>14.3 供应商需根据招标文件要求提供</w:t>
      </w:r>
      <w:r>
        <w:rPr>
          <w:rFonts w:hint="eastAsia" w:asciiTheme="minorEastAsia" w:hAnsiTheme="minorEastAsia" w:eastAsiaTheme="minorEastAsia" w:cstheme="minorEastAsia"/>
          <w:color w:val="000000"/>
          <w:sz w:val="24"/>
          <w:szCs w:val="24"/>
          <w:highlight w:val="white"/>
          <w:lang w:val="zh-CN"/>
        </w:rPr>
        <w:t>所投标的的主要组成部分、功能设计、实现思路及关键技术等。</w:t>
      </w:r>
    </w:p>
    <w:p w14:paraId="6A6F4A17">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r>
        <w:rPr>
          <w:rFonts w:hint="eastAsia" w:asciiTheme="minorEastAsia" w:hAnsiTheme="minorEastAsia" w:eastAsiaTheme="minorEastAsia" w:cstheme="minorEastAsia"/>
          <w:b w:val="0"/>
          <w:bCs w:val="0"/>
          <w:color w:val="000000"/>
          <w:sz w:val="24"/>
          <w:szCs w:val="24"/>
          <w:highlight w:val="white"/>
        </w:rPr>
        <w:t>15、投标声明及承诺函和开标一览表</w:t>
      </w:r>
    </w:p>
    <w:p w14:paraId="31BF0FCE">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15.1</w:t>
      </w:r>
      <w:r>
        <w:rPr>
          <w:rFonts w:hint="eastAsia" w:asciiTheme="minorEastAsia" w:hAnsiTheme="minorEastAsia" w:eastAsiaTheme="minorEastAsia" w:cstheme="minorEastAsia"/>
          <w:color w:val="000000"/>
          <w:sz w:val="24"/>
          <w:szCs w:val="24"/>
          <w:highlight w:val="white"/>
        </w:rPr>
        <w:t xml:space="preserve"> 供应商应按照招标文件中提供的格式完整、正确填写投标声明及承诺函、开标一览表。</w:t>
      </w:r>
    </w:p>
    <w:p w14:paraId="539B2D2C">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15.2</w:t>
      </w:r>
      <w:r>
        <w:rPr>
          <w:rFonts w:hint="eastAsia" w:asciiTheme="minorEastAsia" w:hAnsiTheme="minorEastAsia" w:eastAsiaTheme="minorEastAsia" w:cstheme="minorEastAsia"/>
          <w:color w:val="000000"/>
          <w:sz w:val="24"/>
          <w:szCs w:val="24"/>
          <w:highlight w:val="white"/>
        </w:rPr>
        <w:t xml:space="preserve"> 对于采用货币报价的项目，</w:t>
      </w:r>
      <w:r>
        <w:rPr>
          <w:rFonts w:hint="eastAsia" w:asciiTheme="minorEastAsia" w:hAnsiTheme="minorEastAsia" w:eastAsiaTheme="minorEastAsia" w:cstheme="minorEastAsia"/>
          <w:bCs/>
          <w:color w:val="000000"/>
          <w:sz w:val="24"/>
          <w:szCs w:val="24"/>
          <w:highlight w:val="white"/>
        </w:rPr>
        <w:t>开标一览表中的投标报价应与投标分项报价表</w:t>
      </w:r>
      <w:r>
        <w:rPr>
          <w:rFonts w:hint="eastAsia" w:asciiTheme="minorEastAsia" w:hAnsiTheme="minorEastAsia" w:eastAsiaTheme="minorEastAsia" w:cstheme="minorEastAsia"/>
          <w:color w:val="000000"/>
          <w:sz w:val="24"/>
          <w:szCs w:val="24"/>
          <w:highlight w:val="white"/>
        </w:rPr>
        <w:t>(即投标报价明细表）</w:t>
      </w:r>
      <w:r>
        <w:rPr>
          <w:rFonts w:hint="eastAsia" w:asciiTheme="minorEastAsia" w:hAnsiTheme="minorEastAsia" w:eastAsiaTheme="minorEastAsia" w:cstheme="minorEastAsia"/>
          <w:bCs/>
          <w:color w:val="000000"/>
          <w:sz w:val="24"/>
          <w:szCs w:val="24"/>
          <w:highlight w:val="white"/>
        </w:rPr>
        <w:t>中的投标报价一致，如不一致，</w:t>
      </w:r>
      <w:r>
        <w:rPr>
          <w:rFonts w:hint="eastAsia" w:asciiTheme="minorEastAsia" w:hAnsiTheme="minorEastAsia" w:eastAsiaTheme="minorEastAsia" w:cstheme="minorEastAsia"/>
          <w:color w:val="000000"/>
          <w:sz w:val="24"/>
          <w:szCs w:val="24"/>
          <w:highlight w:val="white"/>
        </w:rPr>
        <w:t>不作为无效投标处理</w:t>
      </w:r>
      <w:r>
        <w:rPr>
          <w:rFonts w:hint="eastAsia" w:asciiTheme="minorEastAsia" w:hAnsiTheme="minorEastAsia" w:eastAsiaTheme="minorEastAsia" w:cstheme="minorEastAsia"/>
          <w:bCs/>
          <w:color w:val="000000"/>
          <w:sz w:val="24"/>
          <w:szCs w:val="24"/>
          <w:highlight w:val="white"/>
        </w:rPr>
        <w:t>，但评标时按开标一览表中价格为准</w:t>
      </w:r>
      <w:r>
        <w:rPr>
          <w:rFonts w:hint="eastAsia" w:asciiTheme="minorEastAsia" w:hAnsiTheme="minorEastAsia" w:eastAsiaTheme="minorEastAsia" w:cstheme="minorEastAsia"/>
          <w:b/>
          <w:bCs/>
          <w:color w:val="000000"/>
          <w:sz w:val="24"/>
          <w:szCs w:val="24"/>
          <w:highlight w:val="white"/>
        </w:rPr>
        <w:t>。</w:t>
      </w:r>
      <w:bookmarkEnd w:id="115"/>
      <w:bookmarkEnd w:id="116"/>
    </w:p>
    <w:p w14:paraId="315149C3">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117" w:name="_Hlt26670489"/>
      <w:bookmarkEnd w:id="117"/>
      <w:bookmarkStart w:id="118" w:name="_Hlt26954850"/>
      <w:bookmarkEnd w:id="118"/>
      <w:bookmarkStart w:id="119" w:name="_Hlt26954734"/>
      <w:bookmarkEnd w:id="119"/>
      <w:bookmarkStart w:id="120" w:name="_Toc49090511"/>
      <w:bookmarkStart w:id="121" w:name="_Toc14577360"/>
      <w:r>
        <w:rPr>
          <w:rFonts w:hint="eastAsia" w:asciiTheme="minorEastAsia" w:hAnsiTheme="minorEastAsia" w:eastAsiaTheme="minorEastAsia" w:cstheme="minorEastAsia"/>
          <w:b w:val="0"/>
          <w:bCs w:val="0"/>
          <w:color w:val="000000"/>
          <w:sz w:val="24"/>
          <w:szCs w:val="24"/>
          <w:highlight w:val="white"/>
        </w:rPr>
        <w:t>16、投标有效期</w:t>
      </w:r>
      <w:bookmarkEnd w:id="120"/>
      <w:bookmarkEnd w:id="121"/>
    </w:p>
    <w:p w14:paraId="092710CD">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16.1</w:t>
      </w:r>
      <w:r>
        <w:rPr>
          <w:rFonts w:hint="eastAsia" w:asciiTheme="minorEastAsia" w:hAnsiTheme="minorEastAsia" w:eastAsiaTheme="minorEastAsia" w:cstheme="minorEastAsia"/>
          <w:bCs/>
          <w:color w:val="000000"/>
          <w:sz w:val="24"/>
          <w:szCs w:val="24"/>
          <w:highlight w:val="white"/>
        </w:rPr>
        <w:t xml:space="preserve"> 投标有效期为开标之日后</w:t>
      </w:r>
      <w:r>
        <w:rPr>
          <w:rFonts w:hint="eastAsia" w:asciiTheme="minorEastAsia" w:hAnsiTheme="minorEastAsia" w:eastAsiaTheme="minorEastAsia" w:cstheme="minorEastAsia"/>
          <w:b/>
          <w:color w:val="000000"/>
          <w:sz w:val="24"/>
          <w:szCs w:val="24"/>
          <w:highlight w:val="white"/>
          <w:u w:val="single"/>
        </w:rPr>
        <w:t>六十（60）天</w:t>
      </w:r>
      <w:r>
        <w:rPr>
          <w:rFonts w:hint="eastAsia" w:asciiTheme="minorEastAsia" w:hAnsiTheme="minorEastAsia" w:eastAsiaTheme="minorEastAsia" w:cstheme="minorEastAsia"/>
          <w:bCs/>
          <w:color w:val="000000"/>
          <w:sz w:val="24"/>
          <w:szCs w:val="24"/>
          <w:highlight w:val="white"/>
        </w:rPr>
        <w:t>。投标有效期比规定短的将被视为未实质性响应招标文件而予以拒绝。</w:t>
      </w:r>
    </w:p>
    <w:p w14:paraId="74A9E223">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r>
        <w:rPr>
          <w:rFonts w:hint="eastAsia" w:asciiTheme="minorEastAsia" w:hAnsiTheme="minorEastAsia" w:eastAsiaTheme="minorEastAsia" w:cstheme="minorEastAsia"/>
          <w:b w:val="0"/>
          <w:bCs w:val="0"/>
          <w:color w:val="000000"/>
          <w:sz w:val="24"/>
          <w:szCs w:val="24"/>
          <w:highlight w:val="white"/>
        </w:rPr>
        <w:t>17、投标有效期的延长</w:t>
      </w:r>
    </w:p>
    <w:p w14:paraId="4EB4C601">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17.1</w:t>
      </w:r>
      <w:r>
        <w:rPr>
          <w:rFonts w:hint="eastAsia" w:asciiTheme="minorEastAsia" w:hAnsiTheme="minorEastAsia" w:eastAsiaTheme="minorEastAsia" w:cstheme="minorEastAsia"/>
          <w:bCs/>
          <w:color w:val="000000"/>
          <w:sz w:val="24"/>
          <w:szCs w:val="24"/>
          <w:highlight w:val="white"/>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Theme="minorEastAsia" w:hAnsiTheme="minorEastAsia" w:eastAsiaTheme="minorEastAsia" w:cstheme="minorEastAsia"/>
          <w:color w:val="000000"/>
          <w:sz w:val="24"/>
          <w:szCs w:val="24"/>
          <w:highlight w:val="white"/>
        </w:rPr>
        <w:t>。</w:t>
      </w:r>
      <w:r>
        <w:rPr>
          <w:rFonts w:hint="eastAsia" w:asciiTheme="minorEastAsia" w:hAnsiTheme="minorEastAsia" w:eastAsiaTheme="minorEastAsia" w:cstheme="minorEastAsia"/>
          <w:bCs/>
          <w:color w:val="000000"/>
          <w:sz w:val="24"/>
          <w:szCs w:val="24"/>
          <w:highlight w:val="white"/>
        </w:rPr>
        <w:t>同意延长投标有效期的供应商既不能要求也不允许修改其投标文件</w:t>
      </w:r>
      <w:r>
        <w:rPr>
          <w:rFonts w:hint="eastAsia" w:asciiTheme="minorEastAsia" w:hAnsiTheme="minorEastAsia" w:eastAsiaTheme="minorEastAsia" w:cstheme="minorEastAsia"/>
          <w:color w:val="000000"/>
          <w:sz w:val="24"/>
          <w:szCs w:val="24"/>
          <w:highlight w:val="white"/>
        </w:rPr>
        <w:t>，同时受投标有效期约束的所有权利与义务均延长至新的有效期</w:t>
      </w:r>
      <w:r>
        <w:rPr>
          <w:rFonts w:hint="eastAsia" w:asciiTheme="minorEastAsia" w:hAnsiTheme="minorEastAsia" w:eastAsiaTheme="minorEastAsia" w:cstheme="minorEastAsia"/>
          <w:bCs/>
          <w:color w:val="000000"/>
          <w:sz w:val="24"/>
          <w:szCs w:val="24"/>
          <w:highlight w:val="white"/>
        </w:rPr>
        <w:t>。</w:t>
      </w:r>
    </w:p>
    <w:p w14:paraId="643A8848">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17.2中标人的投标文件作为项目合同的附件，其有效期至中标人全部合同义务履行完毕为止。 </w:t>
      </w:r>
    </w:p>
    <w:p w14:paraId="67963287">
      <w:pPr>
        <w:pStyle w:val="17"/>
        <w:spacing w:before="0" w:after="0" w:line="360" w:lineRule="auto"/>
        <w:ind w:firstLine="482"/>
        <w:rPr>
          <w:rFonts w:hint="eastAsia" w:asciiTheme="minorEastAsia" w:hAnsiTheme="minorEastAsia" w:eastAsiaTheme="minorEastAsia" w:cstheme="minorEastAsia"/>
          <w:color w:val="000000"/>
          <w:sz w:val="24"/>
          <w:szCs w:val="24"/>
          <w:highlight w:val="white"/>
        </w:rPr>
      </w:pPr>
      <w:bookmarkStart w:id="122" w:name="_Hlt26954852"/>
      <w:bookmarkEnd w:id="122"/>
      <w:bookmarkStart w:id="123" w:name="_Hlt26954739"/>
      <w:bookmarkEnd w:id="123"/>
      <w:bookmarkStart w:id="124" w:name="_Toc120614217"/>
      <w:bookmarkStart w:id="125" w:name="_Toc16938540"/>
      <w:bookmarkStart w:id="126" w:name="_Toc513029224"/>
      <w:bookmarkStart w:id="127" w:name="_Toc20823296"/>
      <w:r>
        <w:rPr>
          <w:rFonts w:hint="eastAsia" w:asciiTheme="minorEastAsia" w:hAnsiTheme="minorEastAsia" w:eastAsiaTheme="minorEastAsia" w:cstheme="minorEastAsia"/>
          <w:color w:val="000000"/>
          <w:sz w:val="24"/>
          <w:szCs w:val="24"/>
          <w:highlight w:val="white"/>
        </w:rPr>
        <w:t>四、投标文件的递交</w:t>
      </w:r>
      <w:bookmarkEnd w:id="124"/>
      <w:bookmarkEnd w:id="125"/>
      <w:bookmarkEnd w:id="126"/>
      <w:bookmarkEnd w:id="127"/>
    </w:p>
    <w:p w14:paraId="7181021E">
      <w:pPr>
        <w:pStyle w:val="25"/>
        <w:spacing w:before="0" w:after="0" w:line="360" w:lineRule="auto"/>
        <w:ind w:firstLine="560"/>
        <w:rPr>
          <w:rFonts w:hint="eastAsia" w:asciiTheme="minorEastAsia" w:hAnsiTheme="minorEastAsia" w:eastAsiaTheme="minorEastAsia" w:cstheme="minorEastAsia"/>
          <w:b w:val="0"/>
          <w:bCs w:val="0"/>
          <w:color w:val="000000"/>
          <w:sz w:val="24"/>
          <w:szCs w:val="24"/>
          <w:highlight w:val="white"/>
        </w:rPr>
      </w:pPr>
      <w:bookmarkStart w:id="128" w:name="_Toc20823297"/>
      <w:bookmarkStart w:id="129" w:name="_Toc513029225"/>
      <w:bookmarkStart w:id="130" w:name="_Toc462564084"/>
      <w:bookmarkStart w:id="131" w:name="_Toc16938541"/>
      <w:r>
        <w:rPr>
          <w:rFonts w:hint="eastAsia" w:asciiTheme="minorEastAsia" w:hAnsiTheme="minorEastAsia" w:eastAsiaTheme="minorEastAsia" w:cstheme="minorEastAsia"/>
          <w:b w:val="0"/>
          <w:bCs w:val="0"/>
          <w:color w:val="000000"/>
          <w:sz w:val="24"/>
          <w:szCs w:val="24"/>
          <w:highlight w:val="white"/>
        </w:rPr>
        <w:t>18、投标文件</w:t>
      </w:r>
      <w:bookmarkEnd w:id="128"/>
      <w:bookmarkEnd w:id="129"/>
      <w:bookmarkEnd w:id="130"/>
      <w:bookmarkEnd w:id="131"/>
      <w:r>
        <w:rPr>
          <w:rFonts w:hint="eastAsia" w:asciiTheme="minorEastAsia" w:hAnsiTheme="minorEastAsia" w:eastAsiaTheme="minorEastAsia" w:cstheme="minorEastAsia"/>
          <w:b w:val="0"/>
          <w:bCs w:val="0"/>
          <w:color w:val="000000"/>
          <w:sz w:val="24"/>
          <w:szCs w:val="24"/>
          <w:highlight w:val="white"/>
        </w:rPr>
        <w:t>的递交</w:t>
      </w:r>
    </w:p>
    <w:p w14:paraId="4C45C279">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18.1供应商应当按照《操作手册》规定，在投标截止时间前制作并上传电子投标文件。</w:t>
      </w:r>
      <w:bookmarkStart w:id="132" w:name="_Toc16938542"/>
      <w:bookmarkStart w:id="133" w:name="_Toc513029226"/>
      <w:bookmarkStart w:id="134" w:name="_Toc20823298"/>
    </w:p>
    <w:p w14:paraId="6669DE54">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18.2供应商通过“苏采云”系统不见面开标大厅在线参与开标活动。（具体操作详见《“苏采云”系统供应商操作手册》，网址链接http://www.ccgp-jiangsu.gov.cn//webfile/jiangsu/202311/1699268553318052447.pdf）</w:t>
      </w:r>
    </w:p>
    <w:p w14:paraId="1B5E6CD7">
      <w:pPr>
        <w:pStyle w:val="25"/>
        <w:spacing w:before="0" w:after="0" w:line="360" w:lineRule="auto"/>
        <w:ind w:firstLine="420"/>
        <w:rPr>
          <w:rFonts w:hint="eastAsia" w:asciiTheme="minorEastAsia" w:hAnsiTheme="minorEastAsia" w:eastAsiaTheme="minorEastAsia" w:cstheme="minorEastAsia"/>
          <w:b w:val="0"/>
          <w:color w:val="000000"/>
          <w:sz w:val="24"/>
          <w:szCs w:val="24"/>
          <w:highlight w:val="white"/>
        </w:rPr>
      </w:pPr>
      <w:r>
        <w:rPr>
          <w:rFonts w:hint="eastAsia" w:asciiTheme="minorEastAsia" w:hAnsiTheme="minorEastAsia" w:eastAsiaTheme="minorEastAsia" w:cstheme="minorEastAsia"/>
          <w:b w:val="0"/>
          <w:color w:val="000000"/>
          <w:sz w:val="24"/>
          <w:szCs w:val="24"/>
          <w:highlight w:val="white"/>
        </w:rPr>
        <w:t>19、投标截止</w:t>
      </w:r>
      <w:bookmarkEnd w:id="132"/>
      <w:bookmarkEnd w:id="133"/>
      <w:bookmarkEnd w:id="134"/>
      <w:r>
        <w:rPr>
          <w:rFonts w:hint="eastAsia" w:asciiTheme="minorEastAsia" w:hAnsiTheme="minorEastAsia" w:eastAsiaTheme="minorEastAsia" w:cstheme="minorEastAsia"/>
          <w:b w:val="0"/>
          <w:color w:val="000000"/>
          <w:sz w:val="24"/>
          <w:szCs w:val="24"/>
          <w:highlight w:val="white"/>
        </w:rPr>
        <w:t>时间</w:t>
      </w:r>
    </w:p>
    <w:p w14:paraId="453FAE36">
      <w:pPr>
        <w:spacing w:line="360" w:lineRule="auto"/>
        <w:ind w:firstLine="480"/>
        <w:rPr>
          <w:rFonts w:hint="eastAsia" w:asciiTheme="minorEastAsia" w:hAnsiTheme="minorEastAsia" w:eastAsiaTheme="minorEastAsia" w:cstheme="minorEastAsia"/>
          <w:iCs/>
          <w:color w:val="000000"/>
          <w:sz w:val="24"/>
          <w:szCs w:val="24"/>
          <w:highlight w:val="white"/>
        </w:rPr>
      </w:pPr>
      <w:r>
        <w:rPr>
          <w:rFonts w:hint="eastAsia" w:asciiTheme="minorEastAsia" w:hAnsiTheme="minorEastAsia" w:eastAsiaTheme="minorEastAsia" w:cstheme="minorEastAsia"/>
          <w:iCs/>
          <w:color w:val="000000"/>
          <w:sz w:val="24"/>
          <w:szCs w:val="24"/>
          <w:highlight w:val="white"/>
        </w:rPr>
        <w:t>19.1 供应商上传电子投标文件的时间不得迟于招标公告中规定的投标截止时间。</w:t>
      </w:r>
    </w:p>
    <w:p w14:paraId="03BCA828">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供应商应充分考虑到网络环境、网络带宽等风险因素，如因供应商自身原因造成的电子投标文件上传不成功的按照本招标文件第二章第27.1.2条规定做无效投标处理。</w:t>
      </w:r>
    </w:p>
    <w:p w14:paraId="166EC777">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19.2</w:t>
      </w:r>
      <w:r>
        <w:rPr>
          <w:rFonts w:hint="eastAsia" w:asciiTheme="minorEastAsia" w:hAnsiTheme="minorEastAsia" w:eastAsiaTheme="minorEastAsia" w:cstheme="minorEastAsia"/>
          <w:bCs/>
          <w:color w:val="000000"/>
          <w:sz w:val="24"/>
          <w:szCs w:val="24"/>
          <w:highlight w:val="white"/>
        </w:rPr>
        <w:t xml:space="preserve"> 采购代理机构可以按照规定，通过修改招标文件酌情延长投标截止时间，在此情况下，供应商的所有权利和义务以及供应商受制的截止时间均应以延长后新的截止时间为准。</w:t>
      </w:r>
    </w:p>
    <w:p w14:paraId="13C854F7">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135" w:name="_Toc16938543"/>
      <w:bookmarkStart w:id="136" w:name="_Toc513029227"/>
      <w:bookmarkStart w:id="137" w:name="_Toc20823299"/>
      <w:r>
        <w:rPr>
          <w:rFonts w:hint="eastAsia" w:asciiTheme="minorEastAsia" w:hAnsiTheme="minorEastAsia" w:eastAsiaTheme="minorEastAsia" w:cstheme="minorEastAsia"/>
          <w:b w:val="0"/>
          <w:bCs w:val="0"/>
          <w:color w:val="000000"/>
          <w:sz w:val="24"/>
          <w:szCs w:val="24"/>
          <w:highlight w:val="white"/>
        </w:rPr>
        <w:t>20、投标文件</w:t>
      </w:r>
      <w:bookmarkEnd w:id="135"/>
      <w:bookmarkEnd w:id="136"/>
      <w:bookmarkEnd w:id="137"/>
      <w:r>
        <w:rPr>
          <w:rFonts w:hint="eastAsia" w:asciiTheme="minorEastAsia" w:hAnsiTheme="minorEastAsia" w:eastAsiaTheme="minorEastAsia" w:cstheme="minorEastAsia"/>
          <w:b w:val="0"/>
          <w:bCs w:val="0"/>
          <w:color w:val="000000"/>
          <w:sz w:val="24"/>
          <w:szCs w:val="24"/>
          <w:highlight w:val="white"/>
        </w:rPr>
        <w:t>的拒收</w:t>
      </w:r>
    </w:p>
    <w:p w14:paraId="3A370DF5">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20.1</w:t>
      </w:r>
      <w:r>
        <w:rPr>
          <w:rFonts w:hint="eastAsia" w:asciiTheme="minorEastAsia" w:hAnsiTheme="minorEastAsia" w:eastAsiaTheme="minorEastAsia" w:cstheme="minorEastAsia"/>
          <w:bCs/>
          <w:color w:val="000000"/>
          <w:sz w:val="24"/>
          <w:szCs w:val="24"/>
          <w:highlight w:val="white"/>
        </w:rPr>
        <w:t>采购代理机构拒绝接收在其规定的投标截止时间后上传的任何投标文件。</w:t>
      </w:r>
    </w:p>
    <w:p w14:paraId="7C182440">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138" w:name="_Toc20823300"/>
      <w:bookmarkStart w:id="139" w:name="_Toc16938544"/>
      <w:bookmarkStart w:id="140" w:name="_Toc513029228"/>
      <w:bookmarkStart w:id="141" w:name="_Toc20823301"/>
      <w:bookmarkStart w:id="142" w:name="_Toc513029229"/>
      <w:bookmarkStart w:id="143" w:name="_Toc16938545"/>
      <w:bookmarkStart w:id="144" w:name="_Toc120614218"/>
      <w:r>
        <w:rPr>
          <w:rFonts w:hint="eastAsia" w:asciiTheme="minorEastAsia" w:hAnsiTheme="minorEastAsia" w:eastAsiaTheme="minorEastAsia" w:cstheme="minorEastAsia"/>
          <w:b w:val="0"/>
          <w:bCs w:val="0"/>
          <w:color w:val="000000"/>
          <w:sz w:val="24"/>
          <w:szCs w:val="24"/>
          <w:highlight w:val="white"/>
        </w:rPr>
        <w:t>21、投标文件的撤回和修改</w:t>
      </w:r>
      <w:bookmarkEnd w:id="138"/>
      <w:bookmarkEnd w:id="139"/>
      <w:bookmarkEnd w:id="140"/>
    </w:p>
    <w:p w14:paraId="4836D0B8">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21.1 投标文件的撤回</w:t>
      </w:r>
    </w:p>
    <w:p w14:paraId="006093FE">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21.1.1 电子投标文件的撤回</w:t>
      </w:r>
    </w:p>
    <w:p w14:paraId="784B0B9D">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供应商可在投标截止时间前，撤回其电子投标文件，具体操作方法见《操作手册》。</w:t>
      </w:r>
    </w:p>
    <w:p w14:paraId="3AD447B4">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21.1.2 供应商撤回电子投标文件，则认为其不再参与本项目投标活动。</w:t>
      </w:r>
    </w:p>
    <w:p w14:paraId="76E3CBBC">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21.2 投标文件的修改</w:t>
      </w:r>
    </w:p>
    <w:p w14:paraId="7E06CFE8">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21.2.1供应商可在投标截止时间前，对其电子投标文件进行修改，具体操作方法见《操作手册》。</w:t>
      </w:r>
    </w:p>
    <w:p w14:paraId="6C647603">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21.2.2</w:t>
      </w:r>
      <w:r>
        <w:rPr>
          <w:rFonts w:hint="eastAsia" w:asciiTheme="minorEastAsia" w:hAnsiTheme="minorEastAsia" w:eastAsiaTheme="minorEastAsia" w:cstheme="minorEastAsia"/>
          <w:bCs/>
          <w:color w:val="000000"/>
          <w:sz w:val="24"/>
          <w:szCs w:val="24"/>
          <w:highlight w:val="white"/>
        </w:rPr>
        <w:t xml:space="preserve"> 在投标截止时间之后，供应商不得对其电子投标文件作任何修改。</w:t>
      </w:r>
    </w:p>
    <w:p w14:paraId="745940F2">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21.3</w:t>
      </w:r>
      <w:r>
        <w:rPr>
          <w:rFonts w:hint="eastAsia" w:asciiTheme="minorEastAsia" w:hAnsiTheme="minorEastAsia" w:eastAsiaTheme="minorEastAsia" w:cstheme="minorEastAsia"/>
          <w:bCs/>
          <w:color w:val="000000"/>
          <w:sz w:val="24"/>
          <w:szCs w:val="24"/>
          <w:highlight w:val="white"/>
        </w:rPr>
        <w:t xml:space="preserve"> 在投标截止时间至招标文件中规定的投标有效期满之间的这段时间内，供应商不得撤回其投标。</w:t>
      </w:r>
    </w:p>
    <w:p w14:paraId="0F9C7010">
      <w:pPr>
        <w:pStyle w:val="17"/>
        <w:spacing w:before="0" w:after="0" w:line="360" w:lineRule="auto"/>
        <w:ind w:firstLine="482"/>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五、开标与评标</w:t>
      </w:r>
      <w:bookmarkEnd w:id="141"/>
      <w:bookmarkEnd w:id="142"/>
      <w:bookmarkEnd w:id="143"/>
      <w:bookmarkEnd w:id="144"/>
    </w:p>
    <w:p w14:paraId="6A457788">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145" w:name="_Toc513029230"/>
      <w:bookmarkStart w:id="146" w:name="_Toc16938546"/>
      <w:bookmarkStart w:id="147" w:name="_Toc20823302"/>
      <w:bookmarkStart w:id="148" w:name="_Toc513029231"/>
      <w:bookmarkStart w:id="149" w:name="_Toc16938547"/>
      <w:bookmarkStart w:id="150" w:name="_Toc20823303"/>
      <w:r>
        <w:rPr>
          <w:rFonts w:hint="eastAsia" w:asciiTheme="minorEastAsia" w:hAnsiTheme="minorEastAsia" w:eastAsiaTheme="minorEastAsia" w:cstheme="minorEastAsia"/>
          <w:b w:val="0"/>
          <w:bCs w:val="0"/>
          <w:color w:val="000000"/>
          <w:sz w:val="24"/>
          <w:szCs w:val="24"/>
          <w:highlight w:val="white"/>
        </w:rPr>
        <w:t>22、开标</w:t>
      </w:r>
      <w:bookmarkEnd w:id="145"/>
      <w:bookmarkEnd w:id="146"/>
      <w:bookmarkEnd w:id="147"/>
    </w:p>
    <w:p w14:paraId="1AE36B9B">
      <w:pPr>
        <w:pStyle w:val="26"/>
        <w:spacing w:line="360" w:lineRule="auto"/>
        <w:ind w:firstLine="42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w:t>
      </w:r>
      <w:r>
        <w:rPr>
          <w:rFonts w:hint="eastAsia" w:asciiTheme="minorEastAsia" w:hAnsiTheme="minorEastAsia" w:eastAsiaTheme="minorEastAsia" w:cstheme="minorEastAsia"/>
          <w:color w:val="000000"/>
          <w:sz w:val="24"/>
          <w:szCs w:val="24"/>
          <w:highlight w:val="white"/>
          <w:lang w:val="en-US"/>
        </w:rPr>
        <w:t>2</w:t>
      </w:r>
      <w:r>
        <w:rPr>
          <w:rFonts w:hint="eastAsia" w:asciiTheme="minorEastAsia" w:hAnsiTheme="minorEastAsia" w:eastAsiaTheme="minorEastAsia" w:cstheme="minorEastAsia"/>
          <w:color w:val="000000"/>
          <w:sz w:val="24"/>
          <w:szCs w:val="24"/>
          <w:highlight w:val="white"/>
        </w:rPr>
        <w:t>.1</w:t>
      </w:r>
      <w:r>
        <w:rPr>
          <w:rFonts w:hint="eastAsia" w:asciiTheme="minorEastAsia" w:hAnsiTheme="minorEastAsia" w:eastAsiaTheme="minorEastAsia" w:cstheme="minorEastAsia"/>
          <w:bCs/>
          <w:color w:val="000000"/>
          <w:sz w:val="24"/>
          <w:szCs w:val="24"/>
          <w:highlight w:val="white"/>
        </w:rPr>
        <w:t xml:space="preserve"> 采购代理机构将在招标公告中规定的时间和地点组织公开开标</w:t>
      </w:r>
      <w:r>
        <w:rPr>
          <w:rFonts w:hint="eastAsia" w:asciiTheme="minorEastAsia" w:hAnsiTheme="minorEastAsia" w:eastAsiaTheme="minorEastAsia" w:cstheme="minorEastAsia"/>
          <w:color w:val="000000"/>
          <w:sz w:val="24"/>
          <w:szCs w:val="24"/>
          <w:highlight w:val="white"/>
          <w:lang w:val="en-US"/>
        </w:rPr>
        <w:t>。供应商应当按照《“苏采云”系统供应商操作手册》规定，参加开标活动和在“苏采云”系统规定的时间内对投标文件进行解密。</w:t>
      </w:r>
    </w:p>
    <w:p w14:paraId="2770EB7F">
      <w:pPr>
        <w:pStyle w:val="26"/>
        <w:spacing w:line="360" w:lineRule="auto"/>
        <w:ind w:firstLine="42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lang w:val="en-US"/>
        </w:rPr>
        <w:t>22.2开标时，由采购代理机构通过“苏采云”系统在线公布供应商名称、投标价格和招标文件规定的需要公布的其他内容。供应商在不见面开标系统中确认投标价格，如供应商未在线参加开标或未在规定时间内确认价格的，视同认可开标结果。</w:t>
      </w:r>
    </w:p>
    <w:p w14:paraId="2D677887">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22.3供应商在开标过程中涉及到的投标文件解密、开标结果确认等工作，应按照《操作手册》规定执行。</w:t>
      </w:r>
    </w:p>
    <w:p w14:paraId="5999A9B6">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22.4供应商如果对开标过程和开标记录有疑义，应当根据《操作手册》规定提出，如 “苏采云”系统中《开标记录表》宣布后5分钟内未提出的，视同认可开标结果。</w:t>
      </w:r>
    </w:p>
    <w:p w14:paraId="1D1B199B">
      <w:pPr>
        <w:keepNext/>
        <w:keepLines/>
        <w:spacing w:line="360" w:lineRule="auto"/>
        <w:ind w:firstLine="420"/>
        <w:outlineLvl w:val="3"/>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23、评标委员会</w:t>
      </w:r>
    </w:p>
    <w:p w14:paraId="5CA907CB">
      <w:pPr>
        <w:keepNext/>
        <w:keepLines/>
        <w:spacing w:line="360" w:lineRule="auto"/>
        <w:ind w:firstLine="240"/>
        <w:outlineLvl w:val="3"/>
        <w:rPr>
          <w:rFonts w:hint="eastAsia" w:asciiTheme="minorEastAsia" w:hAnsiTheme="minorEastAsia" w:eastAsiaTheme="minorEastAsia" w:cstheme="minorEastAsia"/>
          <w:b/>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 23.1</w:t>
      </w:r>
      <w:r>
        <w:rPr>
          <w:rFonts w:hint="eastAsia" w:asciiTheme="minorEastAsia" w:hAnsiTheme="minorEastAsia" w:eastAsiaTheme="minorEastAsia" w:cstheme="minorEastAsia"/>
          <w:b/>
          <w:color w:val="000000"/>
          <w:sz w:val="24"/>
          <w:szCs w:val="24"/>
          <w:highlight w:val="white"/>
        </w:rPr>
        <w:t xml:space="preserve"> </w:t>
      </w:r>
      <w:r>
        <w:rPr>
          <w:rFonts w:hint="eastAsia" w:asciiTheme="minorEastAsia" w:hAnsiTheme="minorEastAsia" w:eastAsiaTheme="minorEastAsia" w:cstheme="minorEastAsia"/>
          <w:color w:val="000000"/>
          <w:sz w:val="24"/>
          <w:szCs w:val="24"/>
          <w:highlight w:val="white"/>
        </w:rPr>
        <w:t>开标后，采购代理机构将立即组织评标委员会（以下简称评委会）进行评标。</w:t>
      </w:r>
    </w:p>
    <w:p w14:paraId="50B8DE39">
      <w:pPr>
        <w:spacing w:line="360" w:lineRule="auto"/>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
          <w:color w:val="000000"/>
          <w:sz w:val="24"/>
          <w:szCs w:val="24"/>
          <w:highlight w:val="white"/>
        </w:rPr>
        <w:t xml:space="preserve">  </w:t>
      </w:r>
      <w:r>
        <w:rPr>
          <w:rFonts w:hint="eastAsia" w:asciiTheme="minorEastAsia" w:hAnsiTheme="minorEastAsia" w:eastAsiaTheme="minorEastAsia" w:cstheme="minorEastAsia"/>
          <w:color w:val="000000"/>
          <w:sz w:val="24"/>
          <w:szCs w:val="24"/>
          <w:highlight w:val="white"/>
        </w:rPr>
        <w:t xml:space="preserve"> 23.2 评委会由采购人代表和有关技术、经济等方面的专家组成，且人员构成符合政府采购有关规定。</w:t>
      </w:r>
    </w:p>
    <w:p w14:paraId="1AE97C1B">
      <w:pPr>
        <w:spacing w:line="360" w:lineRule="auto"/>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
          <w:color w:val="000000"/>
          <w:sz w:val="24"/>
          <w:szCs w:val="24"/>
          <w:highlight w:val="white"/>
        </w:rPr>
        <w:t xml:space="preserve">  </w:t>
      </w:r>
      <w:r>
        <w:rPr>
          <w:rFonts w:hint="eastAsia" w:asciiTheme="minorEastAsia" w:hAnsiTheme="minorEastAsia" w:eastAsiaTheme="minorEastAsia" w:cstheme="minorEastAsia"/>
          <w:color w:val="000000"/>
          <w:sz w:val="24"/>
          <w:szCs w:val="24"/>
          <w:highlight w:val="white"/>
        </w:rPr>
        <w:t xml:space="preserve"> 23.3评委会独立工作，负责评审所有投标文件并确定中标侯选人。</w:t>
      </w:r>
    </w:p>
    <w:p w14:paraId="6D143015">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r>
        <w:rPr>
          <w:rFonts w:hint="eastAsia" w:asciiTheme="minorEastAsia" w:hAnsiTheme="minorEastAsia" w:eastAsiaTheme="minorEastAsia" w:cstheme="minorEastAsia"/>
          <w:b w:val="0"/>
          <w:bCs w:val="0"/>
          <w:color w:val="000000"/>
          <w:sz w:val="24"/>
          <w:szCs w:val="24"/>
          <w:highlight w:val="white"/>
        </w:rPr>
        <w:t>24、评标过程的保密与公正</w:t>
      </w:r>
      <w:bookmarkEnd w:id="148"/>
      <w:bookmarkEnd w:id="149"/>
      <w:bookmarkEnd w:id="150"/>
    </w:p>
    <w:p w14:paraId="0BD0A945">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24.1</w:t>
      </w:r>
      <w:r>
        <w:rPr>
          <w:rFonts w:hint="eastAsia" w:asciiTheme="minorEastAsia" w:hAnsiTheme="minorEastAsia" w:eastAsiaTheme="minorEastAsia" w:cstheme="minorEastAsia"/>
          <w:bCs/>
          <w:color w:val="000000"/>
          <w:sz w:val="24"/>
          <w:szCs w:val="24"/>
          <w:highlight w:val="white"/>
        </w:rPr>
        <w:t>凡是与审查、澄清、评价和比较投标的有关资料以及授标建议等，采购人、评委、采购代理机构均不得向供应商或与评标无关的其他人员透露。</w:t>
      </w:r>
    </w:p>
    <w:p w14:paraId="2D1BED9D">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24.2在评标过程中，供应商不得以任何行为影响评标过程，否则其投标文件将被作为无效投标文件。</w:t>
      </w:r>
    </w:p>
    <w:p w14:paraId="22A9F5FC">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24.3 采购代理机构和评委会不向未中标的供应商解释未中标原因，也不公布评标过程中的相关细节。</w:t>
      </w:r>
    </w:p>
    <w:p w14:paraId="3F26EA27">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24.4 采用综合评分法的项目，未中标的供应商可于中标结果公告期限届满之日起通过“苏采云”系统查看自己的评审得分及排序情况。</w:t>
      </w:r>
    </w:p>
    <w:p w14:paraId="5DA51D1C">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151" w:name="_Toc20823304"/>
      <w:bookmarkStart w:id="152" w:name="_Toc16938548"/>
      <w:bookmarkStart w:id="153" w:name="_Toc513029232"/>
      <w:r>
        <w:rPr>
          <w:rFonts w:hint="eastAsia" w:asciiTheme="minorEastAsia" w:hAnsiTheme="minorEastAsia" w:eastAsiaTheme="minorEastAsia" w:cstheme="minorEastAsia"/>
          <w:b w:val="0"/>
          <w:bCs w:val="0"/>
          <w:color w:val="000000"/>
          <w:sz w:val="24"/>
          <w:szCs w:val="24"/>
          <w:highlight w:val="white"/>
        </w:rPr>
        <w:t>25、投标文件的澄清</w:t>
      </w:r>
      <w:bookmarkEnd w:id="151"/>
      <w:bookmarkEnd w:id="152"/>
      <w:bookmarkEnd w:id="153"/>
    </w:p>
    <w:p w14:paraId="7B19C5DF">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25.1评标期间，评委会对投标文件中含义不明确、同类问题表述不一致或者有明显文字和计算错误的内容 ，有权要求供应商作出必要的澄清、说明或者补正。</w:t>
      </w:r>
    </w:p>
    <w:p w14:paraId="671DAC51">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供应商的澄清、说明或者补正不得超出投标文件的范围或者改变投标文件的实质性内容。</w:t>
      </w:r>
    </w:p>
    <w:p w14:paraId="21DA1DDE">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评委会并非对每个供应商都做澄清要求。</w:t>
      </w:r>
    </w:p>
    <w:p w14:paraId="180C91E2">
      <w:pPr>
        <w:pStyle w:val="26"/>
        <w:spacing w:line="360" w:lineRule="auto"/>
        <w:ind w:firstLine="422"/>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w:t>
      </w:r>
      <w:r>
        <w:rPr>
          <w:rFonts w:hint="eastAsia" w:asciiTheme="minorEastAsia" w:hAnsiTheme="minorEastAsia" w:eastAsiaTheme="minorEastAsia" w:cstheme="minorEastAsia"/>
          <w:color w:val="000000"/>
          <w:sz w:val="24"/>
          <w:szCs w:val="24"/>
          <w:highlight w:val="white"/>
          <w:lang w:val="en-US"/>
        </w:rPr>
        <w:t>5</w:t>
      </w:r>
      <w:r>
        <w:rPr>
          <w:rFonts w:hint="eastAsia" w:asciiTheme="minorEastAsia" w:hAnsiTheme="minorEastAsia" w:eastAsiaTheme="minorEastAsia" w:cstheme="minorEastAsia"/>
          <w:color w:val="000000"/>
          <w:sz w:val="24"/>
          <w:szCs w:val="24"/>
          <w:highlight w:val="white"/>
        </w:rPr>
        <w:t>.2需要供应商进行澄清、说明和补正的，</w:t>
      </w:r>
      <w:r>
        <w:rPr>
          <w:rFonts w:hint="eastAsia" w:asciiTheme="minorEastAsia" w:hAnsiTheme="minorEastAsia" w:eastAsiaTheme="minorEastAsia" w:cstheme="minorEastAsia"/>
          <w:color w:val="000000"/>
          <w:sz w:val="24"/>
          <w:szCs w:val="24"/>
          <w:highlight w:val="white"/>
          <w:lang w:val="en-US"/>
        </w:rPr>
        <w:t>本项目供应商的澄清、说明或者补正采用线上澄清，</w:t>
      </w:r>
      <w:r>
        <w:rPr>
          <w:rFonts w:hint="eastAsia" w:asciiTheme="minorEastAsia" w:hAnsiTheme="minorEastAsia" w:eastAsiaTheme="minorEastAsia" w:cstheme="minorEastAsia"/>
          <w:color w:val="000000"/>
          <w:sz w:val="24"/>
          <w:szCs w:val="24"/>
          <w:highlight w:val="white"/>
        </w:rPr>
        <w:t>评委会将通过</w:t>
      </w:r>
      <w:r>
        <w:rPr>
          <w:rFonts w:hint="eastAsia" w:asciiTheme="minorEastAsia" w:hAnsiTheme="minorEastAsia" w:eastAsiaTheme="minorEastAsia" w:cstheme="minorEastAsia"/>
          <w:color w:val="000000"/>
          <w:sz w:val="24"/>
          <w:szCs w:val="24"/>
          <w:highlight w:val="white"/>
          <w:lang w:val="en-US"/>
        </w:rPr>
        <w:t>“苏采云”系统</w:t>
      </w:r>
      <w:r>
        <w:rPr>
          <w:rFonts w:hint="eastAsia" w:asciiTheme="minorEastAsia" w:hAnsiTheme="minorEastAsia" w:eastAsiaTheme="minorEastAsia" w:cstheme="minorEastAsia"/>
          <w:color w:val="000000"/>
          <w:sz w:val="24"/>
          <w:szCs w:val="24"/>
          <w:highlight w:val="white"/>
        </w:rPr>
        <w:t>向供应商发出“澄清要求函”，接到“澄清要求函”的供应商应当按照要求</w:t>
      </w:r>
      <w:r>
        <w:rPr>
          <w:rFonts w:hint="eastAsia" w:asciiTheme="minorEastAsia" w:hAnsiTheme="minorEastAsia" w:eastAsiaTheme="minorEastAsia" w:cstheme="minorEastAsia"/>
          <w:color w:val="000000"/>
          <w:sz w:val="24"/>
          <w:szCs w:val="24"/>
          <w:highlight w:val="white"/>
          <w:lang w:val="en-US"/>
        </w:rPr>
        <w:t>在规定时间内通过“苏采云”系统</w:t>
      </w:r>
      <w:r>
        <w:rPr>
          <w:rFonts w:hint="eastAsia" w:asciiTheme="minorEastAsia" w:hAnsiTheme="minorEastAsia" w:eastAsiaTheme="minorEastAsia" w:cstheme="minorEastAsia"/>
          <w:color w:val="000000"/>
          <w:sz w:val="24"/>
          <w:szCs w:val="24"/>
          <w:highlight w:val="white"/>
        </w:rPr>
        <w:t>中提交“澄清响应函”并加盖CA电子公章。澄清、说明和补正的内容作为投标文件的补充部分，具体操作方式见《操作手册》。</w:t>
      </w:r>
    </w:p>
    <w:p w14:paraId="01B39642">
      <w:pPr>
        <w:spacing w:line="360" w:lineRule="auto"/>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    25.3 接到评委会澄清、说明和补正要求的供应商如未按规定做出澄清、说明和补正，其风险由供应商自行承担。</w:t>
      </w:r>
    </w:p>
    <w:p w14:paraId="3C72D6D7">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bookmarkStart w:id="154" w:name="_Toc513029233"/>
      <w:bookmarkStart w:id="155" w:name="_Toc20823305"/>
      <w:bookmarkStart w:id="156" w:name="_Toc16938549"/>
      <w:r>
        <w:rPr>
          <w:rFonts w:hint="eastAsia" w:asciiTheme="minorEastAsia" w:hAnsiTheme="minorEastAsia" w:eastAsiaTheme="minorEastAsia" w:cstheme="minorEastAsia"/>
          <w:b w:val="0"/>
          <w:bCs w:val="0"/>
          <w:color w:val="000000"/>
          <w:sz w:val="24"/>
          <w:szCs w:val="24"/>
          <w:highlight w:val="white"/>
        </w:rPr>
        <w:t>26、对投标文件的初审</w:t>
      </w:r>
      <w:bookmarkEnd w:id="154"/>
      <w:bookmarkEnd w:id="155"/>
      <w:bookmarkEnd w:id="156"/>
    </w:p>
    <w:p w14:paraId="487C2073">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26.1</w:t>
      </w:r>
      <w:r>
        <w:rPr>
          <w:rFonts w:hint="eastAsia" w:asciiTheme="minorEastAsia" w:hAnsiTheme="minorEastAsia" w:eastAsiaTheme="minorEastAsia" w:cstheme="minorEastAsia"/>
          <w:bCs/>
          <w:color w:val="000000"/>
          <w:sz w:val="24"/>
          <w:szCs w:val="24"/>
          <w:highlight w:val="white"/>
        </w:rPr>
        <w:t>投标文件初审分为资格审查和符合性审查。</w:t>
      </w:r>
    </w:p>
    <w:p w14:paraId="46F02A77">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26.1.1 资格审查：依据法律法规和招标文件的规定，</w:t>
      </w:r>
      <w:r>
        <w:rPr>
          <w:rFonts w:hint="eastAsia" w:asciiTheme="minorEastAsia" w:hAnsiTheme="minorEastAsia" w:eastAsiaTheme="minorEastAsia" w:cstheme="minorEastAsia"/>
          <w:color w:val="000000"/>
          <w:sz w:val="24"/>
          <w:szCs w:val="24"/>
          <w:highlight w:val="white"/>
        </w:rPr>
        <w:t>由采购人对投标文件中的资格证明文件进行审查，以确定供应商是否具备投标资格。</w:t>
      </w:r>
    </w:p>
    <w:p w14:paraId="0E14B39A">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采购人在进行资格性审查的同时，将在</w:t>
      </w:r>
      <w:r>
        <w:rPr>
          <w:rFonts w:hint="eastAsia" w:asciiTheme="minorEastAsia" w:hAnsiTheme="minorEastAsia" w:eastAsiaTheme="minorEastAsia" w:cstheme="minorEastAsia"/>
          <w:color w:val="000000"/>
          <w:sz w:val="24"/>
          <w:szCs w:val="24"/>
          <w:highlight w:val="white"/>
        </w:rPr>
        <w:t>“信用中国”网（www.creditchina.gov.cn）、“中国政府采购”网（www.ccgp.gov.cn）、江苏政府采购网（www.ccgp-jiangsu.gov.cn）</w:t>
      </w:r>
      <w:r>
        <w:rPr>
          <w:rFonts w:hint="eastAsia" w:asciiTheme="minorEastAsia" w:hAnsiTheme="minorEastAsia" w:eastAsiaTheme="minorEastAsia" w:cstheme="minorEastAsia"/>
          <w:bCs/>
          <w:color w:val="000000"/>
          <w:sz w:val="24"/>
          <w:szCs w:val="24"/>
          <w:highlight w:val="white"/>
        </w:rPr>
        <w:t>查询供应商的信用记录，以确定供应商是否具备投标资格,查询结果留存并归档。</w:t>
      </w:r>
    </w:p>
    <w:p w14:paraId="03DD74FD">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接受联合体的项目，两个以上的自然人、法人或者其他组织组成一个联合体，以一个供应商的身份共同参加政府采购活动的,联合体成员存在不良信用记录的，视同联合体存在不良应用记录。</w:t>
      </w:r>
    </w:p>
    <w:p w14:paraId="7981EFF8">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26.1.2 符合性审查：依据招标文件的规定，由评委会从投标文件的有效性、完整性和对招标文件的响应程度进行审查，以确定是否对招标文件的实质性要求作出响应。</w:t>
      </w:r>
    </w:p>
    <w:p w14:paraId="6B5E60C0">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26.1.3对各供应商符合性审查过程中，对初步被认定为无效投标者，由评委会组长或采购人代表将集体意见通过</w:t>
      </w:r>
      <w:r>
        <w:rPr>
          <w:rFonts w:hint="eastAsia" w:asciiTheme="minorEastAsia" w:hAnsiTheme="minorEastAsia" w:eastAsiaTheme="minorEastAsia" w:cstheme="minorEastAsia"/>
          <w:color w:val="000000"/>
          <w:sz w:val="24"/>
          <w:szCs w:val="24"/>
          <w:highlight w:val="white"/>
          <w:lang w:val="zh-CN"/>
        </w:rPr>
        <w:t>“苏采云”系统中告知未通过符合性审查的原因，评标结束后，将不再告知未通过符合性审查的原因</w:t>
      </w:r>
      <w:r>
        <w:rPr>
          <w:rFonts w:hint="eastAsia" w:asciiTheme="minorEastAsia" w:hAnsiTheme="minorEastAsia" w:eastAsiaTheme="minorEastAsia" w:cstheme="minorEastAsia"/>
          <w:color w:val="000000"/>
          <w:sz w:val="24"/>
          <w:szCs w:val="24"/>
          <w:highlight w:val="white"/>
        </w:rPr>
        <w:t>。</w:t>
      </w:r>
    </w:p>
    <w:p w14:paraId="7B67B7F9">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26.2在详细评标之前，评委会将首先审查每份投标文件是否实质性响应了招标文件的要求。实质性响应的投标应该是与招标文件要求的全部条款、条件和规格相符，没有重大偏离或保留的投标。</w:t>
      </w:r>
    </w:p>
    <w:p w14:paraId="112815DF">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0D123EB7">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26.3如果投标文件实质上没有响应招标文件的要求，评委会将予以拒绝，供应商不得通过修改或撤销不合要求的偏离或保留而使其投标成为实质性响应的投标。</w:t>
      </w:r>
    </w:p>
    <w:p w14:paraId="52625DA9">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26.4</w:t>
      </w:r>
      <w:r>
        <w:rPr>
          <w:rFonts w:hint="eastAsia" w:asciiTheme="minorEastAsia" w:hAnsiTheme="minorEastAsia" w:eastAsiaTheme="minorEastAsia" w:cstheme="minorEastAsia"/>
          <w:bCs/>
          <w:color w:val="000000"/>
          <w:sz w:val="24"/>
          <w:szCs w:val="24"/>
          <w:highlight w:val="white"/>
        </w:rPr>
        <w:t>评委会将对确定为实质性响应的投标进行进一步审核，确定其是否有计算上或累加上的算术错误，修正错误的原则如下：</w:t>
      </w:r>
    </w:p>
    <w:p w14:paraId="416AF6F8">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（1）投标文件中开标一览表内容与投标文件中相应内容不一致的，以开标一览表为准。</w:t>
      </w:r>
    </w:p>
    <w:p w14:paraId="35C0D2C0">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（2）大写金额和小写金额不一致的，以大写金额为准。</w:t>
      </w:r>
    </w:p>
    <w:p w14:paraId="3ED040B5">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（3）单价金额小数点或者百分比有明显错位的，以开标一览表的总价为准，并修改单价。</w:t>
      </w:r>
    </w:p>
    <w:p w14:paraId="5C35EA0B">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（4）总价金额与按单价汇总金额不一致的，以单价金额计算结果为准。</w:t>
      </w:r>
    </w:p>
    <w:p w14:paraId="5EC56DA3">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同时出现两种以上错误的，按照前款规定的顺序修正。</w:t>
      </w:r>
    </w:p>
    <w:p w14:paraId="23DB6C41">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26.5 </w:t>
      </w:r>
      <w:r>
        <w:rPr>
          <w:rFonts w:hint="eastAsia" w:asciiTheme="minorEastAsia" w:hAnsiTheme="minorEastAsia" w:eastAsiaTheme="minorEastAsia" w:cstheme="minorEastAsia"/>
          <w:bCs/>
          <w:color w:val="000000"/>
          <w:sz w:val="24"/>
          <w:szCs w:val="24"/>
          <w:highlight w:val="white"/>
        </w:rPr>
        <w:t>评委会将按上述修正错误的方法调整投标文件中的投标报价，并通过</w:t>
      </w:r>
      <w:r>
        <w:rPr>
          <w:rFonts w:hint="eastAsia" w:asciiTheme="minorEastAsia" w:hAnsiTheme="minorEastAsia" w:eastAsiaTheme="minorEastAsia" w:cstheme="minorEastAsia"/>
          <w:color w:val="000000"/>
          <w:sz w:val="24"/>
          <w:szCs w:val="24"/>
          <w:highlight w:val="white"/>
        </w:rPr>
        <w:t>“苏采云”系统</w:t>
      </w:r>
      <w:r>
        <w:rPr>
          <w:rFonts w:hint="eastAsia" w:asciiTheme="minorEastAsia" w:hAnsiTheme="minorEastAsia" w:eastAsiaTheme="minorEastAsia" w:cstheme="minorEastAsia"/>
          <w:bCs/>
          <w:color w:val="000000"/>
          <w:sz w:val="24"/>
          <w:szCs w:val="24"/>
          <w:highlight w:val="white"/>
        </w:rPr>
        <w:t>告知供应商，调整后的价格应对供应商具有约束力。如果供应商不接受修正后的价格，则其投标将被拒绝。</w:t>
      </w:r>
    </w:p>
    <w:p w14:paraId="464A2784">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p>
    <w:p w14:paraId="329857C1">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p>
    <w:p w14:paraId="7D1C6DB0">
      <w:pPr>
        <w:spacing w:line="360" w:lineRule="auto"/>
        <w:ind w:firstLine="42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color w:val="000000"/>
          <w:sz w:val="24"/>
          <w:szCs w:val="24"/>
          <w:highlight w:val="white"/>
        </w:rPr>
        <w:t>非单一产品采购项目，招标文件中将载明其中的核心产品。多家供应商提供的核心产品品牌相同的，按前两款规定处理。</w:t>
      </w:r>
    </w:p>
    <w:p w14:paraId="4E992894">
      <w:pPr>
        <w:spacing w:line="360" w:lineRule="auto"/>
        <w:ind w:firstLine="420"/>
        <w:rPr>
          <w:rFonts w:hint="eastAsia" w:asciiTheme="minorEastAsia" w:hAnsiTheme="minorEastAsia" w:eastAsiaTheme="minorEastAsia" w:cstheme="minorEastAsia"/>
          <w:color w:val="000000"/>
          <w:sz w:val="24"/>
          <w:szCs w:val="24"/>
          <w:highlight w:val="white"/>
        </w:rPr>
      </w:pPr>
      <w:bookmarkStart w:id="157" w:name="_Toc16938550"/>
      <w:bookmarkStart w:id="158" w:name="_Toc513029234"/>
      <w:bookmarkStart w:id="159" w:name="_Toc20823306"/>
      <w:r>
        <w:rPr>
          <w:rFonts w:hint="eastAsia" w:asciiTheme="minorEastAsia" w:hAnsiTheme="minorEastAsia" w:eastAsiaTheme="minorEastAsia" w:cstheme="minorEastAsia"/>
          <w:color w:val="000000"/>
          <w:sz w:val="24"/>
          <w:szCs w:val="24"/>
          <w:highlight w:val="white"/>
        </w:rPr>
        <w:t>26.7供应商在开、评标全过程中应随时保持系统在线，及时在“苏采云”系统查阅、答复相关信息。</w:t>
      </w:r>
    </w:p>
    <w:p w14:paraId="2C036A80">
      <w:pPr>
        <w:pStyle w:val="25"/>
        <w:spacing w:before="0" w:after="0" w:line="360" w:lineRule="auto"/>
        <w:ind w:firstLine="420"/>
        <w:rPr>
          <w:rFonts w:hint="eastAsia" w:asciiTheme="minorEastAsia" w:hAnsiTheme="minorEastAsia" w:eastAsiaTheme="minorEastAsia" w:cstheme="minorEastAsia"/>
          <w:b w:val="0"/>
          <w:bCs w:val="0"/>
          <w:color w:val="000000"/>
          <w:sz w:val="24"/>
          <w:szCs w:val="24"/>
          <w:highlight w:val="white"/>
        </w:rPr>
      </w:pPr>
      <w:r>
        <w:rPr>
          <w:rFonts w:hint="eastAsia" w:asciiTheme="minorEastAsia" w:hAnsiTheme="minorEastAsia" w:eastAsiaTheme="minorEastAsia" w:cstheme="minorEastAsia"/>
          <w:b w:val="0"/>
          <w:bCs w:val="0"/>
          <w:color w:val="000000"/>
          <w:sz w:val="24"/>
          <w:szCs w:val="24"/>
          <w:highlight w:val="white"/>
        </w:rPr>
        <w:t>27、</w:t>
      </w:r>
      <w:bookmarkEnd w:id="157"/>
      <w:bookmarkEnd w:id="158"/>
      <w:bookmarkEnd w:id="159"/>
      <w:r>
        <w:rPr>
          <w:rFonts w:hint="eastAsia" w:asciiTheme="minorEastAsia" w:hAnsiTheme="minorEastAsia" w:eastAsiaTheme="minorEastAsia" w:cstheme="minorEastAsia"/>
          <w:b w:val="0"/>
          <w:bCs w:val="0"/>
          <w:color w:val="000000"/>
          <w:sz w:val="24"/>
          <w:szCs w:val="24"/>
          <w:highlight w:val="white"/>
        </w:rPr>
        <w:t>无效投标条款和废标条款</w:t>
      </w:r>
    </w:p>
    <w:p w14:paraId="7197A59C">
      <w:pPr>
        <w:spacing w:line="360" w:lineRule="auto"/>
        <w:ind w:firstLine="480"/>
        <w:rPr>
          <w:rFonts w:hint="eastAsia" w:asciiTheme="minorEastAsia" w:hAnsiTheme="minorEastAsia" w:eastAsiaTheme="minorEastAsia" w:cstheme="minorEastAsia"/>
          <w:bCs/>
          <w:color w:val="000000"/>
          <w:sz w:val="24"/>
          <w:szCs w:val="24"/>
          <w:highlight w:val="white"/>
        </w:rPr>
      </w:pPr>
      <w:bookmarkStart w:id="160" w:name="_Toc513029235"/>
      <w:bookmarkStart w:id="161" w:name="_Toc16938551"/>
      <w:bookmarkStart w:id="162" w:name="_Toc20823307"/>
      <w:r>
        <w:rPr>
          <w:rFonts w:hint="eastAsia" w:asciiTheme="minorEastAsia" w:hAnsiTheme="minorEastAsia" w:eastAsiaTheme="minorEastAsia" w:cstheme="minorEastAsia"/>
          <w:bCs/>
          <w:color w:val="000000"/>
          <w:sz w:val="24"/>
          <w:szCs w:val="24"/>
          <w:highlight w:val="white"/>
        </w:rPr>
        <w:t>27.1无效投标条款</w:t>
      </w:r>
    </w:p>
    <w:p w14:paraId="58097CAA">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27.1.1 供应商在</w:t>
      </w:r>
      <w:r>
        <w:rPr>
          <w:rFonts w:hint="eastAsia" w:asciiTheme="minorEastAsia" w:hAnsiTheme="minorEastAsia" w:eastAsiaTheme="minorEastAsia" w:cstheme="minorEastAsia"/>
          <w:color w:val="000000"/>
          <w:sz w:val="24"/>
          <w:szCs w:val="24"/>
          <w:highlight w:val="white"/>
        </w:rPr>
        <w:t>“苏采云”系统</w:t>
      </w:r>
      <w:r>
        <w:rPr>
          <w:rFonts w:hint="eastAsia" w:asciiTheme="minorEastAsia" w:hAnsiTheme="minorEastAsia" w:eastAsiaTheme="minorEastAsia" w:cstheme="minorEastAsia"/>
          <w:bCs/>
          <w:color w:val="000000"/>
          <w:sz w:val="24"/>
          <w:szCs w:val="24"/>
          <w:highlight w:val="white"/>
        </w:rPr>
        <w:t>规定的时间内未成功解密电子投标文件的。</w:t>
      </w:r>
    </w:p>
    <w:p w14:paraId="5F23609D">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27.1.2 供应商未按照招标文件要求上传电子投标文件的。</w:t>
      </w:r>
    </w:p>
    <w:p w14:paraId="4903FA6C">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27.1.3同一供应商提交两个（含两个）以上不同的投标报价的。</w:t>
      </w:r>
    </w:p>
    <w:p w14:paraId="4577F771">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27.1.4供应商不具备招标文件中规定资格要求的。</w:t>
      </w:r>
    </w:p>
    <w:p w14:paraId="314B38BC">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27.1.5供应商的报价超过了采购预算或最高限价的。</w:t>
      </w:r>
    </w:p>
    <w:p w14:paraId="0A0989A9">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27.1.6未通过符合性审查的。</w:t>
      </w:r>
    </w:p>
    <w:p w14:paraId="15548A05">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27.1.7 供应商未按照采购文件要求明确所投产品品牌、型号。</w:t>
      </w:r>
    </w:p>
    <w:p w14:paraId="5CFB02E1">
      <w:pPr>
        <w:spacing w:line="360" w:lineRule="auto"/>
        <w:ind w:firstLine="360"/>
        <w:rPr>
          <w:rFonts w:hint="eastAsia" w:asciiTheme="minorEastAsia" w:hAnsiTheme="minorEastAsia" w:eastAsiaTheme="minorEastAsia" w:cstheme="minorEastAsia"/>
          <w:bCs/>
          <w:i/>
          <w:color w:val="000000"/>
          <w:sz w:val="24"/>
          <w:szCs w:val="24"/>
          <w:highlight w:val="white"/>
          <w:u w:val="single"/>
        </w:rPr>
      </w:pPr>
      <w:r>
        <w:rPr>
          <w:rFonts w:hint="eastAsia" w:asciiTheme="minorEastAsia" w:hAnsiTheme="minorEastAsia" w:eastAsiaTheme="minorEastAsia" w:cstheme="minorEastAsia"/>
          <w:bCs/>
          <w:color w:val="000000"/>
          <w:sz w:val="24"/>
          <w:szCs w:val="24"/>
          <w:highlight w:val="white"/>
        </w:rPr>
        <w:t xml:space="preserve"> 27.1.8不符合招标文件中规定的实质性要求和条件的（</w:t>
      </w:r>
      <w:r>
        <w:rPr>
          <w:rFonts w:hint="eastAsia" w:asciiTheme="minorEastAsia" w:hAnsiTheme="minorEastAsia" w:eastAsiaTheme="minorEastAsia" w:cstheme="minorEastAsia"/>
          <w:b/>
          <w:i/>
          <w:color w:val="000000"/>
          <w:sz w:val="24"/>
          <w:szCs w:val="24"/>
          <w:highlight w:val="white"/>
          <w:u w:val="single"/>
        </w:rPr>
        <w:t>本招标文件中加</w:t>
      </w:r>
      <w:r>
        <w:rPr>
          <w:rFonts w:hint="eastAsia" w:asciiTheme="minorEastAsia" w:hAnsiTheme="minorEastAsia" w:eastAsiaTheme="minorEastAsia" w:cstheme="minorEastAsia"/>
          <w:b/>
          <w:color w:val="000000"/>
          <w:sz w:val="24"/>
          <w:szCs w:val="24"/>
          <w:highlight w:val="white"/>
        </w:rPr>
        <w:t>★</w:t>
      </w:r>
      <w:r>
        <w:rPr>
          <w:rFonts w:hint="eastAsia" w:asciiTheme="minorEastAsia" w:hAnsiTheme="minorEastAsia" w:eastAsiaTheme="minorEastAsia" w:cstheme="minorEastAsia"/>
          <w:b/>
          <w:i/>
          <w:color w:val="000000"/>
          <w:sz w:val="24"/>
          <w:szCs w:val="24"/>
          <w:highlight w:val="white"/>
          <w:u w:val="single"/>
        </w:rPr>
        <w:t>项为实质性要求和条件）。</w:t>
      </w:r>
    </w:p>
    <w:p w14:paraId="051B9420">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 xml:space="preserve">27.1.9 供应商被 </w:t>
      </w:r>
      <w:r>
        <w:rPr>
          <w:rFonts w:hint="eastAsia" w:asciiTheme="minorEastAsia" w:hAnsiTheme="minorEastAsia" w:eastAsiaTheme="minorEastAsia" w:cstheme="minorEastAsia"/>
          <w:color w:val="000000"/>
          <w:sz w:val="24"/>
          <w:szCs w:val="24"/>
          <w:highlight w:val="white"/>
        </w:rPr>
        <w:t>“信用中国”网（www.creditchina.gov.cn）、“中国政府采购”网（www.ccgp.gov.cn）、江苏政府采购网（www.ccgp-jiangsu.gov.cn）</w:t>
      </w:r>
      <w:r>
        <w:rPr>
          <w:rFonts w:hint="eastAsia" w:asciiTheme="minorEastAsia" w:hAnsiTheme="minorEastAsia" w:eastAsiaTheme="minorEastAsia" w:cstheme="minorEastAsia"/>
          <w:bCs/>
          <w:color w:val="000000"/>
          <w:sz w:val="24"/>
          <w:szCs w:val="24"/>
          <w:highlight w:val="white"/>
        </w:rPr>
        <w:t>列入失信被执行人或重大税收违法案件当事人名单或政府采购严重失信行为记录名单。或查询“信用中国”网站后发现供应商存在其他不符合《中华人民共和国政府采购法》第二十二条规定条件的信用记录。</w:t>
      </w:r>
    </w:p>
    <w:p w14:paraId="2F3A7D33">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27.1.10 投标文件含有采购人不能接受的附加条件的。</w:t>
      </w:r>
    </w:p>
    <w:p w14:paraId="2A7E4012">
      <w:pPr>
        <w:spacing w:line="360" w:lineRule="auto"/>
        <w:ind w:firstLine="42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27.1.11评委会认为供应商的报价明显低于其他通过符合性审查供应商的报价，有可能影响产品质量或者不能诚信履约的，将通过</w:t>
      </w:r>
      <w:r>
        <w:rPr>
          <w:rFonts w:hint="eastAsia" w:asciiTheme="minorEastAsia" w:hAnsiTheme="minorEastAsia" w:eastAsiaTheme="minorEastAsia" w:cstheme="minorEastAsia"/>
          <w:color w:val="000000"/>
          <w:sz w:val="24"/>
          <w:szCs w:val="24"/>
          <w:highlight w:val="white"/>
        </w:rPr>
        <w:t>“苏采云”系统</w:t>
      </w:r>
      <w:r>
        <w:rPr>
          <w:rFonts w:hint="eastAsia" w:asciiTheme="minorEastAsia" w:hAnsiTheme="minorEastAsia" w:eastAsiaTheme="minorEastAsia" w:cstheme="minorEastAsia"/>
          <w:bCs/>
          <w:color w:val="000000"/>
          <w:sz w:val="24"/>
          <w:szCs w:val="24"/>
          <w:highlight w:val="white"/>
        </w:rPr>
        <w:t>要求其在合理的时间内提供说明，必要时提交相关证明材料；供应商不能证明其报价合理性的，评委会应当将其作为无效投标处理。</w:t>
      </w:r>
    </w:p>
    <w:p w14:paraId="4C9BEFC1">
      <w:pPr>
        <w:spacing w:line="360" w:lineRule="auto"/>
        <w:ind w:firstLine="42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lang w:val="zh-CN"/>
        </w:rPr>
        <w:t>2</w:t>
      </w:r>
      <w:r>
        <w:rPr>
          <w:rFonts w:hint="eastAsia" w:asciiTheme="minorEastAsia" w:hAnsiTheme="minorEastAsia" w:eastAsiaTheme="minorEastAsia" w:cstheme="minorEastAsia"/>
          <w:color w:val="000000"/>
          <w:sz w:val="24"/>
          <w:szCs w:val="24"/>
          <w:highlight w:val="white"/>
        </w:rPr>
        <w:t>7</w:t>
      </w:r>
      <w:r>
        <w:rPr>
          <w:rFonts w:hint="eastAsia" w:asciiTheme="minorEastAsia" w:hAnsiTheme="minorEastAsia" w:eastAsiaTheme="minorEastAsia" w:cstheme="minorEastAsia"/>
          <w:color w:val="000000"/>
          <w:sz w:val="24"/>
          <w:szCs w:val="24"/>
          <w:highlight w:val="white"/>
          <w:lang w:val="zh-CN"/>
        </w:rPr>
        <w:t>.1.1</w:t>
      </w:r>
      <w:r>
        <w:rPr>
          <w:rFonts w:hint="eastAsia" w:asciiTheme="minorEastAsia" w:hAnsiTheme="minorEastAsia" w:eastAsiaTheme="minorEastAsia" w:cstheme="minorEastAsia"/>
          <w:color w:val="000000"/>
          <w:sz w:val="24"/>
          <w:szCs w:val="24"/>
          <w:highlight w:val="white"/>
        </w:rPr>
        <w:t>2</w:t>
      </w:r>
      <w:r>
        <w:rPr>
          <w:rFonts w:hint="eastAsia" w:asciiTheme="minorEastAsia" w:hAnsiTheme="minorEastAsia" w:eastAsiaTheme="minorEastAsia" w:cstheme="minorEastAsia"/>
          <w:color w:val="000000"/>
          <w:sz w:val="24"/>
          <w:szCs w:val="24"/>
          <w:highlight w:val="white"/>
          <w:lang w:val="zh-CN"/>
        </w:rPr>
        <w:t>本项目采购产品被财政部、国家发改委、生态环境部等列入“节能产品品目清单”、“环境标志产品品目清单”强制采购范围，而供应商所</w:t>
      </w:r>
      <w:r>
        <w:rPr>
          <w:rFonts w:hint="eastAsia" w:asciiTheme="minorEastAsia" w:hAnsiTheme="minorEastAsia" w:eastAsiaTheme="minorEastAsia" w:cstheme="minorEastAsia"/>
          <w:color w:val="000000"/>
          <w:sz w:val="24"/>
          <w:szCs w:val="24"/>
          <w:highlight w:val="white"/>
        </w:rPr>
        <w:t>投</w:t>
      </w:r>
      <w:r>
        <w:rPr>
          <w:rFonts w:hint="eastAsia" w:asciiTheme="minorEastAsia" w:hAnsiTheme="minorEastAsia" w:eastAsiaTheme="minorEastAsia" w:cstheme="minorEastAsia"/>
          <w:color w:val="000000"/>
          <w:sz w:val="24"/>
          <w:szCs w:val="24"/>
          <w:highlight w:val="white"/>
          <w:lang w:val="zh-CN"/>
        </w:rPr>
        <w:t>产品不在强制采购范围内的。（产品如属于政府强制采购节能产品品目清单范围内，</w:t>
      </w:r>
      <w:r>
        <w:rPr>
          <w:rFonts w:hint="eastAsia" w:asciiTheme="minorEastAsia" w:hAnsiTheme="minorEastAsia" w:eastAsiaTheme="minorEastAsia" w:cstheme="minorEastAsia"/>
          <w:color w:val="000000"/>
          <w:sz w:val="24"/>
          <w:szCs w:val="24"/>
          <w:highlight w:val="white"/>
        </w:rPr>
        <w:t>投标</w:t>
      </w:r>
      <w:r>
        <w:rPr>
          <w:rFonts w:hint="eastAsia" w:asciiTheme="minorEastAsia" w:hAnsiTheme="minorEastAsia" w:eastAsiaTheme="minorEastAsia" w:cstheme="minorEastAsia"/>
          <w:color w:val="000000"/>
          <w:sz w:val="24"/>
          <w:szCs w:val="24"/>
          <w:highlight w:val="white"/>
          <w:lang w:val="zh-CN"/>
        </w:rPr>
        <w:t>文件中必须提供国家确定的认证机构出具的、处于有效期之内的该节能产品认证证书图片）。</w:t>
      </w:r>
    </w:p>
    <w:p w14:paraId="720333A3">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27.1.13 投标文件未按照招标文件要求加盖CA电子公章的。</w:t>
      </w:r>
    </w:p>
    <w:p w14:paraId="5F9495D0">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27.1.14其他法律、法规及本招标文件规定的属无效投标的。</w:t>
      </w:r>
    </w:p>
    <w:p w14:paraId="22296F92">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27.2废标条款</w:t>
      </w:r>
    </w:p>
    <w:p w14:paraId="24AC9E13">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27.2.1符合专业条件的供应商或者对招标文件作实质响应的供应商不足三家的。27.2.2出现影响采购公正的违法、违规行为的。</w:t>
      </w:r>
    </w:p>
    <w:p w14:paraId="7A0D0B04">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27.2.3因重大变故，采购任务取消的。</w:t>
      </w:r>
    </w:p>
    <w:p w14:paraId="4BAE7835">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27.2.4评委会认定招标文件存在歧义、重大缺陷导致评审工作无法进行。</w:t>
      </w:r>
    </w:p>
    <w:p w14:paraId="51842D52">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27.2.5 因</w:t>
      </w:r>
      <w:r>
        <w:rPr>
          <w:rFonts w:hint="eastAsia" w:asciiTheme="minorEastAsia" w:hAnsiTheme="minorEastAsia" w:eastAsiaTheme="minorEastAsia" w:cstheme="minorEastAsia"/>
          <w:color w:val="000000"/>
          <w:sz w:val="24"/>
          <w:szCs w:val="24"/>
          <w:highlight w:val="white"/>
        </w:rPr>
        <w:t>“苏采云”系统</w:t>
      </w:r>
      <w:r>
        <w:rPr>
          <w:rFonts w:hint="eastAsia" w:asciiTheme="minorEastAsia" w:hAnsiTheme="minorEastAsia" w:eastAsiaTheme="minorEastAsia" w:cstheme="minorEastAsia"/>
          <w:bCs/>
          <w:color w:val="000000"/>
          <w:sz w:val="24"/>
          <w:szCs w:val="24"/>
          <w:highlight w:val="white"/>
        </w:rPr>
        <w:t>系统故障原因造成开标不成功的。</w:t>
      </w:r>
    </w:p>
    <w:p w14:paraId="3805DD52">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27.3 投标截止时间结束后参加投标的供应商不足三家的处理：</w:t>
      </w:r>
    </w:p>
    <w:p w14:paraId="069B1B61">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27.3.1如出现投标截止时间结束后参加投标的供应商或者在评标期间对招标文件做出实质响应的供应商不足三家情况，按政府采购相关规定执行。</w:t>
      </w:r>
    </w:p>
    <w:p w14:paraId="721E4A72">
      <w:pPr>
        <w:pStyle w:val="17"/>
        <w:spacing w:before="0" w:after="0" w:line="360" w:lineRule="auto"/>
        <w:ind w:firstLine="482"/>
        <w:rPr>
          <w:rFonts w:hint="eastAsia" w:asciiTheme="minorEastAsia" w:hAnsiTheme="minorEastAsia" w:eastAsiaTheme="minorEastAsia" w:cstheme="minorEastAsia"/>
          <w:color w:val="000000"/>
          <w:sz w:val="24"/>
          <w:szCs w:val="24"/>
          <w:highlight w:val="white"/>
        </w:rPr>
      </w:pPr>
      <w:bookmarkStart w:id="163" w:name="_Toc120614219"/>
      <w:r>
        <w:rPr>
          <w:rFonts w:hint="eastAsia" w:asciiTheme="minorEastAsia" w:hAnsiTheme="minorEastAsia" w:eastAsiaTheme="minorEastAsia" w:cstheme="minorEastAsia"/>
          <w:color w:val="000000"/>
          <w:sz w:val="24"/>
          <w:szCs w:val="24"/>
          <w:highlight w:val="white"/>
        </w:rPr>
        <w:t>六、</w:t>
      </w:r>
      <w:bookmarkEnd w:id="160"/>
      <w:bookmarkEnd w:id="161"/>
      <w:bookmarkEnd w:id="162"/>
      <w:r>
        <w:rPr>
          <w:rFonts w:hint="eastAsia" w:asciiTheme="minorEastAsia" w:hAnsiTheme="minorEastAsia" w:eastAsiaTheme="minorEastAsia" w:cstheme="minorEastAsia"/>
          <w:color w:val="000000"/>
          <w:sz w:val="24"/>
          <w:szCs w:val="24"/>
          <w:highlight w:val="white"/>
        </w:rPr>
        <w:t>定标</w:t>
      </w:r>
      <w:bookmarkEnd w:id="163"/>
    </w:p>
    <w:p w14:paraId="151FAC87">
      <w:pPr>
        <w:pStyle w:val="25"/>
        <w:spacing w:before="0" w:after="0" w:line="360" w:lineRule="auto"/>
        <w:ind w:firstLine="600"/>
        <w:rPr>
          <w:rFonts w:hint="eastAsia" w:asciiTheme="minorEastAsia" w:hAnsiTheme="minorEastAsia" w:eastAsiaTheme="minorEastAsia" w:cstheme="minorEastAsia"/>
          <w:b w:val="0"/>
          <w:color w:val="000000"/>
          <w:sz w:val="24"/>
          <w:szCs w:val="24"/>
          <w:highlight w:val="white"/>
        </w:rPr>
      </w:pPr>
      <w:bookmarkStart w:id="164" w:name="_Toc513029238"/>
      <w:bookmarkStart w:id="165" w:name="_Toc20823310"/>
      <w:bookmarkStart w:id="166" w:name="_Toc16938554"/>
      <w:r>
        <w:rPr>
          <w:rFonts w:hint="eastAsia" w:asciiTheme="minorEastAsia" w:hAnsiTheme="minorEastAsia" w:eastAsiaTheme="minorEastAsia" w:cstheme="minorEastAsia"/>
          <w:b w:val="0"/>
          <w:color w:val="000000"/>
          <w:sz w:val="24"/>
          <w:szCs w:val="24"/>
          <w:highlight w:val="white"/>
        </w:rPr>
        <w:t>28、</w:t>
      </w:r>
      <w:bookmarkEnd w:id="164"/>
      <w:r>
        <w:rPr>
          <w:rFonts w:hint="eastAsia" w:asciiTheme="minorEastAsia" w:hAnsiTheme="minorEastAsia" w:eastAsiaTheme="minorEastAsia" w:cstheme="minorEastAsia"/>
          <w:b w:val="0"/>
          <w:color w:val="000000"/>
          <w:sz w:val="24"/>
          <w:szCs w:val="24"/>
          <w:highlight w:val="white"/>
        </w:rPr>
        <w:t>确定</w:t>
      </w:r>
      <w:bookmarkEnd w:id="165"/>
      <w:bookmarkEnd w:id="166"/>
      <w:r>
        <w:rPr>
          <w:rFonts w:hint="eastAsia" w:asciiTheme="minorEastAsia" w:hAnsiTheme="minorEastAsia" w:eastAsiaTheme="minorEastAsia" w:cstheme="minorEastAsia"/>
          <w:b w:val="0"/>
          <w:color w:val="000000"/>
          <w:sz w:val="24"/>
          <w:szCs w:val="24"/>
          <w:highlight w:val="white"/>
        </w:rPr>
        <w:t>中标单位</w:t>
      </w:r>
    </w:p>
    <w:p w14:paraId="3191641D">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 xml:space="preserve">28.1中标候选人的选取原则和数量见招标文件第五章规定。 </w:t>
      </w:r>
    </w:p>
    <w:p w14:paraId="57A8BFD5">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2</w:t>
      </w:r>
      <w:r>
        <w:rPr>
          <w:rFonts w:hint="eastAsia" w:asciiTheme="minorEastAsia" w:hAnsiTheme="minorEastAsia" w:eastAsiaTheme="minorEastAsia" w:cstheme="minorEastAsia"/>
          <w:bCs/>
          <w:color w:val="000000"/>
          <w:sz w:val="24"/>
          <w:szCs w:val="24"/>
          <w:highlight w:val="white"/>
        </w:rPr>
        <w:t>8</w:t>
      </w:r>
      <w:r>
        <w:rPr>
          <w:rFonts w:hint="eastAsia" w:asciiTheme="minorEastAsia" w:hAnsiTheme="minorEastAsia" w:eastAsiaTheme="minorEastAsia" w:cstheme="minorEastAsia"/>
          <w:bCs/>
          <w:color w:val="000000"/>
          <w:sz w:val="24"/>
          <w:szCs w:val="24"/>
          <w:highlight w:val="white"/>
          <w:lang w:val="zh-CN"/>
        </w:rPr>
        <w:t>.2 按以下第</w:t>
      </w:r>
      <w:r>
        <w:rPr>
          <w:rFonts w:hint="eastAsia" w:asciiTheme="minorEastAsia" w:hAnsiTheme="minorEastAsia" w:eastAsiaTheme="minorEastAsia" w:cstheme="minorEastAsia"/>
          <w:bCs/>
          <w:color w:val="000000"/>
          <w:sz w:val="24"/>
          <w:szCs w:val="24"/>
          <w:highlight w:val="white"/>
          <w:u w:val="single"/>
          <w:lang w:val="zh-CN"/>
        </w:rPr>
        <w:t>（</w:t>
      </w:r>
      <w:r>
        <w:rPr>
          <w:rFonts w:hint="eastAsia" w:asciiTheme="minorEastAsia" w:hAnsiTheme="minorEastAsia" w:eastAsiaTheme="minorEastAsia" w:cstheme="minorEastAsia"/>
          <w:bCs/>
          <w:color w:val="000000"/>
          <w:sz w:val="24"/>
          <w:szCs w:val="24"/>
          <w:highlight w:val="white"/>
          <w:u w:val="single"/>
        </w:rPr>
        <w:t xml:space="preserve"> 1 </w:t>
      </w:r>
      <w:r>
        <w:rPr>
          <w:rFonts w:hint="eastAsia" w:asciiTheme="minorEastAsia" w:hAnsiTheme="minorEastAsia" w:eastAsiaTheme="minorEastAsia" w:cstheme="minorEastAsia"/>
          <w:bCs/>
          <w:color w:val="000000"/>
          <w:sz w:val="24"/>
          <w:szCs w:val="24"/>
          <w:highlight w:val="white"/>
          <w:u w:val="single"/>
          <w:lang w:val="zh-CN"/>
        </w:rPr>
        <w:t>）</w:t>
      </w:r>
      <w:r>
        <w:rPr>
          <w:rFonts w:hint="eastAsia" w:asciiTheme="minorEastAsia" w:hAnsiTheme="minorEastAsia" w:eastAsiaTheme="minorEastAsia" w:cstheme="minorEastAsia"/>
          <w:bCs/>
          <w:color w:val="000000"/>
          <w:sz w:val="24"/>
          <w:szCs w:val="24"/>
          <w:highlight w:val="white"/>
          <w:lang w:val="zh-CN"/>
        </w:rPr>
        <w:t>种方式确定中标人</w:t>
      </w:r>
    </w:p>
    <w:p w14:paraId="125836EC">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（1）评委会直接确定排名第一的中标候选人为中标人；</w:t>
      </w:r>
    </w:p>
    <w:p w14:paraId="09408EFE">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（2）采购人在评委会推荐的中标候选人中按顺序确定中标人。</w:t>
      </w:r>
    </w:p>
    <w:p w14:paraId="46E5D0E5">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按第</w:t>
      </w:r>
      <w:r>
        <w:rPr>
          <w:rFonts w:hint="eastAsia" w:asciiTheme="minorEastAsia" w:hAnsiTheme="minorEastAsia" w:eastAsiaTheme="minorEastAsia" w:cstheme="minorEastAsia"/>
          <w:bCs/>
          <w:color w:val="000000"/>
          <w:sz w:val="24"/>
          <w:szCs w:val="24"/>
          <w:highlight w:val="white"/>
        </w:rPr>
        <w:t>2</w:t>
      </w:r>
      <w:r>
        <w:rPr>
          <w:rFonts w:hint="eastAsia" w:asciiTheme="minorEastAsia" w:hAnsiTheme="minorEastAsia" w:eastAsiaTheme="minorEastAsia" w:cstheme="minorEastAsia"/>
          <w:bCs/>
          <w:color w:val="000000"/>
          <w:sz w:val="24"/>
          <w:szCs w:val="24"/>
          <w:highlight w:val="white"/>
          <w:lang w:val="zh-CN"/>
        </w:rPr>
        <w:t>种方式确定中标人的，</w:t>
      </w:r>
      <w:r>
        <w:rPr>
          <w:rFonts w:hint="eastAsia" w:asciiTheme="minorEastAsia" w:hAnsiTheme="minorEastAsia" w:eastAsiaTheme="minorEastAsia" w:cstheme="minorEastAsia"/>
          <w:bCs/>
          <w:color w:val="000000"/>
          <w:sz w:val="24"/>
          <w:szCs w:val="24"/>
          <w:highlight w:val="white"/>
        </w:rPr>
        <w:t>采购代理机构</w:t>
      </w:r>
      <w:r>
        <w:rPr>
          <w:rFonts w:hint="eastAsia" w:asciiTheme="minorEastAsia" w:hAnsiTheme="minorEastAsia" w:eastAsiaTheme="minorEastAsia" w:cstheme="minorEastAsia"/>
          <w:bCs/>
          <w:color w:val="000000"/>
          <w:sz w:val="24"/>
          <w:szCs w:val="24"/>
          <w:highlight w:val="white"/>
          <w:lang w:val="zh-CN"/>
        </w:rPr>
        <w:t>自评审结束之日起两个工作日内将评审报告送交采购人，采购人自收到评审报告之日起五个工作日内在评审报告推荐的中标候选人中按顺序确定中标人。</w:t>
      </w:r>
    </w:p>
    <w:p w14:paraId="3FF58F38">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 xml:space="preserve">28.3 </w:t>
      </w:r>
      <w:r>
        <w:rPr>
          <w:rFonts w:hint="eastAsia" w:asciiTheme="minorEastAsia" w:hAnsiTheme="minorEastAsia" w:eastAsiaTheme="minorEastAsia" w:cstheme="minorEastAsia"/>
          <w:color w:val="000000"/>
          <w:sz w:val="24"/>
          <w:szCs w:val="24"/>
          <w:highlight w:val="white"/>
        </w:rPr>
        <w:t>采购代理机构将在“宿迁市政府采购网、宿迁市公共资源交易平台、江苏省财政部门指定的媒体”发布中标公告，公告期限为1个工作日。</w:t>
      </w:r>
    </w:p>
    <w:p w14:paraId="4B1E2E85">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28.4  若有充分证据证明，中标人出现下列情况之一的，一经查实，将被取消中标资格：</w:t>
      </w:r>
    </w:p>
    <w:p w14:paraId="00BA56BF">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28.4.1提供虚假材料谋取中标的。</w:t>
      </w:r>
    </w:p>
    <w:p w14:paraId="12040FF4">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28.4.2向采购人、采购代理机构行贿或者提供其他不正当利益的。</w:t>
      </w:r>
    </w:p>
    <w:p w14:paraId="476F9256">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28.4.3属于本文件规定的无效条件，但在评标过程中又未被评委会发现的。</w:t>
      </w:r>
    </w:p>
    <w:p w14:paraId="308F2D2A">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28.4.4与采购人或者其他供应商恶意串通的。</w:t>
      </w:r>
    </w:p>
    <w:p w14:paraId="2E1D0888">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28.4.5采取不正当手段诋毁、排挤其他供应商的。</w:t>
      </w:r>
    </w:p>
    <w:p w14:paraId="4C285D4E">
      <w:pPr>
        <w:spacing w:line="360" w:lineRule="auto"/>
        <w:ind w:firstLine="480"/>
        <w:rPr>
          <w:rFonts w:hint="eastAsia" w:asciiTheme="minorEastAsia" w:hAnsiTheme="minorEastAsia" w:eastAsiaTheme="minorEastAsia" w:cstheme="minorEastAsia"/>
          <w:color w:val="000000"/>
          <w:sz w:val="24"/>
          <w:szCs w:val="24"/>
          <w:highlight w:val="white"/>
        </w:rPr>
      </w:pPr>
      <w:bookmarkStart w:id="167" w:name="_Toc200451960"/>
      <w:r>
        <w:rPr>
          <w:rFonts w:hint="eastAsia" w:asciiTheme="minorEastAsia" w:hAnsiTheme="minorEastAsia" w:eastAsiaTheme="minorEastAsia" w:cstheme="minorEastAsia"/>
          <w:color w:val="000000"/>
          <w:sz w:val="24"/>
          <w:szCs w:val="24"/>
          <w:highlight w:val="white"/>
        </w:rPr>
        <w:t>28.5 有下列情形之一的，视为供应商串通投标，投标无效：</w:t>
      </w:r>
    </w:p>
    <w:p w14:paraId="0834423B">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28.5.1不同供应商的投标文件由同一单位或者个人编制。</w:t>
      </w:r>
    </w:p>
    <w:p w14:paraId="3B11422F">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28.5.2不同供应商委托同一单位或者个人办理投标事宜。</w:t>
      </w:r>
    </w:p>
    <w:p w14:paraId="497A91E6">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28.5.3 不同供应商的投标文件载明的项目管理成员或者联系人员为同一人。</w:t>
      </w:r>
    </w:p>
    <w:p w14:paraId="52FC2B6B">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28.5.4不同供应商的投标文件异常一致或者投标报价呈规律性差异。</w:t>
      </w:r>
    </w:p>
    <w:p w14:paraId="04180922">
      <w:pPr>
        <w:pStyle w:val="25"/>
        <w:spacing w:before="0" w:after="0" w:line="360" w:lineRule="auto"/>
        <w:ind w:firstLine="600"/>
        <w:rPr>
          <w:rFonts w:hint="eastAsia" w:asciiTheme="minorEastAsia" w:hAnsiTheme="minorEastAsia" w:eastAsiaTheme="minorEastAsia" w:cstheme="minorEastAsia"/>
          <w:b w:val="0"/>
          <w:color w:val="000000"/>
          <w:sz w:val="24"/>
          <w:szCs w:val="24"/>
          <w:highlight w:val="white"/>
        </w:rPr>
      </w:pPr>
      <w:r>
        <w:rPr>
          <w:rFonts w:hint="eastAsia" w:asciiTheme="minorEastAsia" w:hAnsiTheme="minorEastAsia" w:eastAsiaTheme="minorEastAsia" w:cstheme="minorEastAsia"/>
          <w:b w:val="0"/>
          <w:color w:val="000000"/>
          <w:sz w:val="24"/>
          <w:szCs w:val="24"/>
          <w:highlight w:val="white"/>
        </w:rPr>
        <w:t>29、质疑处理</w:t>
      </w:r>
      <w:bookmarkEnd w:id="167"/>
    </w:p>
    <w:p w14:paraId="3F6D4E4C">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29.1 提出质疑的供应商应当是参与所质疑项目采购活动的供应商。潜在供应商依法获取其可质疑的采购文件的，可以对采购文件提出质疑。</w:t>
      </w:r>
    </w:p>
    <w:p w14:paraId="78B015A4">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431C44F3">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29.2.1对可以质疑的采购文件提出质疑的，为收到采购文件之日或者采购文件公告期限届满之日；</w:t>
      </w:r>
    </w:p>
    <w:p w14:paraId="03B3DBCF">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29.2.2对采购过程提出质疑的，为各采购程序环节结束之日；</w:t>
      </w:r>
    </w:p>
    <w:p w14:paraId="49673955">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29.2.3对中标或者成交结果提出质疑的，为中标或者成交结果公告期限届满之日。</w:t>
      </w:r>
    </w:p>
    <w:p w14:paraId="2165B6F5">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供应商应当在法定质疑期内一次性提出针对同一采购程序环节的质疑。供应商如在法定期限内对同一采购程序环节提出多次质疑的，采购代理机构、采购人将只对供应商第一次质疑作出答复。</w:t>
      </w:r>
    </w:p>
    <w:p w14:paraId="3D4741AC">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29.3质疑函必须按照本招标文件中《质疑函范本》要求的格式和内容进行填写。供应商如组成联合体参加投标，则《质疑函范本》中要求签字、盖章、加盖公章之处，联合体各方均须按要求签字、盖章、加盖公章。</w:t>
      </w:r>
    </w:p>
    <w:p w14:paraId="3A1E93EB">
      <w:pPr>
        <w:spacing w:line="360" w:lineRule="auto"/>
        <w:ind w:firstLine="480"/>
        <w:rPr>
          <w:rFonts w:hint="eastAsia" w:asciiTheme="minorEastAsia" w:hAnsiTheme="minorEastAsia" w:eastAsiaTheme="minorEastAsia" w:cstheme="minorEastAsia"/>
          <w:b/>
          <w:color w:val="000000"/>
          <w:sz w:val="24"/>
          <w:szCs w:val="24"/>
          <w:highlight w:val="white"/>
        </w:rPr>
      </w:pPr>
      <w:r>
        <w:rPr>
          <w:rFonts w:hint="eastAsia" w:asciiTheme="minorEastAsia" w:hAnsiTheme="minorEastAsia" w:eastAsiaTheme="minorEastAsia" w:cstheme="minorEastAsia"/>
          <w:color w:val="000000"/>
          <w:sz w:val="24"/>
          <w:szCs w:val="24"/>
          <w:highlight w:val="white"/>
        </w:rPr>
        <w:t>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4E965AB2">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根据本项目的《委托代理协议》，本项目由</w:t>
      </w:r>
      <w:r>
        <w:rPr>
          <w:rFonts w:hint="eastAsia" w:asciiTheme="minorEastAsia" w:hAnsiTheme="minorEastAsia" w:eastAsiaTheme="minorEastAsia" w:cstheme="minorEastAsia"/>
          <w:b/>
          <w:bCs/>
          <w:color w:val="000000"/>
          <w:sz w:val="24"/>
          <w:szCs w:val="24"/>
          <w:u w:val="single"/>
        </w:rPr>
        <w:t>泗阳县融媒体中心/江苏开源工程咨询监理有限公司</w:t>
      </w:r>
      <w:r>
        <w:rPr>
          <w:rFonts w:hint="eastAsia" w:asciiTheme="minorEastAsia" w:hAnsiTheme="minorEastAsia" w:eastAsiaTheme="minorEastAsia" w:cstheme="minorEastAsia"/>
          <w:color w:val="000000"/>
          <w:sz w:val="24"/>
          <w:szCs w:val="24"/>
          <w:highlight w:val="white"/>
        </w:rPr>
        <w:t>答复。</w:t>
      </w:r>
    </w:p>
    <w:p w14:paraId="39C46628">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接收质疑函的方式：现场接收或邮寄接收。</w:t>
      </w:r>
    </w:p>
    <w:p w14:paraId="6E9368C0">
      <w:pPr>
        <w:spacing w:line="360" w:lineRule="auto"/>
        <w:ind w:firstLine="480"/>
        <w:rPr>
          <w:rFonts w:hint="eastAsia" w:asciiTheme="minorEastAsia" w:hAnsiTheme="minorEastAsia" w:eastAsiaTheme="minorEastAsia" w:cstheme="minorEastAsia"/>
          <w:b/>
          <w:bCs/>
          <w:color w:val="000000"/>
          <w:sz w:val="24"/>
          <w:szCs w:val="24"/>
          <w:highlight w:val="yellow"/>
          <w:u w:val="single"/>
        </w:rPr>
      </w:pPr>
      <w:r>
        <w:rPr>
          <w:rFonts w:hint="eastAsia" w:asciiTheme="minorEastAsia" w:hAnsiTheme="minorEastAsia" w:eastAsiaTheme="minorEastAsia" w:cstheme="minorEastAsia"/>
          <w:color w:val="000000"/>
          <w:sz w:val="24"/>
          <w:szCs w:val="24"/>
        </w:rPr>
        <w:t>联系部门：</w:t>
      </w:r>
      <w:bookmarkStart w:id="168" w:name="EB587bd491a3fd493c8e729d1eaa56203a"/>
      <w:r>
        <w:rPr>
          <w:rFonts w:hint="eastAsia" w:asciiTheme="minorEastAsia" w:hAnsiTheme="minorEastAsia" w:eastAsiaTheme="minorEastAsia" w:cstheme="minorEastAsia"/>
          <w:b/>
          <w:bCs/>
          <w:color w:val="000000"/>
          <w:sz w:val="24"/>
          <w:szCs w:val="24"/>
          <w:u w:val="single"/>
        </w:rPr>
        <w:t>泗阳县融媒体中心/江苏开源工程咨询监理有限公司</w:t>
      </w:r>
      <w:bookmarkEnd w:id="168"/>
    </w:p>
    <w:p w14:paraId="284E9E5D">
      <w:pPr>
        <w:spacing w:line="360" w:lineRule="auto"/>
        <w:ind w:firstLine="480"/>
        <w:rPr>
          <w:rFonts w:hint="eastAsia" w:asciiTheme="minorEastAsia" w:hAnsiTheme="minorEastAsia" w:eastAsiaTheme="minorEastAsia" w:cstheme="minorEastAsia"/>
          <w:b/>
          <w:bCs/>
          <w:color w:val="000000"/>
          <w:sz w:val="24"/>
          <w:szCs w:val="24"/>
          <w:u w:val="single"/>
        </w:rPr>
      </w:pPr>
      <w:r>
        <w:rPr>
          <w:rFonts w:hint="eastAsia" w:asciiTheme="minorEastAsia" w:hAnsiTheme="minorEastAsia" w:eastAsiaTheme="minorEastAsia" w:cstheme="minorEastAsia"/>
          <w:color w:val="000000"/>
          <w:sz w:val="24"/>
          <w:szCs w:val="24"/>
        </w:rPr>
        <w:t>联系电话：</w:t>
      </w:r>
      <w:r>
        <w:rPr>
          <w:rFonts w:hint="eastAsia" w:asciiTheme="minorEastAsia" w:hAnsiTheme="minorEastAsia" w:eastAsiaTheme="minorEastAsia" w:cstheme="minorEastAsia"/>
          <w:b/>
          <w:bCs/>
          <w:color w:val="000000"/>
          <w:sz w:val="24"/>
          <w:szCs w:val="24"/>
          <w:u w:val="single"/>
        </w:rPr>
        <w:t xml:space="preserve">   </w:t>
      </w:r>
      <w:bookmarkStart w:id="169" w:name="EB5b41b423f63941cebdd46b3e34fcab34"/>
      <w:r>
        <w:rPr>
          <w:rFonts w:hint="eastAsia" w:asciiTheme="minorEastAsia" w:hAnsiTheme="minorEastAsia" w:eastAsiaTheme="minorEastAsia" w:cstheme="minorEastAsia"/>
          <w:b/>
          <w:bCs/>
          <w:color w:val="000000"/>
          <w:sz w:val="24"/>
          <w:szCs w:val="24"/>
          <w:u w:val="single"/>
        </w:rPr>
        <w:t>周军 18751058699/陈悦 18752721795</w:t>
      </w:r>
      <w:bookmarkEnd w:id="169"/>
      <w:r>
        <w:rPr>
          <w:rFonts w:hint="eastAsia" w:asciiTheme="minorEastAsia" w:hAnsiTheme="minorEastAsia" w:eastAsiaTheme="minorEastAsia" w:cstheme="minorEastAsia"/>
          <w:b/>
          <w:bCs/>
          <w:color w:val="000000"/>
          <w:sz w:val="24"/>
          <w:szCs w:val="24"/>
          <w:u w:val="single"/>
        </w:rPr>
        <w:t xml:space="preserve">  </w:t>
      </w:r>
    </w:p>
    <w:p w14:paraId="53E840DD">
      <w:pPr>
        <w:spacing w:line="360" w:lineRule="auto"/>
        <w:ind w:firstLine="480"/>
        <w:rPr>
          <w:rFonts w:hint="eastAsia" w:asciiTheme="minorEastAsia" w:hAnsiTheme="minorEastAsia" w:eastAsiaTheme="minorEastAsia" w:cstheme="minorEastAsia"/>
          <w:color w:val="000000"/>
          <w:sz w:val="24"/>
          <w:szCs w:val="24"/>
          <w:highlight w:val="white"/>
          <w:u w:val="single"/>
        </w:rPr>
      </w:pPr>
      <w:r>
        <w:rPr>
          <w:rFonts w:hint="eastAsia" w:asciiTheme="minorEastAsia" w:hAnsiTheme="minorEastAsia" w:eastAsiaTheme="minorEastAsia" w:cstheme="minorEastAsia"/>
          <w:color w:val="000000"/>
          <w:sz w:val="24"/>
          <w:szCs w:val="24"/>
        </w:rPr>
        <w:t>通讯地址：</w:t>
      </w:r>
      <w:bookmarkStart w:id="170" w:name="EB572fd27c0a4b41898944b1b4aad84cb2"/>
      <w:r>
        <w:rPr>
          <w:rFonts w:hint="eastAsia" w:asciiTheme="minorEastAsia" w:hAnsiTheme="minorEastAsia" w:eastAsiaTheme="minorEastAsia" w:cstheme="minorEastAsia"/>
          <w:b/>
          <w:bCs/>
          <w:color w:val="000000"/>
          <w:sz w:val="24"/>
          <w:szCs w:val="24"/>
          <w:u w:val="single"/>
        </w:rPr>
        <w:t>宿迁市泗阳县北京中路广电大楼(解放北路) /泗阳县众兴街道众兴路88号开元大酒店西北角裙楼1栋302室</w:t>
      </w:r>
      <w:bookmarkEnd w:id="170"/>
    </w:p>
    <w:p w14:paraId="7DA1AE2B">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采购人质疑接收人及联系方式见招标文件第一章。</w:t>
      </w:r>
    </w:p>
    <w:p w14:paraId="295E4CE6">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29.5 以下情形的质疑不予受理</w:t>
      </w:r>
    </w:p>
    <w:p w14:paraId="4689448B">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29.5.1 内容不符合《政府采购质疑和投诉办法》第十二条规定的质疑。</w:t>
      </w:r>
    </w:p>
    <w:p w14:paraId="71AFA762">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29.5.2 超出政府采购法定期限的质疑。</w:t>
      </w:r>
    </w:p>
    <w:p w14:paraId="1170C022">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29.5.3 以传真、电子邮件等方式递交的非原件形式的质疑。</w:t>
      </w:r>
    </w:p>
    <w:p w14:paraId="5C53BD8F">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29.5.4 未参加投标活动的供应商或在投标活动中自身权益未受到损害的供应商所提出的质疑。</w:t>
      </w:r>
    </w:p>
    <w:p w14:paraId="56EA4E1D">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29.5.5供应商组成联合体参加投标，联合体中任何一方或多方未按要求签字、盖章、加盖公章的质疑。</w:t>
      </w:r>
    </w:p>
    <w:p w14:paraId="6A2A3E6E">
      <w:pPr>
        <w:spacing w:line="360" w:lineRule="auto"/>
        <w:ind w:firstLine="468"/>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108ED83">
      <w:pPr>
        <w:spacing w:line="360" w:lineRule="auto"/>
        <w:ind w:firstLine="468"/>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29.7 质疑供应商对采购人、采购代理机构的答复不满意，或者采购人、采购代理机构未在规定时间内作出答复的，可以在答复期满后15个工作日内向同级财政部门提起投诉。</w:t>
      </w:r>
    </w:p>
    <w:p w14:paraId="43FD5FDC">
      <w:pPr>
        <w:pStyle w:val="25"/>
        <w:spacing w:before="0" w:after="0" w:line="360" w:lineRule="auto"/>
        <w:ind w:firstLine="600"/>
        <w:rPr>
          <w:rFonts w:hint="eastAsia" w:asciiTheme="minorEastAsia" w:hAnsiTheme="minorEastAsia" w:eastAsiaTheme="minorEastAsia" w:cstheme="minorEastAsia"/>
          <w:b w:val="0"/>
          <w:color w:val="000000"/>
          <w:sz w:val="24"/>
          <w:szCs w:val="24"/>
          <w:highlight w:val="white"/>
        </w:rPr>
      </w:pPr>
      <w:r>
        <w:rPr>
          <w:rFonts w:hint="eastAsia" w:asciiTheme="minorEastAsia" w:hAnsiTheme="minorEastAsia" w:eastAsiaTheme="minorEastAsia" w:cstheme="minorEastAsia"/>
          <w:b w:val="0"/>
          <w:color w:val="000000"/>
          <w:sz w:val="24"/>
          <w:szCs w:val="24"/>
          <w:highlight w:val="white"/>
        </w:rPr>
        <w:t>30、中标通知书</w:t>
      </w:r>
    </w:p>
    <w:p w14:paraId="6E93EB24">
      <w:pPr>
        <w:spacing w:line="360" w:lineRule="auto"/>
        <w:ind w:firstLine="600"/>
        <w:rPr>
          <w:rFonts w:hint="eastAsia" w:asciiTheme="minorEastAsia" w:hAnsiTheme="minorEastAsia" w:eastAsiaTheme="minorEastAsia" w:cstheme="minorEastAsia"/>
          <w:color w:val="000000"/>
          <w:sz w:val="24"/>
          <w:szCs w:val="24"/>
          <w:highlight w:val="white"/>
        </w:rPr>
      </w:pPr>
      <w:bookmarkStart w:id="171" w:name="_Toc16938552"/>
      <w:bookmarkStart w:id="172" w:name="_Toc120614220"/>
      <w:bookmarkStart w:id="173" w:name="_Toc513029236"/>
      <w:bookmarkStart w:id="174" w:name="_Toc20823308"/>
      <w:r>
        <w:rPr>
          <w:rFonts w:hint="eastAsia" w:asciiTheme="minorEastAsia" w:hAnsiTheme="minorEastAsia" w:eastAsiaTheme="minorEastAsia" w:cstheme="minorEastAsia"/>
          <w:color w:val="000000"/>
          <w:sz w:val="24"/>
          <w:szCs w:val="24"/>
          <w:highlight w:val="white"/>
        </w:rPr>
        <w:t>30.l</w:t>
      </w:r>
      <w:r>
        <w:rPr>
          <w:rFonts w:hint="eastAsia" w:asciiTheme="minorEastAsia" w:hAnsiTheme="minorEastAsia" w:eastAsiaTheme="minorEastAsia" w:cstheme="minorEastAsia"/>
          <w:b/>
          <w:color w:val="000000"/>
          <w:sz w:val="24"/>
          <w:szCs w:val="24"/>
          <w:highlight w:val="white"/>
        </w:rPr>
        <w:t xml:space="preserve"> </w:t>
      </w:r>
      <w:r>
        <w:rPr>
          <w:rFonts w:hint="eastAsia" w:asciiTheme="minorEastAsia" w:hAnsiTheme="minorEastAsia" w:eastAsiaTheme="minorEastAsia" w:cstheme="minorEastAsia"/>
          <w:color w:val="000000"/>
          <w:sz w:val="24"/>
          <w:szCs w:val="24"/>
          <w:highlight w:val="white"/>
        </w:rPr>
        <w:t>中标结果确定后，交易中心将向中标人发出中标通知书。请中标人使用CA数字证书登录“苏采云系统”及时下载中标通知书。中标供应商可自行下载打印《中标通知书》，《中标通知书》将作为授予合同资格的唯一合法依据。</w:t>
      </w:r>
    </w:p>
    <w:p w14:paraId="42512257">
      <w:pPr>
        <w:spacing w:line="360" w:lineRule="auto"/>
        <w:ind w:firstLine="60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30.2中标通知书将是合同的一个组成部分。对采购人和中标人均具有法律效力。中标通知书发出后，采购人改变中标结果的，或者中标人放弃中标项目的，应当依法承担法律责任。</w:t>
      </w:r>
    </w:p>
    <w:p w14:paraId="313992C5">
      <w:pPr>
        <w:pStyle w:val="17"/>
        <w:spacing w:before="0" w:after="0" w:line="360" w:lineRule="auto"/>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七、授予合同</w:t>
      </w:r>
      <w:bookmarkEnd w:id="171"/>
      <w:bookmarkEnd w:id="172"/>
      <w:bookmarkEnd w:id="173"/>
      <w:bookmarkEnd w:id="174"/>
    </w:p>
    <w:p w14:paraId="2E3AC349">
      <w:pPr>
        <w:pStyle w:val="25"/>
        <w:spacing w:before="0" w:after="0" w:line="360" w:lineRule="auto"/>
        <w:ind w:firstLine="600"/>
        <w:rPr>
          <w:rFonts w:hint="eastAsia" w:asciiTheme="minorEastAsia" w:hAnsiTheme="minorEastAsia" w:eastAsiaTheme="minorEastAsia" w:cstheme="minorEastAsia"/>
          <w:b w:val="0"/>
          <w:color w:val="000000"/>
          <w:sz w:val="24"/>
          <w:szCs w:val="24"/>
          <w:highlight w:val="white"/>
        </w:rPr>
      </w:pPr>
      <w:bookmarkStart w:id="175" w:name="_Toc16938553"/>
      <w:bookmarkStart w:id="176" w:name="_Toc20823309"/>
      <w:bookmarkStart w:id="177" w:name="_Toc513029237"/>
      <w:r>
        <w:rPr>
          <w:rFonts w:hint="eastAsia" w:asciiTheme="minorEastAsia" w:hAnsiTheme="minorEastAsia" w:eastAsiaTheme="minorEastAsia" w:cstheme="minorEastAsia"/>
          <w:b w:val="0"/>
          <w:color w:val="000000"/>
          <w:sz w:val="24"/>
          <w:szCs w:val="24"/>
          <w:highlight w:val="white"/>
        </w:rPr>
        <w:t>31. 签订合同</w:t>
      </w:r>
    </w:p>
    <w:p w14:paraId="4E3A573A">
      <w:pPr>
        <w:spacing w:line="360" w:lineRule="auto"/>
        <w:ind w:firstLine="60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31</w:t>
      </w:r>
      <w:r>
        <w:rPr>
          <w:rFonts w:hint="eastAsia" w:asciiTheme="minorEastAsia" w:hAnsiTheme="minorEastAsia" w:eastAsiaTheme="minorEastAsia" w:cstheme="minorEastAsia"/>
          <w:color w:val="000000"/>
          <w:sz w:val="24"/>
          <w:szCs w:val="24"/>
          <w:highlight w:val="white"/>
        </w:rPr>
        <w:t>.l中标人应当在中标通知书发出之日起15日内，按照招标文件确定的事项与采购人签订政府采购合同。</w:t>
      </w:r>
      <w:r>
        <w:rPr>
          <w:rFonts w:hint="eastAsia" w:asciiTheme="minorEastAsia" w:hAnsiTheme="minorEastAsia" w:eastAsiaTheme="minorEastAsia" w:cstheme="minorEastAsia"/>
          <w:bCs/>
          <w:color w:val="000000"/>
          <w:sz w:val="24"/>
          <w:szCs w:val="24"/>
          <w:highlight w:val="white"/>
          <w:lang w:val="zh-CN"/>
        </w:rPr>
        <w:t>并在签订之日起2个工作日内将政府采购合同在指定的媒体上公告，但政府采购合同中涉及国家秘密、商业秘密的内容除外。</w:t>
      </w:r>
    </w:p>
    <w:p w14:paraId="5185911D">
      <w:pPr>
        <w:spacing w:line="360" w:lineRule="auto"/>
        <w:ind w:firstLine="60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31.2</w:t>
      </w:r>
      <w:r>
        <w:rPr>
          <w:rFonts w:hint="eastAsia" w:asciiTheme="minorEastAsia" w:hAnsiTheme="minorEastAsia" w:eastAsiaTheme="minorEastAsia" w:cstheme="minorEastAsia"/>
          <w:b/>
          <w:color w:val="000000"/>
          <w:sz w:val="24"/>
          <w:szCs w:val="24"/>
          <w:highlight w:val="white"/>
        </w:rPr>
        <w:t xml:space="preserve"> </w:t>
      </w:r>
      <w:r>
        <w:rPr>
          <w:rFonts w:hint="eastAsia" w:asciiTheme="minorEastAsia" w:hAnsiTheme="minorEastAsia" w:eastAsiaTheme="minorEastAsia" w:cstheme="minorEastAsia"/>
          <w:color w:val="000000"/>
          <w:sz w:val="24"/>
          <w:szCs w:val="24"/>
          <w:highlight w:val="white"/>
        </w:rPr>
        <w:t>招标文件、中标人的投标文件及招标过程中有关澄清、承诺文件均应作为合同附件。</w:t>
      </w:r>
    </w:p>
    <w:p w14:paraId="2139F18D">
      <w:pPr>
        <w:spacing w:line="360" w:lineRule="auto"/>
        <w:ind w:firstLine="60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31.4本项目的非主体、非关键性工作是否允许分包按以下第</w:t>
      </w:r>
      <w:r>
        <w:rPr>
          <w:rFonts w:hint="eastAsia" w:asciiTheme="minorEastAsia" w:hAnsiTheme="minorEastAsia" w:eastAsiaTheme="minorEastAsia" w:cstheme="minorEastAsia"/>
          <w:color w:val="000000"/>
          <w:sz w:val="24"/>
          <w:szCs w:val="24"/>
          <w:highlight w:val="white"/>
          <w:u w:val="single"/>
        </w:rPr>
        <w:t xml:space="preserve">  2  </w:t>
      </w:r>
      <w:r>
        <w:rPr>
          <w:rFonts w:hint="eastAsia" w:asciiTheme="minorEastAsia" w:hAnsiTheme="minorEastAsia" w:eastAsiaTheme="minorEastAsia" w:cstheme="minorEastAsia"/>
          <w:color w:val="000000"/>
          <w:sz w:val="24"/>
          <w:szCs w:val="24"/>
          <w:highlight w:val="white"/>
        </w:rPr>
        <w:t>种方式确定：</w:t>
      </w:r>
    </w:p>
    <w:p w14:paraId="35D83C20">
      <w:pPr>
        <w:spacing w:line="360" w:lineRule="auto"/>
        <w:ind w:firstLine="720"/>
        <w:rPr>
          <w:rFonts w:hint="eastAsia" w:asciiTheme="minorEastAsia" w:hAnsiTheme="minorEastAsia" w:eastAsiaTheme="minorEastAsia" w:cstheme="minorEastAsia"/>
          <w:color w:val="000000"/>
          <w:sz w:val="24"/>
          <w:szCs w:val="24"/>
          <w:highlight w:val="white"/>
          <w:u w:val="single"/>
        </w:rPr>
      </w:pPr>
      <w:r>
        <w:rPr>
          <w:rFonts w:hint="eastAsia" w:asciiTheme="minorEastAsia" w:hAnsiTheme="minorEastAsia" w:eastAsiaTheme="minorEastAsia" w:cstheme="minorEastAsia"/>
          <w:color w:val="000000"/>
          <w:sz w:val="24"/>
          <w:szCs w:val="24"/>
          <w:highlight w:val="white"/>
        </w:rPr>
        <w:t>1.允许分包，允许大中型企业向一家或者多家小微企业分包，分包具体内容、金额或比例：</w:t>
      </w:r>
      <w:r>
        <w:rPr>
          <w:rFonts w:hint="eastAsia" w:asciiTheme="minorEastAsia" w:hAnsiTheme="minorEastAsia" w:eastAsiaTheme="minorEastAsia" w:cstheme="minorEastAsia"/>
          <w:color w:val="000000"/>
          <w:sz w:val="24"/>
          <w:szCs w:val="24"/>
          <w:highlight w:val="white"/>
          <w:u w:val="single"/>
        </w:rPr>
        <w:t xml:space="preserve">  /   </w:t>
      </w:r>
      <w:r>
        <w:rPr>
          <w:rFonts w:hint="eastAsia" w:asciiTheme="minorEastAsia" w:hAnsiTheme="minorEastAsia" w:eastAsiaTheme="minorEastAsia" w:cstheme="minorEastAsia"/>
          <w:color w:val="000000"/>
          <w:sz w:val="24"/>
          <w:szCs w:val="24"/>
          <w:highlight w:val="white"/>
        </w:rPr>
        <w:t>；</w:t>
      </w:r>
    </w:p>
    <w:p w14:paraId="18FB12D7">
      <w:pPr>
        <w:spacing w:line="360" w:lineRule="auto"/>
        <w:ind w:firstLine="60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 2.不允许分包。未经采购人同意，成交供应商也不得采用分包形式履行合同,否则采购人有权终止合同。转包或分包造成采购人损失的，成交供应商应承担相应赔偿责任。</w:t>
      </w:r>
    </w:p>
    <w:p w14:paraId="62597764">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31.4履约保证金</w:t>
      </w:r>
    </w:p>
    <w:p w14:paraId="743B2082">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按照以下第</w:t>
      </w:r>
      <w:r>
        <w:rPr>
          <w:rFonts w:hint="eastAsia" w:asciiTheme="minorEastAsia" w:hAnsiTheme="minorEastAsia" w:eastAsiaTheme="minorEastAsia" w:cstheme="minorEastAsia"/>
          <w:bCs/>
          <w:color w:val="000000"/>
          <w:sz w:val="24"/>
          <w:szCs w:val="24"/>
          <w:highlight w:val="white"/>
          <w:u w:val="single"/>
        </w:rPr>
        <w:t xml:space="preserve">  1 </w:t>
      </w:r>
      <w:r>
        <w:rPr>
          <w:rFonts w:hint="eastAsia" w:asciiTheme="minorEastAsia" w:hAnsiTheme="minorEastAsia" w:eastAsiaTheme="minorEastAsia" w:cstheme="minorEastAsia"/>
          <w:bCs/>
          <w:color w:val="000000"/>
          <w:sz w:val="24"/>
          <w:szCs w:val="24"/>
          <w:highlight w:val="white"/>
          <w:lang w:val="zh-CN"/>
        </w:rPr>
        <w:t>方式确定履约保证收取方式。</w:t>
      </w:r>
    </w:p>
    <w:p w14:paraId="20E0044D">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(1)不收取履约保证金。</w:t>
      </w:r>
    </w:p>
    <w:p w14:paraId="6D5B6239">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(2)履约保证金</w:t>
      </w:r>
      <w:r>
        <w:rPr>
          <w:rFonts w:hint="eastAsia" w:asciiTheme="minorEastAsia" w:hAnsiTheme="minorEastAsia" w:eastAsiaTheme="minorEastAsia" w:cstheme="minorEastAsia"/>
          <w:bCs/>
          <w:color w:val="000000"/>
          <w:sz w:val="24"/>
          <w:szCs w:val="24"/>
          <w:highlight w:val="white"/>
        </w:rPr>
        <w:t>须</w:t>
      </w:r>
      <w:r>
        <w:rPr>
          <w:rFonts w:hint="eastAsia" w:asciiTheme="minorEastAsia" w:hAnsiTheme="minorEastAsia" w:eastAsiaTheme="minorEastAsia" w:cstheme="minorEastAsia"/>
          <w:bCs/>
          <w:color w:val="000000"/>
          <w:sz w:val="24"/>
          <w:szCs w:val="24"/>
          <w:highlight w:val="white"/>
          <w:lang w:val="zh-CN"/>
        </w:rPr>
        <w:t>在采购合同签订前（</w:t>
      </w:r>
      <w:r>
        <w:rPr>
          <w:rFonts w:hint="eastAsia" w:asciiTheme="minorEastAsia" w:hAnsiTheme="minorEastAsia" w:eastAsiaTheme="minorEastAsia" w:cstheme="minorEastAsia"/>
          <w:bCs/>
          <w:color w:val="000000"/>
          <w:sz w:val="24"/>
          <w:szCs w:val="24"/>
          <w:highlight w:val="white"/>
        </w:rPr>
        <w:t>即</w:t>
      </w:r>
      <w:r>
        <w:rPr>
          <w:rFonts w:hint="eastAsia" w:asciiTheme="minorEastAsia" w:hAnsiTheme="minorEastAsia" w:eastAsiaTheme="minorEastAsia" w:cstheme="minorEastAsia"/>
          <w:color w:val="000000"/>
          <w:sz w:val="24"/>
          <w:szCs w:val="24"/>
          <w:highlight w:val="white"/>
        </w:rPr>
        <w:t>在中标通知书发出之日起15日内</w:t>
      </w:r>
      <w:r>
        <w:rPr>
          <w:rFonts w:hint="eastAsia" w:asciiTheme="minorEastAsia" w:hAnsiTheme="minorEastAsia" w:eastAsiaTheme="minorEastAsia" w:cstheme="minorEastAsia"/>
          <w:bCs/>
          <w:color w:val="000000"/>
          <w:sz w:val="24"/>
          <w:szCs w:val="24"/>
          <w:highlight w:val="white"/>
          <w:lang w:val="zh-CN"/>
        </w:rPr>
        <w:t>）提交，履约保证金的金额：按采购合同总价的</w:t>
      </w:r>
      <w:r>
        <w:rPr>
          <w:rFonts w:hint="eastAsia" w:asciiTheme="minorEastAsia" w:hAnsiTheme="minorEastAsia" w:eastAsiaTheme="minorEastAsia" w:cstheme="minorEastAsia"/>
          <w:bCs/>
          <w:color w:val="000000"/>
          <w:sz w:val="24"/>
          <w:szCs w:val="24"/>
          <w:highlight w:val="white"/>
          <w:u w:val="single"/>
        </w:rPr>
        <w:t xml:space="preserve">10 </w:t>
      </w:r>
      <w:r>
        <w:rPr>
          <w:rFonts w:hint="eastAsia" w:asciiTheme="minorEastAsia" w:hAnsiTheme="minorEastAsia" w:eastAsiaTheme="minorEastAsia" w:cstheme="minorEastAsia"/>
          <w:bCs/>
          <w:color w:val="000000"/>
          <w:sz w:val="24"/>
          <w:szCs w:val="24"/>
          <w:highlight w:val="white"/>
          <w:lang w:val="zh-CN"/>
        </w:rPr>
        <w:t>%计取。除银行电汇、网上银行（从中标人法人基本存款账户转出）外，供应商还可选用银行保函、担保公司的保证担保或保险公司的保证保险等多种形式缴纳。</w:t>
      </w:r>
    </w:p>
    <w:p w14:paraId="76F4F657">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履约保证金</w:t>
      </w:r>
      <w:r>
        <w:rPr>
          <w:rFonts w:hint="eastAsia" w:asciiTheme="minorEastAsia" w:hAnsiTheme="minorEastAsia" w:eastAsiaTheme="minorEastAsia" w:cstheme="minorEastAsia"/>
          <w:bCs/>
          <w:color w:val="000000"/>
          <w:sz w:val="24"/>
          <w:szCs w:val="24"/>
          <w:highlight w:val="white"/>
        </w:rPr>
        <w:t>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p>
    <w:p w14:paraId="1D7B40BF">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5DCEE98C">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履约保证金退还的条件：按以下</w:t>
      </w:r>
      <w:r>
        <w:rPr>
          <w:rFonts w:hint="eastAsia" w:asciiTheme="minorEastAsia" w:hAnsiTheme="minorEastAsia" w:eastAsiaTheme="minorEastAsia" w:cstheme="minorEastAsia"/>
          <w:bCs/>
          <w:color w:val="000000"/>
          <w:sz w:val="24"/>
          <w:szCs w:val="24"/>
          <w:highlight w:val="white"/>
          <w:u w:val="single"/>
        </w:rPr>
        <w:t xml:space="preserve"> a </w:t>
      </w:r>
      <w:r>
        <w:rPr>
          <w:rFonts w:hint="eastAsia" w:asciiTheme="minorEastAsia" w:hAnsiTheme="minorEastAsia" w:eastAsiaTheme="minorEastAsia" w:cstheme="minorEastAsia"/>
          <w:bCs/>
          <w:color w:val="000000"/>
          <w:sz w:val="24"/>
          <w:szCs w:val="24"/>
          <w:highlight w:val="white"/>
          <w:lang w:val="zh-CN"/>
        </w:rPr>
        <w:t>方式实行：</w:t>
      </w:r>
    </w:p>
    <w:p w14:paraId="3CE0FC66">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a、货物类项目，项目验收合格，出具验收报告及履约保证金收据申请退付；</w:t>
      </w:r>
    </w:p>
    <w:p w14:paraId="733D220C">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b、服务类项目，项目履约期满评价合格，出具履约评价报告及履约保证金收据申请退付；</w:t>
      </w:r>
    </w:p>
    <w:p w14:paraId="5ACB221D">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c、工程类项目，项目完工验收合格，出具完工证明及履约保证金收据申请退付；</w:t>
      </w:r>
    </w:p>
    <w:p w14:paraId="59855DBD">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履约保证金退还时间：采购单位收到供应商退付申请后5个工作日内退还；</w:t>
      </w:r>
    </w:p>
    <w:p w14:paraId="5A541C5A">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履约保证金不予退还情形：除不可抗力外，供应商不履行与采购人订立的采购合同的，履约保证金不予退还，给采购人造成的损失超过履约保证金数额的，还应当对超过部分予以赔偿；</w:t>
      </w:r>
    </w:p>
    <w:p w14:paraId="1E14E9D1">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lang w:val="zh-CN"/>
        </w:rPr>
        <w:t>逾期退还履约保证金的违约责任：除应当退还履约保证金外，还应当按中国人民银行同期贷款基准利率上浮 20％后的利率支付超期资金占用费，但因供应商自身原因导致无法及时退还的除外。</w:t>
      </w:r>
    </w:p>
    <w:p w14:paraId="4C3340DB">
      <w:pPr>
        <w:spacing w:line="360" w:lineRule="auto"/>
        <w:ind w:firstLine="480"/>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23A4F0E2">
      <w:pPr>
        <w:pStyle w:val="27"/>
        <w:ind w:firstLine="60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
          <w:color w:val="000000"/>
          <w:sz w:val="24"/>
          <w:szCs w:val="24"/>
          <w:highlight w:val="white"/>
        </w:rPr>
        <w:t>32、采购内容的追加</w:t>
      </w:r>
    </w:p>
    <w:p w14:paraId="26507834">
      <w:pPr>
        <w:spacing w:line="360" w:lineRule="auto"/>
        <w:ind w:firstLine="480"/>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32.1政府采购合同履行中，采购人需追加与合同标的相同的内容，在不改变合同其他条款的前提下，可以与中标人协商签订补充合同，但所有补充合同的采购金额不超过原合同金额10%。</w:t>
      </w:r>
      <w:bookmarkEnd w:id="175"/>
      <w:bookmarkEnd w:id="176"/>
      <w:bookmarkEnd w:id="177"/>
    </w:p>
    <w:p w14:paraId="2A5E7BDE">
      <w:pPr>
        <w:pStyle w:val="25"/>
        <w:spacing w:before="0" w:after="0" w:line="360" w:lineRule="auto"/>
        <w:ind w:firstLine="600"/>
        <w:rPr>
          <w:rFonts w:hint="eastAsia" w:asciiTheme="minorEastAsia" w:hAnsiTheme="minorEastAsia" w:eastAsiaTheme="minorEastAsia" w:cstheme="minorEastAsia"/>
          <w:b w:val="0"/>
          <w:color w:val="000000"/>
          <w:sz w:val="24"/>
          <w:szCs w:val="24"/>
          <w:highlight w:val="white"/>
        </w:rPr>
      </w:pPr>
      <w:r>
        <w:rPr>
          <w:rFonts w:hint="eastAsia" w:asciiTheme="minorEastAsia" w:hAnsiTheme="minorEastAsia" w:eastAsiaTheme="minorEastAsia" w:cstheme="minorEastAsia"/>
          <w:b w:val="0"/>
          <w:color w:val="000000"/>
          <w:sz w:val="24"/>
          <w:szCs w:val="24"/>
          <w:highlight w:val="white"/>
        </w:rPr>
        <w:t>33、政府采购履约资金扶持政策</w:t>
      </w:r>
    </w:p>
    <w:p w14:paraId="12DA9251">
      <w:pPr>
        <w:pStyle w:val="18"/>
        <w:spacing w:line="360" w:lineRule="auto"/>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33.1依</w:t>
      </w:r>
      <w:r>
        <w:rPr>
          <w:rFonts w:hint="eastAsia" w:asciiTheme="minorEastAsia" w:hAnsiTheme="minorEastAsia" w:eastAsiaTheme="minorEastAsia" w:cstheme="minorEastAsia"/>
          <w:bCs/>
          <w:color w:val="000000"/>
          <w:sz w:val="24"/>
          <w:szCs w:val="24"/>
          <w:highlight w:val="white"/>
          <w:lang w:val="zh-CN"/>
        </w:rPr>
        <w:t>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p>
    <w:p w14:paraId="25EAE268">
      <w:pPr>
        <w:pStyle w:val="25"/>
        <w:spacing w:before="0" w:after="0" w:line="360" w:lineRule="auto"/>
        <w:ind w:firstLine="602"/>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34、验收及付款</w:t>
      </w:r>
    </w:p>
    <w:p w14:paraId="2201E7CC">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34.1采购人应当根据采购项目的具体情况，自行组织项目验收或者委托采购代理机构验收。大型或者复杂的政府采购项目，应当邀请国家认可的质量检测机构参加验收工作。验收方成员应当在验收报告上签字，并承担相应的法律责任。如果发现与合同中要求不符，供应商须承担由此发生的一切损失和费用，并接受相应的处理。</w:t>
      </w:r>
    </w:p>
    <w:p w14:paraId="459BEB91">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34.2采购人可以邀请第三方机构参与验收。参与验收的第三方机构的意见作为验收报告的参考资料一并存档。</w:t>
      </w:r>
    </w:p>
    <w:p w14:paraId="26E925CE">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34.3严格按照采购合同开展履约验收。采购人成立验收小组，按照采购合同的约定对供应商履约情况进行验收。验收时，按照采购合同的约定对每一项技术、服务、安全标准的履约情况进行确认。验收结束后，应当出具验收报告，列明各项标准的验收情况及项目总体评价，由验收双方共同签署。验收结果与采购合同约定的资金支付及履约保证金返还条件挂钩。履约验收的各项资料应当存档备查。</w:t>
      </w:r>
    </w:p>
    <w:p w14:paraId="7FD949F4">
      <w:pPr>
        <w:spacing w:line="360" w:lineRule="auto"/>
        <w:ind w:firstLine="482"/>
        <w:rPr>
          <w:rFonts w:hint="eastAsia"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bCs/>
          <w:color w:val="000000"/>
          <w:sz w:val="24"/>
          <w:szCs w:val="24"/>
          <w:highlight w:val="whit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50B1560">
      <w:pPr>
        <w:spacing w:line="360" w:lineRule="auto"/>
        <w:ind w:firstLine="482"/>
        <w:rPr>
          <w:rFonts w:hint="eastAsia" w:asciiTheme="minorEastAsia" w:hAnsiTheme="minorEastAsia" w:eastAsiaTheme="minorEastAsia" w:cstheme="minorEastAsia"/>
          <w:b/>
          <w:color w:val="000000"/>
          <w:sz w:val="24"/>
          <w:szCs w:val="24"/>
          <w:highlight w:val="white"/>
        </w:rPr>
      </w:pPr>
      <w:r>
        <w:rPr>
          <w:rFonts w:hint="eastAsia" w:asciiTheme="minorEastAsia" w:hAnsiTheme="minorEastAsia" w:eastAsiaTheme="minorEastAsia" w:cstheme="minorEastAsia"/>
          <w:b/>
          <w:color w:val="000000"/>
          <w:sz w:val="24"/>
          <w:szCs w:val="24"/>
          <w:highlight w:val="white"/>
        </w:rPr>
        <w:t>35、付款</w:t>
      </w:r>
    </w:p>
    <w:p w14:paraId="269DE5BA">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 xml:space="preserve"> </w:t>
      </w:r>
      <w:bookmarkStart w:id="178" w:name="EBec7f529f50594afd871ea9378869e456"/>
      <w:r>
        <w:rPr>
          <w:rFonts w:hint="eastAsia" w:asciiTheme="minorEastAsia" w:hAnsiTheme="minorEastAsia" w:eastAsiaTheme="minorEastAsia" w:cstheme="minorEastAsia"/>
          <w:bCs/>
          <w:color w:val="000000"/>
          <w:sz w:val="24"/>
          <w:szCs w:val="24"/>
          <w:highlight w:val="white"/>
        </w:rPr>
        <w:t>按照以下确定的付款方式，采购人及时办理付款手续。对于满足合同约定支付条件的，自收到发票后10个工作日内将资金支付到合同约定的供应商账户或供应商数字人民币账户。</w:t>
      </w:r>
      <w:bookmarkEnd w:id="178"/>
    </w:p>
    <w:p w14:paraId="1F6A4FDE">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预付款：</w:t>
      </w:r>
      <w:r>
        <w:rPr>
          <w:rFonts w:hint="eastAsia" w:asciiTheme="minorEastAsia" w:hAnsiTheme="minorEastAsia" w:eastAsiaTheme="minorEastAsia" w:cstheme="minorEastAsia"/>
          <w:bCs/>
          <w:color w:val="000000"/>
          <w:sz w:val="24"/>
          <w:szCs w:val="24"/>
          <w:highlight w:val="white"/>
          <w:lang w:val="zh-CN"/>
        </w:rPr>
        <w:t>签订合同</w:t>
      </w:r>
      <w:r>
        <w:rPr>
          <w:rFonts w:hint="eastAsia" w:asciiTheme="minorEastAsia" w:hAnsiTheme="minorEastAsia" w:eastAsiaTheme="minorEastAsia" w:cstheme="minorEastAsia"/>
          <w:bCs/>
          <w:color w:val="000000"/>
          <w:sz w:val="24"/>
          <w:szCs w:val="24"/>
          <w:highlight w:val="white"/>
        </w:rPr>
        <w:t>后，</w:t>
      </w:r>
      <w:r>
        <w:rPr>
          <w:rFonts w:hint="eastAsia" w:asciiTheme="minorEastAsia" w:hAnsiTheme="minorEastAsia" w:eastAsiaTheme="minorEastAsia" w:cstheme="minorEastAsia"/>
          <w:bCs/>
          <w:color w:val="000000"/>
          <w:sz w:val="24"/>
          <w:szCs w:val="24"/>
          <w:highlight w:val="white"/>
          <w:lang w:val="zh-CN"/>
        </w:rPr>
        <w:t>支付</w:t>
      </w:r>
      <w:r>
        <w:rPr>
          <w:rFonts w:hint="eastAsia" w:asciiTheme="minorEastAsia" w:hAnsiTheme="minorEastAsia" w:eastAsiaTheme="minorEastAsia" w:cstheme="minorEastAsia"/>
          <w:bCs/>
          <w:color w:val="000000"/>
          <w:sz w:val="24"/>
          <w:szCs w:val="24"/>
          <w:highlight w:val="white"/>
        </w:rPr>
        <w:t>合同</w:t>
      </w:r>
      <w:r>
        <w:rPr>
          <w:rFonts w:hint="eastAsia" w:asciiTheme="minorEastAsia" w:hAnsiTheme="minorEastAsia" w:eastAsiaTheme="minorEastAsia" w:cstheme="minorEastAsia"/>
          <w:bCs/>
          <w:color w:val="000000"/>
          <w:sz w:val="24"/>
          <w:szCs w:val="24"/>
          <w:highlight w:val="white"/>
          <w:lang w:val="zh-CN"/>
        </w:rPr>
        <w:t>价款</w:t>
      </w:r>
      <w:r>
        <w:rPr>
          <w:rFonts w:hint="eastAsia" w:asciiTheme="minorEastAsia" w:hAnsiTheme="minorEastAsia" w:eastAsiaTheme="minorEastAsia" w:cstheme="minorEastAsia"/>
          <w:bCs/>
          <w:color w:val="000000"/>
          <w:sz w:val="24"/>
          <w:szCs w:val="24"/>
          <w:highlight w:val="white"/>
        </w:rPr>
        <w:t>的30%作为预付款</w:t>
      </w:r>
      <w:r>
        <w:rPr>
          <w:rFonts w:hint="eastAsia" w:asciiTheme="minorEastAsia" w:hAnsiTheme="minorEastAsia" w:eastAsiaTheme="minorEastAsia" w:cstheme="minorEastAsia"/>
          <w:bCs/>
          <w:color w:val="000000"/>
          <w:sz w:val="24"/>
          <w:szCs w:val="24"/>
          <w:highlight w:val="white"/>
          <w:lang w:val="zh-CN"/>
        </w:rPr>
        <w:t>；</w:t>
      </w:r>
      <w:r>
        <w:rPr>
          <w:rFonts w:hint="eastAsia" w:asciiTheme="minorEastAsia" w:hAnsiTheme="minorEastAsia" w:eastAsiaTheme="minorEastAsia" w:cstheme="minorEastAsia"/>
          <w:bCs/>
          <w:color w:val="000000"/>
          <w:sz w:val="24"/>
          <w:szCs w:val="24"/>
          <w:highlight w:val="white"/>
        </w:rPr>
        <w:t xml:space="preserve"> </w:t>
      </w:r>
    </w:p>
    <w:p w14:paraId="763B8677">
      <w:pPr>
        <w:spacing w:line="360" w:lineRule="auto"/>
        <w:ind w:firstLine="482"/>
        <w:rPr>
          <w:rFonts w:hint="eastAsia" w:asciiTheme="minorEastAsia" w:hAnsiTheme="minorEastAsia" w:eastAsiaTheme="minorEastAsia" w:cstheme="minorEastAsia"/>
          <w:bCs/>
          <w:color w:val="000000"/>
          <w:sz w:val="24"/>
          <w:szCs w:val="24"/>
          <w:highlight w:val="white"/>
        </w:rPr>
      </w:pPr>
      <w:r>
        <w:rPr>
          <w:rFonts w:hint="eastAsia" w:asciiTheme="minorEastAsia" w:hAnsiTheme="minorEastAsia" w:eastAsiaTheme="minorEastAsia" w:cstheme="minorEastAsia"/>
          <w:bCs/>
          <w:color w:val="000000"/>
          <w:sz w:val="24"/>
          <w:szCs w:val="24"/>
          <w:highlight w:val="white"/>
        </w:rPr>
        <w:t>进度款：</w:t>
      </w:r>
      <w:bookmarkStart w:id="179" w:name="EBf1f8b954f7504a2cb44cef25707c76a6"/>
      <w:bookmarkEnd w:id="179"/>
      <w:r>
        <w:rPr>
          <w:rFonts w:hint="eastAsia" w:asciiTheme="minorEastAsia" w:hAnsiTheme="minorEastAsia" w:eastAsiaTheme="minorEastAsia" w:cstheme="minorEastAsia"/>
          <w:bCs/>
          <w:color w:val="000000"/>
          <w:sz w:val="24"/>
          <w:szCs w:val="24"/>
          <w:highlight w:val="white"/>
        </w:rPr>
        <w:t>货物到现场安装调试完毕稳定运行，经采购人验收合格后，采购人将货款支付到合同总价款的100%；</w:t>
      </w:r>
    </w:p>
    <w:p w14:paraId="3C525FE7">
      <w:pPr>
        <w:spacing w:line="360" w:lineRule="auto"/>
        <w:ind w:firstLine="482"/>
        <w:rPr>
          <w:rFonts w:hint="eastAsia" w:asciiTheme="minorEastAsia" w:hAnsiTheme="minorEastAsia" w:eastAsiaTheme="minorEastAsia" w:cstheme="minorEastAsia"/>
          <w:color w:val="000000"/>
          <w:sz w:val="24"/>
          <w:szCs w:val="24"/>
          <w:highlight w:val="white"/>
        </w:rPr>
      </w:pPr>
      <w:bookmarkStart w:id="180" w:name="EB11398ec6946f4019bc4c35221e27b04f"/>
      <w:r>
        <w:rPr>
          <w:rFonts w:hint="eastAsia" w:asciiTheme="minorEastAsia" w:hAnsiTheme="minorEastAsia" w:eastAsiaTheme="minorEastAsia" w:cstheme="minorEastAsia"/>
          <w:bCs/>
          <w:color w:val="000000"/>
          <w:sz w:val="24"/>
          <w:szCs w:val="24"/>
          <w:highlight w:val="white"/>
        </w:rPr>
        <w:t>注：在签订合同时，中标人明确表示无需预付款或者主动要求降低预付款比例的金额，采购人可不适用预付款规定。</w:t>
      </w:r>
      <w:bookmarkEnd w:id="180"/>
    </w:p>
    <w:p w14:paraId="7C1E1DF9"/>
    <w:p w14:paraId="0D4C2D4B">
      <w:pPr>
        <w:pStyle w:val="19"/>
      </w:pPr>
    </w:p>
    <w:p w14:paraId="7FAEF613">
      <w:pPr>
        <w:pStyle w:val="19"/>
      </w:pPr>
    </w:p>
    <w:p w14:paraId="48A1CDA6">
      <w:pPr>
        <w:keepNext/>
        <w:ind w:firstLine="2640"/>
        <w:outlineLvl w:val="0"/>
        <w:rPr>
          <w:rFonts w:eastAsia="黑体"/>
          <w:bCs/>
          <w:kern w:val="2"/>
          <w:sz w:val="44"/>
          <w:szCs w:val="28"/>
        </w:rPr>
      </w:pPr>
      <w:bookmarkStart w:id="181" w:name="_Toc155086566"/>
      <w:bookmarkStart w:id="182" w:name="_Toc104802328"/>
      <w:bookmarkStart w:id="183" w:name="_Toc118461986"/>
      <w:r>
        <w:rPr>
          <w:rFonts w:hint="eastAsia" w:eastAsia="黑体"/>
          <w:bCs/>
          <w:kern w:val="2"/>
          <w:sz w:val="44"/>
          <w:szCs w:val="28"/>
        </w:rPr>
        <w:t>第三章  合同文本</w:t>
      </w:r>
      <w:bookmarkEnd w:id="181"/>
      <w:bookmarkEnd w:id="182"/>
      <w:bookmarkEnd w:id="183"/>
    </w:p>
    <w:p w14:paraId="637E6E35">
      <w:pPr>
        <w:spacing w:line="500" w:lineRule="exact"/>
        <w:rPr>
          <w:bCs/>
          <w:kern w:val="2"/>
          <w:sz w:val="24"/>
        </w:rPr>
      </w:pPr>
      <w:bookmarkStart w:id="184" w:name="_Toc16938559"/>
      <w:bookmarkStart w:id="185" w:name="_Toc20823315"/>
      <w:bookmarkStart w:id="186" w:name="_Toc513029243"/>
      <w:r>
        <w:rPr>
          <w:rFonts w:hint="eastAsia"/>
          <w:bCs/>
          <w:kern w:val="2"/>
          <w:sz w:val="24"/>
        </w:rPr>
        <w:t>以下为中标后签定本项目合同的通用条款，投标人不得提出实质性的修改。</w:t>
      </w:r>
    </w:p>
    <w:p w14:paraId="538D5B06">
      <w:pPr>
        <w:spacing w:line="500" w:lineRule="exact"/>
        <w:rPr>
          <w:bCs/>
          <w:kern w:val="2"/>
          <w:sz w:val="24"/>
        </w:rPr>
      </w:pPr>
      <w:r>
        <w:rPr>
          <w:rFonts w:hint="eastAsia"/>
          <w:bCs/>
          <w:kern w:val="2"/>
          <w:sz w:val="24"/>
        </w:rPr>
        <w:t>关于专用条款将由采购人与投标人结合本项目具体情况协商后签订。</w:t>
      </w:r>
      <w:bookmarkEnd w:id="184"/>
      <w:bookmarkEnd w:id="185"/>
      <w:bookmarkEnd w:id="186"/>
    </w:p>
    <w:p w14:paraId="02F68128">
      <w:pPr>
        <w:spacing w:before="120" w:after="120"/>
        <w:jc w:val="center"/>
        <w:outlineLvl w:val="0"/>
        <w:rPr>
          <w:b/>
          <w:bCs/>
          <w:kern w:val="2"/>
          <w:sz w:val="30"/>
          <w:szCs w:val="20"/>
        </w:rPr>
      </w:pPr>
      <w:bookmarkStart w:id="187" w:name="_Hlt16619369"/>
      <w:bookmarkEnd w:id="187"/>
      <w:bookmarkStart w:id="188" w:name="_Toc155086567"/>
      <w:r>
        <w:rPr>
          <w:rFonts w:hint="eastAsia"/>
          <w:b/>
          <w:kern w:val="2"/>
          <w:sz w:val="30"/>
        </w:rPr>
        <w:t>政府采购合同（货物）（合同编号）</w:t>
      </w:r>
      <w:bookmarkEnd w:id="188"/>
    </w:p>
    <w:p w14:paraId="36852D7A">
      <w:pPr>
        <w:spacing w:line="560" w:lineRule="exact"/>
        <w:rPr>
          <w:rFonts w:cs="Courier New"/>
          <w:kern w:val="2"/>
          <w:sz w:val="24"/>
          <w:szCs w:val="24"/>
        </w:rPr>
      </w:pPr>
      <w:r>
        <w:rPr>
          <w:rFonts w:cs="Courier New"/>
          <w:kern w:val="2"/>
          <w:sz w:val="24"/>
          <w:szCs w:val="24"/>
        </w:rPr>
        <w:t xml:space="preserve">项目名称：泗阳县融媒体中心全媒体播出系统全面高清化、智慧化建设采购项目                   </w:t>
      </w:r>
    </w:p>
    <w:p w14:paraId="3C00BF37">
      <w:pPr>
        <w:spacing w:line="560" w:lineRule="exact"/>
        <w:rPr>
          <w:rFonts w:cs="Courier New"/>
          <w:kern w:val="2"/>
          <w:sz w:val="24"/>
          <w:szCs w:val="24"/>
        </w:rPr>
      </w:pPr>
      <w:r>
        <w:rPr>
          <w:rFonts w:cs="Courier New"/>
          <w:kern w:val="2"/>
          <w:sz w:val="24"/>
          <w:szCs w:val="24"/>
        </w:rPr>
        <w:t xml:space="preserve">项目编号：JSZC-321323-KYJL-G2026-0008           </w:t>
      </w:r>
    </w:p>
    <w:p w14:paraId="064BEE47">
      <w:pPr>
        <w:spacing w:line="560" w:lineRule="exact"/>
        <w:rPr>
          <w:rFonts w:hint="eastAsia" w:eastAsia="宋体" w:cs="Courier New"/>
          <w:kern w:val="2"/>
          <w:sz w:val="24"/>
          <w:szCs w:val="24"/>
          <w:lang w:val="en-US" w:eastAsia="zh-CN"/>
        </w:rPr>
      </w:pPr>
      <w:r>
        <w:rPr>
          <w:rFonts w:hint="eastAsia" w:cs="Courier New"/>
          <w:kern w:val="2"/>
          <w:sz w:val="24"/>
          <w:szCs w:val="24"/>
        </w:rPr>
        <w:t>分包号：</w:t>
      </w:r>
      <w:r>
        <w:rPr>
          <w:rFonts w:hint="eastAsia" w:cs="Courier New"/>
          <w:kern w:val="2"/>
          <w:sz w:val="24"/>
          <w:szCs w:val="24"/>
          <w:lang w:val="en-US" w:eastAsia="zh-CN"/>
        </w:rPr>
        <w:t>/</w:t>
      </w:r>
    </w:p>
    <w:p w14:paraId="54C4AE52">
      <w:pPr>
        <w:spacing w:line="560" w:lineRule="exact"/>
        <w:rPr>
          <w:rFonts w:cs="Courier New"/>
          <w:kern w:val="2"/>
          <w:sz w:val="24"/>
          <w:szCs w:val="24"/>
        </w:rPr>
      </w:pPr>
      <w:r>
        <w:rPr>
          <w:rFonts w:cs="Courier New"/>
          <w:kern w:val="2"/>
          <w:sz w:val="24"/>
          <w:szCs w:val="24"/>
        </w:rPr>
        <w:t>甲方：（买方）_</w:t>
      </w:r>
      <w:r>
        <w:rPr>
          <w:rFonts w:hint="eastAsia" w:cs="Courier New"/>
          <w:color w:val="000000"/>
          <w:kern w:val="2"/>
          <w:sz w:val="24"/>
          <w:szCs w:val="24"/>
          <w:u w:val="single"/>
        </w:rPr>
        <w:t>泗阳县融媒体中心</w:t>
      </w:r>
      <w:r>
        <w:rPr>
          <w:rFonts w:cs="Courier New"/>
          <w:kern w:val="2"/>
          <w:sz w:val="24"/>
          <w:szCs w:val="24"/>
        </w:rPr>
        <w:t>__</w:t>
      </w:r>
    </w:p>
    <w:p w14:paraId="4395E208">
      <w:pPr>
        <w:spacing w:line="560" w:lineRule="exact"/>
        <w:rPr>
          <w:rFonts w:cs="Courier New"/>
          <w:kern w:val="2"/>
          <w:sz w:val="24"/>
          <w:szCs w:val="24"/>
        </w:rPr>
      </w:pPr>
      <w:r>
        <w:rPr>
          <w:rFonts w:cs="Courier New"/>
          <w:kern w:val="2"/>
          <w:sz w:val="24"/>
          <w:szCs w:val="24"/>
        </w:rPr>
        <w:t>乙方：（卖方）_________</w:t>
      </w:r>
    </w:p>
    <w:p w14:paraId="63CC08E9">
      <w:pPr>
        <w:spacing w:line="560" w:lineRule="exact"/>
        <w:rPr>
          <w:rFonts w:cs="Courier New"/>
          <w:b/>
          <w:kern w:val="2"/>
          <w:sz w:val="24"/>
          <w:szCs w:val="24"/>
        </w:rPr>
      </w:pPr>
      <w:r>
        <w:rPr>
          <w:rFonts w:cs="Courier New"/>
          <w:b/>
          <w:kern w:val="2"/>
          <w:sz w:val="24"/>
          <w:szCs w:val="24"/>
        </w:rPr>
        <w:t xml:space="preserve">   </w:t>
      </w:r>
      <w:r>
        <w:rPr>
          <w:rFonts w:cs="Courier New"/>
          <w:kern w:val="2"/>
          <w:sz w:val="24"/>
          <w:szCs w:val="24"/>
        </w:rPr>
        <w:t>甲、乙双方根据</w:t>
      </w:r>
      <w:r>
        <w:rPr>
          <w:rFonts w:hint="eastAsia" w:cs="Courier New"/>
          <w:kern w:val="2"/>
          <w:sz w:val="24"/>
          <w:szCs w:val="24"/>
          <w:u w:val="single"/>
        </w:rPr>
        <w:t xml:space="preserve"> </w:t>
      </w:r>
      <w:r>
        <w:rPr>
          <w:rFonts w:hint="eastAsia" w:cs="Courier New"/>
          <w:b/>
          <w:bCs/>
          <w:kern w:val="2"/>
          <w:sz w:val="24"/>
          <w:szCs w:val="24"/>
          <w:u w:val="single"/>
        </w:rPr>
        <w:t>泗阳县融媒体中心全媒体播出系统全面高清化、智慧化建设采购项目</w:t>
      </w:r>
      <w:r>
        <w:rPr>
          <w:rFonts w:hint="eastAsia" w:cs="Courier New"/>
          <w:kern w:val="2"/>
          <w:sz w:val="24"/>
          <w:szCs w:val="24"/>
          <w:u w:val="single"/>
        </w:rPr>
        <w:t xml:space="preserve">  </w:t>
      </w:r>
      <w:r>
        <w:rPr>
          <w:rFonts w:cs="Courier New"/>
          <w:kern w:val="2"/>
          <w:sz w:val="24"/>
          <w:szCs w:val="24"/>
        </w:rPr>
        <w:t>项目</w:t>
      </w:r>
      <w:r>
        <w:rPr>
          <w:rFonts w:hint="eastAsia" w:cs="Courier New"/>
          <w:kern w:val="2"/>
          <w:sz w:val="24"/>
          <w:szCs w:val="24"/>
        </w:rPr>
        <w:t>（项目编号：JSZC-321323-KYJL-G2026-0008  ）</w:t>
      </w:r>
      <w:r>
        <w:rPr>
          <w:rFonts w:cs="Courier New"/>
          <w:kern w:val="2"/>
          <w:sz w:val="24"/>
          <w:szCs w:val="24"/>
        </w:rPr>
        <w:t>公开招标的结果，签署本合同。</w:t>
      </w:r>
    </w:p>
    <w:p w14:paraId="45FD397C">
      <w:pPr>
        <w:spacing w:line="560" w:lineRule="exact"/>
        <w:rPr>
          <w:rFonts w:cs="Courier New"/>
          <w:b/>
          <w:kern w:val="2"/>
          <w:sz w:val="24"/>
          <w:szCs w:val="24"/>
        </w:rPr>
      </w:pPr>
      <w:r>
        <w:rPr>
          <w:rFonts w:cs="Courier New"/>
          <w:b/>
          <w:kern w:val="2"/>
          <w:sz w:val="24"/>
          <w:szCs w:val="24"/>
        </w:rPr>
        <w:t>一、</w:t>
      </w:r>
      <w:r>
        <w:rPr>
          <w:rFonts w:hint="eastAsia" w:cs="Courier New"/>
          <w:b/>
          <w:kern w:val="2"/>
          <w:sz w:val="24"/>
          <w:szCs w:val="24"/>
        </w:rPr>
        <w:t>合同</w:t>
      </w:r>
      <w:r>
        <w:rPr>
          <w:rFonts w:cs="Courier New"/>
          <w:b/>
          <w:kern w:val="2"/>
          <w:sz w:val="24"/>
          <w:szCs w:val="24"/>
        </w:rPr>
        <w:t>内容</w:t>
      </w:r>
    </w:p>
    <w:p w14:paraId="296620C1">
      <w:pPr>
        <w:spacing w:line="560" w:lineRule="exact"/>
        <w:rPr>
          <w:rFonts w:cs="Courier New"/>
          <w:kern w:val="2"/>
          <w:sz w:val="24"/>
          <w:szCs w:val="24"/>
        </w:rPr>
      </w:pPr>
      <w:r>
        <w:rPr>
          <w:rFonts w:cs="Courier New"/>
          <w:kern w:val="2"/>
          <w:sz w:val="24"/>
          <w:szCs w:val="24"/>
        </w:rPr>
        <w:t xml:space="preserve">1.1 </w:t>
      </w:r>
      <w:r>
        <w:rPr>
          <w:rFonts w:hint="eastAsia" w:cs="Courier New"/>
          <w:kern w:val="2"/>
          <w:sz w:val="24"/>
          <w:szCs w:val="24"/>
        </w:rPr>
        <w:t>标的</w:t>
      </w:r>
      <w:r>
        <w:rPr>
          <w:rFonts w:cs="Courier New"/>
          <w:kern w:val="2"/>
          <w:sz w:val="24"/>
          <w:szCs w:val="24"/>
        </w:rPr>
        <w:t>名称：</w:t>
      </w:r>
    </w:p>
    <w:p w14:paraId="1CB15974">
      <w:pPr>
        <w:spacing w:line="560" w:lineRule="exact"/>
        <w:rPr>
          <w:rFonts w:cs="Courier New"/>
          <w:kern w:val="2"/>
          <w:sz w:val="24"/>
          <w:szCs w:val="24"/>
        </w:rPr>
      </w:pPr>
      <w:r>
        <w:rPr>
          <w:rFonts w:cs="Courier New"/>
          <w:kern w:val="2"/>
          <w:sz w:val="24"/>
          <w:szCs w:val="24"/>
        </w:rPr>
        <w:t>1.2</w:t>
      </w:r>
      <w:r>
        <w:rPr>
          <w:rFonts w:hint="eastAsia" w:cs="Courier New"/>
          <w:kern w:val="2"/>
          <w:sz w:val="24"/>
          <w:szCs w:val="24"/>
        </w:rPr>
        <w:t xml:space="preserve"> 标的质量：</w:t>
      </w:r>
    </w:p>
    <w:p w14:paraId="72419650">
      <w:pPr>
        <w:spacing w:line="560" w:lineRule="exact"/>
        <w:rPr>
          <w:rFonts w:cs="Courier New"/>
          <w:kern w:val="2"/>
          <w:sz w:val="24"/>
          <w:szCs w:val="24"/>
        </w:rPr>
      </w:pPr>
      <w:r>
        <w:rPr>
          <w:rFonts w:hint="eastAsia" w:cs="Courier New"/>
          <w:kern w:val="2"/>
          <w:sz w:val="24"/>
          <w:szCs w:val="24"/>
        </w:rPr>
        <w:t>1.3 标的数量（规模）：</w:t>
      </w:r>
    </w:p>
    <w:p w14:paraId="0F9631A6">
      <w:pPr>
        <w:spacing w:line="560" w:lineRule="exact"/>
        <w:rPr>
          <w:rFonts w:cs="Courier New"/>
          <w:kern w:val="2"/>
          <w:sz w:val="24"/>
          <w:szCs w:val="24"/>
        </w:rPr>
      </w:pPr>
      <w:r>
        <w:rPr>
          <w:rFonts w:hint="eastAsia" w:cs="Courier New"/>
          <w:kern w:val="2"/>
          <w:sz w:val="24"/>
          <w:szCs w:val="24"/>
        </w:rPr>
        <w:t>1.4 履行时间（期限）：</w:t>
      </w:r>
    </w:p>
    <w:p w14:paraId="764B13CF">
      <w:pPr>
        <w:spacing w:line="560" w:lineRule="exact"/>
        <w:rPr>
          <w:rFonts w:cs="Courier New"/>
          <w:kern w:val="2"/>
          <w:sz w:val="24"/>
          <w:szCs w:val="24"/>
        </w:rPr>
      </w:pPr>
      <w:r>
        <w:rPr>
          <w:rFonts w:hint="eastAsia" w:cs="Courier New"/>
          <w:kern w:val="2"/>
          <w:sz w:val="24"/>
          <w:szCs w:val="24"/>
        </w:rPr>
        <w:t>1.5 履行地点：</w:t>
      </w:r>
    </w:p>
    <w:p w14:paraId="00515AD6">
      <w:pPr>
        <w:spacing w:line="560" w:lineRule="exact"/>
        <w:rPr>
          <w:rFonts w:cs="Courier New"/>
          <w:kern w:val="2"/>
          <w:sz w:val="24"/>
          <w:szCs w:val="24"/>
        </w:rPr>
      </w:pPr>
      <w:r>
        <w:rPr>
          <w:rFonts w:cs="Courier New"/>
          <w:kern w:val="2"/>
          <w:sz w:val="24"/>
          <w:szCs w:val="24"/>
        </w:rPr>
        <w:t>1.</w:t>
      </w:r>
      <w:r>
        <w:rPr>
          <w:rFonts w:hint="eastAsia" w:cs="Courier New"/>
          <w:kern w:val="2"/>
          <w:sz w:val="24"/>
          <w:szCs w:val="24"/>
        </w:rPr>
        <w:t>6 履行方式：</w:t>
      </w:r>
    </w:p>
    <w:p w14:paraId="13831F07">
      <w:pPr>
        <w:spacing w:line="560" w:lineRule="exact"/>
        <w:rPr>
          <w:rFonts w:cs="Courier New"/>
          <w:kern w:val="2"/>
          <w:sz w:val="24"/>
          <w:szCs w:val="24"/>
        </w:rPr>
      </w:pPr>
      <w:r>
        <w:rPr>
          <w:rFonts w:hint="eastAsia" w:cs="Courier New"/>
          <w:kern w:val="2"/>
          <w:sz w:val="24"/>
          <w:szCs w:val="24"/>
        </w:rPr>
        <w:t>1.7 包装方式：</w:t>
      </w:r>
    </w:p>
    <w:p w14:paraId="15A50BF0">
      <w:pPr>
        <w:spacing w:line="560" w:lineRule="exact"/>
        <w:rPr>
          <w:rFonts w:cs="Courier New"/>
          <w:b/>
          <w:kern w:val="2"/>
          <w:sz w:val="24"/>
          <w:szCs w:val="24"/>
        </w:rPr>
      </w:pPr>
      <w:r>
        <w:rPr>
          <w:rFonts w:cs="Courier New"/>
          <w:b/>
          <w:kern w:val="2"/>
          <w:sz w:val="24"/>
          <w:szCs w:val="24"/>
        </w:rPr>
        <w:t>二、合同金额</w:t>
      </w:r>
    </w:p>
    <w:p w14:paraId="686AA83B">
      <w:pPr>
        <w:spacing w:line="560" w:lineRule="exact"/>
        <w:rPr>
          <w:kern w:val="2"/>
          <w:sz w:val="24"/>
          <w:szCs w:val="24"/>
        </w:rPr>
      </w:pPr>
      <w:r>
        <w:rPr>
          <w:kern w:val="2"/>
          <w:sz w:val="24"/>
          <w:szCs w:val="24"/>
        </w:rPr>
        <w:t>2.1 本合同金额为（大写）：_______</w:t>
      </w:r>
      <w:r>
        <w:rPr>
          <w:rFonts w:hint="eastAsia"/>
          <w:kern w:val="2"/>
          <w:sz w:val="24"/>
          <w:szCs w:val="24"/>
        </w:rPr>
        <w:t>圆</w:t>
      </w:r>
      <w:r>
        <w:rPr>
          <w:kern w:val="2"/>
          <w:sz w:val="24"/>
          <w:szCs w:val="24"/>
        </w:rPr>
        <w:t>（___元）人民币</w:t>
      </w:r>
      <w:r>
        <w:rPr>
          <w:rFonts w:hint="eastAsia"/>
          <w:kern w:val="2"/>
          <w:sz w:val="24"/>
          <w:szCs w:val="24"/>
        </w:rPr>
        <w:t>或其他币种</w:t>
      </w:r>
      <w:r>
        <w:rPr>
          <w:kern w:val="2"/>
          <w:sz w:val="24"/>
          <w:szCs w:val="24"/>
        </w:rPr>
        <w:t>。</w:t>
      </w:r>
    </w:p>
    <w:p w14:paraId="006CDAEF">
      <w:pPr>
        <w:spacing w:line="560" w:lineRule="exact"/>
        <w:rPr>
          <w:rFonts w:cs="Courier New"/>
          <w:b/>
          <w:kern w:val="2"/>
          <w:sz w:val="24"/>
          <w:szCs w:val="24"/>
        </w:rPr>
      </w:pPr>
      <w:r>
        <w:rPr>
          <w:rFonts w:cs="Courier New"/>
          <w:b/>
          <w:kern w:val="2"/>
          <w:sz w:val="24"/>
          <w:szCs w:val="24"/>
        </w:rPr>
        <w:t>三、技术资料</w:t>
      </w:r>
    </w:p>
    <w:p w14:paraId="4730FA6C">
      <w:pPr>
        <w:spacing w:line="560" w:lineRule="exact"/>
        <w:rPr>
          <w:kern w:val="2"/>
          <w:sz w:val="24"/>
          <w:szCs w:val="24"/>
        </w:rPr>
      </w:pPr>
      <w:r>
        <w:rPr>
          <w:kern w:val="2"/>
          <w:sz w:val="24"/>
          <w:szCs w:val="24"/>
        </w:rPr>
        <w:t>3.1乙方应按招标文件规定的时间向甲方提供使用货物</w:t>
      </w:r>
      <w:r>
        <w:rPr>
          <w:rFonts w:hint="eastAsia"/>
          <w:kern w:val="2"/>
          <w:sz w:val="24"/>
          <w:szCs w:val="24"/>
        </w:rPr>
        <w:t>(包含与货物相关的服务)</w:t>
      </w:r>
      <w:r>
        <w:rPr>
          <w:kern w:val="2"/>
          <w:sz w:val="24"/>
          <w:szCs w:val="24"/>
        </w:rPr>
        <w:t>的有关技术资料。</w:t>
      </w:r>
    </w:p>
    <w:p w14:paraId="0B85B8A9">
      <w:pPr>
        <w:spacing w:line="560" w:lineRule="exact"/>
        <w:rPr>
          <w:kern w:val="2"/>
          <w:sz w:val="24"/>
          <w:szCs w:val="24"/>
        </w:rPr>
      </w:pPr>
      <w:r>
        <w:rPr>
          <w:kern w:val="2"/>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6E3407B">
      <w:pPr>
        <w:spacing w:line="560" w:lineRule="exact"/>
        <w:rPr>
          <w:rFonts w:cs="Courier New"/>
          <w:b/>
          <w:kern w:val="2"/>
          <w:sz w:val="24"/>
          <w:szCs w:val="24"/>
        </w:rPr>
      </w:pPr>
      <w:r>
        <w:rPr>
          <w:rFonts w:cs="Courier New"/>
          <w:b/>
          <w:kern w:val="2"/>
          <w:sz w:val="24"/>
          <w:szCs w:val="24"/>
        </w:rPr>
        <w:t>四、知识产权</w:t>
      </w:r>
    </w:p>
    <w:p w14:paraId="37D012D1">
      <w:pPr>
        <w:spacing w:line="560" w:lineRule="exact"/>
        <w:rPr>
          <w:kern w:val="2"/>
          <w:sz w:val="24"/>
        </w:rPr>
      </w:pPr>
      <w:r>
        <w:rPr>
          <w:kern w:val="2"/>
          <w:sz w:val="24"/>
          <w:szCs w:val="24"/>
        </w:rPr>
        <w:t>4.1乙</w:t>
      </w:r>
      <w:r>
        <w:rPr>
          <w:rFonts w:hint="eastAsia"/>
          <w:kern w:val="2"/>
          <w:sz w:val="24"/>
        </w:rPr>
        <w:t>方应保证甲方在使用、接受本合同货物</w:t>
      </w:r>
      <w:r>
        <w:rPr>
          <w:rFonts w:hint="eastAsia"/>
          <w:kern w:val="2"/>
          <w:sz w:val="24"/>
          <w:szCs w:val="24"/>
        </w:rPr>
        <w:t>（包含与货物相关的服务）</w:t>
      </w:r>
      <w:r>
        <w:rPr>
          <w:rFonts w:hint="eastAsia"/>
          <w:kern w:val="2"/>
          <w:sz w:val="24"/>
        </w:rPr>
        <w:t>或其任何一部分时不受第三方提出侵犯其专利权、版权、商标权和工业设计权等知识产权的起诉。一旦出现侵权，由乙方负全部责任。</w:t>
      </w:r>
    </w:p>
    <w:p w14:paraId="661740A0">
      <w:pPr>
        <w:spacing w:line="560" w:lineRule="exact"/>
        <w:rPr>
          <w:rFonts w:cs="Courier New"/>
          <w:kern w:val="2"/>
          <w:sz w:val="24"/>
          <w:szCs w:val="24"/>
          <w:u w:val="single"/>
        </w:rPr>
      </w:pPr>
      <w:r>
        <w:rPr>
          <w:rFonts w:cs="Courier New"/>
          <w:b/>
          <w:kern w:val="2"/>
          <w:sz w:val="24"/>
          <w:szCs w:val="24"/>
        </w:rPr>
        <w:t>五、产权担保</w:t>
      </w:r>
    </w:p>
    <w:p w14:paraId="382D5B65">
      <w:pPr>
        <w:spacing w:line="560" w:lineRule="exact"/>
        <w:rPr>
          <w:kern w:val="2"/>
          <w:sz w:val="24"/>
          <w:szCs w:val="24"/>
        </w:rPr>
      </w:pPr>
      <w:r>
        <w:rPr>
          <w:kern w:val="2"/>
          <w:sz w:val="24"/>
          <w:szCs w:val="24"/>
        </w:rPr>
        <w:t>5.1 乙方保证所交付的货物</w:t>
      </w:r>
      <w:r>
        <w:rPr>
          <w:rFonts w:hint="eastAsia"/>
          <w:kern w:val="2"/>
          <w:sz w:val="24"/>
          <w:szCs w:val="24"/>
        </w:rPr>
        <w:t>（包含与货物相关的服务）</w:t>
      </w:r>
      <w:r>
        <w:rPr>
          <w:kern w:val="2"/>
          <w:sz w:val="24"/>
          <w:szCs w:val="24"/>
        </w:rPr>
        <w:t>的所有权完全属于乙方且无任何抵押、查封等产权瑕疵。</w:t>
      </w:r>
    </w:p>
    <w:p w14:paraId="47015A0F">
      <w:pPr>
        <w:spacing w:line="560" w:lineRule="exact"/>
        <w:rPr>
          <w:rFonts w:cs="Courier New"/>
          <w:b/>
          <w:kern w:val="2"/>
          <w:sz w:val="24"/>
          <w:szCs w:val="24"/>
        </w:rPr>
      </w:pPr>
      <w:r>
        <w:rPr>
          <w:rFonts w:cs="Courier New"/>
          <w:b/>
          <w:kern w:val="2"/>
          <w:sz w:val="24"/>
          <w:szCs w:val="24"/>
        </w:rPr>
        <w:t>六、履约保证金</w:t>
      </w:r>
    </w:p>
    <w:p w14:paraId="7FB04491">
      <w:pPr>
        <w:spacing w:line="560" w:lineRule="exact"/>
        <w:rPr>
          <w:rFonts w:cs="Courier New"/>
          <w:b/>
          <w:kern w:val="2"/>
          <w:sz w:val="24"/>
          <w:szCs w:val="24"/>
        </w:rPr>
      </w:pPr>
      <w:r>
        <w:rPr>
          <w:rFonts w:hint="eastAsia" w:cs="Courier New"/>
          <w:bCs/>
          <w:kern w:val="2"/>
          <w:sz w:val="24"/>
          <w:szCs w:val="24"/>
        </w:rPr>
        <w:t>本项目不收取履约保证金</w:t>
      </w:r>
    </w:p>
    <w:p w14:paraId="29781251">
      <w:pPr>
        <w:spacing w:line="560" w:lineRule="exact"/>
        <w:rPr>
          <w:rFonts w:eastAsia="仿宋_GB2312"/>
          <w:b/>
          <w:kern w:val="2"/>
          <w:sz w:val="24"/>
          <w:szCs w:val="24"/>
        </w:rPr>
      </w:pPr>
      <w:r>
        <w:rPr>
          <w:rFonts w:hint="eastAsia"/>
          <w:b/>
          <w:kern w:val="2"/>
          <w:sz w:val="24"/>
          <w:szCs w:val="24"/>
        </w:rPr>
        <w:t>七、合同转包或分包</w:t>
      </w:r>
    </w:p>
    <w:p w14:paraId="2C6B641E">
      <w:pPr>
        <w:spacing w:line="560" w:lineRule="exact"/>
        <w:rPr>
          <w:kern w:val="2"/>
          <w:sz w:val="24"/>
          <w:szCs w:val="24"/>
        </w:rPr>
      </w:pPr>
      <w:r>
        <w:rPr>
          <w:rFonts w:hint="eastAsia"/>
          <w:kern w:val="2"/>
          <w:sz w:val="24"/>
          <w:szCs w:val="24"/>
        </w:rPr>
        <w:t>7.1乙方不得将合同标的转包给他人履行。</w:t>
      </w:r>
    </w:p>
    <w:p w14:paraId="25E85777">
      <w:pPr>
        <w:spacing w:line="560" w:lineRule="exact"/>
        <w:rPr>
          <w:kern w:val="2"/>
          <w:sz w:val="24"/>
          <w:szCs w:val="24"/>
        </w:rPr>
      </w:pPr>
      <w:r>
        <w:rPr>
          <w:rFonts w:hint="eastAsia"/>
          <w:kern w:val="2"/>
          <w:sz w:val="24"/>
          <w:szCs w:val="24"/>
        </w:rPr>
        <w:t>7.2乙方不得将合同标的分包给他人履行。</w:t>
      </w:r>
    </w:p>
    <w:p w14:paraId="475FCC73">
      <w:pPr>
        <w:spacing w:line="560" w:lineRule="exact"/>
        <w:rPr>
          <w:rFonts w:eastAsia="仿宋_GB2312"/>
          <w:kern w:val="2"/>
          <w:sz w:val="24"/>
          <w:szCs w:val="24"/>
        </w:rPr>
      </w:pPr>
      <w:r>
        <w:rPr>
          <w:kern w:val="2"/>
          <w:sz w:val="24"/>
          <w:szCs w:val="24"/>
        </w:rPr>
        <w:t>7.3</w:t>
      </w:r>
      <w:r>
        <w:rPr>
          <w:rFonts w:hint="eastAsia"/>
          <w:kern w:val="2"/>
          <w:sz w:val="24"/>
          <w:szCs w:val="24"/>
        </w:rPr>
        <w:t>乙方如有转包或未经甲方同意的分包行为，甲方有权给予终止合同。</w:t>
      </w:r>
    </w:p>
    <w:p w14:paraId="751C5B31">
      <w:pPr>
        <w:spacing w:line="560" w:lineRule="exact"/>
        <w:rPr>
          <w:rFonts w:cs="Courier New"/>
          <w:b/>
          <w:kern w:val="2"/>
          <w:sz w:val="24"/>
          <w:szCs w:val="24"/>
        </w:rPr>
      </w:pPr>
      <w:r>
        <w:rPr>
          <w:rFonts w:hint="eastAsia" w:cs="Courier New"/>
          <w:b/>
          <w:kern w:val="2"/>
          <w:sz w:val="24"/>
          <w:szCs w:val="24"/>
        </w:rPr>
        <w:t>八</w:t>
      </w:r>
      <w:r>
        <w:rPr>
          <w:rFonts w:cs="Courier New"/>
          <w:b/>
          <w:kern w:val="2"/>
          <w:sz w:val="24"/>
          <w:szCs w:val="24"/>
        </w:rPr>
        <w:t>、</w:t>
      </w:r>
      <w:r>
        <w:rPr>
          <w:rFonts w:hint="eastAsia" w:cs="Courier New"/>
          <w:b/>
          <w:kern w:val="2"/>
          <w:sz w:val="24"/>
          <w:szCs w:val="24"/>
        </w:rPr>
        <w:t>合同款项</w:t>
      </w:r>
      <w:r>
        <w:rPr>
          <w:rFonts w:cs="Courier New"/>
          <w:b/>
          <w:kern w:val="2"/>
          <w:sz w:val="24"/>
          <w:szCs w:val="24"/>
        </w:rPr>
        <w:t>支付</w:t>
      </w:r>
    </w:p>
    <w:p w14:paraId="7E8B96B5">
      <w:pPr>
        <w:spacing w:line="560" w:lineRule="exact"/>
        <w:rPr>
          <w:bCs/>
          <w:kern w:val="2"/>
          <w:sz w:val="24"/>
          <w:lang w:val="zh-CN"/>
        </w:rPr>
      </w:pPr>
      <w:r>
        <w:rPr>
          <w:rFonts w:hint="eastAsia"/>
          <w:bCs/>
          <w:kern w:val="2"/>
          <w:sz w:val="24"/>
          <w:lang w:val="zh-CN"/>
        </w:rPr>
        <w:t>8.1合同款项的支付方式及进度安排</w:t>
      </w:r>
    </w:p>
    <w:p w14:paraId="52E0132C">
      <w:pPr>
        <w:spacing w:line="560" w:lineRule="exact"/>
        <w:rPr>
          <w:rFonts w:hint="eastAsia"/>
          <w:bCs/>
          <w:kern w:val="2"/>
          <w:sz w:val="24"/>
          <w:lang w:val="zh-CN"/>
        </w:rPr>
      </w:pPr>
      <w:r>
        <w:rPr>
          <w:rFonts w:hint="eastAsia"/>
          <w:bCs/>
          <w:kern w:val="2"/>
          <w:sz w:val="24"/>
          <w:lang w:val="zh-CN"/>
        </w:rPr>
        <w:t xml:space="preserve">资金支付的方式：预付款：签订合同后，支付合同价款的30%作为预付款； </w:t>
      </w:r>
    </w:p>
    <w:p w14:paraId="3FC43AA6">
      <w:pPr>
        <w:spacing w:line="560" w:lineRule="exact"/>
        <w:rPr>
          <w:rFonts w:hint="eastAsia"/>
          <w:bCs/>
          <w:kern w:val="2"/>
          <w:sz w:val="24"/>
          <w:lang w:val="zh-CN"/>
        </w:rPr>
      </w:pPr>
      <w:r>
        <w:rPr>
          <w:rFonts w:hint="eastAsia"/>
          <w:bCs/>
          <w:kern w:val="2"/>
          <w:sz w:val="24"/>
          <w:lang w:val="zh-CN"/>
        </w:rPr>
        <w:t>进度款：货物到现场安装调试完毕稳定运行，经采购人验收合格后，采购人将货款支付到合同总价款的100%；</w:t>
      </w:r>
    </w:p>
    <w:p w14:paraId="783FEF7E">
      <w:pPr>
        <w:spacing w:line="560" w:lineRule="exact"/>
        <w:rPr>
          <w:rFonts w:hint="eastAsia"/>
          <w:bCs/>
          <w:kern w:val="2"/>
          <w:sz w:val="24"/>
          <w:lang w:val="zh-CN"/>
        </w:rPr>
      </w:pPr>
      <w:r>
        <w:rPr>
          <w:rFonts w:hint="eastAsia"/>
          <w:bCs/>
          <w:kern w:val="2"/>
          <w:sz w:val="24"/>
          <w:lang w:val="zh-CN"/>
        </w:rPr>
        <w:t>注：在签订合同时，中标人明确表示无需预付款或者主动要求降低预付款比例的金额，采购人可不适用预付款规定。</w:t>
      </w:r>
    </w:p>
    <w:p w14:paraId="56470FB5">
      <w:pPr>
        <w:spacing w:line="560" w:lineRule="exact"/>
        <w:rPr>
          <w:rFonts w:hint="eastAsia"/>
          <w:bCs/>
          <w:kern w:val="2"/>
          <w:sz w:val="24"/>
          <w:lang w:val="zh-CN"/>
        </w:rPr>
      </w:pPr>
      <w:r>
        <w:rPr>
          <w:rFonts w:hint="eastAsia"/>
          <w:bCs/>
          <w:kern w:val="2"/>
          <w:sz w:val="24"/>
          <w:lang w:val="zh-CN"/>
        </w:rPr>
        <w:t>资金支付的时间：收到供应商发票10个工作日内；</w:t>
      </w:r>
    </w:p>
    <w:p w14:paraId="3681FB1A">
      <w:pPr>
        <w:spacing w:line="560" w:lineRule="exact"/>
        <w:rPr>
          <w:bCs/>
          <w:kern w:val="2"/>
          <w:sz w:val="24"/>
        </w:rPr>
      </w:pPr>
      <w:r>
        <w:rPr>
          <w:rFonts w:hint="eastAsia"/>
          <w:bCs/>
          <w:kern w:val="2"/>
          <w:sz w:val="24"/>
          <w:lang w:val="zh-CN"/>
        </w:rPr>
        <w:t>资金支付</w:t>
      </w:r>
      <w:r>
        <w:rPr>
          <w:rFonts w:hint="eastAsia"/>
          <w:bCs/>
          <w:kern w:val="2"/>
          <w:sz w:val="24"/>
        </w:rPr>
        <w:t>的条件：满足相应阶段的要求且收到供应商发票；</w:t>
      </w:r>
    </w:p>
    <w:p w14:paraId="2F31A5BC">
      <w:pPr>
        <w:spacing w:line="560" w:lineRule="exact"/>
        <w:rPr>
          <w:bCs/>
          <w:kern w:val="2"/>
          <w:sz w:val="24"/>
          <w:lang w:val="zh-CN"/>
        </w:rPr>
      </w:pPr>
      <w:r>
        <w:rPr>
          <w:rFonts w:hint="eastAsia"/>
          <w:bCs/>
          <w:kern w:val="2"/>
          <w:sz w:val="24"/>
          <w:lang w:val="zh-CN"/>
        </w:rPr>
        <w:t>8.2当采购数量与实际使用数量不一致时，乙方应根据实际使用量供货，合同的最终结算金额按实际使用量乘以成交单价进行计算。</w:t>
      </w:r>
    </w:p>
    <w:p w14:paraId="117586D8">
      <w:pPr>
        <w:spacing w:line="560" w:lineRule="exact"/>
        <w:rPr>
          <w:rFonts w:eastAsia="仿宋_GB2312"/>
          <w:b/>
          <w:kern w:val="2"/>
          <w:sz w:val="24"/>
          <w:szCs w:val="24"/>
        </w:rPr>
      </w:pPr>
      <w:r>
        <w:rPr>
          <w:rFonts w:hint="eastAsia"/>
          <w:b/>
          <w:kern w:val="2"/>
          <w:sz w:val="24"/>
          <w:szCs w:val="24"/>
        </w:rPr>
        <w:t>九、税费</w:t>
      </w:r>
    </w:p>
    <w:p w14:paraId="5B608776">
      <w:pPr>
        <w:spacing w:line="560" w:lineRule="exact"/>
        <w:rPr>
          <w:rFonts w:eastAsia="仿宋_GB2312"/>
          <w:kern w:val="2"/>
          <w:sz w:val="24"/>
          <w:szCs w:val="24"/>
        </w:rPr>
      </w:pPr>
      <w:r>
        <w:rPr>
          <w:rFonts w:hint="eastAsia"/>
          <w:kern w:val="2"/>
          <w:sz w:val="24"/>
          <w:szCs w:val="24"/>
        </w:rPr>
        <w:t>9</w:t>
      </w:r>
      <w:r>
        <w:rPr>
          <w:kern w:val="2"/>
          <w:sz w:val="24"/>
          <w:szCs w:val="24"/>
        </w:rPr>
        <w:t>.1</w:t>
      </w:r>
      <w:r>
        <w:rPr>
          <w:rFonts w:hint="eastAsia"/>
          <w:kern w:val="2"/>
          <w:sz w:val="24"/>
          <w:szCs w:val="24"/>
        </w:rPr>
        <w:t>本合同执行中相关的一切税费均由乙方负担。</w:t>
      </w:r>
    </w:p>
    <w:p w14:paraId="6B3DED62">
      <w:pPr>
        <w:spacing w:line="560" w:lineRule="exact"/>
        <w:ind w:hanging="412"/>
        <w:rPr>
          <w:rFonts w:cs="Courier New"/>
          <w:kern w:val="2"/>
          <w:sz w:val="24"/>
          <w:szCs w:val="24"/>
        </w:rPr>
      </w:pPr>
      <w:r>
        <w:rPr>
          <w:rFonts w:cs="Courier New"/>
          <w:b/>
          <w:kern w:val="2"/>
          <w:sz w:val="24"/>
          <w:szCs w:val="24"/>
        </w:rPr>
        <w:t>十、质量</w:t>
      </w:r>
      <w:r>
        <w:rPr>
          <w:rFonts w:hint="eastAsia" w:cs="Courier New"/>
          <w:b/>
          <w:kern w:val="2"/>
          <w:sz w:val="24"/>
          <w:szCs w:val="24"/>
        </w:rPr>
        <w:t>保修范围和保修期</w:t>
      </w:r>
      <w:r>
        <w:rPr>
          <w:rFonts w:cs="Courier New"/>
          <w:b/>
          <w:kern w:val="2"/>
          <w:sz w:val="24"/>
          <w:szCs w:val="24"/>
        </w:rPr>
        <w:t>及售后服务</w:t>
      </w:r>
    </w:p>
    <w:p w14:paraId="4787CDFF">
      <w:pPr>
        <w:spacing w:line="560" w:lineRule="exact"/>
        <w:rPr>
          <w:kern w:val="2"/>
          <w:sz w:val="24"/>
          <w:szCs w:val="24"/>
        </w:rPr>
      </w:pPr>
      <w:r>
        <w:rPr>
          <w:kern w:val="2"/>
          <w:sz w:val="24"/>
          <w:szCs w:val="24"/>
        </w:rPr>
        <w:t>1</w:t>
      </w:r>
      <w:r>
        <w:rPr>
          <w:rFonts w:hint="eastAsia"/>
          <w:kern w:val="2"/>
          <w:sz w:val="24"/>
          <w:szCs w:val="24"/>
        </w:rPr>
        <w:t>0</w:t>
      </w:r>
      <w:r>
        <w:rPr>
          <w:kern w:val="2"/>
          <w:sz w:val="24"/>
          <w:szCs w:val="24"/>
        </w:rPr>
        <w:t>.1 乙方应按招标文件规定的货物性能、技术要求、质量标准向甲方提供未经使用的全新产品。</w:t>
      </w:r>
    </w:p>
    <w:p w14:paraId="642D8F00">
      <w:pPr>
        <w:spacing w:line="560" w:lineRule="exact"/>
        <w:rPr>
          <w:kern w:val="2"/>
          <w:sz w:val="24"/>
          <w:szCs w:val="24"/>
        </w:rPr>
      </w:pPr>
      <w:r>
        <w:rPr>
          <w:kern w:val="2"/>
          <w:sz w:val="24"/>
          <w:szCs w:val="24"/>
        </w:rPr>
        <w:t>1</w:t>
      </w:r>
      <w:r>
        <w:rPr>
          <w:rFonts w:hint="eastAsia"/>
          <w:kern w:val="2"/>
          <w:sz w:val="24"/>
          <w:szCs w:val="24"/>
        </w:rPr>
        <w:t>0</w:t>
      </w:r>
      <w:r>
        <w:rPr>
          <w:kern w:val="2"/>
          <w:sz w:val="24"/>
          <w:szCs w:val="24"/>
        </w:rPr>
        <w:t>.2 乙方提供的货物在质量期内因货物本身的质量问题发生故障，乙方应负责免费更换。对达不到技术要求者，根据实际情况，经双方协商，可按以下办法处理：</w:t>
      </w:r>
    </w:p>
    <w:p w14:paraId="14BF88C9">
      <w:pPr>
        <w:spacing w:line="560" w:lineRule="exact"/>
        <w:rPr>
          <w:rFonts w:cs="Courier New"/>
          <w:kern w:val="2"/>
          <w:sz w:val="24"/>
          <w:szCs w:val="24"/>
        </w:rPr>
      </w:pPr>
      <w:r>
        <w:rPr>
          <w:rFonts w:cs="Courier New"/>
          <w:kern w:val="2"/>
          <w:sz w:val="24"/>
          <w:szCs w:val="24"/>
        </w:rPr>
        <w:t>⑴更换：由乙方承担所发生的全部费用。</w:t>
      </w:r>
    </w:p>
    <w:p w14:paraId="235C168C">
      <w:pPr>
        <w:spacing w:line="560" w:lineRule="exact"/>
        <w:rPr>
          <w:rFonts w:cs="Courier New"/>
          <w:kern w:val="2"/>
          <w:sz w:val="24"/>
          <w:szCs w:val="24"/>
        </w:rPr>
      </w:pPr>
      <w:r>
        <w:rPr>
          <w:rFonts w:cs="Courier New"/>
          <w:kern w:val="2"/>
          <w:sz w:val="24"/>
          <w:szCs w:val="24"/>
        </w:rPr>
        <w:t>⑵贬值处理：由甲乙双方合议定价。</w:t>
      </w:r>
    </w:p>
    <w:p w14:paraId="51D7F6AA">
      <w:pPr>
        <w:spacing w:line="560" w:lineRule="exact"/>
        <w:rPr>
          <w:rFonts w:cs="Courier New"/>
          <w:kern w:val="2"/>
          <w:sz w:val="24"/>
          <w:szCs w:val="24"/>
        </w:rPr>
      </w:pPr>
      <w:r>
        <w:rPr>
          <w:rFonts w:cs="Courier New"/>
          <w:kern w:val="2"/>
          <w:sz w:val="24"/>
          <w:szCs w:val="24"/>
        </w:rPr>
        <w:t>⑶退货处理：乙方应退还甲方支付的合同款，同时应承担该货物的直接费用（运输、保险、检验、货款利息及银行手续费等）。</w:t>
      </w:r>
    </w:p>
    <w:p w14:paraId="1E056236">
      <w:pPr>
        <w:spacing w:line="560" w:lineRule="exact"/>
        <w:rPr>
          <w:rFonts w:cs="Courier New"/>
          <w:kern w:val="2"/>
          <w:sz w:val="24"/>
          <w:szCs w:val="24"/>
        </w:rPr>
      </w:pPr>
      <w:r>
        <w:rPr>
          <w:rFonts w:cs="Courier New"/>
          <w:kern w:val="2"/>
          <w:sz w:val="24"/>
          <w:szCs w:val="24"/>
        </w:rPr>
        <w:t>1</w:t>
      </w:r>
      <w:r>
        <w:rPr>
          <w:rFonts w:hint="eastAsia" w:cs="Courier New"/>
          <w:kern w:val="2"/>
          <w:sz w:val="24"/>
          <w:szCs w:val="24"/>
        </w:rPr>
        <w:t>0</w:t>
      </w:r>
      <w:r>
        <w:rPr>
          <w:rFonts w:cs="Courier New"/>
          <w:kern w:val="2"/>
          <w:sz w:val="24"/>
          <w:szCs w:val="24"/>
        </w:rPr>
        <w:t>.3 如在使用过程中发生质量问题，乙方在接到甲方通知后在_________小时内到达甲方现场。</w:t>
      </w:r>
    </w:p>
    <w:p w14:paraId="71F65E2F">
      <w:pPr>
        <w:spacing w:line="560" w:lineRule="exact"/>
        <w:rPr>
          <w:rFonts w:cs="Courier New"/>
          <w:kern w:val="2"/>
          <w:sz w:val="24"/>
          <w:szCs w:val="24"/>
        </w:rPr>
      </w:pPr>
      <w:r>
        <w:rPr>
          <w:rFonts w:cs="Courier New"/>
          <w:kern w:val="2"/>
          <w:sz w:val="24"/>
          <w:szCs w:val="24"/>
        </w:rPr>
        <w:t>1</w:t>
      </w:r>
      <w:r>
        <w:rPr>
          <w:rFonts w:hint="eastAsia" w:cs="Courier New"/>
          <w:kern w:val="2"/>
          <w:sz w:val="24"/>
          <w:szCs w:val="24"/>
        </w:rPr>
        <w:t>0</w:t>
      </w:r>
      <w:r>
        <w:rPr>
          <w:rFonts w:cs="Courier New"/>
          <w:kern w:val="2"/>
          <w:sz w:val="24"/>
          <w:szCs w:val="24"/>
        </w:rPr>
        <w:t>.4 在质保期内，乙方应对货物出现的质量及安全问题负责处理解决并承担一切费用。</w:t>
      </w:r>
    </w:p>
    <w:p w14:paraId="11E6E81D">
      <w:pPr>
        <w:spacing w:line="560" w:lineRule="exact"/>
        <w:rPr>
          <w:kern w:val="2"/>
          <w:sz w:val="24"/>
          <w:szCs w:val="24"/>
        </w:rPr>
      </w:pPr>
      <w:r>
        <w:rPr>
          <w:kern w:val="2"/>
          <w:sz w:val="24"/>
          <w:szCs w:val="24"/>
        </w:rPr>
        <w:t>1</w:t>
      </w:r>
      <w:r>
        <w:rPr>
          <w:rFonts w:hint="eastAsia"/>
          <w:kern w:val="2"/>
          <w:sz w:val="24"/>
          <w:szCs w:val="24"/>
        </w:rPr>
        <w:t>0</w:t>
      </w:r>
      <w:r>
        <w:rPr>
          <w:kern w:val="2"/>
          <w:sz w:val="24"/>
          <w:szCs w:val="24"/>
        </w:rPr>
        <w:t>.5上述的货物免费保修期为</w:t>
      </w:r>
      <w:r>
        <w:rPr>
          <w:kern w:val="2"/>
          <w:sz w:val="24"/>
          <w:szCs w:val="24"/>
          <w:u w:val="single"/>
        </w:rPr>
        <w:t xml:space="preserve">     </w:t>
      </w:r>
      <w:r>
        <w:rPr>
          <w:kern w:val="2"/>
          <w:sz w:val="24"/>
          <w:szCs w:val="24"/>
        </w:rPr>
        <w:t>年（自交货验收合格之日起计），因人为因素出现的故障不在免费保修范围内。超过保修期的机器设备，终生维修，维修时只收部件成本费。</w:t>
      </w:r>
    </w:p>
    <w:p w14:paraId="69BFF5F2">
      <w:pPr>
        <w:spacing w:line="560" w:lineRule="exact"/>
        <w:rPr>
          <w:rFonts w:cs="Courier New"/>
          <w:b/>
          <w:kern w:val="2"/>
          <w:sz w:val="24"/>
          <w:szCs w:val="24"/>
        </w:rPr>
      </w:pPr>
      <w:r>
        <w:rPr>
          <w:rFonts w:cs="Courier New"/>
          <w:b/>
          <w:kern w:val="2"/>
          <w:sz w:val="24"/>
          <w:szCs w:val="24"/>
        </w:rPr>
        <w:t>十</w:t>
      </w:r>
      <w:r>
        <w:rPr>
          <w:rFonts w:hint="eastAsia" w:cs="Courier New"/>
          <w:b/>
          <w:kern w:val="2"/>
          <w:sz w:val="24"/>
          <w:szCs w:val="24"/>
        </w:rPr>
        <w:t>一</w:t>
      </w:r>
      <w:r>
        <w:rPr>
          <w:rFonts w:cs="Courier New"/>
          <w:b/>
          <w:kern w:val="2"/>
          <w:sz w:val="24"/>
          <w:szCs w:val="24"/>
        </w:rPr>
        <w:t>、</w:t>
      </w:r>
      <w:r>
        <w:rPr>
          <w:rFonts w:hint="eastAsia" w:cs="Courier New"/>
          <w:b/>
          <w:kern w:val="2"/>
          <w:sz w:val="24"/>
          <w:szCs w:val="24"/>
        </w:rPr>
        <w:t>项目</w:t>
      </w:r>
      <w:r>
        <w:rPr>
          <w:rFonts w:cs="Courier New"/>
          <w:b/>
          <w:kern w:val="2"/>
          <w:sz w:val="24"/>
          <w:szCs w:val="24"/>
        </w:rPr>
        <w:t>验收</w:t>
      </w:r>
    </w:p>
    <w:p w14:paraId="24CD56AE">
      <w:pPr>
        <w:spacing w:line="560" w:lineRule="exact"/>
        <w:rPr>
          <w:rFonts w:cs="Courier New"/>
          <w:kern w:val="2"/>
          <w:sz w:val="24"/>
          <w:szCs w:val="24"/>
        </w:rPr>
      </w:pPr>
      <w:r>
        <w:rPr>
          <w:rFonts w:hint="eastAsia" w:cs="Courier New"/>
          <w:kern w:val="2"/>
          <w:sz w:val="24"/>
          <w:szCs w:val="24"/>
        </w:rPr>
        <w:t>11.1 甲方依法组织履约验收工作。</w:t>
      </w:r>
    </w:p>
    <w:p w14:paraId="1007E1B5">
      <w:pPr>
        <w:spacing w:line="560" w:lineRule="exact"/>
        <w:rPr>
          <w:rFonts w:cs="Courier New"/>
          <w:kern w:val="2"/>
          <w:sz w:val="24"/>
          <w:szCs w:val="24"/>
        </w:rPr>
      </w:pPr>
      <w:r>
        <w:rPr>
          <w:rFonts w:hint="eastAsia" w:cs="Courier New"/>
          <w:kern w:val="2"/>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12E8B93">
      <w:pPr>
        <w:spacing w:line="560" w:lineRule="exact"/>
        <w:rPr>
          <w:rFonts w:cs="Courier New"/>
          <w:kern w:val="2"/>
          <w:sz w:val="24"/>
          <w:szCs w:val="24"/>
        </w:rPr>
      </w:pPr>
      <w:r>
        <w:rPr>
          <w:rFonts w:hint="eastAsia" w:cs="Courier New"/>
          <w:kern w:val="2"/>
          <w:sz w:val="24"/>
          <w:szCs w:val="24"/>
        </w:rPr>
        <w:t>11.3 对于实际使用人和甲方分离的项目，甲方邀请实际使用人参与验收。</w:t>
      </w:r>
    </w:p>
    <w:p w14:paraId="0F21E46F">
      <w:pPr>
        <w:spacing w:line="560" w:lineRule="exact"/>
        <w:rPr>
          <w:rFonts w:cs="Courier New"/>
          <w:kern w:val="2"/>
          <w:sz w:val="24"/>
          <w:szCs w:val="24"/>
        </w:rPr>
      </w:pPr>
      <w:r>
        <w:rPr>
          <w:rFonts w:hint="eastAsia" w:cs="Courier New"/>
          <w:kern w:val="2"/>
          <w:sz w:val="24"/>
          <w:szCs w:val="24"/>
        </w:rPr>
        <w:t>11.4 如有必要，甲方邀请参加本项目的其他供应商或第三方专业机构及专家参与验收，相关意见将作为验收书的参考资料。</w:t>
      </w:r>
    </w:p>
    <w:p w14:paraId="3EC494E6">
      <w:pPr>
        <w:spacing w:line="560" w:lineRule="exact"/>
        <w:rPr>
          <w:rFonts w:cs="Courier New"/>
          <w:kern w:val="2"/>
          <w:sz w:val="24"/>
          <w:szCs w:val="24"/>
        </w:rPr>
      </w:pPr>
      <w:r>
        <w:rPr>
          <w:rFonts w:hint="eastAsia" w:cs="Courier New"/>
          <w:kern w:val="2"/>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0D3CD1D">
      <w:pPr>
        <w:spacing w:line="560" w:lineRule="exact"/>
        <w:rPr>
          <w:rFonts w:cs="Courier New"/>
          <w:kern w:val="2"/>
          <w:sz w:val="24"/>
          <w:szCs w:val="24"/>
        </w:rPr>
      </w:pPr>
      <w:r>
        <w:rPr>
          <w:rFonts w:hint="eastAsia" w:cs="Courier New"/>
          <w:kern w:val="2"/>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0641845">
      <w:pPr>
        <w:spacing w:line="560" w:lineRule="exact"/>
        <w:rPr>
          <w:rFonts w:cs="Courier New"/>
          <w:b/>
          <w:kern w:val="2"/>
          <w:sz w:val="24"/>
          <w:szCs w:val="24"/>
        </w:rPr>
      </w:pPr>
      <w:r>
        <w:rPr>
          <w:rFonts w:cs="Courier New"/>
          <w:b/>
          <w:kern w:val="2"/>
          <w:sz w:val="24"/>
          <w:szCs w:val="24"/>
        </w:rPr>
        <w:t>十</w:t>
      </w:r>
      <w:r>
        <w:rPr>
          <w:rFonts w:hint="eastAsia" w:cs="Courier New"/>
          <w:b/>
          <w:kern w:val="2"/>
          <w:sz w:val="24"/>
          <w:szCs w:val="24"/>
        </w:rPr>
        <w:t>二</w:t>
      </w:r>
      <w:r>
        <w:rPr>
          <w:rFonts w:cs="Courier New"/>
          <w:b/>
          <w:kern w:val="2"/>
          <w:sz w:val="24"/>
          <w:szCs w:val="24"/>
        </w:rPr>
        <w:t>、货物</w:t>
      </w:r>
      <w:r>
        <w:rPr>
          <w:rFonts w:hint="eastAsia" w:cs="Courier New"/>
          <w:b/>
          <w:kern w:val="2"/>
          <w:sz w:val="24"/>
          <w:szCs w:val="24"/>
        </w:rPr>
        <w:t>的</w:t>
      </w:r>
      <w:r>
        <w:rPr>
          <w:rFonts w:cs="Courier New"/>
          <w:b/>
          <w:kern w:val="2"/>
          <w:sz w:val="24"/>
          <w:szCs w:val="24"/>
        </w:rPr>
        <w:t>包装、发运及运输</w:t>
      </w:r>
    </w:p>
    <w:p w14:paraId="25649067">
      <w:pPr>
        <w:spacing w:line="560" w:lineRule="exact"/>
        <w:rPr>
          <w:kern w:val="2"/>
          <w:sz w:val="24"/>
          <w:szCs w:val="24"/>
        </w:rPr>
      </w:pPr>
      <w:r>
        <w:rPr>
          <w:kern w:val="2"/>
          <w:sz w:val="24"/>
          <w:szCs w:val="24"/>
        </w:rPr>
        <w:t>1</w:t>
      </w:r>
      <w:r>
        <w:rPr>
          <w:rFonts w:hint="eastAsia"/>
          <w:kern w:val="2"/>
          <w:sz w:val="24"/>
          <w:szCs w:val="24"/>
        </w:rPr>
        <w:t>2</w:t>
      </w:r>
      <w:r>
        <w:rPr>
          <w:kern w:val="2"/>
          <w:sz w:val="24"/>
          <w:szCs w:val="24"/>
        </w:rPr>
        <w:t>.1 乙方应在货物发运前对其进行满足运输距离、防潮、防震、防锈和防破损装卸等要求包装，以保证货物安全运达甲方指定地点。</w:t>
      </w:r>
      <w:r>
        <w:rPr>
          <w:rFonts w:hint="eastAsia"/>
          <w:kern w:val="2"/>
          <w:sz w:val="24"/>
          <w:szCs w:val="24"/>
        </w:rPr>
        <w:t>乙方对货物的包装应符合《商品包装政府采购需求标准（试行）》、《快递包装政府采购需求标准（试行）》的规定。</w:t>
      </w:r>
    </w:p>
    <w:p w14:paraId="20021ADA">
      <w:pPr>
        <w:spacing w:line="560" w:lineRule="exact"/>
        <w:rPr>
          <w:kern w:val="2"/>
          <w:sz w:val="24"/>
          <w:szCs w:val="24"/>
        </w:rPr>
      </w:pPr>
      <w:r>
        <w:rPr>
          <w:kern w:val="2"/>
          <w:sz w:val="24"/>
          <w:szCs w:val="24"/>
        </w:rPr>
        <w:t>1</w:t>
      </w:r>
      <w:r>
        <w:rPr>
          <w:rFonts w:hint="eastAsia"/>
          <w:kern w:val="2"/>
          <w:sz w:val="24"/>
          <w:szCs w:val="24"/>
        </w:rPr>
        <w:t>2</w:t>
      </w:r>
      <w:r>
        <w:rPr>
          <w:kern w:val="2"/>
          <w:sz w:val="24"/>
          <w:szCs w:val="24"/>
        </w:rPr>
        <w:t>.2 使用说明书、质量检验证明书、随配附件和工具以及清单一并附于货物内。</w:t>
      </w:r>
    </w:p>
    <w:p w14:paraId="5AC6FFED">
      <w:pPr>
        <w:spacing w:line="560" w:lineRule="exact"/>
        <w:rPr>
          <w:kern w:val="2"/>
          <w:sz w:val="24"/>
          <w:szCs w:val="24"/>
        </w:rPr>
      </w:pPr>
      <w:r>
        <w:rPr>
          <w:kern w:val="2"/>
          <w:sz w:val="24"/>
          <w:szCs w:val="24"/>
        </w:rPr>
        <w:t>1</w:t>
      </w:r>
      <w:r>
        <w:rPr>
          <w:rFonts w:hint="eastAsia"/>
          <w:kern w:val="2"/>
          <w:sz w:val="24"/>
          <w:szCs w:val="24"/>
        </w:rPr>
        <w:t>2</w:t>
      </w:r>
      <w:r>
        <w:rPr>
          <w:kern w:val="2"/>
          <w:sz w:val="24"/>
          <w:szCs w:val="24"/>
        </w:rPr>
        <w:t>.3 乙方在货物发运手续办理完毕后24小时内或货到甲方48小时前通知甲方，以准备接货。</w:t>
      </w:r>
    </w:p>
    <w:p w14:paraId="615CD2DA">
      <w:pPr>
        <w:spacing w:line="560" w:lineRule="exact"/>
        <w:rPr>
          <w:kern w:val="2"/>
          <w:sz w:val="24"/>
          <w:szCs w:val="24"/>
        </w:rPr>
      </w:pPr>
      <w:r>
        <w:rPr>
          <w:kern w:val="2"/>
          <w:sz w:val="24"/>
          <w:szCs w:val="24"/>
        </w:rPr>
        <w:t>1</w:t>
      </w:r>
      <w:r>
        <w:rPr>
          <w:rFonts w:hint="eastAsia"/>
          <w:kern w:val="2"/>
          <w:sz w:val="24"/>
          <w:szCs w:val="24"/>
        </w:rPr>
        <w:t>2</w:t>
      </w:r>
      <w:r>
        <w:rPr>
          <w:kern w:val="2"/>
          <w:sz w:val="24"/>
          <w:szCs w:val="24"/>
        </w:rPr>
        <w:t>.4 货物在交付甲方前发生的风险均由乙方负责。</w:t>
      </w:r>
    </w:p>
    <w:p w14:paraId="011EE877">
      <w:pPr>
        <w:spacing w:line="560" w:lineRule="exact"/>
        <w:rPr>
          <w:kern w:val="2"/>
          <w:sz w:val="24"/>
          <w:szCs w:val="24"/>
        </w:rPr>
      </w:pPr>
      <w:r>
        <w:rPr>
          <w:kern w:val="2"/>
          <w:sz w:val="24"/>
          <w:szCs w:val="24"/>
        </w:rPr>
        <w:t>1</w:t>
      </w:r>
      <w:r>
        <w:rPr>
          <w:rFonts w:hint="eastAsia"/>
          <w:kern w:val="2"/>
          <w:sz w:val="24"/>
          <w:szCs w:val="24"/>
        </w:rPr>
        <w:t>2</w:t>
      </w:r>
      <w:r>
        <w:rPr>
          <w:kern w:val="2"/>
          <w:sz w:val="24"/>
          <w:szCs w:val="24"/>
        </w:rPr>
        <w:t>.5 货物在规定的交付期限内由乙方送达甲方指定的地点视为交付，乙方同时需通知甲方货物已送达。</w:t>
      </w:r>
    </w:p>
    <w:p w14:paraId="5068EAE2">
      <w:pPr>
        <w:spacing w:line="560" w:lineRule="exact"/>
        <w:rPr>
          <w:rFonts w:cs="Courier New"/>
          <w:b/>
          <w:kern w:val="2"/>
          <w:sz w:val="24"/>
          <w:szCs w:val="24"/>
        </w:rPr>
      </w:pPr>
      <w:r>
        <w:rPr>
          <w:rFonts w:cs="Courier New"/>
          <w:b/>
          <w:kern w:val="2"/>
          <w:sz w:val="24"/>
          <w:szCs w:val="24"/>
        </w:rPr>
        <w:t>十</w:t>
      </w:r>
      <w:r>
        <w:rPr>
          <w:rFonts w:hint="eastAsia" w:cs="Courier New"/>
          <w:b/>
          <w:kern w:val="2"/>
          <w:sz w:val="24"/>
          <w:szCs w:val="24"/>
        </w:rPr>
        <w:t>三</w:t>
      </w:r>
      <w:r>
        <w:rPr>
          <w:rFonts w:cs="Courier New"/>
          <w:b/>
          <w:kern w:val="2"/>
          <w:sz w:val="24"/>
          <w:szCs w:val="24"/>
        </w:rPr>
        <w:t>、违约责任</w:t>
      </w:r>
    </w:p>
    <w:p w14:paraId="09A42C9C">
      <w:pPr>
        <w:spacing w:line="560" w:lineRule="exact"/>
        <w:rPr>
          <w:kern w:val="2"/>
          <w:sz w:val="24"/>
          <w:szCs w:val="24"/>
        </w:rPr>
      </w:pPr>
      <w:r>
        <w:rPr>
          <w:kern w:val="2"/>
          <w:sz w:val="24"/>
          <w:szCs w:val="24"/>
        </w:rPr>
        <w:t>1</w:t>
      </w:r>
      <w:r>
        <w:rPr>
          <w:rFonts w:hint="eastAsia"/>
          <w:kern w:val="2"/>
          <w:sz w:val="24"/>
          <w:szCs w:val="24"/>
        </w:rPr>
        <w:t>3</w:t>
      </w:r>
      <w:r>
        <w:rPr>
          <w:kern w:val="2"/>
          <w:sz w:val="24"/>
          <w:szCs w:val="24"/>
        </w:rPr>
        <w:t>.1 甲方无正当理由拒收货物的，甲方向乙方偿付拒收货款总值</w:t>
      </w:r>
      <w:r>
        <w:rPr>
          <w:rFonts w:hint="eastAsia"/>
          <w:kern w:val="2"/>
          <w:sz w:val="24"/>
          <w:szCs w:val="24"/>
          <w:u w:val="single"/>
        </w:rPr>
        <w:t xml:space="preserve">    </w:t>
      </w:r>
      <w:r>
        <w:rPr>
          <w:kern w:val="2"/>
          <w:sz w:val="24"/>
          <w:szCs w:val="24"/>
        </w:rPr>
        <w:t>的违约金。</w:t>
      </w:r>
    </w:p>
    <w:p w14:paraId="582BE54E">
      <w:pPr>
        <w:spacing w:line="560" w:lineRule="exact"/>
        <w:rPr>
          <w:kern w:val="2"/>
          <w:sz w:val="24"/>
          <w:szCs w:val="24"/>
        </w:rPr>
      </w:pPr>
      <w:r>
        <w:rPr>
          <w:kern w:val="2"/>
          <w:sz w:val="24"/>
          <w:szCs w:val="24"/>
        </w:rPr>
        <w:t>1</w:t>
      </w:r>
      <w:r>
        <w:rPr>
          <w:rFonts w:hint="eastAsia"/>
          <w:kern w:val="2"/>
          <w:sz w:val="24"/>
          <w:szCs w:val="24"/>
        </w:rPr>
        <w:t>3</w:t>
      </w:r>
      <w:r>
        <w:rPr>
          <w:kern w:val="2"/>
          <w:sz w:val="24"/>
          <w:szCs w:val="24"/>
        </w:rPr>
        <w:t>.2 甲方无故逾期验收和办理货款支付手续的,甲方应按逾期付款总额每日</w:t>
      </w:r>
      <w:r>
        <w:rPr>
          <w:rFonts w:hint="eastAsia"/>
          <w:kern w:val="2"/>
          <w:sz w:val="24"/>
          <w:szCs w:val="24"/>
        </w:rPr>
        <w:t xml:space="preserve">    </w:t>
      </w:r>
      <w:r>
        <w:rPr>
          <w:kern w:val="2"/>
          <w:sz w:val="24"/>
          <w:szCs w:val="24"/>
        </w:rPr>
        <w:t>向乙方支付违约金。</w:t>
      </w:r>
    </w:p>
    <w:p w14:paraId="6C49D7AC">
      <w:pPr>
        <w:spacing w:line="560" w:lineRule="exact"/>
        <w:rPr>
          <w:kern w:val="2"/>
          <w:sz w:val="24"/>
          <w:szCs w:val="24"/>
        </w:rPr>
      </w:pPr>
      <w:r>
        <w:rPr>
          <w:kern w:val="2"/>
          <w:sz w:val="24"/>
          <w:szCs w:val="24"/>
        </w:rPr>
        <w:t>1</w:t>
      </w:r>
      <w:r>
        <w:rPr>
          <w:rFonts w:hint="eastAsia"/>
          <w:kern w:val="2"/>
          <w:sz w:val="24"/>
          <w:szCs w:val="24"/>
        </w:rPr>
        <w:t>3</w:t>
      </w:r>
      <w:r>
        <w:rPr>
          <w:kern w:val="2"/>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kern w:val="2"/>
          <w:sz w:val="24"/>
          <w:szCs w:val="24"/>
          <w:u w:val="single"/>
        </w:rPr>
        <w:t xml:space="preserve">    </w:t>
      </w:r>
      <w:r>
        <w:rPr>
          <w:kern w:val="2"/>
          <w:sz w:val="24"/>
          <w:szCs w:val="24"/>
        </w:rPr>
        <w:t xml:space="preserve">的违约金，如造成甲方损失超过违约金的，超出部分由乙方继续承担赔偿责任。 </w:t>
      </w:r>
    </w:p>
    <w:p w14:paraId="503677DC">
      <w:pPr>
        <w:spacing w:line="560" w:lineRule="exact"/>
        <w:rPr>
          <w:kern w:val="2"/>
          <w:sz w:val="24"/>
          <w:szCs w:val="24"/>
        </w:rPr>
      </w:pPr>
      <w:r>
        <w:rPr>
          <w:kern w:val="2"/>
          <w:sz w:val="24"/>
          <w:szCs w:val="24"/>
        </w:rPr>
        <w:t>1</w:t>
      </w:r>
      <w:r>
        <w:rPr>
          <w:rFonts w:hint="eastAsia"/>
          <w:kern w:val="2"/>
          <w:sz w:val="24"/>
          <w:szCs w:val="24"/>
        </w:rPr>
        <w:t>3</w:t>
      </w:r>
      <w:r>
        <w:rPr>
          <w:kern w:val="2"/>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6596B9F">
      <w:pPr>
        <w:spacing w:line="560" w:lineRule="exact"/>
        <w:rPr>
          <w:rFonts w:cs="Courier New"/>
          <w:b/>
          <w:kern w:val="2"/>
          <w:sz w:val="24"/>
          <w:szCs w:val="24"/>
        </w:rPr>
      </w:pPr>
      <w:r>
        <w:rPr>
          <w:rFonts w:cs="Courier New"/>
          <w:b/>
          <w:kern w:val="2"/>
          <w:sz w:val="24"/>
          <w:szCs w:val="24"/>
        </w:rPr>
        <w:t>十</w:t>
      </w:r>
      <w:r>
        <w:rPr>
          <w:rFonts w:hint="eastAsia" w:cs="Courier New"/>
          <w:b/>
          <w:kern w:val="2"/>
          <w:sz w:val="24"/>
          <w:szCs w:val="24"/>
        </w:rPr>
        <w:t>四</w:t>
      </w:r>
      <w:r>
        <w:rPr>
          <w:rFonts w:cs="Courier New"/>
          <w:b/>
          <w:kern w:val="2"/>
          <w:sz w:val="24"/>
          <w:szCs w:val="24"/>
        </w:rPr>
        <w:t>、</w:t>
      </w:r>
      <w:r>
        <w:rPr>
          <w:rFonts w:hint="eastAsia" w:cs="Courier New"/>
          <w:b/>
          <w:kern w:val="2"/>
          <w:sz w:val="24"/>
          <w:szCs w:val="24"/>
        </w:rPr>
        <w:t>供应商合法权益补偿机制</w:t>
      </w:r>
    </w:p>
    <w:p w14:paraId="4B7D1063">
      <w:pPr>
        <w:pStyle w:val="28"/>
        <w:spacing w:line="560" w:lineRule="exact"/>
        <w:ind w:firstLine="480" w:firstLineChars="200"/>
        <w:rPr>
          <w:rFonts w:ascii="Times New Roman" w:hAnsi="Times New Roman"/>
          <w:sz w:val="24"/>
          <w:szCs w:val="24"/>
        </w:rPr>
      </w:pPr>
      <w:bookmarkStart w:id="189" w:name="_Toc23650"/>
      <w:r>
        <w:rPr>
          <w:rFonts w:hint="eastAsia" w:ascii="Times New Roman" w:hAnsi="Times New Roman" w:cs="Courier New"/>
          <w:sz w:val="24"/>
          <w:szCs w:val="24"/>
        </w:rPr>
        <w:t>供应商合法权益补偿救济机制。在履约过程因政策变化、规划调整而无法履行合同约定，造成企业合法权益受损的，采购人依据实际情况对供应商进行补偿救济。</w:t>
      </w:r>
      <w:bookmarkEnd w:id="189"/>
    </w:p>
    <w:p w14:paraId="63E2B101">
      <w:pPr>
        <w:spacing w:line="560" w:lineRule="exact"/>
        <w:rPr>
          <w:rFonts w:cs="Courier New"/>
          <w:b/>
          <w:kern w:val="2"/>
          <w:sz w:val="24"/>
          <w:szCs w:val="24"/>
        </w:rPr>
      </w:pPr>
      <w:r>
        <w:rPr>
          <w:rFonts w:cs="Courier New"/>
          <w:b/>
          <w:kern w:val="2"/>
          <w:sz w:val="24"/>
          <w:szCs w:val="24"/>
        </w:rPr>
        <w:t>十</w:t>
      </w:r>
      <w:r>
        <w:rPr>
          <w:rFonts w:hint="eastAsia" w:cs="Courier New"/>
          <w:b/>
          <w:kern w:val="2"/>
          <w:sz w:val="24"/>
          <w:szCs w:val="24"/>
        </w:rPr>
        <w:t>五</w:t>
      </w:r>
      <w:r>
        <w:rPr>
          <w:rFonts w:cs="Courier New"/>
          <w:b/>
          <w:kern w:val="2"/>
          <w:sz w:val="24"/>
          <w:szCs w:val="24"/>
        </w:rPr>
        <w:t>、不可抗力事件处理</w:t>
      </w:r>
    </w:p>
    <w:p w14:paraId="4BD0FEB9">
      <w:pPr>
        <w:spacing w:line="560" w:lineRule="exact"/>
        <w:rPr>
          <w:kern w:val="2"/>
          <w:sz w:val="24"/>
          <w:szCs w:val="24"/>
        </w:rPr>
      </w:pPr>
      <w:r>
        <w:rPr>
          <w:kern w:val="2"/>
          <w:sz w:val="24"/>
          <w:szCs w:val="24"/>
        </w:rPr>
        <w:t>1</w:t>
      </w:r>
      <w:r>
        <w:rPr>
          <w:rFonts w:hint="eastAsia"/>
          <w:kern w:val="2"/>
          <w:sz w:val="24"/>
          <w:szCs w:val="24"/>
        </w:rPr>
        <w:t>5</w:t>
      </w:r>
      <w:r>
        <w:rPr>
          <w:kern w:val="2"/>
          <w:sz w:val="24"/>
          <w:szCs w:val="24"/>
        </w:rPr>
        <w:t>.1 在合同有效期内，任何一方因不可抗力事件导致不能履行合同，则合同履行期可延长，其延长期与不可抗力影响期相同。</w:t>
      </w:r>
    </w:p>
    <w:p w14:paraId="14E15AAC">
      <w:pPr>
        <w:spacing w:line="560" w:lineRule="exact"/>
        <w:rPr>
          <w:rFonts w:cs="Courier New"/>
          <w:kern w:val="2"/>
          <w:sz w:val="24"/>
          <w:szCs w:val="24"/>
        </w:rPr>
      </w:pPr>
      <w:r>
        <w:rPr>
          <w:rFonts w:cs="Courier New"/>
          <w:kern w:val="2"/>
          <w:sz w:val="24"/>
          <w:szCs w:val="24"/>
        </w:rPr>
        <w:t>1</w:t>
      </w:r>
      <w:r>
        <w:rPr>
          <w:rFonts w:hint="eastAsia" w:cs="Courier New"/>
          <w:kern w:val="2"/>
          <w:sz w:val="24"/>
          <w:szCs w:val="24"/>
        </w:rPr>
        <w:t>5</w:t>
      </w:r>
      <w:r>
        <w:rPr>
          <w:rFonts w:cs="Courier New"/>
          <w:kern w:val="2"/>
          <w:sz w:val="24"/>
          <w:szCs w:val="24"/>
        </w:rPr>
        <w:t>.2 不可抗力事件发生后，应立即通知对方，并寄送有关权威机构出具的证明。</w:t>
      </w:r>
    </w:p>
    <w:p w14:paraId="1ED9449E">
      <w:pPr>
        <w:spacing w:line="560" w:lineRule="exact"/>
        <w:rPr>
          <w:rFonts w:cs="Courier New"/>
          <w:kern w:val="2"/>
          <w:sz w:val="24"/>
          <w:szCs w:val="24"/>
        </w:rPr>
      </w:pPr>
      <w:r>
        <w:rPr>
          <w:rFonts w:cs="Courier New"/>
          <w:kern w:val="2"/>
          <w:sz w:val="24"/>
          <w:szCs w:val="24"/>
        </w:rPr>
        <w:t>1</w:t>
      </w:r>
      <w:r>
        <w:rPr>
          <w:rFonts w:hint="eastAsia" w:cs="Courier New"/>
          <w:kern w:val="2"/>
          <w:sz w:val="24"/>
          <w:szCs w:val="24"/>
        </w:rPr>
        <w:t>5</w:t>
      </w:r>
      <w:r>
        <w:rPr>
          <w:rFonts w:cs="Courier New"/>
          <w:kern w:val="2"/>
          <w:sz w:val="24"/>
          <w:szCs w:val="24"/>
        </w:rPr>
        <w:t>.3 不可抗力事件延续120天以上，双方应通过友好协商，确定是否继续履行合同。</w:t>
      </w:r>
    </w:p>
    <w:p w14:paraId="101F9AE1">
      <w:pPr>
        <w:spacing w:line="560" w:lineRule="exact"/>
        <w:rPr>
          <w:rFonts w:cs="Courier New"/>
          <w:b/>
          <w:kern w:val="2"/>
          <w:sz w:val="24"/>
          <w:szCs w:val="24"/>
        </w:rPr>
      </w:pPr>
      <w:r>
        <w:rPr>
          <w:rFonts w:cs="Courier New"/>
          <w:b/>
          <w:kern w:val="2"/>
          <w:sz w:val="24"/>
          <w:szCs w:val="24"/>
        </w:rPr>
        <w:t>十</w:t>
      </w:r>
      <w:r>
        <w:rPr>
          <w:rFonts w:hint="eastAsia" w:cs="Courier New"/>
          <w:b/>
          <w:kern w:val="2"/>
          <w:sz w:val="24"/>
          <w:szCs w:val="24"/>
        </w:rPr>
        <w:t>六</w:t>
      </w:r>
      <w:r>
        <w:rPr>
          <w:rFonts w:cs="Courier New"/>
          <w:b/>
          <w:kern w:val="2"/>
          <w:sz w:val="24"/>
          <w:szCs w:val="24"/>
        </w:rPr>
        <w:t>、</w:t>
      </w:r>
      <w:r>
        <w:rPr>
          <w:rFonts w:hint="eastAsia" w:cs="Courier New"/>
          <w:b/>
          <w:kern w:val="2"/>
          <w:sz w:val="24"/>
          <w:szCs w:val="24"/>
        </w:rPr>
        <w:t>解决争议的方法</w:t>
      </w:r>
    </w:p>
    <w:p w14:paraId="6D447E0C">
      <w:pPr>
        <w:spacing w:line="560" w:lineRule="exact"/>
        <w:rPr>
          <w:kern w:val="2"/>
          <w:sz w:val="24"/>
          <w:szCs w:val="24"/>
        </w:rPr>
      </w:pPr>
      <w:r>
        <w:rPr>
          <w:kern w:val="2"/>
          <w:sz w:val="24"/>
          <w:szCs w:val="24"/>
        </w:rPr>
        <w:t>1</w:t>
      </w:r>
      <w:r>
        <w:rPr>
          <w:rFonts w:hint="eastAsia"/>
          <w:kern w:val="2"/>
          <w:sz w:val="24"/>
          <w:szCs w:val="24"/>
        </w:rPr>
        <w:t>6</w:t>
      </w:r>
      <w:r>
        <w:rPr>
          <w:kern w:val="2"/>
          <w:sz w:val="24"/>
          <w:szCs w:val="24"/>
        </w:rPr>
        <w:t>.1</w:t>
      </w:r>
      <w:r>
        <w:rPr>
          <w:rFonts w:hint="eastAsia"/>
          <w:kern w:val="2"/>
          <w:sz w:val="24"/>
          <w:szCs w:val="24"/>
        </w:rPr>
        <w:t>甲乙</w:t>
      </w:r>
      <w:r>
        <w:rPr>
          <w:kern w:val="2"/>
          <w:sz w:val="24"/>
          <w:szCs w:val="24"/>
        </w:rPr>
        <w:t>双方</w:t>
      </w:r>
      <w:r>
        <w:rPr>
          <w:rFonts w:hint="eastAsia"/>
          <w:kern w:val="2"/>
          <w:sz w:val="24"/>
          <w:szCs w:val="24"/>
        </w:rPr>
        <w:t>因</w:t>
      </w:r>
      <w:r>
        <w:rPr>
          <w:kern w:val="2"/>
          <w:sz w:val="24"/>
          <w:szCs w:val="24"/>
        </w:rPr>
        <w:t>合同</w:t>
      </w:r>
      <w:r>
        <w:rPr>
          <w:rFonts w:hint="eastAsia"/>
          <w:kern w:val="2"/>
          <w:sz w:val="24"/>
          <w:szCs w:val="24"/>
        </w:rPr>
        <w:t>签订、履行而</w:t>
      </w:r>
      <w:r>
        <w:rPr>
          <w:kern w:val="2"/>
          <w:sz w:val="24"/>
          <w:szCs w:val="24"/>
        </w:rPr>
        <w:t>发生的一切争议，应通过</w:t>
      </w:r>
      <w:r>
        <w:rPr>
          <w:rFonts w:hint="eastAsia"/>
          <w:kern w:val="2"/>
          <w:sz w:val="24"/>
          <w:szCs w:val="24"/>
        </w:rPr>
        <w:t>友好</w:t>
      </w:r>
      <w:r>
        <w:rPr>
          <w:kern w:val="2"/>
          <w:sz w:val="24"/>
          <w:szCs w:val="24"/>
        </w:rPr>
        <w:t>协商解决。如协商不成</w:t>
      </w:r>
      <w:r>
        <w:rPr>
          <w:rFonts w:hint="eastAsia"/>
          <w:kern w:val="2"/>
          <w:sz w:val="24"/>
          <w:szCs w:val="24"/>
        </w:rPr>
        <w:t>由甲方住所地人民</w:t>
      </w:r>
      <w:r>
        <w:rPr>
          <w:kern w:val="2"/>
          <w:sz w:val="24"/>
          <w:szCs w:val="24"/>
        </w:rPr>
        <w:t>法院</w:t>
      </w:r>
      <w:r>
        <w:rPr>
          <w:rFonts w:hint="eastAsia"/>
          <w:kern w:val="2"/>
          <w:sz w:val="24"/>
          <w:szCs w:val="24"/>
        </w:rPr>
        <w:t>管辖。</w:t>
      </w:r>
    </w:p>
    <w:p w14:paraId="6C3D760D">
      <w:pPr>
        <w:spacing w:line="560" w:lineRule="exact"/>
        <w:rPr>
          <w:rFonts w:cs="Courier New"/>
          <w:b/>
          <w:kern w:val="2"/>
          <w:sz w:val="24"/>
          <w:szCs w:val="24"/>
        </w:rPr>
      </w:pPr>
      <w:r>
        <w:rPr>
          <w:rFonts w:cs="Courier New"/>
          <w:b/>
          <w:kern w:val="2"/>
          <w:sz w:val="24"/>
          <w:szCs w:val="24"/>
        </w:rPr>
        <w:t>十</w:t>
      </w:r>
      <w:r>
        <w:rPr>
          <w:rFonts w:hint="eastAsia" w:cs="Courier New"/>
          <w:b/>
          <w:kern w:val="2"/>
          <w:sz w:val="24"/>
          <w:szCs w:val="24"/>
        </w:rPr>
        <w:t>七</w:t>
      </w:r>
      <w:r>
        <w:rPr>
          <w:rFonts w:cs="Courier New"/>
          <w:b/>
          <w:kern w:val="2"/>
          <w:sz w:val="24"/>
          <w:szCs w:val="24"/>
        </w:rPr>
        <w:t>、合同生效及其它</w:t>
      </w:r>
    </w:p>
    <w:p w14:paraId="3DE2DB6C">
      <w:pPr>
        <w:spacing w:line="560" w:lineRule="exact"/>
        <w:rPr>
          <w:kern w:val="2"/>
          <w:sz w:val="24"/>
          <w:szCs w:val="24"/>
        </w:rPr>
      </w:pPr>
      <w:r>
        <w:rPr>
          <w:kern w:val="2"/>
          <w:sz w:val="24"/>
          <w:szCs w:val="24"/>
        </w:rPr>
        <w:t>1</w:t>
      </w:r>
      <w:r>
        <w:rPr>
          <w:rFonts w:hint="eastAsia"/>
          <w:kern w:val="2"/>
          <w:sz w:val="24"/>
          <w:szCs w:val="24"/>
        </w:rPr>
        <w:t>7</w:t>
      </w:r>
      <w:r>
        <w:rPr>
          <w:kern w:val="2"/>
          <w:sz w:val="24"/>
          <w:szCs w:val="24"/>
        </w:rPr>
        <w:t>.1 合同经双方法定代表人或授权委托代</w:t>
      </w:r>
      <w:r>
        <w:rPr>
          <w:rFonts w:hint="eastAsia"/>
          <w:kern w:val="2"/>
          <w:sz w:val="24"/>
          <w:szCs w:val="24"/>
        </w:rPr>
        <w:t>表</w:t>
      </w:r>
      <w:r>
        <w:rPr>
          <w:kern w:val="2"/>
          <w:sz w:val="24"/>
          <w:szCs w:val="24"/>
        </w:rPr>
        <w:t>人签字并加盖单位公章后生效。</w:t>
      </w:r>
    </w:p>
    <w:p w14:paraId="7BDFFB45">
      <w:pPr>
        <w:spacing w:line="560" w:lineRule="exact"/>
        <w:rPr>
          <w:kern w:val="2"/>
          <w:sz w:val="24"/>
          <w:szCs w:val="24"/>
        </w:rPr>
      </w:pPr>
      <w:r>
        <w:rPr>
          <w:rFonts w:hint="eastAsia"/>
          <w:kern w:val="2"/>
          <w:sz w:val="24"/>
          <w:szCs w:val="24"/>
        </w:rPr>
        <w:t>17</w:t>
      </w:r>
      <w:r>
        <w:rPr>
          <w:kern w:val="2"/>
          <w:sz w:val="24"/>
          <w:szCs w:val="24"/>
        </w:rPr>
        <w:t>.2 本合同未尽事宜，遵照</w:t>
      </w:r>
      <w:r>
        <w:rPr>
          <w:rFonts w:hint="eastAsia"/>
          <w:kern w:val="2"/>
          <w:sz w:val="24"/>
          <w:szCs w:val="24"/>
        </w:rPr>
        <w:t>中华人民共和国现行法律法规</w:t>
      </w:r>
      <w:r>
        <w:rPr>
          <w:kern w:val="2"/>
          <w:sz w:val="24"/>
          <w:szCs w:val="24"/>
        </w:rPr>
        <w:t>有关条文执行。</w:t>
      </w:r>
    </w:p>
    <w:p w14:paraId="1739BF06">
      <w:pPr>
        <w:spacing w:line="560" w:lineRule="exact"/>
        <w:rPr>
          <w:kern w:val="2"/>
          <w:sz w:val="24"/>
          <w:szCs w:val="24"/>
        </w:rPr>
      </w:pPr>
      <w:r>
        <w:rPr>
          <w:kern w:val="2"/>
          <w:sz w:val="24"/>
          <w:szCs w:val="24"/>
        </w:rPr>
        <w:t>1</w:t>
      </w:r>
      <w:r>
        <w:rPr>
          <w:rFonts w:hint="eastAsia"/>
          <w:kern w:val="2"/>
          <w:sz w:val="24"/>
          <w:szCs w:val="24"/>
        </w:rPr>
        <w:t>7</w:t>
      </w:r>
      <w:r>
        <w:rPr>
          <w:kern w:val="2"/>
          <w:sz w:val="24"/>
          <w:szCs w:val="24"/>
        </w:rPr>
        <w:t>.</w:t>
      </w:r>
      <w:r>
        <w:rPr>
          <w:rFonts w:hint="eastAsia"/>
          <w:kern w:val="2"/>
          <w:sz w:val="24"/>
          <w:szCs w:val="24"/>
        </w:rPr>
        <w:t>3</w:t>
      </w:r>
      <w:r>
        <w:rPr>
          <w:kern w:val="2"/>
          <w:sz w:val="24"/>
          <w:szCs w:val="24"/>
        </w:rPr>
        <w:t xml:space="preserve"> 本合同正本一式</w:t>
      </w:r>
      <w:r>
        <w:rPr>
          <w:rFonts w:hint="eastAsia"/>
          <w:kern w:val="2"/>
          <w:sz w:val="24"/>
          <w:szCs w:val="24"/>
        </w:rPr>
        <w:t>六</w:t>
      </w:r>
      <w:r>
        <w:rPr>
          <w:kern w:val="2"/>
          <w:sz w:val="24"/>
          <w:szCs w:val="24"/>
        </w:rPr>
        <w:t>份，具有同等法律效力，甲</w:t>
      </w:r>
      <w:r>
        <w:rPr>
          <w:rFonts w:hint="eastAsia"/>
          <w:kern w:val="2"/>
          <w:sz w:val="24"/>
          <w:szCs w:val="24"/>
        </w:rPr>
        <w:t>方、</w:t>
      </w:r>
      <w:r>
        <w:rPr>
          <w:kern w:val="2"/>
          <w:sz w:val="24"/>
          <w:szCs w:val="24"/>
        </w:rPr>
        <w:t>乙方各执</w:t>
      </w:r>
      <w:r>
        <w:rPr>
          <w:rFonts w:hint="eastAsia"/>
          <w:kern w:val="2"/>
          <w:sz w:val="24"/>
          <w:szCs w:val="24"/>
        </w:rPr>
        <w:t>三</w:t>
      </w:r>
      <w:r>
        <w:rPr>
          <w:kern w:val="2"/>
          <w:sz w:val="24"/>
          <w:szCs w:val="24"/>
        </w:rPr>
        <w:t>份。</w:t>
      </w:r>
    </w:p>
    <w:p w14:paraId="30191DF1">
      <w:pPr>
        <w:spacing w:line="560" w:lineRule="exact"/>
        <w:ind w:hanging="480"/>
        <w:rPr>
          <w:rFonts w:cs="Courier New"/>
          <w:kern w:val="2"/>
          <w:sz w:val="24"/>
          <w:szCs w:val="24"/>
        </w:rPr>
      </w:pPr>
      <w:r>
        <w:rPr>
          <w:rFonts w:cs="Courier New"/>
          <w:kern w:val="2"/>
          <w:sz w:val="24"/>
          <w:szCs w:val="24"/>
        </w:rPr>
        <w:t xml:space="preserve">  </w:t>
      </w:r>
      <w:r>
        <w:rPr>
          <w:rFonts w:hint="eastAsia" w:cs="Courier New"/>
          <w:kern w:val="2"/>
          <w:sz w:val="24"/>
          <w:szCs w:val="24"/>
        </w:rPr>
        <w:t xml:space="preserve">   </w:t>
      </w:r>
      <w:r>
        <w:rPr>
          <w:rFonts w:cs="Courier New"/>
          <w:kern w:val="2"/>
          <w:sz w:val="24"/>
          <w:szCs w:val="24"/>
        </w:rPr>
        <w:t xml:space="preserve">甲方：                        乙方： </w:t>
      </w:r>
    </w:p>
    <w:p w14:paraId="4A8F4C0F">
      <w:pPr>
        <w:spacing w:line="560" w:lineRule="exact"/>
        <w:rPr>
          <w:rFonts w:cs="Courier New"/>
          <w:kern w:val="2"/>
          <w:sz w:val="24"/>
          <w:szCs w:val="24"/>
        </w:rPr>
      </w:pPr>
      <w:r>
        <w:rPr>
          <w:rFonts w:cs="Courier New"/>
          <w:kern w:val="2"/>
          <w:sz w:val="24"/>
          <w:szCs w:val="24"/>
        </w:rPr>
        <w:t xml:space="preserve"> 地址：                       </w:t>
      </w:r>
      <w:r>
        <w:rPr>
          <w:rFonts w:hint="eastAsia" w:cs="Courier New"/>
          <w:kern w:val="2"/>
          <w:sz w:val="24"/>
          <w:szCs w:val="24"/>
        </w:rPr>
        <w:t xml:space="preserve"> </w:t>
      </w:r>
      <w:r>
        <w:rPr>
          <w:rFonts w:cs="Courier New"/>
          <w:kern w:val="2"/>
          <w:sz w:val="24"/>
          <w:szCs w:val="24"/>
        </w:rPr>
        <w:t xml:space="preserve">地址： </w:t>
      </w:r>
    </w:p>
    <w:p w14:paraId="4B38CE1E">
      <w:pPr>
        <w:spacing w:line="560" w:lineRule="exact"/>
        <w:rPr>
          <w:rFonts w:cs="Courier New"/>
          <w:kern w:val="2"/>
          <w:sz w:val="24"/>
          <w:szCs w:val="24"/>
        </w:rPr>
      </w:pPr>
      <w:r>
        <w:rPr>
          <w:rFonts w:cs="Courier New"/>
          <w:kern w:val="2"/>
          <w:sz w:val="24"/>
          <w:szCs w:val="24"/>
        </w:rPr>
        <w:t xml:space="preserve"> 法定代表人</w:t>
      </w:r>
      <w:r>
        <w:rPr>
          <w:rFonts w:hint="eastAsia" w:cs="Courier New"/>
          <w:kern w:val="2"/>
          <w:sz w:val="24"/>
          <w:szCs w:val="24"/>
        </w:rPr>
        <w:t>或授权代表</w:t>
      </w:r>
      <w:r>
        <w:rPr>
          <w:rFonts w:cs="Courier New"/>
          <w:kern w:val="2"/>
          <w:sz w:val="24"/>
          <w:szCs w:val="24"/>
        </w:rPr>
        <w:t>：        法定代表人</w:t>
      </w:r>
      <w:r>
        <w:rPr>
          <w:rFonts w:hint="eastAsia" w:cs="Courier New"/>
          <w:kern w:val="2"/>
          <w:sz w:val="24"/>
          <w:szCs w:val="24"/>
        </w:rPr>
        <w:t>或授权代表</w:t>
      </w:r>
      <w:r>
        <w:rPr>
          <w:rFonts w:cs="Courier New"/>
          <w:kern w:val="2"/>
          <w:sz w:val="24"/>
          <w:szCs w:val="24"/>
        </w:rPr>
        <w:t>：</w:t>
      </w:r>
    </w:p>
    <w:p w14:paraId="40BD39C8">
      <w:pPr>
        <w:spacing w:line="560" w:lineRule="exact"/>
        <w:ind w:firstLine="240" w:firstLineChars="100"/>
        <w:rPr>
          <w:rFonts w:cs="Courier New"/>
          <w:kern w:val="2"/>
        </w:rPr>
      </w:pPr>
      <w:r>
        <w:rPr>
          <w:rFonts w:hint="eastAsia" w:cs="Courier New"/>
          <w:kern w:val="2"/>
          <w:sz w:val="24"/>
          <w:szCs w:val="24"/>
        </w:rPr>
        <w:t xml:space="preserve">联系电话：                   联系电话：        </w:t>
      </w:r>
    </w:p>
    <w:p w14:paraId="1D87E6C4">
      <w:pPr>
        <w:spacing w:before="120" w:after="120" w:line="0" w:lineRule="atLeast"/>
        <w:jc w:val="center"/>
        <w:rPr>
          <w:rFonts w:cs="Courier New"/>
          <w:kern w:val="2"/>
          <w:sz w:val="24"/>
          <w:szCs w:val="24"/>
        </w:rPr>
      </w:pPr>
      <w:r>
        <w:rPr>
          <w:rFonts w:hint="eastAsia" w:cs="Courier New"/>
          <w:kern w:val="2"/>
        </w:rPr>
        <w:t xml:space="preserve">            </w:t>
      </w:r>
      <w:r>
        <w:rPr>
          <w:rFonts w:hint="eastAsia" w:cs="Courier New"/>
          <w:kern w:val="2"/>
          <w:sz w:val="24"/>
          <w:szCs w:val="24"/>
        </w:rPr>
        <w:t xml:space="preserve">   </w:t>
      </w:r>
    </w:p>
    <w:p w14:paraId="2A67C4D6">
      <w:pPr>
        <w:spacing w:before="120" w:after="120" w:line="0" w:lineRule="atLeast"/>
        <w:ind w:firstLine="240"/>
        <w:rPr>
          <w:rFonts w:cs="Courier New"/>
          <w:kern w:val="2"/>
          <w:sz w:val="24"/>
          <w:szCs w:val="24"/>
        </w:rPr>
      </w:pPr>
    </w:p>
    <w:p w14:paraId="36FA79B6">
      <w:pPr>
        <w:spacing w:before="120" w:after="120" w:line="0" w:lineRule="atLeast"/>
        <w:ind w:firstLine="240"/>
        <w:rPr>
          <w:rFonts w:cs="Courier New"/>
          <w:kern w:val="2"/>
          <w:sz w:val="24"/>
          <w:szCs w:val="24"/>
        </w:rPr>
      </w:pPr>
      <w:r>
        <w:rPr>
          <w:rFonts w:hint="eastAsia" w:cs="Courier New"/>
          <w:kern w:val="2"/>
          <w:sz w:val="24"/>
          <w:szCs w:val="24"/>
        </w:rPr>
        <w:t xml:space="preserve">                    签订日期：      年    月   日 </w:t>
      </w:r>
    </w:p>
    <w:p w14:paraId="1A3CCFF4">
      <w:pPr>
        <w:pStyle w:val="19"/>
      </w:pPr>
    </w:p>
    <w:p w14:paraId="5A67299A">
      <w:pPr>
        <w:pStyle w:val="19"/>
      </w:pPr>
    </w:p>
    <w:p w14:paraId="53867799">
      <w:pPr>
        <w:pStyle w:val="19"/>
      </w:pPr>
    </w:p>
    <w:p w14:paraId="1DD5F2ED">
      <w:pPr>
        <w:pStyle w:val="19"/>
      </w:pPr>
    </w:p>
    <w:p w14:paraId="27BB8267">
      <w:pPr>
        <w:pStyle w:val="19"/>
      </w:pPr>
    </w:p>
    <w:p w14:paraId="0DC5285B">
      <w:pPr>
        <w:pStyle w:val="19"/>
      </w:pPr>
    </w:p>
    <w:p w14:paraId="5FF941C2">
      <w:pPr>
        <w:pStyle w:val="19"/>
      </w:pPr>
    </w:p>
    <w:p w14:paraId="0E0AB2CA">
      <w:pPr>
        <w:pStyle w:val="19"/>
      </w:pPr>
    </w:p>
    <w:p w14:paraId="25971D8E">
      <w:pPr>
        <w:pStyle w:val="19"/>
      </w:pPr>
    </w:p>
    <w:p w14:paraId="2AE94178">
      <w:pPr>
        <w:pStyle w:val="19"/>
      </w:pPr>
    </w:p>
    <w:p w14:paraId="262908EC">
      <w:pPr>
        <w:pStyle w:val="19"/>
      </w:pPr>
    </w:p>
    <w:p w14:paraId="3BCBA6FA">
      <w:pPr>
        <w:pStyle w:val="19"/>
      </w:pPr>
    </w:p>
    <w:p w14:paraId="06DE838A">
      <w:pPr>
        <w:pStyle w:val="19"/>
      </w:pPr>
    </w:p>
    <w:p w14:paraId="176EAC95">
      <w:pPr>
        <w:pStyle w:val="6"/>
        <w:snapToGrid w:val="0"/>
        <w:spacing w:before="120" w:after="120" w:line="0" w:lineRule="atLeast"/>
        <w:jc w:val="center"/>
        <w:rPr>
          <w:rFonts w:ascii="Times New Roman" w:hAnsi="Times New Roman"/>
          <w:sz w:val="24"/>
          <w:szCs w:val="24"/>
        </w:rPr>
      </w:pPr>
      <w:r>
        <w:rPr>
          <w:rFonts w:hint="eastAsia" w:ascii="Times New Roman" w:hAnsi="Times New Roman" w:eastAsia="黑体"/>
          <w:bCs/>
          <w:sz w:val="44"/>
        </w:rPr>
        <w:t>第四章 采购需求</w:t>
      </w:r>
    </w:p>
    <w:p w14:paraId="44754706">
      <w:pPr>
        <w:snapToGrid w:val="0"/>
        <w:spacing w:before="120" w:after="120" w:line="360" w:lineRule="auto"/>
        <w:ind w:firstLine="480"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项目属性：货物类项目</w:t>
      </w:r>
    </w:p>
    <w:p w14:paraId="527D8FDA">
      <w:pPr>
        <w:snapToGrid w:val="0"/>
        <w:spacing w:before="120" w:after="120" w:line="360" w:lineRule="auto"/>
        <w:ind w:firstLine="480"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本项目采购标的对应的中小企业划分标准所属行业：</w:t>
      </w:r>
      <w:r>
        <w:rPr>
          <w:rFonts w:hint="eastAsia" w:asciiTheme="minorEastAsia" w:hAnsiTheme="minorEastAsia" w:eastAsiaTheme="minorEastAsia" w:cstheme="minorEastAsia"/>
          <w:kern w:val="2"/>
          <w:sz w:val="24"/>
          <w:szCs w:val="24"/>
          <w:u w:val="single"/>
        </w:rPr>
        <w:t xml:space="preserve"> 工业（制造业） </w:t>
      </w:r>
    </w:p>
    <w:p w14:paraId="0995ED54">
      <w:pPr>
        <w:snapToGrid w:val="0"/>
        <w:spacing w:before="120" w:after="120" w:line="360" w:lineRule="auto"/>
        <w:ind w:firstLine="480" w:firstLineChars="200"/>
        <w:jc w:val="left"/>
        <w:rPr>
          <w:rFonts w:hint="eastAsia" w:asciiTheme="minorEastAsia" w:hAnsiTheme="minorEastAsia" w:eastAsiaTheme="minorEastAsia" w:cstheme="minorEastAsia"/>
          <w:kern w:val="2"/>
          <w:sz w:val="24"/>
          <w:szCs w:val="24"/>
          <w:highlight w:val="yellow"/>
        </w:rPr>
      </w:pPr>
      <w:r>
        <w:rPr>
          <w:rFonts w:hint="eastAsia" w:asciiTheme="minorEastAsia" w:hAnsiTheme="minorEastAsia" w:eastAsiaTheme="minorEastAsia" w:cstheme="minorEastAsia"/>
          <w:kern w:val="2"/>
          <w:sz w:val="24"/>
          <w:szCs w:val="24"/>
        </w:rPr>
        <w:t>本项目不接受进口产品。</w:t>
      </w:r>
    </w:p>
    <w:p w14:paraId="5AD5C63D">
      <w:pPr>
        <w:numPr>
          <w:ilvl w:val="0"/>
          <w:numId w:val="2"/>
        </w:numPr>
        <w:spacing w:line="360" w:lineRule="auto"/>
        <w:ind w:firstLine="482" w:firstLineChars="200"/>
        <w:jc w:val="left"/>
        <w:rPr>
          <w:rFonts w:hint="eastAsia"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项目概况</w:t>
      </w:r>
    </w:p>
    <w:p w14:paraId="7577A16B">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1、本次采购内容为泗阳县融媒体中心全媒体播出系统全面高清化、智慧化建设采购项目，项目预算及最高限价为120万元。</w:t>
      </w:r>
    </w:p>
    <w:p w14:paraId="7B76A2DB">
      <w:pPr>
        <w:spacing w:line="360" w:lineRule="auto"/>
        <w:ind w:firstLine="480" w:firstLineChars="200"/>
        <w:jc w:val="left"/>
        <w:rPr>
          <w:rFonts w:hint="eastAsia" w:asciiTheme="minorEastAsia" w:hAnsiTheme="minorEastAsia" w:eastAsiaTheme="minorEastAsia" w:cstheme="minorEastAsia"/>
          <w:sz w:val="24"/>
          <w:szCs w:val="24"/>
        </w:rPr>
      </w:pPr>
      <w:bookmarkStart w:id="190" w:name="_Toc31442"/>
      <w:bookmarkStart w:id="191" w:name="_Toc14880"/>
      <w:r>
        <w:rPr>
          <w:rFonts w:hint="eastAsia" w:asciiTheme="minorEastAsia" w:hAnsiTheme="minorEastAsia" w:eastAsiaTheme="minorEastAsia" w:cstheme="minorEastAsia"/>
          <w:sz w:val="24"/>
          <w:szCs w:val="24"/>
        </w:rPr>
        <w:t>2、合同履行期限：签订合同后60日历天内完成供货安装调试，免费维保期：3年，自项目验收合格之日起；</w:t>
      </w:r>
      <w:bookmarkEnd w:id="190"/>
      <w:bookmarkEnd w:id="191"/>
      <w:r>
        <w:rPr>
          <w:rFonts w:hint="eastAsia" w:asciiTheme="minorEastAsia" w:hAnsiTheme="minorEastAsia" w:eastAsiaTheme="minorEastAsia" w:cstheme="minorEastAsia"/>
          <w:sz w:val="24"/>
          <w:szCs w:val="24"/>
        </w:rPr>
        <w:t>免费维保期内：如出现招标内容中的设备（或备品备件）有损坏或老化，项目中标单位对损坏或老化的设备（或备品备件），必须免费予以更换、安装、维护、保养及调试，由此产生的一切费用（包括设备采购），均由中标方承担。</w:t>
      </w:r>
    </w:p>
    <w:p w14:paraId="48E94E8F">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如出现采购人要求的软件维护和升级，项目中标单位必须免费予以维护和升级至最新状态，由此产生的一切费用，均由中标方承担。</w:t>
      </w:r>
    </w:p>
    <w:p w14:paraId="78ED5A68">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项目中标单位对损坏或老化的设备（或备品备件），不予更换，对采购需求的软件升级不予升级的，采购人将自行选择维护、维修单位和软件维护、升级单位，由此产生包括维护、设备更换和软件维护、升级的一切费用，采购人将从中标单位的合同价款中扣除，不足的，由中标单位无条件补齐，否则采购人将上报招投标监管部门，记中标单位不良记录。</w:t>
      </w:r>
    </w:p>
    <w:p w14:paraId="15B93403">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3、供货地点：采购人指定地点。</w:t>
      </w:r>
    </w:p>
    <w:p w14:paraId="2C81756E">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4、本项目核心产品：2通道高清播出系统</w:t>
      </w:r>
    </w:p>
    <w:p w14:paraId="00E673E2">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5、质量要求：合格；提供的产品性能及质量有国家标准的应符合国家标准。无国家标准的应符合行业标准或企业标准，并满足招标文件要求，实现投标文件承诺条款。</w:t>
      </w:r>
    </w:p>
    <w:p w14:paraId="1D996A5F">
      <w:pPr>
        <w:spacing w:line="360" w:lineRule="auto"/>
        <w:ind w:firstLine="480" w:firstLineChars="200"/>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5.1</w:t>
      </w:r>
      <w:r>
        <w:rPr>
          <w:rFonts w:hint="eastAsia" w:asciiTheme="minorEastAsia" w:hAnsiTheme="minorEastAsia" w:eastAsiaTheme="minorEastAsia" w:cstheme="minorEastAsia"/>
          <w:sz w:val="24"/>
          <w:szCs w:val="24"/>
          <w:lang w:val="zh-CN"/>
        </w:rPr>
        <w:t>资金支付的方式：</w:t>
      </w:r>
    </w:p>
    <w:p w14:paraId="3DE7DD9F">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预付款：</w:t>
      </w:r>
      <w:r>
        <w:rPr>
          <w:rFonts w:hint="eastAsia" w:asciiTheme="minorEastAsia" w:hAnsiTheme="minorEastAsia" w:eastAsiaTheme="minorEastAsia" w:cstheme="minorEastAsia"/>
          <w:sz w:val="24"/>
          <w:szCs w:val="24"/>
          <w:lang w:val="zh-CN"/>
        </w:rPr>
        <w:t>签订合同</w:t>
      </w:r>
      <w:r>
        <w:rPr>
          <w:rFonts w:hint="eastAsia" w:asciiTheme="minorEastAsia" w:hAnsiTheme="minorEastAsia" w:eastAsiaTheme="minorEastAsia" w:cstheme="minorEastAsia"/>
          <w:sz w:val="24"/>
          <w:szCs w:val="24"/>
        </w:rPr>
        <w:t>后在满足付款条件后10个工作日</w:t>
      </w:r>
      <w:r>
        <w:rPr>
          <w:rFonts w:hint="eastAsia" w:asciiTheme="minorEastAsia" w:hAnsiTheme="minorEastAsia" w:eastAsiaTheme="minorEastAsia" w:cstheme="minorEastAsia"/>
          <w:sz w:val="24"/>
          <w:szCs w:val="24"/>
          <w:lang w:val="zh-CN"/>
        </w:rPr>
        <w:t>内支付</w:t>
      </w:r>
      <w:r>
        <w:rPr>
          <w:rFonts w:hint="eastAsia" w:asciiTheme="minorEastAsia" w:hAnsiTheme="minorEastAsia" w:eastAsiaTheme="minorEastAsia" w:cstheme="minorEastAsia"/>
          <w:sz w:val="24"/>
          <w:szCs w:val="24"/>
        </w:rPr>
        <w:t>合同价款的30%</w:t>
      </w:r>
    </w:p>
    <w:p w14:paraId="4DEF6705">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进度款：货物到现场安装调试完毕稳定运行，经采购人验收合格后，采购人将货款支付到合同总价款的100%；</w:t>
      </w:r>
    </w:p>
    <w:p w14:paraId="0FC9FB36">
      <w:pPr>
        <w:spacing w:line="360" w:lineRule="auto"/>
        <w:ind w:firstLine="480" w:firstLineChars="200"/>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资金支付的</w:t>
      </w:r>
      <w:r>
        <w:rPr>
          <w:rFonts w:hint="eastAsia" w:asciiTheme="minorEastAsia" w:hAnsiTheme="minorEastAsia" w:eastAsiaTheme="minorEastAsia" w:cstheme="minorEastAsia"/>
          <w:sz w:val="24"/>
          <w:szCs w:val="24"/>
        </w:rPr>
        <w:t>时间</w:t>
      </w:r>
      <w:r>
        <w:rPr>
          <w:rFonts w:hint="eastAsia" w:asciiTheme="minorEastAsia" w:hAnsiTheme="minorEastAsia" w:eastAsiaTheme="minorEastAsia" w:cstheme="minorEastAsia"/>
          <w:sz w:val="24"/>
          <w:szCs w:val="24"/>
          <w:lang w:val="zh-CN"/>
        </w:rPr>
        <w:t>：</w:t>
      </w:r>
      <w:r>
        <w:rPr>
          <w:rFonts w:hint="eastAsia" w:asciiTheme="minorEastAsia" w:hAnsiTheme="minorEastAsia" w:eastAsiaTheme="minorEastAsia" w:cstheme="minorEastAsia"/>
          <w:sz w:val="24"/>
          <w:szCs w:val="24"/>
        </w:rPr>
        <w:t>收到供应商发票10个工作日内</w:t>
      </w:r>
      <w:r>
        <w:rPr>
          <w:rFonts w:hint="eastAsia" w:asciiTheme="minorEastAsia" w:hAnsiTheme="minorEastAsia" w:eastAsiaTheme="minorEastAsia" w:cstheme="minorEastAsia"/>
          <w:sz w:val="24"/>
          <w:szCs w:val="24"/>
          <w:lang w:val="zh-CN"/>
        </w:rPr>
        <w:t>；</w:t>
      </w:r>
    </w:p>
    <w:p w14:paraId="6DF9C758">
      <w:pPr>
        <w:spacing w:line="480" w:lineRule="exact"/>
        <w:ind w:firstLine="480"/>
        <w:jc w:val="left"/>
        <w:rPr>
          <w:rFonts w:hint="eastAsia" w:ascii="宋体" w:hAnsi="宋体" w:cs="Courier New"/>
          <w:color w:val="000000"/>
          <w:sz w:val="24"/>
          <w:szCs w:val="24"/>
        </w:rPr>
      </w:pPr>
      <w:r>
        <w:rPr>
          <w:rFonts w:hint="eastAsia" w:ascii="宋体" w:hAnsi="宋体" w:cs="Courier New"/>
          <w:color w:val="000000"/>
          <w:sz w:val="24"/>
          <w:szCs w:val="24"/>
          <w:lang w:val="zh-CN"/>
        </w:rPr>
        <w:t>资金支付</w:t>
      </w:r>
      <w:r>
        <w:rPr>
          <w:rFonts w:hint="eastAsia" w:ascii="宋体" w:hAnsi="宋体" w:cs="Courier New"/>
          <w:color w:val="000000"/>
          <w:sz w:val="24"/>
          <w:szCs w:val="24"/>
        </w:rPr>
        <w:t>的条件：满足相应阶段的要求且收到供应商发票。</w:t>
      </w:r>
    </w:p>
    <w:p w14:paraId="6A903455">
      <w:pPr>
        <w:spacing w:line="480" w:lineRule="exact"/>
        <w:ind w:firstLine="482"/>
        <w:rPr>
          <w:bCs/>
          <w:color w:val="000000"/>
          <w:sz w:val="24"/>
        </w:rPr>
      </w:pPr>
      <w:r>
        <w:rPr>
          <w:rFonts w:hint="eastAsia"/>
          <w:bCs/>
          <w:color w:val="000000"/>
          <w:sz w:val="24"/>
        </w:rPr>
        <w:t>注：在签订合同时，中标人明确表示无需预付款或者主动要求降低预付款比例的金额，采购人可不适用预付款规定。</w:t>
      </w:r>
    </w:p>
    <w:p w14:paraId="50FC6F5D">
      <w:pPr>
        <w:snapToGrid w:val="0"/>
        <w:spacing w:before="120" w:after="120" w:line="360" w:lineRule="auto"/>
        <w:ind w:firstLine="482" w:firstLineChars="200"/>
        <w:jc w:val="left"/>
        <w:rPr>
          <w:rFonts w:hint="eastAsia" w:asciiTheme="minorEastAsia" w:hAnsiTheme="minorEastAsia" w:eastAsiaTheme="minorEastAsia" w:cstheme="minorEastAsia"/>
          <w:b/>
          <w:bCs/>
          <w:kern w:val="2"/>
          <w:sz w:val="24"/>
          <w:szCs w:val="24"/>
        </w:rPr>
      </w:pPr>
      <w:r>
        <w:rPr>
          <w:rFonts w:hint="eastAsia" w:asciiTheme="minorEastAsia" w:hAnsiTheme="minorEastAsia" w:eastAsiaTheme="minorEastAsia" w:cstheme="minorEastAsia"/>
          <w:b/>
          <w:bCs/>
          <w:kern w:val="2"/>
          <w:sz w:val="24"/>
          <w:szCs w:val="24"/>
        </w:rPr>
        <w:t>二、项目简介</w:t>
      </w:r>
    </w:p>
    <w:p w14:paraId="7F4922C4">
      <w:pPr>
        <w:snapToGrid w:val="0"/>
        <w:spacing w:before="120" w:after="120" w:line="360" w:lineRule="auto"/>
        <w:ind w:firstLine="482" w:firstLineChars="200"/>
        <w:jc w:val="left"/>
        <w:rPr>
          <w:rFonts w:hint="eastAsia" w:asciiTheme="minorEastAsia" w:hAnsiTheme="minorEastAsia" w:eastAsiaTheme="minorEastAsia" w:cstheme="minorEastAsia"/>
          <w:b/>
          <w:bCs/>
          <w:kern w:val="2"/>
          <w:sz w:val="24"/>
          <w:szCs w:val="24"/>
        </w:rPr>
      </w:pPr>
      <w:r>
        <w:rPr>
          <w:rFonts w:hint="eastAsia" w:asciiTheme="minorEastAsia" w:hAnsiTheme="minorEastAsia" w:eastAsiaTheme="minorEastAsia" w:cstheme="minorEastAsia"/>
          <w:b/>
          <w:bCs/>
          <w:kern w:val="2"/>
          <w:sz w:val="24"/>
          <w:szCs w:val="24"/>
        </w:rPr>
        <w:t>1、总述</w:t>
      </w:r>
    </w:p>
    <w:p w14:paraId="0E4C1189">
      <w:pPr>
        <w:snapToGrid w:val="0"/>
        <w:spacing w:before="120" w:after="120" w:line="360" w:lineRule="auto"/>
        <w:ind w:firstLine="480"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项目建设包括：设备提供、软件提供、建设施工、安装调试、测试验收、人员培训等。</w:t>
      </w:r>
    </w:p>
    <w:p w14:paraId="17497B5B">
      <w:pPr>
        <w:snapToGrid w:val="0"/>
        <w:spacing w:before="120" w:after="120" w:line="360" w:lineRule="auto"/>
        <w:ind w:firstLine="482" w:firstLineChars="200"/>
        <w:jc w:val="left"/>
        <w:rPr>
          <w:rFonts w:hint="eastAsia" w:asciiTheme="minorEastAsia" w:hAnsiTheme="minorEastAsia" w:eastAsiaTheme="minorEastAsia" w:cstheme="minorEastAsia"/>
          <w:b/>
          <w:bCs/>
          <w:kern w:val="2"/>
          <w:sz w:val="24"/>
          <w:szCs w:val="24"/>
        </w:rPr>
      </w:pPr>
      <w:r>
        <w:rPr>
          <w:rFonts w:hint="eastAsia" w:asciiTheme="minorEastAsia" w:hAnsiTheme="minorEastAsia" w:eastAsiaTheme="minorEastAsia" w:cstheme="minorEastAsia"/>
          <w:b/>
          <w:bCs/>
          <w:kern w:val="2"/>
          <w:sz w:val="24"/>
          <w:szCs w:val="24"/>
        </w:rPr>
        <w:t>2、总体要求及建设原则</w:t>
      </w:r>
    </w:p>
    <w:p w14:paraId="790E0994">
      <w:pPr>
        <w:snapToGrid w:val="0"/>
        <w:spacing w:before="120" w:after="120" w:line="360" w:lineRule="auto"/>
        <w:ind w:firstLine="480"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本项目系统设计和建设应遵循如下原则：</w:t>
      </w:r>
    </w:p>
    <w:p w14:paraId="2A926376">
      <w:pPr>
        <w:snapToGrid w:val="0"/>
        <w:spacing w:before="120" w:after="120" w:line="360" w:lineRule="auto"/>
        <w:ind w:firstLine="482"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
          <w:bCs/>
          <w:kern w:val="2"/>
          <w:sz w:val="24"/>
          <w:szCs w:val="24"/>
        </w:rPr>
        <w:t>安全可靠性：</w:t>
      </w:r>
      <w:r>
        <w:rPr>
          <w:rFonts w:hint="eastAsia" w:asciiTheme="minorEastAsia" w:hAnsiTheme="minorEastAsia" w:eastAsiaTheme="minorEastAsia" w:cstheme="minorEastAsia"/>
          <w:kern w:val="2"/>
          <w:sz w:val="24"/>
          <w:szCs w:val="24"/>
        </w:rPr>
        <w:t>系统运转稳定可靠，所有组成部分无单一崩溃点，保证24小时全天候安全优质播出。在设备选型上要选择同类设备中性能优良，并经客户使用达到高标准、高质量、性能稳定的产品。设计时必须充分考虑系统各个部分、系统各级之间的冗余备份措施，选择的设备必须达到广播级要求。</w:t>
      </w:r>
    </w:p>
    <w:p w14:paraId="4CFE6089">
      <w:pPr>
        <w:snapToGrid w:val="0"/>
        <w:spacing w:before="120" w:after="120" w:line="360" w:lineRule="auto"/>
        <w:ind w:firstLine="482"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
          <w:bCs/>
          <w:kern w:val="2"/>
          <w:sz w:val="24"/>
          <w:szCs w:val="24"/>
        </w:rPr>
        <w:t>先进性：</w:t>
      </w:r>
      <w:r>
        <w:rPr>
          <w:rFonts w:hint="eastAsia" w:asciiTheme="minorEastAsia" w:hAnsiTheme="minorEastAsia" w:eastAsiaTheme="minorEastAsia" w:cstheme="minorEastAsia"/>
          <w:kern w:val="2"/>
          <w:sz w:val="24"/>
          <w:szCs w:val="24"/>
        </w:rPr>
        <w:t>采用先进的、并已经得到业界认可的技术设备搭建。</w:t>
      </w:r>
    </w:p>
    <w:p w14:paraId="55CA4A39">
      <w:pPr>
        <w:snapToGrid w:val="0"/>
        <w:spacing w:before="120" w:after="120" w:line="360" w:lineRule="auto"/>
        <w:ind w:firstLine="482"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
          <w:bCs/>
          <w:kern w:val="2"/>
          <w:sz w:val="24"/>
          <w:szCs w:val="24"/>
        </w:rPr>
        <w:t>易扩展性：</w:t>
      </w:r>
      <w:r>
        <w:rPr>
          <w:rFonts w:hint="eastAsia" w:asciiTheme="minorEastAsia" w:hAnsiTheme="minorEastAsia" w:eastAsiaTheme="minorEastAsia" w:cstheme="minorEastAsia"/>
          <w:kern w:val="2"/>
          <w:sz w:val="24"/>
          <w:szCs w:val="24"/>
        </w:rPr>
        <w:t>容易实现规模的扩展和系统的升级，并具备建设与原有高清非编网络系统、媒体资产管理系统的接口，升级、扩展不影响系统的正常使用。</w:t>
      </w:r>
    </w:p>
    <w:p w14:paraId="4C8E6079">
      <w:pPr>
        <w:snapToGrid w:val="0"/>
        <w:spacing w:before="120" w:after="120" w:line="360" w:lineRule="auto"/>
        <w:ind w:firstLine="482"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
          <w:bCs/>
          <w:kern w:val="2"/>
          <w:sz w:val="24"/>
          <w:szCs w:val="24"/>
        </w:rPr>
        <w:t>易于使用维护：</w:t>
      </w:r>
      <w:r>
        <w:rPr>
          <w:rFonts w:hint="eastAsia" w:asciiTheme="minorEastAsia" w:hAnsiTheme="minorEastAsia" w:eastAsiaTheme="minorEastAsia" w:cstheme="minorEastAsia"/>
          <w:kern w:val="2"/>
          <w:sz w:val="24"/>
          <w:szCs w:val="24"/>
        </w:rPr>
        <w:t>系统人机界面良好，使用方便，易于操作。系统应具有检错、纠错能力，具有完善的备份措施。在系统出现故障时，应能够在较短的时间内恢复系统运行。</w:t>
      </w:r>
    </w:p>
    <w:p w14:paraId="0D17CDCA">
      <w:pPr>
        <w:snapToGrid w:val="0"/>
        <w:spacing w:before="120" w:after="120" w:line="360" w:lineRule="auto"/>
        <w:ind w:firstLine="482"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
          <w:bCs/>
          <w:kern w:val="2"/>
          <w:sz w:val="24"/>
          <w:szCs w:val="24"/>
        </w:rPr>
        <w:t>实用性和经济性：</w:t>
      </w:r>
      <w:r>
        <w:rPr>
          <w:rFonts w:hint="eastAsia" w:asciiTheme="minorEastAsia" w:hAnsiTheme="minorEastAsia" w:eastAsiaTheme="minorEastAsia" w:cstheme="minorEastAsia"/>
          <w:kern w:val="2"/>
          <w:sz w:val="24"/>
          <w:szCs w:val="24"/>
        </w:rPr>
        <w:t>要求制定详细科学实用的建设方案，在保证性能和安全的前提下合理使用资金，设备应具有最佳的性能价格比。</w:t>
      </w:r>
    </w:p>
    <w:p w14:paraId="653E6AF7">
      <w:pPr>
        <w:snapToGrid w:val="0"/>
        <w:spacing w:before="120" w:after="120" w:line="360" w:lineRule="auto"/>
        <w:ind w:firstLine="482"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
          <w:bCs/>
          <w:kern w:val="2"/>
          <w:sz w:val="24"/>
          <w:szCs w:val="24"/>
        </w:rPr>
        <w:t>安全管理：</w:t>
      </w:r>
      <w:r>
        <w:rPr>
          <w:rFonts w:hint="eastAsia" w:asciiTheme="minorEastAsia" w:hAnsiTheme="minorEastAsia" w:eastAsiaTheme="minorEastAsia" w:cstheme="minorEastAsia"/>
          <w:kern w:val="2"/>
          <w:sz w:val="24"/>
          <w:szCs w:val="24"/>
        </w:rPr>
        <w:t>系统既要保证信息的充分共享，又要保证系统的安全保护和数据隔离，系统应具有完善的安全机制和有效的责任追究机制，能够提供操作系统级、应用系统级、数据库级三重用户管理和权限管理功能，对所有用户的所有操作建立日志，保证整个系统始终处于安全监控和保护之中。所有硬盘播出系统所涉及的节目素材、节目表等文件严禁用硬盘播出系统自带的软件以外的方式进行访问。</w:t>
      </w:r>
    </w:p>
    <w:p w14:paraId="269A627E">
      <w:pPr>
        <w:snapToGrid w:val="0"/>
        <w:spacing w:before="120" w:after="120" w:line="360" w:lineRule="auto"/>
        <w:ind w:firstLine="482"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
          <w:bCs/>
          <w:kern w:val="2"/>
          <w:sz w:val="24"/>
          <w:szCs w:val="24"/>
        </w:rPr>
        <w:t>售后服务：</w:t>
      </w:r>
      <w:r>
        <w:rPr>
          <w:rFonts w:hint="eastAsia" w:asciiTheme="minorEastAsia" w:hAnsiTheme="minorEastAsia" w:eastAsiaTheme="minorEastAsia" w:cstheme="minorEastAsia"/>
          <w:kern w:val="2"/>
          <w:sz w:val="24"/>
          <w:szCs w:val="24"/>
        </w:rPr>
        <w:t>投标人必须提供优质完善的售后服务，以确保系统建成后能长期稳定可靠地运行，系统设计要保持最好的性价比。</w:t>
      </w:r>
    </w:p>
    <w:p w14:paraId="0BC150AC">
      <w:pPr>
        <w:keepNext/>
        <w:keepLines/>
        <w:spacing w:before="260" w:after="260" w:line="416" w:lineRule="auto"/>
        <w:outlineLvl w:val="1"/>
        <w:rPr>
          <w:rFonts w:hint="eastAsia" w:ascii="宋体" w:hAnsi="宋体"/>
          <w:b/>
          <w:bCs/>
          <w:color w:val="000000"/>
          <w:kern w:val="2"/>
          <w:sz w:val="32"/>
          <w:szCs w:val="32"/>
        </w:rPr>
      </w:pPr>
      <w:r>
        <w:rPr>
          <w:rFonts w:hint="eastAsia" w:ascii="宋体" w:hAnsi="宋体"/>
          <w:b/>
          <w:bCs/>
          <w:color w:val="000000"/>
          <w:kern w:val="2"/>
          <w:sz w:val="32"/>
          <w:szCs w:val="32"/>
        </w:rPr>
        <w:t>三、系统应符合和支持的技术标准及协议</w:t>
      </w:r>
    </w:p>
    <w:p w14:paraId="1240823F">
      <w:pPr>
        <w:snapToGrid w:val="0"/>
        <w:spacing w:before="120" w:after="120" w:line="360" w:lineRule="auto"/>
        <w:ind w:firstLine="480" w:firstLineChars="200"/>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技术标准直接影响播出系统及全网络的连接和质量，因此要采用国内国际通行的技术标准，系统总体要求达到广播级甲级标准，同时满足以下标准：</w:t>
      </w:r>
    </w:p>
    <w:p w14:paraId="4FD1615C">
      <w:pPr>
        <w:snapToGrid w:val="0"/>
        <w:spacing w:before="120" w:after="120" w:line="360" w:lineRule="auto"/>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《4：2：2数字分量图像信号的接口》</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GB/T 17953-2000</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 xml:space="preserve">《数字分量演播室接口中的附属数据信号格式》  </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GY/T 160-2000</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《数字电视附属数据空间内数字音频和辅助数据的传输规范》 GY/T 161-2000</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《演播室串行数字光纤传输系统》</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GY/T 164-2000</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《电视中心播控系统数字播出通路技术指标和测量方法》      GY/T 165-2000</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《数字分量演播室的同步基准信号》</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GY/T 167-2000</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《民用建筑电气设计规范》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JGJ/T 16-92</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《出入口控制系统技术要求》</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GA/T 394-2002</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《中华人民共和国公共安全行业标准》</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GA 38-92</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《工业电视系统工程设计规范》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GBJ 115-87</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《彩色电视图像质量主观评估方法》</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 7401-87</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《彩色电视图像传输标准》</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 1583-79</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《有线电视系统工程技术规范》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 50200-94</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《有线电视广播系统技术规范》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GY/T 106-92</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《30MHZ-1GHz声音和电视信号的电缆分配系统》</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 6510-96</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《有线电视系统测量方法》</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GY/T 121-1995</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《建筑设计防火规范》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GBJ 16-87</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《商用建筑电气设计规范》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JGJ/T 16-92</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《计算机软件开发规范》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 8566-88</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《电子计算机机房设计规范》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 50174-93</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《通信系统机房设计》</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GBKJ-90</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《报警系统电源装置、测试方法和性能规范》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GB/T 15408-94</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《建筑电气工程施工质量验收规范》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GB 50303-2002</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《商用建筑物电信布线标准》</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EIA/TIA-568</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《商用建筑布线系统管道及空间位置标准》</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EIA/TIA-569</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《商业建筑物电信基础结构管理标准》</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EIA/TIA606</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《商业建筑物接地和接线规范》</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EIA/TIA607</w:t>
      </w:r>
    </w:p>
    <w:p w14:paraId="2E90E249">
      <w:pPr>
        <w:snapToGrid w:val="0"/>
        <w:spacing w:before="120" w:after="120" w:line="360" w:lineRule="auto"/>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《以太网100BASE-T标准》</w:t>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ab/>
      </w:r>
      <w:r>
        <w:rPr>
          <w:rFonts w:hint="eastAsia" w:asciiTheme="minorEastAsia" w:hAnsiTheme="minorEastAsia" w:eastAsiaTheme="minorEastAsia" w:cstheme="minorEastAsia"/>
          <w:kern w:val="2"/>
          <w:sz w:val="24"/>
          <w:szCs w:val="24"/>
        </w:rPr>
        <w:t xml:space="preserve"> IEEE 802.3U</w:t>
      </w:r>
      <w:r>
        <w:rPr>
          <w:rFonts w:hint="eastAsia" w:asciiTheme="minorEastAsia" w:hAnsiTheme="minorEastAsia" w:eastAsiaTheme="minorEastAsia" w:cstheme="minorEastAsia"/>
          <w:kern w:val="2"/>
          <w:sz w:val="24"/>
          <w:szCs w:val="24"/>
        </w:rPr>
        <w:br w:type="textWrapping"/>
      </w:r>
      <w:r>
        <w:rPr>
          <w:rFonts w:hint="eastAsia" w:asciiTheme="minorEastAsia" w:hAnsiTheme="minorEastAsia" w:eastAsiaTheme="minorEastAsia" w:cstheme="minorEastAsia"/>
          <w:kern w:val="2"/>
          <w:sz w:val="24"/>
          <w:szCs w:val="24"/>
        </w:rPr>
        <w:t>《视频浅压缩编码 第1部分：超高清视频分层编码》      GY/T 398.1-2024</w:t>
      </w:r>
    </w:p>
    <w:p w14:paraId="0745D886">
      <w:pPr>
        <w:keepNext/>
        <w:keepLines/>
        <w:spacing w:before="260" w:after="260" w:line="416" w:lineRule="auto"/>
        <w:outlineLvl w:val="1"/>
        <w:rPr>
          <w:rFonts w:hint="eastAsia" w:ascii="宋体" w:hAnsi="宋体"/>
          <w:b/>
          <w:bCs/>
          <w:color w:val="000000"/>
          <w:kern w:val="2"/>
          <w:sz w:val="32"/>
          <w:szCs w:val="32"/>
        </w:rPr>
      </w:pPr>
      <w:r>
        <w:rPr>
          <w:rFonts w:hint="eastAsia" w:ascii="宋体" w:hAnsi="宋体"/>
          <w:b/>
          <w:bCs/>
          <w:color w:val="000000"/>
          <w:kern w:val="2"/>
          <w:sz w:val="32"/>
          <w:szCs w:val="32"/>
        </w:rPr>
        <w:t>四、播出系统技术总体要求</w:t>
      </w:r>
    </w:p>
    <w:p w14:paraId="11BCEEE9">
      <w:pPr>
        <w:rPr>
          <w:rFonts w:hint="eastAsia" w:ascii="宋体" w:hAnsi="宋体"/>
          <w:color w:val="000000"/>
          <w:kern w:val="2"/>
          <w:sz w:val="24"/>
          <w:szCs w:val="22"/>
        </w:rPr>
      </w:pPr>
      <w:r>
        <w:rPr>
          <w:rFonts w:hint="eastAsia" w:ascii="宋体" w:hAnsi="宋体"/>
          <w:b/>
          <w:color w:val="000000"/>
          <w:kern w:val="2"/>
          <w:sz w:val="28"/>
          <w:szCs w:val="24"/>
        </w:rPr>
        <w:t>1、播出视频服务器要求</w:t>
      </w:r>
    </w:p>
    <w:p w14:paraId="1D904388">
      <w:pPr>
        <w:snapToGrid w:val="0"/>
        <w:spacing w:line="360" w:lineRule="auto"/>
        <w:ind w:firstLine="480" w:firstLineChars="200"/>
        <w:jc w:val="left"/>
        <w:rPr>
          <w:rFonts w:hint="eastAsia" w:ascii="宋体" w:hAnsi="宋体"/>
          <w:color w:val="000000"/>
          <w:kern w:val="2"/>
          <w:sz w:val="24"/>
          <w:szCs w:val="22"/>
        </w:rPr>
      </w:pPr>
      <w:r>
        <w:rPr>
          <w:rFonts w:hint="eastAsia" w:ascii="宋体" w:hAnsi="宋体"/>
          <w:color w:val="000000"/>
          <w:kern w:val="2"/>
          <w:sz w:val="24"/>
          <w:szCs w:val="22"/>
        </w:rPr>
        <w:t>泗阳县融媒体中心高清播出系统设计，满足日常节目编单、上载、审看、转播、储存管理、2个高清频道播出的日常节目播出。系统应具有全自动、人性化、运行安全稳定、应急操作快捷简便、管理流程科学有效的功能特点，符合广播电视技术未来发展趋势，满足国家广电总局对广播电视安全播出的要求。</w:t>
      </w:r>
    </w:p>
    <w:p w14:paraId="427B6A62">
      <w:pPr>
        <w:snapToGrid w:val="0"/>
        <w:spacing w:line="360" w:lineRule="auto"/>
        <w:ind w:firstLine="480" w:firstLineChars="200"/>
        <w:jc w:val="left"/>
        <w:rPr>
          <w:rFonts w:hint="eastAsia" w:ascii="宋体" w:hAnsi="宋体"/>
          <w:color w:val="000000"/>
          <w:kern w:val="2"/>
          <w:sz w:val="24"/>
          <w:szCs w:val="22"/>
        </w:rPr>
      </w:pPr>
      <w:r>
        <w:rPr>
          <w:rFonts w:hint="eastAsia" w:ascii="宋体" w:hAnsi="宋体"/>
          <w:color w:val="000000"/>
          <w:kern w:val="2"/>
          <w:sz w:val="24"/>
          <w:szCs w:val="22"/>
        </w:rPr>
        <w:t>播出系统是建设2个高清主备播全数字硬盘自动出系统，系统设计采用上载子系统＋播出服务器+备播存储的整体架构，视频服务器系统采用主、备播出视频服务</w:t>
      </w:r>
      <w:r>
        <w:rPr>
          <w:rFonts w:hint="eastAsia" w:ascii="宋体" w:hAnsi="宋体"/>
          <w:color w:val="000000"/>
          <w:kern w:val="2"/>
          <w:sz w:val="24"/>
          <w:szCs w:val="22"/>
          <w:shd w:val="clear" w:color="auto" w:fill="FFFFFF"/>
        </w:rPr>
        <w:t>器的架构方式；</w:t>
      </w:r>
      <w:r>
        <w:rPr>
          <w:rFonts w:hint="eastAsia" w:ascii="宋体" w:hAnsi="宋体"/>
          <w:color w:val="000000"/>
          <w:kern w:val="2"/>
          <w:sz w:val="24"/>
          <w:szCs w:val="22"/>
        </w:rPr>
        <w:t>系统提供灵活的迁移策略，设计符合泗阳县融媒体中心实际需求的整体流程，系统安全可靠，建立完善的冗余备份和安全防范体系，保障系统高可靠和端到端的安全，具有多重安全防护，无单一崩溃点;主备播出</w:t>
      </w:r>
      <w:r>
        <w:rPr>
          <w:rFonts w:ascii="宋体" w:hAnsi="宋体"/>
          <w:color w:val="000000"/>
          <w:kern w:val="2"/>
          <w:sz w:val="24"/>
          <w:szCs w:val="22"/>
        </w:rPr>
        <w:t>视频</w:t>
      </w:r>
      <w:r>
        <w:rPr>
          <w:rFonts w:hint="eastAsia" w:ascii="宋体" w:hAnsi="宋体"/>
          <w:color w:val="000000"/>
          <w:kern w:val="2"/>
          <w:sz w:val="24"/>
          <w:szCs w:val="22"/>
        </w:rPr>
        <w:t>服务器、数据库服务器、工作站、周边矩阵等必须采用性能稳定的原厂设备，不得采用工控机或兼容机，系统所有软件必须使用正版软件。频道总体输出多样化，要支持高清节目播出、标清节目播出、网络平台节目播出等格式。播出系统应满足如下需求：</w:t>
      </w:r>
    </w:p>
    <w:p w14:paraId="13AD115D">
      <w:pPr>
        <w:widowControl/>
        <w:numPr>
          <w:ilvl w:val="0"/>
          <w:numId w:val="3"/>
        </w:numPr>
        <w:spacing w:line="360" w:lineRule="auto"/>
        <w:ind w:left="171" w:firstLine="249"/>
        <w:contextualSpacing/>
        <w:jc w:val="left"/>
        <w:rPr>
          <w:rFonts w:hint="eastAsia" w:ascii="宋体" w:hAnsi="宋体"/>
          <w:color w:val="000000"/>
          <w:sz w:val="24"/>
          <w:szCs w:val="24"/>
          <w:lang w:bidi="en-US"/>
        </w:rPr>
      </w:pPr>
      <w:r>
        <w:rPr>
          <w:rFonts w:hint="eastAsia" w:ascii="宋体" w:hAnsi="宋体"/>
          <w:color w:val="000000"/>
          <w:sz w:val="24"/>
          <w:szCs w:val="24"/>
          <w:lang w:bidi="en-US"/>
        </w:rPr>
        <w:t>项目按2个频道高标清同播设计；</w:t>
      </w:r>
    </w:p>
    <w:p w14:paraId="717FD581">
      <w:pPr>
        <w:widowControl/>
        <w:numPr>
          <w:ilvl w:val="0"/>
          <w:numId w:val="3"/>
        </w:numPr>
        <w:spacing w:line="360" w:lineRule="auto"/>
        <w:ind w:left="171" w:firstLine="249"/>
        <w:contextualSpacing/>
        <w:jc w:val="left"/>
        <w:rPr>
          <w:rFonts w:hint="eastAsia" w:ascii="宋体" w:hAnsi="宋体"/>
          <w:color w:val="000000"/>
          <w:sz w:val="24"/>
          <w:szCs w:val="24"/>
          <w:lang w:bidi="en-US"/>
        </w:rPr>
      </w:pPr>
      <w:r>
        <w:rPr>
          <w:rFonts w:hint="eastAsia" w:ascii="宋体" w:hAnsi="宋体"/>
          <w:color w:val="000000"/>
          <w:sz w:val="24"/>
          <w:szCs w:val="24"/>
          <w:lang w:bidi="en-US"/>
        </w:rPr>
        <w:t>本招标文件规定的技术、规格要求和技术标准是可接收的最低限度的技术标准与基本的使用功能，投标人可根据自身</w:t>
      </w:r>
      <w:r>
        <w:rPr>
          <w:rFonts w:hint="eastAsia" w:ascii="宋体" w:hAnsi="宋体" w:cs="宋体"/>
          <w:color w:val="000000"/>
          <w:sz w:val="24"/>
          <w:szCs w:val="24"/>
          <w:lang w:bidi="en-US"/>
        </w:rPr>
        <w:t>选择优于本项目技术要求的设备和软件或自行增加设备或软件</w:t>
      </w:r>
      <w:r>
        <w:rPr>
          <w:rFonts w:hint="eastAsia" w:ascii="宋体" w:hAnsi="宋体"/>
          <w:color w:val="000000"/>
          <w:sz w:val="24"/>
          <w:szCs w:val="24"/>
          <w:lang w:bidi="en-US"/>
        </w:rPr>
        <w:t>；</w:t>
      </w:r>
    </w:p>
    <w:p w14:paraId="502EA2F5">
      <w:pPr>
        <w:widowControl/>
        <w:numPr>
          <w:ilvl w:val="0"/>
          <w:numId w:val="3"/>
        </w:numPr>
        <w:spacing w:line="360" w:lineRule="auto"/>
        <w:ind w:left="171" w:firstLine="249"/>
        <w:contextualSpacing/>
        <w:jc w:val="left"/>
        <w:rPr>
          <w:rFonts w:hint="eastAsia" w:ascii="宋体" w:hAnsi="宋体"/>
          <w:color w:val="000000"/>
          <w:sz w:val="24"/>
          <w:szCs w:val="24"/>
          <w:lang w:bidi="en-US"/>
        </w:rPr>
      </w:pPr>
      <w:r>
        <w:rPr>
          <w:rFonts w:hint="eastAsia" w:ascii="宋体" w:hAnsi="宋体"/>
          <w:color w:val="000000"/>
          <w:sz w:val="24"/>
          <w:szCs w:val="24"/>
          <w:lang w:bidi="en-US"/>
        </w:rPr>
        <w:t>主备播出视频服务器采用</w:t>
      </w:r>
      <w:r>
        <w:rPr>
          <w:rFonts w:ascii="宋体" w:hAnsi="宋体"/>
          <w:color w:val="000000"/>
          <w:sz w:val="24"/>
          <w:szCs w:val="24"/>
          <w:lang w:bidi="en-US"/>
        </w:rPr>
        <w:t>主流视频服务器</w:t>
      </w:r>
      <w:r>
        <w:rPr>
          <w:rFonts w:hint="eastAsia" w:ascii="宋体" w:hAnsi="宋体"/>
          <w:color w:val="000000"/>
          <w:sz w:val="24"/>
          <w:szCs w:val="24"/>
          <w:lang w:bidi="en-US"/>
        </w:rPr>
        <w:t>；</w:t>
      </w:r>
    </w:p>
    <w:p w14:paraId="282E7CD4">
      <w:pPr>
        <w:widowControl/>
        <w:numPr>
          <w:ilvl w:val="0"/>
          <w:numId w:val="3"/>
        </w:numPr>
        <w:spacing w:line="360" w:lineRule="auto"/>
        <w:ind w:left="171" w:firstLine="249"/>
        <w:contextualSpacing/>
        <w:jc w:val="left"/>
        <w:rPr>
          <w:rFonts w:hint="eastAsia" w:ascii="宋体" w:hAnsi="宋体"/>
          <w:color w:val="000000"/>
          <w:sz w:val="24"/>
          <w:szCs w:val="24"/>
          <w:lang w:bidi="en-US"/>
        </w:rPr>
      </w:pPr>
      <w:r>
        <w:rPr>
          <w:rFonts w:hint="eastAsia" w:ascii="宋体" w:hAnsi="宋体"/>
          <w:color w:val="000000"/>
          <w:sz w:val="24"/>
          <w:szCs w:val="24"/>
          <w:lang w:bidi="en-US"/>
        </w:rPr>
        <w:t>系统采用双总线标准接口规范，模块化设计，须具有较强兼容性和可扩展性，配置灵活、易于操作维护。</w:t>
      </w:r>
    </w:p>
    <w:p w14:paraId="1A77931B">
      <w:pPr>
        <w:widowControl/>
        <w:numPr>
          <w:ilvl w:val="0"/>
          <w:numId w:val="3"/>
        </w:numPr>
        <w:spacing w:line="360" w:lineRule="auto"/>
        <w:ind w:left="171" w:firstLine="249"/>
        <w:contextualSpacing/>
        <w:jc w:val="left"/>
        <w:rPr>
          <w:rFonts w:hint="eastAsia" w:ascii="宋体" w:hAnsi="宋体"/>
          <w:color w:val="000000"/>
          <w:sz w:val="24"/>
          <w:szCs w:val="24"/>
          <w:lang w:bidi="en-US"/>
        </w:rPr>
      </w:pPr>
      <w:r>
        <w:rPr>
          <w:rFonts w:hint="eastAsia" w:ascii="宋体" w:hAnsi="宋体"/>
          <w:color w:val="000000"/>
          <w:sz w:val="24"/>
          <w:szCs w:val="24"/>
          <w:lang w:bidi="en-US"/>
        </w:rPr>
        <w:t>整个系统无任何单一溃点，系统的技术指标应达到国家广电总局规定的广播级标准。</w:t>
      </w:r>
    </w:p>
    <w:p w14:paraId="78532E39">
      <w:pPr>
        <w:widowControl/>
        <w:numPr>
          <w:ilvl w:val="0"/>
          <w:numId w:val="3"/>
        </w:numPr>
        <w:spacing w:line="360" w:lineRule="auto"/>
        <w:ind w:left="171" w:firstLine="249"/>
        <w:contextualSpacing/>
        <w:jc w:val="left"/>
        <w:rPr>
          <w:rFonts w:hint="eastAsia" w:ascii="宋体" w:hAnsi="宋体"/>
          <w:color w:val="000000"/>
          <w:sz w:val="24"/>
          <w:szCs w:val="24"/>
          <w:lang w:bidi="en-US"/>
        </w:rPr>
      </w:pPr>
      <w:r>
        <w:rPr>
          <w:rFonts w:hint="eastAsia" w:ascii="宋体" w:hAnsi="宋体" w:cs="宋体"/>
          <w:color w:val="000000"/>
          <w:sz w:val="24"/>
          <w:szCs w:val="24"/>
          <w:lang w:bidi="en-US"/>
        </w:rPr>
        <w:t>新建播出</w:t>
      </w:r>
      <w:r>
        <w:rPr>
          <w:rFonts w:hint="eastAsia" w:ascii="宋体" w:hAnsi="宋体"/>
          <w:color w:val="000000"/>
          <w:sz w:val="24"/>
          <w:szCs w:val="24"/>
          <w:lang w:bidi="en-US"/>
        </w:rPr>
        <w:t>系统中的所有服务器、工作站必须采用专业计算机生产商提供的原厂设备，不得采用工控机或兼容机；</w:t>
      </w:r>
    </w:p>
    <w:p w14:paraId="09F97221">
      <w:pPr>
        <w:widowControl/>
        <w:numPr>
          <w:ilvl w:val="0"/>
          <w:numId w:val="3"/>
        </w:numPr>
        <w:spacing w:line="360" w:lineRule="auto"/>
        <w:ind w:left="171" w:firstLine="249"/>
        <w:contextualSpacing/>
        <w:jc w:val="left"/>
        <w:rPr>
          <w:rFonts w:hint="eastAsia" w:ascii="宋体" w:hAnsi="宋体" w:cs="宋体"/>
          <w:color w:val="000000"/>
          <w:sz w:val="24"/>
          <w:szCs w:val="24"/>
          <w:lang w:bidi="en-US"/>
        </w:rPr>
      </w:pPr>
      <w:r>
        <w:rPr>
          <w:rFonts w:hint="eastAsia" w:ascii="宋体" w:hAnsi="宋体" w:cs="宋体"/>
          <w:color w:val="000000"/>
          <w:sz w:val="24"/>
          <w:szCs w:val="24"/>
          <w:lang w:bidi="en-US"/>
        </w:rPr>
        <w:t>▲新建播出系统应能够实现与泗阳县融媒体中心内现有非线性编辑系统、媒体资产管理系统相互兼容无缝互连互通，实现高质、准时、安全的节目播出要求。</w:t>
      </w:r>
      <w:r>
        <w:rPr>
          <w:rFonts w:hint="eastAsia" w:ascii="宋体" w:hAnsi="宋体" w:cs="宋体"/>
          <w:b/>
          <w:bCs/>
          <w:color w:val="000000"/>
          <w:sz w:val="24"/>
          <w:szCs w:val="24"/>
          <w:lang w:bidi="en-US"/>
        </w:rPr>
        <w:t>（提供国家认可具有资质的第三方检测机构出具的国产化播出信创验证检测报告扫描件。）</w:t>
      </w:r>
    </w:p>
    <w:p w14:paraId="419C0859">
      <w:pPr>
        <w:rPr>
          <w:rFonts w:hint="eastAsia" w:ascii="宋体" w:hAnsi="宋体"/>
          <w:b/>
          <w:color w:val="000000"/>
          <w:kern w:val="2"/>
          <w:sz w:val="28"/>
          <w:szCs w:val="24"/>
        </w:rPr>
      </w:pPr>
      <w:r>
        <w:rPr>
          <w:rFonts w:hint="eastAsia" w:ascii="宋体" w:hAnsi="宋体"/>
          <w:b/>
          <w:color w:val="000000"/>
          <w:kern w:val="2"/>
          <w:sz w:val="28"/>
          <w:szCs w:val="24"/>
        </w:rPr>
        <w:t>2、播出控制工作站技术要求</w:t>
      </w:r>
    </w:p>
    <w:p w14:paraId="19F90631">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播出控制工作站采用主备播控方式，完成对视频服务器、切换矩阵等相关设备的控制管理。采用开放结构，提供双机热备播出，从而提高系统的可靠性，安全性和扩展性。</w:t>
      </w:r>
    </w:p>
    <w:p w14:paraId="016F40B3">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支持多种节目播出方式，如定时、顺序、触发、定长插播、不定长插播、不计时、跟随等。</w:t>
      </w:r>
    </w:p>
    <w:p w14:paraId="2411BDAA">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支持多种应急措施，如节目提前,节目延长,紧急备份信号源，紧急备份录像机等。</w:t>
      </w:r>
    </w:p>
    <w:p w14:paraId="57A5E3CC">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支持对多种播出设备（如各种型号录像机，机械手，视频服务器，前端矩阵等）的控制，对播出设备和播出情况进行实时监测，记录，报警。支持在线及离线编单功能。</w:t>
      </w:r>
    </w:p>
    <w:p w14:paraId="1220E191">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支持提供24小时的连续播出，默认凌晨4点自动节目调取。</w:t>
      </w:r>
    </w:p>
    <w:p w14:paraId="127A2862">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支持锁相功能，提高整个系统的播出切换精度。</w:t>
      </w:r>
    </w:p>
    <w:p w14:paraId="736BED9F">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支持详尽的编辑功能，比如条目增加、删除、插入、移动、替换等，支持查找替换增加全部替换的功能，包括广告组内的素材。提供对视频服务器的素材编排和调用，进入网络管理软件。应能向数据库和播出服务器发送节目单，支持本地调用节目单。</w:t>
      </w:r>
    </w:p>
    <w:p w14:paraId="0E87EB8B">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支持节目单模板，可以随意定义任意多种节目单模板，节目串联单编辑模块具有播出串联单时间逻辑检查功能，可对播出串联单进行时间的逻辑检查，检查是否存在间隙和碰撞，如发生问题，提供醒目的标识。应能快速查询节目素材库的素材。兼有节目审看功能。</w:t>
      </w:r>
    </w:p>
    <w:p w14:paraId="0F63F3DD">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提供完善的日志、统计、报表。</w:t>
      </w:r>
    </w:p>
    <w:p w14:paraId="088F19E3">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提供完备的应急措施。</w:t>
      </w:r>
    </w:p>
    <w:p w14:paraId="5D885C85">
      <w:pPr>
        <w:numPr>
          <w:ilvl w:val="0"/>
          <w:numId w:val="4"/>
        </w:numPr>
        <w:spacing w:line="360" w:lineRule="auto"/>
        <w:ind w:left="0" w:firstLine="480" w:firstLineChars="200"/>
        <w:rPr>
          <w:rFonts w:hint="eastAsia" w:ascii="宋体" w:hAnsi="宋体"/>
          <w:b/>
          <w:bCs/>
          <w:color w:val="000000"/>
          <w:kern w:val="2"/>
          <w:sz w:val="24"/>
          <w:szCs w:val="22"/>
        </w:rPr>
      </w:pPr>
      <w:r>
        <w:rPr>
          <w:rFonts w:hint="eastAsia" w:ascii="宋体" w:hAnsi="宋体"/>
          <w:color w:val="000000"/>
          <w:kern w:val="2"/>
          <w:sz w:val="24"/>
          <w:szCs w:val="22"/>
        </w:rPr>
        <w:t>▲支持播控软件可将节目单发送给字幕机</w:t>
      </w:r>
      <w:r>
        <w:rPr>
          <w:rFonts w:hint="eastAsia" w:ascii="宋体" w:hAnsi="宋体"/>
          <w:b/>
          <w:bCs/>
          <w:color w:val="000000"/>
          <w:kern w:val="2"/>
          <w:sz w:val="24"/>
          <w:szCs w:val="22"/>
        </w:rPr>
        <w:t>（提供国家认可的有资质的第三方检测机构出具的检测报告扫描件,检测内容需包含此功能）。</w:t>
      </w:r>
    </w:p>
    <w:p w14:paraId="5C11C2F2">
      <w:pPr>
        <w:numPr>
          <w:ilvl w:val="0"/>
          <w:numId w:val="4"/>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▲支持集中配置功能（提供国家认可的有资质的第三方检测机构出具的检测报告扫描件,检测内容需包含此功能）。</w:t>
      </w:r>
    </w:p>
    <w:p w14:paraId="0A82C274">
      <w:pPr>
        <w:keepNext/>
        <w:keepLines/>
        <w:spacing w:before="260" w:after="260" w:line="416" w:lineRule="auto"/>
        <w:outlineLvl w:val="2"/>
        <w:rPr>
          <w:rFonts w:hint="eastAsia" w:ascii="宋体" w:hAnsi="宋体"/>
          <w:b/>
          <w:bCs/>
          <w:color w:val="000000"/>
          <w:kern w:val="2"/>
          <w:sz w:val="28"/>
          <w:szCs w:val="24"/>
        </w:rPr>
      </w:pPr>
      <w:r>
        <w:rPr>
          <w:rFonts w:hint="eastAsia" w:ascii="宋体" w:hAnsi="宋体"/>
          <w:b/>
          <w:bCs/>
          <w:color w:val="000000"/>
          <w:kern w:val="2"/>
          <w:sz w:val="28"/>
          <w:szCs w:val="24"/>
        </w:rPr>
        <w:t>3、播出编单技术要求</w:t>
      </w:r>
    </w:p>
    <w:p w14:paraId="556A9982">
      <w:pPr>
        <w:numPr>
          <w:ilvl w:val="0"/>
          <w:numId w:val="5"/>
        </w:numPr>
        <w:spacing w:line="360" w:lineRule="auto"/>
        <w:ind w:left="0" w:firstLine="420" w:firstLineChars="175"/>
        <w:rPr>
          <w:rFonts w:hint="eastAsia" w:ascii="宋体" w:hAnsi="宋体"/>
          <w:color w:val="000000"/>
          <w:kern w:val="2"/>
          <w:sz w:val="24"/>
          <w:szCs w:val="22"/>
        </w:rPr>
      </w:pPr>
      <w:r>
        <w:rPr>
          <w:rFonts w:hint="eastAsia" w:ascii="宋体" w:hAnsi="宋体"/>
          <w:color w:val="000000"/>
          <w:kern w:val="2"/>
          <w:sz w:val="24"/>
          <w:szCs w:val="22"/>
        </w:rPr>
        <w:t xml:space="preserve">具备独立编表能力，并可在已编辑频道节目单上进行细化和修改播出节目内容；提供详尽易用快捷的编辑功能，能对视频服务器的素材编排和调用； </w:t>
      </w:r>
    </w:p>
    <w:p w14:paraId="758FE0FF">
      <w:pPr>
        <w:numPr>
          <w:ilvl w:val="0"/>
          <w:numId w:val="5"/>
        </w:numPr>
        <w:spacing w:line="360" w:lineRule="auto"/>
        <w:ind w:left="0" w:firstLine="420" w:firstLineChars="175"/>
        <w:rPr>
          <w:rFonts w:hint="eastAsia" w:ascii="宋体" w:hAnsi="宋体"/>
          <w:color w:val="000000"/>
          <w:kern w:val="2"/>
          <w:sz w:val="24"/>
          <w:szCs w:val="22"/>
        </w:rPr>
      </w:pPr>
      <w:r>
        <w:rPr>
          <w:rFonts w:hint="eastAsia" w:ascii="宋体" w:hAnsi="宋体"/>
          <w:color w:val="000000"/>
          <w:kern w:val="2"/>
          <w:sz w:val="24"/>
          <w:szCs w:val="22"/>
        </w:rPr>
        <w:t>能向数据库和视频服务器发送节目单，支持本地调用节目单。支持节目单模板，可以随意定义多种节目单模板，节目串联单编辑模块具有播出串联单时间逻辑检查功能，可对播出串联单进行时间的逻辑检查，检查是否存在间隙和碰撞，并提供醒目的标识；</w:t>
      </w:r>
    </w:p>
    <w:p w14:paraId="2BB78F7F">
      <w:pPr>
        <w:numPr>
          <w:ilvl w:val="0"/>
          <w:numId w:val="5"/>
        </w:numPr>
        <w:spacing w:line="360" w:lineRule="auto"/>
        <w:ind w:left="0" w:firstLine="420" w:firstLineChars="175"/>
        <w:rPr>
          <w:rFonts w:hint="eastAsia" w:ascii="宋体" w:hAnsi="宋体"/>
          <w:color w:val="000000"/>
          <w:kern w:val="2"/>
          <w:sz w:val="24"/>
          <w:szCs w:val="22"/>
        </w:rPr>
      </w:pPr>
      <w:r>
        <w:rPr>
          <w:rFonts w:hint="eastAsia" w:ascii="宋体" w:hAnsi="宋体"/>
          <w:color w:val="000000"/>
          <w:kern w:val="2"/>
          <w:sz w:val="24"/>
          <w:szCs w:val="22"/>
        </w:rPr>
        <w:t>能快速查询节目素材库的素材。兼有节目审看功能。</w:t>
      </w:r>
    </w:p>
    <w:p w14:paraId="62733E83">
      <w:pPr>
        <w:spacing w:line="360" w:lineRule="auto"/>
        <w:rPr>
          <w:rFonts w:hint="eastAsia" w:ascii="宋体" w:hAnsi="宋体"/>
          <w:color w:val="000000"/>
          <w:kern w:val="2"/>
          <w:sz w:val="24"/>
          <w:szCs w:val="22"/>
        </w:rPr>
      </w:pPr>
      <w:r>
        <w:rPr>
          <w:rFonts w:hint="eastAsia" w:ascii="宋体" w:hAnsi="宋体" w:cs="宋体"/>
          <w:color w:val="000000"/>
          <w:szCs w:val="22"/>
        </w:rPr>
        <w:t>▲</w:t>
      </w:r>
      <w:r>
        <w:rPr>
          <w:rFonts w:hint="eastAsia" w:ascii="宋体" w:hAnsi="宋体"/>
          <w:color w:val="000000"/>
          <w:kern w:val="2"/>
          <w:sz w:val="24"/>
          <w:szCs w:val="22"/>
        </w:rPr>
        <w:t>支持总编室修改在线节目单（</w:t>
      </w:r>
      <w:r>
        <w:rPr>
          <w:rFonts w:hint="eastAsia" w:ascii="宋体" w:hAnsi="宋体"/>
          <w:b/>
          <w:bCs/>
          <w:color w:val="000000"/>
          <w:kern w:val="2"/>
          <w:sz w:val="24"/>
          <w:szCs w:val="22"/>
        </w:rPr>
        <w:t>提供国家认可的有资质的第三方检测机构出具的检测报告扫描件,检测内容需包含此功能）</w:t>
      </w:r>
      <w:r>
        <w:rPr>
          <w:rFonts w:hint="eastAsia" w:ascii="宋体" w:hAnsi="宋体"/>
          <w:color w:val="000000"/>
          <w:kern w:val="2"/>
          <w:sz w:val="24"/>
          <w:szCs w:val="22"/>
        </w:rPr>
        <w:t>；</w:t>
      </w:r>
    </w:p>
    <w:p w14:paraId="30DFDBD2">
      <w:pPr>
        <w:spacing w:line="360" w:lineRule="auto"/>
        <w:rPr>
          <w:rFonts w:hint="eastAsia" w:ascii="宋体" w:hAnsi="宋体"/>
          <w:color w:val="000000"/>
          <w:kern w:val="2"/>
          <w:sz w:val="24"/>
          <w:szCs w:val="22"/>
        </w:rPr>
      </w:pPr>
      <w:r>
        <w:rPr>
          <w:rFonts w:hint="eastAsia" w:ascii="宋体" w:hAnsi="宋体" w:cs="宋体"/>
          <w:color w:val="000000"/>
          <w:szCs w:val="22"/>
        </w:rPr>
        <w:t>▲</w:t>
      </w:r>
      <w:r>
        <w:rPr>
          <w:rFonts w:hint="eastAsia" w:ascii="宋体" w:hAnsi="宋体"/>
          <w:color w:val="000000"/>
          <w:kern w:val="2"/>
          <w:sz w:val="24"/>
          <w:szCs w:val="22"/>
        </w:rPr>
        <w:t>支持节目单自动计时和节目单自动纠错</w:t>
      </w:r>
      <w:r>
        <w:rPr>
          <w:rFonts w:hint="eastAsia" w:ascii="宋体" w:hAnsi="宋体"/>
          <w:b/>
          <w:bCs/>
          <w:color w:val="000000"/>
          <w:kern w:val="2"/>
          <w:sz w:val="24"/>
          <w:szCs w:val="22"/>
        </w:rPr>
        <w:t>（提供国家认可的有资质的第三方检测机构出具的检测报告扫描件,检测内容需包含此功能）</w:t>
      </w:r>
      <w:r>
        <w:rPr>
          <w:rFonts w:hint="eastAsia" w:ascii="宋体" w:hAnsi="宋体" w:cs="宋体"/>
          <w:color w:val="000000"/>
          <w:szCs w:val="22"/>
        </w:rPr>
        <w:t>▲</w:t>
      </w:r>
      <w:r>
        <w:rPr>
          <w:rFonts w:hint="eastAsia" w:ascii="宋体" w:hAnsi="宋体"/>
          <w:color w:val="000000"/>
          <w:kern w:val="2"/>
          <w:sz w:val="24"/>
          <w:szCs w:val="22"/>
        </w:rPr>
        <w:t>支持对节目播出情况进行实时监测、记录和告警</w:t>
      </w:r>
      <w:r>
        <w:rPr>
          <w:rFonts w:hint="eastAsia" w:ascii="宋体" w:hAnsi="宋体"/>
          <w:b/>
          <w:bCs/>
          <w:color w:val="000000"/>
          <w:kern w:val="2"/>
          <w:sz w:val="24"/>
          <w:szCs w:val="22"/>
        </w:rPr>
        <w:t>（提供国家认可的有资质的第三方检测机构出具的检测报告扫描件,检测内容需包含此功能）</w:t>
      </w:r>
    </w:p>
    <w:p w14:paraId="1700D345">
      <w:pPr>
        <w:keepNext/>
        <w:keepLines/>
        <w:spacing w:before="260" w:after="260" w:line="416" w:lineRule="auto"/>
        <w:outlineLvl w:val="2"/>
        <w:rPr>
          <w:rFonts w:hint="eastAsia" w:ascii="宋体" w:hAnsi="宋体"/>
          <w:b/>
          <w:color w:val="000000"/>
          <w:kern w:val="2"/>
          <w:sz w:val="28"/>
          <w:szCs w:val="24"/>
        </w:rPr>
      </w:pPr>
      <w:r>
        <w:rPr>
          <w:rFonts w:hint="eastAsia" w:ascii="宋体" w:hAnsi="宋体"/>
          <w:b/>
          <w:color w:val="000000"/>
          <w:kern w:val="2"/>
          <w:sz w:val="28"/>
          <w:szCs w:val="24"/>
        </w:rPr>
        <w:t>4、上载/审片技术要求</w:t>
      </w:r>
    </w:p>
    <w:p w14:paraId="15B5B897">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具有录像机采集、DVD光盘、高标清蓝光盘、P2卡节目上载以及文件转码上载功能,需要兼容N制和P制、声道选择、字幕选择上载以及多格式的上载转码；具备根据实际情况将素材送高清播出功能。</w:t>
      </w:r>
    </w:p>
    <w:p w14:paraId="77772702">
      <w:pPr>
        <w:keepNext/>
        <w:keepLines/>
        <w:spacing w:before="260" w:after="260" w:line="416" w:lineRule="auto"/>
        <w:outlineLvl w:val="2"/>
        <w:rPr>
          <w:rFonts w:hint="eastAsia" w:ascii="宋体" w:hAnsi="宋体"/>
          <w:b/>
          <w:bCs/>
          <w:color w:val="000000"/>
          <w:kern w:val="2"/>
          <w:sz w:val="32"/>
          <w:szCs w:val="32"/>
        </w:rPr>
      </w:pPr>
      <w:r>
        <w:rPr>
          <w:rFonts w:hint="eastAsia" w:ascii="宋体" w:hAnsi="宋体"/>
          <w:b/>
          <w:color w:val="000000"/>
          <w:kern w:val="2"/>
          <w:sz w:val="28"/>
          <w:szCs w:val="24"/>
        </w:rPr>
        <w:t>5、</w:t>
      </w:r>
      <w:r>
        <w:rPr>
          <w:rFonts w:hint="eastAsia" w:ascii="宋体" w:hAnsi="宋体"/>
          <w:b/>
          <w:bCs/>
          <w:color w:val="000000"/>
          <w:kern w:val="2"/>
          <w:sz w:val="32"/>
          <w:szCs w:val="32"/>
        </w:rPr>
        <w:t>播出系统后台要求</w:t>
      </w:r>
    </w:p>
    <w:p w14:paraId="312073BC">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1、播出应用服务器：将整个系统的节目素材使用情况进行统计划分，制定合理、安全、高效的迁移存储方案及计划，完成播出文件在视频服务器与二级存储之间的自动调度、迁移、管理、转码工作；完成播出系统与其他网络系统的元数据交换，素材的智能迁移工作，迁移软件可以根据不同需要手动制定不同的素材迁移策略，在自动或定时实现迁移的同时可以手动设定优先级以保证紧急迁移。</w:t>
      </w:r>
    </w:p>
    <w:p w14:paraId="4504BE73">
      <w:pPr>
        <w:spacing w:line="360" w:lineRule="auto"/>
        <w:ind w:firstLine="420" w:firstLineChars="200"/>
        <w:rPr>
          <w:rFonts w:hint="eastAsia" w:ascii="宋体" w:hAnsi="宋体"/>
          <w:b/>
          <w:bCs/>
          <w:color w:val="000000"/>
          <w:kern w:val="2"/>
          <w:sz w:val="24"/>
          <w:szCs w:val="22"/>
          <w:shd w:val="clear" w:color="auto" w:fill="FFFF00"/>
        </w:rPr>
      </w:pPr>
      <w:r>
        <w:rPr>
          <w:rFonts w:hint="eastAsia" w:ascii="宋体" w:hAnsi="宋体" w:cs="宋体"/>
          <w:color w:val="000000"/>
          <w:szCs w:val="22"/>
        </w:rPr>
        <w:t>▲</w:t>
      </w:r>
      <w:r>
        <w:rPr>
          <w:rFonts w:hint="eastAsia" w:ascii="宋体" w:hAnsi="宋体"/>
          <w:color w:val="000000"/>
          <w:kern w:val="2"/>
          <w:sz w:val="24"/>
          <w:szCs w:val="22"/>
        </w:rPr>
        <w:t>2、上载、审片软件统一部署，素材上载完毕可直接人工对素材进行审核或发送技审服务器完成对素材内容</w:t>
      </w:r>
      <w:r>
        <w:rPr>
          <w:rFonts w:ascii="宋体" w:hAnsi="宋体"/>
          <w:color w:val="000000"/>
          <w:kern w:val="2"/>
          <w:sz w:val="24"/>
          <w:szCs w:val="22"/>
        </w:rPr>
        <w:t>的</w:t>
      </w:r>
      <w:r>
        <w:rPr>
          <w:rFonts w:hint="eastAsia" w:ascii="宋体" w:hAnsi="宋体"/>
          <w:color w:val="000000"/>
          <w:kern w:val="2"/>
          <w:sz w:val="24"/>
          <w:szCs w:val="22"/>
        </w:rPr>
        <w:t>审查并反馈技审结果，自动技审内容选型包括：黑场检测、彩条段</w:t>
      </w:r>
      <w:r>
        <w:rPr>
          <w:rFonts w:ascii="宋体" w:hAnsi="宋体"/>
          <w:color w:val="000000"/>
          <w:kern w:val="2"/>
          <w:sz w:val="24"/>
          <w:szCs w:val="22"/>
        </w:rPr>
        <w:t>检测</w:t>
      </w:r>
      <w:r>
        <w:rPr>
          <w:rFonts w:hint="eastAsia" w:ascii="宋体" w:hAnsi="宋体"/>
          <w:color w:val="000000"/>
          <w:kern w:val="2"/>
          <w:sz w:val="24"/>
          <w:szCs w:val="22"/>
        </w:rPr>
        <w:t>、单色段</w:t>
      </w:r>
      <w:r>
        <w:rPr>
          <w:rFonts w:ascii="宋体" w:hAnsi="宋体"/>
          <w:color w:val="000000"/>
          <w:kern w:val="2"/>
          <w:sz w:val="24"/>
          <w:szCs w:val="22"/>
        </w:rPr>
        <w:t>检测</w:t>
      </w:r>
      <w:r>
        <w:rPr>
          <w:rFonts w:hint="eastAsia" w:ascii="宋体" w:hAnsi="宋体"/>
          <w:color w:val="000000"/>
          <w:kern w:val="2"/>
          <w:sz w:val="24"/>
          <w:szCs w:val="22"/>
        </w:rPr>
        <w:t>、雪花场</w:t>
      </w:r>
      <w:r>
        <w:rPr>
          <w:rFonts w:ascii="宋体" w:hAnsi="宋体"/>
          <w:color w:val="000000"/>
          <w:kern w:val="2"/>
          <w:sz w:val="24"/>
          <w:szCs w:val="22"/>
        </w:rPr>
        <w:t>检测</w:t>
      </w:r>
      <w:r>
        <w:rPr>
          <w:rFonts w:hint="eastAsia" w:ascii="宋体" w:hAnsi="宋体"/>
          <w:color w:val="000000"/>
          <w:kern w:val="2"/>
          <w:sz w:val="24"/>
          <w:szCs w:val="22"/>
        </w:rPr>
        <w:t>、色彩丢失段</w:t>
      </w:r>
      <w:r>
        <w:rPr>
          <w:rFonts w:ascii="宋体" w:hAnsi="宋体"/>
          <w:color w:val="000000"/>
          <w:kern w:val="2"/>
          <w:sz w:val="24"/>
          <w:szCs w:val="22"/>
        </w:rPr>
        <w:t>检测</w:t>
      </w:r>
      <w:r>
        <w:rPr>
          <w:rFonts w:hint="eastAsia" w:ascii="宋体" w:hAnsi="宋体"/>
          <w:color w:val="000000"/>
          <w:kern w:val="2"/>
          <w:sz w:val="24"/>
          <w:szCs w:val="22"/>
        </w:rPr>
        <w:t>、静帧段</w:t>
      </w:r>
      <w:r>
        <w:rPr>
          <w:rFonts w:ascii="宋体" w:hAnsi="宋体"/>
          <w:color w:val="000000"/>
          <w:kern w:val="2"/>
          <w:sz w:val="24"/>
          <w:szCs w:val="22"/>
        </w:rPr>
        <w:t>检测</w:t>
      </w:r>
      <w:r>
        <w:rPr>
          <w:rFonts w:hint="eastAsia" w:ascii="宋体" w:hAnsi="宋体"/>
          <w:color w:val="000000"/>
          <w:kern w:val="2"/>
          <w:sz w:val="24"/>
          <w:szCs w:val="22"/>
        </w:rPr>
        <w:t>、亮度</w:t>
      </w:r>
      <w:r>
        <w:rPr>
          <w:rFonts w:ascii="宋体" w:hAnsi="宋体"/>
          <w:color w:val="000000"/>
          <w:kern w:val="2"/>
          <w:sz w:val="24"/>
          <w:szCs w:val="22"/>
        </w:rPr>
        <w:t>超标检测</w:t>
      </w:r>
      <w:r>
        <w:rPr>
          <w:rFonts w:hint="eastAsia" w:ascii="宋体" w:hAnsi="宋体"/>
          <w:color w:val="000000"/>
          <w:kern w:val="2"/>
          <w:sz w:val="24"/>
          <w:szCs w:val="22"/>
        </w:rPr>
        <w:t>；色度超标</w:t>
      </w:r>
      <w:r>
        <w:rPr>
          <w:rFonts w:ascii="宋体" w:hAnsi="宋体"/>
          <w:color w:val="000000"/>
          <w:kern w:val="2"/>
          <w:sz w:val="24"/>
          <w:szCs w:val="22"/>
        </w:rPr>
        <w:t>检测</w:t>
      </w:r>
      <w:r>
        <w:rPr>
          <w:rFonts w:hint="eastAsia" w:ascii="宋体" w:hAnsi="宋体"/>
          <w:color w:val="000000"/>
          <w:kern w:val="2"/>
          <w:sz w:val="24"/>
          <w:szCs w:val="22"/>
        </w:rPr>
        <w:t>、RGB超标</w:t>
      </w:r>
      <w:r>
        <w:rPr>
          <w:rFonts w:ascii="宋体" w:hAnsi="宋体"/>
          <w:color w:val="000000"/>
          <w:kern w:val="2"/>
          <w:sz w:val="24"/>
          <w:szCs w:val="22"/>
        </w:rPr>
        <w:t>检测，</w:t>
      </w:r>
      <w:r>
        <w:rPr>
          <w:rFonts w:hint="eastAsia" w:ascii="宋体" w:hAnsi="宋体"/>
          <w:color w:val="000000"/>
          <w:kern w:val="2"/>
          <w:sz w:val="24"/>
          <w:szCs w:val="22"/>
        </w:rPr>
        <w:t>Y</w:t>
      </w:r>
      <w:r>
        <w:rPr>
          <w:rFonts w:ascii="宋体" w:hAnsi="宋体"/>
          <w:color w:val="000000"/>
          <w:kern w:val="2"/>
          <w:sz w:val="24"/>
          <w:szCs w:val="22"/>
        </w:rPr>
        <w:t>UV</w:t>
      </w:r>
      <w:r>
        <w:rPr>
          <w:rFonts w:hint="eastAsia" w:ascii="宋体" w:hAnsi="宋体"/>
          <w:color w:val="000000"/>
          <w:kern w:val="2"/>
          <w:sz w:val="24"/>
          <w:szCs w:val="22"/>
        </w:rPr>
        <w:t>超标</w:t>
      </w:r>
      <w:r>
        <w:rPr>
          <w:rFonts w:ascii="宋体" w:hAnsi="宋体"/>
          <w:color w:val="000000"/>
          <w:kern w:val="2"/>
          <w:sz w:val="24"/>
          <w:szCs w:val="22"/>
        </w:rPr>
        <w:t>检测</w:t>
      </w:r>
      <w:r>
        <w:rPr>
          <w:rFonts w:hint="eastAsia" w:ascii="宋体" w:hAnsi="宋体"/>
          <w:color w:val="000000"/>
          <w:kern w:val="2"/>
          <w:sz w:val="24"/>
          <w:szCs w:val="22"/>
        </w:rPr>
        <w:t>、</w:t>
      </w:r>
      <w:r>
        <w:rPr>
          <w:rFonts w:ascii="宋体" w:hAnsi="宋体"/>
          <w:color w:val="000000"/>
          <w:kern w:val="2"/>
          <w:sz w:val="24"/>
          <w:szCs w:val="22"/>
        </w:rPr>
        <w:t>YC</w:t>
      </w:r>
      <w:r>
        <w:rPr>
          <w:rFonts w:hint="eastAsia" w:ascii="宋体" w:hAnsi="宋体"/>
          <w:color w:val="000000"/>
          <w:kern w:val="2"/>
          <w:sz w:val="24"/>
          <w:szCs w:val="22"/>
        </w:rPr>
        <w:t>超标</w:t>
      </w:r>
      <w:r>
        <w:rPr>
          <w:rFonts w:ascii="宋体" w:hAnsi="宋体"/>
          <w:color w:val="000000"/>
          <w:kern w:val="2"/>
          <w:sz w:val="24"/>
          <w:szCs w:val="22"/>
        </w:rPr>
        <w:t>检测</w:t>
      </w:r>
      <w:r>
        <w:rPr>
          <w:rFonts w:hint="eastAsia" w:ascii="宋体" w:hAnsi="宋体"/>
          <w:color w:val="000000"/>
          <w:kern w:val="2"/>
          <w:sz w:val="24"/>
          <w:szCs w:val="22"/>
        </w:rPr>
        <w:t>、蓝底检测、绿地检测、标清100</w:t>
      </w:r>
      <w:r>
        <w:rPr>
          <w:rFonts w:ascii="宋体" w:hAnsi="宋体"/>
          <w:color w:val="000000"/>
          <w:kern w:val="2"/>
          <w:sz w:val="24"/>
          <w:szCs w:val="22"/>
        </w:rPr>
        <w:t>%彩条检测、标清</w:t>
      </w:r>
      <w:r>
        <w:rPr>
          <w:rFonts w:hint="eastAsia" w:ascii="宋体" w:hAnsi="宋体"/>
          <w:color w:val="000000"/>
          <w:kern w:val="2"/>
          <w:sz w:val="24"/>
          <w:szCs w:val="22"/>
        </w:rPr>
        <w:t>75</w:t>
      </w:r>
      <w:r>
        <w:rPr>
          <w:rFonts w:ascii="宋体" w:hAnsi="宋体"/>
          <w:color w:val="000000"/>
          <w:kern w:val="2"/>
          <w:sz w:val="24"/>
          <w:szCs w:val="22"/>
        </w:rPr>
        <w:t>%彩条检测、高清</w:t>
      </w:r>
      <w:r>
        <w:rPr>
          <w:rFonts w:hint="eastAsia" w:ascii="宋体" w:hAnsi="宋体"/>
          <w:color w:val="000000"/>
          <w:kern w:val="2"/>
          <w:sz w:val="24"/>
          <w:szCs w:val="22"/>
        </w:rPr>
        <w:t>100</w:t>
      </w:r>
      <w:r>
        <w:rPr>
          <w:rFonts w:ascii="宋体" w:hAnsi="宋体"/>
          <w:color w:val="000000"/>
          <w:kern w:val="2"/>
          <w:sz w:val="24"/>
          <w:szCs w:val="22"/>
        </w:rPr>
        <w:t>%彩条检测、高清</w:t>
      </w:r>
      <w:r>
        <w:rPr>
          <w:rFonts w:hint="eastAsia" w:ascii="宋体" w:hAnsi="宋体"/>
          <w:color w:val="000000"/>
          <w:kern w:val="2"/>
          <w:sz w:val="24"/>
          <w:szCs w:val="22"/>
        </w:rPr>
        <w:t>75</w:t>
      </w:r>
      <w:r>
        <w:rPr>
          <w:rFonts w:ascii="宋体" w:hAnsi="宋体"/>
          <w:color w:val="000000"/>
          <w:kern w:val="2"/>
          <w:sz w:val="24"/>
          <w:szCs w:val="22"/>
        </w:rPr>
        <w:t>%彩条检测</w:t>
      </w:r>
      <w:r>
        <w:rPr>
          <w:rFonts w:hint="eastAsia" w:ascii="宋体" w:hAnsi="宋体"/>
          <w:color w:val="000000"/>
          <w:kern w:val="2"/>
          <w:sz w:val="24"/>
          <w:szCs w:val="22"/>
        </w:rPr>
        <w:t>、SMPTE彩条</w:t>
      </w:r>
      <w:r>
        <w:rPr>
          <w:rFonts w:ascii="宋体" w:hAnsi="宋体"/>
          <w:color w:val="000000"/>
          <w:kern w:val="2"/>
          <w:sz w:val="24"/>
          <w:szCs w:val="22"/>
        </w:rPr>
        <w:t>检测、</w:t>
      </w:r>
      <w:r>
        <w:rPr>
          <w:rFonts w:hint="eastAsia" w:ascii="宋体" w:hAnsi="宋体"/>
          <w:color w:val="000000"/>
          <w:kern w:val="2"/>
          <w:sz w:val="24"/>
          <w:szCs w:val="22"/>
        </w:rPr>
        <w:t>幅型</w:t>
      </w:r>
      <w:r>
        <w:rPr>
          <w:rFonts w:ascii="宋体" w:hAnsi="宋体"/>
          <w:color w:val="000000"/>
          <w:kern w:val="2"/>
          <w:sz w:val="24"/>
          <w:szCs w:val="22"/>
        </w:rPr>
        <w:t>检测、</w:t>
      </w:r>
      <w:r>
        <w:rPr>
          <w:rFonts w:hint="eastAsia" w:ascii="宋体" w:hAnsi="宋体"/>
          <w:color w:val="000000"/>
          <w:kern w:val="2"/>
          <w:sz w:val="24"/>
          <w:szCs w:val="22"/>
        </w:rPr>
        <w:t>夹</w:t>
      </w:r>
      <w:r>
        <w:rPr>
          <w:rFonts w:ascii="宋体" w:hAnsi="宋体"/>
          <w:color w:val="000000"/>
          <w:kern w:val="2"/>
          <w:sz w:val="24"/>
          <w:szCs w:val="22"/>
        </w:rPr>
        <w:t>帧检测、</w:t>
      </w:r>
      <w:r>
        <w:rPr>
          <w:rFonts w:hint="eastAsia" w:ascii="宋体" w:hAnsi="宋体"/>
          <w:color w:val="000000"/>
          <w:kern w:val="2"/>
          <w:sz w:val="24"/>
          <w:szCs w:val="22"/>
        </w:rPr>
        <w:t>花屏</w:t>
      </w:r>
      <w:r>
        <w:rPr>
          <w:rFonts w:ascii="宋体" w:hAnsi="宋体"/>
          <w:color w:val="000000"/>
          <w:kern w:val="2"/>
          <w:sz w:val="24"/>
          <w:szCs w:val="22"/>
        </w:rPr>
        <w:t>检测、音频静音段检测、音量超标检测、音频</w:t>
      </w:r>
      <w:r>
        <w:rPr>
          <w:rFonts w:hint="eastAsia" w:ascii="宋体" w:hAnsi="宋体"/>
          <w:color w:val="000000"/>
          <w:kern w:val="2"/>
          <w:sz w:val="24"/>
          <w:szCs w:val="22"/>
        </w:rPr>
        <w:t>削波</w:t>
      </w:r>
      <w:r>
        <w:rPr>
          <w:rFonts w:ascii="宋体" w:hAnsi="宋体"/>
          <w:color w:val="000000"/>
          <w:kern w:val="2"/>
          <w:sz w:val="24"/>
          <w:szCs w:val="22"/>
        </w:rPr>
        <w:t>检测、音频音量峰值检测、</w:t>
      </w:r>
      <w:r>
        <w:rPr>
          <w:rFonts w:hint="eastAsia" w:ascii="宋体" w:hAnsi="宋体"/>
          <w:color w:val="000000"/>
          <w:kern w:val="2"/>
          <w:sz w:val="24"/>
          <w:szCs w:val="22"/>
        </w:rPr>
        <w:t>音频</w:t>
      </w:r>
      <w:r>
        <w:rPr>
          <w:rFonts w:ascii="宋体" w:hAnsi="宋体"/>
          <w:color w:val="000000"/>
          <w:kern w:val="2"/>
          <w:sz w:val="24"/>
          <w:szCs w:val="22"/>
        </w:rPr>
        <w:t>直流偏移检测、音频响度检测、音频不可</w:t>
      </w:r>
      <w:r>
        <w:rPr>
          <w:rFonts w:hint="eastAsia" w:ascii="宋体" w:hAnsi="宋体"/>
          <w:color w:val="000000"/>
          <w:kern w:val="2"/>
          <w:sz w:val="24"/>
          <w:szCs w:val="22"/>
        </w:rPr>
        <w:t>听</w:t>
      </w:r>
      <w:r>
        <w:rPr>
          <w:rFonts w:ascii="宋体" w:hAnsi="宋体"/>
          <w:color w:val="000000"/>
          <w:kern w:val="2"/>
          <w:sz w:val="24"/>
          <w:szCs w:val="22"/>
        </w:rPr>
        <w:t>检测、音频</w:t>
      </w:r>
      <w:r>
        <w:rPr>
          <w:rFonts w:hint="eastAsia" w:ascii="宋体" w:hAnsi="宋体"/>
          <w:color w:val="000000"/>
          <w:kern w:val="2"/>
          <w:sz w:val="24"/>
          <w:szCs w:val="22"/>
        </w:rPr>
        <w:t>立体声</w:t>
      </w:r>
      <w:r>
        <w:rPr>
          <w:rFonts w:ascii="宋体" w:hAnsi="宋体"/>
          <w:color w:val="000000"/>
          <w:kern w:val="2"/>
          <w:sz w:val="24"/>
          <w:szCs w:val="22"/>
        </w:rPr>
        <w:t>相位相反检测。</w:t>
      </w:r>
      <w:r>
        <w:rPr>
          <w:rFonts w:hint="eastAsia" w:ascii="宋体" w:hAnsi="宋体"/>
          <w:b/>
          <w:bCs/>
          <w:color w:val="000000"/>
          <w:kern w:val="2"/>
          <w:sz w:val="24"/>
          <w:szCs w:val="22"/>
        </w:rPr>
        <w:t>需提供检测此29项检测条件的选项软件界面截图。</w:t>
      </w:r>
    </w:p>
    <w:p w14:paraId="620B22BC">
      <w:pPr>
        <w:spacing w:line="360" w:lineRule="auto"/>
        <w:ind w:firstLine="420" w:firstLineChars="200"/>
        <w:rPr>
          <w:rFonts w:hint="eastAsia" w:ascii="宋体" w:hAnsi="宋体"/>
          <w:b/>
          <w:bCs/>
          <w:color w:val="000000"/>
          <w:kern w:val="2"/>
          <w:sz w:val="24"/>
          <w:szCs w:val="22"/>
        </w:rPr>
      </w:pPr>
      <w:r>
        <w:rPr>
          <w:rFonts w:hint="eastAsia" w:ascii="宋体" w:hAnsi="宋体" w:cs="宋体"/>
          <w:color w:val="000000"/>
          <w:szCs w:val="22"/>
        </w:rPr>
        <w:t>▲3、</w:t>
      </w:r>
      <w:r>
        <w:rPr>
          <w:rFonts w:hint="eastAsia" w:ascii="宋体" w:hAnsi="宋体"/>
          <w:color w:val="000000"/>
          <w:kern w:val="2"/>
          <w:sz w:val="24"/>
          <w:szCs w:val="22"/>
        </w:rPr>
        <w:t>媒体处理中心（自动技审及文件转码）可对视音频节目中的黑场、静音、彩条、静帧、R/G/B 超标、响度等进行自动技审，可设置的检测条件包含：时间阈值（帧）、抽查范围、亮度阈值、黑场像素百分比、dB 阈值、容错阈值、静帧像素百分比、分量误差阈值、响度阈值等。需提供媒体处理中心（自动技审及文件转码），</w:t>
      </w:r>
      <w:r>
        <w:rPr>
          <w:rFonts w:hint="eastAsia" w:ascii="宋体" w:hAnsi="宋体"/>
          <w:b/>
          <w:bCs/>
          <w:color w:val="000000"/>
          <w:kern w:val="2"/>
          <w:sz w:val="24"/>
          <w:szCs w:val="22"/>
        </w:rPr>
        <w:t>国家认可的有资质的第三方检测机构出具的检测报告扫描件,检测内容需包含此功能。</w:t>
      </w:r>
    </w:p>
    <w:p w14:paraId="604061C8">
      <w:pPr>
        <w:spacing w:line="360" w:lineRule="auto"/>
        <w:ind w:firstLine="420" w:firstLineChars="200"/>
        <w:rPr>
          <w:rFonts w:hint="eastAsia" w:ascii="宋体" w:hAnsi="宋体"/>
          <w:b/>
          <w:bCs/>
          <w:color w:val="000000"/>
          <w:kern w:val="2"/>
          <w:sz w:val="24"/>
          <w:szCs w:val="22"/>
        </w:rPr>
      </w:pPr>
      <w:r>
        <w:rPr>
          <w:rFonts w:hint="eastAsia" w:ascii="宋体" w:hAnsi="宋体" w:cs="宋体"/>
          <w:color w:val="000000"/>
          <w:szCs w:val="22"/>
        </w:rPr>
        <w:t>▲4、</w:t>
      </w:r>
      <w:r>
        <w:rPr>
          <w:rFonts w:hint="eastAsia" w:ascii="宋体" w:hAnsi="宋体"/>
          <w:color w:val="000000"/>
          <w:kern w:val="2"/>
          <w:sz w:val="24"/>
          <w:szCs w:val="22"/>
        </w:rPr>
        <w:t>媒体处理中心须支持将高清视频制作格式(码率为 100Mbps，封装格式为 AVI)的节目转码为播出格式(码率为 50Mbps、编码格式为 MPEG2 IBP、封装格式为 MXF OP1a)和新媒体格式(码率为 8Mbps、编码格式为 H.264、封装格式为 MP4)。需提供媒体处理中心（自动技审及文件转码），</w:t>
      </w:r>
      <w:r>
        <w:rPr>
          <w:rFonts w:hint="eastAsia" w:ascii="宋体" w:hAnsi="宋体"/>
          <w:b/>
          <w:bCs/>
          <w:color w:val="000000"/>
          <w:kern w:val="2"/>
          <w:sz w:val="24"/>
          <w:szCs w:val="22"/>
        </w:rPr>
        <w:t>提供国家认可的有资质的第三方检测机构出具的检测报告扫描件,检测内容需包含此功能。</w:t>
      </w:r>
    </w:p>
    <w:p w14:paraId="20F42D8B">
      <w:pPr>
        <w:spacing w:line="360" w:lineRule="auto"/>
        <w:ind w:firstLine="482" w:firstLineChars="200"/>
        <w:rPr>
          <w:rFonts w:hint="eastAsia" w:ascii="宋体" w:hAnsi="宋体"/>
          <w:b/>
          <w:bCs/>
          <w:color w:val="000000"/>
          <w:kern w:val="2"/>
          <w:sz w:val="24"/>
          <w:szCs w:val="22"/>
        </w:rPr>
      </w:pPr>
      <w:r>
        <w:rPr>
          <w:rFonts w:hint="eastAsia" w:ascii="宋体" w:hAnsi="宋体"/>
          <w:b/>
          <w:bCs/>
          <w:color w:val="000000"/>
          <w:kern w:val="2"/>
          <w:sz w:val="24"/>
          <w:szCs w:val="22"/>
        </w:rPr>
        <w:t>4、播出系统管理技术要求</w:t>
      </w:r>
    </w:p>
    <w:p w14:paraId="5283F8F3">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播出素材需提供待审素材库、审核素材库、播出素材库的三级库管理；只有通过审核并在审核素材库中的素材才能被添加到播出节目单中（已审核素材不能被替换），从而有效的保障播出节目内容的安全；</w:t>
      </w:r>
    </w:p>
    <w:p w14:paraId="2BF258BF">
      <w:pPr>
        <w:spacing w:line="360" w:lineRule="auto"/>
        <w:ind w:firstLine="480" w:firstLineChars="200"/>
        <w:rPr>
          <w:rFonts w:hint="eastAsia" w:ascii="宋体" w:hAnsi="宋体"/>
          <w:bCs/>
          <w:color w:val="000000"/>
          <w:kern w:val="2"/>
          <w:sz w:val="28"/>
          <w:szCs w:val="24"/>
        </w:rPr>
      </w:pPr>
      <w:r>
        <w:rPr>
          <w:rFonts w:hint="eastAsia" w:ascii="宋体" w:hAnsi="宋体"/>
          <w:color w:val="000000"/>
          <w:kern w:val="2"/>
          <w:sz w:val="24"/>
          <w:szCs w:val="22"/>
        </w:rPr>
        <w:t>具备用户权限管理，对播出系统中的不同部门的使用人员控制其使用范围和使用权限；具备日志管理，可对系统中的所有重要操作信息及错误日志进行记录。</w:t>
      </w:r>
    </w:p>
    <w:p w14:paraId="0B436265">
      <w:pPr>
        <w:keepNext/>
        <w:keepLines/>
        <w:spacing w:before="260" w:after="260" w:line="416" w:lineRule="auto"/>
        <w:outlineLvl w:val="2"/>
        <w:rPr>
          <w:rFonts w:hint="eastAsia" w:ascii="宋体" w:hAnsi="宋体"/>
          <w:b/>
          <w:color w:val="000000"/>
          <w:kern w:val="2"/>
          <w:sz w:val="28"/>
          <w:szCs w:val="24"/>
        </w:rPr>
      </w:pPr>
      <w:r>
        <w:rPr>
          <w:rFonts w:hint="eastAsia" w:ascii="宋体" w:hAnsi="宋体"/>
          <w:b/>
          <w:color w:val="000000"/>
          <w:kern w:val="2"/>
          <w:sz w:val="28"/>
          <w:szCs w:val="24"/>
        </w:rPr>
        <w:t>6、信号同步与较时技术要求</w:t>
      </w:r>
    </w:p>
    <w:p w14:paraId="3322695A">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播出系统同步是指各播出信号到达播控切换器时所有信号的同步时基、相位均精确一致，且各项技术指标都符合广播级标准。同步信号发生器输出的BB同步信号输出作为整个全台的主备同步信号向系统中所有需要同步锁相的设备提供BB信号。同步子系统主要负责向播出系统提供统一同步基准信号，主要由</w:t>
      </w:r>
      <w:r>
        <w:rPr>
          <w:rFonts w:ascii="宋体" w:hAnsi="宋体"/>
          <w:color w:val="000000"/>
          <w:kern w:val="2"/>
          <w:sz w:val="24"/>
          <w:szCs w:val="22"/>
        </w:rPr>
        <w:t>1</w:t>
      </w:r>
      <w:r>
        <w:rPr>
          <w:rFonts w:hint="eastAsia" w:ascii="宋体" w:hAnsi="宋体"/>
          <w:color w:val="000000"/>
          <w:kern w:val="2"/>
          <w:sz w:val="24"/>
          <w:szCs w:val="22"/>
        </w:rPr>
        <w:t>台同步机及同步倒换器组成主备同步系统，采用同步信号分配向系统输送统一同步基准信号。</w:t>
      </w:r>
    </w:p>
    <w:p w14:paraId="4A305F10">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通过北斗时间同步设备首先将将服务器本机时间和北京标准时间完全同步，然后通过网络系统可方便的将网络中的所有站点本机和播出服务器时间达到同步，从而完成整个系统本机时间和北京标准时间的同步。</w:t>
      </w:r>
    </w:p>
    <w:p w14:paraId="3CBBB996">
      <w:pPr>
        <w:keepNext/>
        <w:keepLines/>
        <w:spacing w:before="260" w:after="260" w:line="416" w:lineRule="auto"/>
        <w:outlineLvl w:val="2"/>
        <w:rPr>
          <w:rFonts w:hint="eastAsia" w:ascii="宋体" w:hAnsi="宋体"/>
          <w:b/>
          <w:color w:val="000000"/>
          <w:kern w:val="2"/>
          <w:sz w:val="28"/>
          <w:szCs w:val="24"/>
        </w:rPr>
      </w:pPr>
      <w:bookmarkStart w:id="192" w:name="_Toc462054516"/>
      <w:r>
        <w:rPr>
          <w:rFonts w:hint="eastAsia" w:ascii="宋体" w:hAnsi="宋体"/>
          <w:b/>
          <w:color w:val="000000"/>
          <w:kern w:val="2"/>
          <w:sz w:val="28"/>
          <w:szCs w:val="24"/>
        </w:rPr>
        <w:t>7、系统统计管理</w:t>
      </w:r>
      <w:bookmarkEnd w:id="192"/>
    </w:p>
    <w:p w14:paraId="08CB81FE">
      <w:pPr>
        <w:numPr>
          <w:ilvl w:val="0"/>
          <w:numId w:val="6"/>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具备对各类节目素材按时间段进行播出次数、播出时间的查询、统计、打印等；</w:t>
      </w:r>
    </w:p>
    <w:p w14:paraId="0246A03B">
      <w:pPr>
        <w:numPr>
          <w:ilvl w:val="0"/>
          <w:numId w:val="6"/>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具备对各类图文按时间段进行播出次数、播出时间的查询、打印；</w:t>
      </w:r>
    </w:p>
    <w:p w14:paraId="6A7D9853">
      <w:pPr>
        <w:numPr>
          <w:ilvl w:val="0"/>
          <w:numId w:val="6"/>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具备频道管理、用户管理、设备管理、日志（上机日志、操作日志）管理、存储空间管理等功能；</w:t>
      </w:r>
    </w:p>
    <w:p w14:paraId="6F499E64">
      <w:pPr>
        <w:numPr>
          <w:ilvl w:val="0"/>
          <w:numId w:val="6"/>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具备用户帐户对存储访问、素材访问、软件模块访问权限分配管理。</w:t>
      </w:r>
    </w:p>
    <w:p w14:paraId="764E44EE">
      <w:pPr>
        <w:keepNext/>
        <w:keepLines/>
        <w:spacing w:before="260" w:after="260" w:line="416" w:lineRule="auto"/>
        <w:outlineLvl w:val="2"/>
        <w:rPr>
          <w:rFonts w:hint="eastAsia" w:ascii="宋体" w:hAnsi="宋体"/>
          <w:b/>
          <w:color w:val="000000"/>
          <w:kern w:val="2"/>
          <w:sz w:val="28"/>
          <w:szCs w:val="24"/>
        </w:rPr>
      </w:pPr>
      <w:r>
        <w:rPr>
          <w:rFonts w:ascii="宋体" w:hAnsi="宋体"/>
          <w:b/>
          <w:color w:val="000000"/>
          <w:kern w:val="2"/>
          <w:sz w:val="28"/>
          <w:szCs w:val="24"/>
        </w:rPr>
        <w:t>8</w:t>
      </w:r>
      <w:r>
        <w:rPr>
          <w:rFonts w:hint="eastAsia" w:ascii="宋体" w:hAnsi="宋体"/>
          <w:b/>
          <w:color w:val="000000"/>
          <w:kern w:val="2"/>
          <w:sz w:val="28"/>
          <w:szCs w:val="24"/>
        </w:rPr>
        <w:t>、播出周边设备要求</w:t>
      </w:r>
    </w:p>
    <w:p w14:paraId="33B7602A">
      <w:pPr>
        <w:numPr>
          <w:ilvl w:val="0"/>
          <w:numId w:val="7"/>
        </w:numPr>
        <w:spacing w:line="360" w:lineRule="auto"/>
        <w:ind w:firstLine="482" w:firstLineChars="200"/>
        <w:rPr>
          <w:rFonts w:hint="eastAsia" w:ascii="宋体" w:hAnsi="宋体"/>
          <w:b/>
          <w:bCs/>
          <w:color w:val="000000"/>
          <w:kern w:val="2"/>
          <w:sz w:val="24"/>
          <w:szCs w:val="22"/>
        </w:rPr>
      </w:pPr>
      <w:r>
        <w:rPr>
          <w:rFonts w:hint="eastAsia" w:ascii="宋体" w:hAnsi="宋体"/>
          <w:b/>
          <w:bCs/>
          <w:color w:val="000000"/>
          <w:kern w:val="2"/>
          <w:sz w:val="24"/>
          <w:szCs w:val="22"/>
        </w:rPr>
        <w:t>播出周边设备要求</w:t>
      </w:r>
    </w:p>
    <w:p w14:paraId="1CF0EEEC">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周边设备技术指标必须达到国家广电总局相关标准。所有周边设备应是在省、市级电视台有广泛应用的产品。</w:t>
      </w:r>
    </w:p>
    <w:p w14:paraId="620A8808">
      <w:pPr>
        <w:numPr>
          <w:ilvl w:val="0"/>
          <w:numId w:val="8"/>
        </w:num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主备双时基数字高清切换器</w:t>
      </w:r>
    </w:p>
    <w:p w14:paraId="491192DE">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（1）1U机架式主机，全硬件架构，双电源；数码管显示信号使用状态</w:t>
      </w:r>
    </w:p>
    <w:p w14:paraId="423C2112">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 xml:space="preserve">（2）16路HD-SDI输入，带线缆均衡，3路PGM、2路PST、1路HDMI输出，帧同步；        </w:t>
      </w:r>
    </w:p>
    <w:p w14:paraId="17CD81E3">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（3）自带本地按键控制面板及3个RS232/RS422控制接口，支持实时仲裁切换；</w:t>
      </w:r>
    </w:p>
    <w:p w14:paraId="41FCACD8">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内置双时基，输入信号无需同步时切换输出无闪烁、抖动</w:t>
      </w:r>
    </w:p>
    <w:p w14:paraId="157FA9F8">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 xml:space="preserve">（4）支持掉电直通，支持外同步无缝切换。     </w:t>
      </w:r>
    </w:p>
    <w:p w14:paraId="5DA85E37">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（5）含切换器遥控面板</w:t>
      </w:r>
    </w:p>
    <w:p w14:paraId="1F335CFE">
      <w:pPr>
        <w:spacing w:line="360" w:lineRule="auto"/>
        <w:ind w:firstLine="482" w:firstLineChars="200"/>
        <w:rPr>
          <w:rFonts w:hint="eastAsia" w:ascii="宋体" w:hAnsi="宋体"/>
          <w:color w:val="000000"/>
          <w:kern w:val="2"/>
          <w:sz w:val="24"/>
          <w:szCs w:val="22"/>
        </w:rPr>
      </w:pPr>
      <w:r>
        <w:rPr>
          <w:rFonts w:hint="eastAsia" w:ascii="宋体" w:hAnsi="宋体"/>
          <w:b/>
          <w:bCs/>
          <w:color w:val="000000"/>
          <w:kern w:val="2"/>
          <w:sz w:val="24"/>
          <w:szCs w:val="22"/>
        </w:rPr>
        <w:t>▲投标时需提供产品彩页，彩页中须包含以上功能内容</w:t>
      </w:r>
    </w:p>
    <w:p w14:paraId="10833D2A">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2、高清数字响度处理器</w:t>
      </w:r>
    </w:p>
    <w:p w14:paraId="15CE3347">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（1）1U机箱，双电源；</w:t>
      </w:r>
    </w:p>
    <w:p w14:paraId="2291D50E">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2）HD/SD-SDI嵌入音频自动增益控制，带本机面板，自动增益与手动增益选择，自带液晶显示屏可查看主机IP地址及各项配置参数，支持主机、控制面板、web三种方式进行输出信号参数配置；4个通道的音频表，支持UV/PPM二种显示模式，可对输入数字音频、输出数字音频响度、电平分别显示，可直观对比处理后的效果.</w:t>
      </w:r>
    </w:p>
    <w:p w14:paraId="4FA73EA5">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（3）支持外同步、内同步二种工作模式，支持行/场/色载波相位调整；</w:t>
      </w:r>
    </w:p>
    <w:p w14:paraId="5E1B217F">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4）支持选择需要的数字音频进行响度处理、混音处理、电平处理和指定通道输出；接口：一路嵌入HD/SD-SDI输入，1路BB输入；两路HD/SD-SDI输出（其中一路掉电旁通），两路模拟音频输出，一个RS422接口，1个232接口，1个网口（支持SNMP）；</w:t>
      </w:r>
    </w:p>
    <w:p w14:paraId="51E0F202">
      <w:pPr>
        <w:spacing w:line="360" w:lineRule="auto"/>
        <w:ind w:firstLine="482" w:firstLineChars="200"/>
        <w:rPr>
          <w:rFonts w:hint="eastAsia" w:ascii="宋体" w:hAnsi="宋体"/>
          <w:b/>
          <w:bCs/>
          <w:color w:val="000000"/>
          <w:kern w:val="2"/>
          <w:sz w:val="24"/>
          <w:szCs w:val="22"/>
        </w:rPr>
      </w:pPr>
      <w:r>
        <w:rPr>
          <w:rFonts w:hint="eastAsia" w:ascii="宋体" w:hAnsi="宋体"/>
          <w:b/>
          <w:bCs/>
          <w:color w:val="000000"/>
          <w:kern w:val="2"/>
          <w:sz w:val="24"/>
          <w:szCs w:val="22"/>
        </w:rPr>
        <w:t>▲投标时需提供产品彩页，彩页中须包含以上功能内容</w:t>
      </w:r>
    </w:p>
    <w:p w14:paraId="3DB10DA5">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3、4X1高清自动倒换</w:t>
      </w:r>
    </w:p>
    <w:p w14:paraId="4C654164">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（1）4路3G/HD/SD-SDI输入；2路3G/HD/SD-SDI分配输出；</w:t>
      </w:r>
    </w:p>
    <w:p w14:paraId="638A79FC">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（2）1路REF输入； RS-422\GPI控制接口输入；支持CLEAN SWITCH，对视频进行丢失/静帧/同步信号/EDH监测，对嵌入音频丢失/DBN/PARITY/CHECKSUM进行监测，异常时自动倒换。第一路输入断电直通。</w:t>
      </w:r>
    </w:p>
    <w:p w14:paraId="52769E86">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（3）含倒换器遥控面板，支持手动应急切换、按键锁定</w:t>
      </w:r>
    </w:p>
    <w:p w14:paraId="2BAC5CB0">
      <w:pPr>
        <w:spacing w:line="360" w:lineRule="auto"/>
        <w:ind w:firstLine="482" w:firstLineChars="200"/>
        <w:rPr>
          <w:rFonts w:hint="eastAsia" w:ascii="宋体" w:hAnsi="宋体"/>
          <w:b/>
          <w:bCs/>
          <w:color w:val="000000"/>
          <w:kern w:val="2"/>
          <w:sz w:val="24"/>
          <w:szCs w:val="22"/>
        </w:rPr>
      </w:pPr>
      <w:r>
        <w:rPr>
          <w:rFonts w:hint="eastAsia" w:ascii="宋体" w:hAnsi="宋体"/>
          <w:b/>
          <w:bCs/>
          <w:color w:val="000000"/>
          <w:kern w:val="2"/>
          <w:sz w:val="24"/>
          <w:szCs w:val="22"/>
        </w:rPr>
        <w:t>▲投标时需提供产品彩页，彩页中须包含以上功能内容。</w:t>
      </w:r>
    </w:p>
    <w:p w14:paraId="0E6C95E5">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4、16路主备同步信号发生器</w:t>
      </w:r>
    </w:p>
    <w:p w14:paraId="76BF3061">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（1）1U机箱，双电源；</w:t>
      </w:r>
    </w:p>
    <w:p w14:paraId="1FAFF04D">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（2）16路模拟视频同步信号输出，支持PAL制NTSC制；</w:t>
      </w:r>
    </w:p>
    <w:p w14:paraId="3BA28593">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（3）可选择同步信号、彩条信号或测试国际标准测试信号（共16种），可用于系统整体联调时各项参数的精确调整使用</w:t>
      </w:r>
    </w:p>
    <w:p w14:paraId="64EB3CCE">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 xml:space="preserve">（4）支持外同步和内同步二种工作模式，外同步模式下，可对输出信号进行，行/场/色载波相位调整，使其与外同步信号各项参数完全一致； </w:t>
      </w:r>
    </w:p>
    <w:p w14:paraId="2F8893F6">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（5）带掉电保存参数设置和恢复出厂设置。</w:t>
      </w:r>
    </w:p>
    <w:p w14:paraId="25A11824">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同步信号发生器（黑场/测试信号发生器），黑场同步特性中例如行同步幅度、行同步脉冲宽度、行同步脉冲宽度建立时间等检测项目具备权威机构检测合格证明</w:t>
      </w:r>
    </w:p>
    <w:p w14:paraId="6D367F87">
      <w:pPr>
        <w:spacing w:line="360" w:lineRule="auto"/>
        <w:ind w:left="420" w:leftChars="200"/>
        <w:rPr>
          <w:rFonts w:hint="eastAsia" w:ascii="宋体" w:hAnsi="宋体"/>
          <w:b/>
          <w:bCs/>
          <w:color w:val="000000"/>
          <w:kern w:val="2"/>
          <w:sz w:val="24"/>
          <w:szCs w:val="22"/>
        </w:rPr>
      </w:pPr>
      <w:bookmarkStart w:id="193" w:name="OLE_LINK3"/>
      <w:r>
        <w:rPr>
          <w:rFonts w:hint="eastAsia" w:ascii="宋体" w:hAnsi="宋体"/>
          <w:b/>
          <w:bCs/>
          <w:color w:val="000000"/>
          <w:kern w:val="2"/>
          <w:sz w:val="24"/>
          <w:szCs w:val="22"/>
        </w:rPr>
        <w:t>▲</w:t>
      </w:r>
      <w:bookmarkEnd w:id="193"/>
      <w:r>
        <w:rPr>
          <w:rFonts w:hint="eastAsia" w:ascii="宋体" w:hAnsi="宋体"/>
          <w:b/>
          <w:bCs/>
          <w:color w:val="000000"/>
          <w:kern w:val="2"/>
          <w:sz w:val="24"/>
          <w:szCs w:val="22"/>
        </w:rPr>
        <w:t>投标时需提供产品彩页，彩页中须包含以上功能内容。</w:t>
      </w:r>
    </w:p>
    <w:p w14:paraId="02E5E459">
      <w:pPr>
        <w:keepNext/>
        <w:keepLines/>
        <w:spacing w:before="260" w:after="260" w:line="416" w:lineRule="auto"/>
        <w:outlineLvl w:val="2"/>
        <w:rPr>
          <w:rFonts w:hint="eastAsia" w:ascii="宋体" w:hAnsi="宋体"/>
          <w:b/>
          <w:color w:val="000000"/>
          <w:kern w:val="2"/>
          <w:sz w:val="28"/>
          <w:szCs w:val="24"/>
        </w:rPr>
      </w:pPr>
      <w:r>
        <w:rPr>
          <w:rFonts w:ascii="宋体" w:hAnsi="宋体"/>
          <w:b/>
          <w:color w:val="000000"/>
          <w:kern w:val="2"/>
          <w:sz w:val="28"/>
          <w:szCs w:val="24"/>
        </w:rPr>
        <w:t>9</w:t>
      </w:r>
      <w:r>
        <w:rPr>
          <w:rFonts w:hint="eastAsia" w:ascii="宋体" w:hAnsi="宋体"/>
          <w:b/>
          <w:color w:val="000000"/>
          <w:kern w:val="2"/>
          <w:sz w:val="28"/>
          <w:szCs w:val="24"/>
        </w:rPr>
        <w:t>、线缆、线材要求</w:t>
      </w:r>
    </w:p>
    <w:p w14:paraId="4875DA36">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系统中视音频线缆、视音频接插件、终结电阻等必须选用Canare线材或同级别广播级线材，并根据需要配置足量的线材和接插件，并留有适量备品。</w:t>
      </w:r>
    </w:p>
    <w:p w14:paraId="6C412614">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网线使用必须使用六类或以上规格的网线。</w:t>
      </w:r>
    </w:p>
    <w:p w14:paraId="1A5EC3A8">
      <w:pPr>
        <w:spacing w:line="360" w:lineRule="auto"/>
        <w:ind w:firstLine="480" w:firstLineChars="200"/>
        <w:rPr>
          <w:rFonts w:hint="eastAsia" w:ascii="宋体" w:hAnsi="宋体"/>
          <w:color w:val="000000"/>
          <w:kern w:val="2"/>
          <w:sz w:val="24"/>
          <w:szCs w:val="22"/>
        </w:rPr>
      </w:pPr>
      <w:r>
        <w:rPr>
          <w:rFonts w:hint="eastAsia" w:ascii="宋体" w:hAnsi="宋体"/>
          <w:color w:val="000000"/>
          <w:kern w:val="2"/>
          <w:sz w:val="24"/>
          <w:szCs w:val="22"/>
        </w:rPr>
        <w:t>所有线材均要满足传输距离的要求，电缆技术指标符合国家广电总局相关标准。</w:t>
      </w:r>
    </w:p>
    <w:p w14:paraId="4084B735">
      <w:pPr>
        <w:keepNext/>
        <w:keepLines/>
        <w:spacing w:before="260" w:after="260" w:line="416" w:lineRule="auto"/>
        <w:outlineLvl w:val="2"/>
        <w:rPr>
          <w:rFonts w:hint="eastAsia" w:ascii="宋体" w:hAnsi="宋体"/>
          <w:b/>
          <w:color w:val="000000"/>
          <w:kern w:val="2"/>
          <w:sz w:val="28"/>
          <w:szCs w:val="24"/>
        </w:rPr>
      </w:pPr>
      <w:r>
        <w:rPr>
          <w:rFonts w:ascii="宋体" w:hAnsi="宋体"/>
          <w:b/>
          <w:color w:val="000000"/>
          <w:kern w:val="2"/>
          <w:sz w:val="28"/>
          <w:szCs w:val="24"/>
        </w:rPr>
        <w:t>10</w:t>
      </w:r>
      <w:r>
        <w:rPr>
          <w:rFonts w:hint="eastAsia" w:ascii="宋体" w:hAnsi="宋体"/>
          <w:b/>
          <w:color w:val="000000"/>
          <w:kern w:val="2"/>
          <w:sz w:val="28"/>
          <w:szCs w:val="24"/>
        </w:rPr>
        <w:t>、预留设备升级接口和扩容设备位置</w:t>
      </w:r>
    </w:p>
    <w:p w14:paraId="3E75486B">
      <w:pPr>
        <w:widowControl/>
        <w:spacing w:line="360" w:lineRule="auto"/>
        <w:ind w:firstLine="420" w:firstLineChars="175"/>
        <w:contextualSpacing/>
        <w:jc w:val="left"/>
        <w:rPr>
          <w:rFonts w:hint="eastAsia" w:ascii="宋体" w:hAnsi="宋体" w:cs="Arial"/>
          <w:color w:val="000000"/>
        </w:rPr>
      </w:pPr>
      <w:r>
        <w:rPr>
          <w:rFonts w:hint="eastAsia" w:ascii="宋体" w:hAnsi="宋体"/>
          <w:color w:val="000000"/>
          <w:kern w:val="2"/>
          <w:sz w:val="24"/>
          <w:szCs w:val="22"/>
        </w:rPr>
        <w:t>考虑技术不断更新，新的应用的对接体系架构下，播出系统必须具备开放性，做好与其他系统平台的互联互通，在系统扩充、更新等方面，各种功能和接口都必须有预留，扩展不能影响现有系统的正常使用。</w:t>
      </w:r>
      <w:bookmarkStart w:id="194" w:name="_Toc520322782"/>
    </w:p>
    <w:bookmarkEnd w:id="194"/>
    <w:p w14:paraId="3467F462">
      <w:pPr>
        <w:keepNext/>
        <w:keepLines/>
        <w:spacing w:before="260" w:after="260" w:line="416" w:lineRule="auto"/>
        <w:outlineLvl w:val="1"/>
        <w:rPr>
          <w:rFonts w:hint="eastAsia" w:ascii="宋体" w:hAnsi="宋体"/>
          <w:b/>
          <w:bCs/>
          <w:color w:val="000000"/>
          <w:kern w:val="2"/>
          <w:sz w:val="32"/>
          <w:szCs w:val="32"/>
        </w:rPr>
      </w:pPr>
      <w:bookmarkStart w:id="195" w:name="_Toc77151029"/>
      <w:r>
        <w:rPr>
          <w:rFonts w:hint="eastAsia" w:ascii="宋体" w:hAnsi="宋体"/>
          <w:b/>
          <w:bCs/>
          <w:color w:val="000000"/>
          <w:kern w:val="2"/>
          <w:sz w:val="32"/>
          <w:szCs w:val="32"/>
        </w:rPr>
        <w:t>五、系统集成及售后服务要求</w:t>
      </w:r>
      <w:bookmarkEnd w:id="195"/>
    </w:p>
    <w:p w14:paraId="13172055">
      <w:pPr>
        <w:rPr>
          <w:rFonts w:hint="eastAsia" w:ascii="宋体" w:hAnsi="宋体"/>
          <w:b/>
          <w:color w:val="000000"/>
          <w:kern w:val="2"/>
          <w:sz w:val="28"/>
          <w:szCs w:val="24"/>
        </w:rPr>
      </w:pPr>
      <w:bookmarkStart w:id="196" w:name="_Toc75791148"/>
      <w:bookmarkStart w:id="197" w:name="_Toc77151030"/>
      <w:r>
        <w:rPr>
          <w:rFonts w:hint="eastAsia" w:ascii="宋体" w:hAnsi="宋体"/>
          <w:b/>
          <w:color w:val="000000"/>
          <w:kern w:val="2"/>
          <w:sz w:val="28"/>
          <w:szCs w:val="24"/>
        </w:rPr>
        <w:t>1、系统集成</w:t>
      </w:r>
      <w:bookmarkEnd w:id="196"/>
      <w:bookmarkEnd w:id="197"/>
      <w:r>
        <w:rPr>
          <w:rFonts w:hint="eastAsia" w:ascii="宋体" w:hAnsi="宋体"/>
          <w:b/>
          <w:color w:val="000000"/>
          <w:kern w:val="2"/>
          <w:sz w:val="28"/>
          <w:szCs w:val="24"/>
        </w:rPr>
        <w:t>要求</w:t>
      </w:r>
    </w:p>
    <w:p w14:paraId="7940105A">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以下是采购人提出的基本要求（不是全部要求），投标人应在此基础上根据自己公司的经验、优势、特点进行科学、合理的设计。</w:t>
      </w:r>
    </w:p>
    <w:p w14:paraId="29C044BB">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系统集成包含了本次项目建设所需线材、接头、标识等集成设备以及布线、施工、安装、调试、培训、保障等工作，应根据采购人的要求进行设备安装调试和培训。</w:t>
      </w:r>
    </w:p>
    <w:p w14:paraId="50199379">
      <w:pPr>
        <w:rPr>
          <w:rFonts w:hint="eastAsia" w:ascii="宋体" w:hAnsi="宋体"/>
          <w:b/>
          <w:color w:val="000000"/>
          <w:kern w:val="2"/>
          <w:sz w:val="28"/>
          <w:szCs w:val="24"/>
        </w:rPr>
      </w:pPr>
      <w:bookmarkStart w:id="198" w:name="_Toc77151032"/>
      <w:bookmarkStart w:id="199" w:name="_Toc75791150"/>
      <w:r>
        <w:rPr>
          <w:rFonts w:hint="eastAsia" w:ascii="宋体" w:hAnsi="宋体"/>
          <w:b/>
          <w:color w:val="000000"/>
          <w:kern w:val="2"/>
          <w:sz w:val="28"/>
          <w:szCs w:val="24"/>
        </w:rPr>
        <w:t>2、设备实施要求</w:t>
      </w:r>
      <w:bookmarkEnd w:id="198"/>
      <w:bookmarkEnd w:id="199"/>
    </w:p>
    <w:p w14:paraId="003B6520">
      <w:pPr>
        <w:spacing w:line="360" w:lineRule="auto"/>
        <w:ind w:firstLine="480" w:firstLineChars="200"/>
        <w:rPr>
          <w:rFonts w:hint="eastAsia" w:ascii="宋体" w:hAnsi="宋体"/>
          <w:color w:val="000000"/>
          <w:kern w:val="2"/>
          <w:sz w:val="24"/>
          <w:szCs w:val="24"/>
        </w:rPr>
      </w:pPr>
      <w:r>
        <w:rPr>
          <w:rFonts w:hint="eastAsia" w:ascii="宋体" w:hAnsi="宋体"/>
          <w:color w:val="000000"/>
          <w:kern w:val="2"/>
          <w:sz w:val="24"/>
          <w:szCs w:val="24"/>
        </w:rPr>
        <w:t>提供系统集成实施方案，工程进度和工作流程，系统集成的设计图纸，包括：系统方案图、网络系统拓扑图等。</w:t>
      </w:r>
    </w:p>
    <w:p w14:paraId="01A319C7">
      <w:pPr>
        <w:spacing w:line="360" w:lineRule="auto"/>
        <w:ind w:left="420" w:leftChars="200"/>
        <w:rPr>
          <w:rFonts w:hint="eastAsia" w:ascii="宋体" w:hAnsi="宋体"/>
          <w:color w:val="000000"/>
          <w:kern w:val="2"/>
          <w:sz w:val="24"/>
          <w:szCs w:val="22"/>
        </w:rPr>
      </w:pPr>
      <w:r>
        <w:rPr>
          <w:rFonts w:hint="eastAsia" w:ascii="宋体" w:hAnsi="宋体"/>
          <w:color w:val="000000"/>
          <w:kern w:val="2"/>
          <w:sz w:val="24"/>
          <w:szCs w:val="22"/>
        </w:rPr>
        <w:t>在实施完成后，完成相关实施材料的交接工作，包括：</w:t>
      </w:r>
    </w:p>
    <w:p w14:paraId="69208DA8">
      <w:pPr>
        <w:numPr>
          <w:ilvl w:val="0"/>
          <w:numId w:val="9"/>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使用说明书。</w:t>
      </w:r>
    </w:p>
    <w:p w14:paraId="20E74E3F">
      <w:pPr>
        <w:numPr>
          <w:ilvl w:val="0"/>
          <w:numId w:val="9"/>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设备安装、调试维修线路原理图。</w:t>
      </w:r>
    </w:p>
    <w:p w14:paraId="64B1885F">
      <w:pPr>
        <w:numPr>
          <w:ilvl w:val="0"/>
          <w:numId w:val="9"/>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相关文件、支持程序软件或光盘。</w:t>
      </w:r>
    </w:p>
    <w:p w14:paraId="09C99B47">
      <w:pPr>
        <w:numPr>
          <w:ilvl w:val="0"/>
          <w:numId w:val="9"/>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安装维修手册。</w:t>
      </w:r>
    </w:p>
    <w:p w14:paraId="1656A273">
      <w:pPr>
        <w:numPr>
          <w:ilvl w:val="0"/>
          <w:numId w:val="9"/>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合同中要求的其他文件资料。</w:t>
      </w:r>
    </w:p>
    <w:p w14:paraId="14A2DD56">
      <w:pPr>
        <w:numPr>
          <w:ilvl w:val="0"/>
          <w:numId w:val="9"/>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所有设备的各类参数，包括 IP，登陆管理用户资料等。</w:t>
      </w:r>
    </w:p>
    <w:p w14:paraId="4711F1A0">
      <w:pPr>
        <w:numPr>
          <w:ilvl w:val="0"/>
          <w:numId w:val="9"/>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系统内所有线缆走线使用桥架，线缆走线整齐美观，不同功能电缆，应留足间距，提供桥架。</w:t>
      </w:r>
    </w:p>
    <w:p w14:paraId="166F689C">
      <w:pPr>
        <w:numPr>
          <w:ilvl w:val="0"/>
          <w:numId w:val="9"/>
        </w:numPr>
        <w:spacing w:line="360" w:lineRule="auto"/>
        <w:ind w:left="0" w:firstLine="480" w:firstLineChars="200"/>
        <w:rPr>
          <w:rFonts w:hint="eastAsia" w:ascii="宋体" w:hAnsi="宋体"/>
          <w:color w:val="000000"/>
          <w:kern w:val="2"/>
          <w:sz w:val="24"/>
          <w:szCs w:val="22"/>
        </w:rPr>
      </w:pPr>
      <w:r>
        <w:rPr>
          <w:rFonts w:hint="eastAsia" w:ascii="宋体" w:hAnsi="宋体"/>
          <w:color w:val="000000"/>
          <w:kern w:val="2"/>
          <w:sz w:val="24"/>
          <w:szCs w:val="22"/>
        </w:rPr>
        <w:t>所有线材要满足传输距离要求，电缆技术指标符合国家广电总局相关标准</w:t>
      </w:r>
    </w:p>
    <w:p w14:paraId="4B0CE836">
      <w:pPr>
        <w:rPr>
          <w:rFonts w:hint="eastAsia" w:ascii="宋体" w:hAnsi="宋体"/>
          <w:b/>
          <w:color w:val="000000"/>
          <w:kern w:val="2"/>
          <w:sz w:val="28"/>
          <w:szCs w:val="24"/>
        </w:rPr>
      </w:pPr>
      <w:bookmarkStart w:id="200" w:name="_Toc77151033"/>
      <w:bookmarkStart w:id="201" w:name="_Toc75791151"/>
      <w:r>
        <w:rPr>
          <w:rFonts w:hint="eastAsia" w:ascii="宋体" w:hAnsi="宋体"/>
          <w:b/>
          <w:color w:val="000000"/>
          <w:kern w:val="2"/>
          <w:sz w:val="28"/>
          <w:szCs w:val="24"/>
        </w:rPr>
        <w:t>3、培训服务要求</w:t>
      </w:r>
      <w:bookmarkEnd w:id="200"/>
      <w:bookmarkEnd w:id="201"/>
    </w:p>
    <w:p w14:paraId="49353AA8">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投标人负责向采购人提供系统相关的安装、测试和维护所需的技术手册。</w:t>
      </w:r>
    </w:p>
    <w:p w14:paraId="1A180D1C">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培训授课人员需是投标人的技术专家或专业的授权培训机构专家，具备三年以上同类经验。</w:t>
      </w:r>
    </w:p>
    <w:p w14:paraId="27BBA8FD">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投标人应对系统的使用和管理人员进行技术与操作培训，提供完整详细的技术与操作文档，并根据采购人实际需要制定完善的培训计划。</w:t>
      </w:r>
    </w:p>
    <w:p w14:paraId="654EC621">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系统建设期间，在不影响施工进度的情况下，投标人应该在安装调试过程中为采购人的技术人员提供培训，具体要求如下：</w:t>
      </w:r>
    </w:p>
    <w:p w14:paraId="1A13C020">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对技术人员进行设备安装、测试、维护、操作、使用、故障排除等培训，使技术人员具备基本维护能力，面对突发故障能快速判断并处理。</w:t>
      </w:r>
    </w:p>
    <w:p w14:paraId="02BE40D4">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培训时长不少于10课时，每课时为1小时的培训服务。</w:t>
      </w:r>
    </w:p>
    <w:p w14:paraId="57C9B724">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每次培训对象人数不少于15人。</w:t>
      </w:r>
    </w:p>
    <w:p w14:paraId="7083CDC6">
      <w:pPr>
        <w:rPr>
          <w:rFonts w:hint="eastAsia" w:ascii="宋体" w:hAnsi="宋体"/>
          <w:b/>
          <w:color w:val="000000"/>
          <w:kern w:val="2"/>
          <w:sz w:val="28"/>
          <w:szCs w:val="24"/>
        </w:rPr>
      </w:pPr>
      <w:bookmarkStart w:id="202" w:name="_Toc75791149"/>
      <w:bookmarkStart w:id="203" w:name="_Toc77151031"/>
      <w:r>
        <w:rPr>
          <w:rFonts w:hint="eastAsia" w:ascii="宋体" w:hAnsi="宋体"/>
          <w:b/>
          <w:color w:val="000000"/>
          <w:kern w:val="2"/>
          <w:sz w:val="28"/>
          <w:szCs w:val="24"/>
        </w:rPr>
        <w:t>4、售后服务要求</w:t>
      </w:r>
      <w:bookmarkEnd w:id="202"/>
      <w:bookmarkEnd w:id="203"/>
    </w:p>
    <w:p w14:paraId="0B7A12C7">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投标人应根据采购人实际应用要求，提供全面、优质、及时的售后服务。</w:t>
      </w:r>
    </w:p>
    <w:p w14:paraId="652F1ADB">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项目软硬件质保期为3年，质保期内应免费提供整个系统的维护保障和软件维护服务。在质保期内，投标人向采购人提供故障维修和每年至少两次预防性维护、系统状况检查等服务，通过此项服务来保证系统处于良好的运行状态。</w:t>
      </w:r>
    </w:p>
    <w:p w14:paraId="5B263719">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关键设备和支撑应用发生故障时，投标人在接到采购人通知后，应1小时快速响应，并在4小时内到达现场对用户提出的技术问题和故障做出答复、予以解决。</w:t>
      </w:r>
    </w:p>
    <w:p w14:paraId="641C975E">
      <w:pPr>
        <w:keepNext/>
        <w:keepLines/>
        <w:spacing w:before="260" w:after="260" w:line="416" w:lineRule="auto"/>
        <w:outlineLvl w:val="1"/>
        <w:rPr>
          <w:rFonts w:hint="eastAsia" w:ascii="宋体" w:hAnsi="宋体"/>
          <w:b/>
          <w:bCs/>
          <w:color w:val="000000"/>
          <w:kern w:val="2"/>
          <w:sz w:val="32"/>
          <w:szCs w:val="32"/>
        </w:rPr>
      </w:pPr>
      <w:r>
        <w:rPr>
          <w:rFonts w:hint="eastAsia" w:ascii="宋体" w:hAnsi="宋体"/>
          <w:b/>
          <w:bCs/>
          <w:color w:val="000000"/>
          <w:kern w:val="2"/>
          <w:sz w:val="32"/>
          <w:szCs w:val="32"/>
        </w:rPr>
        <w:t>六、采购清单要求</w:t>
      </w:r>
    </w:p>
    <w:p w14:paraId="6073A216">
      <w:pPr>
        <w:spacing w:line="360" w:lineRule="auto"/>
        <w:ind w:firstLine="480" w:firstLineChars="200"/>
        <w:rPr>
          <w:rFonts w:hint="eastAsia" w:ascii="宋体" w:hAnsi="宋体" w:cs="宋体"/>
          <w:color w:val="000000"/>
          <w:kern w:val="2"/>
          <w:sz w:val="24"/>
          <w:szCs w:val="24"/>
        </w:rPr>
      </w:pPr>
      <w:r>
        <w:rPr>
          <w:rFonts w:hint="eastAsia" w:ascii="宋体" w:hAnsi="宋体" w:cs="宋体"/>
          <w:color w:val="000000"/>
          <w:kern w:val="2"/>
          <w:sz w:val="24"/>
          <w:szCs w:val="24"/>
        </w:rPr>
        <w:t>投标人所投设备的软硬件必须满足下表所示的选件配置及技术要求，也可以根据自身技术特点以及本项目互连互通的需要，选择优于下表的设备和软件或自行额外增加设备或软件，其价格计入投标报价中。</w:t>
      </w:r>
    </w:p>
    <w:tbl>
      <w:tblPr>
        <w:tblStyle w:val="11"/>
        <w:tblW w:w="8522" w:type="dxa"/>
        <w:jc w:val="center"/>
        <w:tblLayout w:type="fixed"/>
        <w:tblCellMar>
          <w:top w:w="0" w:type="dxa"/>
          <w:left w:w="108" w:type="dxa"/>
          <w:bottom w:w="0" w:type="dxa"/>
          <w:right w:w="108" w:type="dxa"/>
        </w:tblCellMar>
      </w:tblPr>
      <w:tblGrid>
        <w:gridCol w:w="570"/>
        <w:gridCol w:w="1738"/>
        <w:gridCol w:w="4730"/>
        <w:gridCol w:w="742"/>
        <w:gridCol w:w="742"/>
      </w:tblGrid>
      <w:tr w14:paraId="0ADE093B">
        <w:tblPrEx>
          <w:tblCellMar>
            <w:top w:w="0" w:type="dxa"/>
            <w:left w:w="108" w:type="dxa"/>
            <w:bottom w:w="0" w:type="dxa"/>
            <w:right w:w="108" w:type="dxa"/>
          </w:tblCellMar>
        </w:tblPrEx>
        <w:trPr>
          <w:tblHeader/>
          <w:jc w:val="center"/>
        </w:trPr>
        <w:tc>
          <w:tcPr>
            <w:tcW w:w="570" w:type="dxa"/>
            <w:tcBorders>
              <w:top w:val="single" w:color="auto" w:sz="12" w:space="0"/>
              <w:left w:val="single" w:color="auto" w:sz="12" w:space="0"/>
              <w:bottom w:val="nil"/>
              <w:right w:val="nil"/>
            </w:tcBorders>
            <w:shd w:val="clear" w:color="000000" w:fill="F8CBAD"/>
            <w:tcMar>
              <w:top w:w="-1" w:type="dxa"/>
              <w:left w:w="-1" w:type="dxa"/>
              <w:bottom w:w="-1" w:type="dxa"/>
              <w:right w:w="-1" w:type="dxa"/>
            </w:tcMar>
            <w:vAlign w:val="center"/>
          </w:tcPr>
          <w:p w14:paraId="05FF28CD">
            <w:pPr>
              <w:widowControl/>
              <w:snapToGrid w:val="0"/>
              <w:jc w:val="center"/>
              <w:rPr>
                <w:rFonts w:hint="eastAsia" w:ascii="宋体" w:hAnsi="宋体" w:cs="宋体"/>
                <w:b/>
                <w:bCs/>
                <w:color w:val="000000"/>
                <w:sz w:val="24"/>
                <w:szCs w:val="24"/>
              </w:rPr>
            </w:pPr>
            <w:r>
              <w:rPr>
                <w:rFonts w:hint="eastAsia" w:ascii="宋体" w:hAnsi="宋体" w:cs="宋体"/>
                <w:b/>
                <w:bCs/>
                <w:color w:val="000000"/>
                <w:sz w:val="24"/>
                <w:szCs w:val="24"/>
              </w:rPr>
              <w:t>序号</w:t>
            </w:r>
          </w:p>
        </w:tc>
        <w:tc>
          <w:tcPr>
            <w:tcW w:w="1738" w:type="dxa"/>
            <w:tcBorders>
              <w:top w:val="single" w:color="auto" w:sz="12" w:space="0"/>
              <w:left w:val="single" w:color="auto" w:sz="4" w:space="0"/>
              <w:bottom w:val="nil"/>
              <w:right w:val="nil"/>
            </w:tcBorders>
            <w:shd w:val="clear" w:color="000000" w:fill="F8CBAD"/>
            <w:tcMar>
              <w:top w:w="-1" w:type="dxa"/>
              <w:left w:w="-1" w:type="dxa"/>
              <w:bottom w:w="-1" w:type="dxa"/>
              <w:right w:w="-1" w:type="dxa"/>
            </w:tcMar>
            <w:vAlign w:val="center"/>
          </w:tcPr>
          <w:p w14:paraId="28CD0675">
            <w:pPr>
              <w:widowControl/>
              <w:snapToGrid w:val="0"/>
              <w:jc w:val="center"/>
              <w:rPr>
                <w:rFonts w:hint="eastAsia" w:ascii="宋体" w:hAnsi="宋体" w:cs="宋体"/>
                <w:b/>
                <w:bCs/>
                <w:color w:val="000000"/>
                <w:sz w:val="24"/>
                <w:szCs w:val="24"/>
              </w:rPr>
            </w:pPr>
            <w:r>
              <w:rPr>
                <w:rFonts w:hint="eastAsia" w:ascii="宋体" w:hAnsi="宋体" w:cs="宋体"/>
                <w:b/>
                <w:bCs/>
                <w:color w:val="000000"/>
                <w:sz w:val="24"/>
                <w:szCs w:val="24"/>
              </w:rPr>
              <w:t>设备名称</w:t>
            </w:r>
          </w:p>
        </w:tc>
        <w:tc>
          <w:tcPr>
            <w:tcW w:w="4730" w:type="dxa"/>
            <w:tcBorders>
              <w:top w:val="single" w:color="auto" w:sz="12" w:space="0"/>
              <w:left w:val="single" w:color="auto" w:sz="4" w:space="0"/>
              <w:bottom w:val="nil"/>
              <w:right w:val="nil"/>
            </w:tcBorders>
            <w:shd w:val="clear" w:color="000000" w:fill="F8CBAD"/>
            <w:tcMar>
              <w:top w:w="-1" w:type="dxa"/>
              <w:left w:w="-1" w:type="dxa"/>
              <w:bottom w:w="-1" w:type="dxa"/>
              <w:right w:w="-1" w:type="dxa"/>
            </w:tcMar>
            <w:vAlign w:val="center"/>
          </w:tcPr>
          <w:p w14:paraId="5C7D8301">
            <w:pPr>
              <w:widowControl/>
              <w:snapToGrid w:val="0"/>
              <w:jc w:val="center"/>
              <w:rPr>
                <w:rFonts w:hint="eastAsia" w:ascii="宋体" w:hAnsi="宋体" w:cs="宋体"/>
                <w:b/>
                <w:bCs/>
                <w:color w:val="000000"/>
                <w:sz w:val="24"/>
                <w:szCs w:val="24"/>
              </w:rPr>
            </w:pPr>
            <w:r>
              <w:rPr>
                <w:rFonts w:hint="eastAsia" w:ascii="宋体" w:hAnsi="宋体" w:cs="宋体"/>
                <w:b/>
                <w:bCs/>
                <w:color w:val="000000"/>
                <w:sz w:val="24"/>
                <w:szCs w:val="24"/>
              </w:rPr>
              <w:t>参数</w:t>
            </w:r>
          </w:p>
        </w:tc>
        <w:tc>
          <w:tcPr>
            <w:tcW w:w="742" w:type="dxa"/>
            <w:tcBorders>
              <w:top w:val="single" w:color="auto" w:sz="12" w:space="0"/>
              <w:left w:val="single" w:color="auto" w:sz="4" w:space="0"/>
              <w:bottom w:val="nil"/>
              <w:right w:val="nil"/>
            </w:tcBorders>
            <w:shd w:val="clear" w:color="000000" w:fill="F8CBAD"/>
            <w:tcMar>
              <w:top w:w="-1" w:type="dxa"/>
              <w:left w:w="-1" w:type="dxa"/>
              <w:bottom w:w="-1" w:type="dxa"/>
              <w:right w:w="-1" w:type="dxa"/>
            </w:tcMar>
            <w:vAlign w:val="center"/>
          </w:tcPr>
          <w:p w14:paraId="5617A8A9">
            <w:pPr>
              <w:widowControl/>
              <w:snapToGrid w:val="0"/>
              <w:jc w:val="center"/>
              <w:rPr>
                <w:rFonts w:hint="eastAsia" w:ascii="宋体" w:hAnsi="宋体" w:cs="宋体"/>
                <w:b/>
                <w:bCs/>
                <w:color w:val="000000"/>
                <w:sz w:val="24"/>
                <w:szCs w:val="24"/>
              </w:rPr>
            </w:pPr>
            <w:r>
              <w:rPr>
                <w:rFonts w:hint="eastAsia" w:ascii="宋体" w:hAnsi="宋体" w:cs="宋体"/>
                <w:b/>
                <w:bCs/>
                <w:color w:val="000000"/>
                <w:sz w:val="24"/>
                <w:szCs w:val="24"/>
              </w:rPr>
              <w:t>数量</w:t>
            </w:r>
          </w:p>
        </w:tc>
        <w:tc>
          <w:tcPr>
            <w:tcW w:w="742" w:type="dxa"/>
            <w:tcBorders>
              <w:top w:val="single" w:color="auto" w:sz="12" w:space="0"/>
              <w:left w:val="single" w:color="auto" w:sz="4" w:space="0"/>
              <w:bottom w:val="nil"/>
              <w:right w:val="single" w:color="auto" w:sz="12" w:space="0"/>
            </w:tcBorders>
            <w:shd w:val="clear" w:color="000000" w:fill="F8CBAD"/>
            <w:tcMar>
              <w:top w:w="-1" w:type="dxa"/>
              <w:left w:w="-1" w:type="dxa"/>
              <w:bottom w:w="-1" w:type="dxa"/>
              <w:right w:w="-1" w:type="dxa"/>
            </w:tcMar>
            <w:vAlign w:val="center"/>
          </w:tcPr>
          <w:p w14:paraId="64AE396D">
            <w:pPr>
              <w:widowControl/>
              <w:snapToGrid w:val="0"/>
              <w:jc w:val="center"/>
              <w:rPr>
                <w:rFonts w:hint="eastAsia" w:ascii="宋体" w:hAnsi="宋体" w:cs="宋体"/>
                <w:b/>
                <w:bCs/>
                <w:color w:val="000000"/>
                <w:sz w:val="24"/>
                <w:szCs w:val="24"/>
              </w:rPr>
            </w:pPr>
            <w:r>
              <w:rPr>
                <w:rFonts w:hint="eastAsia" w:ascii="宋体" w:hAnsi="宋体" w:cs="宋体"/>
                <w:b/>
                <w:bCs/>
                <w:color w:val="000000"/>
                <w:sz w:val="24"/>
                <w:szCs w:val="24"/>
              </w:rPr>
              <w:t>单位</w:t>
            </w:r>
          </w:p>
        </w:tc>
      </w:tr>
      <w:tr w14:paraId="5050B120">
        <w:tblPrEx>
          <w:tblCellMar>
            <w:top w:w="0" w:type="dxa"/>
            <w:left w:w="108" w:type="dxa"/>
            <w:bottom w:w="0" w:type="dxa"/>
            <w:right w:w="108" w:type="dxa"/>
          </w:tblCellMar>
        </w:tblPrEx>
        <w:trPr>
          <w:jc w:val="center"/>
        </w:trPr>
        <w:tc>
          <w:tcPr>
            <w:tcW w:w="8522" w:type="dxa"/>
            <w:gridSpan w:val="5"/>
            <w:tcBorders>
              <w:top w:val="single" w:color="auto" w:sz="4" w:space="0"/>
              <w:left w:val="single" w:color="auto" w:sz="12" w:space="0"/>
              <w:bottom w:val="nil"/>
              <w:right w:val="single" w:color="auto" w:sz="12" w:space="0"/>
            </w:tcBorders>
            <w:shd w:val="clear" w:color="000000" w:fill="DDEBF7"/>
            <w:tcMar>
              <w:top w:w="-1" w:type="dxa"/>
              <w:left w:w="-1" w:type="dxa"/>
              <w:bottom w:w="-1" w:type="dxa"/>
              <w:right w:w="-1" w:type="dxa"/>
            </w:tcMar>
            <w:vAlign w:val="center"/>
          </w:tcPr>
          <w:p w14:paraId="0314CEDD">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第一部分：网络存储设备</w:t>
            </w:r>
          </w:p>
        </w:tc>
      </w:tr>
      <w:tr w14:paraId="2457D3C0">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42A8055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42E20751">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交换机</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743F7C0C">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以太网交换机主机,支持24个10/100/1000BASE-T电口,支持4个1G/10G BASE-X SFP+端口，内置风扇，电源：交流电源模块×2</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4286DF75">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4B37522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405B2334">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586332F5">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2</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70A6C268">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KVM</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487D1514">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8口KVM切换器，抽拉式机身设计，整合17" LED 背光之LCD屏幕与KVM控制端切换器于单一抽拉式机身内，仅占用1U机架空间。支持配备PS2或USB键盘和鼠标的服务器与控制端</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019E7F81">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388E262B">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6FA45F6C">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03625032">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3</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6DAB3A85">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播出二级存储</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5CF0EE89">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标准19寸 3U机架式，16G 高速缓存(可扩展至32G)</w:t>
            </w:r>
            <w:r>
              <w:rPr>
                <w:rFonts w:hint="eastAsia" w:ascii="宋体" w:hAnsi="宋体" w:cs="宋体"/>
                <w:color w:val="000000"/>
                <w:sz w:val="24"/>
                <w:szCs w:val="24"/>
              </w:rPr>
              <w:br w:type="textWrapping"/>
            </w:r>
            <w:r>
              <w:rPr>
                <w:rFonts w:hint="eastAsia" w:ascii="宋体" w:hAnsi="宋体" w:cs="宋体"/>
                <w:color w:val="000000"/>
                <w:sz w:val="24"/>
                <w:szCs w:val="24"/>
              </w:rPr>
              <w:t>12个可热插拔磁盘，支持SAS/SATA/SSD硬盘，支持硬盘混插</w:t>
            </w:r>
            <w:r>
              <w:rPr>
                <w:rFonts w:hint="eastAsia" w:ascii="宋体" w:hAnsi="宋体" w:cs="宋体"/>
                <w:color w:val="000000"/>
                <w:sz w:val="24"/>
                <w:szCs w:val="24"/>
              </w:rPr>
              <w:br w:type="textWrapping"/>
            </w:r>
            <w:r>
              <w:rPr>
                <w:rFonts w:hint="eastAsia" w:ascii="宋体" w:hAnsi="宋体" w:cs="宋体"/>
                <w:color w:val="000000"/>
                <w:sz w:val="24"/>
                <w:szCs w:val="24"/>
              </w:rPr>
              <w:t>自适应1+1冗余电源，多冗余热交换PWM 风扇，</w:t>
            </w:r>
            <w:r>
              <w:rPr>
                <w:rFonts w:hint="eastAsia" w:ascii="宋体" w:hAnsi="宋体" w:cs="宋体"/>
                <w:color w:val="000000"/>
                <w:sz w:val="24"/>
                <w:szCs w:val="24"/>
              </w:rPr>
              <w:br w:type="textWrapping"/>
            </w:r>
            <w:r>
              <w:rPr>
                <w:rFonts w:hint="eastAsia" w:ascii="宋体" w:hAnsi="宋体" w:cs="宋体"/>
                <w:color w:val="000000"/>
                <w:sz w:val="24"/>
                <w:szCs w:val="24"/>
              </w:rPr>
              <w:t>4个千兆以太网接口、支持网络接口聚合、故障冗余</w:t>
            </w:r>
            <w:r>
              <w:rPr>
                <w:rFonts w:hint="eastAsia" w:ascii="宋体" w:hAnsi="宋体" w:cs="宋体"/>
                <w:color w:val="000000"/>
                <w:sz w:val="24"/>
                <w:szCs w:val="24"/>
              </w:rPr>
              <w:br w:type="textWrapping"/>
            </w:r>
            <w:r>
              <w:rPr>
                <w:rFonts w:hint="eastAsia" w:ascii="宋体" w:hAnsi="宋体" w:cs="宋体"/>
                <w:color w:val="000000"/>
                <w:sz w:val="24"/>
                <w:szCs w:val="24"/>
              </w:rPr>
              <w:t>支持RAID级别：RAID 0、1、1E、5、5EE、6、10、50、60、JBOD</w:t>
            </w:r>
            <w:r>
              <w:rPr>
                <w:rFonts w:hint="eastAsia" w:ascii="宋体" w:hAnsi="宋体" w:cs="宋体"/>
                <w:color w:val="000000"/>
                <w:sz w:val="24"/>
                <w:szCs w:val="24"/>
              </w:rPr>
              <w:br w:type="textWrapping"/>
            </w:r>
            <w:r>
              <w:rPr>
                <w:rFonts w:hint="eastAsia" w:ascii="宋体" w:hAnsi="宋体" w:cs="宋体"/>
                <w:color w:val="000000"/>
                <w:sz w:val="24"/>
                <w:szCs w:val="24"/>
              </w:rPr>
              <w:t>支持虚拟存储池管理、用户、配额、权限管理</w:t>
            </w:r>
            <w:r>
              <w:rPr>
                <w:rFonts w:hint="eastAsia" w:ascii="宋体" w:hAnsi="宋体" w:cs="宋体"/>
                <w:color w:val="000000"/>
                <w:sz w:val="24"/>
                <w:szCs w:val="24"/>
              </w:rPr>
              <w:br w:type="textWrapping"/>
            </w:r>
            <w:r>
              <w:rPr>
                <w:rFonts w:hint="eastAsia" w:ascii="宋体" w:hAnsi="宋体" w:cs="宋体"/>
                <w:color w:val="000000"/>
                <w:sz w:val="24"/>
                <w:szCs w:val="24"/>
              </w:rPr>
              <w:t>提供NAS和IP-SAN统一存储功能</w:t>
            </w:r>
            <w:r>
              <w:rPr>
                <w:rFonts w:hint="eastAsia" w:ascii="宋体" w:hAnsi="宋体" w:cs="宋体"/>
                <w:color w:val="000000"/>
                <w:sz w:val="24"/>
                <w:szCs w:val="24"/>
              </w:rPr>
              <w:br w:type="textWrapping"/>
            </w:r>
            <w:r>
              <w:rPr>
                <w:rFonts w:hint="eastAsia" w:ascii="宋体" w:hAnsi="宋体" w:cs="宋体"/>
                <w:color w:val="000000"/>
                <w:sz w:val="24"/>
                <w:szCs w:val="24"/>
              </w:rPr>
              <w:t>支持CIFS、NFS、FTP、HTTP、WebDav、ISCSI协议</w:t>
            </w:r>
            <w:r>
              <w:rPr>
                <w:rFonts w:hint="eastAsia" w:ascii="宋体" w:hAnsi="宋体" w:cs="宋体"/>
                <w:color w:val="000000"/>
                <w:sz w:val="24"/>
                <w:szCs w:val="24"/>
              </w:rPr>
              <w:br w:type="textWrapping"/>
            </w:r>
            <w:r>
              <w:rPr>
                <w:rFonts w:hint="eastAsia" w:ascii="宋体" w:hAnsi="宋体" w:cs="宋体"/>
                <w:color w:val="000000"/>
                <w:sz w:val="24"/>
                <w:szCs w:val="24"/>
              </w:rPr>
              <w:t>企业级NL-SAS硬盘，硬盘容量</w:t>
            </w:r>
            <w:r>
              <w:rPr>
                <w:rFonts w:hint="eastAsia" w:ascii="宋体" w:hAnsi="宋体" w:cs="宋体"/>
                <w:color w:val="000000"/>
                <w:sz w:val="24"/>
                <w:szCs w:val="22"/>
                <w:lang w:bidi="ar"/>
              </w:rPr>
              <w:t>≧</w:t>
            </w:r>
            <w:r>
              <w:rPr>
                <w:rFonts w:hint="eastAsia" w:ascii="宋体" w:hAnsi="宋体" w:cs="宋体"/>
                <w:color w:val="000000"/>
                <w:sz w:val="24"/>
                <w:szCs w:val="24"/>
              </w:rPr>
              <w:t>10TB×14（含2块冷备硬盘） 物理容量</w:t>
            </w:r>
            <w:r>
              <w:rPr>
                <w:rFonts w:hint="eastAsia" w:ascii="宋体" w:hAnsi="宋体" w:cs="宋体"/>
                <w:color w:val="000000"/>
                <w:sz w:val="24"/>
                <w:szCs w:val="22"/>
                <w:lang w:bidi="ar"/>
              </w:rPr>
              <w:t>≧</w:t>
            </w:r>
            <w:r>
              <w:rPr>
                <w:rFonts w:hint="eastAsia" w:ascii="宋体" w:hAnsi="宋体" w:cs="宋体"/>
                <w:color w:val="000000"/>
                <w:sz w:val="24"/>
                <w:szCs w:val="24"/>
              </w:rPr>
              <w:t>120T; 转速：7200rpm;硬盘尺寸：3.5英寸;平均无故障时间：120万小时以上</w:t>
            </w:r>
            <w:r>
              <w:rPr>
                <w:rFonts w:hint="eastAsia" w:ascii="宋体" w:hAnsi="宋体" w:cs="宋体"/>
                <w:color w:val="000000"/>
                <w:sz w:val="24"/>
                <w:szCs w:val="24"/>
              </w:rPr>
              <w:br w:type="textWrapping"/>
            </w:r>
            <w:r>
              <w:rPr>
                <w:rFonts w:hint="eastAsia" w:ascii="宋体" w:hAnsi="宋体" w:cs="宋体"/>
                <w:color w:val="000000"/>
                <w:sz w:val="24"/>
                <w:szCs w:val="24"/>
              </w:rPr>
              <w:t>冷备系统盘×1</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21FBDF1B">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56AAC06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套</w:t>
            </w:r>
          </w:p>
        </w:tc>
      </w:tr>
      <w:tr w14:paraId="2B0339F5">
        <w:tblPrEx>
          <w:tblCellMar>
            <w:top w:w="0" w:type="dxa"/>
            <w:left w:w="108" w:type="dxa"/>
            <w:bottom w:w="0" w:type="dxa"/>
            <w:right w:w="108" w:type="dxa"/>
          </w:tblCellMar>
        </w:tblPrEx>
        <w:trPr>
          <w:jc w:val="center"/>
        </w:trPr>
        <w:tc>
          <w:tcPr>
            <w:tcW w:w="8522" w:type="dxa"/>
            <w:gridSpan w:val="5"/>
            <w:tcBorders>
              <w:top w:val="single" w:color="auto" w:sz="4" w:space="0"/>
              <w:left w:val="single" w:color="auto" w:sz="12" w:space="0"/>
              <w:bottom w:val="nil"/>
              <w:right w:val="single" w:color="auto" w:sz="12" w:space="0"/>
            </w:tcBorders>
            <w:shd w:val="clear" w:color="000000" w:fill="DDEBF7"/>
            <w:tcMar>
              <w:top w:w="-1" w:type="dxa"/>
              <w:left w:w="-1" w:type="dxa"/>
              <w:bottom w:w="-1" w:type="dxa"/>
              <w:right w:w="-1" w:type="dxa"/>
            </w:tcMar>
            <w:vAlign w:val="center"/>
          </w:tcPr>
          <w:p w14:paraId="0FEDA5ED">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第二部分：工作站设备</w:t>
            </w:r>
          </w:p>
        </w:tc>
      </w:tr>
      <w:tr w14:paraId="3349724F">
        <w:tblPrEx>
          <w:tblCellMar>
            <w:top w:w="0" w:type="dxa"/>
            <w:left w:w="108" w:type="dxa"/>
            <w:bottom w:w="0" w:type="dxa"/>
            <w:right w:w="108" w:type="dxa"/>
          </w:tblCellMar>
        </w:tblPrEx>
        <w:trPr>
          <w:jc w:val="center"/>
        </w:trPr>
        <w:tc>
          <w:tcPr>
            <w:tcW w:w="570" w:type="dxa"/>
            <w:vMerge w:val="restart"/>
            <w:tcBorders>
              <w:top w:val="single" w:color="auto" w:sz="4" w:space="0"/>
              <w:left w:val="single" w:color="auto" w:sz="12" w:space="0"/>
              <w:bottom w:val="nil"/>
              <w:right w:val="nil"/>
            </w:tcBorders>
            <w:tcMar>
              <w:top w:w="-1" w:type="dxa"/>
              <w:left w:w="-1" w:type="dxa"/>
              <w:bottom w:w="-1" w:type="dxa"/>
              <w:right w:w="-1" w:type="dxa"/>
            </w:tcMar>
            <w:vAlign w:val="center"/>
          </w:tcPr>
          <w:p w14:paraId="35D34312">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w:t>
            </w:r>
          </w:p>
        </w:tc>
        <w:tc>
          <w:tcPr>
            <w:tcW w:w="1738" w:type="dxa"/>
            <w:vMerge w:val="restart"/>
            <w:tcBorders>
              <w:top w:val="single" w:color="auto" w:sz="4" w:space="0"/>
              <w:left w:val="single" w:color="auto" w:sz="4" w:space="0"/>
              <w:bottom w:val="nil"/>
              <w:right w:val="nil"/>
            </w:tcBorders>
            <w:tcMar>
              <w:top w:w="-1" w:type="dxa"/>
              <w:left w:w="-1" w:type="dxa"/>
              <w:bottom w:w="-1" w:type="dxa"/>
              <w:right w:w="-1" w:type="dxa"/>
            </w:tcMar>
            <w:vAlign w:val="center"/>
          </w:tcPr>
          <w:p w14:paraId="04C0E5EE">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播出数据库/技审/自动入库系统</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77418D83">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CPU:≥C86-4G</w:t>
            </w:r>
          </w:p>
          <w:p w14:paraId="4266AE84">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内存:≥64G</w:t>
            </w:r>
          </w:p>
          <w:p w14:paraId="71CED93A">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系统硬盘:≥480G SSD硬盘x2数据硬盘:≥960GSSD硬盘x2控制器:板载RAID0/1其它:集成千兆以太网接口x2操作系统:国产操作系统(预装)对播出系统中的使用人员进行权限管理，播出中心存储、播出服务器本地存储进行空间管理，播出节目素材迁移/校验/生命周期管理，播出控制配置管理。对播出运行状况、节目素材使用状况日志记录及查询/导出</w:t>
            </w:r>
          </w:p>
          <w:p w14:paraId="2542F147">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国产数据库(预装)系统管理模块;素材管理模块素材入库接口模块;素材内容审查模块素材码流审查模块;素材扫描模块素材转码模块;素材入库模块数据库软件通过政府有关部门制定的中国信息安全测评中心和国家保密科技测评中心网站查看安全可靠测评结果。pU，数据库和操作系统等关键部件，符合安全可靠测评。通过政府有关部门制定的中国信息安全测评中心和国家保密科技测评中心网站查看安全可靠测评结果。</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28DEC151">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04AB1B78">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4014DF92">
        <w:tblPrEx>
          <w:tblCellMar>
            <w:top w:w="0" w:type="dxa"/>
            <w:left w:w="108" w:type="dxa"/>
            <w:bottom w:w="0" w:type="dxa"/>
            <w:right w:w="108" w:type="dxa"/>
          </w:tblCellMar>
        </w:tblPrEx>
        <w:trPr>
          <w:jc w:val="center"/>
        </w:trPr>
        <w:tc>
          <w:tcPr>
            <w:tcW w:w="570" w:type="dxa"/>
            <w:vMerge w:val="continue"/>
            <w:tcBorders>
              <w:top w:val="single" w:color="auto" w:sz="4" w:space="0"/>
              <w:left w:val="single" w:color="auto" w:sz="12" w:space="0"/>
              <w:bottom w:val="nil"/>
              <w:right w:val="nil"/>
            </w:tcBorders>
            <w:tcMar>
              <w:top w:w="-1" w:type="dxa"/>
              <w:left w:w="-1" w:type="dxa"/>
              <w:bottom w:w="-1" w:type="dxa"/>
              <w:right w:w="-1" w:type="dxa"/>
            </w:tcMar>
            <w:vAlign w:val="center"/>
          </w:tcPr>
          <w:p w14:paraId="23B2FE84">
            <w:pPr>
              <w:widowControl/>
              <w:snapToGrid w:val="0"/>
              <w:jc w:val="center"/>
              <w:rPr>
                <w:rFonts w:hint="eastAsia" w:ascii="宋体" w:hAnsi="宋体" w:cs="宋体"/>
                <w:color w:val="000000"/>
                <w:sz w:val="24"/>
                <w:szCs w:val="24"/>
              </w:rPr>
            </w:pPr>
          </w:p>
        </w:tc>
        <w:tc>
          <w:tcPr>
            <w:tcW w:w="1738"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4DAE22D">
            <w:pPr>
              <w:widowControl/>
              <w:snapToGrid w:val="0"/>
              <w:jc w:val="center"/>
              <w:rPr>
                <w:rFonts w:hint="eastAsia" w:ascii="宋体" w:hAnsi="宋体" w:cs="宋体"/>
                <w:color w:val="000000"/>
                <w:sz w:val="24"/>
                <w:szCs w:val="24"/>
              </w:rPr>
            </w:pP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7C23921D">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系统硬盘：</w:t>
            </w:r>
            <w:r>
              <w:rPr>
                <w:rFonts w:hint="eastAsia" w:ascii="宋体" w:hAnsi="宋体" w:cs="宋体"/>
                <w:color w:val="000000"/>
                <w:sz w:val="24"/>
                <w:szCs w:val="22"/>
                <w:lang w:bidi="ar"/>
              </w:rPr>
              <w:t>≧</w:t>
            </w:r>
            <w:r>
              <w:rPr>
                <w:rFonts w:hint="eastAsia" w:ascii="宋体" w:hAnsi="宋体" w:cs="宋体"/>
                <w:color w:val="000000"/>
                <w:sz w:val="24"/>
                <w:szCs w:val="24"/>
              </w:rPr>
              <w:t>480G  SSD硬盘×1（冷备）</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7BA96475">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2C7FDB82">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块</w:t>
            </w:r>
          </w:p>
        </w:tc>
      </w:tr>
      <w:tr w14:paraId="1A6F64EB">
        <w:tblPrEx>
          <w:tblCellMar>
            <w:top w:w="0" w:type="dxa"/>
            <w:left w:w="108" w:type="dxa"/>
            <w:bottom w:w="0" w:type="dxa"/>
            <w:right w:w="108" w:type="dxa"/>
          </w:tblCellMar>
        </w:tblPrEx>
        <w:trPr>
          <w:jc w:val="center"/>
        </w:trPr>
        <w:tc>
          <w:tcPr>
            <w:tcW w:w="570" w:type="dxa"/>
            <w:vMerge w:val="continue"/>
            <w:tcBorders>
              <w:top w:val="single" w:color="auto" w:sz="4" w:space="0"/>
              <w:left w:val="single" w:color="auto" w:sz="12" w:space="0"/>
              <w:bottom w:val="nil"/>
              <w:right w:val="nil"/>
            </w:tcBorders>
            <w:tcMar>
              <w:top w:w="-1" w:type="dxa"/>
              <w:left w:w="-1" w:type="dxa"/>
              <w:bottom w:w="-1" w:type="dxa"/>
              <w:right w:w="-1" w:type="dxa"/>
            </w:tcMar>
            <w:vAlign w:val="center"/>
          </w:tcPr>
          <w:p w14:paraId="7BD1B99B">
            <w:pPr>
              <w:widowControl/>
              <w:snapToGrid w:val="0"/>
              <w:jc w:val="center"/>
              <w:rPr>
                <w:rFonts w:hint="eastAsia" w:ascii="宋体" w:hAnsi="宋体" w:cs="宋体"/>
                <w:color w:val="000000"/>
                <w:sz w:val="24"/>
                <w:szCs w:val="24"/>
              </w:rPr>
            </w:pPr>
          </w:p>
        </w:tc>
        <w:tc>
          <w:tcPr>
            <w:tcW w:w="1738"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7CA59C8">
            <w:pPr>
              <w:widowControl/>
              <w:snapToGrid w:val="0"/>
              <w:jc w:val="center"/>
              <w:rPr>
                <w:rFonts w:hint="eastAsia" w:ascii="宋体" w:hAnsi="宋体" w:cs="宋体"/>
                <w:color w:val="000000"/>
                <w:sz w:val="24"/>
                <w:szCs w:val="24"/>
              </w:rPr>
            </w:pP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68E32BD7">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数据硬盘：</w:t>
            </w:r>
            <w:r>
              <w:rPr>
                <w:rFonts w:hint="eastAsia" w:ascii="宋体" w:hAnsi="宋体" w:cs="宋体"/>
                <w:color w:val="000000"/>
                <w:sz w:val="24"/>
                <w:szCs w:val="22"/>
                <w:lang w:bidi="ar"/>
              </w:rPr>
              <w:t>≧</w:t>
            </w:r>
            <w:r>
              <w:rPr>
                <w:rFonts w:hint="eastAsia" w:ascii="宋体" w:hAnsi="宋体" w:cs="宋体"/>
                <w:color w:val="000000"/>
                <w:sz w:val="24"/>
                <w:szCs w:val="24"/>
              </w:rPr>
              <w:t>960G  SSD硬盘×1（冷备）</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6E15BD4E">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530C503F">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块</w:t>
            </w:r>
          </w:p>
        </w:tc>
      </w:tr>
      <w:tr w14:paraId="7812196A">
        <w:tblPrEx>
          <w:tblCellMar>
            <w:top w:w="0" w:type="dxa"/>
            <w:left w:w="108" w:type="dxa"/>
            <w:bottom w:w="0" w:type="dxa"/>
            <w:right w:w="108" w:type="dxa"/>
          </w:tblCellMar>
        </w:tblPrEx>
        <w:trPr>
          <w:trHeight w:val="2443" w:hRule="atLeast"/>
          <w:jc w:val="center"/>
        </w:trPr>
        <w:tc>
          <w:tcPr>
            <w:tcW w:w="570" w:type="dxa"/>
            <w:vMerge w:val="restart"/>
            <w:tcBorders>
              <w:top w:val="single" w:color="auto" w:sz="4" w:space="0"/>
              <w:left w:val="single" w:color="auto" w:sz="12" w:space="0"/>
              <w:bottom w:val="nil"/>
              <w:right w:val="nil"/>
            </w:tcBorders>
            <w:tcMar>
              <w:top w:w="-1" w:type="dxa"/>
              <w:left w:w="-1" w:type="dxa"/>
              <w:bottom w:w="-1" w:type="dxa"/>
              <w:right w:w="-1" w:type="dxa"/>
            </w:tcMar>
            <w:vAlign w:val="center"/>
          </w:tcPr>
          <w:p w14:paraId="3E7F51A7">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2</w:t>
            </w:r>
          </w:p>
        </w:tc>
        <w:tc>
          <w:tcPr>
            <w:tcW w:w="1738" w:type="dxa"/>
            <w:vMerge w:val="restart"/>
            <w:tcBorders>
              <w:top w:val="single" w:color="auto" w:sz="4" w:space="0"/>
              <w:left w:val="single" w:color="auto" w:sz="4" w:space="0"/>
              <w:bottom w:val="nil"/>
              <w:right w:val="nil"/>
            </w:tcBorders>
            <w:tcMar>
              <w:top w:w="-1" w:type="dxa"/>
              <w:left w:w="-1" w:type="dxa"/>
              <w:bottom w:w="-1" w:type="dxa"/>
              <w:right w:w="-1" w:type="dxa"/>
            </w:tcMar>
            <w:vAlign w:val="center"/>
          </w:tcPr>
          <w:p w14:paraId="356C5C0B">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2通道高清</w:t>
            </w:r>
            <w:r>
              <w:rPr>
                <w:rFonts w:hint="eastAsia" w:ascii="宋体" w:hAnsi="宋体" w:cs="宋体"/>
                <w:color w:val="000000"/>
                <w:sz w:val="24"/>
                <w:szCs w:val="24"/>
              </w:rPr>
              <w:br w:type="textWrapping"/>
            </w:r>
            <w:r>
              <w:rPr>
                <w:rFonts w:hint="eastAsia" w:ascii="宋体" w:hAnsi="宋体" w:cs="宋体"/>
                <w:color w:val="000000"/>
                <w:sz w:val="24"/>
                <w:szCs w:val="24"/>
              </w:rPr>
              <w:t>播出系统</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1913ECD0">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CPU：</w:t>
            </w:r>
            <w:r>
              <w:rPr>
                <w:rFonts w:hint="eastAsia" w:ascii="宋体" w:hAnsi="宋体" w:cs="宋体"/>
                <w:color w:val="000000"/>
                <w:sz w:val="24"/>
                <w:szCs w:val="22"/>
                <w:lang w:bidi="ar"/>
              </w:rPr>
              <w:t>≧</w:t>
            </w:r>
            <w:r>
              <w:rPr>
                <w:rFonts w:hint="eastAsia" w:ascii="宋体" w:hAnsi="宋体" w:cs="宋体"/>
                <w:color w:val="000000"/>
                <w:sz w:val="24"/>
                <w:szCs w:val="24"/>
              </w:rPr>
              <w:t xml:space="preserve"> C86-4G</w:t>
            </w:r>
            <w:r>
              <w:rPr>
                <w:rFonts w:hint="eastAsia" w:ascii="宋体" w:hAnsi="宋体" w:cs="宋体"/>
                <w:color w:val="000000"/>
                <w:sz w:val="24"/>
                <w:szCs w:val="24"/>
              </w:rPr>
              <w:br w:type="textWrapping"/>
            </w:r>
            <w:r>
              <w:rPr>
                <w:rFonts w:hint="eastAsia" w:ascii="宋体" w:hAnsi="宋体" w:cs="宋体"/>
                <w:color w:val="000000"/>
                <w:sz w:val="24"/>
                <w:szCs w:val="24"/>
              </w:rPr>
              <w:t>内存：</w:t>
            </w:r>
            <w:r>
              <w:rPr>
                <w:rFonts w:hint="eastAsia" w:ascii="宋体" w:hAnsi="宋体" w:cs="宋体"/>
                <w:color w:val="000000"/>
                <w:sz w:val="24"/>
                <w:szCs w:val="22"/>
                <w:lang w:bidi="ar"/>
              </w:rPr>
              <w:t>≧</w:t>
            </w:r>
            <w:r>
              <w:rPr>
                <w:rFonts w:hint="eastAsia" w:ascii="宋体" w:hAnsi="宋体" w:cs="宋体"/>
                <w:color w:val="000000"/>
                <w:sz w:val="24"/>
                <w:szCs w:val="24"/>
              </w:rPr>
              <w:t>128G</w:t>
            </w:r>
            <w:r>
              <w:rPr>
                <w:rFonts w:hint="eastAsia" w:ascii="宋体" w:hAnsi="宋体" w:cs="宋体"/>
                <w:color w:val="000000"/>
                <w:sz w:val="24"/>
                <w:szCs w:val="24"/>
              </w:rPr>
              <w:br w:type="textWrapping"/>
            </w:r>
            <w:r>
              <w:rPr>
                <w:rFonts w:hint="eastAsia" w:ascii="宋体" w:hAnsi="宋体" w:cs="宋体"/>
                <w:color w:val="000000"/>
                <w:sz w:val="24"/>
                <w:szCs w:val="24"/>
              </w:rPr>
              <w:t>系统硬盘：</w:t>
            </w:r>
            <w:r>
              <w:rPr>
                <w:rFonts w:hint="eastAsia" w:ascii="宋体" w:hAnsi="宋体" w:cs="宋体"/>
                <w:color w:val="000000"/>
                <w:sz w:val="24"/>
                <w:szCs w:val="22"/>
                <w:lang w:bidi="ar"/>
              </w:rPr>
              <w:t>≧</w:t>
            </w:r>
            <w:r>
              <w:rPr>
                <w:rFonts w:hint="eastAsia" w:ascii="宋体" w:hAnsi="宋体" w:cs="宋体"/>
                <w:color w:val="000000"/>
                <w:sz w:val="24"/>
                <w:szCs w:val="24"/>
              </w:rPr>
              <w:t>480G  SSD硬盘×2</w:t>
            </w:r>
            <w:r>
              <w:rPr>
                <w:rFonts w:hint="eastAsia" w:ascii="宋体" w:hAnsi="宋体" w:cs="宋体"/>
                <w:color w:val="000000"/>
                <w:sz w:val="24"/>
                <w:szCs w:val="24"/>
              </w:rPr>
              <w:br w:type="textWrapping"/>
            </w:r>
            <w:r>
              <w:rPr>
                <w:rFonts w:hint="eastAsia" w:ascii="宋体" w:hAnsi="宋体" w:cs="宋体"/>
                <w:color w:val="000000"/>
                <w:sz w:val="24"/>
                <w:szCs w:val="24"/>
              </w:rPr>
              <w:t>数据硬盘：</w:t>
            </w:r>
            <w:r>
              <w:rPr>
                <w:rFonts w:hint="eastAsia" w:ascii="宋体" w:hAnsi="宋体" w:cs="宋体"/>
                <w:color w:val="000000"/>
                <w:sz w:val="24"/>
                <w:szCs w:val="22"/>
                <w:lang w:bidi="ar"/>
              </w:rPr>
              <w:t>≧</w:t>
            </w:r>
            <w:r>
              <w:rPr>
                <w:rFonts w:hint="eastAsia" w:ascii="宋体" w:hAnsi="宋体" w:cs="宋体"/>
                <w:color w:val="000000"/>
                <w:sz w:val="24"/>
                <w:szCs w:val="24"/>
              </w:rPr>
              <w:t>4TB 3.5" SATA硬盘×6</w:t>
            </w:r>
            <w:r>
              <w:rPr>
                <w:rFonts w:hint="eastAsia" w:ascii="宋体" w:hAnsi="宋体" w:cs="宋体"/>
                <w:color w:val="000000"/>
                <w:sz w:val="24"/>
                <w:szCs w:val="24"/>
              </w:rPr>
              <w:br w:type="textWrapping"/>
            </w:r>
            <w:r>
              <w:rPr>
                <w:rFonts w:hint="eastAsia" w:ascii="宋体" w:hAnsi="宋体" w:cs="宋体"/>
                <w:color w:val="000000"/>
                <w:sz w:val="24"/>
                <w:szCs w:val="24"/>
              </w:rPr>
              <w:t>控制器：板载RAID0/1/5</w:t>
            </w:r>
            <w:r>
              <w:rPr>
                <w:rFonts w:hint="eastAsia" w:ascii="宋体" w:hAnsi="宋体" w:cs="宋体"/>
                <w:color w:val="000000"/>
                <w:sz w:val="24"/>
                <w:szCs w:val="24"/>
              </w:rPr>
              <w:br w:type="textWrapping"/>
            </w:r>
            <w:r>
              <w:rPr>
                <w:rFonts w:hint="eastAsia" w:ascii="宋体" w:hAnsi="宋体" w:cs="宋体"/>
                <w:color w:val="000000"/>
                <w:sz w:val="24"/>
                <w:szCs w:val="24"/>
              </w:rPr>
              <w:t>其它：集成千兆以太网接口×4</w:t>
            </w:r>
            <w:r>
              <w:rPr>
                <w:rFonts w:hint="eastAsia" w:ascii="宋体" w:hAnsi="宋体" w:cs="宋体"/>
                <w:color w:val="000000"/>
                <w:sz w:val="24"/>
                <w:szCs w:val="24"/>
              </w:rPr>
              <w:br w:type="textWrapping"/>
            </w:r>
            <w:r>
              <w:rPr>
                <w:rFonts w:hint="eastAsia" w:ascii="宋体" w:hAnsi="宋体" w:cs="宋体"/>
                <w:color w:val="000000"/>
                <w:sz w:val="24"/>
                <w:szCs w:val="24"/>
              </w:rPr>
              <w:t>显卡：</w:t>
            </w:r>
            <w:r>
              <w:rPr>
                <w:rFonts w:hint="eastAsia" w:ascii="宋体" w:hAnsi="宋体" w:cs="宋体"/>
                <w:color w:val="000000"/>
                <w:sz w:val="24"/>
                <w:szCs w:val="22"/>
                <w:lang w:bidi="ar"/>
              </w:rPr>
              <w:t>≧</w:t>
            </w:r>
            <w:r>
              <w:rPr>
                <w:rFonts w:hint="eastAsia" w:ascii="宋体" w:hAnsi="宋体" w:cs="宋体"/>
                <w:color w:val="000000"/>
                <w:sz w:val="24"/>
                <w:szCs w:val="24"/>
              </w:rPr>
              <w:t>4G独立显卡</w:t>
            </w:r>
            <w:r>
              <w:rPr>
                <w:rFonts w:hint="eastAsia" w:ascii="宋体" w:hAnsi="宋体" w:cs="宋体"/>
                <w:color w:val="000000"/>
                <w:sz w:val="24"/>
                <w:szCs w:val="24"/>
              </w:rPr>
              <w:br w:type="textWrapping"/>
            </w:r>
            <w:r>
              <w:rPr>
                <w:rFonts w:hint="eastAsia" w:ascii="宋体" w:hAnsi="宋体" w:cs="宋体"/>
                <w:color w:val="000000"/>
                <w:sz w:val="24"/>
                <w:szCs w:val="24"/>
              </w:rPr>
              <w:t>操作系统：国产操作系统（预装）</w:t>
            </w:r>
            <w:r>
              <w:rPr>
                <w:rFonts w:hint="eastAsia" w:ascii="宋体" w:hAnsi="宋体" w:cs="宋体"/>
                <w:color w:val="000000"/>
                <w:sz w:val="24"/>
                <w:szCs w:val="24"/>
              </w:rPr>
              <w:br w:type="textWrapping"/>
            </w:r>
            <w:r>
              <w:rPr>
                <w:rFonts w:hint="eastAsia" w:ascii="宋体" w:hAnsi="宋体" w:cs="宋体"/>
                <w:color w:val="000000"/>
                <w:sz w:val="24"/>
                <w:szCs w:val="24"/>
              </w:rPr>
              <w:t xml:space="preserve">CPU和操作系统等关键部件，符合安全可靠测评。通过政府有关部门制定的中国信息安全测评中心和国家保密科技测评中心网站查看安全可靠测评结果。             </w:t>
            </w:r>
          </w:p>
        </w:tc>
        <w:tc>
          <w:tcPr>
            <w:tcW w:w="742" w:type="dxa"/>
            <w:vMerge w:val="restart"/>
            <w:tcBorders>
              <w:top w:val="single" w:color="auto" w:sz="4" w:space="0"/>
              <w:left w:val="single" w:color="auto" w:sz="4" w:space="0"/>
              <w:right w:val="nil"/>
            </w:tcBorders>
            <w:tcMar>
              <w:top w:w="-1" w:type="dxa"/>
              <w:left w:w="-1" w:type="dxa"/>
              <w:bottom w:w="-1" w:type="dxa"/>
              <w:right w:w="-1" w:type="dxa"/>
            </w:tcMar>
            <w:vAlign w:val="center"/>
          </w:tcPr>
          <w:p w14:paraId="2C70A0BC">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vMerge w:val="restart"/>
            <w:tcBorders>
              <w:top w:val="single" w:color="auto" w:sz="4" w:space="0"/>
              <w:left w:val="single" w:color="auto" w:sz="4" w:space="0"/>
              <w:right w:val="single" w:color="auto" w:sz="12" w:space="0"/>
            </w:tcBorders>
            <w:tcMar>
              <w:top w:w="-1" w:type="dxa"/>
              <w:left w:w="-1" w:type="dxa"/>
              <w:bottom w:w="-1" w:type="dxa"/>
              <w:right w:w="-1" w:type="dxa"/>
            </w:tcMar>
            <w:vAlign w:val="center"/>
          </w:tcPr>
          <w:p w14:paraId="77D3167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0AC208A1">
        <w:tblPrEx>
          <w:tblCellMar>
            <w:top w:w="0" w:type="dxa"/>
            <w:left w:w="108" w:type="dxa"/>
            <w:bottom w:w="0" w:type="dxa"/>
            <w:right w:w="108" w:type="dxa"/>
          </w:tblCellMar>
        </w:tblPrEx>
        <w:trPr>
          <w:jc w:val="center"/>
        </w:trPr>
        <w:tc>
          <w:tcPr>
            <w:tcW w:w="570" w:type="dxa"/>
            <w:vMerge w:val="continue"/>
            <w:tcBorders>
              <w:top w:val="single" w:color="auto" w:sz="4" w:space="0"/>
              <w:left w:val="single" w:color="auto" w:sz="12" w:space="0"/>
              <w:bottom w:val="nil"/>
              <w:right w:val="nil"/>
            </w:tcBorders>
            <w:tcMar>
              <w:top w:w="-1" w:type="dxa"/>
              <w:left w:w="-1" w:type="dxa"/>
              <w:bottom w:w="-1" w:type="dxa"/>
              <w:right w:w="-1" w:type="dxa"/>
            </w:tcMar>
            <w:vAlign w:val="center"/>
          </w:tcPr>
          <w:p w14:paraId="6965E247">
            <w:pPr>
              <w:widowControl/>
              <w:snapToGrid w:val="0"/>
              <w:jc w:val="center"/>
              <w:rPr>
                <w:rFonts w:hint="eastAsia" w:ascii="宋体" w:hAnsi="宋体" w:cs="宋体"/>
                <w:color w:val="000000"/>
                <w:sz w:val="24"/>
                <w:szCs w:val="24"/>
              </w:rPr>
            </w:pPr>
          </w:p>
        </w:tc>
        <w:tc>
          <w:tcPr>
            <w:tcW w:w="1738"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4A6B7DB">
            <w:pPr>
              <w:widowControl/>
              <w:snapToGrid w:val="0"/>
              <w:jc w:val="center"/>
              <w:rPr>
                <w:rFonts w:hint="eastAsia" w:ascii="宋体" w:hAnsi="宋体" w:cs="宋体"/>
                <w:color w:val="000000"/>
                <w:sz w:val="24"/>
                <w:szCs w:val="24"/>
              </w:rPr>
            </w:pP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0AE7FBEB">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高清2入2出，支持2个高清频道播出（带转播）</w:t>
            </w:r>
          </w:p>
        </w:tc>
        <w:tc>
          <w:tcPr>
            <w:tcW w:w="742" w:type="dxa"/>
            <w:vMerge w:val="continue"/>
            <w:tcBorders>
              <w:left w:val="single" w:color="auto" w:sz="4" w:space="0"/>
              <w:right w:val="nil"/>
            </w:tcBorders>
            <w:tcMar>
              <w:top w:w="-1" w:type="dxa"/>
              <w:left w:w="-1" w:type="dxa"/>
              <w:bottom w:w="-1" w:type="dxa"/>
              <w:right w:w="-1" w:type="dxa"/>
            </w:tcMar>
            <w:vAlign w:val="center"/>
          </w:tcPr>
          <w:p w14:paraId="00B8120F">
            <w:pPr>
              <w:widowControl/>
              <w:snapToGrid w:val="0"/>
              <w:jc w:val="left"/>
              <w:rPr>
                <w:rFonts w:hint="eastAsia" w:ascii="宋体" w:hAnsi="宋体" w:cs="宋体"/>
                <w:color w:val="000000"/>
                <w:sz w:val="24"/>
                <w:szCs w:val="24"/>
              </w:rPr>
            </w:pPr>
          </w:p>
        </w:tc>
        <w:tc>
          <w:tcPr>
            <w:tcW w:w="742" w:type="dxa"/>
            <w:vMerge w:val="continue"/>
            <w:tcBorders>
              <w:left w:val="single" w:color="auto" w:sz="4" w:space="0"/>
              <w:right w:val="single" w:color="auto" w:sz="12" w:space="0"/>
            </w:tcBorders>
            <w:tcMar>
              <w:top w:w="-1" w:type="dxa"/>
              <w:left w:w="-1" w:type="dxa"/>
              <w:bottom w:w="-1" w:type="dxa"/>
              <w:right w:w="-1" w:type="dxa"/>
            </w:tcMar>
            <w:vAlign w:val="center"/>
          </w:tcPr>
          <w:p w14:paraId="309978F4">
            <w:pPr>
              <w:widowControl/>
              <w:snapToGrid w:val="0"/>
              <w:jc w:val="center"/>
              <w:rPr>
                <w:rFonts w:hint="eastAsia" w:ascii="宋体" w:hAnsi="宋体" w:cs="宋体"/>
                <w:color w:val="000000"/>
                <w:sz w:val="24"/>
                <w:szCs w:val="24"/>
              </w:rPr>
            </w:pPr>
          </w:p>
        </w:tc>
      </w:tr>
      <w:tr w14:paraId="2339A7FB">
        <w:tblPrEx>
          <w:tblCellMar>
            <w:top w:w="0" w:type="dxa"/>
            <w:left w:w="108" w:type="dxa"/>
            <w:bottom w:w="0" w:type="dxa"/>
            <w:right w:w="108" w:type="dxa"/>
          </w:tblCellMar>
        </w:tblPrEx>
        <w:trPr>
          <w:jc w:val="center"/>
        </w:trPr>
        <w:tc>
          <w:tcPr>
            <w:tcW w:w="570" w:type="dxa"/>
            <w:vMerge w:val="continue"/>
            <w:tcBorders>
              <w:top w:val="single" w:color="auto" w:sz="4" w:space="0"/>
              <w:left w:val="single" w:color="auto" w:sz="12" w:space="0"/>
              <w:bottom w:val="nil"/>
              <w:right w:val="nil"/>
            </w:tcBorders>
            <w:tcMar>
              <w:top w:w="-1" w:type="dxa"/>
              <w:left w:w="-1" w:type="dxa"/>
              <w:bottom w:w="-1" w:type="dxa"/>
              <w:right w:w="-1" w:type="dxa"/>
            </w:tcMar>
            <w:vAlign w:val="center"/>
          </w:tcPr>
          <w:p w14:paraId="52625AE4">
            <w:pPr>
              <w:widowControl/>
              <w:snapToGrid w:val="0"/>
              <w:jc w:val="center"/>
              <w:rPr>
                <w:rFonts w:hint="eastAsia" w:ascii="宋体" w:hAnsi="宋体" w:cs="宋体"/>
                <w:color w:val="000000"/>
                <w:sz w:val="24"/>
                <w:szCs w:val="24"/>
              </w:rPr>
            </w:pPr>
          </w:p>
        </w:tc>
        <w:tc>
          <w:tcPr>
            <w:tcW w:w="1738"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245CA4D">
            <w:pPr>
              <w:widowControl/>
              <w:snapToGrid w:val="0"/>
              <w:jc w:val="center"/>
              <w:rPr>
                <w:rFonts w:hint="eastAsia" w:ascii="宋体" w:hAnsi="宋体" w:cs="宋体"/>
                <w:color w:val="000000"/>
                <w:sz w:val="24"/>
                <w:szCs w:val="24"/>
              </w:rPr>
            </w:pP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6A6EADE8">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 xml:space="preserve">支持多格式、多码率、高标清素材混播，支持实时上下变换，支持输出音频混音及自动增益控制 </w:t>
            </w:r>
          </w:p>
        </w:tc>
        <w:tc>
          <w:tcPr>
            <w:tcW w:w="742" w:type="dxa"/>
            <w:vMerge w:val="continue"/>
            <w:tcBorders>
              <w:left w:val="single" w:color="auto" w:sz="4" w:space="0"/>
              <w:right w:val="nil"/>
            </w:tcBorders>
            <w:tcMar>
              <w:top w:w="-1" w:type="dxa"/>
              <w:left w:w="-1" w:type="dxa"/>
              <w:bottom w:w="-1" w:type="dxa"/>
              <w:right w:w="-1" w:type="dxa"/>
            </w:tcMar>
            <w:vAlign w:val="center"/>
          </w:tcPr>
          <w:p w14:paraId="3312977E">
            <w:pPr>
              <w:widowControl/>
              <w:snapToGrid w:val="0"/>
              <w:jc w:val="left"/>
              <w:rPr>
                <w:rFonts w:hint="eastAsia" w:ascii="宋体" w:hAnsi="宋体" w:cs="宋体"/>
                <w:color w:val="000000"/>
                <w:sz w:val="24"/>
                <w:szCs w:val="24"/>
              </w:rPr>
            </w:pPr>
          </w:p>
        </w:tc>
        <w:tc>
          <w:tcPr>
            <w:tcW w:w="742" w:type="dxa"/>
            <w:vMerge w:val="continue"/>
            <w:tcBorders>
              <w:left w:val="single" w:color="auto" w:sz="4" w:space="0"/>
              <w:right w:val="single" w:color="auto" w:sz="12" w:space="0"/>
            </w:tcBorders>
            <w:tcMar>
              <w:top w:w="-1" w:type="dxa"/>
              <w:left w:w="-1" w:type="dxa"/>
              <w:bottom w:w="-1" w:type="dxa"/>
              <w:right w:w="-1" w:type="dxa"/>
            </w:tcMar>
            <w:vAlign w:val="center"/>
          </w:tcPr>
          <w:p w14:paraId="6B4A7A10">
            <w:pPr>
              <w:widowControl/>
              <w:snapToGrid w:val="0"/>
              <w:jc w:val="center"/>
              <w:rPr>
                <w:rFonts w:hint="eastAsia" w:ascii="宋体" w:hAnsi="宋体" w:cs="宋体"/>
                <w:color w:val="000000"/>
                <w:sz w:val="24"/>
                <w:szCs w:val="24"/>
              </w:rPr>
            </w:pPr>
          </w:p>
        </w:tc>
      </w:tr>
      <w:tr w14:paraId="5654680B">
        <w:tblPrEx>
          <w:tblCellMar>
            <w:top w:w="0" w:type="dxa"/>
            <w:left w:w="108" w:type="dxa"/>
            <w:bottom w:w="0" w:type="dxa"/>
            <w:right w:w="108" w:type="dxa"/>
          </w:tblCellMar>
        </w:tblPrEx>
        <w:trPr>
          <w:jc w:val="center"/>
        </w:trPr>
        <w:tc>
          <w:tcPr>
            <w:tcW w:w="570" w:type="dxa"/>
            <w:vMerge w:val="continue"/>
            <w:tcBorders>
              <w:top w:val="single" w:color="auto" w:sz="4" w:space="0"/>
              <w:left w:val="single" w:color="auto" w:sz="12" w:space="0"/>
              <w:bottom w:val="nil"/>
              <w:right w:val="nil"/>
            </w:tcBorders>
            <w:tcMar>
              <w:top w:w="-1" w:type="dxa"/>
              <w:left w:w="-1" w:type="dxa"/>
              <w:bottom w:w="-1" w:type="dxa"/>
              <w:right w:w="-1" w:type="dxa"/>
            </w:tcMar>
            <w:vAlign w:val="center"/>
          </w:tcPr>
          <w:p w14:paraId="00E87BC0">
            <w:pPr>
              <w:widowControl/>
              <w:snapToGrid w:val="0"/>
              <w:jc w:val="center"/>
              <w:rPr>
                <w:rFonts w:hint="eastAsia" w:ascii="宋体" w:hAnsi="宋体" w:cs="宋体"/>
                <w:color w:val="000000"/>
                <w:sz w:val="24"/>
                <w:szCs w:val="24"/>
              </w:rPr>
            </w:pPr>
          </w:p>
        </w:tc>
        <w:tc>
          <w:tcPr>
            <w:tcW w:w="1738"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1E0272D">
            <w:pPr>
              <w:widowControl/>
              <w:snapToGrid w:val="0"/>
              <w:jc w:val="center"/>
              <w:rPr>
                <w:rFonts w:hint="eastAsia" w:ascii="宋体" w:hAnsi="宋体" w:cs="宋体"/>
                <w:color w:val="000000"/>
                <w:sz w:val="24"/>
                <w:szCs w:val="24"/>
              </w:rPr>
            </w:pP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3F4BCC8E">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系统管理模块；多通道解码播出模块</w:t>
            </w:r>
            <w:r>
              <w:rPr>
                <w:rFonts w:hint="eastAsia" w:ascii="宋体" w:hAnsi="宋体" w:cs="宋体"/>
                <w:color w:val="000000"/>
                <w:sz w:val="24"/>
                <w:szCs w:val="24"/>
              </w:rPr>
              <w:br w:type="textWrapping"/>
            </w:r>
            <w:r>
              <w:rPr>
                <w:rFonts w:hint="eastAsia" w:ascii="宋体" w:hAnsi="宋体" w:cs="宋体"/>
                <w:color w:val="000000"/>
                <w:sz w:val="24"/>
                <w:szCs w:val="24"/>
              </w:rPr>
              <w:t>多通道N/P实时制转模块；多通道实时上下变换转模块</w:t>
            </w:r>
            <w:r>
              <w:rPr>
                <w:rFonts w:hint="eastAsia" w:ascii="宋体" w:hAnsi="宋体" w:cs="宋体"/>
                <w:color w:val="000000"/>
                <w:sz w:val="24"/>
                <w:szCs w:val="24"/>
              </w:rPr>
              <w:br w:type="textWrapping"/>
            </w:r>
            <w:r>
              <w:rPr>
                <w:rFonts w:hint="eastAsia" w:ascii="宋体" w:hAnsi="宋体" w:cs="宋体"/>
                <w:color w:val="000000"/>
                <w:sz w:val="24"/>
                <w:szCs w:val="24"/>
              </w:rPr>
              <w:t>多通道音频混音模块；多通道音频自动均衡模块</w:t>
            </w:r>
          </w:p>
        </w:tc>
        <w:tc>
          <w:tcPr>
            <w:tcW w:w="742" w:type="dxa"/>
            <w:vMerge w:val="continue"/>
            <w:tcBorders>
              <w:left w:val="single" w:color="auto" w:sz="4" w:space="0"/>
              <w:bottom w:val="nil"/>
              <w:right w:val="nil"/>
            </w:tcBorders>
            <w:tcMar>
              <w:top w:w="-1" w:type="dxa"/>
              <w:left w:w="-1" w:type="dxa"/>
              <w:bottom w:w="-1" w:type="dxa"/>
              <w:right w:w="-1" w:type="dxa"/>
            </w:tcMar>
            <w:vAlign w:val="center"/>
          </w:tcPr>
          <w:p w14:paraId="59F3357B">
            <w:pPr>
              <w:widowControl/>
              <w:snapToGrid w:val="0"/>
              <w:jc w:val="left"/>
              <w:rPr>
                <w:rFonts w:hint="eastAsia" w:ascii="宋体" w:hAnsi="宋体" w:cs="宋体"/>
                <w:color w:val="000000"/>
                <w:sz w:val="24"/>
                <w:szCs w:val="24"/>
              </w:rPr>
            </w:pPr>
          </w:p>
        </w:tc>
        <w:tc>
          <w:tcPr>
            <w:tcW w:w="742" w:type="dxa"/>
            <w:vMerge w:val="continue"/>
            <w:tcBorders>
              <w:left w:val="single" w:color="auto" w:sz="4" w:space="0"/>
              <w:bottom w:val="nil"/>
              <w:right w:val="single" w:color="auto" w:sz="12" w:space="0"/>
            </w:tcBorders>
            <w:tcMar>
              <w:top w:w="-1" w:type="dxa"/>
              <w:left w:w="-1" w:type="dxa"/>
              <w:bottom w:w="-1" w:type="dxa"/>
              <w:right w:w="-1" w:type="dxa"/>
            </w:tcMar>
            <w:vAlign w:val="center"/>
          </w:tcPr>
          <w:p w14:paraId="62579DFA">
            <w:pPr>
              <w:widowControl/>
              <w:snapToGrid w:val="0"/>
              <w:jc w:val="center"/>
              <w:rPr>
                <w:rFonts w:hint="eastAsia" w:ascii="宋体" w:hAnsi="宋体" w:cs="宋体"/>
                <w:color w:val="000000"/>
                <w:sz w:val="24"/>
                <w:szCs w:val="24"/>
              </w:rPr>
            </w:pPr>
          </w:p>
        </w:tc>
      </w:tr>
      <w:tr w14:paraId="2A930E2D">
        <w:tblPrEx>
          <w:tblCellMar>
            <w:top w:w="0" w:type="dxa"/>
            <w:left w:w="108" w:type="dxa"/>
            <w:bottom w:w="0" w:type="dxa"/>
            <w:right w:w="108" w:type="dxa"/>
          </w:tblCellMar>
        </w:tblPrEx>
        <w:trPr>
          <w:jc w:val="center"/>
        </w:trPr>
        <w:tc>
          <w:tcPr>
            <w:tcW w:w="570" w:type="dxa"/>
            <w:vMerge w:val="continue"/>
            <w:tcBorders>
              <w:top w:val="single" w:color="auto" w:sz="4" w:space="0"/>
              <w:left w:val="single" w:color="auto" w:sz="12" w:space="0"/>
              <w:bottom w:val="nil"/>
              <w:right w:val="nil"/>
            </w:tcBorders>
            <w:tcMar>
              <w:top w:w="-1" w:type="dxa"/>
              <w:left w:w="-1" w:type="dxa"/>
              <w:bottom w:w="-1" w:type="dxa"/>
              <w:right w:w="-1" w:type="dxa"/>
            </w:tcMar>
            <w:vAlign w:val="center"/>
          </w:tcPr>
          <w:p w14:paraId="7D30F958">
            <w:pPr>
              <w:widowControl/>
              <w:snapToGrid w:val="0"/>
              <w:jc w:val="center"/>
              <w:rPr>
                <w:rFonts w:hint="eastAsia" w:ascii="宋体" w:hAnsi="宋体" w:cs="宋体"/>
                <w:color w:val="000000"/>
                <w:sz w:val="24"/>
                <w:szCs w:val="24"/>
              </w:rPr>
            </w:pPr>
          </w:p>
        </w:tc>
        <w:tc>
          <w:tcPr>
            <w:tcW w:w="1738"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ADA8E18">
            <w:pPr>
              <w:widowControl/>
              <w:snapToGrid w:val="0"/>
              <w:jc w:val="center"/>
              <w:rPr>
                <w:rFonts w:hint="eastAsia" w:ascii="宋体" w:hAnsi="宋体" w:cs="宋体"/>
                <w:color w:val="000000"/>
                <w:sz w:val="24"/>
                <w:szCs w:val="24"/>
              </w:rPr>
            </w:pP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0D8A0291">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数据硬盘：</w:t>
            </w:r>
            <w:r>
              <w:rPr>
                <w:rFonts w:hint="eastAsia" w:ascii="宋体" w:hAnsi="宋体" w:cs="宋体"/>
                <w:color w:val="000000"/>
                <w:sz w:val="24"/>
                <w:szCs w:val="22"/>
                <w:lang w:bidi="ar"/>
              </w:rPr>
              <w:t>≧</w:t>
            </w:r>
            <w:r>
              <w:rPr>
                <w:rFonts w:hint="eastAsia" w:ascii="宋体" w:hAnsi="宋体" w:cs="宋体"/>
                <w:color w:val="000000"/>
                <w:sz w:val="24"/>
                <w:szCs w:val="24"/>
              </w:rPr>
              <w:t>4TB  SATA硬盘×1（冷备）</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029131F9">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1736C0E7">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块</w:t>
            </w:r>
          </w:p>
        </w:tc>
      </w:tr>
      <w:tr w14:paraId="311AE291">
        <w:tblPrEx>
          <w:tblCellMar>
            <w:top w:w="0" w:type="dxa"/>
            <w:left w:w="108" w:type="dxa"/>
            <w:bottom w:w="0" w:type="dxa"/>
            <w:right w:w="108" w:type="dxa"/>
          </w:tblCellMar>
        </w:tblPrEx>
        <w:trPr>
          <w:jc w:val="center"/>
        </w:trPr>
        <w:tc>
          <w:tcPr>
            <w:tcW w:w="570" w:type="dxa"/>
            <w:vMerge w:val="continue"/>
            <w:tcBorders>
              <w:top w:val="single" w:color="auto" w:sz="4" w:space="0"/>
              <w:left w:val="single" w:color="auto" w:sz="12" w:space="0"/>
              <w:bottom w:val="nil"/>
              <w:right w:val="nil"/>
            </w:tcBorders>
            <w:tcMar>
              <w:top w:w="-1" w:type="dxa"/>
              <w:left w:w="-1" w:type="dxa"/>
              <w:bottom w:w="-1" w:type="dxa"/>
              <w:right w:w="-1" w:type="dxa"/>
            </w:tcMar>
            <w:vAlign w:val="center"/>
          </w:tcPr>
          <w:p w14:paraId="75EE1EDF">
            <w:pPr>
              <w:widowControl/>
              <w:snapToGrid w:val="0"/>
              <w:jc w:val="center"/>
              <w:rPr>
                <w:rFonts w:hint="eastAsia" w:ascii="宋体" w:hAnsi="宋体" w:cs="宋体"/>
                <w:color w:val="000000"/>
                <w:sz w:val="24"/>
                <w:szCs w:val="24"/>
              </w:rPr>
            </w:pPr>
          </w:p>
        </w:tc>
        <w:tc>
          <w:tcPr>
            <w:tcW w:w="1738"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B235748">
            <w:pPr>
              <w:widowControl/>
              <w:snapToGrid w:val="0"/>
              <w:jc w:val="center"/>
              <w:rPr>
                <w:rFonts w:hint="eastAsia" w:ascii="宋体" w:hAnsi="宋体" w:cs="宋体"/>
                <w:color w:val="000000"/>
                <w:sz w:val="24"/>
                <w:szCs w:val="24"/>
              </w:rPr>
            </w:pP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25D8522E">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系统硬盘：</w:t>
            </w:r>
            <w:r>
              <w:rPr>
                <w:rFonts w:hint="eastAsia" w:ascii="宋体" w:hAnsi="宋体" w:cs="宋体"/>
                <w:color w:val="000000"/>
                <w:sz w:val="24"/>
                <w:szCs w:val="22"/>
                <w:lang w:bidi="ar"/>
              </w:rPr>
              <w:t>≧</w:t>
            </w:r>
            <w:r>
              <w:rPr>
                <w:rFonts w:hint="eastAsia" w:ascii="宋体" w:hAnsi="宋体" w:cs="宋体"/>
                <w:color w:val="000000"/>
                <w:sz w:val="24"/>
                <w:szCs w:val="24"/>
              </w:rPr>
              <w:t>480G  SSD硬盘×1（冷备）</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76D56D33">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74CB2A18">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块</w:t>
            </w:r>
          </w:p>
        </w:tc>
      </w:tr>
      <w:tr w14:paraId="50069D13">
        <w:tblPrEx>
          <w:tblCellMar>
            <w:top w:w="0" w:type="dxa"/>
            <w:left w:w="108" w:type="dxa"/>
            <w:bottom w:w="0" w:type="dxa"/>
            <w:right w:w="108" w:type="dxa"/>
          </w:tblCellMar>
        </w:tblPrEx>
        <w:trPr>
          <w:jc w:val="center"/>
        </w:trPr>
        <w:tc>
          <w:tcPr>
            <w:tcW w:w="570" w:type="dxa"/>
            <w:vMerge w:val="restart"/>
            <w:tcBorders>
              <w:top w:val="single" w:color="auto" w:sz="4" w:space="0"/>
              <w:left w:val="single" w:color="auto" w:sz="12" w:space="0"/>
              <w:bottom w:val="nil"/>
              <w:right w:val="nil"/>
            </w:tcBorders>
            <w:tcMar>
              <w:top w:w="-1" w:type="dxa"/>
              <w:left w:w="-1" w:type="dxa"/>
              <w:bottom w:w="-1" w:type="dxa"/>
              <w:right w:w="-1" w:type="dxa"/>
            </w:tcMar>
            <w:vAlign w:val="center"/>
          </w:tcPr>
          <w:p w14:paraId="6F72944A">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3</w:t>
            </w:r>
          </w:p>
        </w:tc>
        <w:tc>
          <w:tcPr>
            <w:tcW w:w="1738" w:type="dxa"/>
            <w:vMerge w:val="restart"/>
            <w:tcBorders>
              <w:top w:val="single" w:color="auto" w:sz="4" w:space="0"/>
              <w:left w:val="single" w:color="auto" w:sz="4" w:space="0"/>
              <w:bottom w:val="nil"/>
              <w:right w:val="nil"/>
            </w:tcBorders>
            <w:tcMar>
              <w:top w:w="-1" w:type="dxa"/>
              <w:left w:w="-1" w:type="dxa"/>
              <w:bottom w:w="-1" w:type="dxa"/>
              <w:right w:w="-1" w:type="dxa"/>
            </w:tcMar>
            <w:vAlign w:val="center"/>
          </w:tcPr>
          <w:p w14:paraId="19AFBCE4">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主备播控工作站</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05EE40C9">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CPU：</w:t>
            </w:r>
            <w:r>
              <w:rPr>
                <w:rFonts w:hint="eastAsia" w:ascii="宋体" w:hAnsi="宋体" w:cs="宋体"/>
                <w:color w:val="000000"/>
                <w:sz w:val="24"/>
                <w:szCs w:val="22"/>
                <w:lang w:bidi="ar"/>
              </w:rPr>
              <w:t>≧</w:t>
            </w:r>
            <w:r>
              <w:rPr>
                <w:rFonts w:hint="eastAsia" w:ascii="宋体" w:hAnsi="宋体" w:cs="宋体"/>
                <w:color w:val="000000"/>
                <w:sz w:val="24"/>
                <w:szCs w:val="24"/>
              </w:rPr>
              <w:t xml:space="preserve"> C86-3G</w:t>
            </w:r>
            <w:r>
              <w:rPr>
                <w:rFonts w:hint="eastAsia" w:ascii="宋体" w:hAnsi="宋体" w:cs="宋体"/>
                <w:color w:val="000000"/>
                <w:sz w:val="24"/>
                <w:szCs w:val="24"/>
              </w:rPr>
              <w:br w:type="textWrapping"/>
            </w:r>
            <w:r>
              <w:rPr>
                <w:rFonts w:hint="eastAsia" w:ascii="宋体" w:hAnsi="宋体" w:cs="宋体"/>
                <w:color w:val="000000"/>
                <w:sz w:val="24"/>
                <w:szCs w:val="24"/>
              </w:rPr>
              <w:t>内存：</w:t>
            </w:r>
            <w:r>
              <w:rPr>
                <w:rFonts w:hint="eastAsia" w:ascii="宋体" w:hAnsi="宋体" w:cs="宋体"/>
                <w:color w:val="000000"/>
                <w:sz w:val="24"/>
                <w:szCs w:val="22"/>
                <w:lang w:bidi="ar"/>
              </w:rPr>
              <w:t>≧</w:t>
            </w:r>
            <w:r>
              <w:rPr>
                <w:rFonts w:hint="eastAsia" w:ascii="宋体" w:hAnsi="宋体" w:cs="宋体"/>
                <w:color w:val="000000"/>
                <w:sz w:val="24"/>
                <w:szCs w:val="24"/>
              </w:rPr>
              <w:t>16 GB内存</w:t>
            </w:r>
            <w:r>
              <w:rPr>
                <w:rFonts w:hint="eastAsia" w:ascii="宋体" w:hAnsi="宋体" w:cs="宋体"/>
                <w:color w:val="000000"/>
                <w:sz w:val="24"/>
                <w:szCs w:val="24"/>
              </w:rPr>
              <w:br w:type="textWrapping"/>
            </w:r>
            <w:r>
              <w:rPr>
                <w:rFonts w:hint="eastAsia" w:ascii="宋体" w:hAnsi="宋体" w:cs="宋体"/>
                <w:color w:val="000000"/>
                <w:sz w:val="24"/>
                <w:szCs w:val="24"/>
              </w:rPr>
              <w:t>硬盘：</w:t>
            </w:r>
            <w:r>
              <w:rPr>
                <w:rFonts w:hint="eastAsia" w:ascii="宋体" w:hAnsi="宋体" w:cs="宋体"/>
                <w:color w:val="000000"/>
                <w:sz w:val="24"/>
                <w:szCs w:val="22"/>
                <w:lang w:bidi="ar"/>
              </w:rPr>
              <w:t>≧</w:t>
            </w:r>
            <w:r>
              <w:rPr>
                <w:rFonts w:hint="eastAsia" w:ascii="宋体" w:hAnsi="宋体" w:cs="宋体"/>
                <w:color w:val="000000"/>
                <w:sz w:val="24"/>
                <w:szCs w:val="24"/>
              </w:rPr>
              <w:t>512GB SSD 固态硬盘</w:t>
            </w:r>
            <w:r>
              <w:rPr>
                <w:rFonts w:hint="eastAsia" w:ascii="宋体" w:hAnsi="宋体" w:cs="宋体"/>
                <w:color w:val="000000"/>
                <w:sz w:val="24"/>
                <w:szCs w:val="24"/>
              </w:rPr>
              <w:br w:type="textWrapping"/>
            </w:r>
            <w:r>
              <w:rPr>
                <w:rFonts w:hint="eastAsia" w:ascii="宋体" w:hAnsi="宋体" w:cs="宋体"/>
                <w:color w:val="000000"/>
                <w:sz w:val="24"/>
                <w:szCs w:val="24"/>
              </w:rPr>
              <w:t>其它：</w:t>
            </w:r>
            <w:r>
              <w:rPr>
                <w:rFonts w:hint="eastAsia" w:ascii="宋体" w:hAnsi="宋体" w:cs="宋体"/>
                <w:color w:val="000000"/>
                <w:sz w:val="24"/>
                <w:szCs w:val="22"/>
                <w:lang w:bidi="ar"/>
              </w:rPr>
              <w:t>≧</w:t>
            </w:r>
            <w:r>
              <w:rPr>
                <w:rFonts w:hint="eastAsia" w:ascii="宋体" w:hAnsi="宋体" w:cs="宋体"/>
                <w:color w:val="000000"/>
                <w:sz w:val="24"/>
                <w:szCs w:val="24"/>
              </w:rPr>
              <w:t>4G独立显卡、集成声卡、集成千兆网卡、4口422控制卡</w:t>
            </w:r>
          </w:p>
          <w:p w14:paraId="1E73AC20">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显示器：</w:t>
            </w:r>
            <w:r>
              <w:rPr>
                <w:rFonts w:hint="eastAsia" w:ascii="宋体" w:hAnsi="宋体" w:cs="宋体"/>
                <w:color w:val="000000"/>
                <w:sz w:val="24"/>
                <w:szCs w:val="22"/>
                <w:lang w:bidi="ar"/>
              </w:rPr>
              <w:t>≧</w:t>
            </w:r>
            <w:r>
              <w:rPr>
                <w:rFonts w:hint="eastAsia" w:ascii="宋体" w:hAnsi="宋体" w:cs="宋体"/>
                <w:color w:val="000000"/>
                <w:sz w:val="24"/>
                <w:szCs w:val="24"/>
              </w:rPr>
              <w:t>23.8寸显示器</w:t>
            </w:r>
            <w:r>
              <w:rPr>
                <w:rFonts w:hint="eastAsia" w:ascii="宋体" w:hAnsi="宋体" w:cs="宋体"/>
                <w:color w:val="000000"/>
                <w:sz w:val="24"/>
                <w:szCs w:val="24"/>
              </w:rPr>
              <w:br w:type="textWrapping"/>
            </w:r>
            <w:r>
              <w:rPr>
                <w:rFonts w:hint="eastAsia" w:ascii="宋体" w:hAnsi="宋体" w:cs="宋体"/>
                <w:color w:val="000000"/>
                <w:sz w:val="24"/>
                <w:szCs w:val="24"/>
              </w:rPr>
              <w:t>标准键盘、鼠标  监听音箱</w:t>
            </w:r>
            <w:r>
              <w:rPr>
                <w:rFonts w:hint="eastAsia" w:ascii="宋体" w:hAnsi="宋体" w:cs="宋体"/>
                <w:color w:val="000000"/>
                <w:sz w:val="24"/>
                <w:szCs w:val="24"/>
              </w:rPr>
              <w:br w:type="textWrapping"/>
            </w:r>
            <w:r>
              <w:rPr>
                <w:rFonts w:hint="eastAsia" w:ascii="宋体" w:hAnsi="宋体" w:cs="宋体"/>
                <w:color w:val="000000"/>
                <w:sz w:val="24"/>
                <w:szCs w:val="24"/>
              </w:rPr>
              <w:t>操作系统：国产操作系统（预装）</w:t>
            </w:r>
          </w:p>
          <w:p w14:paraId="20381D36">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CPU和操作系统等关键部件，符合安全可靠测评。通过政府有关部门制定的中国信息安全测评中心和国家保密科技测评中心网站查看安全可靠测评结果。</w:t>
            </w:r>
            <w:r>
              <w:rPr>
                <w:rFonts w:hint="eastAsia" w:ascii="宋体" w:hAnsi="宋体" w:cs="宋体"/>
                <w:color w:val="000000"/>
                <w:sz w:val="24"/>
                <w:szCs w:val="24"/>
              </w:rPr>
              <w:br w:type="textWrapping"/>
            </w:r>
            <w:r>
              <w:rPr>
                <w:rFonts w:hint="eastAsia" w:ascii="宋体" w:hAnsi="宋体" w:cs="宋体"/>
                <w:color w:val="000000"/>
                <w:sz w:val="24"/>
                <w:szCs w:val="24"/>
              </w:rPr>
              <w:br w:type="textWrapping"/>
            </w:r>
            <w:r>
              <w:rPr>
                <w:rFonts w:hint="eastAsia" w:ascii="宋体" w:hAnsi="宋体" w:cs="宋体"/>
                <w:color w:val="000000"/>
                <w:sz w:val="24"/>
                <w:szCs w:val="24"/>
              </w:rPr>
              <w:t>功能模块：自动调取播出节目单、并按节目单内容自动完成播出控制，支持对在线节目单中的节目条目进行预览，支持对在线节目单进行编辑修改</w:t>
            </w:r>
            <w:r>
              <w:rPr>
                <w:rFonts w:hint="eastAsia" w:ascii="宋体" w:hAnsi="宋体" w:cs="宋体"/>
                <w:color w:val="000000"/>
                <w:sz w:val="24"/>
                <w:szCs w:val="24"/>
              </w:rPr>
              <w:br w:type="textWrapping"/>
            </w:r>
            <w:r>
              <w:rPr>
                <w:rFonts w:hint="eastAsia" w:ascii="宋体" w:hAnsi="宋体" w:cs="宋体"/>
                <w:color w:val="000000"/>
                <w:sz w:val="24"/>
                <w:szCs w:val="24"/>
              </w:rPr>
              <w:t>双通道播出控制模块;素材预览模块</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23C57151">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4</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6898FBF4">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2DF9DC8B">
        <w:tblPrEx>
          <w:tblCellMar>
            <w:top w:w="0" w:type="dxa"/>
            <w:left w:w="108" w:type="dxa"/>
            <w:bottom w:w="0" w:type="dxa"/>
            <w:right w:w="108" w:type="dxa"/>
          </w:tblCellMar>
        </w:tblPrEx>
        <w:trPr>
          <w:jc w:val="center"/>
        </w:trPr>
        <w:tc>
          <w:tcPr>
            <w:tcW w:w="570" w:type="dxa"/>
            <w:vMerge w:val="continue"/>
            <w:tcBorders>
              <w:top w:val="single" w:color="auto" w:sz="4" w:space="0"/>
              <w:left w:val="single" w:color="auto" w:sz="12" w:space="0"/>
              <w:bottom w:val="nil"/>
              <w:right w:val="nil"/>
            </w:tcBorders>
            <w:tcMar>
              <w:top w:w="-1" w:type="dxa"/>
              <w:left w:w="-1" w:type="dxa"/>
              <w:bottom w:w="-1" w:type="dxa"/>
              <w:right w:w="-1" w:type="dxa"/>
            </w:tcMar>
            <w:vAlign w:val="center"/>
          </w:tcPr>
          <w:p w14:paraId="28C4CF26">
            <w:pPr>
              <w:widowControl/>
              <w:snapToGrid w:val="0"/>
              <w:jc w:val="center"/>
              <w:rPr>
                <w:rFonts w:hint="eastAsia" w:ascii="宋体" w:hAnsi="宋体" w:cs="宋体"/>
                <w:color w:val="000000"/>
                <w:sz w:val="24"/>
                <w:szCs w:val="24"/>
              </w:rPr>
            </w:pPr>
          </w:p>
        </w:tc>
        <w:tc>
          <w:tcPr>
            <w:tcW w:w="1738"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14BB834">
            <w:pPr>
              <w:widowControl/>
              <w:snapToGrid w:val="0"/>
              <w:jc w:val="center"/>
              <w:rPr>
                <w:rFonts w:hint="eastAsia" w:ascii="宋体" w:hAnsi="宋体" w:cs="宋体"/>
                <w:color w:val="000000"/>
                <w:sz w:val="24"/>
                <w:szCs w:val="24"/>
              </w:rPr>
            </w:pP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70E65CBC">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冷备硬盘：</w:t>
            </w:r>
            <w:r>
              <w:rPr>
                <w:rFonts w:hint="eastAsia" w:ascii="宋体" w:hAnsi="宋体" w:cs="宋体"/>
                <w:color w:val="000000"/>
                <w:sz w:val="24"/>
                <w:szCs w:val="22"/>
                <w:lang w:bidi="ar"/>
              </w:rPr>
              <w:t>≧</w:t>
            </w:r>
            <w:r>
              <w:rPr>
                <w:rFonts w:hint="eastAsia" w:ascii="宋体" w:hAnsi="宋体" w:cs="宋体"/>
                <w:color w:val="000000"/>
                <w:sz w:val="24"/>
                <w:szCs w:val="24"/>
              </w:rPr>
              <w:t>512GB SSD 固态硬盘×1（冷备）</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50807AD4">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3</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6BF4EB75">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块</w:t>
            </w:r>
          </w:p>
        </w:tc>
      </w:tr>
      <w:tr w14:paraId="5E0AB8D0">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658E8FD8">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4</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29313905">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上载审片编单工作站</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60654FB4">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CPU：</w:t>
            </w:r>
            <w:r>
              <w:rPr>
                <w:rFonts w:hint="eastAsia" w:ascii="宋体" w:hAnsi="宋体" w:cs="宋体"/>
                <w:color w:val="000000"/>
                <w:sz w:val="24"/>
                <w:szCs w:val="22"/>
                <w:lang w:bidi="ar"/>
              </w:rPr>
              <w:t>≧</w:t>
            </w:r>
            <w:r>
              <w:rPr>
                <w:rFonts w:hint="eastAsia" w:ascii="宋体" w:hAnsi="宋体" w:cs="宋体"/>
                <w:color w:val="000000"/>
                <w:sz w:val="24"/>
                <w:szCs w:val="24"/>
              </w:rPr>
              <w:t xml:space="preserve"> C86-3G</w:t>
            </w:r>
          </w:p>
          <w:p w14:paraId="29AF92E5">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内存：</w:t>
            </w:r>
            <w:r>
              <w:rPr>
                <w:rFonts w:hint="eastAsia" w:ascii="宋体" w:hAnsi="宋体" w:cs="宋体"/>
                <w:color w:val="000000"/>
                <w:sz w:val="24"/>
                <w:szCs w:val="22"/>
                <w:lang w:bidi="ar"/>
              </w:rPr>
              <w:t>≧</w:t>
            </w:r>
            <w:r>
              <w:rPr>
                <w:rFonts w:hint="eastAsia" w:ascii="宋体" w:hAnsi="宋体" w:cs="宋体"/>
                <w:color w:val="000000"/>
                <w:sz w:val="24"/>
                <w:szCs w:val="24"/>
              </w:rPr>
              <w:t>16 GB内存</w:t>
            </w:r>
            <w:r>
              <w:rPr>
                <w:rFonts w:hint="eastAsia" w:ascii="宋体" w:hAnsi="宋体" w:cs="宋体"/>
                <w:color w:val="000000"/>
                <w:sz w:val="24"/>
                <w:szCs w:val="24"/>
              </w:rPr>
              <w:br w:type="textWrapping"/>
            </w:r>
            <w:r>
              <w:rPr>
                <w:rFonts w:hint="eastAsia" w:ascii="宋体" w:hAnsi="宋体" w:cs="宋体"/>
                <w:color w:val="000000"/>
                <w:sz w:val="24"/>
                <w:szCs w:val="24"/>
              </w:rPr>
              <w:t>硬盘：</w:t>
            </w:r>
            <w:r>
              <w:rPr>
                <w:rFonts w:hint="eastAsia" w:ascii="宋体" w:hAnsi="宋体" w:cs="宋体"/>
                <w:color w:val="000000"/>
                <w:sz w:val="24"/>
                <w:szCs w:val="22"/>
                <w:lang w:bidi="ar"/>
              </w:rPr>
              <w:t>≧</w:t>
            </w:r>
            <w:r>
              <w:rPr>
                <w:rFonts w:hint="eastAsia" w:ascii="宋体" w:hAnsi="宋体" w:cs="宋体"/>
                <w:color w:val="000000"/>
                <w:sz w:val="24"/>
                <w:szCs w:val="24"/>
              </w:rPr>
              <w:t>512GB SSD 固态硬盘</w:t>
            </w:r>
            <w:r>
              <w:rPr>
                <w:rFonts w:hint="eastAsia" w:ascii="宋体" w:hAnsi="宋体" w:cs="宋体"/>
                <w:color w:val="000000"/>
                <w:sz w:val="24"/>
                <w:szCs w:val="24"/>
              </w:rPr>
              <w:br w:type="textWrapping"/>
            </w:r>
            <w:r>
              <w:rPr>
                <w:rFonts w:hint="eastAsia" w:ascii="宋体" w:hAnsi="宋体" w:cs="宋体"/>
                <w:color w:val="000000"/>
                <w:sz w:val="24"/>
                <w:szCs w:val="24"/>
              </w:rPr>
              <w:t>素材盘：</w:t>
            </w:r>
            <w:r>
              <w:rPr>
                <w:rFonts w:hint="eastAsia" w:ascii="宋体" w:hAnsi="宋体" w:cs="宋体"/>
                <w:color w:val="000000"/>
                <w:sz w:val="24"/>
                <w:szCs w:val="22"/>
                <w:lang w:bidi="ar"/>
              </w:rPr>
              <w:t>≧</w:t>
            </w:r>
            <w:r>
              <w:rPr>
                <w:rFonts w:hint="eastAsia" w:ascii="宋体" w:hAnsi="宋体" w:cs="宋体"/>
                <w:color w:val="000000"/>
                <w:sz w:val="24"/>
                <w:szCs w:val="24"/>
              </w:rPr>
              <w:t>2TB SATA硬盘</w:t>
            </w:r>
            <w:r>
              <w:rPr>
                <w:rFonts w:hint="eastAsia" w:ascii="宋体" w:hAnsi="宋体" w:cs="宋体"/>
                <w:color w:val="000000"/>
                <w:sz w:val="24"/>
                <w:szCs w:val="24"/>
              </w:rPr>
              <w:br w:type="textWrapping"/>
            </w:r>
            <w:r>
              <w:rPr>
                <w:rFonts w:hint="eastAsia" w:ascii="宋体" w:hAnsi="宋体" w:cs="宋体"/>
                <w:color w:val="000000"/>
                <w:sz w:val="24"/>
                <w:szCs w:val="24"/>
              </w:rPr>
              <w:t>其它：独立4G显卡、集成声卡、集成千兆网卡</w:t>
            </w:r>
          </w:p>
          <w:p w14:paraId="08BC0953">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显示器：</w:t>
            </w:r>
            <w:r>
              <w:rPr>
                <w:rFonts w:hint="eastAsia" w:ascii="宋体" w:hAnsi="宋体" w:cs="宋体"/>
                <w:color w:val="000000"/>
                <w:sz w:val="24"/>
                <w:szCs w:val="22"/>
                <w:lang w:bidi="ar"/>
              </w:rPr>
              <w:t>≧</w:t>
            </w:r>
            <w:r>
              <w:rPr>
                <w:rFonts w:hint="eastAsia" w:ascii="宋体" w:hAnsi="宋体" w:cs="宋体"/>
                <w:color w:val="000000"/>
                <w:sz w:val="24"/>
                <w:szCs w:val="24"/>
              </w:rPr>
              <w:t>23.8寸显示器</w:t>
            </w:r>
            <w:r>
              <w:rPr>
                <w:rFonts w:hint="eastAsia" w:ascii="宋体" w:hAnsi="宋体" w:cs="宋体"/>
                <w:color w:val="000000"/>
                <w:sz w:val="24"/>
                <w:szCs w:val="24"/>
              </w:rPr>
              <w:br w:type="textWrapping"/>
            </w:r>
            <w:r>
              <w:rPr>
                <w:rFonts w:hint="eastAsia" w:ascii="宋体" w:hAnsi="宋体" w:cs="宋体"/>
                <w:color w:val="000000"/>
                <w:sz w:val="24"/>
                <w:szCs w:val="24"/>
              </w:rPr>
              <w:t>标准键盘、鼠标  监听音箱</w:t>
            </w:r>
            <w:r>
              <w:rPr>
                <w:rFonts w:hint="eastAsia" w:ascii="宋体" w:hAnsi="宋体" w:cs="宋体"/>
                <w:color w:val="000000"/>
                <w:sz w:val="24"/>
                <w:szCs w:val="24"/>
              </w:rPr>
              <w:br w:type="textWrapping"/>
            </w:r>
            <w:r>
              <w:rPr>
                <w:rFonts w:hint="eastAsia" w:ascii="宋体" w:hAnsi="宋体" w:cs="宋体"/>
                <w:color w:val="000000"/>
                <w:sz w:val="24"/>
                <w:szCs w:val="24"/>
              </w:rPr>
              <w:t>操作系统：国产操作系统（预装）</w:t>
            </w:r>
          </w:p>
          <w:p w14:paraId="30BE7717">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CPU和操作系统等关键部件，符合安全可靠测评。通过政府有关部门制定的中国信息安全测评中心和国家保密科技测评中心网站查看安全可靠测评结果。</w:t>
            </w:r>
            <w:r>
              <w:rPr>
                <w:rFonts w:hint="eastAsia" w:ascii="宋体" w:hAnsi="宋体" w:cs="宋体"/>
                <w:color w:val="000000"/>
                <w:sz w:val="24"/>
                <w:szCs w:val="24"/>
              </w:rPr>
              <w:br w:type="textWrapping"/>
            </w:r>
          </w:p>
          <w:p w14:paraId="403F67B8">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功能模块：支持视音频文件预览、打点编辑，支持视音频文件直接导入/转码导入，支持对标准DVD光盘进行抓轨导入，支持导入视音频文件时自动进行技审，并提示自动技审结果，同时支持人工复审</w:t>
            </w:r>
            <w:r>
              <w:rPr>
                <w:rFonts w:hint="eastAsia" w:ascii="宋体" w:hAnsi="宋体" w:cs="宋体"/>
                <w:color w:val="000000"/>
                <w:sz w:val="24"/>
                <w:szCs w:val="24"/>
              </w:rPr>
              <w:br w:type="textWrapping"/>
            </w:r>
            <w:r>
              <w:rPr>
                <w:rFonts w:hint="eastAsia" w:ascii="宋体" w:hAnsi="宋体" w:cs="宋体"/>
                <w:color w:val="000000"/>
                <w:sz w:val="24"/>
                <w:szCs w:val="24"/>
              </w:rPr>
              <w:t>素材预览模块；素材编辑模块;播出节目单编辑模块</w:t>
            </w:r>
            <w:r>
              <w:rPr>
                <w:rFonts w:hint="eastAsia" w:ascii="宋体" w:hAnsi="宋体" w:cs="宋体"/>
                <w:color w:val="000000"/>
                <w:sz w:val="24"/>
                <w:szCs w:val="24"/>
              </w:rPr>
              <w:br w:type="textWrapping"/>
            </w:r>
            <w:r>
              <w:rPr>
                <w:rFonts w:hint="eastAsia" w:ascii="宋体" w:hAnsi="宋体" w:cs="宋体"/>
                <w:color w:val="000000"/>
                <w:sz w:val="24"/>
                <w:szCs w:val="24"/>
              </w:rPr>
              <w:t>播出图文编辑模块;文件导入模块；转码模块</w:t>
            </w:r>
            <w:r>
              <w:rPr>
                <w:rFonts w:hint="eastAsia" w:ascii="宋体" w:hAnsi="宋体" w:cs="宋体"/>
                <w:color w:val="000000"/>
                <w:sz w:val="24"/>
                <w:szCs w:val="24"/>
              </w:rPr>
              <w:br w:type="textWrapping"/>
            </w:r>
            <w:r>
              <w:rPr>
                <w:rFonts w:hint="eastAsia" w:ascii="宋体" w:hAnsi="宋体" w:cs="宋体"/>
                <w:color w:val="000000"/>
                <w:sz w:val="24"/>
                <w:szCs w:val="24"/>
              </w:rPr>
              <w:t>素材管理模块;素材预览模块</w:t>
            </w:r>
            <w:r>
              <w:rPr>
                <w:rFonts w:hint="eastAsia" w:ascii="宋体" w:hAnsi="宋体" w:cs="宋体"/>
                <w:color w:val="000000"/>
                <w:sz w:val="24"/>
                <w:szCs w:val="24"/>
              </w:rPr>
              <w:br w:type="textWrapping"/>
            </w:r>
            <w:r>
              <w:rPr>
                <w:rFonts w:hint="eastAsia" w:ascii="宋体" w:hAnsi="宋体" w:cs="宋体"/>
                <w:color w:val="000000"/>
                <w:sz w:val="24"/>
                <w:szCs w:val="24"/>
              </w:rPr>
              <w:t>素材编辑模块;播出节目单编辑模块</w:t>
            </w:r>
            <w:r>
              <w:rPr>
                <w:rFonts w:hint="eastAsia" w:ascii="宋体" w:hAnsi="宋体" w:cs="宋体"/>
                <w:color w:val="000000"/>
                <w:sz w:val="24"/>
                <w:szCs w:val="24"/>
              </w:rPr>
              <w:br w:type="textWrapping"/>
            </w:r>
            <w:r>
              <w:rPr>
                <w:rFonts w:hint="eastAsia" w:ascii="宋体" w:hAnsi="宋体" w:cs="宋体"/>
                <w:color w:val="000000"/>
                <w:sz w:val="24"/>
                <w:szCs w:val="24"/>
              </w:rPr>
              <w:t>素材审片模块；节目单审核模块</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5B7AE505">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3</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14B0CF3B">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39B6D980">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5C60EE1C">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5</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0D9B8D41">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高清数字</w:t>
            </w:r>
            <w:r>
              <w:rPr>
                <w:rFonts w:hint="eastAsia" w:ascii="宋体" w:hAnsi="宋体" w:cs="宋体"/>
                <w:color w:val="000000"/>
                <w:sz w:val="24"/>
                <w:szCs w:val="24"/>
              </w:rPr>
              <w:br w:type="textWrapping"/>
            </w:r>
            <w:r>
              <w:rPr>
                <w:rFonts w:hint="eastAsia" w:ascii="宋体" w:hAnsi="宋体" w:cs="宋体"/>
                <w:color w:val="000000"/>
                <w:sz w:val="24"/>
                <w:szCs w:val="24"/>
              </w:rPr>
              <w:t>台标键控一体机</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2386AB5D">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1U机箱，双电源；</w:t>
            </w:r>
            <w:r>
              <w:rPr>
                <w:rFonts w:hint="eastAsia" w:ascii="宋体" w:hAnsi="宋体" w:cs="宋体"/>
                <w:color w:val="000000"/>
                <w:sz w:val="24"/>
                <w:szCs w:val="24"/>
              </w:rPr>
              <w:br w:type="textWrapping"/>
            </w:r>
            <w:r>
              <w:rPr>
                <w:rFonts w:hint="eastAsia" w:ascii="宋体" w:hAnsi="宋体" w:cs="宋体"/>
                <w:color w:val="000000"/>
                <w:sz w:val="24"/>
                <w:szCs w:val="24"/>
              </w:rPr>
              <w:t>1路高清背景SDI信号输入，带线缆均衡；</w:t>
            </w:r>
            <w:r>
              <w:rPr>
                <w:rFonts w:hint="eastAsia" w:ascii="宋体" w:hAnsi="宋体" w:cs="宋体"/>
                <w:color w:val="000000"/>
                <w:sz w:val="24"/>
                <w:szCs w:val="24"/>
              </w:rPr>
              <w:br w:type="textWrapping"/>
            </w:r>
            <w:r>
              <w:rPr>
                <w:rFonts w:hint="eastAsia" w:ascii="宋体" w:hAnsi="宋体" w:cs="宋体"/>
                <w:color w:val="000000"/>
                <w:sz w:val="24"/>
                <w:szCs w:val="24"/>
              </w:rPr>
              <w:t>内置台标发生器，支持静止/动画主标、副标、数字时钟同时叠加，</w:t>
            </w:r>
            <w:r>
              <w:rPr>
                <w:rFonts w:hint="eastAsia" w:ascii="宋体" w:hAnsi="宋体" w:cs="宋体"/>
                <w:color w:val="000000"/>
                <w:sz w:val="24"/>
                <w:szCs w:val="24"/>
              </w:rPr>
              <w:br w:type="textWrapping"/>
            </w:r>
            <w:r>
              <w:rPr>
                <w:rFonts w:hint="eastAsia" w:ascii="宋体" w:hAnsi="宋体" w:cs="宋体"/>
                <w:color w:val="000000"/>
                <w:sz w:val="24"/>
                <w:szCs w:val="24"/>
              </w:rPr>
              <w:t>支持使用北斗校时、网络校时二种校时模式，</w:t>
            </w:r>
            <w:r>
              <w:rPr>
                <w:rFonts w:hint="eastAsia" w:ascii="宋体" w:hAnsi="宋体" w:cs="宋体"/>
                <w:color w:val="000000"/>
                <w:sz w:val="24"/>
                <w:szCs w:val="24"/>
              </w:rPr>
              <w:br w:type="textWrapping"/>
            </w:r>
            <w:r>
              <w:rPr>
                <w:rFonts w:hint="eastAsia" w:ascii="宋体" w:hAnsi="宋体" w:cs="宋体"/>
                <w:color w:val="000000"/>
                <w:sz w:val="24"/>
                <w:szCs w:val="24"/>
              </w:rPr>
              <w:t>web配置，支持网络下载台标</w:t>
            </w:r>
            <w:r>
              <w:rPr>
                <w:rFonts w:hint="eastAsia" w:ascii="宋体" w:hAnsi="宋体" w:cs="宋体"/>
                <w:color w:val="000000"/>
                <w:sz w:val="24"/>
                <w:szCs w:val="24"/>
              </w:rPr>
              <w:br w:type="textWrapping"/>
            </w:r>
            <w:r>
              <w:rPr>
                <w:rFonts w:hint="eastAsia" w:ascii="宋体" w:hAnsi="宋体" w:cs="宋体"/>
                <w:color w:val="000000"/>
                <w:sz w:val="24"/>
                <w:szCs w:val="24"/>
              </w:rPr>
              <w:t xml:space="preserve"> 支持外同步锁相，行/场相位调整</w:t>
            </w:r>
            <w:r>
              <w:rPr>
                <w:rFonts w:hint="eastAsia" w:ascii="宋体" w:hAnsi="宋体" w:cs="宋体"/>
                <w:color w:val="000000"/>
                <w:sz w:val="24"/>
                <w:szCs w:val="24"/>
              </w:rPr>
              <w:br w:type="textWrapping"/>
            </w:r>
            <w:r>
              <w:rPr>
                <w:rFonts w:hint="eastAsia" w:ascii="宋体" w:hAnsi="宋体" w:cs="宋体"/>
                <w:color w:val="000000"/>
                <w:sz w:val="24"/>
                <w:szCs w:val="24"/>
              </w:rPr>
              <w:t>2路合成PST和PGM SDI信号输出（断电直通）</w:t>
            </w:r>
            <w:r>
              <w:rPr>
                <w:rFonts w:hint="eastAsia" w:ascii="宋体" w:hAnsi="宋体" w:cs="宋体"/>
                <w:color w:val="000000"/>
                <w:sz w:val="24"/>
                <w:szCs w:val="24"/>
              </w:rPr>
              <w:br w:type="textWrapping"/>
            </w:r>
            <w:r>
              <w:rPr>
                <w:rFonts w:hint="eastAsia" w:ascii="宋体" w:hAnsi="宋体" w:cs="宋体"/>
                <w:color w:val="000000"/>
                <w:sz w:val="24"/>
                <w:szCs w:val="24"/>
              </w:rPr>
              <w:t>3路键信号SDI和3路键填充SDI信号输入，可同时接入3个外置设备分别提供叠加图文；</w:t>
            </w:r>
            <w:r>
              <w:rPr>
                <w:rFonts w:hint="eastAsia" w:ascii="宋体" w:hAnsi="宋体" w:cs="宋体"/>
                <w:color w:val="000000"/>
                <w:sz w:val="24"/>
                <w:szCs w:val="24"/>
              </w:rPr>
              <w:br w:type="textWrapping"/>
            </w:r>
            <w:r>
              <w:rPr>
                <w:rFonts w:hint="eastAsia" w:ascii="宋体" w:hAnsi="宋体" w:cs="宋体"/>
                <w:color w:val="000000"/>
                <w:sz w:val="24"/>
                <w:szCs w:val="24"/>
              </w:rPr>
              <w:t>2个RS232/422串口控制，1个网口，可通过串口或网络接收外部控制信号控制键入和键出</w:t>
            </w:r>
            <w:r>
              <w:rPr>
                <w:rFonts w:hint="eastAsia" w:ascii="宋体" w:hAnsi="宋体" w:cs="宋体"/>
                <w:color w:val="000000"/>
                <w:sz w:val="24"/>
                <w:szCs w:val="24"/>
              </w:rPr>
              <w:br w:type="textWrapping"/>
            </w:r>
            <w:r>
              <w:rPr>
                <w:rFonts w:hint="eastAsia" w:ascii="宋体" w:hAnsi="宋体" w:cs="宋体"/>
                <w:color w:val="000000"/>
                <w:sz w:val="24"/>
                <w:szCs w:val="24"/>
              </w:rPr>
              <w:t>支持SNMP协议；</w:t>
            </w:r>
            <w:r>
              <w:rPr>
                <w:rFonts w:hint="eastAsia" w:ascii="宋体" w:hAnsi="宋体" w:cs="宋体"/>
                <w:color w:val="000000"/>
                <w:sz w:val="24"/>
                <w:szCs w:val="24"/>
              </w:rPr>
              <w:br w:type="textWrapping"/>
            </w:r>
            <w:r>
              <w:rPr>
                <w:rFonts w:hint="eastAsia" w:ascii="宋体" w:hAnsi="宋体" w:cs="宋体"/>
                <w:color w:val="000000"/>
                <w:sz w:val="24"/>
                <w:szCs w:val="24"/>
              </w:rPr>
              <w:t>含数字键控器遥控面板，1U机箱。</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0068E3D5">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52F91C13">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6984A8E0">
        <w:tblPrEx>
          <w:tblCellMar>
            <w:top w:w="0" w:type="dxa"/>
            <w:left w:w="108" w:type="dxa"/>
            <w:bottom w:w="0" w:type="dxa"/>
            <w:right w:w="108" w:type="dxa"/>
          </w:tblCellMar>
        </w:tblPrEx>
        <w:trPr>
          <w:jc w:val="center"/>
        </w:trPr>
        <w:tc>
          <w:tcPr>
            <w:tcW w:w="8522" w:type="dxa"/>
            <w:gridSpan w:val="5"/>
            <w:tcBorders>
              <w:top w:val="single" w:color="auto" w:sz="4" w:space="0"/>
              <w:left w:val="single" w:color="auto" w:sz="12" w:space="0"/>
              <w:bottom w:val="nil"/>
              <w:right w:val="single" w:color="auto" w:sz="12" w:space="0"/>
            </w:tcBorders>
            <w:shd w:val="clear" w:color="000000" w:fill="DDEBF7"/>
            <w:tcMar>
              <w:top w:w="-1" w:type="dxa"/>
              <w:left w:w="-1" w:type="dxa"/>
              <w:bottom w:w="-1" w:type="dxa"/>
              <w:right w:w="-1" w:type="dxa"/>
            </w:tcMar>
            <w:vAlign w:val="center"/>
          </w:tcPr>
          <w:p w14:paraId="36C2C823">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第四部分：分控系统</w:t>
            </w:r>
          </w:p>
        </w:tc>
      </w:tr>
      <w:tr w14:paraId="1DD87D9B">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214F8220">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023FDCEC">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16X2双时基</w:t>
            </w:r>
            <w:r>
              <w:rPr>
                <w:rFonts w:hint="eastAsia" w:ascii="宋体" w:hAnsi="宋体" w:cs="宋体"/>
                <w:color w:val="000000"/>
                <w:sz w:val="24"/>
                <w:szCs w:val="24"/>
              </w:rPr>
              <w:br w:type="textWrapping"/>
            </w:r>
            <w:r>
              <w:rPr>
                <w:rFonts w:hint="eastAsia" w:ascii="宋体" w:hAnsi="宋体" w:cs="宋体"/>
                <w:color w:val="000000"/>
                <w:sz w:val="24"/>
                <w:szCs w:val="24"/>
              </w:rPr>
              <w:t>数字高清切换器</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670AEE4C">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1U机架式主机，全硬件架构，双电源；数码管显示信号使用状态</w:t>
            </w:r>
            <w:r>
              <w:rPr>
                <w:rFonts w:hint="eastAsia" w:ascii="宋体" w:hAnsi="宋体" w:cs="宋体"/>
                <w:color w:val="000000"/>
                <w:sz w:val="24"/>
                <w:szCs w:val="24"/>
              </w:rPr>
              <w:br w:type="textWrapping"/>
            </w:r>
            <w:r>
              <w:rPr>
                <w:rFonts w:hint="eastAsia" w:ascii="宋体" w:hAnsi="宋体" w:cs="宋体"/>
                <w:color w:val="000000"/>
                <w:sz w:val="24"/>
                <w:szCs w:val="24"/>
              </w:rPr>
              <w:t xml:space="preserve">16路HD-SDI输入，带线缆均衡，3路PGM、2路PST、1路HDMI输出，帧同步；        </w:t>
            </w:r>
            <w:r>
              <w:rPr>
                <w:rFonts w:hint="eastAsia" w:ascii="宋体" w:hAnsi="宋体" w:cs="宋体"/>
                <w:color w:val="000000"/>
                <w:sz w:val="24"/>
                <w:szCs w:val="24"/>
              </w:rPr>
              <w:br w:type="textWrapping"/>
            </w:r>
            <w:r>
              <w:rPr>
                <w:rFonts w:hint="eastAsia" w:ascii="宋体" w:hAnsi="宋体" w:cs="宋体"/>
                <w:color w:val="000000"/>
                <w:sz w:val="24"/>
                <w:szCs w:val="24"/>
              </w:rPr>
              <w:t>自带本地按键控制面板及3个RS232/RS422控制接口，支持实时仲裁切换；</w:t>
            </w:r>
            <w:r>
              <w:rPr>
                <w:rFonts w:hint="eastAsia" w:ascii="宋体" w:hAnsi="宋体" w:cs="宋体"/>
                <w:color w:val="000000"/>
                <w:sz w:val="24"/>
                <w:szCs w:val="24"/>
              </w:rPr>
              <w:br w:type="textWrapping"/>
            </w:r>
            <w:r>
              <w:rPr>
                <w:rFonts w:hint="eastAsia" w:ascii="宋体" w:hAnsi="宋体" w:cs="宋体"/>
                <w:color w:val="000000"/>
                <w:sz w:val="24"/>
                <w:szCs w:val="24"/>
              </w:rPr>
              <w:t>内置双时基，输入信号无需同步时切换输出无闪烁、抖动</w:t>
            </w:r>
            <w:r>
              <w:rPr>
                <w:rFonts w:hint="eastAsia" w:ascii="宋体" w:hAnsi="宋体" w:cs="宋体"/>
                <w:color w:val="000000"/>
                <w:sz w:val="24"/>
                <w:szCs w:val="24"/>
              </w:rPr>
              <w:br w:type="textWrapping"/>
            </w:r>
            <w:r>
              <w:rPr>
                <w:rFonts w:hint="eastAsia" w:ascii="宋体" w:hAnsi="宋体" w:cs="宋体"/>
                <w:color w:val="000000"/>
                <w:sz w:val="24"/>
                <w:szCs w:val="24"/>
              </w:rPr>
              <w:t xml:space="preserve">支持掉电直通，支持外同步无缝切换。     </w:t>
            </w:r>
            <w:r>
              <w:rPr>
                <w:rFonts w:hint="eastAsia" w:ascii="宋体" w:hAnsi="宋体" w:cs="宋体"/>
                <w:color w:val="000000"/>
                <w:sz w:val="24"/>
                <w:szCs w:val="24"/>
              </w:rPr>
              <w:br w:type="textWrapping"/>
            </w:r>
            <w:r>
              <w:rPr>
                <w:rFonts w:hint="eastAsia" w:ascii="宋体" w:hAnsi="宋体" w:cs="宋体"/>
                <w:color w:val="000000"/>
                <w:sz w:val="24"/>
                <w:szCs w:val="24"/>
              </w:rPr>
              <w:t>含切换器遥控面板</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2964CC07">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4</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1AF4010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789674E7">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155753CA">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2</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523633DD">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422矩阵倒换器</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04708A11">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2U机箱，双电源；播出控制系统主备中主/备控制机切换，支持8个输入输出通道，兼容RS232和RS422协议；主备通道通过高性能继电器切换，主通道具有掉电直通功能；</w:t>
            </w:r>
            <w:r>
              <w:rPr>
                <w:rFonts w:hint="eastAsia" w:ascii="宋体" w:hAnsi="宋体" w:cs="宋体"/>
                <w:color w:val="000000"/>
                <w:sz w:val="24"/>
                <w:szCs w:val="24"/>
              </w:rPr>
              <w:br w:type="textWrapping"/>
            </w:r>
            <w:r>
              <w:rPr>
                <w:rFonts w:hint="eastAsia" w:ascii="宋体" w:hAnsi="宋体" w:cs="宋体"/>
                <w:color w:val="000000"/>
                <w:sz w:val="24"/>
                <w:szCs w:val="24"/>
              </w:rPr>
              <w:t>支持本地手动控制、自动远程控制、上位机串口控制三种控制方式；</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6C6D6D6A">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3D0B610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0E98739B">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3F0FAB91">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3</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5735B802">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4X1高清自动倒换</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2E118DE">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4路3G/HD/SD-SDI输入；2路3G/HD/SD-SDI分配输出；1路REF输入； RS-422\GPI控制接口输入；支持CLEAN SWITCH，对视频进行丢失/静帧/同步信号/EDH监测，对嵌入音频丢失/DBN/PARITY/CHECKSUM进行监测，异常时自动倒换。第一路输入断电直通。</w:t>
            </w:r>
            <w:r>
              <w:rPr>
                <w:rFonts w:hint="eastAsia" w:ascii="宋体" w:hAnsi="宋体" w:cs="宋体"/>
                <w:color w:val="000000"/>
                <w:sz w:val="24"/>
                <w:szCs w:val="24"/>
              </w:rPr>
              <w:br w:type="textWrapping"/>
            </w:r>
            <w:r>
              <w:rPr>
                <w:rFonts w:hint="eastAsia" w:ascii="宋体" w:hAnsi="宋体" w:cs="宋体"/>
                <w:color w:val="000000"/>
                <w:sz w:val="24"/>
                <w:szCs w:val="24"/>
              </w:rPr>
              <w:t>含倒换器遥控面板，支持手动应急切换、按键锁定</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5083C4F4">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3</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6A27A958">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套</w:t>
            </w:r>
          </w:p>
        </w:tc>
      </w:tr>
      <w:tr w14:paraId="3D791459">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0997C49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4</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1E5DD968">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双路高清分配卡</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116A2AA0">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HD-SDI视分，2路1分4或1路1分8可配，带电缆均衡。</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30F1E650">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4B1D48A7">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块</w:t>
            </w:r>
          </w:p>
        </w:tc>
      </w:tr>
      <w:tr w14:paraId="7DE71557">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690E6076">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5</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67978FAB">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周边设备机箱</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3C6F762D">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10块插板的标准2RU机箱，含双电源</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1B157B22">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22219893">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2AB459F0">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252AB7EC">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6</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72DEA263">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高清分配器</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62089F02">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1U机架式高清分配器，每个模块为1路HD-SDI输入，8路HD-SDI输出；可对输入信号状态检测显示。</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7FC8F10E">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5AD4A46A">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51A04A85">
        <w:tblPrEx>
          <w:tblCellMar>
            <w:top w:w="0" w:type="dxa"/>
            <w:left w:w="108" w:type="dxa"/>
            <w:bottom w:w="0" w:type="dxa"/>
            <w:right w:w="108" w:type="dxa"/>
          </w:tblCellMar>
        </w:tblPrEx>
        <w:trPr>
          <w:jc w:val="center"/>
        </w:trPr>
        <w:tc>
          <w:tcPr>
            <w:tcW w:w="8522" w:type="dxa"/>
            <w:gridSpan w:val="5"/>
            <w:tcBorders>
              <w:top w:val="single" w:color="auto" w:sz="4" w:space="0"/>
              <w:left w:val="single" w:color="auto" w:sz="12" w:space="0"/>
              <w:bottom w:val="nil"/>
              <w:right w:val="single" w:color="auto" w:sz="12" w:space="0"/>
            </w:tcBorders>
            <w:shd w:val="clear" w:color="000000" w:fill="DDEBF7"/>
            <w:tcMar>
              <w:top w:w="-1" w:type="dxa"/>
              <w:left w:w="-1" w:type="dxa"/>
              <w:bottom w:w="-1" w:type="dxa"/>
              <w:right w:w="-1" w:type="dxa"/>
            </w:tcMar>
            <w:vAlign w:val="center"/>
          </w:tcPr>
          <w:p w14:paraId="74DCB1DC">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第五部分：同步系统</w:t>
            </w:r>
          </w:p>
        </w:tc>
      </w:tr>
      <w:tr w14:paraId="1AC96029">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0D57A510">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76641AFF">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16路同步信号发生器</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796C8DB6">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1U机箱，双电源；</w:t>
            </w:r>
            <w:r>
              <w:rPr>
                <w:rFonts w:hint="eastAsia" w:ascii="宋体" w:hAnsi="宋体" w:cs="宋体"/>
                <w:color w:val="000000"/>
                <w:sz w:val="24"/>
                <w:szCs w:val="24"/>
              </w:rPr>
              <w:br w:type="textWrapping"/>
            </w:r>
            <w:r>
              <w:rPr>
                <w:rFonts w:hint="eastAsia" w:ascii="宋体" w:hAnsi="宋体" w:cs="宋体"/>
                <w:color w:val="000000"/>
                <w:sz w:val="24"/>
                <w:szCs w:val="24"/>
              </w:rPr>
              <w:t>16路模拟视频同步信号输出，支持PAL制NTSC制；</w:t>
            </w:r>
            <w:r>
              <w:rPr>
                <w:rFonts w:hint="eastAsia" w:ascii="宋体" w:hAnsi="宋体" w:cs="宋体"/>
                <w:color w:val="000000"/>
                <w:sz w:val="24"/>
                <w:szCs w:val="24"/>
              </w:rPr>
              <w:br w:type="textWrapping"/>
            </w:r>
            <w:r>
              <w:rPr>
                <w:rFonts w:hint="eastAsia" w:ascii="宋体" w:hAnsi="宋体" w:cs="宋体"/>
                <w:color w:val="000000"/>
                <w:sz w:val="24"/>
                <w:szCs w:val="24"/>
              </w:rPr>
              <w:t>可选择同步信号、彩条信号或测试国际标准测试信号（共16种），可用于系统整体联调时各项参数的精确调整使用</w:t>
            </w:r>
            <w:r>
              <w:rPr>
                <w:rFonts w:hint="eastAsia" w:ascii="宋体" w:hAnsi="宋体" w:cs="宋体"/>
                <w:color w:val="000000"/>
                <w:sz w:val="24"/>
                <w:szCs w:val="24"/>
              </w:rPr>
              <w:br w:type="textWrapping"/>
            </w:r>
            <w:r>
              <w:rPr>
                <w:rFonts w:hint="eastAsia" w:ascii="宋体" w:hAnsi="宋体" w:cs="宋体"/>
                <w:color w:val="000000"/>
                <w:sz w:val="24"/>
                <w:szCs w:val="24"/>
              </w:rPr>
              <w:t xml:space="preserve">支持外同步和内同步二种工作模式，外同步模式下，可对输出信号进行，行/场/色载波相位调整，使其与外同步信号各项参数完全一致； </w:t>
            </w:r>
            <w:r>
              <w:rPr>
                <w:rFonts w:hint="eastAsia" w:ascii="宋体" w:hAnsi="宋体" w:cs="宋体"/>
                <w:color w:val="000000"/>
                <w:sz w:val="24"/>
                <w:szCs w:val="24"/>
              </w:rPr>
              <w:br w:type="textWrapping"/>
            </w:r>
            <w:r>
              <w:rPr>
                <w:rFonts w:hint="eastAsia" w:ascii="宋体" w:hAnsi="宋体" w:cs="宋体"/>
                <w:color w:val="000000"/>
                <w:sz w:val="24"/>
                <w:szCs w:val="24"/>
              </w:rPr>
              <w:t>带掉电保存参数设置和恢复出厂设置。</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548580AB">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20A5FC36">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1566B37E">
        <w:tblPrEx>
          <w:tblCellMar>
            <w:top w:w="0" w:type="dxa"/>
            <w:left w:w="108" w:type="dxa"/>
            <w:bottom w:w="0" w:type="dxa"/>
            <w:right w:w="108" w:type="dxa"/>
          </w:tblCellMar>
        </w:tblPrEx>
        <w:trPr>
          <w:jc w:val="center"/>
        </w:trPr>
        <w:tc>
          <w:tcPr>
            <w:tcW w:w="8522" w:type="dxa"/>
            <w:gridSpan w:val="5"/>
            <w:tcBorders>
              <w:top w:val="single" w:color="auto" w:sz="4" w:space="0"/>
              <w:left w:val="single" w:color="auto" w:sz="12" w:space="0"/>
              <w:bottom w:val="nil"/>
              <w:right w:val="single" w:color="auto" w:sz="12" w:space="0"/>
            </w:tcBorders>
            <w:shd w:val="clear" w:color="000000" w:fill="DDEBF7"/>
            <w:tcMar>
              <w:top w:w="-1" w:type="dxa"/>
              <w:left w:w="-1" w:type="dxa"/>
              <w:bottom w:w="-1" w:type="dxa"/>
              <w:right w:w="-1" w:type="dxa"/>
            </w:tcMar>
            <w:vAlign w:val="center"/>
          </w:tcPr>
          <w:p w14:paraId="3A7AD5BE">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第六部分：信号转播及监视系统</w:t>
            </w:r>
          </w:p>
        </w:tc>
      </w:tr>
      <w:tr w14:paraId="5B676821">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2000979B">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51C4DCF0">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8路多画面</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085CD5E8">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1U机架式主机，全硬件架构，双电源，含语音报警模块</w:t>
            </w:r>
            <w:r>
              <w:rPr>
                <w:rFonts w:hint="eastAsia" w:ascii="宋体" w:hAnsi="宋体" w:cs="宋体"/>
                <w:color w:val="000000"/>
                <w:sz w:val="24"/>
                <w:szCs w:val="24"/>
              </w:rPr>
              <w:br w:type="textWrapping"/>
            </w:r>
            <w:r>
              <w:rPr>
                <w:rFonts w:hint="eastAsia" w:ascii="宋体" w:hAnsi="宋体" w:cs="宋体"/>
                <w:color w:val="000000"/>
                <w:sz w:val="24"/>
                <w:szCs w:val="24"/>
              </w:rPr>
              <w:t>8路高标清SDI信号自适应输入，2路rtsp网络摄像头IP流输入</w:t>
            </w:r>
            <w:r>
              <w:rPr>
                <w:rFonts w:hint="eastAsia" w:ascii="宋体" w:hAnsi="宋体" w:cs="宋体"/>
                <w:color w:val="000000"/>
                <w:sz w:val="24"/>
                <w:szCs w:val="24"/>
              </w:rPr>
              <w:br w:type="textWrapping"/>
            </w:r>
            <w:r>
              <w:rPr>
                <w:rFonts w:hint="eastAsia" w:ascii="宋体" w:hAnsi="宋体" w:cs="宋体"/>
                <w:color w:val="000000"/>
                <w:sz w:val="24"/>
                <w:szCs w:val="24"/>
              </w:rPr>
              <w:t>10画面拼接显示输出，支持视音频信号及机房监控摄像头信号同屏拼接显示监控</w:t>
            </w:r>
            <w:r>
              <w:rPr>
                <w:rFonts w:hint="eastAsia" w:ascii="宋体" w:hAnsi="宋体" w:cs="宋体"/>
                <w:color w:val="000000"/>
                <w:sz w:val="24"/>
                <w:szCs w:val="24"/>
              </w:rPr>
              <w:br w:type="textWrapping"/>
            </w:r>
            <w:r>
              <w:rPr>
                <w:rFonts w:hint="eastAsia" w:ascii="宋体" w:hAnsi="宋体" w:cs="宋体"/>
                <w:color w:val="000000"/>
                <w:sz w:val="24"/>
                <w:szCs w:val="24"/>
              </w:rPr>
              <w:t>支持PAL、720P、1080i 、1080P等高标清视频制式， 支持2路 HDMI 复制或分屏同时输出</w:t>
            </w:r>
            <w:r>
              <w:rPr>
                <w:rFonts w:hint="eastAsia" w:ascii="宋体" w:hAnsi="宋体" w:cs="宋体"/>
                <w:color w:val="000000"/>
                <w:sz w:val="24"/>
                <w:szCs w:val="24"/>
              </w:rPr>
              <w:br w:type="textWrapping"/>
            </w:r>
            <w:r>
              <w:rPr>
                <w:rFonts w:hint="eastAsia" w:ascii="宋体" w:hAnsi="宋体" w:cs="宋体"/>
                <w:color w:val="000000"/>
                <w:sz w:val="24"/>
                <w:szCs w:val="24"/>
              </w:rPr>
              <w:t>提供多种显示界面风格供选择，支持台标、时钟显示窗口，支持网络时钟校时</w:t>
            </w:r>
            <w:r>
              <w:rPr>
                <w:rFonts w:hint="eastAsia" w:ascii="宋体" w:hAnsi="宋体" w:cs="宋体"/>
                <w:color w:val="000000"/>
                <w:sz w:val="24"/>
                <w:szCs w:val="24"/>
              </w:rPr>
              <w:br w:type="textWrapping"/>
            </w:r>
            <w:r>
              <w:rPr>
                <w:rFonts w:hint="eastAsia" w:ascii="宋体" w:hAnsi="宋体" w:cs="宋体"/>
                <w:color w:val="000000"/>
                <w:sz w:val="24"/>
                <w:szCs w:val="24"/>
              </w:rPr>
              <w:t>支持监看信号音频指定通道输出或轮询输出到监视器监听，轮询时间可配置</w:t>
            </w:r>
            <w:r>
              <w:rPr>
                <w:rFonts w:hint="eastAsia" w:ascii="宋体" w:hAnsi="宋体" w:cs="宋体"/>
                <w:color w:val="000000"/>
                <w:sz w:val="24"/>
                <w:szCs w:val="24"/>
              </w:rPr>
              <w:br w:type="textWrapping"/>
            </w:r>
            <w:r>
              <w:rPr>
                <w:rFonts w:hint="eastAsia" w:ascii="宋体" w:hAnsi="宋体" w:cs="宋体"/>
                <w:color w:val="000000"/>
                <w:sz w:val="24"/>
                <w:szCs w:val="24"/>
              </w:rPr>
              <w:t>自己对选定窗口一键满屏显示，同时输出该窗口音频到监视器监听</w:t>
            </w:r>
            <w:r>
              <w:rPr>
                <w:rFonts w:hint="eastAsia" w:ascii="宋体" w:hAnsi="宋体" w:cs="宋体"/>
                <w:color w:val="000000"/>
                <w:sz w:val="24"/>
                <w:szCs w:val="24"/>
              </w:rPr>
              <w:br w:type="textWrapping"/>
            </w:r>
            <w:r>
              <w:rPr>
                <w:rFonts w:hint="eastAsia" w:ascii="宋体" w:hAnsi="宋体" w:cs="宋体"/>
                <w:color w:val="000000"/>
                <w:sz w:val="24"/>
                <w:szCs w:val="24"/>
              </w:rPr>
              <w:t>支持UMD文字、背景颜色、透明度设置</w:t>
            </w:r>
            <w:r>
              <w:rPr>
                <w:rFonts w:hint="eastAsia" w:ascii="宋体" w:hAnsi="宋体" w:cs="宋体"/>
                <w:color w:val="000000"/>
                <w:sz w:val="24"/>
                <w:szCs w:val="24"/>
              </w:rPr>
              <w:br w:type="textWrapping"/>
            </w:r>
            <w:r>
              <w:rPr>
                <w:rFonts w:hint="eastAsia" w:ascii="宋体" w:hAnsi="宋体" w:cs="宋体"/>
                <w:color w:val="000000"/>
                <w:sz w:val="24"/>
                <w:szCs w:val="24"/>
              </w:rPr>
              <w:t>支持对信号进行监测，信号丢失时进行报警</w:t>
            </w:r>
            <w:r>
              <w:rPr>
                <w:rFonts w:hint="eastAsia" w:ascii="宋体" w:hAnsi="宋体" w:cs="宋体"/>
                <w:color w:val="000000"/>
                <w:sz w:val="24"/>
                <w:szCs w:val="24"/>
              </w:rPr>
              <w:br w:type="textWrapping"/>
            </w:r>
            <w:r>
              <w:rPr>
                <w:rFonts w:hint="eastAsia" w:ascii="宋体" w:hAnsi="宋体" w:cs="宋体"/>
                <w:color w:val="000000"/>
                <w:sz w:val="24"/>
                <w:szCs w:val="24"/>
              </w:rPr>
              <w:t>支持对图像内容进行监测，对图像中出现的静帧、黑场、彩条进行报警</w:t>
            </w:r>
            <w:r>
              <w:rPr>
                <w:rFonts w:hint="eastAsia" w:ascii="宋体" w:hAnsi="宋体" w:cs="宋体"/>
                <w:color w:val="000000"/>
                <w:sz w:val="24"/>
                <w:szCs w:val="24"/>
              </w:rPr>
              <w:br w:type="textWrapping"/>
            </w:r>
            <w:r>
              <w:rPr>
                <w:rFonts w:hint="eastAsia" w:ascii="宋体" w:hAnsi="宋体" w:cs="宋体"/>
                <w:color w:val="000000"/>
                <w:sz w:val="24"/>
                <w:szCs w:val="24"/>
              </w:rPr>
              <w:t>支持对音频内容进行监测，对音频中出现的静音、爆音进行报警，同时可设置爆音监测电平阈值</w:t>
            </w:r>
            <w:r>
              <w:rPr>
                <w:rFonts w:hint="eastAsia" w:ascii="宋体" w:hAnsi="宋体" w:cs="宋体"/>
                <w:color w:val="000000"/>
                <w:sz w:val="24"/>
                <w:szCs w:val="24"/>
              </w:rPr>
              <w:br w:type="textWrapping"/>
            </w:r>
            <w:r>
              <w:rPr>
                <w:rFonts w:hint="eastAsia" w:ascii="宋体" w:hAnsi="宋体" w:cs="宋体"/>
                <w:color w:val="000000"/>
                <w:sz w:val="24"/>
                <w:szCs w:val="24"/>
              </w:rPr>
              <w:t>支持文字、语音、短信报警方式可选</w:t>
            </w:r>
            <w:r>
              <w:rPr>
                <w:rFonts w:hint="eastAsia" w:ascii="宋体" w:hAnsi="宋体" w:cs="宋体"/>
                <w:color w:val="000000"/>
                <w:sz w:val="24"/>
                <w:szCs w:val="24"/>
              </w:rPr>
              <w:br w:type="textWrapping"/>
            </w:r>
            <w:r>
              <w:rPr>
                <w:rFonts w:hint="eastAsia" w:ascii="宋体" w:hAnsi="宋体" w:cs="宋体"/>
                <w:color w:val="000000"/>
                <w:sz w:val="24"/>
                <w:szCs w:val="24"/>
              </w:rPr>
              <w:t>支持 Web页面设置，支持远程升级以及恢复出厂设置</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6C86DC47">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0CBD7613">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5D98FB52">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3FF52EDE">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2</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3C13D397">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卫星天线防雷器</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5FA912A2">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频率范围：0～3GHZ</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特性阻抗：50Ω/75Ω</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电压驻波比：1.06～1.5</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插入损耗：＜0.3dB</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额定直流电压：5V/24V/50V</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743CB554">
            <w:pPr>
              <w:widowControl/>
              <w:snapToGrid w:val="0"/>
              <w:jc w:val="left"/>
              <w:textAlignment w:val="center"/>
              <w:rPr>
                <w:rFonts w:hint="eastAsia" w:ascii="宋体" w:hAnsi="宋体" w:cs="宋体"/>
                <w:color w:val="000000"/>
                <w:sz w:val="24"/>
                <w:szCs w:val="24"/>
              </w:rPr>
            </w:pPr>
            <w:r>
              <w:rPr>
                <w:rFonts w:hint="eastAsia" w:ascii="宋体" w:hAnsi="宋体" w:cs="宋体"/>
                <w:color w:val="EE0000"/>
                <w:sz w:val="24"/>
                <w:szCs w:val="24"/>
                <w:lang w:bidi="ar"/>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5805479B">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台</w:t>
            </w:r>
          </w:p>
        </w:tc>
      </w:tr>
      <w:tr w14:paraId="6CF8816B">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1C5D30B0">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3</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3E218F2E">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AVS+卫星接收解码器</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287EADE1">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AVS+卫星接收解码器,（含解密卡）；</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采用嵌入式结构及外形设计</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内嵌Web Server，支持远程Web页面登陆后的统一配置操作</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支持LCD显示屏和电视OSD画面同步显示</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支持前置前面板功能按键</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支持MPEG2、H.264、AVS、AVS+视频编码格式的解码</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支持MPEG-1/2、MP3、AAC/AAC+、WMA9音频解码</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可同时接收1路卫星DVB-S或者有线电视DVB-C射频信号输入</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支持最大码率为1000Mbps的1路IP视频码流输入，两路ASI输出</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支持TS Over IP接口输入输出，10/100/1000M自适应</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支持单节目整流模式，UDP/RTP可选</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支持1路SDI和1路模拟视音频的基带信号输出</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支持4个DVB-CI接口，支持主流CAM卡（如国微、SCM）和多种加密系统（如同方、Irdeto、Mediaguard、NDS）</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支持两路TS流输出，可选择卫星/ASI输入的解密流输出或原始流输出</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支持音频平衡或者非平衡输出</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支持频道自动保存，意外断电可以自动恢复最近的参数设置</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支持10/100/1000M自适应网口，可实现对设备参数的远程设置与软件升级</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1EE1663C">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481BC8F0">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台</w:t>
            </w:r>
          </w:p>
        </w:tc>
      </w:tr>
      <w:tr w14:paraId="0D6549F8">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1489C4BC">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4</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044D1247">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调频广播卫星接收机</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1BC2E731">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卫星接收机（含解密卡）</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解码完全兼容MPEG-2，DVB标准，支持MP@HL和MP@MLSCPC/MCPC兼容</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支持mp1.mp2.Aac.ac3.DRA等解码方式</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适应数据突发能力强</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分辨率可自动识别，或手动设置</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支持输出1路AES数字音频和1路立体声模拟音频同时输出等</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射频信号输入时，同时支持1路ASI/1路IP码流同时输出</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1F2BFB86">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755D0A69">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套</w:t>
            </w:r>
          </w:p>
        </w:tc>
      </w:tr>
      <w:tr w14:paraId="43BE9E92">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57CF9506">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5</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5194FC97">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有线解码器</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5BAB1EE5">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1U机箱，全硬件架构，双电源，单千兆网口;</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输入接口：1路RF/ASI/IP；</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输出接口：2路HD-SDI/1路HDMI/1路CVBS/2路ASI/1路IP/2路XLR/1路AES/EBU；</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支持1080P/1080I/720P/576I/480I多种分辨率；</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支持AVS+/H.264/MPEG2解码；</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支持DRA/AC3/EAC3/AAC/MPEG等音频；</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支持Biss_1/Biss_E解扰（DVB-C）；</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支持信号输入强度，信躁比（SNR）动态监测，信号失锁报警；</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前面板按键设置，独立的液晶屏参数显示；</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Web页面设置，支持远程升级；</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包含卡套</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4ECD2290">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2EB3D351">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台</w:t>
            </w:r>
          </w:p>
        </w:tc>
      </w:tr>
      <w:tr w14:paraId="58CAAD78">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02D62035">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6</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6B9E4A92">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SDI转HDMI</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329FC186">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SDI转HDMI转换器</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35CFED40">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8</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04CD733D">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台</w:t>
            </w:r>
          </w:p>
        </w:tc>
      </w:tr>
      <w:tr w14:paraId="30E981FB">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183C63DF">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7</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5FD01111">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rPr>
              <w:t>KU波段偏馈卫星接收天线（Φ1.2m）</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44CDBB7A">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频率范围：10.7-12.75GHz</w:t>
            </w:r>
          </w:p>
          <w:p w14:paraId="239E1E0D">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增益：41.3-41.6dBi（12.5GHz中心频点）</w:t>
            </w:r>
          </w:p>
          <w:p w14:paraId="03F38D54">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电压驻波比：1.3:1</w:t>
            </w:r>
          </w:p>
          <w:p w14:paraId="31817043">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波束宽度-3dB：1.2-1.3°；-10dB：2.0-2.4°</w:t>
            </w:r>
          </w:p>
          <w:p w14:paraId="4DBC7C47">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接口形式：WR-75波导接口（直径73-76mm），可选F型/N型接口</w:t>
            </w:r>
          </w:p>
          <w:p w14:paraId="52F883A3">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插入损耗：0.15dB</w:t>
            </w:r>
          </w:p>
          <w:p w14:paraId="4C2B95B6">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rPr>
              <w:t>带一个KU波段噪声下变频器</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3F1B4D78">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rPr>
              <w:t>1</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1577D315">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rPr>
              <w:t>副</w:t>
            </w:r>
          </w:p>
        </w:tc>
      </w:tr>
      <w:tr w14:paraId="0604D72C">
        <w:tblPrEx>
          <w:tblCellMar>
            <w:top w:w="0" w:type="dxa"/>
            <w:left w:w="108" w:type="dxa"/>
            <w:bottom w:w="0" w:type="dxa"/>
            <w:right w:w="108" w:type="dxa"/>
          </w:tblCellMar>
        </w:tblPrEx>
        <w:trPr>
          <w:jc w:val="center"/>
        </w:trPr>
        <w:tc>
          <w:tcPr>
            <w:tcW w:w="8522" w:type="dxa"/>
            <w:gridSpan w:val="5"/>
            <w:tcBorders>
              <w:top w:val="single" w:color="auto" w:sz="4" w:space="0"/>
              <w:left w:val="single" w:color="auto" w:sz="12" w:space="0"/>
              <w:bottom w:val="nil"/>
              <w:right w:val="single" w:color="auto" w:sz="12" w:space="0"/>
            </w:tcBorders>
            <w:shd w:val="clear" w:color="000000" w:fill="DDEBF7"/>
            <w:tcMar>
              <w:top w:w="-1" w:type="dxa"/>
              <w:left w:w="-1" w:type="dxa"/>
              <w:bottom w:w="-1" w:type="dxa"/>
              <w:right w:w="-1" w:type="dxa"/>
            </w:tcMar>
            <w:vAlign w:val="center"/>
          </w:tcPr>
          <w:p w14:paraId="4F44307C">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第七部分：安全设备</w:t>
            </w:r>
          </w:p>
        </w:tc>
      </w:tr>
      <w:tr w14:paraId="12A207E7">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02BF6976">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043D895F">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安全隔离网关</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7CBA927">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1U机架式设备，双冗余电源，4个千兆网口，2G缓存，100MB传输带宽</w:t>
            </w:r>
            <w:r>
              <w:rPr>
                <w:rFonts w:hint="eastAsia" w:ascii="宋体" w:hAnsi="宋体" w:cs="宋体"/>
                <w:color w:val="000000"/>
                <w:sz w:val="24"/>
                <w:szCs w:val="24"/>
              </w:rPr>
              <w:br w:type="textWrapping"/>
            </w:r>
            <w:r>
              <w:rPr>
                <w:rFonts w:hint="eastAsia" w:ascii="宋体" w:hAnsi="宋体" w:cs="宋体"/>
                <w:color w:val="000000"/>
                <w:sz w:val="24"/>
                <w:szCs w:val="24"/>
              </w:rPr>
              <w:t>提供4个系统之间的文件安全传输；</w:t>
            </w:r>
            <w:r>
              <w:rPr>
                <w:rFonts w:hint="eastAsia" w:ascii="宋体" w:hAnsi="宋体" w:cs="宋体"/>
                <w:color w:val="000000"/>
                <w:sz w:val="24"/>
                <w:szCs w:val="24"/>
              </w:rPr>
              <w:br w:type="textWrapping"/>
            </w:r>
            <w:r>
              <w:rPr>
                <w:rFonts w:hint="eastAsia" w:ascii="宋体" w:hAnsi="宋体" w:cs="宋体"/>
                <w:color w:val="000000"/>
                <w:sz w:val="24"/>
                <w:szCs w:val="24"/>
              </w:rPr>
              <w:t>支持建立40个资源，20个传输通道；</w:t>
            </w:r>
            <w:r>
              <w:rPr>
                <w:rFonts w:hint="eastAsia" w:ascii="宋体" w:hAnsi="宋体" w:cs="宋体"/>
                <w:color w:val="000000"/>
                <w:sz w:val="24"/>
                <w:szCs w:val="24"/>
              </w:rPr>
              <w:br w:type="textWrapping"/>
            </w:r>
            <w:r>
              <w:rPr>
                <w:rFonts w:hint="eastAsia" w:ascii="宋体" w:hAnsi="宋体" w:cs="宋体"/>
                <w:color w:val="000000"/>
                <w:sz w:val="24"/>
                <w:szCs w:val="24"/>
              </w:rPr>
              <w:t>支持2任务并发传输；</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6B250B02">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07243215">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台</w:t>
            </w:r>
          </w:p>
        </w:tc>
      </w:tr>
      <w:tr w14:paraId="77F7E9BB">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6D15EC33">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2</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7D136512">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信创安全盒</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6C19702D">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硬件配置：</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国产兆芯KX-U6780/8G DDR4/128G NVME硬盘/USB3.0/千兆网口/麒麟国产操作系统；</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1）文件白名单过滤：内置常见的 peg、mpg、rm、m4vasf、mov、aviswf、wav、MP3、MP4、mid、ac3、bmpjif、jpg、png 等几百种格式文件并支持文件过滤格式可自定义；</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26F16C4E">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16D4ACDA">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台</w:t>
            </w:r>
          </w:p>
        </w:tc>
      </w:tr>
      <w:tr w14:paraId="1B7D5E06">
        <w:tblPrEx>
          <w:tblCellMar>
            <w:top w:w="0" w:type="dxa"/>
            <w:left w:w="108" w:type="dxa"/>
            <w:bottom w:w="0" w:type="dxa"/>
            <w:right w:w="108" w:type="dxa"/>
          </w:tblCellMar>
        </w:tblPrEx>
        <w:trPr>
          <w:jc w:val="center"/>
        </w:trPr>
        <w:tc>
          <w:tcPr>
            <w:tcW w:w="8522" w:type="dxa"/>
            <w:gridSpan w:val="5"/>
            <w:tcBorders>
              <w:top w:val="single" w:color="auto" w:sz="4" w:space="0"/>
              <w:left w:val="single" w:color="auto" w:sz="12" w:space="0"/>
              <w:bottom w:val="nil"/>
              <w:right w:val="single" w:color="auto" w:sz="12" w:space="0"/>
            </w:tcBorders>
            <w:shd w:val="clear" w:color="000000" w:fill="DDEBF7"/>
            <w:tcMar>
              <w:top w:w="-1" w:type="dxa"/>
              <w:left w:w="-1" w:type="dxa"/>
              <w:bottom w:w="-1" w:type="dxa"/>
              <w:right w:w="-1" w:type="dxa"/>
            </w:tcMar>
            <w:vAlign w:val="center"/>
          </w:tcPr>
          <w:p w14:paraId="7CCE902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第八部分：供配电改造</w:t>
            </w:r>
          </w:p>
        </w:tc>
      </w:tr>
      <w:tr w14:paraId="77A53D40">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338CB9AA">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38BB6C0D">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UPS配电柜</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092CF888">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125A 4p总开1组 +防雷模块 ，市电输出63A/4p x 4 ，40A/ 2p x 12 ；</w:t>
            </w:r>
          </w:p>
          <w:p w14:paraId="1D4729AA">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UPS1输入输出及隔离开关63A/4p x 3,UPS1支路输出40A/ 2p x6；</w:t>
            </w:r>
          </w:p>
          <w:p w14:paraId="3FA3DB05">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UPS2输入输出及隔离开关63A/4p x 3,UPS2支路输出40A/ 2p x6；</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0C16334C">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4ABAB457">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套</w:t>
            </w:r>
          </w:p>
        </w:tc>
      </w:tr>
      <w:tr w14:paraId="45793C1C">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192BC3AD">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2</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3EFE8E67">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总配电柜</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6A9D4FE">
            <w:pPr>
              <w:widowControl/>
              <w:snapToGrid w:val="0"/>
              <w:jc w:val="left"/>
              <w:textAlignment w:val="center"/>
              <w:rPr>
                <w:rFonts w:hint="eastAsia" w:ascii="宋体" w:hAnsi="宋体" w:cs="宋体"/>
                <w:color w:val="000000"/>
                <w:sz w:val="24"/>
                <w:szCs w:val="24"/>
                <w:lang w:bidi="ar"/>
              </w:rPr>
            </w:pPr>
            <w:r>
              <w:rPr>
                <w:rFonts w:ascii="宋体" w:hAnsi="宋体" w:cs="宋体"/>
                <w:color w:val="000000"/>
                <w:sz w:val="24"/>
                <w:szCs w:val="24"/>
                <w:lang w:bidi="ar"/>
              </w:rPr>
              <w:t>双路电源总配电动力柜，不锈钢通用加厚，美观防尘安全。进线总空气开关225A /4Px2;双电源自动切换开关（ATS）:PC级，160A/4P,切换时间小于等于80MS,自投自复+缺相、过压、欠压检测,机械+电气双重联锁；出线空气开关160A/4Px4；连线国标钢排；</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7C5CEA5D">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1397E6AD">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套</w:t>
            </w:r>
          </w:p>
        </w:tc>
      </w:tr>
      <w:tr w14:paraId="16551AC6">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5703E007">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3</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AB64EEC">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UPS</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EFEA088">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1.在线式工频机。</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（1）UPS设备须为双变换在线式工频机，标配输出隔离变压器。容量：30KVA；</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（2）输入电压范围（Vac）：380±25%；相数：三相五线（3L+N+PE）；</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（3）输入频率范围（Hz）：50/60±10%；</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（4）输入功率因数：≥0.97（加滤波器）；</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（5）输入电流谐波成分：≤5%（100%非线性负载）；</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（6）输出电压（Vac）：220/230±0.5%；</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（7）输出功因：≥0.8；</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（8）输出波形失真度：≤2%（100%阻性负载）≤4%（100%非线性负载）；</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（9）切换时间（ms）：0；</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（10）整机效率：≥94% ；</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（11）过载能力：负载≤125%，10min；≤150%，200ms；</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（12）UPS运行环境要求：工作环境：0~+40℃；工作湿度：0~95%（不凝露）。</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（13）通讯接口：具有RS232、RS485、干接点通讯接口，可选配SNMP卡，满足多种通讯需求。</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（14）告警功能：具有过载、市电异常、UPS故障、电池欠压等多种告警功能。并支持历史记录查询功能。</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（15）保护功能：具有开机自诊断功能，具有输出过载、输出短路、逆变器过温、电池欠压预警和电池过充电保护功能。</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2.定制电池柜40C</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3.直流开关箱100A3P  DC 直流开关，含箱体</w:t>
            </w:r>
            <w:r>
              <w:rPr>
                <w:rFonts w:hint="eastAsia" w:ascii="宋体" w:hAnsi="宋体" w:cs="宋体"/>
                <w:color w:val="000000"/>
                <w:sz w:val="24"/>
                <w:szCs w:val="24"/>
                <w:lang w:bidi="ar"/>
              </w:rPr>
              <w:br w:type="textWrapping"/>
            </w:r>
            <w:r>
              <w:rPr>
                <w:rFonts w:hint="eastAsia" w:ascii="宋体" w:hAnsi="宋体" w:cs="宋体"/>
                <w:color w:val="000000"/>
                <w:sz w:val="24"/>
                <w:szCs w:val="24"/>
                <w:lang w:bidi="ar"/>
              </w:rPr>
              <w:t>4.BVR25mm²；直流电缆：电池到主机的电缆、电池之间连接线缆；含铜鼻子等辅材；</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1961515B">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457AE2A1">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套</w:t>
            </w:r>
          </w:p>
        </w:tc>
      </w:tr>
      <w:tr w14:paraId="5342D1BB">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59F0E110">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4</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08F7196D">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阀控式铅酸电池</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0A9732AF">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阀控式铅酸电池12V100AH</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65800D02">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40</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7C7FF0B9">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节</w:t>
            </w:r>
          </w:p>
        </w:tc>
      </w:tr>
      <w:tr w14:paraId="75573598">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4574DBC2">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5</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2F1F7FBD">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设备承重支架</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66743C77">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定制</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14409406">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0C7B6826">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套</w:t>
            </w:r>
          </w:p>
        </w:tc>
      </w:tr>
      <w:tr w14:paraId="614259C2">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2DB0067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6</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54F52C58">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电缆</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5CB30462">
            <w:pPr>
              <w:widowControl/>
              <w:snapToGrid w:val="0"/>
              <w:jc w:val="left"/>
              <w:rPr>
                <w:rFonts w:hint="eastAsia" w:ascii="宋体" w:hAnsi="宋体" w:cs="宋体"/>
                <w:color w:val="000000"/>
                <w:sz w:val="24"/>
                <w:szCs w:val="24"/>
                <w:lang w:bidi="ar"/>
              </w:rPr>
            </w:pPr>
            <w:r>
              <w:rPr>
                <w:rFonts w:hint="eastAsia" w:ascii="宋体" w:hAnsi="宋体" w:cs="宋体"/>
                <w:color w:val="000000"/>
                <w:sz w:val="24"/>
                <w:szCs w:val="24"/>
                <w:lang w:bidi="ar"/>
              </w:rPr>
              <w:t>八楼配电柜到七楼机房总配电柜YJV50㎜²*4电缆30米，总配电柜到UPS配电柜YJV35㎜²*4电缆20米；</w:t>
            </w:r>
          </w:p>
          <w:p w14:paraId="5ABC0A54">
            <w:pPr>
              <w:widowControl/>
              <w:snapToGrid w:val="0"/>
              <w:jc w:val="left"/>
              <w:rPr>
                <w:rFonts w:hint="eastAsia" w:ascii="宋体" w:hAnsi="宋体" w:cs="宋体"/>
                <w:color w:val="000000"/>
                <w:sz w:val="24"/>
                <w:szCs w:val="24"/>
                <w:lang w:bidi="ar"/>
              </w:rPr>
            </w:pPr>
            <w:r>
              <w:rPr>
                <w:rFonts w:hint="eastAsia" w:ascii="宋体" w:hAnsi="宋体" w:cs="宋体"/>
                <w:color w:val="000000"/>
                <w:sz w:val="24"/>
                <w:szCs w:val="24"/>
                <w:lang w:bidi="ar"/>
              </w:rPr>
              <w:t>UPS配电柜到设备机柜bvr10平方8米x10根；UPS主机输入输出到UPS配电柜bvr25平方8米x2根。</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7AE5137A">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41291CCA">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批</w:t>
            </w:r>
          </w:p>
        </w:tc>
      </w:tr>
      <w:tr w14:paraId="724DF06A">
        <w:tblPrEx>
          <w:tblCellMar>
            <w:top w:w="0" w:type="dxa"/>
            <w:left w:w="108" w:type="dxa"/>
            <w:bottom w:w="0" w:type="dxa"/>
            <w:right w:w="108" w:type="dxa"/>
          </w:tblCellMar>
        </w:tblPrEx>
        <w:trPr>
          <w:jc w:val="center"/>
        </w:trPr>
        <w:tc>
          <w:tcPr>
            <w:tcW w:w="8522" w:type="dxa"/>
            <w:gridSpan w:val="5"/>
            <w:tcBorders>
              <w:top w:val="single" w:color="auto" w:sz="4" w:space="0"/>
              <w:left w:val="single" w:color="auto" w:sz="12" w:space="0"/>
              <w:bottom w:val="nil"/>
              <w:right w:val="single" w:color="auto" w:sz="12" w:space="0"/>
            </w:tcBorders>
            <w:shd w:val="clear" w:color="auto" w:fill="DEEAF6"/>
            <w:tcMar>
              <w:top w:w="-1" w:type="dxa"/>
              <w:left w:w="-1" w:type="dxa"/>
              <w:bottom w:w="-1" w:type="dxa"/>
              <w:right w:w="-1" w:type="dxa"/>
            </w:tcMar>
            <w:vAlign w:val="center"/>
          </w:tcPr>
          <w:p w14:paraId="497A424A">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rPr>
              <w:t>第九部分：电视墙操作台改造</w:t>
            </w:r>
          </w:p>
        </w:tc>
      </w:tr>
      <w:tr w14:paraId="19ACFECB">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330D030D">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153ADCF9">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电视墙面板</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0E3BE85E">
            <w:pPr>
              <w:widowControl/>
              <w:snapToGrid w:val="0"/>
              <w:jc w:val="left"/>
              <w:rPr>
                <w:rFonts w:hint="eastAsia" w:ascii="宋体" w:hAnsi="宋体" w:cs="宋体"/>
                <w:color w:val="000000"/>
                <w:sz w:val="24"/>
                <w:szCs w:val="24"/>
                <w:lang w:bidi="ar"/>
              </w:rPr>
            </w:pPr>
            <w:r>
              <w:rPr>
                <w:rFonts w:hint="eastAsia" w:ascii="宋体" w:hAnsi="宋体" w:cs="宋体"/>
                <w:color w:val="000000"/>
                <w:sz w:val="24"/>
                <w:szCs w:val="24"/>
                <w:lang w:bidi="ar"/>
              </w:rPr>
              <w:t>定制</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2B4E228F">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6F909B91">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批</w:t>
            </w:r>
          </w:p>
        </w:tc>
      </w:tr>
      <w:tr w14:paraId="540BFB44">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1CB761A1">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2</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2291396">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控制台台板（钢制）</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3CE140E0">
            <w:pPr>
              <w:widowControl/>
              <w:snapToGrid w:val="0"/>
              <w:jc w:val="left"/>
              <w:rPr>
                <w:rFonts w:hint="eastAsia" w:ascii="宋体" w:hAnsi="宋体" w:cs="宋体"/>
                <w:color w:val="000000"/>
                <w:sz w:val="24"/>
                <w:szCs w:val="24"/>
                <w:lang w:bidi="ar"/>
              </w:rPr>
            </w:pPr>
            <w:r>
              <w:rPr>
                <w:rFonts w:hint="eastAsia" w:ascii="宋体" w:hAnsi="宋体" w:cs="宋体"/>
                <w:color w:val="000000"/>
                <w:sz w:val="24"/>
                <w:szCs w:val="24"/>
                <w:lang w:bidi="ar"/>
              </w:rPr>
              <w:t>定制</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2882B3FB">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9</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393F7F86">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块</w:t>
            </w:r>
          </w:p>
        </w:tc>
      </w:tr>
      <w:tr w14:paraId="68894A40">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6AB33365">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3</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77C7A5C5">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双臂液晶支架</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12F6EFA">
            <w:pPr>
              <w:widowControl/>
              <w:snapToGrid w:val="0"/>
              <w:jc w:val="left"/>
              <w:rPr>
                <w:rFonts w:hint="eastAsia" w:ascii="宋体" w:hAnsi="宋体" w:cs="宋体"/>
                <w:color w:val="000000"/>
                <w:sz w:val="24"/>
                <w:szCs w:val="24"/>
                <w:lang w:bidi="ar"/>
              </w:rPr>
            </w:pPr>
            <w:r>
              <w:rPr>
                <w:rFonts w:hint="eastAsia" w:ascii="宋体" w:hAnsi="宋体" w:cs="宋体"/>
                <w:color w:val="000000"/>
                <w:sz w:val="24"/>
                <w:szCs w:val="24"/>
                <w:lang w:bidi="ar"/>
              </w:rPr>
              <w:t>万向调节</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53C142C3">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9</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382B19CB">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套</w:t>
            </w:r>
          </w:p>
        </w:tc>
      </w:tr>
      <w:tr w14:paraId="34ABD951">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75F25A5B">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4</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6D813E7B">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PDU</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1246E468">
            <w:pPr>
              <w:widowControl/>
              <w:snapToGrid w:val="0"/>
              <w:jc w:val="left"/>
              <w:rPr>
                <w:rFonts w:hint="eastAsia" w:ascii="宋体" w:hAnsi="宋体" w:cs="宋体"/>
                <w:color w:val="000000"/>
                <w:sz w:val="24"/>
                <w:szCs w:val="24"/>
                <w:lang w:bidi="ar"/>
              </w:rPr>
            </w:pPr>
            <w:r>
              <w:rPr>
                <w:rFonts w:hint="eastAsia" w:ascii="宋体" w:hAnsi="宋体" w:cs="宋体"/>
                <w:color w:val="000000"/>
                <w:sz w:val="24"/>
                <w:szCs w:val="24"/>
                <w:lang w:bidi="ar"/>
              </w:rPr>
              <w:t>6位</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4B516AA">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34</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72334A07">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套</w:t>
            </w:r>
          </w:p>
        </w:tc>
      </w:tr>
      <w:tr w14:paraId="070B1FA2">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3FBCCC1F">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5</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8EF96FB">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钢制框架</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2A7FED3B">
            <w:pPr>
              <w:widowControl/>
              <w:snapToGrid w:val="0"/>
              <w:jc w:val="left"/>
              <w:rPr>
                <w:rFonts w:hint="eastAsia" w:ascii="宋体" w:hAnsi="宋体" w:cs="宋体"/>
                <w:color w:val="000000"/>
                <w:sz w:val="24"/>
                <w:szCs w:val="24"/>
                <w:lang w:bidi="ar"/>
              </w:rPr>
            </w:pPr>
            <w:r>
              <w:rPr>
                <w:rFonts w:hint="eastAsia" w:ascii="宋体" w:hAnsi="宋体" w:cs="宋体"/>
                <w:color w:val="000000"/>
                <w:sz w:val="24"/>
                <w:szCs w:val="24"/>
                <w:lang w:bidi="ar"/>
              </w:rPr>
              <w:t>定制</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08BCC64E">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4D1057F5">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批</w:t>
            </w:r>
          </w:p>
        </w:tc>
      </w:tr>
      <w:tr w14:paraId="788B7729">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shd w:val="clear" w:color="000000" w:fill="FFFFFF"/>
            <w:tcMar>
              <w:top w:w="-1" w:type="dxa"/>
              <w:left w:w="-1" w:type="dxa"/>
              <w:bottom w:w="-1" w:type="dxa"/>
              <w:right w:w="-1" w:type="dxa"/>
            </w:tcMar>
            <w:vAlign w:val="center"/>
          </w:tcPr>
          <w:p w14:paraId="50C94438">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6</w:t>
            </w:r>
          </w:p>
        </w:tc>
        <w:tc>
          <w:tcPr>
            <w:tcW w:w="1738"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544B054A">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控制台配件</w:t>
            </w:r>
          </w:p>
        </w:tc>
        <w:tc>
          <w:tcPr>
            <w:tcW w:w="4730"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5D16C5C4">
            <w:pPr>
              <w:widowControl/>
              <w:snapToGrid w:val="0"/>
              <w:jc w:val="left"/>
              <w:rPr>
                <w:rFonts w:hint="eastAsia" w:ascii="宋体" w:hAnsi="宋体" w:cs="宋体"/>
                <w:color w:val="000000"/>
                <w:sz w:val="24"/>
                <w:szCs w:val="24"/>
                <w:lang w:bidi="ar"/>
              </w:rPr>
            </w:pPr>
            <w:r>
              <w:rPr>
                <w:rFonts w:hint="eastAsia" w:ascii="宋体" w:hAnsi="宋体" w:cs="宋体"/>
                <w:color w:val="000000"/>
                <w:sz w:val="24"/>
                <w:szCs w:val="24"/>
                <w:lang w:bidi="ar"/>
              </w:rPr>
              <w:t>定制</w:t>
            </w:r>
          </w:p>
        </w:tc>
        <w:tc>
          <w:tcPr>
            <w:tcW w:w="742" w:type="dxa"/>
            <w:tcBorders>
              <w:top w:val="single" w:color="auto" w:sz="4" w:space="0"/>
              <w:left w:val="single" w:color="auto" w:sz="4" w:space="0"/>
              <w:bottom w:val="nil"/>
              <w:right w:val="nil"/>
            </w:tcBorders>
            <w:shd w:val="clear" w:color="000000" w:fill="FFFFFF"/>
            <w:tcMar>
              <w:top w:w="-1" w:type="dxa"/>
              <w:left w:w="-1" w:type="dxa"/>
              <w:bottom w:w="-1" w:type="dxa"/>
              <w:right w:w="-1" w:type="dxa"/>
            </w:tcMar>
            <w:vAlign w:val="center"/>
          </w:tcPr>
          <w:p w14:paraId="4DADE0E5">
            <w:pPr>
              <w:widowControl/>
              <w:snapToGrid w:val="0"/>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1</w:t>
            </w:r>
          </w:p>
        </w:tc>
        <w:tc>
          <w:tcPr>
            <w:tcW w:w="742" w:type="dxa"/>
            <w:tcBorders>
              <w:top w:val="single" w:color="auto" w:sz="4" w:space="0"/>
              <w:left w:val="single" w:color="auto" w:sz="4" w:space="0"/>
              <w:bottom w:val="nil"/>
              <w:right w:val="single" w:color="auto" w:sz="12" w:space="0"/>
            </w:tcBorders>
            <w:shd w:val="clear" w:color="000000" w:fill="FFFFFF"/>
            <w:tcMar>
              <w:top w:w="-1" w:type="dxa"/>
              <w:left w:w="-1" w:type="dxa"/>
              <w:bottom w:w="-1" w:type="dxa"/>
              <w:right w:w="-1" w:type="dxa"/>
            </w:tcMar>
            <w:vAlign w:val="center"/>
          </w:tcPr>
          <w:p w14:paraId="2299923A">
            <w:pPr>
              <w:widowControl/>
              <w:snapToGrid w:val="0"/>
              <w:jc w:val="center"/>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批</w:t>
            </w:r>
          </w:p>
        </w:tc>
      </w:tr>
      <w:tr w14:paraId="2C01464C">
        <w:tblPrEx>
          <w:tblCellMar>
            <w:top w:w="0" w:type="dxa"/>
            <w:left w:w="108" w:type="dxa"/>
            <w:bottom w:w="0" w:type="dxa"/>
            <w:right w:w="108" w:type="dxa"/>
          </w:tblCellMar>
        </w:tblPrEx>
        <w:trPr>
          <w:jc w:val="center"/>
        </w:trPr>
        <w:tc>
          <w:tcPr>
            <w:tcW w:w="8522" w:type="dxa"/>
            <w:gridSpan w:val="5"/>
            <w:tcBorders>
              <w:top w:val="single" w:color="auto" w:sz="4" w:space="0"/>
              <w:left w:val="single" w:color="auto" w:sz="12" w:space="0"/>
              <w:bottom w:val="nil"/>
              <w:right w:val="single" w:color="auto" w:sz="12" w:space="0"/>
            </w:tcBorders>
            <w:shd w:val="clear" w:color="000000" w:fill="DDEBF7"/>
            <w:tcMar>
              <w:top w:w="-1" w:type="dxa"/>
              <w:left w:w="-1" w:type="dxa"/>
              <w:bottom w:w="-1" w:type="dxa"/>
              <w:right w:w="-1" w:type="dxa"/>
            </w:tcMar>
            <w:vAlign w:val="center"/>
          </w:tcPr>
          <w:p w14:paraId="196753A9">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第十部分：系统集成</w:t>
            </w:r>
          </w:p>
        </w:tc>
      </w:tr>
      <w:tr w14:paraId="327D6561">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47F2AB86">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1</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43AB0C52">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企业级硬盘</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14047B0F">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企业级数据硬盘，硬盘容量：6TB 转速：7200rpm;硬盘尺寸：3.5英寸;平均无故障时间：120万小时以上</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0AF1BD0D">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76EE63F3">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块</w:t>
            </w:r>
          </w:p>
        </w:tc>
      </w:tr>
      <w:tr w14:paraId="6AC9C831">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0FA6F6B5">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2</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135347A3">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跳线盘</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7CEFEF6F">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24路跳线盘</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1BC17082">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2</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6705F661">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台</w:t>
            </w:r>
          </w:p>
        </w:tc>
      </w:tr>
      <w:tr w14:paraId="791F4963">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5A1201A6">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3</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7FD63543">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机柜</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57C64420">
            <w:pPr>
              <w:widowControl/>
              <w:snapToGrid w:val="0"/>
              <w:jc w:val="left"/>
              <w:textAlignment w:val="center"/>
              <w:rPr>
                <w:rFonts w:hint="eastAsia" w:ascii="宋体" w:hAnsi="宋体" w:cs="宋体"/>
                <w:color w:val="000000"/>
                <w:sz w:val="24"/>
                <w:szCs w:val="24"/>
              </w:rPr>
            </w:pPr>
            <w:r>
              <w:rPr>
                <w:rFonts w:hint="eastAsia" w:ascii="宋体" w:hAnsi="宋体" w:cs="宋体"/>
                <w:color w:val="000000"/>
                <w:sz w:val="24"/>
                <w:szCs w:val="24"/>
                <w:lang w:bidi="ar"/>
              </w:rPr>
              <w:t>42U标准机柜，1000mm深，600mm宽，配置16孔PDU电源*2，并按需求配置托架及绑线杆。</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6C3051F8">
            <w:pPr>
              <w:widowControl/>
              <w:snapToGrid w:val="0"/>
              <w:jc w:val="left"/>
              <w:textAlignment w:val="center"/>
              <w:rPr>
                <w:rFonts w:hint="eastAsia" w:ascii="宋体" w:hAnsi="宋体" w:cs="宋体"/>
                <w:color w:val="000000"/>
                <w:sz w:val="24"/>
                <w:szCs w:val="24"/>
              </w:rPr>
            </w:pPr>
            <w:r>
              <w:rPr>
                <w:rFonts w:hint="eastAsia" w:ascii="宋体" w:hAnsi="宋体" w:cs="宋体"/>
                <w:sz w:val="24"/>
                <w:szCs w:val="24"/>
                <w:lang w:bidi="ar"/>
              </w:rPr>
              <w:t>3</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14C588D6">
            <w:pPr>
              <w:widowControl/>
              <w:snapToGrid w:val="0"/>
              <w:jc w:val="center"/>
              <w:textAlignment w:val="center"/>
              <w:rPr>
                <w:rFonts w:hint="eastAsia" w:ascii="宋体" w:hAnsi="宋体" w:cs="宋体"/>
                <w:color w:val="000000"/>
                <w:sz w:val="24"/>
                <w:szCs w:val="24"/>
              </w:rPr>
            </w:pPr>
            <w:r>
              <w:rPr>
                <w:rFonts w:hint="eastAsia" w:ascii="宋体" w:hAnsi="宋体" w:cs="宋体"/>
                <w:color w:val="000000"/>
                <w:sz w:val="24"/>
                <w:szCs w:val="24"/>
                <w:lang w:bidi="ar"/>
              </w:rPr>
              <w:t>台</w:t>
            </w:r>
          </w:p>
        </w:tc>
      </w:tr>
      <w:tr w14:paraId="466FDB87">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nil"/>
              <w:right w:val="nil"/>
            </w:tcBorders>
            <w:tcMar>
              <w:top w:w="-1" w:type="dxa"/>
              <w:left w:w="-1" w:type="dxa"/>
              <w:bottom w:w="-1" w:type="dxa"/>
              <w:right w:w="-1" w:type="dxa"/>
            </w:tcMar>
            <w:vAlign w:val="center"/>
          </w:tcPr>
          <w:p w14:paraId="404F5E64">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4</w:t>
            </w:r>
          </w:p>
        </w:tc>
        <w:tc>
          <w:tcPr>
            <w:tcW w:w="1738" w:type="dxa"/>
            <w:tcBorders>
              <w:top w:val="single" w:color="auto" w:sz="4" w:space="0"/>
              <w:left w:val="single" w:color="auto" w:sz="4" w:space="0"/>
              <w:bottom w:val="nil"/>
              <w:right w:val="nil"/>
            </w:tcBorders>
            <w:tcMar>
              <w:top w:w="-1" w:type="dxa"/>
              <w:left w:w="-1" w:type="dxa"/>
              <w:bottom w:w="-1" w:type="dxa"/>
              <w:right w:w="-1" w:type="dxa"/>
            </w:tcMar>
            <w:vAlign w:val="center"/>
          </w:tcPr>
          <w:p w14:paraId="3FE4ECE2">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施工及材料费</w:t>
            </w:r>
          </w:p>
        </w:tc>
        <w:tc>
          <w:tcPr>
            <w:tcW w:w="4730" w:type="dxa"/>
            <w:tcBorders>
              <w:top w:val="single" w:color="auto" w:sz="4" w:space="0"/>
              <w:left w:val="single" w:color="auto" w:sz="4" w:space="0"/>
              <w:bottom w:val="nil"/>
              <w:right w:val="nil"/>
            </w:tcBorders>
            <w:tcMar>
              <w:top w:w="-1" w:type="dxa"/>
              <w:left w:w="-1" w:type="dxa"/>
              <w:bottom w:w="-1" w:type="dxa"/>
              <w:right w:w="-1" w:type="dxa"/>
            </w:tcMar>
            <w:vAlign w:val="center"/>
          </w:tcPr>
          <w:p w14:paraId="4C6069AD">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合同设备之间所需以太网线、跳线的铺设，端接，标识，调试；</w:t>
            </w:r>
            <w:r>
              <w:rPr>
                <w:rFonts w:hint="eastAsia" w:ascii="宋体" w:hAnsi="宋体" w:cs="宋体"/>
                <w:color w:val="000000"/>
                <w:sz w:val="24"/>
                <w:szCs w:val="24"/>
              </w:rPr>
              <w:br w:type="textWrapping"/>
            </w:r>
            <w:r>
              <w:rPr>
                <w:rFonts w:hint="eastAsia" w:ascii="宋体" w:hAnsi="宋体" w:cs="宋体"/>
                <w:color w:val="000000"/>
                <w:sz w:val="24"/>
                <w:szCs w:val="24"/>
              </w:rPr>
              <w:t>合同内集成设备之间所需光纤，理线器、扎线等辅助材料；</w:t>
            </w:r>
            <w:r>
              <w:rPr>
                <w:rFonts w:hint="eastAsia" w:ascii="宋体" w:hAnsi="宋体" w:cs="宋体"/>
                <w:color w:val="000000"/>
                <w:sz w:val="24"/>
                <w:szCs w:val="24"/>
              </w:rPr>
              <w:br w:type="textWrapping"/>
            </w:r>
            <w:r>
              <w:rPr>
                <w:rFonts w:hint="eastAsia" w:ascii="宋体" w:hAnsi="宋体" w:cs="宋体"/>
                <w:color w:val="000000"/>
                <w:sz w:val="24"/>
                <w:szCs w:val="24"/>
              </w:rPr>
              <w:t>-4视频线3箱（200米/箱），-5视频线两箱（400米/箱），-4视频头2盒（100个/盒），六类网线3箱</w:t>
            </w:r>
          </w:p>
        </w:tc>
        <w:tc>
          <w:tcPr>
            <w:tcW w:w="742" w:type="dxa"/>
            <w:tcBorders>
              <w:top w:val="single" w:color="auto" w:sz="4" w:space="0"/>
              <w:left w:val="single" w:color="auto" w:sz="4" w:space="0"/>
              <w:bottom w:val="nil"/>
              <w:right w:val="nil"/>
            </w:tcBorders>
            <w:tcMar>
              <w:top w:w="-1" w:type="dxa"/>
              <w:left w:w="-1" w:type="dxa"/>
              <w:bottom w:w="-1" w:type="dxa"/>
              <w:right w:w="-1" w:type="dxa"/>
            </w:tcMar>
            <w:vAlign w:val="center"/>
          </w:tcPr>
          <w:p w14:paraId="29C2E7F1">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w:t>
            </w:r>
          </w:p>
        </w:tc>
        <w:tc>
          <w:tcPr>
            <w:tcW w:w="742"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3548D714">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批</w:t>
            </w:r>
          </w:p>
        </w:tc>
      </w:tr>
      <w:tr w14:paraId="26889C39">
        <w:tblPrEx>
          <w:tblCellMar>
            <w:top w:w="0" w:type="dxa"/>
            <w:left w:w="108" w:type="dxa"/>
            <w:bottom w:w="0" w:type="dxa"/>
            <w:right w:w="108" w:type="dxa"/>
          </w:tblCellMar>
        </w:tblPrEx>
        <w:trPr>
          <w:jc w:val="center"/>
        </w:trPr>
        <w:tc>
          <w:tcPr>
            <w:tcW w:w="570" w:type="dxa"/>
            <w:tcBorders>
              <w:top w:val="single" w:color="auto" w:sz="4" w:space="0"/>
              <w:left w:val="single" w:color="auto" w:sz="12" w:space="0"/>
              <w:bottom w:val="single" w:color="auto" w:sz="12" w:space="0"/>
              <w:right w:val="nil"/>
            </w:tcBorders>
            <w:tcMar>
              <w:top w:w="-1" w:type="dxa"/>
              <w:left w:w="-1" w:type="dxa"/>
              <w:bottom w:w="-1" w:type="dxa"/>
              <w:right w:w="-1" w:type="dxa"/>
            </w:tcMar>
            <w:vAlign w:val="center"/>
          </w:tcPr>
          <w:p w14:paraId="4C45ABE6">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5</w:t>
            </w:r>
          </w:p>
        </w:tc>
        <w:tc>
          <w:tcPr>
            <w:tcW w:w="1738" w:type="dxa"/>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27E078F0">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集成服务</w:t>
            </w:r>
          </w:p>
        </w:tc>
        <w:tc>
          <w:tcPr>
            <w:tcW w:w="4730" w:type="dxa"/>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698C559E">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实施计划交流服务，进场前准备工作服务，现场系统搭建服务，现场软件部署服务，现场培训服务，现场验收服务，</w:t>
            </w:r>
          </w:p>
        </w:tc>
        <w:tc>
          <w:tcPr>
            <w:tcW w:w="742" w:type="dxa"/>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47BD84B6">
            <w:pPr>
              <w:widowControl/>
              <w:snapToGrid w:val="0"/>
              <w:jc w:val="left"/>
              <w:rPr>
                <w:rFonts w:hint="eastAsia" w:ascii="宋体" w:hAnsi="宋体" w:cs="宋体"/>
                <w:color w:val="000000"/>
                <w:sz w:val="24"/>
                <w:szCs w:val="24"/>
              </w:rPr>
            </w:pPr>
            <w:r>
              <w:rPr>
                <w:rFonts w:hint="eastAsia" w:ascii="宋体" w:hAnsi="宋体" w:cs="宋体"/>
                <w:color w:val="000000"/>
                <w:sz w:val="24"/>
                <w:szCs w:val="24"/>
              </w:rPr>
              <w:t>1</w:t>
            </w:r>
          </w:p>
        </w:tc>
        <w:tc>
          <w:tcPr>
            <w:tcW w:w="742" w:type="dxa"/>
            <w:tcBorders>
              <w:top w:val="single" w:color="auto" w:sz="4" w:space="0"/>
              <w:left w:val="single" w:color="auto" w:sz="4" w:space="0"/>
              <w:bottom w:val="single" w:color="auto" w:sz="12" w:space="0"/>
              <w:right w:val="single" w:color="auto" w:sz="12" w:space="0"/>
            </w:tcBorders>
            <w:tcMar>
              <w:top w:w="-1" w:type="dxa"/>
              <w:left w:w="-1" w:type="dxa"/>
              <w:bottom w:w="-1" w:type="dxa"/>
              <w:right w:w="-1" w:type="dxa"/>
            </w:tcMar>
            <w:vAlign w:val="center"/>
          </w:tcPr>
          <w:p w14:paraId="4C990CB0">
            <w:pPr>
              <w:widowControl/>
              <w:snapToGrid w:val="0"/>
              <w:jc w:val="center"/>
              <w:rPr>
                <w:rFonts w:hint="eastAsia" w:ascii="宋体" w:hAnsi="宋体" w:cs="宋体"/>
                <w:color w:val="000000"/>
                <w:sz w:val="24"/>
                <w:szCs w:val="24"/>
              </w:rPr>
            </w:pPr>
            <w:r>
              <w:rPr>
                <w:rFonts w:hint="eastAsia" w:ascii="宋体" w:hAnsi="宋体" w:cs="宋体"/>
                <w:color w:val="000000"/>
                <w:sz w:val="24"/>
                <w:szCs w:val="24"/>
              </w:rPr>
              <w:t>项</w:t>
            </w:r>
          </w:p>
        </w:tc>
      </w:tr>
    </w:tbl>
    <w:p w14:paraId="4FC74916">
      <w:pPr>
        <w:spacing w:line="360" w:lineRule="auto"/>
        <w:ind w:firstLine="480" w:firstLineChars="200"/>
        <w:rPr>
          <w:rFonts w:hint="eastAsia" w:ascii="宋体" w:hAnsi="宋体" w:cs="宋体"/>
          <w:color w:val="000000"/>
          <w:kern w:val="2"/>
          <w:sz w:val="24"/>
          <w:szCs w:val="24"/>
        </w:rPr>
      </w:pPr>
    </w:p>
    <w:p w14:paraId="22DBFF29">
      <w:pPr>
        <w:spacing w:line="360" w:lineRule="auto"/>
        <w:ind w:firstLine="480" w:firstLineChars="200"/>
        <w:rPr>
          <w:rFonts w:hint="eastAsia" w:ascii="宋体" w:hAnsi="宋体" w:cs="宋体"/>
          <w:color w:val="000000"/>
          <w:kern w:val="2"/>
          <w:sz w:val="24"/>
          <w:szCs w:val="24"/>
        </w:rPr>
      </w:pPr>
    </w:p>
    <w:p w14:paraId="40FC5863">
      <w:pPr>
        <w:pStyle w:val="19"/>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sz w:val="24"/>
          <w:szCs w:val="28"/>
        </w:rPr>
        <w:t>七、落实商品包装、快递包装政府采购需求标准。</w:t>
      </w:r>
    </w:p>
    <w:p w14:paraId="2CC79692">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供应商所投产品需进行商品包装和快递包装的，应不低于《关于印发〈商品包装政府采购需求标准（试行）〉、〈快递包装政府采购需求标准（试行）〉的通知》（财办库〔2020〕123 号）文件规定的参考标准。 </w:t>
      </w:r>
    </w:p>
    <w:p w14:paraId="47CE755B">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在履约验收时按照本条款执行，违反本约定的对照合同违约条款追究违约责任。供应商一旦参与本项目投标，即完全响应本条款要求。</w:t>
      </w:r>
      <w:bookmarkStart w:id="204" w:name="_Toc22759"/>
      <w:bookmarkStart w:id="205" w:name="_Toc26589"/>
      <w:bookmarkStart w:id="206" w:name="_Toc7525"/>
      <w:bookmarkStart w:id="207" w:name="_Toc13226"/>
    </w:p>
    <w:p w14:paraId="6C2B5F90">
      <w:pPr>
        <w:pStyle w:val="19"/>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sz w:val="24"/>
          <w:szCs w:val="28"/>
        </w:rPr>
        <w:t>八、落实节能、环保产品政策</w:t>
      </w:r>
      <w:bookmarkEnd w:id="204"/>
      <w:bookmarkEnd w:id="205"/>
      <w:bookmarkEnd w:id="206"/>
      <w:bookmarkEnd w:id="207"/>
    </w:p>
    <w:p w14:paraId="2E02C42C">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对照财库〔2019〕9 号、财库〔2019〕19 号文件规定，供应商所投产品属于强制采购产品的，应提供国家市场监督管理局确定的列入“参与实施政府采购节能产品认证机构名录 ”内的认证机构出具的、有效期内的该产品的节能产品认证证书电子件，不满足以上要求的按无效标处理。《节能产品政府采购品目清单》、《环境标志产品政府采购品目清单》以“中国政府采购网”（http://www.ccgp.gov.cn）公告的时间、内容为准。</w:t>
      </w:r>
      <w:bookmarkStart w:id="208" w:name="_Toc2745"/>
      <w:bookmarkStart w:id="209" w:name="_Toc29050"/>
    </w:p>
    <w:p w14:paraId="66C566CA">
      <w:pPr>
        <w:pStyle w:val="19"/>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sz w:val="24"/>
          <w:szCs w:val="28"/>
        </w:rPr>
        <w:t>九、落实绿色数据中心政府采购需求标准：</w:t>
      </w:r>
      <w:bookmarkEnd w:id="208"/>
      <w:bookmarkEnd w:id="209"/>
    </w:p>
    <w:p w14:paraId="03BFA16D">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绿色数据中心需执行《财政部生态环境部工业和信息化部关于印发《绿色数据中心政府采购需求标准（试行）》的通知》（财库〔2023〕7 号）的要求。在履约验收时按照本条款执行，违反本约定的对照合同违约条款追究违约责任。供应商在投标文件中出具响应承诺函，格式自拟。</w:t>
      </w:r>
      <w:bookmarkStart w:id="210" w:name="_Toc25099"/>
      <w:bookmarkStart w:id="211" w:name="_Toc21017"/>
    </w:p>
    <w:p w14:paraId="5E462038">
      <w:pPr>
        <w:pStyle w:val="19"/>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sz w:val="24"/>
          <w:szCs w:val="28"/>
        </w:rPr>
        <w:t>十、报价要求</w:t>
      </w:r>
      <w:bookmarkEnd w:id="210"/>
      <w:bookmarkEnd w:id="211"/>
    </w:p>
    <w:p w14:paraId="555A50EF">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报价要求：本项目对任何有选择的报价将不予接受，只允许有一个报价。报价内容包括:服务本身价格、设备、配件、辅材、运输、安装、装卸、免费维保、调试、人工、产品损耗、售后服务、税金等及货物交付使用过程中涉及的其他一切费用。 </w:t>
      </w:r>
    </w:p>
    <w:p w14:paraId="6802D15E">
      <w:pPr>
        <w:pStyle w:val="19"/>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sz w:val="24"/>
          <w:szCs w:val="28"/>
        </w:rPr>
        <w:t>十一、验收要求</w:t>
      </w:r>
    </w:p>
    <w:p w14:paraId="52ADA3E7">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甲方依法组织履约验收工作。</w:t>
      </w:r>
    </w:p>
    <w:p w14:paraId="08D9679B">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1、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D337DF2">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2、对于实际使用人和甲方分离的项目，甲方邀请实际使用人参与验收，实际使用人意见决定验收结果。</w:t>
      </w:r>
    </w:p>
    <w:p w14:paraId="1A7907C3">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3、如有必要，甲方邀请参加本项目的其他投标人或第三方专业机构及专家参与验收，相关意见将作为验收书的参考资料。</w:t>
      </w:r>
    </w:p>
    <w:p w14:paraId="0BA15AA3">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BE35F82">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5、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77DE9AA">
      <w:pPr>
        <w:pStyle w:val="19"/>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sz w:val="24"/>
          <w:szCs w:val="28"/>
        </w:rPr>
        <w:t>十二、验收标准：</w:t>
      </w:r>
    </w:p>
    <w:p w14:paraId="59F59C8E">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1、由中标供应商负责提供按国家相关标准进行货物包装，货物的包装均应有良好的防湿、防锈、防潮、防雨、防腐及防碰撞的措施，并适宜当地的气候条件。凡由于包装不良造成的损失和由此产生的费用均由中标人承担。 </w:t>
      </w:r>
    </w:p>
    <w:p w14:paraId="64D28EBF">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2、所有货物在开箱检验时必须完好，无破损，配置与装箱单相符。货物外观清洁，标记编号等字体清晰、明确。 </w:t>
      </w:r>
    </w:p>
    <w:p w14:paraId="60AEF57B">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3、验收的标准按照招标文件及甲方（采购人）对项目相关标准实施，须服从甲方（采购人）安排要求。 </w:t>
      </w:r>
    </w:p>
    <w:p w14:paraId="1AD09054">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4、验收内容由中标供应商提交具体的验收计划、测试的内容和方法，并得到采购人（采购人）的认可，方可进行验收测试。 </w:t>
      </w:r>
    </w:p>
    <w:p w14:paraId="6746452A">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5、验收测试的过程和结果必须详细记录，测试中如发现设备性能指标或功能上不符合招标文件和合同要求、及国家关于此类产品质量规范要求时，将被看作性能不合格，用户有权拒收并要求赔偿。 </w:t>
      </w:r>
    </w:p>
    <w:p w14:paraId="74496D22">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6、技术文件和资料：所有设备必须提供培训资料及电子版使用说明书、操作手册、 维护手册、合格证明书、装箱单、保修单等技术文件和资料。</w:t>
      </w:r>
    </w:p>
    <w:p w14:paraId="02DF2CEF">
      <w:pPr>
        <w:pStyle w:val="19"/>
        <w:spacing w:line="360" w:lineRule="auto"/>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 7、全面服从并遵守国家关于直播设备的质量管理和验收管理要求。如有不合规定行为，自愿承担并接受所有与此关联的损失及处罚。（含因此给招标人带来的损失及影响）</w:t>
      </w:r>
    </w:p>
    <w:p w14:paraId="4DCE51B6">
      <w:pPr>
        <w:pStyle w:val="19"/>
      </w:pPr>
    </w:p>
    <w:p w14:paraId="0437C83B">
      <w:pPr>
        <w:pStyle w:val="19"/>
      </w:pPr>
    </w:p>
    <w:p w14:paraId="1499DD48">
      <w:pPr>
        <w:pStyle w:val="19"/>
      </w:pPr>
    </w:p>
    <w:p w14:paraId="5A76ECC7">
      <w:pPr>
        <w:pStyle w:val="19"/>
      </w:pPr>
    </w:p>
    <w:p w14:paraId="1762BF53">
      <w:pPr>
        <w:pStyle w:val="19"/>
      </w:pPr>
    </w:p>
    <w:p w14:paraId="63F6831B">
      <w:pPr>
        <w:pStyle w:val="19"/>
      </w:pPr>
    </w:p>
    <w:p w14:paraId="41325B49">
      <w:pPr>
        <w:pStyle w:val="19"/>
      </w:pPr>
    </w:p>
    <w:p w14:paraId="11241A6E">
      <w:pPr>
        <w:pStyle w:val="19"/>
      </w:pPr>
    </w:p>
    <w:p w14:paraId="296638EB">
      <w:pPr>
        <w:pStyle w:val="19"/>
      </w:pPr>
    </w:p>
    <w:p w14:paraId="6FAEF5EF">
      <w:pPr>
        <w:pStyle w:val="19"/>
      </w:pPr>
    </w:p>
    <w:p w14:paraId="051552DD">
      <w:pPr>
        <w:pStyle w:val="19"/>
      </w:pPr>
    </w:p>
    <w:p w14:paraId="35A93611">
      <w:pPr>
        <w:pStyle w:val="19"/>
      </w:pPr>
    </w:p>
    <w:p w14:paraId="2CD2610E">
      <w:pPr>
        <w:pStyle w:val="19"/>
      </w:pPr>
    </w:p>
    <w:p w14:paraId="57E04262">
      <w:pPr>
        <w:pStyle w:val="19"/>
      </w:pPr>
    </w:p>
    <w:p w14:paraId="7B15A60D">
      <w:pPr>
        <w:pStyle w:val="19"/>
      </w:pPr>
    </w:p>
    <w:p w14:paraId="1A0FDF72">
      <w:pPr>
        <w:pStyle w:val="19"/>
      </w:pPr>
    </w:p>
    <w:p w14:paraId="5FCE5404">
      <w:pPr>
        <w:pStyle w:val="19"/>
      </w:pPr>
    </w:p>
    <w:p w14:paraId="299BDE20">
      <w:pPr>
        <w:pStyle w:val="19"/>
      </w:pPr>
    </w:p>
    <w:p w14:paraId="44FE617F">
      <w:pPr>
        <w:pStyle w:val="19"/>
      </w:pPr>
    </w:p>
    <w:p w14:paraId="3D424A20">
      <w:pPr>
        <w:pStyle w:val="19"/>
      </w:pPr>
    </w:p>
    <w:p w14:paraId="1D70D338">
      <w:pPr>
        <w:pStyle w:val="19"/>
      </w:pPr>
    </w:p>
    <w:p w14:paraId="120B73EC">
      <w:pPr>
        <w:pStyle w:val="19"/>
      </w:pPr>
    </w:p>
    <w:p w14:paraId="70F1536C">
      <w:pPr>
        <w:pStyle w:val="19"/>
      </w:pPr>
    </w:p>
    <w:p w14:paraId="19E6BF8E">
      <w:pPr>
        <w:pStyle w:val="19"/>
      </w:pPr>
    </w:p>
    <w:p w14:paraId="18E429F3">
      <w:pPr>
        <w:pStyle w:val="19"/>
      </w:pPr>
    </w:p>
    <w:p w14:paraId="7E9B5688">
      <w:pPr>
        <w:pStyle w:val="19"/>
      </w:pPr>
    </w:p>
    <w:p w14:paraId="5DE2360B">
      <w:pPr>
        <w:pStyle w:val="19"/>
      </w:pPr>
    </w:p>
    <w:p w14:paraId="2B63D934">
      <w:pPr>
        <w:pStyle w:val="19"/>
      </w:pPr>
    </w:p>
    <w:p w14:paraId="088EF2F7">
      <w:pPr>
        <w:pStyle w:val="19"/>
      </w:pPr>
    </w:p>
    <w:p w14:paraId="11A41BA6">
      <w:pPr>
        <w:keepNext/>
        <w:jc w:val="center"/>
        <w:outlineLvl w:val="0"/>
        <w:rPr>
          <w:rFonts w:eastAsia="黑体"/>
          <w:bCs/>
          <w:kern w:val="2"/>
          <w:sz w:val="44"/>
          <w:szCs w:val="28"/>
        </w:rPr>
      </w:pPr>
      <w:r>
        <w:rPr>
          <w:rFonts w:hint="eastAsia" w:eastAsia="黑体"/>
          <w:bCs/>
          <w:kern w:val="2"/>
          <w:sz w:val="44"/>
          <w:szCs w:val="28"/>
        </w:rPr>
        <w:t xml:space="preserve">第五章  </w:t>
      </w:r>
      <w:r>
        <w:rPr>
          <w:rFonts w:hint="eastAsia" w:eastAsia="黑体"/>
          <w:b/>
          <w:bCs/>
          <w:kern w:val="2"/>
          <w:sz w:val="44"/>
          <w:szCs w:val="28"/>
        </w:rPr>
        <w:t>评标方法与评标标准</w:t>
      </w:r>
    </w:p>
    <w:p w14:paraId="27D91DFE">
      <w:pPr>
        <w:spacing w:line="500" w:lineRule="exact"/>
        <w:rPr>
          <w:rFonts w:eastAsia="仿宋_GB2312"/>
          <w:kern w:val="2"/>
          <w:sz w:val="24"/>
        </w:rPr>
      </w:pPr>
      <w:r>
        <w:rPr>
          <w:rFonts w:hint="eastAsia" w:eastAsia="仿宋_GB2312"/>
          <w:b/>
          <w:kern w:val="2"/>
          <w:sz w:val="28"/>
          <w:szCs w:val="22"/>
          <w:highlight w:val="white"/>
        </w:rPr>
        <w:t>一、资格审查。</w:t>
      </w:r>
      <w:r>
        <w:rPr>
          <w:rFonts w:hint="eastAsia"/>
          <w:kern w:val="2"/>
          <w:sz w:val="24"/>
          <w:highlight w:val="white"/>
        </w:rPr>
        <w:t>资格审查人员按照下列指标对各投标人的资格进行审查，未通过审查的为无效标，不参与评标。</w:t>
      </w:r>
    </w:p>
    <w:tbl>
      <w:tblPr>
        <w:tblStyle w:val="11"/>
        <w:tblW w:w="5000"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138"/>
        <w:gridCol w:w="4138"/>
      </w:tblGrid>
      <w:tr w14:paraId="587B25E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single" w:color="auto" w:sz="6" w:space="0"/>
              <w:left w:val="single" w:color="auto" w:sz="6" w:space="0"/>
              <w:bottom w:val="single" w:color="auto" w:sz="6" w:space="0"/>
              <w:right w:val="single" w:color="auto" w:sz="6" w:space="0"/>
            </w:tcBorders>
            <w:vAlign w:val="center"/>
          </w:tcPr>
          <w:p w14:paraId="7304E2C6">
            <w:pPr>
              <w:jc w:val="center"/>
              <w:rPr>
                <w:kern w:val="2"/>
                <w:szCs w:val="22"/>
              </w:rPr>
            </w:pPr>
            <w:r>
              <w:rPr>
                <w:kern w:val="2"/>
                <w:szCs w:val="22"/>
              </w:rPr>
              <w:t>资格审查因素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35404ADD">
            <w:pPr>
              <w:jc w:val="center"/>
              <w:rPr>
                <w:kern w:val="2"/>
                <w:szCs w:val="22"/>
              </w:rPr>
            </w:pPr>
            <w:r>
              <w:rPr>
                <w:kern w:val="2"/>
                <w:szCs w:val="22"/>
              </w:rPr>
              <w:t>审查标准</w:t>
            </w:r>
          </w:p>
        </w:tc>
      </w:tr>
      <w:tr w14:paraId="14067B2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0AD0E8FD">
            <w:pPr>
              <w:jc w:val="left"/>
              <w:rPr>
                <w:kern w:val="2"/>
                <w:szCs w:val="22"/>
              </w:rPr>
            </w:pPr>
            <w:r>
              <w:rPr>
                <w:kern w:val="2"/>
                <w:szCs w:val="22"/>
              </w:rPr>
              <w:t>投标声明及承诺函</w:t>
            </w:r>
          </w:p>
        </w:tc>
        <w:tc>
          <w:tcPr>
            <w:tcW w:w="0" w:type="auto"/>
            <w:tcBorders>
              <w:top w:val="single" w:color="auto" w:sz="6" w:space="0"/>
              <w:left w:val="single" w:color="auto" w:sz="6" w:space="0"/>
              <w:bottom w:val="single" w:color="auto" w:sz="6" w:space="0"/>
              <w:right w:val="single" w:color="auto" w:sz="6" w:space="0"/>
            </w:tcBorders>
            <w:vAlign w:val="center"/>
          </w:tcPr>
          <w:p w14:paraId="14299CDB">
            <w:pPr>
              <w:jc w:val="left"/>
              <w:rPr>
                <w:kern w:val="2"/>
                <w:szCs w:val="22"/>
              </w:rPr>
            </w:pPr>
            <w:r>
              <w:rPr>
                <w:kern w:val="2"/>
                <w:szCs w:val="22"/>
              </w:rPr>
              <w:t>符合招标文件要求</w:t>
            </w:r>
          </w:p>
        </w:tc>
      </w:tr>
      <w:tr w14:paraId="4E748D2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5BACEC9A">
            <w:pPr>
              <w:jc w:val="left"/>
              <w:rPr>
                <w:kern w:val="2"/>
                <w:szCs w:val="22"/>
              </w:rPr>
            </w:pPr>
            <w:r>
              <w:rPr>
                <w:kern w:val="2"/>
                <w:szCs w:val="22"/>
              </w:rPr>
              <w:t>信用信息</w:t>
            </w:r>
          </w:p>
        </w:tc>
        <w:tc>
          <w:tcPr>
            <w:tcW w:w="0" w:type="auto"/>
            <w:tcBorders>
              <w:top w:val="single" w:color="auto" w:sz="6" w:space="0"/>
              <w:left w:val="single" w:color="auto" w:sz="6" w:space="0"/>
              <w:bottom w:val="single" w:color="auto" w:sz="6" w:space="0"/>
              <w:right w:val="single" w:color="auto" w:sz="6" w:space="0"/>
            </w:tcBorders>
            <w:vAlign w:val="center"/>
          </w:tcPr>
          <w:p w14:paraId="22B2A1F6">
            <w:pPr>
              <w:jc w:val="left"/>
              <w:rPr>
                <w:kern w:val="2"/>
                <w:szCs w:val="22"/>
              </w:rPr>
            </w:pPr>
            <w:r>
              <w:rPr>
                <w:kern w:val="2"/>
                <w:szCs w:val="22"/>
              </w:rPr>
              <w:t>符合招标文件要求</w:t>
            </w:r>
          </w:p>
        </w:tc>
      </w:tr>
      <w:tr w14:paraId="639648A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4D60AACC">
            <w:pPr>
              <w:jc w:val="left"/>
              <w:rPr>
                <w:kern w:val="2"/>
                <w:szCs w:val="22"/>
              </w:rPr>
            </w:pPr>
            <w:r>
              <w:rPr>
                <w:kern w:val="2"/>
                <w:szCs w:val="22"/>
              </w:rPr>
              <w:t>联合体投标</w:t>
            </w:r>
          </w:p>
        </w:tc>
        <w:tc>
          <w:tcPr>
            <w:tcW w:w="0" w:type="auto"/>
            <w:tcBorders>
              <w:top w:val="single" w:color="auto" w:sz="6" w:space="0"/>
              <w:left w:val="single" w:color="auto" w:sz="6" w:space="0"/>
              <w:bottom w:val="single" w:color="auto" w:sz="6" w:space="0"/>
              <w:right w:val="single" w:color="auto" w:sz="6" w:space="0"/>
            </w:tcBorders>
            <w:vAlign w:val="center"/>
          </w:tcPr>
          <w:p w14:paraId="57E37B93">
            <w:pPr>
              <w:jc w:val="left"/>
              <w:rPr>
                <w:kern w:val="2"/>
                <w:szCs w:val="22"/>
              </w:rPr>
            </w:pPr>
            <w:r>
              <w:rPr>
                <w:kern w:val="2"/>
                <w:szCs w:val="22"/>
              </w:rPr>
              <w:t>不接受联合体投标</w:t>
            </w:r>
          </w:p>
        </w:tc>
      </w:tr>
    </w:tbl>
    <w:p w14:paraId="300C60FA">
      <w:pPr>
        <w:spacing w:line="500" w:lineRule="exact"/>
        <w:rPr>
          <w:rFonts w:eastAsia="仿宋_GB2312"/>
          <w:kern w:val="2"/>
          <w:sz w:val="24"/>
        </w:rPr>
      </w:pPr>
      <w:r>
        <w:rPr>
          <w:rFonts w:hint="eastAsia" w:eastAsia="仿宋_GB2312"/>
          <w:b/>
          <w:kern w:val="2"/>
          <w:sz w:val="28"/>
          <w:szCs w:val="22"/>
          <w:highlight w:val="white"/>
        </w:rPr>
        <w:t>二、符合性审查。</w:t>
      </w:r>
      <w:r>
        <w:rPr>
          <w:rFonts w:hint="eastAsia"/>
          <w:kern w:val="2"/>
          <w:sz w:val="24"/>
          <w:highlight w:val="white"/>
        </w:rPr>
        <w:t>评标委员会首先按照下列指标对各投标人的投标文件进行符合性审查，未通过审查的为无效标，不再参与评审。</w:t>
      </w:r>
    </w:p>
    <w:tbl>
      <w:tblPr>
        <w:tblStyle w:val="11"/>
        <w:tblW w:w="5008"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143"/>
        <w:gridCol w:w="4146"/>
      </w:tblGrid>
      <w:tr w14:paraId="69BE6E6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vAlign w:val="center"/>
          </w:tcPr>
          <w:p w14:paraId="34EF9FBE">
            <w:pPr>
              <w:jc w:val="center"/>
              <w:rPr>
                <w:kern w:val="2"/>
                <w:szCs w:val="22"/>
              </w:rPr>
            </w:pPr>
            <w:r>
              <w:rPr>
                <w:kern w:val="2"/>
                <w:szCs w:val="22"/>
              </w:rPr>
              <w:t>符合性审查因素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76D0595B">
            <w:pPr>
              <w:jc w:val="center"/>
              <w:rPr>
                <w:kern w:val="2"/>
                <w:szCs w:val="22"/>
              </w:rPr>
            </w:pPr>
            <w:r>
              <w:rPr>
                <w:kern w:val="2"/>
                <w:szCs w:val="22"/>
              </w:rPr>
              <w:t>审查标准</w:t>
            </w:r>
          </w:p>
        </w:tc>
      </w:tr>
      <w:tr w14:paraId="2FF4B58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40E25250">
            <w:pPr>
              <w:jc w:val="left"/>
              <w:rPr>
                <w:kern w:val="2"/>
                <w:szCs w:val="22"/>
              </w:rPr>
            </w:pPr>
            <w:r>
              <w:rPr>
                <w:kern w:val="2"/>
                <w:szCs w:val="22"/>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5983B1BF">
            <w:pPr>
              <w:jc w:val="left"/>
              <w:rPr>
                <w:kern w:val="2"/>
                <w:szCs w:val="22"/>
              </w:rPr>
            </w:pPr>
            <w:r>
              <w:rPr>
                <w:kern w:val="2"/>
                <w:szCs w:val="22"/>
              </w:rPr>
              <w:t>符合招标文件要求</w:t>
            </w:r>
          </w:p>
        </w:tc>
      </w:tr>
      <w:tr w14:paraId="7384165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46D15530">
            <w:pPr>
              <w:jc w:val="left"/>
              <w:rPr>
                <w:kern w:val="2"/>
                <w:szCs w:val="22"/>
              </w:rPr>
            </w:pPr>
            <w:r>
              <w:rPr>
                <w:kern w:val="2"/>
                <w:szCs w:val="22"/>
              </w:rPr>
              <w:t>开标一览表及投标报价</w:t>
            </w:r>
          </w:p>
        </w:tc>
        <w:tc>
          <w:tcPr>
            <w:tcW w:w="0" w:type="auto"/>
            <w:tcBorders>
              <w:top w:val="single" w:color="auto" w:sz="6" w:space="0"/>
              <w:left w:val="single" w:color="auto" w:sz="6" w:space="0"/>
              <w:bottom w:val="single" w:color="auto" w:sz="6" w:space="0"/>
              <w:right w:val="single" w:color="auto" w:sz="6" w:space="0"/>
            </w:tcBorders>
            <w:vAlign w:val="center"/>
          </w:tcPr>
          <w:p w14:paraId="002119D2">
            <w:pPr>
              <w:jc w:val="left"/>
              <w:rPr>
                <w:kern w:val="2"/>
                <w:szCs w:val="22"/>
              </w:rPr>
            </w:pPr>
            <w:r>
              <w:rPr>
                <w:kern w:val="2"/>
                <w:szCs w:val="22"/>
              </w:rPr>
              <w:t>格式、填写要求符合招标文件规定</w:t>
            </w:r>
          </w:p>
        </w:tc>
      </w:tr>
      <w:tr w14:paraId="36687B2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599D0E9">
            <w:pPr>
              <w:jc w:val="left"/>
              <w:rPr>
                <w:kern w:val="2"/>
                <w:szCs w:val="22"/>
              </w:rPr>
            </w:pPr>
            <w:r>
              <w:rPr>
                <w:kern w:val="2"/>
                <w:szCs w:val="22"/>
              </w:rPr>
              <w:t>技术标准和要求</w:t>
            </w:r>
          </w:p>
        </w:tc>
        <w:tc>
          <w:tcPr>
            <w:tcW w:w="0" w:type="auto"/>
            <w:tcBorders>
              <w:top w:val="single" w:color="auto" w:sz="6" w:space="0"/>
              <w:left w:val="single" w:color="auto" w:sz="6" w:space="0"/>
              <w:bottom w:val="single" w:color="auto" w:sz="6" w:space="0"/>
              <w:right w:val="single" w:color="auto" w:sz="6" w:space="0"/>
            </w:tcBorders>
            <w:vAlign w:val="center"/>
          </w:tcPr>
          <w:p w14:paraId="22BB9D1A">
            <w:pPr>
              <w:jc w:val="left"/>
              <w:rPr>
                <w:kern w:val="2"/>
                <w:szCs w:val="22"/>
              </w:rPr>
            </w:pPr>
            <w:r>
              <w:rPr>
                <w:kern w:val="2"/>
                <w:szCs w:val="22"/>
              </w:rPr>
              <w:t>符合招标文件要求</w:t>
            </w:r>
          </w:p>
        </w:tc>
      </w:tr>
      <w:tr w14:paraId="2348724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E254FED">
            <w:pPr>
              <w:jc w:val="left"/>
              <w:rPr>
                <w:kern w:val="2"/>
                <w:szCs w:val="22"/>
              </w:rPr>
            </w:pPr>
            <w:r>
              <w:rPr>
                <w:kern w:val="2"/>
                <w:szCs w:val="22"/>
              </w:rPr>
              <w:t>其他</w:t>
            </w:r>
          </w:p>
        </w:tc>
        <w:tc>
          <w:tcPr>
            <w:tcW w:w="0" w:type="auto"/>
            <w:tcBorders>
              <w:top w:val="single" w:color="auto" w:sz="6" w:space="0"/>
              <w:left w:val="single" w:color="auto" w:sz="6" w:space="0"/>
              <w:bottom w:val="single" w:color="auto" w:sz="6" w:space="0"/>
              <w:right w:val="single" w:color="auto" w:sz="6" w:space="0"/>
            </w:tcBorders>
            <w:vAlign w:val="center"/>
          </w:tcPr>
          <w:p w14:paraId="55269420">
            <w:pPr>
              <w:jc w:val="left"/>
              <w:rPr>
                <w:kern w:val="2"/>
                <w:szCs w:val="22"/>
              </w:rPr>
            </w:pPr>
            <w:r>
              <w:rPr>
                <w:kern w:val="2"/>
                <w:szCs w:val="22"/>
              </w:rPr>
              <w:t>符合招标文件要求</w:t>
            </w:r>
          </w:p>
        </w:tc>
      </w:tr>
    </w:tbl>
    <w:p w14:paraId="48030520">
      <w:pPr>
        <w:spacing w:line="500" w:lineRule="exact"/>
        <w:rPr>
          <w:rFonts w:eastAsia="仿宋_GB2312"/>
          <w:b/>
          <w:kern w:val="2"/>
          <w:sz w:val="28"/>
          <w:szCs w:val="22"/>
          <w:highlight w:val="white"/>
        </w:rPr>
      </w:pPr>
      <w:r>
        <w:rPr>
          <w:rFonts w:hint="eastAsia" w:eastAsia="仿宋_GB2312"/>
          <w:b/>
          <w:kern w:val="2"/>
          <w:sz w:val="28"/>
          <w:szCs w:val="22"/>
          <w:highlight w:val="white"/>
        </w:rPr>
        <w:t>三、评分办法—综合评分法</w:t>
      </w:r>
    </w:p>
    <w:p w14:paraId="342B1ADB">
      <w:pPr>
        <w:spacing w:line="500" w:lineRule="exact"/>
        <w:ind w:firstLine="482" w:firstLineChars="200"/>
        <w:rPr>
          <w:kern w:val="2"/>
          <w:sz w:val="24"/>
          <w:highlight w:val="white"/>
        </w:rPr>
      </w:pPr>
      <w:r>
        <w:rPr>
          <w:rFonts w:hint="eastAsia" w:eastAsia="仿宋_GB2312"/>
          <w:b/>
          <w:kern w:val="2"/>
          <w:sz w:val="24"/>
          <w:highlight w:val="white"/>
        </w:rPr>
        <w:t>（一）评标办法：</w:t>
      </w:r>
      <w:r>
        <w:rPr>
          <w:rFonts w:hint="eastAsia"/>
          <w:kern w:val="2"/>
          <w:sz w:val="24"/>
          <w:highlight w:val="whit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55322BAB">
      <w:pPr>
        <w:spacing w:line="500" w:lineRule="exact"/>
        <w:rPr>
          <w:kern w:val="2"/>
          <w:sz w:val="24"/>
          <w:highlight w:val="white"/>
        </w:rPr>
      </w:pPr>
      <w:r>
        <w:rPr>
          <w:rFonts w:hint="eastAsia"/>
          <w:kern w:val="2"/>
          <w:sz w:val="24"/>
          <w:highlight w:val="white"/>
        </w:rPr>
        <w:t>评标委员会根据评审后投标人排序推荐中标候选人。投标文件满足招标文件全部实质性要求，且评审后排序第一的投标人为第一中标候选人，依次类推。</w:t>
      </w:r>
    </w:p>
    <w:p w14:paraId="6473E4BB">
      <w:pPr>
        <w:spacing w:line="500" w:lineRule="exact"/>
        <w:ind w:firstLine="480" w:firstLineChars="200"/>
        <w:rPr>
          <w:kern w:val="2"/>
          <w:sz w:val="24"/>
          <w:highlight w:val="white"/>
        </w:rPr>
      </w:pPr>
      <w:r>
        <w:rPr>
          <w:rFonts w:hint="eastAsia"/>
          <w:kern w:val="2"/>
          <w:sz w:val="24"/>
          <w:highlight w:val="white"/>
        </w:rPr>
        <w:t xml:space="preserve">综合评分保留至小数点后两位。 </w:t>
      </w:r>
    </w:p>
    <w:p w14:paraId="1437A5DC">
      <w:pPr>
        <w:spacing w:line="500" w:lineRule="exact"/>
        <w:ind w:firstLine="482" w:firstLineChars="200"/>
        <w:jc w:val="left"/>
        <w:rPr>
          <w:rFonts w:eastAsia="仿宋_GB2312"/>
          <w:kern w:val="2"/>
          <w:sz w:val="24"/>
        </w:rPr>
      </w:pPr>
      <w:r>
        <w:rPr>
          <w:rFonts w:hint="eastAsia" w:eastAsia="仿宋_GB2312"/>
          <w:b/>
          <w:kern w:val="2"/>
          <w:sz w:val="24"/>
          <w:highlight w:val="white"/>
        </w:rPr>
        <w:t>（二）详细评审。</w:t>
      </w:r>
      <w:r>
        <w:rPr>
          <w:rFonts w:hint="eastAsia"/>
          <w:kern w:val="2"/>
          <w:sz w:val="24"/>
          <w:highlight w:val="white"/>
        </w:rPr>
        <w:t>评标委员会按照招标文件规定的评分标准，对各投标文件进行详细评审打分。评标委员会组长对各评审专家的打分情况进行复核无误后汇总，形成评审报告。</w:t>
      </w:r>
    </w:p>
    <w:tbl>
      <w:tblPr>
        <w:tblStyle w:val="11"/>
        <w:tblW w:w="5067"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501"/>
        <w:gridCol w:w="1851"/>
        <w:gridCol w:w="909"/>
        <w:gridCol w:w="4126"/>
      </w:tblGrid>
      <w:tr w14:paraId="1B42319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98" w:type="pct"/>
            <w:gridSpan w:val="2"/>
            <w:tcBorders>
              <w:top w:val="single" w:color="auto" w:sz="6" w:space="0"/>
              <w:left w:val="single" w:color="auto" w:sz="6" w:space="0"/>
              <w:bottom w:val="single" w:color="auto" w:sz="6" w:space="0"/>
              <w:right w:val="single" w:color="auto" w:sz="6" w:space="0"/>
            </w:tcBorders>
            <w:vAlign w:val="center"/>
          </w:tcPr>
          <w:p w14:paraId="1A88176C">
            <w:pPr>
              <w:jc w:val="center"/>
              <w:rPr>
                <w:kern w:val="2"/>
                <w:szCs w:val="22"/>
              </w:rPr>
            </w:pPr>
            <w:r>
              <w:rPr>
                <w:kern w:val="2"/>
                <w:szCs w:val="22"/>
              </w:rPr>
              <w:t>评审因素</w:t>
            </w:r>
          </w:p>
        </w:tc>
        <w:tc>
          <w:tcPr>
            <w:tcW w:w="542" w:type="pct"/>
            <w:tcBorders>
              <w:top w:val="single" w:color="auto" w:sz="6" w:space="0"/>
              <w:left w:val="single" w:color="auto" w:sz="6" w:space="0"/>
              <w:bottom w:val="single" w:color="auto" w:sz="6" w:space="0"/>
              <w:right w:val="single" w:color="auto" w:sz="6" w:space="0"/>
            </w:tcBorders>
            <w:vAlign w:val="center"/>
          </w:tcPr>
          <w:p w14:paraId="6875A47A">
            <w:pPr>
              <w:jc w:val="center"/>
              <w:rPr>
                <w:kern w:val="2"/>
                <w:szCs w:val="22"/>
              </w:rPr>
            </w:pPr>
            <w:r>
              <w:rPr>
                <w:kern w:val="2"/>
                <w:szCs w:val="22"/>
              </w:rPr>
              <w:t>分数</w:t>
            </w:r>
          </w:p>
        </w:tc>
        <w:tc>
          <w:tcPr>
            <w:tcW w:w="2459" w:type="pct"/>
            <w:tcBorders>
              <w:top w:val="single" w:color="auto" w:sz="6" w:space="0"/>
              <w:left w:val="single" w:color="auto" w:sz="6" w:space="0"/>
              <w:bottom w:val="single" w:color="auto" w:sz="6" w:space="0"/>
              <w:right w:val="single" w:color="auto" w:sz="6" w:space="0"/>
            </w:tcBorders>
            <w:vAlign w:val="center"/>
          </w:tcPr>
          <w:p w14:paraId="6D139E15">
            <w:pPr>
              <w:jc w:val="center"/>
              <w:rPr>
                <w:kern w:val="2"/>
                <w:szCs w:val="22"/>
              </w:rPr>
            </w:pPr>
            <w:r>
              <w:rPr>
                <w:kern w:val="2"/>
                <w:szCs w:val="22"/>
              </w:rPr>
              <w:t>评审标准</w:t>
            </w:r>
          </w:p>
        </w:tc>
      </w:tr>
      <w:tr w14:paraId="27FAFEA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0FFE1A2A">
            <w:pPr>
              <w:jc w:val="left"/>
              <w:rPr>
                <w:kern w:val="2"/>
                <w:szCs w:val="22"/>
              </w:rPr>
            </w:pPr>
            <w:r>
              <w:rPr>
                <w:kern w:val="2"/>
                <w:szCs w:val="22"/>
              </w:rPr>
              <w:t>报价分</w:t>
            </w:r>
          </w:p>
        </w:tc>
        <w:tc>
          <w:tcPr>
            <w:tcW w:w="1102" w:type="pct"/>
            <w:tcBorders>
              <w:top w:val="single" w:color="auto" w:sz="6" w:space="0"/>
              <w:left w:val="single" w:color="auto" w:sz="6" w:space="0"/>
              <w:bottom w:val="single" w:color="auto" w:sz="6" w:space="0"/>
              <w:right w:val="single" w:color="auto" w:sz="6" w:space="0"/>
            </w:tcBorders>
            <w:vAlign w:val="center"/>
          </w:tcPr>
          <w:p w14:paraId="7CDC6985">
            <w:pPr>
              <w:jc w:val="left"/>
              <w:rPr>
                <w:kern w:val="2"/>
                <w:szCs w:val="22"/>
              </w:rPr>
            </w:pPr>
            <w:r>
              <w:rPr>
                <w:kern w:val="2"/>
                <w:szCs w:val="22"/>
              </w:rPr>
              <w:t>投标报价</w:t>
            </w:r>
          </w:p>
        </w:tc>
        <w:tc>
          <w:tcPr>
            <w:tcW w:w="542" w:type="pct"/>
            <w:tcBorders>
              <w:top w:val="single" w:color="auto" w:sz="6" w:space="0"/>
              <w:left w:val="single" w:color="auto" w:sz="6" w:space="0"/>
              <w:bottom w:val="single" w:color="auto" w:sz="6" w:space="0"/>
              <w:right w:val="single" w:color="auto" w:sz="6" w:space="0"/>
            </w:tcBorders>
            <w:vAlign w:val="center"/>
          </w:tcPr>
          <w:p w14:paraId="5B1C2F45">
            <w:pPr>
              <w:jc w:val="left"/>
              <w:rPr>
                <w:kern w:val="2"/>
                <w:szCs w:val="22"/>
              </w:rPr>
            </w:pPr>
            <w:r>
              <w:rPr>
                <w:kern w:val="2"/>
              </w:rPr>
              <w:t>30.00分</w:t>
            </w:r>
          </w:p>
        </w:tc>
        <w:tc>
          <w:tcPr>
            <w:tcW w:w="2459" w:type="pct"/>
            <w:tcBorders>
              <w:top w:val="single" w:color="auto" w:sz="6" w:space="0"/>
              <w:left w:val="single" w:color="auto" w:sz="6" w:space="0"/>
              <w:bottom w:val="single" w:color="auto" w:sz="6" w:space="0"/>
              <w:right w:val="single" w:color="auto" w:sz="6" w:space="0"/>
            </w:tcBorders>
            <w:vAlign w:val="center"/>
          </w:tcPr>
          <w:p w14:paraId="251CB11F">
            <w:pPr>
              <w:jc w:val="left"/>
              <w:rPr>
                <w:kern w:val="2"/>
                <w:szCs w:val="22"/>
              </w:rPr>
            </w:pPr>
            <w:r>
              <w:rPr>
                <w:kern w:val="2"/>
              </w:rPr>
              <w:t>采用低价优先法计算，即满足招标文件要求且投标价格最低的投标报价为评标基准价，其价格分为满分。其他投标人投标报价得分＝（评标基准价/投标报价）*30。符合条件的小</w:t>
            </w:r>
            <w:r>
              <w:rPr>
                <w:rFonts w:hint="eastAsia"/>
                <w:kern w:val="2"/>
              </w:rPr>
              <w:t>微</w:t>
            </w:r>
            <w:r>
              <w:rPr>
                <w:kern w:val="2"/>
              </w:rPr>
              <w:t>企业、监狱企业或残疾人福利性单位参与投标，对其产品的价格给予10%的扣除，用扣除后的价格参与评审。</w:t>
            </w:r>
          </w:p>
        </w:tc>
      </w:tr>
      <w:tr w14:paraId="402846C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41486901">
            <w:pPr>
              <w:jc w:val="left"/>
              <w:rPr>
                <w:kern w:val="2"/>
                <w:szCs w:val="22"/>
              </w:rPr>
            </w:pPr>
            <w:r>
              <w:rPr>
                <w:kern w:val="2"/>
                <w:szCs w:val="22"/>
              </w:rPr>
              <w:t>技术响应</w:t>
            </w:r>
          </w:p>
        </w:tc>
        <w:tc>
          <w:tcPr>
            <w:tcW w:w="1102" w:type="pct"/>
            <w:tcBorders>
              <w:top w:val="single" w:color="auto" w:sz="6" w:space="0"/>
              <w:left w:val="single" w:color="auto" w:sz="6" w:space="0"/>
              <w:bottom w:val="single" w:color="auto" w:sz="6" w:space="0"/>
              <w:right w:val="single" w:color="auto" w:sz="6" w:space="0"/>
            </w:tcBorders>
            <w:vAlign w:val="center"/>
          </w:tcPr>
          <w:p w14:paraId="52AB6C19">
            <w:pPr>
              <w:jc w:val="left"/>
              <w:rPr>
                <w:kern w:val="2"/>
                <w:szCs w:val="22"/>
              </w:rPr>
            </w:pPr>
            <w:r>
              <w:rPr>
                <w:kern w:val="2"/>
                <w:szCs w:val="22"/>
              </w:rPr>
              <w:t>技术参数响应</w:t>
            </w:r>
          </w:p>
        </w:tc>
        <w:tc>
          <w:tcPr>
            <w:tcW w:w="542" w:type="pct"/>
            <w:tcBorders>
              <w:top w:val="single" w:color="auto" w:sz="6" w:space="0"/>
              <w:left w:val="single" w:color="auto" w:sz="6" w:space="0"/>
              <w:bottom w:val="single" w:color="auto" w:sz="6" w:space="0"/>
              <w:right w:val="single" w:color="auto" w:sz="6" w:space="0"/>
            </w:tcBorders>
            <w:vAlign w:val="center"/>
          </w:tcPr>
          <w:p w14:paraId="263EA75C">
            <w:pPr>
              <w:jc w:val="left"/>
              <w:rPr>
                <w:kern w:val="2"/>
                <w:szCs w:val="22"/>
              </w:rPr>
            </w:pPr>
            <w:r>
              <w:rPr>
                <w:rFonts w:hint="eastAsia"/>
                <w:kern w:val="2"/>
                <w:szCs w:val="22"/>
              </w:rPr>
              <w:t>3</w:t>
            </w:r>
            <w:r>
              <w:rPr>
                <w:rFonts w:hint="eastAsia"/>
                <w:kern w:val="2"/>
                <w:szCs w:val="22"/>
                <w:lang w:val="en-US" w:eastAsia="zh-CN"/>
              </w:rPr>
              <w:t>3</w:t>
            </w:r>
            <w:r>
              <w:rPr>
                <w:kern w:val="2"/>
                <w:szCs w:val="22"/>
              </w:rPr>
              <w:t>.00分</w:t>
            </w:r>
          </w:p>
        </w:tc>
        <w:tc>
          <w:tcPr>
            <w:tcW w:w="2459" w:type="pct"/>
            <w:tcBorders>
              <w:top w:val="single" w:color="auto" w:sz="6" w:space="0"/>
              <w:left w:val="single" w:color="auto" w:sz="6" w:space="0"/>
              <w:bottom w:val="single" w:color="auto" w:sz="6" w:space="0"/>
              <w:right w:val="single" w:color="auto" w:sz="6" w:space="0"/>
            </w:tcBorders>
            <w:vAlign w:val="center"/>
          </w:tcPr>
          <w:p w14:paraId="0935BF4F">
            <w:pPr>
              <w:jc w:val="left"/>
              <w:rPr>
                <w:kern w:val="2"/>
              </w:rPr>
            </w:pPr>
            <w:r>
              <w:rPr>
                <w:rFonts w:ascii="Calibri" w:hAnsi="Calibri"/>
                <w:kern w:val="2"/>
                <w:szCs w:val="22"/>
              </w:rPr>
              <w:t>根据供应商所投产品的技术参数及性能与采购文件要求的响应程度进行比较，供应商所投产品的技术参数能够完全响应采购文件要求的</w:t>
            </w:r>
            <w:r>
              <w:rPr>
                <w:kern w:val="2"/>
              </w:rPr>
              <w:t>得</w:t>
            </w:r>
            <w:r>
              <w:rPr>
                <w:rFonts w:hint="eastAsia"/>
                <w:kern w:val="2"/>
              </w:rPr>
              <w:t>3</w:t>
            </w:r>
            <w:r>
              <w:rPr>
                <w:rFonts w:hint="eastAsia"/>
                <w:kern w:val="2"/>
                <w:lang w:val="en-US" w:eastAsia="zh-CN"/>
              </w:rPr>
              <w:t>3</w:t>
            </w:r>
            <w:bookmarkStart w:id="229" w:name="_GoBack"/>
            <w:bookmarkEnd w:id="229"/>
            <w:r>
              <w:rPr>
                <w:kern w:val="2"/>
              </w:rPr>
              <w:t>分</w:t>
            </w:r>
            <w:r>
              <w:rPr>
                <w:rFonts w:ascii="Calibri" w:hAnsi="Calibri"/>
                <w:kern w:val="2"/>
                <w:szCs w:val="22"/>
              </w:rPr>
              <w:t>;</w:t>
            </w:r>
            <w:r>
              <w:rPr>
                <w:rFonts w:hint="eastAsia" w:ascii="Calibri" w:hAnsi="Calibri"/>
                <w:kern w:val="2"/>
                <w:szCs w:val="22"/>
              </w:rPr>
              <w:t>加▲项为重要参数，每有一项负偏离，扣 1分;其他参数，每有一项负偏离， 扣 0.5分;扣完为止；</w:t>
            </w:r>
          </w:p>
          <w:p w14:paraId="670A627D">
            <w:pPr>
              <w:jc w:val="left"/>
              <w:rPr>
                <w:kern w:val="2"/>
              </w:rPr>
            </w:pPr>
            <w:r>
              <w:rPr>
                <w:rFonts w:hint="eastAsia"/>
                <w:color w:val="000000"/>
                <w:kern w:val="2"/>
              </w:rPr>
              <w:t>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p>
        </w:tc>
      </w:tr>
      <w:tr w14:paraId="6DB8751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895" w:type="pct"/>
            <w:vMerge w:val="restart"/>
            <w:tcBorders>
              <w:top w:val="single" w:color="auto" w:sz="6" w:space="0"/>
              <w:left w:val="single" w:color="auto" w:sz="6" w:space="0"/>
              <w:right w:val="single" w:color="auto" w:sz="6" w:space="0"/>
            </w:tcBorders>
            <w:vAlign w:val="center"/>
          </w:tcPr>
          <w:p w14:paraId="1F7463DA">
            <w:pPr>
              <w:jc w:val="left"/>
              <w:rPr>
                <w:kern w:val="2"/>
                <w:szCs w:val="22"/>
              </w:rPr>
            </w:pPr>
            <w:r>
              <w:rPr>
                <w:kern w:val="2"/>
                <w:szCs w:val="22"/>
              </w:rPr>
              <w:t>企业经营业绩、信誉</w:t>
            </w:r>
          </w:p>
        </w:tc>
        <w:tc>
          <w:tcPr>
            <w:tcW w:w="1102" w:type="pct"/>
            <w:tcBorders>
              <w:top w:val="single" w:color="auto" w:sz="6" w:space="0"/>
              <w:left w:val="single" w:color="auto" w:sz="6" w:space="0"/>
              <w:bottom w:val="single" w:color="auto" w:sz="6" w:space="0"/>
              <w:right w:val="single" w:color="auto" w:sz="6" w:space="0"/>
            </w:tcBorders>
            <w:vAlign w:val="center"/>
          </w:tcPr>
          <w:p w14:paraId="301FBC2D">
            <w:pPr>
              <w:jc w:val="left"/>
              <w:rPr>
                <w:kern w:val="2"/>
                <w:szCs w:val="22"/>
              </w:rPr>
            </w:pPr>
            <w:r>
              <w:rPr>
                <w:kern w:val="2"/>
                <w:szCs w:val="22"/>
              </w:rPr>
              <w:t>企业业绩</w:t>
            </w:r>
          </w:p>
        </w:tc>
        <w:tc>
          <w:tcPr>
            <w:tcW w:w="542" w:type="pct"/>
            <w:tcBorders>
              <w:top w:val="single" w:color="auto" w:sz="6" w:space="0"/>
              <w:left w:val="single" w:color="auto" w:sz="6" w:space="0"/>
              <w:bottom w:val="single" w:color="auto" w:sz="6" w:space="0"/>
              <w:right w:val="single" w:color="auto" w:sz="6" w:space="0"/>
            </w:tcBorders>
            <w:vAlign w:val="center"/>
          </w:tcPr>
          <w:p w14:paraId="2E01B390">
            <w:pPr>
              <w:jc w:val="left"/>
              <w:rPr>
                <w:kern w:val="2"/>
                <w:szCs w:val="22"/>
              </w:rPr>
            </w:pPr>
            <w:r>
              <w:rPr>
                <w:rFonts w:hint="eastAsia"/>
                <w:kern w:val="2"/>
                <w:szCs w:val="22"/>
              </w:rPr>
              <w:t>6</w:t>
            </w:r>
            <w:r>
              <w:rPr>
                <w:kern w:val="2"/>
                <w:szCs w:val="22"/>
              </w:rPr>
              <w:t>.00分</w:t>
            </w:r>
          </w:p>
        </w:tc>
        <w:tc>
          <w:tcPr>
            <w:tcW w:w="2459" w:type="pct"/>
            <w:tcBorders>
              <w:top w:val="single" w:color="auto" w:sz="6" w:space="0"/>
              <w:left w:val="single" w:color="auto" w:sz="6" w:space="0"/>
              <w:bottom w:val="single" w:color="auto" w:sz="6" w:space="0"/>
              <w:right w:val="single" w:color="auto" w:sz="6" w:space="0"/>
            </w:tcBorders>
            <w:vAlign w:val="center"/>
          </w:tcPr>
          <w:p w14:paraId="1E3BC379">
            <w:pPr>
              <w:jc w:val="left"/>
              <w:rPr>
                <w:rFonts w:hint="eastAsia" w:ascii="Calibri" w:hAnsi="Calibri"/>
                <w:kern w:val="2"/>
                <w:szCs w:val="22"/>
              </w:rPr>
            </w:pPr>
            <w:r>
              <w:rPr>
                <w:rFonts w:hint="eastAsia" w:ascii="Calibri" w:hAnsi="Calibri"/>
                <w:kern w:val="2"/>
                <w:szCs w:val="22"/>
              </w:rPr>
              <w:t>投标人自2023年1月1日以来（以合同签订时间为准）承担过具有类似信创播出系统项目业绩（合同内容须包含播出）的，每有一个得2分，最高得6分。</w:t>
            </w:r>
          </w:p>
          <w:p w14:paraId="2C8FB60F">
            <w:pPr>
              <w:jc w:val="left"/>
              <w:rPr>
                <w:rFonts w:hint="eastAsia" w:ascii="Calibri" w:hAnsi="Calibri"/>
                <w:kern w:val="2"/>
                <w:szCs w:val="22"/>
              </w:rPr>
            </w:pPr>
            <w:r>
              <w:rPr>
                <w:rFonts w:hint="eastAsia" w:ascii="Calibri" w:hAnsi="Calibri"/>
                <w:kern w:val="2"/>
                <w:szCs w:val="22"/>
              </w:rPr>
              <w:t>注：（1）须提供项目业绩合同原件扫描件主要内容、标的、数量、金额、时间等需清晰可见，否则该业绩不得分。</w:t>
            </w:r>
          </w:p>
          <w:p w14:paraId="28F20DA3">
            <w:pPr>
              <w:jc w:val="left"/>
            </w:pPr>
            <w:r>
              <w:rPr>
                <w:rFonts w:hint="eastAsia" w:ascii="Calibri" w:hAnsi="Calibri"/>
                <w:kern w:val="2"/>
                <w:szCs w:val="22"/>
              </w:rPr>
              <w:t>（2）中标人提供的证明材料随中标结果同步公告。</w:t>
            </w:r>
          </w:p>
        </w:tc>
      </w:tr>
      <w:tr w14:paraId="4582641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895" w:type="pct"/>
            <w:vMerge w:val="continue"/>
            <w:tcBorders>
              <w:left w:val="single" w:color="auto" w:sz="6" w:space="0"/>
              <w:right w:val="single" w:color="auto" w:sz="6" w:space="0"/>
            </w:tcBorders>
            <w:vAlign w:val="center"/>
          </w:tcPr>
          <w:p w14:paraId="7B1CF634">
            <w:pPr>
              <w:jc w:val="left"/>
              <w:rPr>
                <w:kern w:val="2"/>
                <w:szCs w:val="22"/>
              </w:rPr>
            </w:pPr>
          </w:p>
        </w:tc>
        <w:tc>
          <w:tcPr>
            <w:tcW w:w="1102" w:type="pct"/>
            <w:tcBorders>
              <w:top w:val="single" w:color="auto" w:sz="6" w:space="0"/>
              <w:left w:val="single" w:color="auto" w:sz="6" w:space="0"/>
              <w:bottom w:val="single" w:color="auto" w:sz="6" w:space="0"/>
              <w:right w:val="single" w:color="auto" w:sz="6" w:space="0"/>
            </w:tcBorders>
            <w:vAlign w:val="center"/>
          </w:tcPr>
          <w:p w14:paraId="5E356E88">
            <w:pPr>
              <w:jc w:val="left"/>
              <w:rPr>
                <w:kern w:val="2"/>
                <w:szCs w:val="22"/>
              </w:rPr>
            </w:pPr>
            <w:r>
              <w:rPr>
                <w:kern w:val="2"/>
              </w:rPr>
              <w:t>企业认证</w:t>
            </w:r>
            <w:r>
              <w:rPr>
                <w:rFonts w:hint="eastAsia"/>
                <w:kern w:val="2"/>
              </w:rPr>
              <w:t>及实力</w:t>
            </w:r>
          </w:p>
        </w:tc>
        <w:tc>
          <w:tcPr>
            <w:tcW w:w="542" w:type="pct"/>
            <w:tcBorders>
              <w:top w:val="single" w:color="auto" w:sz="6" w:space="0"/>
              <w:left w:val="single" w:color="auto" w:sz="6" w:space="0"/>
              <w:bottom w:val="single" w:color="auto" w:sz="6" w:space="0"/>
              <w:right w:val="single" w:color="auto" w:sz="6" w:space="0"/>
            </w:tcBorders>
            <w:vAlign w:val="center"/>
          </w:tcPr>
          <w:p w14:paraId="23FF3771">
            <w:pPr>
              <w:jc w:val="left"/>
              <w:rPr>
                <w:kern w:val="2"/>
                <w:szCs w:val="22"/>
              </w:rPr>
            </w:pPr>
            <w:r>
              <w:rPr>
                <w:rFonts w:hint="eastAsia"/>
                <w:kern w:val="2"/>
                <w:szCs w:val="22"/>
                <w:lang w:val="en-US" w:eastAsia="zh-CN"/>
              </w:rPr>
              <w:t>3</w:t>
            </w:r>
            <w:r>
              <w:rPr>
                <w:kern w:val="2"/>
                <w:szCs w:val="22"/>
              </w:rPr>
              <w:t>.00分</w:t>
            </w:r>
          </w:p>
        </w:tc>
        <w:tc>
          <w:tcPr>
            <w:tcW w:w="2459" w:type="pct"/>
            <w:tcBorders>
              <w:top w:val="single" w:color="auto" w:sz="6" w:space="0"/>
              <w:left w:val="single" w:color="auto" w:sz="6" w:space="0"/>
              <w:bottom w:val="single" w:color="auto" w:sz="6" w:space="0"/>
              <w:right w:val="single" w:color="auto" w:sz="6" w:space="0"/>
            </w:tcBorders>
            <w:vAlign w:val="center"/>
          </w:tcPr>
          <w:p w14:paraId="71BAEBC2">
            <w:pPr>
              <w:widowControl/>
              <w:rPr>
                <w:rFonts w:hint="eastAsia" w:ascii="宋体" w:hAnsi="宋体" w:cs="宋体"/>
                <w:color w:val="000000"/>
              </w:rPr>
            </w:pPr>
            <w:r>
              <w:rPr>
                <w:rFonts w:hint="eastAsia" w:ascii="宋体" w:hAnsi="宋体" w:cs="宋体"/>
                <w:color w:val="000000"/>
              </w:rPr>
              <w:t>投标人提供以下证书（有效期内）原件扫描件并加盖公章：</w:t>
            </w:r>
          </w:p>
          <w:p w14:paraId="66A199DD">
            <w:pPr>
              <w:widowControl/>
              <w:rPr>
                <w:rFonts w:hint="eastAsia" w:ascii="宋体" w:hAnsi="宋体" w:cs="宋体"/>
                <w:color w:val="000000"/>
                <w:kern w:val="2"/>
              </w:rPr>
            </w:pPr>
            <w:r>
              <w:rPr>
                <w:rFonts w:ascii="宋体" w:hAnsi="宋体" w:cs="宋体"/>
                <w:color w:val="000000"/>
                <w:kern w:val="2"/>
              </w:rPr>
              <w:t>1</w:t>
            </w:r>
            <w:r>
              <w:rPr>
                <w:rFonts w:hint="eastAsia" w:ascii="宋体" w:hAnsi="宋体" w:cs="宋体"/>
                <w:color w:val="000000"/>
                <w:kern w:val="2"/>
              </w:rPr>
              <w:t>）ISO9001质量管理体系认证证书，得</w:t>
            </w:r>
            <w:r>
              <w:rPr>
                <w:rFonts w:hint="eastAsia" w:ascii="宋体" w:hAnsi="宋体" w:cs="宋体"/>
                <w:color w:val="000000"/>
                <w:kern w:val="2"/>
                <w:lang w:val="en-US" w:eastAsia="zh-CN"/>
              </w:rPr>
              <w:t>1</w:t>
            </w:r>
            <w:r>
              <w:rPr>
                <w:rFonts w:hint="eastAsia" w:ascii="宋体" w:hAnsi="宋体" w:cs="宋体"/>
                <w:color w:val="000000"/>
                <w:kern w:val="2"/>
              </w:rPr>
              <w:t>分；</w:t>
            </w:r>
            <w:r>
              <w:rPr>
                <w:rFonts w:hint="eastAsia" w:ascii="宋体" w:hAnsi="宋体" w:cs="宋体"/>
                <w:color w:val="000000"/>
                <w:kern w:val="2"/>
              </w:rPr>
              <w:br w:type="textWrapping" w:clear="all"/>
            </w:r>
            <w:r>
              <w:rPr>
                <w:rFonts w:hint="eastAsia" w:ascii="宋体" w:hAnsi="宋体" w:cs="宋体"/>
                <w:color w:val="000000"/>
                <w:kern w:val="2"/>
              </w:rPr>
              <w:t>2）ISO14001环境管理体系认证证书，得</w:t>
            </w:r>
            <w:r>
              <w:rPr>
                <w:rFonts w:hint="eastAsia" w:ascii="宋体" w:hAnsi="宋体" w:cs="宋体"/>
                <w:color w:val="000000"/>
                <w:kern w:val="2"/>
                <w:lang w:val="en-US" w:eastAsia="zh-CN"/>
              </w:rPr>
              <w:t>1</w:t>
            </w:r>
            <w:r>
              <w:rPr>
                <w:rFonts w:hint="eastAsia" w:ascii="宋体" w:hAnsi="宋体" w:cs="宋体"/>
                <w:color w:val="000000"/>
                <w:kern w:val="2"/>
              </w:rPr>
              <w:t>分；</w:t>
            </w:r>
          </w:p>
          <w:p w14:paraId="75E86E67">
            <w:pPr>
              <w:jc w:val="left"/>
              <w:rPr>
                <w:rFonts w:hint="eastAsia" w:ascii="宋体" w:hAnsi="宋体" w:cs="宋体"/>
                <w:color w:val="000000"/>
                <w:kern w:val="2"/>
              </w:rPr>
            </w:pPr>
            <w:r>
              <w:rPr>
                <w:rFonts w:ascii="宋体" w:hAnsi="宋体" w:cs="宋体"/>
                <w:color w:val="000000"/>
                <w:kern w:val="2"/>
              </w:rPr>
              <w:t>3</w:t>
            </w:r>
            <w:r>
              <w:rPr>
                <w:rFonts w:hint="eastAsia" w:ascii="宋体" w:hAnsi="宋体" w:cs="宋体"/>
                <w:color w:val="000000"/>
                <w:kern w:val="2"/>
              </w:rPr>
              <w:t>）ISO45001职业健康安全管理体系认证证书，得</w:t>
            </w:r>
            <w:r>
              <w:rPr>
                <w:rFonts w:hint="eastAsia" w:ascii="宋体" w:hAnsi="宋体" w:cs="宋体"/>
                <w:color w:val="000000"/>
                <w:kern w:val="2"/>
                <w:lang w:val="en-US" w:eastAsia="zh-CN"/>
              </w:rPr>
              <w:t>1</w:t>
            </w:r>
            <w:r>
              <w:rPr>
                <w:rFonts w:hint="eastAsia" w:ascii="宋体" w:hAnsi="宋体" w:cs="宋体"/>
                <w:color w:val="000000"/>
                <w:kern w:val="2"/>
              </w:rPr>
              <w:t>分；</w:t>
            </w:r>
          </w:p>
          <w:p w14:paraId="7D2D48BF">
            <w:pPr>
              <w:jc w:val="left"/>
              <w:rPr>
                <w:rFonts w:hint="eastAsia" w:ascii="宋体" w:hAnsi="宋体" w:cs="宋体"/>
              </w:rPr>
            </w:pPr>
            <w:r>
              <w:rPr>
                <w:rFonts w:hint="eastAsia" w:ascii="宋体" w:hAnsi="宋体" w:cs="宋体"/>
              </w:rPr>
              <w:t>1、</w:t>
            </w:r>
            <w:r>
              <w:rPr>
                <w:rFonts w:hint="eastAsia" w:ascii="宋体" w:hAnsi="宋体" w:cs="宋体"/>
                <w:color w:val="0000FF"/>
                <w:kern w:val="2"/>
              </w:rPr>
              <w:t>中标人提供的证明材料随中标结果同步公告。</w:t>
            </w:r>
          </w:p>
        </w:tc>
      </w:tr>
      <w:tr w14:paraId="3A733DF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bottom w:val="single" w:color="auto" w:sz="6" w:space="0"/>
              <w:right w:val="single" w:color="auto" w:sz="6" w:space="0"/>
            </w:tcBorders>
            <w:vAlign w:val="center"/>
          </w:tcPr>
          <w:p w14:paraId="7220CC99">
            <w:pPr>
              <w:jc w:val="left"/>
              <w:rPr>
                <w:kern w:val="2"/>
                <w:szCs w:val="22"/>
              </w:rPr>
            </w:pPr>
            <w:r>
              <w:rPr>
                <w:kern w:val="2"/>
                <w:szCs w:val="22"/>
              </w:rPr>
              <w:t>项目实施方案</w:t>
            </w:r>
          </w:p>
        </w:tc>
        <w:tc>
          <w:tcPr>
            <w:tcW w:w="1102" w:type="pct"/>
            <w:tcBorders>
              <w:top w:val="single" w:color="auto" w:sz="6" w:space="0"/>
              <w:left w:val="single" w:color="auto" w:sz="6" w:space="0"/>
              <w:bottom w:val="single" w:color="auto" w:sz="6" w:space="0"/>
              <w:right w:val="single" w:color="auto" w:sz="6" w:space="0"/>
            </w:tcBorders>
            <w:vAlign w:val="center"/>
          </w:tcPr>
          <w:p w14:paraId="0C4130A5">
            <w:pPr>
              <w:jc w:val="left"/>
              <w:rPr>
                <w:kern w:val="2"/>
                <w:szCs w:val="22"/>
              </w:rPr>
            </w:pPr>
            <w:r>
              <w:rPr>
                <w:rFonts w:hint="eastAsia"/>
                <w:kern w:val="2"/>
                <w:szCs w:val="22"/>
              </w:rPr>
              <w:t>技术方案</w:t>
            </w:r>
          </w:p>
        </w:tc>
        <w:tc>
          <w:tcPr>
            <w:tcW w:w="542" w:type="pct"/>
            <w:tcBorders>
              <w:top w:val="single" w:color="auto" w:sz="6" w:space="0"/>
              <w:left w:val="single" w:color="auto" w:sz="6" w:space="0"/>
              <w:bottom w:val="single" w:color="auto" w:sz="6" w:space="0"/>
              <w:right w:val="single" w:color="auto" w:sz="6" w:space="0"/>
            </w:tcBorders>
            <w:vAlign w:val="center"/>
          </w:tcPr>
          <w:p w14:paraId="06F44C8A">
            <w:pPr>
              <w:jc w:val="left"/>
              <w:rPr>
                <w:kern w:val="2"/>
                <w:szCs w:val="22"/>
              </w:rPr>
            </w:pPr>
            <w:r>
              <w:rPr>
                <w:rFonts w:hint="eastAsia"/>
                <w:kern w:val="2"/>
                <w:szCs w:val="22"/>
              </w:rPr>
              <w:t>7</w:t>
            </w:r>
            <w:r>
              <w:rPr>
                <w:kern w:val="2"/>
                <w:szCs w:val="22"/>
              </w:rPr>
              <w:t>.00分</w:t>
            </w:r>
          </w:p>
        </w:tc>
        <w:tc>
          <w:tcPr>
            <w:tcW w:w="2459" w:type="pct"/>
            <w:tcBorders>
              <w:top w:val="single" w:color="auto" w:sz="6" w:space="0"/>
              <w:left w:val="single" w:color="auto" w:sz="6" w:space="0"/>
              <w:bottom w:val="single" w:color="auto" w:sz="6" w:space="0"/>
              <w:right w:val="single" w:color="auto" w:sz="6" w:space="0"/>
            </w:tcBorders>
            <w:vAlign w:val="center"/>
          </w:tcPr>
          <w:p w14:paraId="76A14B43">
            <w:pPr>
              <w:jc w:val="left"/>
              <w:rPr>
                <w:kern w:val="2"/>
                <w:szCs w:val="22"/>
              </w:rPr>
            </w:pPr>
            <w:r>
              <w:rPr>
                <w:rFonts w:hint="eastAsia" w:ascii="宋体" w:hAnsi="宋体" w:cs="宋体"/>
              </w:rPr>
              <w:t>根据投标人提供的系统技术方案进行打分：</w:t>
            </w:r>
            <w:r>
              <w:rPr>
                <w:rFonts w:ascii="Calibri" w:hAnsi="Calibri"/>
                <w:kern w:val="2"/>
                <w:szCs w:val="22"/>
              </w:rPr>
              <w:t>（1）方案优于采购需求，结构严谨，内容完整详实，能够针对采购项目内容要求而细化制定，有明确的实施方案，方案优于采购需求，得</w:t>
            </w:r>
            <w:r>
              <w:rPr>
                <w:rFonts w:hint="eastAsia" w:ascii="Calibri" w:hAnsi="Calibri"/>
                <w:kern w:val="2"/>
                <w:szCs w:val="22"/>
              </w:rPr>
              <w:t>7</w:t>
            </w:r>
            <w:r>
              <w:rPr>
                <w:rFonts w:ascii="Calibri" w:hAnsi="Calibri"/>
                <w:kern w:val="2"/>
                <w:szCs w:val="22"/>
              </w:rPr>
              <w:t>分。 （2）项目实施方案完整，为本项目的实施要求而制定的方案较齐全，但方案内容有一定偏差，但不影响实质性内容表达，能够满足采购需求得3分； （3）有项目实施方案，但方案内容模糊，没有针对本项目主要工作内容制定，内容不详实、不完整、内容不全面的得1分。没有内容的不得分。</w:t>
            </w:r>
          </w:p>
        </w:tc>
      </w:tr>
      <w:tr w14:paraId="62254F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auto" w:sz="6" w:space="0"/>
              <w:left w:val="single" w:color="auto" w:sz="6" w:space="0"/>
              <w:bottom w:val="single" w:color="auto" w:sz="6" w:space="0"/>
              <w:right w:val="single" w:color="auto" w:sz="6" w:space="0"/>
            </w:tcBorders>
            <w:vAlign w:val="center"/>
          </w:tcPr>
          <w:p w14:paraId="063F6D09">
            <w:pPr>
              <w:jc w:val="left"/>
              <w:rPr>
                <w:kern w:val="2"/>
                <w:szCs w:val="22"/>
              </w:rPr>
            </w:pPr>
          </w:p>
        </w:tc>
        <w:tc>
          <w:tcPr>
            <w:tcW w:w="1102" w:type="pct"/>
            <w:tcBorders>
              <w:top w:val="single" w:color="auto" w:sz="6" w:space="0"/>
              <w:left w:val="single" w:color="auto" w:sz="6" w:space="0"/>
              <w:bottom w:val="single" w:color="auto" w:sz="6" w:space="0"/>
              <w:right w:val="single" w:color="auto" w:sz="6" w:space="0"/>
            </w:tcBorders>
            <w:vAlign w:val="center"/>
          </w:tcPr>
          <w:p w14:paraId="756F89E0">
            <w:pPr>
              <w:jc w:val="left"/>
              <w:rPr>
                <w:kern w:val="2"/>
                <w:szCs w:val="22"/>
              </w:rPr>
            </w:pPr>
            <w:r>
              <w:rPr>
                <w:kern w:val="2"/>
              </w:rPr>
              <w:t>培训</w:t>
            </w:r>
            <w:r>
              <w:rPr>
                <w:rFonts w:hint="eastAsia"/>
                <w:kern w:val="2"/>
              </w:rPr>
              <w:t>计划</w:t>
            </w:r>
          </w:p>
        </w:tc>
        <w:tc>
          <w:tcPr>
            <w:tcW w:w="542" w:type="pct"/>
            <w:tcBorders>
              <w:top w:val="single" w:color="auto" w:sz="6" w:space="0"/>
              <w:left w:val="single" w:color="auto" w:sz="6" w:space="0"/>
              <w:bottom w:val="single" w:color="auto" w:sz="6" w:space="0"/>
              <w:right w:val="single" w:color="auto" w:sz="6" w:space="0"/>
            </w:tcBorders>
            <w:vAlign w:val="center"/>
          </w:tcPr>
          <w:p w14:paraId="08C502E5">
            <w:pPr>
              <w:jc w:val="left"/>
              <w:rPr>
                <w:kern w:val="2"/>
                <w:szCs w:val="22"/>
              </w:rPr>
            </w:pPr>
            <w:r>
              <w:rPr>
                <w:rFonts w:hint="eastAsia"/>
                <w:kern w:val="2"/>
              </w:rPr>
              <w:t>5</w:t>
            </w:r>
            <w:r>
              <w:rPr>
                <w:kern w:val="2"/>
              </w:rPr>
              <w:t>.00分</w:t>
            </w:r>
          </w:p>
        </w:tc>
        <w:tc>
          <w:tcPr>
            <w:tcW w:w="2459" w:type="pct"/>
            <w:tcBorders>
              <w:top w:val="single" w:color="auto" w:sz="6" w:space="0"/>
              <w:left w:val="single" w:color="auto" w:sz="6" w:space="0"/>
              <w:bottom w:val="single" w:color="auto" w:sz="6" w:space="0"/>
              <w:right w:val="single" w:color="auto" w:sz="6" w:space="0"/>
            </w:tcBorders>
            <w:vAlign w:val="center"/>
          </w:tcPr>
          <w:p w14:paraId="414AE55D">
            <w:pPr>
              <w:jc w:val="left"/>
              <w:rPr>
                <w:kern w:val="2"/>
                <w:szCs w:val="22"/>
              </w:rPr>
            </w:pPr>
            <w:r>
              <w:rPr>
                <w:rFonts w:hint="eastAsia" w:ascii="宋体" w:hAnsi="宋体" w:cs="宋体"/>
                <w:kern w:val="2"/>
              </w:rPr>
              <w:t>根据投标人提供的培训目标、培训（授课）内容、培训方式、培训的材料和文件的合理性进行打分</w:t>
            </w:r>
            <w:r>
              <w:rPr>
                <w:kern w:val="2"/>
              </w:rPr>
              <w:t>。</w:t>
            </w:r>
            <w:r>
              <w:rPr>
                <w:rFonts w:ascii="Calibri" w:hAnsi="Calibri"/>
                <w:kern w:val="2"/>
                <w:szCs w:val="22"/>
              </w:rPr>
              <w:t>（1）方案优于采购需求，结构严谨，内容完整详实，能够针对采购项目内容要求而细化制定，有明确的实施方案，方案优于采购需求，得</w:t>
            </w:r>
            <w:r>
              <w:rPr>
                <w:rFonts w:hint="eastAsia" w:ascii="Calibri" w:hAnsi="Calibri"/>
                <w:kern w:val="2"/>
                <w:szCs w:val="22"/>
              </w:rPr>
              <w:t>5</w:t>
            </w:r>
            <w:r>
              <w:rPr>
                <w:rFonts w:ascii="Calibri" w:hAnsi="Calibri"/>
                <w:kern w:val="2"/>
                <w:szCs w:val="22"/>
              </w:rPr>
              <w:t>分。（2）项目实施方案完整，为本项目的实施要求而制定的方案较齐全，但方案内容有一定偏差，但不影响实质性内容表达，能够满足采购需求得</w:t>
            </w:r>
            <w:r>
              <w:rPr>
                <w:rFonts w:hint="eastAsia" w:ascii="Calibri" w:hAnsi="Calibri"/>
                <w:kern w:val="2"/>
                <w:szCs w:val="22"/>
              </w:rPr>
              <w:t>3</w:t>
            </w:r>
            <w:r>
              <w:rPr>
                <w:rFonts w:ascii="Calibri" w:hAnsi="Calibri"/>
                <w:kern w:val="2"/>
                <w:szCs w:val="22"/>
              </w:rPr>
              <w:t>分；（3）有项目实施方案，但方案内容模糊，没有针对本项目主要工作内容制定，内容不详实、不完整、内容不全面的得1分。没有内容的不得分。</w:t>
            </w:r>
          </w:p>
        </w:tc>
      </w:tr>
      <w:tr w14:paraId="49CBFF4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52FB7099">
            <w:pPr>
              <w:jc w:val="left"/>
              <w:rPr>
                <w:kern w:val="2"/>
                <w:szCs w:val="22"/>
              </w:rPr>
            </w:pPr>
          </w:p>
        </w:tc>
        <w:tc>
          <w:tcPr>
            <w:tcW w:w="1102" w:type="pct"/>
            <w:tcBorders>
              <w:top w:val="single" w:color="auto" w:sz="6" w:space="0"/>
              <w:left w:val="single" w:color="auto" w:sz="6" w:space="0"/>
              <w:bottom w:val="single" w:color="auto" w:sz="6" w:space="0"/>
              <w:right w:val="single" w:color="auto" w:sz="6" w:space="0"/>
            </w:tcBorders>
            <w:vAlign w:val="center"/>
          </w:tcPr>
          <w:p w14:paraId="16098F5C">
            <w:pPr>
              <w:jc w:val="left"/>
              <w:rPr>
                <w:kern w:val="2"/>
              </w:rPr>
            </w:pPr>
            <w:r>
              <w:rPr>
                <w:kern w:val="2"/>
              </w:rPr>
              <w:t>实施方案</w:t>
            </w:r>
          </w:p>
          <w:p w14:paraId="501FD919">
            <w:pPr>
              <w:jc w:val="left"/>
              <w:rPr>
                <w:kern w:val="2"/>
              </w:rPr>
            </w:pPr>
          </w:p>
        </w:tc>
        <w:tc>
          <w:tcPr>
            <w:tcW w:w="542" w:type="pct"/>
            <w:tcBorders>
              <w:top w:val="single" w:color="auto" w:sz="6" w:space="0"/>
              <w:left w:val="single" w:color="auto" w:sz="6" w:space="0"/>
              <w:bottom w:val="single" w:color="auto" w:sz="6" w:space="0"/>
              <w:right w:val="single" w:color="auto" w:sz="6" w:space="0"/>
            </w:tcBorders>
            <w:vAlign w:val="center"/>
          </w:tcPr>
          <w:p w14:paraId="5D25E3B7">
            <w:pPr>
              <w:jc w:val="left"/>
              <w:rPr>
                <w:kern w:val="2"/>
              </w:rPr>
            </w:pPr>
            <w:r>
              <w:rPr>
                <w:rFonts w:hint="eastAsia"/>
                <w:kern w:val="2"/>
              </w:rPr>
              <w:t>5</w:t>
            </w:r>
            <w:r>
              <w:rPr>
                <w:kern w:val="2"/>
              </w:rPr>
              <w:t>.00分</w:t>
            </w:r>
          </w:p>
        </w:tc>
        <w:tc>
          <w:tcPr>
            <w:tcW w:w="2459" w:type="pct"/>
            <w:tcBorders>
              <w:top w:val="single" w:color="auto" w:sz="6" w:space="0"/>
              <w:left w:val="single" w:color="auto" w:sz="6" w:space="0"/>
              <w:bottom w:val="single" w:color="auto" w:sz="6" w:space="0"/>
              <w:right w:val="single" w:color="auto" w:sz="6" w:space="0"/>
            </w:tcBorders>
            <w:vAlign w:val="center"/>
          </w:tcPr>
          <w:p w14:paraId="5D96AF4B">
            <w:pPr>
              <w:jc w:val="left"/>
              <w:rPr>
                <w:rFonts w:hint="eastAsia" w:ascii="宋体" w:hAnsi="宋体" w:cs="宋体"/>
                <w:kern w:val="2"/>
              </w:rPr>
            </w:pPr>
            <w:r>
              <w:rPr>
                <w:rFonts w:hint="eastAsia" w:ascii="宋体" w:hAnsi="宋体" w:cs="宋体"/>
                <w:kern w:val="2"/>
              </w:rPr>
              <w:t>根据投标人</w:t>
            </w:r>
            <w:r>
              <w:rPr>
                <w:rFonts w:hint="eastAsia" w:ascii="宋体" w:hAnsi="宋体" w:cs="宋体"/>
              </w:rPr>
              <w:t>提供演播室设计效果图、完整施工图等方案</w:t>
            </w:r>
            <w:r>
              <w:rPr>
                <w:rFonts w:hint="eastAsia" w:ascii="宋体" w:hAnsi="宋体" w:cs="宋体"/>
                <w:kern w:val="2"/>
              </w:rPr>
              <w:t>进行打分；</w:t>
            </w:r>
            <w:r>
              <w:rPr>
                <w:rFonts w:ascii="Calibri" w:hAnsi="Calibri"/>
                <w:kern w:val="2"/>
                <w:szCs w:val="22"/>
              </w:rPr>
              <w:t>（1）方案优于采购需求，结构严谨，内容完整详实，能够针对采购项目内容要求而细化制定，有明确的实施方案，方案优于采购需求，得</w:t>
            </w:r>
            <w:r>
              <w:rPr>
                <w:rFonts w:hint="eastAsia" w:ascii="Calibri" w:hAnsi="Calibri"/>
                <w:kern w:val="2"/>
                <w:szCs w:val="22"/>
              </w:rPr>
              <w:t>5</w:t>
            </w:r>
            <w:r>
              <w:rPr>
                <w:rFonts w:ascii="Calibri" w:hAnsi="Calibri"/>
                <w:kern w:val="2"/>
                <w:szCs w:val="22"/>
              </w:rPr>
              <w:t>分。（2）项目实施方案完整，为本项目的实施要求而制定的方案较齐全，但方案内容有一定偏差，但不影响实质性内容表达，能够满足采购需求得</w:t>
            </w:r>
            <w:r>
              <w:rPr>
                <w:rFonts w:hint="eastAsia" w:ascii="Calibri" w:hAnsi="Calibri"/>
                <w:kern w:val="2"/>
                <w:szCs w:val="22"/>
              </w:rPr>
              <w:t>3</w:t>
            </w:r>
            <w:r>
              <w:rPr>
                <w:rFonts w:ascii="Calibri" w:hAnsi="Calibri"/>
                <w:kern w:val="2"/>
                <w:szCs w:val="22"/>
              </w:rPr>
              <w:t>分； （3）有项目实施方案，但方案内容模糊，没有针对本项目主要工作内容制定，内容不详实、不完整、内容不全面的得1分。没有内容的不得分。</w:t>
            </w:r>
          </w:p>
        </w:tc>
      </w:tr>
      <w:tr w14:paraId="3E6AD29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895" w:type="pct"/>
            <w:vMerge w:val="restart"/>
            <w:tcBorders>
              <w:top w:val="single" w:color="auto" w:sz="6" w:space="0"/>
              <w:left w:val="single" w:color="auto" w:sz="6" w:space="0"/>
              <w:right w:val="single" w:color="auto" w:sz="6" w:space="0"/>
            </w:tcBorders>
            <w:vAlign w:val="center"/>
          </w:tcPr>
          <w:p w14:paraId="6C17BAB9">
            <w:pPr>
              <w:jc w:val="left"/>
              <w:rPr>
                <w:kern w:val="2"/>
                <w:szCs w:val="22"/>
              </w:rPr>
            </w:pPr>
            <w:r>
              <w:rPr>
                <w:kern w:val="2"/>
                <w:szCs w:val="22"/>
              </w:rPr>
              <w:t>其他</w:t>
            </w:r>
          </w:p>
        </w:tc>
        <w:tc>
          <w:tcPr>
            <w:tcW w:w="1102" w:type="pct"/>
            <w:tcBorders>
              <w:top w:val="single" w:color="auto" w:sz="6" w:space="0"/>
              <w:left w:val="single" w:color="auto" w:sz="6" w:space="0"/>
              <w:bottom w:val="single" w:color="auto" w:sz="6" w:space="0"/>
              <w:right w:val="single" w:color="auto" w:sz="6" w:space="0"/>
            </w:tcBorders>
            <w:vAlign w:val="center"/>
          </w:tcPr>
          <w:p w14:paraId="146505CD">
            <w:pPr>
              <w:jc w:val="left"/>
              <w:rPr>
                <w:kern w:val="2"/>
                <w:szCs w:val="22"/>
              </w:rPr>
            </w:pPr>
            <w:r>
              <w:rPr>
                <w:kern w:val="2"/>
              </w:rPr>
              <w:t>售后服务</w:t>
            </w:r>
            <w:r>
              <w:rPr>
                <w:rFonts w:hint="eastAsia"/>
                <w:kern w:val="2"/>
              </w:rPr>
              <w:t>方案</w:t>
            </w:r>
          </w:p>
        </w:tc>
        <w:tc>
          <w:tcPr>
            <w:tcW w:w="542" w:type="pct"/>
            <w:tcBorders>
              <w:top w:val="single" w:color="auto" w:sz="6" w:space="0"/>
              <w:left w:val="single" w:color="auto" w:sz="6" w:space="0"/>
              <w:bottom w:val="single" w:color="auto" w:sz="6" w:space="0"/>
              <w:right w:val="single" w:color="auto" w:sz="6" w:space="0"/>
            </w:tcBorders>
            <w:vAlign w:val="center"/>
          </w:tcPr>
          <w:p w14:paraId="32A0F6CA">
            <w:pPr>
              <w:jc w:val="left"/>
              <w:rPr>
                <w:kern w:val="2"/>
                <w:szCs w:val="22"/>
              </w:rPr>
            </w:pPr>
            <w:r>
              <w:rPr>
                <w:rFonts w:hint="eastAsia"/>
                <w:kern w:val="2"/>
              </w:rPr>
              <w:t>5</w:t>
            </w:r>
            <w:r>
              <w:rPr>
                <w:kern w:val="2"/>
              </w:rPr>
              <w:t>.00分</w:t>
            </w:r>
          </w:p>
        </w:tc>
        <w:tc>
          <w:tcPr>
            <w:tcW w:w="2459" w:type="pct"/>
            <w:tcBorders>
              <w:top w:val="single" w:color="auto" w:sz="6" w:space="0"/>
              <w:left w:val="single" w:color="auto" w:sz="6" w:space="0"/>
              <w:bottom w:val="single" w:color="auto" w:sz="6" w:space="0"/>
              <w:right w:val="single" w:color="auto" w:sz="6" w:space="0"/>
            </w:tcBorders>
            <w:vAlign w:val="center"/>
          </w:tcPr>
          <w:p w14:paraId="1E69AECF">
            <w:pPr>
              <w:jc w:val="left"/>
              <w:rPr>
                <w:kern w:val="2"/>
                <w:szCs w:val="22"/>
              </w:rPr>
            </w:pPr>
            <w:r>
              <w:rPr>
                <w:rFonts w:hint="eastAsia"/>
                <w:kern w:val="2"/>
              </w:rPr>
              <w:t>根据投标人</w:t>
            </w:r>
            <w:r>
              <w:rPr>
                <w:kern w:val="2"/>
              </w:rPr>
              <w:t>所提供的售后服务方案（包括</w:t>
            </w:r>
            <w:r>
              <w:rPr>
                <w:rFonts w:hint="eastAsia" w:ascii="宋体" w:hAnsi="宋体" w:cs="宋体"/>
                <w:kern w:val="2"/>
              </w:rPr>
              <w:t>服务保障体系、响应时间、应急预案等</w:t>
            </w:r>
            <w:r>
              <w:rPr>
                <w:kern w:val="2"/>
              </w:rPr>
              <w:t>）</w:t>
            </w:r>
            <w:r>
              <w:rPr>
                <w:rFonts w:hint="eastAsia"/>
                <w:kern w:val="2"/>
              </w:rPr>
              <w:t>进行打分</w:t>
            </w:r>
            <w:r>
              <w:rPr>
                <w:kern w:val="2"/>
              </w:rPr>
              <w:t>。方案内容全面、条理清晰、流程规范，且优于采购需求，得</w:t>
            </w:r>
            <w:r>
              <w:rPr>
                <w:rFonts w:hint="eastAsia"/>
                <w:kern w:val="2"/>
              </w:rPr>
              <w:t>5</w:t>
            </w:r>
            <w:r>
              <w:rPr>
                <w:kern w:val="2"/>
              </w:rPr>
              <w:t>分； 方案内容基本详实、有一定条理性、流程规范性较好，能满足采购需求得3分；方案内容粗略、条理性牵强、流程规范性欠缺，不过承诺经过优化可实现采购需求，得1分。其余或不提供不得分。</w:t>
            </w:r>
          </w:p>
        </w:tc>
      </w:tr>
      <w:tr w14:paraId="17A254C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895" w:type="pct"/>
            <w:vMerge w:val="continue"/>
            <w:tcBorders>
              <w:left w:val="single" w:color="auto" w:sz="6" w:space="0"/>
              <w:right w:val="single" w:color="auto" w:sz="6" w:space="0"/>
            </w:tcBorders>
            <w:vAlign w:val="center"/>
          </w:tcPr>
          <w:p w14:paraId="14CEE56D">
            <w:pPr>
              <w:jc w:val="left"/>
              <w:rPr>
                <w:kern w:val="2"/>
                <w:szCs w:val="22"/>
              </w:rPr>
            </w:pPr>
          </w:p>
        </w:tc>
        <w:tc>
          <w:tcPr>
            <w:tcW w:w="1102" w:type="pct"/>
            <w:tcBorders>
              <w:top w:val="single" w:color="auto" w:sz="6" w:space="0"/>
              <w:left w:val="single" w:color="auto" w:sz="6" w:space="0"/>
              <w:bottom w:val="single" w:color="auto" w:sz="6" w:space="0"/>
              <w:right w:val="single" w:color="auto" w:sz="6" w:space="0"/>
            </w:tcBorders>
            <w:vAlign w:val="center"/>
          </w:tcPr>
          <w:p w14:paraId="40E91923">
            <w:pPr>
              <w:jc w:val="left"/>
              <w:rPr>
                <w:kern w:val="2"/>
              </w:rPr>
            </w:pPr>
            <w:r>
              <w:rPr>
                <w:rFonts w:hint="eastAsia"/>
                <w:kern w:val="2"/>
              </w:rPr>
              <w:t>人员配备</w:t>
            </w:r>
          </w:p>
        </w:tc>
        <w:tc>
          <w:tcPr>
            <w:tcW w:w="542" w:type="pct"/>
            <w:tcBorders>
              <w:top w:val="single" w:color="auto" w:sz="6" w:space="0"/>
              <w:left w:val="single" w:color="auto" w:sz="6" w:space="0"/>
              <w:bottom w:val="single" w:color="auto" w:sz="6" w:space="0"/>
              <w:right w:val="single" w:color="auto" w:sz="6" w:space="0"/>
            </w:tcBorders>
            <w:vAlign w:val="center"/>
          </w:tcPr>
          <w:p w14:paraId="446B4909">
            <w:pPr>
              <w:jc w:val="left"/>
              <w:rPr>
                <w:kern w:val="2"/>
              </w:rPr>
            </w:pPr>
            <w:r>
              <w:rPr>
                <w:rFonts w:hint="eastAsia"/>
                <w:kern w:val="2"/>
              </w:rPr>
              <w:t>4.00分</w:t>
            </w:r>
          </w:p>
        </w:tc>
        <w:tc>
          <w:tcPr>
            <w:tcW w:w="2459" w:type="pct"/>
            <w:tcBorders>
              <w:top w:val="single" w:color="auto" w:sz="6" w:space="0"/>
              <w:left w:val="single" w:color="auto" w:sz="6" w:space="0"/>
              <w:bottom w:val="single" w:color="auto" w:sz="6" w:space="0"/>
              <w:right w:val="single" w:color="auto" w:sz="6" w:space="0"/>
            </w:tcBorders>
            <w:vAlign w:val="center"/>
          </w:tcPr>
          <w:p w14:paraId="71D7E8D9">
            <w:pPr>
              <w:widowControl/>
              <w:jc w:val="left"/>
              <w:rPr>
                <w:rFonts w:hint="eastAsia" w:ascii="宋体" w:hAnsi="宋体" w:cs="宋体"/>
              </w:rPr>
            </w:pPr>
            <w:r>
              <w:rPr>
                <w:rFonts w:hint="eastAsia" w:ascii="宋体" w:hAnsi="宋体" w:cs="宋体"/>
                <w:color w:val="000000"/>
                <w:kern w:val="2"/>
                <w:sz w:val="20"/>
                <w:szCs w:val="20"/>
                <w:lang w:bidi="ar"/>
              </w:rPr>
              <w:t>需提供投标人或播出系统生产厂商在项目组人员配备方面具有网络工程师、系统集成项目管理工程师、信息系统项目管理师、广播电视工程工程师、电子信息技术工程师，每有一个得1分，最高得4分。</w:t>
            </w:r>
            <w:r>
              <w:rPr>
                <w:rFonts w:hint="eastAsia" w:ascii="宋体" w:hAnsi="宋体" w:cs="宋体"/>
              </w:rPr>
              <w:br w:type="textWrapping"/>
            </w:r>
            <w:r>
              <w:rPr>
                <w:rFonts w:hint="eastAsia" w:ascii="宋体" w:hAnsi="宋体" w:cs="宋体"/>
              </w:rPr>
              <w:t>注：1、提供证书扫描件加盖公章及团队成员参保证明材料（缺一不可）编入投标响应文件，未提供不得分。</w:t>
            </w:r>
          </w:p>
          <w:p w14:paraId="654BADF8">
            <w:pPr>
              <w:jc w:val="left"/>
              <w:rPr>
                <w:rFonts w:hint="eastAsia" w:ascii="宋体" w:hAnsi="宋体" w:cs="宋体"/>
              </w:rPr>
            </w:pPr>
            <w:r>
              <w:rPr>
                <w:rFonts w:hint="eastAsia" w:ascii="宋体" w:hAnsi="宋体" w:cs="宋体"/>
              </w:rPr>
              <w:t>2、需提供近六个月以来任意一个月社保证明。</w:t>
            </w:r>
          </w:p>
          <w:p w14:paraId="78535A19">
            <w:pPr>
              <w:jc w:val="left"/>
              <w:rPr>
                <w:rFonts w:hint="eastAsia" w:ascii="宋体" w:hAnsi="宋体" w:cs="宋体"/>
              </w:rPr>
            </w:pPr>
            <w:r>
              <w:rPr>
                <w:rFonts w:hint="eastAsia" w:ascii="宋体" w:hAnsi="宋体" w:cs="宋体"/>
              </w:rPr>
              <w:t>3、</w:t>
            </w:r>
            <w:r>
              <w:rPr>
                <w:rFonts w:hint="eastAsia"/>
                <w:kern w:val="2"/>
              </w:rPr>
              <w:t>中标人提供的证明材料随中标结果同步公告。</w:t>
            </w:r>
          </w:p>
        </w:tc>
      </w:tr>
      <w:tr w14:paraId="7FF30C7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895" w:type="pct"/>
            <w:vMerge w:val="continue"/>
            <w:tcBorders>
              <w:left w:val="single" w:color="auto" w:sz="6" w:space="0"/>
              <w:bottom w:val="single" w:color="auto" w:sz="6" w:space="0"/>
              <w:right w:val="single" w:color="auto" w:sz="6" w:space="0"/>
            </w:tcBorders>
            <w:vAlign w:val="center"/>
          </w:tcPr>
          <w:p w14:paraId="5AB5BE26">
            <w:pPr>
              <w:jc w:val="left"/>
              <w:rPr>
                <w:kern w:val="2"/>
                <w:szCs w:val="22"/>
              </w:rPr>
            </w:pPr>
          </w:p>
        </w:tc>
        <w:tc>
          <w:tcPr>
            <w:tcW w:w="1102" w:type="pct"/>
            <w:tcBorders>
              <w:top w:val="single" w:color="auto" w:sz="6" w:space="0"/>
              <w:left w:val="single" w:color="auto" w:sz="6" w:space="0"/>
              <w:bottom w:val="single" w:color="auto" w:sz="6" w:space="0"/>
              <w:right w:val="single" w:color="auto" w:sz="6" w:space="0"/>
            </w:tcBorders>
            <w:vAlign w:val="center"/>
          </w:tcPr>
          <w:p w14:paraId="3FF798C1">
            <w:pPr>
              <w:jc w:val="left"/>
              <w:rPr>
                <w:kern w:val="2"/>
              </w:rPr>
            </w:pPr>
            <w:r>
              <w:rPr>
                <w:rFonts w:hint="eastAsia" w:ascii="宋体" w:hAnsi="宋体" w:cs="宋体"/>
                <w:color w:val="000000"/>
                <w:kern w:val="2"/>
                <w:sz w:val="24"/>
                <w:szCs w:val="24"/>
              </w:rPr>
              <w:t>维保期</w:t>
            </w:r>
          </w:p>
        </w:tc>
        <w:tc>
          <w:tcPr>
            <w:tcW w:w="542" w:type="pct"/>
            <w:tcBorders>
              <w:top w:val="single" w:color="auto" w:sz="6" w:space="0"/>
              <w:left w:val="single" w:color="auto" w:sz="6" w:space="0"/>
              <w:bottom w:val="single" w:color="auto" w:sz="6" w:space="0"/>
              <w:right w:val="single" w:color="auto" w:sz="6" w:space="0"/>
            </w:tcBorders>
            <w:vAlign w:val="center"/>
          </w:tcPr>
          <w:p w14:paraId="5AFF81D1">
            <w:pPr>
              <w:jc w:val="left"/>
              <w:rPr>
                <w:kern w:val="2"/>
              </w:rPr>
            </w:pPr>
            <w:r>
              <w:rPr>
                <w:rFonts w:hint="eastAsia"/>
                <w:kern w:val="2"/>
              </w:rPr>
              <w:t>2.00分</w:t>
            </w:r>
          </w:p>
        </w:tc>
        <w:tc>
          <w:tcPr>
            <w:tcW w:w="2459" w:type="pct"/>
            <w:tcBorders>
              <w:top w:val="single" w:color="auto" w:sz="6" w:space="0"/>
              <w:left w:val="single" w:color="auto" w:sz="6" w:space="0"/>
              <w:bottom w:val="single" w:color="auto" w:sz="6" w:space="0"/>
              <w:right w:val="single" w:color="auto" w:sz="6" w:space="0"/>
            </w:tcBorders>
            <w:vAlign w:val="center"/>
          </w:tcPr>
          <w:p w14:paraId="7A10D423">
            <w:pPr>
              <w:widowControl/>
              <w:jc w:val="left"/>
              <w:rPr>
                <w:rFonts w:hint="eastAsia" w:ascii="宋体" w:hAnsi="宋体" w:cs="宋体"/>
                <w:color w:val="000000"/>
                <w:kern w:val="2"/>
                <w:sz w:val="20"/>
                <w:szCs w:val="20"/>
                <w:lang w:bidi="ar"/>
              </w:rPr>
            </w:pPr>
            <w:r>
              <w:rPr>
                <w:rFonts w:hint="eastAsia" w:ascii="宋体" w:hAnsi="宋体" w:cs="宋体"/>
                <w:color w:val="000000"/>
                <w:kern w:val="2"/>
                <w:sz w:val="20"/>
                <w:szCs w:val="20"/>
                <w:lang w:bidi="ar"/>
              </w:rPr>
              <w:t>在满足招标文件基本质保要求的基础上，投标人承诺每延长1年免费维保加1分，最多加2分。未提供者不得分。</w:t>
            </w:r>
          </w:p>
          <w:p w14:paraId="6A0BAAB4">
            <w:pPr>
              <w:widowControl/>
              <w:jc w:val="left"/>
              <w:rPr>
                <w:rFonts w:hint="eastAsia" w:ascii="宋体" w:hAnsi="宋体" w:cs="宋体"/>
              </w:rPr>
            </w:pPr>
            <w:r>
              <w:rPr>
                <w:rFonts w:hint="eastAsia" w:ascii="宋体" w:hAnsi="宋体" w:cs="宋体"/>
                <w:color w:val="000000"/>
                <w:kern w:val="2"/>
                <w:sz w:val="20"/>
                <w:szCs w:val="20"/>
                <w:lang w:bidi="ar"/>
              </w:rPr>
              <w:t>提供免费维保承诺书彩色扫描件加盖投标人公章，格式自拟。</w:t>
            </w:r>
          </w:p>
        </w:tc>
      </w:tr>
    </w:tbl>
    <w:p w14:paraId="044BA256">
      <w:pPr>
        <w:spacing w:line="400" w:lineRule="exact"/>
        <w:ind w:firstLine="241"/>
        <w:rPr>
          <w:rFonts w:hint="eastAsia" w:ascii="宋体" w:hAnsi="宋体" w:cs="宋体"/>
          <w:color w:val="000000"/>
          <w:sz w:val="24"/>
          <w:szCs w:val="22"/>
          <w:highlight w:val="white"/>
        </w:rPr>
      </w:pPr>
      <w:r>
        <w:rPr>
          <w:rFonts w:hint="eastAsia" w:ascii="宋体" w:hAnsi="宋体" w:cs="宋体"/>
          <w:b/>
          <w:color w:val="000000"/>
          <w:sz w:val="24"/>
          <w:szCs w:val="22"/>
          <w:highlight w:val="white"/>
        </w:rPr>
        <w:t>（三）评标结果。</w:t>
      </w:r>
      <w:r>
        <w:rPr>
          <w:rFonts w:hint="eastAsia" w:ascii="宋体" w:hAnsi="宋体" w:cs="宋体"/>
          <w:color w:val="000000"/>
          <w:sz w:val="24"/>
          <w:szCs w:val="22"/>
          <w:highlight w:val="white"/>
        </w:rPr>
        <w:t>评标委员会按照本办法规定推荐中标候选人，并形成评标报告。</w:t>
      </w:r>
    </w:p>
    <w:p w14:paraId="49F8C87F">
      <w:pPr>
        <w:spacing w:line="400" w:lineRule="exact"/>
        <w:ind w:firstLine="241"/>
        <w:rPr>
          <w:rFonts w:hint="eastAsia" w:ascii="宋体" w:hAnsi="宋体" w:cs="宋体"/>
          <w:b/>
          <w:color w:val="000000"/>
          <w:sz w:val="24"/>
          <w:szCs w:val="22"/>
          <w:highlight w:val="white"/>
        </w:rPr>
      </w:pPr>
      <w:r>
        <w:rPr>
          <w:rFonts w:hint="eastAsia" w:ascii="宋体" w:hAnsi="宋体" w:cs="宋体"/>
          <w:b/>
          <w:color w:val="000000"/>
          <w:sz w:val="24"/>
          <w:szCs w:val="22"/>
          <w:highlight w:val="white"/>
        </w:rPr>
        <w:t>（四）政府采购政策功能落实</w:t>
      </w:r>
    </w:p>
    <w:p w14:paraId="114021E4">
      <w:pPr>
        <w:spacing w:line="500" w:lineRule="exact"/>
        <w:rPr>
          <w:rFonts w:hint="eastAsia" w:ascii="宋体" w:hAnsi="宋体" w:cs="宋体"/>
          <w:b/>
          <w:color w:val="000000"/>
          <w:sz w:val="24"/>
          <w:szCs w:val="22"/>
          <w:highlight w:val="white"/>
        </w:rPr>
      </w:pPr>
      <w:r>
        <w:rPr>
          <w:rFonts w:hint="eastAsia" w:ascii="宋体" w:hAnsi="宋体" w:cs="宋体"/>
          <w:b/>
          <w:bCs/>
          <w:color w:val="000000"/>
          <w:sz w:val="24"/>
          <w:szCs w:val="22"/>
          <w:highlight w:val="white"/>
        </w:rPr>
        <w:t>本项目落实的政府采购政策对应以下序号为</w:t>
      </w:r>
      <w:r>
        <w:rPr>
          <w:rFonts w:hint="eastAsia" w:ascii="宋体" w:hAnsi="宋体" w:cs="宋体"/>
          <w:b/>
          <w:bCs/>
          <w:color w:val="000000"/>
          <w:sz w:val="24"/>
          <w:szCs w:val="22"/>
          <w:highlight w:val="white"/>
          <w:u w:val="single"/>
        </w:rPr>
        <w:t xml:space="preserve"> 1、2、3、4 </w:t>
      </w:r>
    </w:p>
    <w:p w14:paraId="434A8F30">
      <w:pPr>
        <w:numPr>
          <w:ilvl w:val="0"/>
          <w:numId w:val="10"/>
        </w:num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采购本国货物、工程和服务</w:t>
      </w:r>
    </w:p>
    <w:p w14:paraId="5D8C1528">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6799453C">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2、中小企业政策</w:t>
      </w:r>
    </w:p>
    <w:p w14:paraId="7B1E38AA">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本项目按以下第</w:t>
      </w:r>
      <w:r>
        <w:rPr>
          <w:rFonts w:hint="eastAsia" w:ascii="宋体" w:hAnsi="宋体" w:cs="宋体"/>
          <w:b/>
          <w:bCs/>
          <w:color w:val="000000"/>
          <w:sz w:val="24"/>
          <w:szCs w:val="22"/>
          <w:highlight w:val="white"/>
          <w:u w:val="single"/>
        </w:rPr>
        <w:t>2</w:t>
      </w:r>
      <w:r>
        <w:rPr>
          <w:rFonts w:hint="eastAsia" w:ascii="宋体" w:hAnsi="宋体" w:cs="宋体"/>
          <w:color w:val="000000"/>
          <w:sz w:val="24"/>
          <w:szCs w:val="22"/>
          <w:highlight w:val="white"/>
        </w:rPr>
        <w:t>种政策确定本项目落实的中小企业政策：</w:t>
      </w:r>
    </w:p>
    <w:p w14:paraId="49BD5097">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（1）本项目专门面向中小企业（含监狱企业、残疾人福利企业）采购。</w:t>
      </w:r>
    </w:p>
    <w:p w14:paraId="677E34F8">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（2）供应商提供的货物符合下列情形的，对小微企业报价给予</w:t>
      </w:r>
      <w:r>
        <w:rPr>
          <w:rFonts w:hint="eastAsia" w:ascii="宋体" w:hAnsi="宋体" w:cs="宋体"/>
          <w:color w:val="000000"/>
          <w:sz w:val="24"/>
          <w:szCs w:val="22"/>
          <w:highlight w:val="white"/>
          <w:u w:val="single"/>
        </w:rPr>
        <w:t xml:space="preserve"> 10 %</w:t>
      </w:r>
      <w:r>
        <w:rPr>
          <w:rFonts w:hint="eastAsia" w:ascii="宋体" w:hAnsi="宋体" w:cs="宋体"/>
          <w:color w:val="000000"/>
          <w:sz w:val="24"/>
          <w:szCs w:val="22"/>
          <w:highlight w:val="white"/>
        </w:rPr>
        <w:t>的扣除，用扣除后的价格参加评审。</w:t>
      </w:r>
    </w:p>
    <w:p w14:paraId="44760370">
      <w:pPr>
        <w:spacing w:line="44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在货物采购项目中，货物由中小企业制造，即货物由中小企业生产且使用该中小企业商号或者注册商标。</w:t>
      </w:r>
    </w:p>
    <w:p w14:paraId="2E8160F4">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注：①参加投标的中小企业，应当按照《政府采购促进中小企业发展管理办法》（财库〔2020〕46号）规定，出具《中小企业声明函》，中小企业划型依据《关于印发中小企业划型标准规定的通知》（工信部联企业〔2011〕300 号）。</w:t>
      </w:r>
    </w:p>
    <w:p w14:paraId="60713655">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7C0F2D84">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326440A0">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6DF1D914">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3、政府采购节能产品、环境标志产品</w:t>
      </w:r>
    </w:p>
    <w:p w14:paraId="4255AE78">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2ED87448">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（2）采购人拟采购的产品属于政府强制采购的节能产品品目清单范围的，供应商须提供国家确定的认证机构出具的、处于有效期之内的节能产品认证证书的，否则无效标处理。</w:t>
      </w:r>
    </w:p>
    <w:p w14:paraId="542B61E2">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（3）采购人拟采购的产品属于优先采购的节能环保品目清单范围的，按以下条件优先采购：</w:t>
      </w:r>
    </w:p>
    <w:p w14:paraId="49E47691">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采用综合评分法的项目，对提供有效节能环保证书的供应商加分。</w:t>
      </w:r>
    </w:p>
    <w:p w14:paraId="48729C89">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采用最低评标价法的项目，同等条件下优先推荐提供有效节能环保证书多的供应商为中标人。</w:t>
      </w:r>
    </w:p>
    <w:p w14:paraId="2031F6CC">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4、商品包装、快递包装政府采购需求标准（试行）</w:t>
      </w:r>
    </w:p>
    <w:p w14:paraId="61DED843">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08CFD199">
      <w:pPr>
        <w:spacing w:line="460" w:lineRule="exact"/>
        <w:ind w:firstLine="480"/>
        <w:rPr>
          <w:rFonts w:hint="eastAsia" w:ascii="宋体" w:hAnsi="宋体" w:cs="宋体"/>
          <w:color w:val="000000"/>
          <w:sz w:val="24"/>
          <w:szCs w:val="22"/>
          <w:highlight w:val="white"/>
        </w:rPr>
      </w:pPr>
      <w:r>
        <w:rPr>
          <w:rFonts w:hint="eastAsia" w:ascii="宋体" w:hAnsi="宋体" w:cs="宋体"/>
          <w:color w:val="000000"/>
          <w:sz w:val="24"/>
          <w:szCs w:val="22"/>
          <w:highlight w:val="white"/>
        </w:rPr>
        <w:t>5、绿色数据中心政府采购需求标准（试行）</w:t>
      </w:r>
    </w:p>
    <w:p w14:paraId="1B4A23E6">
      <w:pPr>
        <w:spacing w:line="460" w:lineRule="exact"/>
        <w:ind w:firstLine="480"/>
        <w:rPr>
          <w:rFonts w:hint="eastAsia" w:ascii="宋体" w:hAnsi="宋体" w:cs="宋体"/>
          <w:color w:val="000000"/>
          <w:highlight w:val="white"/>
        </w:rPr>
      </w:pPr>
      <w:r>
        <w:rPr>
          <w:rFonts w:hint="eastAsia" w:ascii="宋体" w:hAnsi="宋体" w:cs="宋体"/>
          <w:color w:val="000000"/>
          <w:sz w:val="24"/>
          <w:szCs w:val="22"/>
          <w:highlight w:val="white"/>
        </w:rPr>
        <w:t>为加快数据中心绿色转型，根据财政部 生态环境部 工业和信息化部关于印发《绿色数据中心政府采购需求标准（试行）》的通知），本项目如涉及绿色数据中心，具体需求详见第四章采购需求。</w:t>
      </w:r>
    </w:p>
    <w:p w14:paraId="123E608D">
      <w:pPr>
        <w:pStyle w:val="19"/>
      </w:pPr>
    </w:p>
    <w:p w14:paraId="299B5001">
      <w:pPr>
        <w:pStyle w:val="19"/>
      </w:pPr>
    </w:p>
    <w:p w14:paraId="582D11CC">
      <w:pPr>
        <w:pStyle w:val="19"/>
      </w:pPr>
    </w:p>
    <w:p w14:paraId="248014D8">
      <w:pPr>
        <w:keepNext/>
        <w:jc w:val="center"/>
        <w:outlineLvl w:val="0"/>
        <w:rPr>
          <w:rFonts w:eastAsia="黑体"/>
          <w:bCs/>
          <w:kern w:val="2"/>
          <w:sz w:val="44"/>
          <w:szCs w:val="28"/>
        </w:rPr>
      </w:pPr>
      <w:r>
        <w:rPr>
          <w:rFonts w:hint="eastAsia" w:eastAsia="黑体"/>
          <w:bCs/>
          <w:kern w:val="2"/>
          <w:sz w:val="44"/>
          <w:szCs w:val="28"/>
        </w:rPr>
        <w:t xml:space="preserve">第六章  投标文件格式 </w:t>
      </w:r>
    </w:p>
    <w:p w14:paraId="13E78236">
      <w:pPr>
        <w:jc w:val="center"/>
        <w:rPr>
          <w:b/>
          <w:kern w:val="2"/>
          <w:sz w:val="72"/>
        </w:rPr>
      </w:pPr>
      <w:bookmarkStart w:id="212" w:name="_Hlt26955039"/>
      <w:bookmarkEnd w:id="212"/>
      <w:bookmarkStart w:id="213" w:name="_Hlt26671244"/>
      <w:bookmarkEnd w:id="213"/>
      <w:bookmarkStart w:id="214" w:name="_Toc49090576"/>
      <w:bookmarkStart w:id="215" w:name="_Toc26554094"/>
      <w:bookmarkStart w:id="216" w:name="_Toc120614282"/>
    </w:p>
    <w:p w14:paraId="3FF1DA60">
      <w:pPr>
        <w:jc w:val="center"/>
        <w:rPr>
          <w:b/>
          <w:kern w:val="2"/>
          <w:sz w:val="72"/>
        </w:rPr>
      </w:pPr>
      <w:r>
        <w:rPr>
          <w:rFonts w:hint="eastAsia"/>
          <w:b/>
          <w:kern w:val="2"/>
          <w:sz w:val="72"/>
        </w:rPr>
        <w:t>投  标  文  件</w:t>
      </w:r>
    </w:p>
    <w:p w14:paraId="781AE655">
      <w:pPr>
        <w:jc w:val="center"/>
        <w:rPr>
          <w:b/>
          <w:kern w:val="2"/>
          <w:sz w:val="72"/>
        </w:rPr>
      </w:pPr>
    </w:p>
    <w:p w14:paraId="0CB1612D">
      <w:pPr>
        <w:jc w:val="center"/>
        <w:rPr>
          <w:b/>
          <w:kern w:val="2"/>
          <w:sz w:val="72"/>
        </w:rPr>
      </w:pPr>
    </w:p>
    <w:p w14:paraId="1D0B2CB1">
      <w:pPr>
        <w:jc w:val="center"/>
        <w:rPr>
          <w:b/>
          <w:kern w:val="2"/>
          <w:sz w:val="36"/>
        </w:rPr>
      </w:pPr>
    </w:p>
    <w:p w14:paraId="377665E6">
      <w:pPr>
        <w:jc w:val="center"/>
        <w:rPr>
          <w:b/>
          <w:kern w:val="2"/>
          <w:sz w:val="36"/>
        </w:rPr>
      </w:pPr>
    </w:p>
    <w:p w14:paraId="394B2EB2">
      <w:pPr>
        <w:jc w:val="center"/>
        <w:rPr>
          <w:b/>
          <w:kern w:val="2"/>
          <w:sz w:val="36"/>
        </w:rPr>
      </w:pPr>
    </w:p>
    <w:p w14:paraId="71B7CB3E">
      <w:pPr>
        <w:ind w:firstLine="1084" w:firstLineChars="300"/>
        <w:rPr>
          <w:b/>
          <w:kern w:val="2"/>
          <w:sz w:val="36"/>
        </w:rPr>
      </w:pPr>
      <w:r>
        <w:rPr>
          <w:rFonts w:hint="eastAsia"/>
          <w:b/>
          <w:kern w:val="2"/>
          <w:sz w:val="36"/>
        </w:rPr>
        <w:t>项 目 名 称：</w:t>
      </w:r>
      <w:r>
        <w:rPr>
          <w:rFonts w:hint="eastAsia"/>
          <w:b/>
          <w:kern w:val="2"/>
          <w:sz w:val="36"/>
          <w:u w:val="single"/>
        </w:rPr>
        <w:t xml:space="preserve">               </w:t>
      </w:r>
    </w:p>
    <w:p w14:paraId="5E2119E4">
      <w:pPr>
        <w:ind w:firstLine="1084" w:firstLineChars="300"/>
        <w:rPr>
          <w:b/>
          <w:kern w:val="2"/>
          <w:sz w:val="36"/>
          <w:u w:val="single"/>
        </w:rPr>
      </w:pPr>
      <w:r>
        <w:rPr>
          <w:rFonts w:hint="eastAsia"/>
          <w:b/>
          <w:kern w:val="2"/>
          <w:sz w:val="36"/>
        </w:rPr>
        <w:t>项 目 编 号：</w:t>
      </w:r>
      <w:r>
        <w:rPr>
          <w:rFonts w:hint="eastAsia"/>
          <w:b/>
          <w:kern w:val="2"/>
          <w:sz w:val="36"/>
          <w:u w:val="single"/>
        </w:rPr>
        <w:t xml:space="preserve">               </w:t>
      </w:r>
    </w:p>
    <w:p w14:paraId="4EB6C5B6">
      <w:pPr>
        <w:rPr>
          <w:b/>
          <w:kern w:val="2"/>
          <w:sz w:val="36"/>
          <w:u w:val="single"/>
        </w:rPr>
      </w:pPr>
      <w:r>
        <w:rPr>
          <w:rFonts w:hint="eastAsia"/>
          <w:b/>
          <w:kern w:val="2"/>
          <w:sz w:val="36"/>
        </w:rPr>
        <w:t xml:space="preserve">      投标人名称 ：</w:t>
      </w:r>
      <w:r>
        <w:rPr>
          <w:rFonts w:hint="eastAsia"/>
          <w:b/>
          <w:kern w:val="2"/>
          <w:sz w:val="36"/>
          <w:u w:val="single"/>
        </w:rPr>
        <w:t>（加盖CA电子公章）</w:t>
      </w:r>
    </w:p>
    <w:p w14:paraId="4647D865">
      <w:pPr>
        <w:rPr>
          <w:b/>
          <w:kern w:val="2"/>
          <w:sz w:val="36"/>
          <w:u w:val="single"/>
        </w:rPr>
      </w:pPr>
      <w:r>
        <w:rPr>
          <w:rFonts w:hint="eastAsia"/>
          <w:b/>
          <w:kern w:val="2"/>
          <w:sz w:val="36"/>
        </w:rPr>
        <w:t xml:space="preserve">      日      期 ：</w:t>
      </w:r>
      <w:r>
        <w:rPr>
          <w:rFonts w:hint="eastAsia"/>
          <w:b/>
          <w:kern w:val="2"/>
          <w:sz w:val="36"/>
          <w:u w:val="single"/>
        </w:rPr>
        <w:t xml:space="preserve">               </w:t>
      </w:r>
    </w:p>
    <w:p w14:paraId="7CFA1352">
      <w:pPr>
        <w:spacing w:line="440" w:lineRule="exact"/>
        <w:jc w:val="center"/>
        <w:rPr>
          <w:b/>
          <w:bCs/>
          <w:kern w:val="2"/>
          <w:sz w:val="32"/>
          <w:szCs w:val="32"/>
        </w:rPr>
      </w:pPr>
    </w:p>
    <w:p w14:paraId="579D83D0">
      <w:pPr>
        <w:spacing w:line="440" w:lineRule="exact"/>
        <w:rPr>
          <w:kern w:val="2"/>
        </w:rPr>
      </w:pPr>
    </w:p>
    <w:p w14:paraId="37B0143E">
      <w:pPr>
        <w:ind w:firstLine="1084" w:firstLineChars="300"/>
        <w:rPr>
          <w:b/>
          <w:bCs/>
          <w:kern w:val="2"/>
          <w:sz w:val="32"/>
          <w:szCs w:val="32"/>
        </w:rPr>
      </w:pPr>
      <w:r>
        <w:rPr>
          <w:b/>
          <w:kern w:val="2"/>
          <w:sz w:val="36"/>
          <w:u w:val="single"/>
        </w:rPr>
        <w:br w:type="page"/>
      </w:r>
    </w:p>
    <w:p w14:paraId="48A8B54E">
      <w:pPr>
        <w:spacing w:line="440" w:lineRule="exact"/>
        <w:jc w:val="center"/>
        <w:rPr>
          <w:b/>
          <w:bCs/>
          <w:kern w:val="2"/>
          <w:sz w:val="32"/>
          <w:szCs w:val="32"/>
        </w:rPr>
      </w:pPr>
      <w:r>
        <w:rPr>
          <w:rFonts w:hint="eastAsia"/>
          <w:b/>
          <w:bCs/>
          <w:kern w:val="2"/>
          <w:sz w:val="32"/>
          <w:szCs w:val="32"/>
        </w:rPr>
        <w:t>投标文件目录</w:t>
      </w:r>
    </w:p>
    <w:p w14:paraId="571654C2">
      <w:pPr>
        <w:spacing w:line="440" w:lineRule="exact"/>
        <w:jc w:val="center"/>
        <w:rPr>
          <w:b/>
          <w:bCs/>
          <w:kern w:val="2"/>
          <w:sz w:val="32"/>
          <w:szCs w:val="32"/>
        </w:rPr>
      </w:pPr>
    </w:p>
    <w:p w14:paraId="0D14CD2A">
      <w:pPr>
        <w:spacing w:line="600" w:lineRule="exact"/>
        <w:ind w:firstLine="560"/>
        <w:rPr>
          <w:rFonts w:cs="宋体"/>
          <w:kern w:val="2"/>
          <w:sz w:val="28"/>
          <w:szCs w:val="28"/>
        </w:rPr>
      </w:pPr>
      <w:r>
        <w:rPr>
          <w:rFonts w:hint="eastAsia" w:cs="宋体"/>
          <w:kern w:val="2"/>
          <w:sz w:val="28"/>
          <w:szCs w:val="28"/>
        </w:rPr>
        <w:t>一、投标声明及承诺函</w:t>
      </w:r>
    </w:p>
    <w:p w14:paraId="37DB4139">
      <w:pPr>
        <w:spacing w:line="600" w:lineRule="exact"/>
        <w:ind w:firstLine="560"/>
        <w:rPr>
          <w:rFonts w:cs="宋体"/>
          <w:kern w:val="2"/>
          <w:sz w:val="28"/>
          <w:szCs w:val="28"/>
        </w:rPr>
      </w:pPr>
      <w:r>
        <w:rPr>
          <w:rFonts w:hint="eastAsia" w:cs="宋体"/>
          <w:kern w:val="2"/>
          <w:sz w:val="28"/>
          <w:szCs w:val="28"/>
        </w:rPr>
        <w:t>二、</w:t>
      </w:r>
      <w:r>
        <w:rPr>
          <w:rFonts w:hint="eastAsia" w:eastAsia="宋体"/>
          <w:b/>
          <w:sz w:val="32"/>
          <w:szCs w:val="32"/>
        </w:rPr>
        <w:t>投标人基本情况</w:t>
      </w:r>
    </w:p>
    <w:p w14:paraId="174355FE">
      <w:pPr>
        <w:spacing w:line="600" w:lineRule="exact"/>
        <w:ind w:firstLine="560"/>
        <w:rPr>
          <w:rFonts w:cs="宋体"/>
          <w:kern w:val="2"/>
          <w:sz w:val="28"/>
          <w:szCs w:val="28"/>
        </w:rPr>
      </w:pPr>
      <w:r>
        <w:rPr>
          <w:rFonts w:hint="eastAsia" w:cs="宋体"/>
          <w:kern w:val="2"/>
          <w:sz w:val="28"/>
          <w:szCs w:val="28"/>
        </w:rPr>
        <w:t>三、满足特定资格要求的证明文件（如果设置特定资格要求，则需要提供）</w:t>
      </w:r>
    </w:p>
    <w:p w14:paraId="5FE4EA4D">
      <w:pPr>
        <w:spacing w:line="600" w:lineRule="exact"/>
        <w:ind w:firstLine="560"/>
        <w:rPr>
          <w:rFonts w:cs="宋体"/>
          <w:kern w:val="2"/>
          <w:sz w:val="28"/>
          <w:szCs w:val="28"/>
        </w:rPr>
      </w:pPr>
      <w:r>
        <w:rPr>
          <w:rFonts w:hint="eastAsia" w:cs="宋体"/>
          <w:kern w:val="2"/>
          <w:sz w:val="28"/>
          <w:szCs w:val="28"/>
        </w:rPr>
        <w:t>四、法人授权书</w:t>
      </w:r>
    </w:p>
    <w:p w14:paraId="4D05DC15">
      <w:pPr>
        <w:spacing w:line="600" w:lineRule="exact"/>
        <w:ind w:firstLine="560"/>
        <w:rPr>
          <w:rFonts w:cs="宋体"/>
          <w:kern w:val="2"/>
          <w:sz w:val="28"/>
          <w:szCs w:val="28"/>
        </w:rPr>
      </w:pPr>
      <w:r>
        <w:rPr>
          <w:rFonts w:hint="eastAsia" w:cs="宋体"/>
          <w:kern w:val="2"/>
          <w:sz w:val="28"/>
          <w:szCs w:val="28"/>
        </w:rPr>
        <w:t>五、开标一览表</w:t>
      </w:r>
    </w:p>
    <w:p w14:paraId="63E931D9">
      <w:pPr>
        <w:spacing w:line="600" w:lineRule="exact"/>
        <w:ind w:firstLine="560"/>
        <w:rPr>
          <w:rFonts w:cs="宋体"/>
          <w:kern w:val="2"/>
          <w:sz w:val="28"/>
          <w:szCs w:val="28"/>
        </w:rPr>
      </w:pPr>
      <w:r>
        <w:rPr>
          <w:rFonts w:hint="eastAsia" w:cs="宋体"/>
          <w:kern w:val="2"/>
          <w:sz w:val="28"/>
          <w:szCs w:val="28"/>
        </w:rPr>
        <w:t>六、投标报价明细表</w:t>
      </w:r>
    </w:p>
    <w:p w14:paraId="71A8D852">
      <w:pPr>
        <w:spacing w:line="600" w:lineRule="exact"/>
        <w:ind w:firstLine="560"/>
        <w:rPr>
          <w:rFonts w:cs="宋体"/>
          <w:kern w:val="2"/>
          <w:sz w:val="28"/>
          <w:szCs w:val="28"/>
        </w:rPr>
      </w:pPr>
      <w:r>
        <w:rPr>
          <w:rFonts w:hint="eastAsia" w:cs="宋体"/>
          <w:kern w:val="2"/>
          <w:sz w:val="28"/>
          <w:szCs w:val="28"/>
        </w:rPr>
        <w:t>七、小微企业声明函</w:t>
      </w:r>
    </w:p>
    <w:p w14:paraId="23C74A83">
      <w:pPr>
        <w:spacing w:line="600" w:lineRule="exact"/>
        <w:ind w:firstLine="560"/>
        <w:rPr>
          <w:rFonts w:cs="宋体"/>
          <w:kern w:val="2"/>
          <w:sz w:val="28"/>
          <w:szCs w:val="28"/>
        </w:rPr>
      </w:pPr>
      <w:r>
        <w:rPr>
          <w:rFonts w:hint="eastAsia" w:cs="宋体"/>
          <w:kern w:val="2"/>
          <w:sz w:val="28"/>
          <w:szCs w:val="28"/>
        </w:rPr>
        <w:t>八、残疾人福利性单位声明函</w:t>
      </w:r>
    </w:p>
    <w:p w14:paraId="4FB4310F">
      <w:pPr>
        <w:spacing w:line="600" w:lineRule="exact"/>
        <w:ind w:firstLine="560"/>
        <w:rPr>
          <w:rFonts w:cs="宋体"/>
          <w:kern w:val="2"/>
          <w:sz w:val="28"/>
          <w:szCs w:val="28"/>
        </w:rPr>
      </w:pPr>
      <w:r>
        <w:rPr>
          <w:rFonts w:hint="eastAsia" w:cs="宋体"/>
          <w:kern w:val="2"/>
          <w:sz w:val="28"/>
          <w:szCs w:val="28"/>
        </w:rPr>
        <w:t>九、技术要求响应及偏离表</w:t>
      </w:r>
    </w:p>
    <w:p w14:paraId="44C29AE6">
      <w:pPr>
        <w:spacing w:line="600" w:lineRule="exact"/>
        <w:ind w:firstLine="560"/>
        <w:rPr>
          <w:rFonts w:cs="宋体"/>
          <w:kern w:val="2"/>
          <w:sz w:val="28"/>
          <w:szCs w:val="28"/>
        </w:rPr>
      </w:pPr>
      <w:r>
        <w:rPr>
          <w:rFonts w:hint="eastAsia" w:cs="宋体"/>
          <w:kern w:val="2"/>
          <w:sz w:val="28"/>
          <w:szCs w:val="28"/>
        </w:rPr>
        <w:t>十、项目组成员</w:t>
      </w:r>
    </w:p>
    <w:p w14:paraId="1BB637D8">
      <w:pPr>
        <w:spacing w:line="600" w:lineRule="exact"/>
        <w:ind w:firstLine="560"/>
        <w:rPr>
          <w:rFonts w:cs="宋体"/>
          <w:kern w:val="2"/>
          <w:sz w:val="28"/>
          <w:szCs w:val="28"/>
        </w:rPr>
      </w:pPr>
      <w:r>
        <w:rPr>
          <w:rFonts w:hint="eastAsia" w:cs="宋体"/>
          <w:kern w:val="2"/>
          <w:sz w:val="28"/>
          <w:szCs w:val="28"/>
        </w:rPr>
        <w:t>十一、企业业绩</w:t>
      </w:r>
    </w:p>
    <w:p w14:paraId="60C0E004">
      <w:pPr>
        <w:spacing w:line="600" w:lineRule="exact"/>
        <w:ind w:firstLine="560"/>
        <w:rPr>
          <w:rFonts w:cs="宋体"/>
          <w:kern w:val="2"/>
          <w:sz w:val="28"/>
          <w:szCs w:val="28"/>
        </w:rPr>
      </w:pPr>
      <w:r>
        <w:rPr>
          <w:rFonts w:hint="eastAsia" w:cs="宋体"/>
          <w:kern w:val="2"/>
          <w:sz w:val="28"/>
          <w:szCs w:val="28"/>
        </w:rPr>
        <w:t>十二、投标所需其他材料</w:t>
      </w:r>
    </w:p>
    <w:p w14:paraId="04FAF5B5">
      <w:pPr>
        <w:pStyle w:val="9"/>
        <w:rPr>
          <w:rFonts w:ascii="Times New Roman" w:hAnsi="Times New Roman"/>
          <w:caps w:val="0"/>
        </w:rPr>
      </w:pPr>
    </w:p>
    <w:p w14:paraId="1503C22D">
      <w:pPr>
        <w:spacing w:line="440" w:lineRule="exact"/>
        <w:ind w:firstLine="480" w:firstLineChars="200"/>
        <w:rPr>
          <w:kern w:val="2"/>
          <w:sz w:val="24"/>
        </w:rPr>
      </w:pPr>
    </w:p>
    <w:p w14:paraId="43E326AB">
      <w:pPr>
        <w:spacing w:line="440" w:lineRule="exact"/>
        <w:ind w:firstLine="480" w:firstLineChars="200"/>
        <w:rPr>
          <w:kern w:val="2"/>
          <w:sz w:val="24"/>
        </w:rPr>
      </w:pPr>
    </w:p>
    <w:p w14:paraId="3D09AF40">
      <w:pPr>
        <w:spacing w:line="440" w:lineRule="exact"/>
        <w:ind w:firstLine="480" w:firstLineChars="200"/>
        <w:rPr>
          <w:kern w:val="2"/>
          <w:sz w:val="24"/>
        </w:rPr>
      </w:pPr>
    </w:p>
    <w:p w14:paraId="678054DC">
      <w:pPr>
        <w:spacing w:line="440" w:lineRule="exact"/>
        <w:ind w:firstLine="480" w:firstLineChars="200"/>
        <w:rPr>
          <w:kern w:val="2"/>
          <w:sz w:val="24"/>
        </w:rPr>
      </w:pPr>
    </w:p>
    <w:p w14:paraId="0AC0F03F">
      <w:pPr>
        <w:spacing w:line="440" w:lineRule="exact"/>
        <w:ind w:firstLine="480" w:firstLineChars="200"/>
        <w:rPr>
          <w:kern w:val="2"/>
          <w:sz w:val="24"/>
        </w:rPr>
      </w:pPr>
    </w:p>
    <w:p w14:paraId="498D0259">
      <w:pPr>
        <w:spacing w:line="440" w:lineRule="exact"/>
        <w:ind w:firstLine="480" w:firstLineChars="200"/>
        <w:rPr>
          <w:kern w:val="2"/>
          <w:sz w:val="24"/>
        </w:rPr>
      </w:pPr>
    </w:p>
    <w:p w14:paraId="33CE7EB6">
      <w:pPr>
        <w:pStyle w:val="30"/>
      </w:pPr>
      <w:bookmarkStart w:id="217" w:name="_Toc23838"/>
    </w:p>
    <w:p w14:paraId="1EBB9D06">
      <w:pPr>
        <w:pStyle w:val="30"/>
      </w:pPr>
    </w:p>
    <w:p w14:paraId="01104B5B">
      <w:pPr>
        <w:pStyle w:val="30"/>
      </w:pPr>
    </w:p>
    <w:p w14:paraId="6974F266">
      <w:pPr>
        <w:pStyle w:val="30"/>
      </w:pPr>
    </w:p>
    <w:p w14:paraId="67E334D1">
      <w:pPr>
        <w:pStyle w:val="30"/>
      </w:pPr>
    </w:p>
    <w:bookmarkEnd w:id="214"/>
    <w:bookmarkEnd w:id="215"/>
    <w:bookmarkEnd w:id="216"/>
    <w:bookmarkEnd w:id="217"/>
    <w:p w14:paraId="0469BFB1">
      <w:pPr>
        <w:pStyle w:val="31"/>
        <w:rPr>
          <w:rFonts w:ascii="Times New Roman" w:hAnsi="Times New Roman"/>
          <w:b/>
          <w:sz w:val="32"/>
          <w:szCs w:val="32"/>
        </w:rPr>
      </w:pPr>
      <w:bookmarkStart w:id="218" w:name="_Toc120614284"/>
      <w:r>
        <w:rPr>
          <w:rFonts w:hint="eastAsia" w:ascii="Times New Roman" w:hAnsi="Times New Roman"/>
          <w:b/>
          <w:sz w:val="32"/>
          <w:szCs w:val="32"/>
        </w:rPr>
        <w:t>一、投标声明及承诺函</w:t>
      </w:r>
    </w:p>
    <w:p w14:paraId="16E6F376">
      <w:pPr>
        <w:pStyle w:val="31"/>
        <w:spacing w:line="500" w:lineRule="exact"/>
        <w:jc w:val="left"/>
        <w:rPr>
          <w:rFonts w:ascii="Times New Roman" w:hAnsi="Times New Roman" w:eastAsia="方正仿宋_GBK"/>
          <w:sz w:val="24"/>
          <w:szCs w:val="24"/>
          <w:u w:val="single"/>
        </w:rPr>
      </w:pPr>
      <w:r>
        <w:rPr>
          <w:rFonts w:hint="eastAsia" w:ascii="Times New Roman" w:hAnsi="Times New Roman" w:eastAsia="方正仿宋_GBK"/>
          <w:sz w:val="24"/>
          <w:szCs w:val="24"/>
          <w:u w:val="single"/>
        </w:rPr>
        <w:t>（采购单位名称）：</w:t>
      </w:r>
    </w:p>
    <w:p w14:paraId="5492B4B4">
      <w:pPr>
        <w:pStyle w:val="31"/>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项目的招标文件，我方在参加本项目招投标活动中，特做出如下承诺：</w:t>
      </w:r>
    </w:p>
    <w:p w14:paraId="2BFF67BB">
      <w:pPr>
        <w:pStyle w:val="31"/>
        <w:spacing w:line="500" w:lineRule="exact"/>
        <w:ind w:firstLine="480"/>
        <w:jc w:val="left"/>
        <w:rPr>
          <w:rFonts w:ascii="Times New Roman" w:hAnsi="Times New Roman" w:eastAsia="方正仿宋_GBK"/>
          <w:sz w:val="24"/>
        </w:rPr>
      </w:pPr>
      <w:r>
        <w:rPr>
          <w:rFonts w:hint="eastAsia" w:ascii="Times New Roman" w:hAnsi="Times New Roman" w:eastAsia="方正仿宋_GBK"/>
          <w:sz w:val="24"/>
          <w:szCs w:val="24"/>
        </w:rPr>
        <w:t>一、我方</w:t>
      </w:r>
      <w:r>
        <w:rPr>
          <w:rFonts w:ascii="Times New Roman" w:hAnsi="Times New Roman" w:eastAsia="方正仿宋_GBK"/>
          <w:sz w:val="24"/>
          <w:highlight w:val="white"/>
        </w:rPr>
        <w:t>具备《中华人民共和国政府采购法》第二十二条第一款规定的6项条件；</w:t>
      </w:r>
    </w:p>
    <w:p w14:paraId="65CB493A">
      <w:pPr>
        <w:pStyle w:val="31"/>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43C1086D">
      <w:pPr>
        <w:pStyle w:val="31"/>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三、我方按招标文件要求提交投标文件，响应招标文件规定的投标有效期；</w:t>
      </w:r>
    </w:p>
    <w:p w14:paraId="4167DF15">
      <w:pPr>
        <w:pStyle w:val="31"/>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四、如果我方的投标文件被接受，我方将按《中华人民共和国民法典（第三编合同）》及其他有关法律、法规的规定，按期、按质、按量交付采购单位，全面做到履约守信；</w:t>
      </w:r>
    </w:p>
    <w:p w14:paraId="68DE2ADE">
      <w:pPr>
        <w:pStyle w:val="31"/>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五、我方若违背本声明及承诺约定，经查实，自愿接受采购人及相关主管部门相应的规定处理，并依法承担相应的法律责任。</w:t>
      </w:r>
    </w:p>
    <w:p w14:paraId="797DE554">
      <w:pPr>
        <w:pStyle w:val="31"/>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六、我方同意采购人、采购代理机构将本声明及承诺函上网公开。</w:t>
      </w:r>
    </w:p>
    <w:p w14:paraId="79D7F3DF">
      <w:pPr>
        <w:pStyle w:val="31"/>
        <w:spacing w:line="500" w:lineRule="exact"/>
        <w:ind w:firstLine="480"/>
        <w:jc w:val="left"/>
        <w:rPr>
          <w:rFonts w:ascii="Times New Roman" w:hAnsi="Times New Roman" w:eastAsia="方正仿宋_GBK"/>
          <w:sz w:val="24"/>
          <w:szCs w:val="24"/>
        </w:rPr>
      </w:pPr>
    </w:p>
    <w:p w14:paraId="354FF4FC">
      <w:pPr>
        <w:pStyle w:val="31"/>
        <w:spacing w:line="500" w:lineRule="exact"/>
        <w:jc w:val="left"/>
        <w:rPr>
          <w:rFonts w:ascii="Times New Roman" w:hAnsi="Times New Roman" w:eastAsia="方正仿宋_GBK"/>
          <w:sz w:val="24"/>
          <w:szCs w:val="24"/>
        </w:rPr>
      </w:pPr>
    </w:p>
    <w:p w14:paraId="4536FABE">
      <w:pPr>
        <w:pStyle w:val="31"/>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（加盖CA电子公章）</w:t>
      </w:r>
    </w:p>
    <w:p w14:paraId="6E854916">
      <w:pPr>
        <w:pStyle w:val="31"/>
        <w:ind w:firstLine="480"/>
        <w:rPr>
          <w:rFonts w:ascii="Times New Roman" w:hAnsi="Times New Roman"/>
        </w:rPr>
      </w:pPr>
      <w:r>
        <w:rPr>
          <w:rFonts w:hint="eastAsia" w:ascii="Times New Roman" w:hAnsi="Times New Roman" w:eastAsia="方正仿宋_GBK"/>
          <w:sz w:val="24"/>
          <w:szCs w:val="24"/>
        </w:rPr>
        <w:t>日期：    年    月   日</w:t>
      </w:r>
    </w:p>
    <w:p w14:paraId="4B571A74">
      <w:pPr>
        <w:pStyle w:val="30"/>
      </w:pPr>
      <w:r>
        <w:rPr/>
        <w:br w:type="page" w:clear="all"/>
      </w:r>
      <w:r>
        <w:rPr>
          <w:rFonts w:hint="eastAsia" w:eastAsia="宋体"/>
          <w:b/>
          <w:sz w:val="32"/>
          <w:szCs w:val="32"/>
        </w:rPr>
        <w:t>二、投标人基本情况</w:t>
      </w:r>
    </w:p>
    <w:p w14:paraId="2DCC67F4">
      <w:pPr>
        <w:pStyle w:val="32"/>
        <w:jc w:val="center"/>
        <w:rPr>
          <w:rFonts w:ascii="Times New Roman" w:hAnsi="Times New Roman"/>
          <w:sz w:val="44"/>
          <w:szCs w:val="44"/>
        </w:rPr>
      </w:pPr>
      <w:r>
        <w:rPr>
          <w:rFonts w:hint="eastAsia" w:ascii="Times New Roman" w:hAnsi="Times New Roman"/>
          <w:sz w:val="44"/>
          <w:szCs w:val="44"/>
        </w:rPr>
        <w:t>投标人基本情况表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2149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1AAD2A56">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投标人名称</w:t>
            </w:r>
          </w:p>
        </w:tc>
        <w:tc>
          <w:tcPr>
            <w:tcW w:w="6998" w:type="dxa"/>
            <w:gridSpan w:val="3"/>
            <w:vAlign w:val="center"/>
          </w:tcPr>
          <w:p w14:paraId="68C87F55">
            <w:pPr>
              <w:pStyle w:val="32"/>
              <w:spacing w:line="600" w:lineRule="exact"/>
              <w:jc w:val="center"/>
              <w:rPr>
                <w:rFonts w:ascii="Times New Roman" w:hAnsi="Times New Roman" w:eastAsia="仿宋_GB2312"/>
                <w:sz w:val="24"/>
                <w:szCs w:val="24"/>
              </w:rPr>
            </w:pPr>
          </w:p>
        </w:tc>
      </w:tr>
      <w:tr w14:paraId="1B3F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0E20F831">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法定代表人</w:t>
            </w:r>
          </w:p>
        </w:tc>
        <w:tc>
          <w:tcPr>
            <w:tcW w:w="3118" w:type="dxa"/>
            <w:vAlign w:val="center"/>
          </w:tcPr>
          <w:p w14:paraId="39E3F9D7">
            <w:pPr>
              <w:pStyle w:val="32"/>
              <w:spacing w:line="600" w:lineRule="exact"/>
              <w:jc w:val="center"/>
              <w:rPr>
                <w:rFonts w:ascii="Times New Roman" w:hAnsi="Times New Roman" w:eastAsia="仿宋_GB2312"/>
                <w:sz w:val="24"/>
                <w:szCs w:val="24"/>
              </w:rPr>
            </w:pPr>
          </w:p>
        </w:tc>
        <w:tc>
          <w:tcPr>
            <w:tcW w:w="1276" w:type="dxa"/>
            <w:vAlign w:val="center"/>
          </w:tcPr>
          <w:p w14:paraId="22ECE548">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注册地区</w:t>
            </w:r>
          </w:p>
        </w:tc>
        <w:tc>
          <w:tcPr>
            <w:tcW w:w="2604" w:type="dxa"/>
            <w:vAlign w:val="center"/>
          </w:tcPr>
          <w:p w14:paraId="66739AEE">
            <w:pPr>
              <w:pStyle w:val="32"/>
              <w:spacing w:line="600" w:lineRule="exact"/>
              <w:jc w:val="center"/>
              <w:rPr>
                <w:rFonts w:ascii="Times New Roman" w:hAnsi="Times New Roman" w:eastAsia="仿宋_GB2312"/>
                <w:sz w:val="24"/>
                <w:szCs w:val="24"/>
              </w:rPr>
            </w:pPr>
          </w:p>
        </w:tc>
      </w:tr>
      <w:tr w14:paraId="736BF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1E5209DA">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地址</w:t>
            </w:r>
          </w:p>
        </w:tc>
        <w:tc>
          <w:tcPr>
            <w:tcW w:w="3118" w:type="dxa"/>
            <w:vAlign w:val="center"/>
          </w:tcPr>
          <w:p w14:paraId="7021C570">
            <w:pPr>
              <w:pStyle w:val="32"/>
              <w:spacing w:line="600" w:lineRule="exact"/>
              <w:jc w:val="center"/>
              <w:rPr>
                <w:rFonts w:ascii="Times New Roman" w:hAnsi="Times New Roman" w:eastAsia="仿宋_GB2312"/>
                <w:sz w:val="24"/>
                <w:szCs w:val="24"/>
              </w:rPr>
            </w:pPr>
          </w:p>
        </w:tc>
        <w:tc>
          <w:tcPr>
            <w:tcW w:w="1276" w:type="dxa"/>
            <w:vAlign w:val="center"/>
          </w:tcPr>
          <w:p w14:paraId="3D60FD8E">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邮政编码</w:t>
            </w:r>
          </w:p>
        </w:tc>
        <w:tc>
          <w:tcPr>
            <w:tcW w:w="2604" w:type="dxa"/>
            <w:vAlign w:val="center"/>
          </w:tcPr>
          <w:p w14:paraId="4779C448">
            <w:pPr>
              <w:pStyle w:val="32"/>
              <w:spacing w:line="600" w:lineRule="exact"/>
              <w:jc w:val="center"/>
              <w:rPr>
                <w:rFonts w:ascii="Times New Roman" w:hAnsi="Times New Roman" w:eastAsia="仿宋_GB2312"/>
                <w:sz w:val="24"/>
                <w:szCs w:val="24"/>
              </w:rPr>
            </w:pPr>
          </w:p>
        </w:tc>
      </w:tr>
      <w:tr w14:paraId="309C9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1C48E6F5">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成立时间</w:t>
            </w:r>
          </w:p>
        </w:tc>
        <w:tc>
          <w:tcPr>
            <w:tcW w:w="3118" w:type="dxa"/>
            <w:vAlign w:val="center"/>
          </w:tcPr>
          <w:p w14:paraId="42FAB8FC">
            <w:pPr>
              <w:pStyle w:val="32"/>
              <w:spacing w:line="600" w:lineRule="exact"/>
              <w:jc w:val="center"/>
              <w:rPr>
                <w:rFonts w:ascii="Times New Roman" w:hAnsi="Times New Roman" w:eastAsia="仿宋_GB2312"/>
                <w:sz w:val="24"/>
                <w:szCs w:val="24"/>
              </w:rPr>
            </w:pPr>
          </w:p>
        </w:tc>
        <w:tc>
          <w:tcPr>
            <w:tcW w:w="1276" w:type="dxa"/>
            <w:vAlign w:val="center"/>
          </w:tcPr>
          <w:p w14:paraId="7D152413">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单位性质</w:t>
            </w:r>
          </w:p>
        </w:tc>
        <w:tc>
          <w:tcPr>
            <w:tcW w:w="2604" w:type="dxa"/>
            <w:vAlign w:val="center"/>
          </w:tcPr>
          <w:p w14:paraId="46A9B51E">
            <w:pPr>
              <w:pStyle w:val="32"/>
              <w:spacing w:line="600" w:lineRule="exact"/>
              <w:jc w:val="center"/>
              <w:rPr>
                <w:rFonts w:ascii="Times New Roman" w:hAnsi="Times New Roman" w:eastAsia="仿宋_GB2312"/>
                <w:sz w:val="24"/>
                <w:szCs w:val="24"/>
              </w:rPr>
            </w:pPr>
          </w:p>
        </w:tc>
      </w:tr>
      <w:tr w14:paraId="7A8C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0B87F8B9">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注册号或社会信用代码</w:t>
            </w:r>
          </w:p>
        </w:tc>
        <w:tc>
          <w:tcPr>
            <w:tcW w:w="3118" w:type="dxa"/>
            <w:vAlign w:val="center"/>
          </w:tcPr>
          <w:p w14:paraId="12B4FDF7">
            <w:pPr>
              <w:pStyle w:val="32"/>
              <w:spacing w:line="600" w:lineRule="exact"/>
              <w:jc w:val="center"/>
              <w:rPr>
                <w:rFonts w:ascii="Times New Roman" w:hAnsi="Times New Roman" w:eastAsia="仿宋_GB2312"/>
                <w:sz w:val="24"/>
                <w:szCs w:val="24"/>
              </w:rPr>
            </w:pPr>
          </w:p>
        </w:tc>
        <w:tc>
          <w:tcPr>
            <w:tcW w:w="1276" w:type="dxa"/>
            <w:vAlign w:val="center"/>
          </w:tcPr>
          <w:p w14:paraId="5857F064">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注册资本（万元）</w:t>
            </w:r>
          </w:p>
        </w:tc>
        <w:tc>
          <w:tcPr>
            <w:tcW w:w="2604" w:type="dxa"/>
            <w:vAlign w:val="center"/>
          </w:tcPr>
          <w:p w14:paraId="08152676">
            <w:pPr>
              <w:pStyle w:val="32"/>
              <w:spacing w:line="600" w:lineRule="exact"/>
              <w:jc w:val="center"/>
              <w:rPr>
                <w:rFonts w:ascii="Times New Roman" w:hAnsi="Times New Roman" w:eastAsia="仿宋_GB2312"/>
                <w:sz w:val="24"/>
                <w:szCs w:val="24"/>
              </w:rPr>
            </w:pPr>
          </w:p>
        </w:tc>
      </w:tr>
      <w:tr w14:paraId="7F0B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74CA3CBC">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投标人类别</w:t>
            </w:r>
          </w:p>
        </w:tc>
        <w:tc>
          <w:tcPr>
            <w:tcW w:w="6998" w:type="dxa"/>
            <w:gridSpan w:val="3"/>
            <w:vAlign w:val="center"/>
          </w:tcPr>
          <w:p w14:paraId="4C4DFA34">
            <w:pPr>
              <w:pStyle w:val="32"/>
              <w:spacing w:line="600" w:lineRule="exact"/>
              <w:jc w:val="center"/>
              <w:rPr>
                <w:rFonts w:ascii="Times New Roman" w:hAnsi="Times New Roman" w:eastAsia="仿宋_GB2312"/>
                <w:sz w:val="24"/>
                <w:szCs w:val="24"/>
              </w:rPr>
            </w:pPr>
          </w:p>
        </w:tc>
      </w:tr>
      <w:tr w14:paraId="42612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589E137F">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开户银行</w:t>
            </w:r>
          </w:p>
        </w:tc>
        <w:tc>
          <w:tcPr>
            <w:tcW w:w="3118" w:type="dxa"/>
            <w:vAlign w:val="center"/>
          </w:tcPr>
          <w:p w14:paraId="0BE6CC89">
            <w:pPr>
              <w:pStyle w:val="32"/>
              <w:spacing w:line="600" w:lineRule="exact"/>
              <w:jc w:val="center"/>
              <w:rPr>
                <w:rFonts w:ascii="Times New Roman" w:hAnsi="Times New Roman" w:eastAsia="仿宋_GB2312"/>
                <w:sz w:val="24"/>
                <w:szCs w:val="24"/>
              </w:rPr>
            </w:pPr>
          </w:p>
        </w:tc>
        <w:tc>
          <w:tcPr>
            <w:tcW w:w="1276" w:type="dxa"/>
            <w:vAlign w:val="center"/>
          </w:tcPr>
          <w:p w14:paraId="38FD4878">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账号</w:t>
            </w:r>
          </w:p>
        </w:tc>
        <w:tc>
          <w:tcPr>
            <w:tcW w:w="2604" w:type="dxa"/>
            <w:vAlign w:val="center"/>
          </w:tcPr>
          <w:p w14:paraId="3B4147A4">
            <w:pPr>
              <w:pStyle w:val="32"/>
              <w:spacing w:line="600" w:lineRule="exact"/>
              <w:jc w:val="center"/>
              <w:rPr>
                <w:rFonts w:ascii="Times New Roman" w:hAnsi="Times New Roman" w:eastAsia="仿宋_GB2312"/>
                <w:sz w:val="24"/>
                <w:szCs w:val="24"/>
              </w:rPr>
            </w:pPr>
          </w:p>
        </w:tc>
      </w:tr>
      <w:tr w14:paraId="4C2DA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06C33EC8">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联系人</w:t>
            </w:r>
          </w:p>
        </w:tc>
        <w:tc>
          <w:tcPr>
            <w:tcW w:w="3118" w:type="dxa"/>
            <w:vAlign w:val="center"/>
          </w:tcPr>
          <w:p w14:paraId="111A3733">
            <w:pPr>
              <w:pStyle w:val="32"/>
              <w:spacing w:line="600" w:lineRule="exact"/>
              <w:jc w:val="center"/>
              <w:rPr>
                <w:rFonts w:ascii="Times New Roman" w:hAnsi="Times New Roman" w:eastAsia="仿宋_GB2312"/>
                <w:sz w:val="24"/>
                <w:szCs w:val="24"/>
              </w:rPr>
            </w:pPr>
          </w:p>
        </w:tc>
        <w:tc>
          <w:tcPr>
            <w:tcW w:w="1276" w:type="dxa"/>
            <w:vAlign w:val="center"/>
          </w:tcPr>
          <w:p w14:paraId="09E86A6B">
            <w:pPr>
              <w:pStyle w:val="3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联系电话</w:t>
            </w:r>
          </w:p>
        </w:tc>
        <w:tc>
          <w:tcPr>
            <w:tcW w:w="2604" w:type="dxa"/>
            <w:vAlign w:val="center"/>
          </w:tcPr>
          <w:p w14:paraId="73D8E0E3">
            <w:pPr>
              <w:pStyle w:val="32"/>
              <w:spacing w:line="600" w:lineRule="exact"/>
              <w:jc w:val="center"/>
              <w:rPr>
                <w:rFonts w:ascii="Times New Roman" w:hAnsi="Times New Roman" w:eastAsia="仿宋_GB2312"/>
                <w:sz w:val="24"/>
                <w:szCs w:val="24"/>
              </w:rPr>
            </w:pPr>
          </w:p>
        </w:tc>
      </w:tr>
      <w:tr w14:paraId="75CF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vAlign w:val="center"/>
          </w:tcPr>
          <w:p w14:paraId="4A232884">
            <w:pPr>
              <w:pStyle w:val="32"/>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经营范围</w:t>
            </w:r>
          </w:p>
        </w:tc>
        <w:tc>
          <w:tcPr>
            <w:tcW w:w="6998" w:type="dxa"/>
            <w:gridSpan w:val="3"/>
          </w:tcPr>
          <w:p w14:paraId="3CBD0A97">
            <w:pPr>
              <w:pStyle w:val="32"/>
              <w:spacing w:line="560" w:lineRule="exact"/>
              <w:ind w:firstLine="1432"/>
              <w:rPr>
                <w:rFonts w:ascii="Times New Roman" w:hAnsi="Times New Roman" w:eastAsia="仿宋_GB2312"/>
                <w:sz w:val="24"/>
                <w:szCs w:val="24"/>
              </w:rPr>
            </w:pPr>
          </w:p>
        </w:tc>
      </w:tr>
      <w:tr w14:paraId="1537D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vAlign w:val="center"/>
          </w:tcPr>
          <w:p w14:paraId="187DE949">
            <w:pPr>
              <w:pStyle w:val="32"/>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备注</w:t>
            </w:r>
          </w:p>
        </w:tc>
        <w:tc>
          <w:tcPr>
            <w:tcW w:w="6998" w:type="dxa"/>
            <w:gridSpan w:val="3"/>
            <w:vAlign w:val="center"/>
          </w:tcPr>
          <w:p w14:paraId="0D41547C">
            <w:pPr>
              <w:pStyle w:val="32"/>
              <w:spacing w:line="500" w:lineRule="exact"/>
              <w:jc w:val="center"/>
              <w:rPr>
                <w:rFonts w:ascii="Times New Roman" w:hAnsi="Times New Roman" w:eastAsia="仿宋_GB2312"/>
                <w:sz w:val="24"/>
                <w:szCs w:val="24"/>
              </w:rPr>
            </w:pPr>
            <w:r>
              <w:rPr>
                <w:rFonts w:hint="eastAsia" w:ascii="Times New Roman" w:hAnsi="Times New Roman" w:eastAsia="仿宋_GB2312"/>
                <w:sz w:val="24"/>
                <w:szCs w:val="24"/>
              </w:rPr>
              <w:t>无需提供营业执照等证明材料</w:t>
            </w:r>
          </w:p>
        </w:tc>
      </w:tr>
    </w:tbl>
    <w:p w14:paraId="204C1524">
      <w:pPr>
        <w:spacing w:line="440" w:lineRule="exact"/>
        <w:ind w:firstLine="480" w:firstLineChars="200"/>
        <w:rPr>
          <w:kern w:val="2"/>
          <w:sz w:val="24"/>
        </w:rPr>
      </w:pPr>
    </w:p>
    <w:p w14:paraId="4A03DDAB">
      <w:pPr>
        <w:spacing w:line="440" w:lineRule="exact"/>
        <w:ind w:firstLine="480" w:firstLineChars="200"/>
        <w:rPr>
          <w:kern w:val="2"/>
          <w:sz w:val="24"/>
        </w:rPr>
      </w:pPr>
    </w:p>
    <w:p w14:paraId="290A0B63">
      <w:pPr>
        <w:spacing w:line="440" w:lineRule="exact"/>
        <w:ind w:firstLine="480" w:firstLineChars="200"/>
        <w:rPr>
          <w:kern w:val="2"/>
          <w:sz w:val="24"/>
        </w:rPr>
      </w:pPr>
    </w:p>
    <w:p w14:paraId="272929E4">
      <w:pPr>
        <w:pStyle w:val="31"/>
        <w:rPr>
          <w:rFonts w:ascii="Times New Roman" w:hAnsi="Times New Roman" w:eastAsia="黑体"/>
          <w:i/>
          <w:sz w:val="32"/>
          <w:szCs w:val="32"/>
          <w:u w:val="single"/>
        </w:rPr>
      </w:pPr>
    </w:p>
    <w:p w14:paraId="18CE4D4E">
      <w:pPr>
        <w:rPr>
          <w:rFonts w:eastAsia="黑体"/>
          <w:i/>
          <w:kern w:val="2"/>
          <w:sz w:val="32"/>
          <w:szCs w:val="32"/>
          <w:u w:val="single"/>
        </w:rPr>
      </w:pPr>
      <w:r>
        <w:rPr>
          <w:kern w:val="2"/>
        </w:rPr>
        <w:br w:type="page" w:clear="all"/>
      </w:r>
      <w:r>
        <w:rPr>
          <w:rFonts w:hint="eastAsia"/>
          <w:b/>
          <w:sz w:val="32"/>
          <w:szCs w:val="32"/>
        </w:rPr>
        <w:t>三、特定资格要求的证明文件</w:t>
      </w:r>
    </w:p>
    <w:p w14:paraId="504D1B00">
      <w:pPr>
        <w:spacing w:line="460" w:lineRule="exact"/>
        <w:rPr>
          <w:bCs/>
          <w:kern w:val="2"/>
          <w:sz w:val="24"/>
        </w:rPr>
      </w:pPr>
      <w:r>
        <w:rPr>
          <w:rFonts w:hint="eastAsia"/>
          <w:kern w:val="2"/>
          <w:sz w:val="24"/>
        </w:rPr>
        <w:t xml:space="preserve">    如果本项目申请人的特定资格要求中要求提供的，必须提供。</w:t>
      </w:r>
    </w:p>
    <w:p w14:paraId="2EAA45F7">
      <w:pPr>
        <w:spacing w:line="460" w:lineRule="exact"/>
        <w:rPr>
          <w:bCs/>
          <w:kern w:val="2"/>
          <w:sz w:val="24"/>
        </w:rPr>
      </w:pPr>
    </w:p>
    <w:p w14:paraId="08E39A6C">
      <w:pPr>
        <w:jc w:val="center"/>
        <w:rPr>
          <w:rFonts w:eastAsia="黑体"/>
          <w:i/>
          <w:kern w:val="2"/>
          <w:sz w:val="32"/>
          <w:szCs w:val="32"/>
          <w:u w:val="single"/>
        </w:rPr>
      </w:pPr>
    </w:p>
    <w:p w14:paraId="43977B4C">
      <w:pPr>
        <w:jc w:val="center"/>
        <w:rPr>
          <w:rFonts w:eastAsia="黑体"/>
          <w:i/>
          <w:kern w:val="2"/>
          <w:sz w:val="32"/>
          <w:szCs w:val="32"/>
          <w:u w:val="single"/>
        </w:rPr>
      </w:pPr>
    </w:p>
    <w:p w14:paraId="67260DCC">
      <w:pPr>
        <w:jc w:val="center"/>
        <w:rPr>
          <w:rFonts w:eastAsia="黑体"/>
          <w:i/>
          <w:kern w:val="2"/>
          <w:sz w:val="32"/>
          <w:szCs w:val="32"/>
          <w:u w:val="single"/>
        </w:rPr>
      </w:pPr>
    </w:p>
    <w:p w14:paraId="45B1B31C">
      <w:pPr>
        <w:jc w:val="center"/>
        <w:rPr>
          <w:rFonts w:eastAsia="黑体"/>
          <w:i/>
          <w:kern w:val="2"/>
          <w:sz w:val="32"/>
          <w:szCs w:val="32"/>
          <w:u w:val="single"/>
        </w:rPr>
      </w:pPr>
    </w:p>
    <w:p w14:paraId="40AD228E">
      <w:pPr>
        <w:jc w:val="center"/>
        <w:rPr>
          <w:rFonts w:eastAsia="黑体"/>
          <w:i/>
          <w:kern w:val="2"/>
          <w:sz w:val="32"/>
          <w:szCs w:val="32"/>
          <w:u w:val="single"/>
        </w:rPr>
      </w:pPr>
    </w:p>
    <w:p w14:paraId="043EB501">
      <w:pPr>
        <w:jc w:val="center"/>
        <w:rPr>
          <w:rFonts w:eastAsia="黑体"/>
          <w:i/>
          <w:kern w:val="2"/>
          <w:sz w:val="32"/>
          <w:szCs w:val="32"/>
          <w:u w:val="single"/>
        </w:rPr>
      </w:pPr>
    </w:p>
    <w:p w14:paraId="1D73A00D">
      <w:pPr>
        <w:jc w:val="center"/>
        <w:rPr>
          <w:rFonts w:eastAsia="黑体"/>
          <w:i/>
          <w:kern w:val="2"/>
          <w:sz w:val="32"/>
          <w:szCs w:val="32"/>
          <w:u w:val="single"/>
        </w:rPr>
      </w:pPr>
    </w:p>
    <w:p w14:paraId="3242B9B1">
      <w:pPr>
        <w:jc w:val="center"/>
        <w:rPr>
          <w:rFonts w:eastAsia="黑体"/>
          <w:i/>
          <w:kern w:val="2"/>
          <w:sz w:val="32"/>
          <w:szCs w:val="32"/>
          <w:u w:val="single"/>
        </w:rPr>
      </w:pPr>
    </w:p>
    <w:p w14:paraId="081897A1">
      <w:pPr>
        <w:jc w:val="center"/>
        <w:rPr>
          <w:rFonts w:eastAsia="黑体"/>
          <w:i/>
          <w:kern w:val="2"/>
          <w:sz w:val="32"/>
          <w:szCs w:val="32"/>
          <w:u w:val="single"/>
        </w:rPr>
      </w:pPr>
    </w:p>
    <w:p w14:paraId="09AC4D58">
      <w:pPr>
        <w:jc w:val="center"/>
        <w:rPr>
          <w:rFonts w:eastAsia="黑体"/>
          <w:i/>
          <w:kern w:val="2"/>
          <w:sz w:val="32"/>
          <w:szCs w:val="32"/>
          <w:u w:val="single"/>
        </w:rPr>
      </w:pPr>
    </w:p>
    <w:p w14:paraId="553FCA5A">
      <w:pPr>
        <w:jc w:val="center"/>
        <w:rPr>
          <w:rFonts w:eastAsia="黑体"/>
          <w:i/>
          <w:kern w:val="2"/>
          <w:sz w:val="32"/>
          <w:szCs w:val="32"/>
          <w:u w:val="single"/>
        </w:rPr>
      </w:pPr>
    </w:p>
    <w:p w14:paraId="66422FAE">
      <w:pPr>
        <w:jc w:val="center"/>
        <w:rPr>
          <w:rFonts w:eastAsia="黑体"/>
          <w:i/>
          <w:kern w:val="2"/>
          <w:sz w:val="32"/>
          <w:szCs w:val="32"/>
          <w:u w:val="single"/>
        </w:rPr>
      </w:pPr>
    </w:p>
    <w:p w14:paraId="482DC972">
      <w:pPr>
        <w:jc w:val="center"/>
        <w:rPr>
          <w:rFonts w:eastAsia="黑体"/>
          <w:i/>
          <w:kern w:val="2"/>
          <w:sz w:val="32"/>
          <w:szCs w:val="32"/>
          <w:u w:val="single"/>
        </w:rPr>
      </w:pPr>
    </w:p>
    <w:p w14:paraId="133FCCC6">
      <w:pPr>
        <w:jc w:val="center"/>
        <w:rPr>
          <w:rFonts w:eastAsia="黑体"/>
          <w:i/>
          <w:kern w:val="2"/>
          <w:sz w:val="32"/>
          <w:szCs w:val="32"/>
          <w:u w:val="single"/>
        </w:rPr>
      </w:pPr>
    </w:p>
    <w:p w14:paraId="794DD315">
      <w:pPr>
        <w:jc w:val="center"/>
        <w:rPr>
          <w:rFonts w:eastAsia="黑体"/>
          <w:i/>
          <w:kern w:val="2"/>
          <w:sz w:val="32"/>
          <w:szCs w:val="32"/>
          <w:u w:val="single"/>
        </w:rPr>
      </w:pPr>
    </w:p>
    <w:p w14:paraId="4F786816">
      <w:pPr>
        <w:jc w:val="center"/>
        <w:rPr>
          <w:rFonts w:eastAsia="黑体"/>
          <w:i/>
          <w:kern w:val="2"/>
          <w:sz w:val="32"/>
          <w:szCs w:val="32"/>
          <w:u w:val="single"/>
        </w:rPr>
      </w:pPr>
    </w:p>
    <w:p w14:paraId="5DB9871E">
      <w:pPr>
        <w:snapToGrid w:val="0"/>
        <w:spacing w:line="560" w:lineRule="exact"/>
        <w:ind w:firstLine="640" w:firstLineChars="200"/>
        <w:rPr>
          <w:rFonts w:eastAsia="黑体" w:cs="仿宋_GB2312"/>
          <w:i/>
          <w:kern w:val="2"/>
          <w:sz w:val="32"/>
          <w:szCs w:val="32"/>
          <w:u w:val="single"/>
        </w:rPr>
      </w:pPr>
    </w:p>
    <w:p w14:paraId="1F42F9DE">
      <w:pPr>
        <w:snapToGrid w:val="0"/>
        <w:spacing w:line="560" w:lineRule="exact"/>
        <w:ind w:firstLine="640" w:firstLineChars="200"/>
        <w:rPr>
          <w:rFonts w:eastAsia="黑体" w:cs="仿宋_GB2312"/>
          <w:i/>
          <w:kern w:val="2"/>
          <w:sz w:val="32"/>
          <w:szCs w:val="32"/>
          <w:u w:val="single"/>
        </w:rPr>
      </w:pPr>
    </w:p>
    <w:p w14:paraId="2862CA95">
      <w:pPr>
        <w:jc w:val="center"/>
        <w:rPr>
          <w:rFonts w:eastAsia="黑体"/>
          <w:i/>
          <w:kern w:val="2"/>
          <w:sz w:val="32"/>
          <w:szCs w:val="32"/>
          <w:u w:val="single"/>
        </w:rPr>
      </w:pPr>
    </w:p>
    <w:p w14:paraId="24709569">
      <w:pPr>
        <w:jc w:val="center"/>
        <w:rPr>
          <w:rFonts w:eastAsia="黑体"/>
          <w:i/>
          <w:kern w:val="2"/>
          <w:sz w:val="32"/>
          <w:szCs w:val="32"/>
          <w:u w:val="single"/>
        </w:rPr>
      </w:pPr>
    </w:p>
    <w:p w14:paraId="52C95EAB">
      <w:pPr>
        <w:jc w:val="center"/>
        <w:rPr>
          <w:rFonts w:eastAsia="黑体"/>
          <w:i/>
          <w:kern w:val="2"/>
          <w:sz w:val="32"/>
          <w:szCs w:val="32"/>
          <w:u w:val="single"/>
        </w:rPr>
      </w:pPr>
    </w:p>
    <w:p w14:paraId="569C6509">
      <w:pPr>
        <w:rPr>
          <w:b/>
          <w:sz w:val="32"/>
          <w:szCs w:val="32"/>
        </w:rPr>
      </w:pPr>
      <w:r>
        <w:rPr>
          <w:rFonts w:hint="eastAsia"/>
          <w:b/>
          <w:sz w:val="32"/>
          <w:szCs w:val="32"/>
        </w:rPr>
        <w:t>四、法人授权书</w:t>
      </w:r>
    </w:p>
    <w:p w14:paraId="150BBE57">
      <w:pPr>
        <w:pStyle w:val="33"/>
        <w:ind w:firstLine="480"/>
        <w:rPr>
          <w:sz w:val="24"/>
          <w:szCs w:val="24"/>
        </w:rPr>
      </w:pPr>
      <w:r>
        <w:rPr>
          <w:rFonts w:hint="eastAsia"/>
          <w:sz w:val="24"/>
          <w:szCs w:val="24"/>
        </w:rPr>
        <w:t>本授权书声明：____________（投标人名称）授权________________（被授权人的姓名）为我方就JSZC-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73BC6415">
      <w:pPr>
        <w:pStyle w:val="33"/>
        <w:ind w:firstLine="480"/>
        <w:rPr>
          <w:sz w:val="24"/>
          <w:szCs w:val="24"/>
        </w:rPr>
      </w:pPr>
      <w:r>
        <w:rPr>
          <w:rFonts w:hint="eastAsia"/>
          <w:sz w:val="24"/>
          <w:szCs w:val="24"/>
        </w:rPr>
        <w:t>本授权书于______年____月____日起生效，特此声明。</w:t>
      </w:r>
    </w:p>
    <w:p w14:paraId="0DB94C89">
      <w:pPr>
        <w:pStyle w:val="33"/>
        <w:ind w:firstLine="0" w:firstLineChars="0"/>
        <w:rPr>
          <w:sz w:val="24"/>
          <w:szCs w:val="24"/>
          <w:u w:val="single"/>
        </w:rPr>
      </w:pPr>
      <w:r>
        <w:rPr>
          <w:rFonts w:hint="eastAsia"/>
          <w:sz w:val="24"/>
          <w:szCs w:val="24"/>
        </w:rPr>
        <w:t xml:space="preserve">          被授权人身份证号码：</w:t>
      </w:r>
      <w:r>
        <w:rPr>
          <w:rFonts w:hint="eastAsia"/>
          <w:sz w:val="24"/>
          <w:szCs w:val="24"/>
          <w:u w:val="single"/>
        </w:rPr>
        <w:t xml:space="preserve">                              </w:t>
      </w:r>
    </w:p>
    <w:p w14:paraId="0F5A6E6F">
      <w:pPr>
        <w:pStyle w:val="33"/>
        <w:ind w:firstLine="0" w:firstLineChars="0"/>
        <w:rPr>
          <w:sz w:val="24"/>
          <w:szCs w:val="24"/>
          <w:u w:val="single"/>
        </w:rPr>
      </w:pPr>
      <w:r>
        <w:rPr>
          <w:rFonts w:hint="eastAsia"/>
          <w:sz w:val="24"/>
          <w:szCs w:val="24"/>
        </w:rPr>
        <w:t xml:space="preserve">          被授权人联系电话：（手机）</w:t>
      </w:r>
      <w:r>
        <w:rPr>
          <w:rFonts w:hint="eastAsia"/>
          <w:sz w:val="24"/>
          <w:szCs w:val="24"/>
          <w:u w:val="single"/>
        </w:rPr>
        <w:t xml:space="preserve">                          </w:t>
      </w:r>
    </w:p>
    <w:p w14:paraId="3837AADF">
      <w:pPr>
        <w:pStyle w:val="33"/>
        <w:ind w:firstLine="1200" w:firstLineChars="500"/>
        <w:rPr>
          <w:sz w:val="24"/>
          <w:szCs w:val="24"/>
        </w:rPr>
      </w:pPr>
      <w:r>
        <w:rPr>
          <w:rFonts w:hint="eastAsia"/>
          <w:sz w:val="24"/>
          <w:szCs w:val="24"/>
        </w:rPr>
        <w:t>授权单位名称：</w:t>
      </w:r>
      <w:r>
        <w:rPr>
          <w:rFonts w:hint="eastAsia"/>
          <w:sz w:val="24"/>
          <w:szCs w:val="24"/>
          <w:u w:val="single"/>
        </w:rPr>
        <w:t>（加盖CA电子公章）</w:t>
      </w:r>
    </w:p>
    <w:p w14:paraId="7DFBFF94">
      <w:pPr>
        <w:pStyle w:val="33"/>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6AA8C354">
      <w:pPr>
        <w:pStyle w:val="33"/>
        <w:ind w:firstLine="480"/>
        <w:rPr>
          <w:sz w:val="24"/>
          <w:szCs w:val="24"/>
        </w:rPr>
      </w:pPr>
      <w:r>
        <w:rPr>
          <w:rFonts w:hint="eastAsia"/>
          <w:sz w:val="24"/>
          <w:szCs w:val="24"/>
        </w:rPr>
        <w:t xml:space="preserve">      日期：</w:t>
      </w:r>
      <w:bookmarkStart w:id="219" w:name="_Hlt26671380"/>
      <w:bookmarkEnd w:id="219"/>
      <w:bookmarkStart w:id="220" w:name="_格式3__银行出具的资信证明"/>
      <w:bookmarkEnd w:id="220"/>
      <w:bookmarkStart w:id="221" w:name="_Hlt26955070"/>
      <w:bookmarkEnd w:id="221"/>
      <w:r>
        <w:rPr>
          <w:rFonts w:hint="eastAsia"/>
          <w:sz w:val="24"/>
          <w:szCs w:val="24"/>
          <w:u w:val="single"/>
        </w:rPr>
        <w:t xml:space="preserve">                                         </w:t>
      </w:r>
    </w:p>
    <w:p w14:paraId="34E6996B">
      <w:pPr>
        <w:rPr>
          <w:rFonts w:eastAsia="仿宋_GB2312"/>
          <w:kern w:val="2"/>
          <w:sz w:val="24"/>
          <w:szCs w:val="20"/>
        </w:rPr>
      </w:pPr>
      <w:r>
        <w:rPr>
          <w:rFonts w:hint="eastAsia"/>
          <w:kern w:val="2"/>
        </w:rPr>
        <w:br w:type="page"/>
      </w:r>
      <w:r>
        <w:rPr>
          <w:rFonts w:hint="eastAsia" w:eastAsia="黑体"/>
          <w:b/>
          <w:i/>
          <w:kern w:val="2"/>
          <w:sz w:val="32"/>
          <w:szCs w:val="32"/>
          <w:u w:val="single"/>
          <w:lang w:val="en-US" w:eastAsia="zh-CN"/>
        </w:rPr>
        <w:t>五</w:t>
      </w:r>
      <w:r>
        <w:rPr>
          <w:rFonts w:hint="eastAsia" w:eastAsia="黑体"/>
          <w:b/>
          <w:i/>
          <w:kern w:val="2"/>
          <w:sz w:val="32"/>
          <w:szCs w:val="32"/>
          <w:u w:val="single"/>
        </w:rPr>
        <w:t>、开标一览表</w:t>
      </w:r>
      <w:r>
        <w:rPr>
          <w:rFonts w:hint="eastAsia"/>
          <w:kern w:val="2"/>
          <w:highlight w:val="yellow"/>
        </w:rPr>
        <w:t>（备注：确定后该备注删除。）</w:t>
      </w:r>
    </w:p>
    <w:p w14:paraId="33E68920">
      <w:pPr>
        <w:ind w:firstLine="480"/>
        <w:rPr>
          <w:kern w:val="2"/>
          <w:sz w:val="24"/>
          <w:szCs w:val="24"/>
        </w:rPr>
      </w:pPr>
      <w:r>
        <w:rPr>
          <w:rFonts w:hint="eastAsia"/>
          <w:kern w:val="2"/>
          <w:sz w:val="24"/>
          <w:szCs w:val="24"/>
        </w:rPr>
        <w:t>投标人全称（加盖CA电子签章）：</w:t>
      </w:r>
    </w:p>
    <w:p w14:paraId="092926F6">
      <w:pPr>
        <w:ind w:firstLine="480"/>
        <w:rPr>
          <w:kern w:val="2"/>
          <w:sz w:val="24"/>
          <w:szCs w:val="24"/>
        </w:rPr>
      </w:pPr>
      <w:r>
        <w:rPr>
          <w:rFonts w:hint="eastAsia"/>
          <w:kern w:val="2"/>
          <w:sz w:val="24"/>
          <w:szCs w:val="24"/>
        </w:rPr>
        <w:t>项目名称：</w:t>
      </w:r>
    </w:p>
    <w:p w14:paraId="41108F6D">
      <w:pPr>
        <w:ind w:firstLine="480"/>
        <w:rPr>
          <w:kern w:val="2"/>
          <w:sz w:val="24"/>
          <w:szCs w:val="24"/>
        </w:rPr>
      </w:pPr>
      <w:r>
        <w:rPr>
          <w:rFonts w:hint="eastAsia"/>
          <w:kern w:val="2"/>
          <w:sz w:val="24"/>
          <w:szCs w:val="24"/>
        </w:rPr>
        <w:t>招标编号：                                   分包号：</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1372F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vAlign w:val="center"/>
          </w:tcPr>
          <w:p w14:paraId="60D37C96">
            <w:pPr>
              <w:rPr>
                <w:kern w:val="2"/>
                <w:sz w:val="24"/>
                <w:szCs w:val="24"/>
              </w:rPr>
            </w:pPr>
            <w:r>
              <w:rPr>
                <w:rFonts w:hint="eastAsia" w:cs="宋体"/>
                <w:kern w:val="2"/>
                <w:sz w:val="24"/>
                <w:szCs w:val="24"/>
              </w:rPr>
              <w:t xml:space="preserve">                      </w:t>
            </w:r>
            <w:r>
              <w:rPr>
                <w:rFonts w:hint="eastAsia"/>
                <w:kern w:val="2"/>
                <w:sz w:val="24"/>
                <w:szCs w:val="24"/>
              </w:rPr>
              <w:t>投标总报价</w:t>
            </w:r>
          </w:p>
        </w:tc>
      </w:tr>
      <w:tr w14:paraId="27AA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vAlign w:val="center"/>
          </w:tcPr>
          <w:p w14:paraId="1FB0739C">
            <w:pPr>
              <w:adjustRightInd w:val="0"/>
              <w:spacing w:line="500" w:lineRule="exact"/>
              <w:jc w:val="left"/>
              <w:textAlignment w:val="baseline"/>
              <w:rPr>
                <w:kern w:val="2"/>
                <w:sz w:val="24"/>
              </w:rPr>
            </w:pPr>
            <w:r>
              <w:rPr>
                <w:rFonts w:hint="eastAsia" w:cs="宋体"/>
                <w:sz w:val="24"/>
                <w:szCs w:val="24"/>
              </w:rPr>
              <w:t>小写：                             （人民币：元）</w:t>
            </w:r>
          </w:p>
        </w:tc>
      </w:tr>
    </w:tbl>
    <w:p w14:paraId="41CCE91E">
      <w:pPr>
        <w:rPr>
          <w:kern w:val="2"/>
          <w:sz w:val="24"/>
          <w:szCs w:val="24"/>
        </w:rPr>
      </w:pPr>
    </w:p>
    <w:p w14:paraId="726CEB30">
      <w:pPr>
        <w:ind w:firstLine="480"/>
        <w:rPr>
          <w:kern w:val="2"/>
          <w:sz w:val="24"/>
          <w:szCs w:val="24"/>
        </w:rPr>
      </w:pPr>
      <w:r>
        <w:rPr>
          <w:rFonts w:hint="eastAsia"/>
          <w:kern w:val="2"/>
          <w:sz w:val="24"/>
          <w:szCs w:val="24"/>
        </w:rPr>
        <w:t xml:space="preserve">                                              日期：  </w:t>
      </w:r>
      <w:r>
        <w:rPr>
          <w:rFonts w:hint="eastAsia"/>
          <w:kern w:val="2"/>
          <w:sz w:val="24"/>
          <w:szCs w:val="24"/>
          <w:u w:val="single"/>
        </w:rPr>
        <w:t xml:space="preserve">     </w:t>
      </w:r>
      <w:r>
        <w:rPr>
          <w:rFonts w:hint="eastAsia"/>
          <w:kern w:val="2"/>
          <w:sz w:val="24"/>
          <w:szCs w:val="24"/>
        </w:rPr>
        <w:t>年</w:t>
      </w:r>
      <w:r>
        <w:rPr>
          <w:rFonts w:hint="eastAsia"/>
          <w:kern w:val="2"/>
          <w:sz w:val="24"/>
          <w:szCs w:val="24"/>
          <w:u w:val="single"/>
        </w:rPr>
        <w:t xml:space="preserve">   </w:t>
      </w:r>
      <w:r>
        <w:rPr>
          <w:rFonts w:hint="eastAsia"/>
          <w:kern w:val="2"/>
          <w:sz w:val="24"/>
          <w:szCs w:val="24"/>
        </w:rPr>
        <w:t>月</w:t>
      </w:r>
      <w:r>
        <w:rPr>
          <w:rFonts w:hint="eastAsia"/>
          <w:kern w:val="2"/>
          <w:sz w:val="24"/>
          <w:szCs w:val="24"/>
          <w:u w:val="single"/>
        </w:rPr>
        <w:t xml:space="preserve">   </w:t>
      </w:r>
      <w:r>
        <w:rPr>
          <w:rFonts w:hint="eastAsia"/>
          <w:kern w:val="2"/>
          <w:sz w:val="24"/>
          <w:szCs w:val="24"/>
        </w:rPr>
        <w:t>日</w:t>
      </w:r>
    </w:p>
    <w:p w14:paraId="488EC33D">
      <w:pPr>
        <w:ind w:firstLine="480"/>
        <w:rPr>
          <w:kern w:val="2"/>
          <w:sz w:val="24"/>
          <w:szCs w:val="24"/>
        </w:rPr>
      </w:pPr>
    </w:p>
    <w:p w14:paraId="24458E92">
      <w:pPr>
        <w:ind w:firstLine="480"/>
        <w:rPr>
          <w:kern w:val="2"/>
          <w:sz w:val="24"/>
          <w:szCs w:val="24"/>
        </w:rPr>
      </w:pPr>
    </w:p>
    <w:p w14:paraId="1BB92B85">
      <w:pPr>
        <w:ind w:firstLine="480"/>
        <w:rPr>
          <w:kern w:val="2"/>
          <w:sz w:val="24"/>
          <w:szCs w:val="24"/>
        </w:rPr>
      </w:pPr>
    </w:p>
    <w:p w14:paraId="1A5759B2">
      <w:pPr>
        <w:adjustRightInd w:val="0"/>
        <w:spacing w:line="420" w:lineRule="exact"/>
        <w:ind w:left="420" w:leftChars="200" w:firstLine="480" w:firstLineChars="200"/>
        <w:jc w:val="left"/>
        <w:textAlignment w:val="baseline"/>
        <w:rPr>
          <w:kern w:val="2"/>
          <w:sz w:val="24"/>
        </w:rPr>
      </w:pPr>
    </w:p>
    <w:p w14:paraId="401D61F6">
      <w:pPr>
        <w:adjustRightInd w:val="0"/>
        <w:spacing w:line="420" w:lineRule="exact"/>
        <w:ind w:left="420" w:leftChars="200" w:firstLine="480" w:firstLineChars="200"/>
        <w:jc w:val="left"/>
        <w:textAlignment w:val="baseline"/>
        <w:rPr>
          <w:kern w:val="2"/>
          <w:sz w:val="24"/>
        </w:rPr>
      </w:pPr>
    </w:p>
    <w:p w14:paraId="62873CE6">
      <w:pPr>
        <w:adjustRightInd w:val="0"/>
        <w:spacing w:line="420" w:lineRule="exact"/>
        <w:ind w:left="420" w:leftChars="200" w:firstLine="480" w:firstLineChars="200"/>
        <w:jc w:val="left"/>
        <w:textAlignment w:val="baseline"/>
        <w:rPr>
          <w:kern w:val="2"/>
          <w:sz w:val="24"/>
        </w:rPr>
      </w:pPr>
    </w:p>
    <w:p w14:paraId="33118C4B">
      <w:pPr>
        <w:adjustRightInd w:val="0"/>
        <w:spacing w:line="420" w:lineRule="exact"/>
        <w:ind w:left="420" w:leftChars="200" w:firstLine="480" w:firstLineChars="200"/>
        <w:jc w:val="left"/>
        <w:textAlignment w:val="baseline"/>
        <w:rPr>
          <w:kern w:val="2"/>
          <w:sz w:val="24"/>
        </w:rPr>
      </w:pPr>
    </w:p>
    <w:p w14:paraId="27BD6FFA">
      <w:pPr>
        <w:adjustRightInd w:val="0"/>
        <w:spacing w:line="420" w:lineRule="exact"/>
        <w:ind w:left="420" w:leftChars="200" w:firstLine="480" w:firstLineChars="200"/>
        <w:jc w:val="left"/>
        <w:textAlignment w:val="baseline"/>
        <w:rPr>
          <w:kern w:val="2"/>
          <w:sz w:val="24"/>
        </w:rPr>
      </w:pPr>
    </w:p>
    <w:p w14:paraId="486BB712">
      <w:pPr>
        <w:adjustRightInd w:val="0"/>
        <w:spacing w:line="420" w:lineRule="exact"/>
        <w:ind w:left="420" w:leftChars="200" w:firstLine="480" w:firstLineChars="200"/>
        <w:jc w:val="left"/>
        <w:textAlignment w:val="baseline"/>
        <w:rPr>
          <w:kern w:val="2"/>
          <w:sz w:val="24"/>
        </w:rPr>
      </w:pPr>
    </w:p>
    <w:p w14:paraId="78016AF4">
      <w:pPr>
        <w:adjustRightInd w:val="0"/>
        <w:spacing w:line="420" w:lineRule="exact"/>
        <w:ind w:left="420" w:leftChars="200" w:firstLine="480" w:firstLineChars="200"/>
        <w:jc w:val="left"/>
        <w:textAlignment w:val="baseline"/>
        <w:rPr>
          <w:kern w:val="2"/>
          <w:sz w:val="24"/>
        </w:rPr>
      </w:pPr>
    </w:p>
    <w:p w14:paraId="7B8612FE">
      <w:pPr>
        <w:adjustRightInd w:val="0"/>
        <w:spacing w:line="420" w:lineRule="exact"/>
        <w:ind w:left="420" w:leftChars="200" w:firstLine="480" w:firstLineChars="200"/>
        <w:jc w:val="left"/>
        <w:textAlignment w:val="baseline"/>
        <w:rPr>
          <w:kern w:val="2"/>
          <w:sz w:val="24"/>
        </w:rPr>
      </w:pPr>
    </w:p>
    <w:p w14:paraId="07CF6817">
      <w:pPr>
        <w:adjustRightInd w:val="0"/>
        <w:spacing w:line="420" w:lineRule="exact"/>
        <w:ind w:left="420" w:leftChars="200" w:firstLine="480" w:firstLineChars="200"/>
        <w:jc w:val="left"/>
        <w:textAlignment w:val="baseline"/>
        <w:rPr>
          <w:kern w:val="2"/>
          <w:sz w:val="24"/>
        </w:rPr>
      </w:pPr>
    </w:p>
    <w:p w14:paraId="6C71B900">
      <w:pPr>
        <w:adjustRightInd w:val="0"/>
        <w:spacing w:line="420" w:lineRule="exact"/>
        <w:ind w:left="420" w:leftChars="200" w:firstLine="480" w:firstLineChars="200"/>
        <w:jc w:val="left"/>
        <w:textAlignment w:val="baseline"/>
        <w:rPr>
          <w:kern w:val="2"/>
          <w:sz w:val="24"/>
        </w:rPr>
      </w:pPr>
    </w:p>
    <w:p w14:paraId="6A4C4AAB">
      <w:pPr>
        <w:adjustRightInd w:val="0"/>
        <w:spacing w:line="420" w:lineRule="exact"/>
        <w:ind w:left="420" w:leftChars="200" w:firstLine="480" w:firstLineChars="200"/>
        <w:jc w:val="left"/>
        <w:textAlignment w:val="baseline"/>
        <w:rPr>
          <w:kern w:val="2"/>
          <w:sz w:val="24"/>
        </w:rPr>
      </w:pPr>
    </w:p>
    <w:p w14:paraId="522C2486">
      <w:pPr>
        <w:adjustRightInd w:val="0"/>
        <w:spacing w:line="420" w:lineRule="exact"/>
        <w:ind w:left="420" w:leftChars="200" w:firstLine="480" w:firstLineChars="200"/>
        <w:jc w:val="left"/>
        <w:textAlignment w:val="baseline"/>
        <w:rPr>
          <w:kern w:val="2"/>
          <w:sz w:val="24"/>
        </w:rPr>
      </w:pPr>
    </w:p>
    <w:p w14:paraId="71EFD113">
      <w:pPr>
        <w:adjustRightInd w:val="0"/>
        <w:spacing w:line="420" w:lineRule="exact"/>
        <w:ind w:left="420" w:leftChars="200" w:firstLine="480" w:firstLineChars="200"/>
        <w:jc w:val="left"/>
        <w:textAlignment w:val="baseline"/>
        <w:rPr>
          <w:kern w:val="2"/>
          <w:sz w:val="24"/>
        </w:rPr>
      </w:pPr>
    </w:p>
    <w:p w14:paraId="426DEDC7">
      <w:pPr>
        <w:adjustRightInd w:val="0"/>
        <w:spacing w:line="420" w:lineRule="exact"/>
        <w:ind w:left="420" w:leftChars="200" w:firstLine="480" w:firstLineChars="200"/>
        <w:jc w:val="left"/>
        <w:textAlignment w:val="baseline"/>
        <w:rPr>
          <w:kern w:val="2"/>
          <w:sz w:val="24"/>
        </w:rPr>
      </w:pPr>
    </w:p>
    <w:p w14:paraId="30BD6D04">
      <w:pPr>
        <w:adjustRightInd w:val="0"/>
        <w:spacing w:line="420" w:lineRule="exact"/>
        <w:ind w:left="420" w:leftChars="200" w:firstLine="480" w:firstLineChars="200"/>
        <w:jc w:val="left"/>
        <w:textAlignment w:val="baseline"/>
        <w:rPr>
          <w:kern w:val="2"/>
          <w:sz w:val="24"/>
        </w:rPr>
      </w:pPr>
    </w:p>
    <w:p w14:paraId="03B11936">
      <w:pPr>
        <w:adjustRightInd w:val="0"/>
        <w:spacing w:line="420" w:lineRule="exact"/>
        <w:ind w:left="420" w:leftChars="200" w:firstLine="480" w:firstLineChars="200"/>
        <w:jc w:val="left"/>
        <w:textAlignment w:val="baseline"/>
        <w:rPr>
          <w:kern w:val="2"/>
          <w:sz w:val="24"/>
        </w:rPr>
      </w:pPr>
    </w:p>
    <w:p w14:paraId="4438C526">
      <w:pPr>
        <w:adjustRightInd w:val="0"/>
        <w:spacing w:line="420" w:lineRule="exact"/>
        <w:ind w:left="420" w:leftChars="200" w:firstLine="480" w:firstLineChars="200"/>
        <w:jc w:val="left"/>
        <w:textAlignment w:val="baseline"/>
        <w:rPr>
          <w:kern w:val="2"/>
          <w:sz w:val="24"/>
        </w:rPr>
      </w:pPr>
    </w:p>
    <w:p w14:paraId="5891077F">
      <w:pPr>
        <w:jc w:val="center"/>
        <w:rPr>
          <w:bCs/>
          <w:kern w:val="2"/>
          <w:sz w:val="24"/>
        </w:rPr>
      </w:pPr>
    </w:p>
    <w:p w14:paraId="72A646BB">
      <w:pPr>
        <w:jc w:val="center"/>
        <w:rPr>
          <w:bCs/>
          <w:kern w:val="2"/>
          <w:sz w:val="24"/>
        </w:rPr>
      </w:pPr>
    </w:p>
    <w:p w14:paraId="28AD59A8">
      <w:pPr>
        <w:jc w:val="center"/>
        <w:rPr>
          <w:bCs/>
          <w:kern w:val="2"/>
          <w:sz w:val="24"/>
        </w:rPr>
      </w:pPr>
    </w:p>
    <w:p w14:paraId="0036EC9C">
      <w:pPr>
        <w:jc w:val="center"/>
        <w:rPr>
          <w:bCs/>
          <w:kern w:val="2"/>
          <w:sz w:val="24"/>
        </w:rPr>
      </w:pPr>
    </w:p>
    <w:p w14:paraId="6F32607C">
      <w:pPr>
        <w:jc w:val="center"/>
        <w:rPr>
          <w:bCs/>
          <w:kern w:val="2"/>
          <w:sz w:val="24"/>
        </w:rPr>
      </w:pPr>
    </w:p>
    <w:p w14:paraId="088D9D49">
      <w:pPr>
        <w:jc w:val="center"/>
        <w:rPr>
          <w:bCs/>
          <w:kern w:val="2"/>
          <w:sz w:val="24"/>
        </w:rPr>
      </w:pPr>
    </w:p>
    <w:p w14:paraId="13D09A84">
      <w:pPr>
        <w:rPr>
          <w:b/>
          <w:sz w:val="32"/>
          <w:szCs w:val="32"/>
        </w:rPr>
      </w:pPr>
      <w:r>
        <w:rPr>
          <w:rFonts w:hint="eastAsia"/>
          <w:b/>
          <w:sz w:val="32"/>
          <w:szCs w:val="32"/>
          <w:lang w:val="en-US" w:eastAsia="zh-CN"/>
        </w:rPr>
        <w:t>六</w:t>
      </w:r>
      <w:r>
        <w:rPr>
          <w:rFonts w:hint="eastAsia"/>
          <w:b/>
          <w:sz w:val="32"/>
          <w:szCs w:val="32"/>
        </w:rPr>
        <w:t>、投标报价明细表（分包号：**）</w:t>
      </w:r>
    </w:p>
    <w:tbl>
      <w:tblPr>
        <w:tblStyle w:val="1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036"/>
        <w:gridCol w:w="966"/>
        <w:gridCol w:w="1414"/>
        <w:gridCol w:w="784"/>
        <w:gridCol w:w="980"/>
        <w:gridCol w:w="727"/>
        <w:gridCol w:w="1372"/>
        <w:gridCol w:w="1246"/>
      </w:tblGrid>
      <w:tr w14:paraId="6098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56" w:type="dxa"/>
          </w:tcPr>
          <w:p w14:paraId="2EE9B29B">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序号</w:t>
            </w:r>
          </w:p>
        </w:tc>
        <w:tc>
          <w:tcPr>
            <w:tcW w:w="1036" w:type="dxa"/>
            <w:vAlign w:val="center"/>
          </w:tcPr>
          <w:p w14:paraId="16A21AF0">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1</w:t>
            </w:r>
          </w:p>
        </w:tc>
        <w:tc>
          <w:tcPr>
            <w:tcW w:w="966" w:type="dxa"/>
            <w:vAlign w:val="center"/>
          </w:tcPr>
          <w:p w14:paraId="0BE4B8E9">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2</w:t>
            </w:r>
          </w:p>
        </w:tc>
        <w:tc>
          <w:tcPr>
            <w:tcW w:w="1414" w:type="dxa"/>
            <w:vAlign w:val="center"/>
          </w:tcPr>
          <w:p w14:paraId="56EAB836">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3</w:t>
            </w:r>
          </w:p>
        </w:tc>
        <w:tc>
          <w:tcPr>
            <w:tcW w:w="784" w:type="dxa"/>
            <w:vAlign w:val="center"/>
          </w:tcPr>
          <w:p w14:paraId="29F38C35">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4</w:t>
            </w:r>
          </w:p>
        </w:tc>
        <w:tc>
          <w:tcPr>
            <w:tcW w:w="980" w:type="dxa"/>
            <w:vAlign w:val="center"/>
          </w:tcPr>
          <w:p w14:paraId="328F7793">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5</w:t>
            </w:r>
          </w:p>
        </w:tc>
        <w:tc>
          <w:tcPr>
            <w:tcW w:w="727" w:type="dxa"/>
            <w:vAlign w:val="center"/>
          </w:tcPr>
          <w:p w14:paraId="4E1F6A64">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6</w:t>
            </w:r>
          </w:p>
        </w:tc>
        <w:tc>
          <w:tcPr>
            <w:tcW w:w="1372" w:type="dxa"/>
            <w:vAlign w:val="center"/>
          </w:tcPr>
          <w:p w14:paraId="69C3E060">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7</w:t>
            </w:r>
          </w:p>
        </w:tc>
        <w:tc>
          <w:tcPr>
            <w:tcW w:w="1246" w:type="dxa"/>
            <w:vAlign w:val="center"/>
          </w:tcPr>
          <w:p w14:paraId="1541CD32">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8</w:t>
            </w:r>
          </w:p>
        </w:tc>
      </w:tr>
      <w:tr w14:paraId="7F42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56" w:type="dxa"/>
            <w:vAlign w:val="center"/>
          </w:tcPr>
          <w:p w14:paraId="77F7E2F5">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1</w:t>
            </w:r>
          </w:p>
        </w:tc>
        <w:tc>
          <w:tcPr>
            <w:tcW w:w="1036" w:type="dxa"/>
            <w:vAlign w:val="center"/>
          </w:tcPr>
          <w:p w14:paraId="7C8B9555">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产品</w:t>
            </w:r>
          </w:p>
          <w:p w14:paraId="3923A27C">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名称</w:t>
            </w:r>
          </w:p>
        </w:tc>
        <w:tc>
          <w:tcPr>
            <w:tcW w:w="966" w:type="dxa"/>
            <w:vAlign w:val="center"/>
          </w:tcPr>
          <w:p w14:paraId="34195D20">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品牌</w:t>
            </w:r>
          </w:p>
        </w:tc>
        <w:tc>
          <w:tcPr>
            <w:tcW w:w="1414" w:type="dxa"/>
            <w:vAlign w:val="center"/>
          </w:tcPr>
          <w:p w14:paraId="572D0595">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规格</w:t>
            </w:r>
          </w:p>
          <w:p w14:paraId="3109D1BC">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型号</w:t>
            </w:r>
          </w:p>
        </w:tc>
        <w:tc>
          <w:tcPr>
            <w:tcW w:w="784" w:type="dxa"/>
            <w:vAlign w:val="center"/>
          </w:tcPr>
          <w:p w14:paraId="28610544">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产地</w:t>
            </w:r>
          </w:p>
        </w:tc>
        <w:tc>
          <w:tcPr>
            <w:tcW w:w="980" w:type="dxa"/>
            <w:vAlign w:val="center"/>
          </w:tcPr>
          <w:p w14:paraId="10CED487">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交付期</w:t>
            </w:r>
          </w:p>
        </w:tc>
        <w:tc>
          <w:tcPr>
            <w:tcW w:w="727" w:type="dxa"/>
            <w:vAlign w:val="center"/>
          </w:tcPr>
          <w:p w14:paraId="03FC1296">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数量</w:t>
            </w:r>
          </w:p>
        </w:tc>
        <w:tc>
          <w:tcPr>
            <w:tcW w:w="1372" w:type="dxa"/>
            <w:vAlign w:val="center"/>
          </w:tcPr>
          <w:p w14:paraId="25E7C435">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分项单价</w:t>
            </w:r>
          </w:p>
        </w:tc>
        <w:tc>
          <w:tcPr>
            <w:tcW w:w="1246" w:type="dxa"/>
            <w:vAlign w:val="center"/>
          </w:tcPr>
          <w:p w14:paraId="6222BCD0">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分项总价</w:t>
            </w:r>
          </w:p>
        </w:tc>
      </w:tr>
      <w:tr w14:paraId="319E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56" w:type="dxa"/>
            <w:vAlign w:val="center"/>
          </w:tcPr>
          <w:p w14:paraId="6185AF31">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2</w:t>
            </w:r>
          </w:p>
        </w:tc>
        <w:tc>
          <w:tcPr>
            <w:tcW w:w="1036" w:type="dxa"/>
            <w:vAlign w:val="center"/>
          </w:tcPr>
          <w:p w14:paraId="48306D1F">
            <w:pPr>
              <w:spacing w:line="0" w:lineRule="atLeast"/>
              <w:rPr>
                <w:rFonts w:hint="eastAsia" w:ascii="宋体" w:hAnsi="宋体"/>
                <w:color w:val="000000"/>
                <w:kern w:val="2"/>
                <w:sz w:val="24"/>
                <w:szCs w:val="24"/>
              </w:rPr>
            </w:pPr>
          </w:p>
        </w:tc>
        <w:tc>
          <w:tcPr>
            <w:tcW w:w="966" w:type="dxa"/>
            <w:vAlign w:val="center"/>
          </w:tcPr>
          <w:p w14:paraId="6D0F08A9">
            <w:pPr>
              <w:spacing w:line="0" w:lineRule="atLeast"/>
              <w:rPr>
                <w:rFonts w:hint="eastAsia" w:ascii="宋体" w:hAnsi="宋体"/>
                <w:color w:val="000000"/>
                <w:kern w:val="2"/>
                <w:sz w:val="24"/>
                <w:szCs w:val="24"/>
              </w:rPr>
            </w:pPr>
          </w:p>
        </w:tc>
        <w:tc>
          <w:tcPr>
            <w:tcW w:w="1414" w:type="dxa"/>
            <w:vAlign w:val="center"/>
          </w:tcPr>
          <w:p w14:paraId="18BACAF2">
            <w:pPr>
              <w:spacing w:line="0" w:lineRule="atLeast"/>
              <w:rPr>
                <w:rFonts w:hint="eastAsia" w:ascii="宋体" w:hAnsi="宋体"/>
                <w:color w:val="000000"/>
                <w:kern w:val="2"/>
                <w:sz w:val="24"/>
                <w:szCs w:val="24"/>
              </w:rPr>
            </w:pPr>
          </w:p>
        </w:tc>
        <w:tc>
          <w:tcPr>
            <w:tcW w:w="784" w:type="dxa"/>
            <w:vAlign w:val="center"/>
          </w:tcPr>
          <w:p w14:paraId="33410E5A">
            <w:pPr>
              <w:spacing w:line="0" w:lineRule="atLeast"/>
              <w:rPr>
                <w:rFonts w:hint="eastAsia" w:ascii="宋体" w:hAnsi="宋体"/>
                <w:color w:val="000000"/>
                <w:kern w:val="2"/>
                <w:sz w:val="24"/>
                <w:szCs w:val="24"/>
              </w:rPr>
            </w:pPr>
          </w:p>
        </w:tc>
        <w:tc>
          <w:tcPr>
            <w:tcW w:w="980" w:type="dxa"/>
            <w:vAlign w:val="center"/>
          </w:tcPr>
          <w:p w14:paraId="0C444C98">
            <w:pPr>
              <w:spacing w:line="0" w:lineRule="atLeast"/>
              <w:rPr>
                <w:rFonts w:hint="eastAsia" w:ascii="宋体" w:hAnsi="宋体"/>
                <w:color w:val="000000"/>
                <w:kern w:val="2"/>
                <w:sz w:val="24"/>
                <w:szCs w:val="24"/>
              </w:rPr>
            </w:pPr>
          </w:p>
        </w:tc>
        <w:tc>
          <w:tcPr>
            <w:tcW w:w="727" w:type="dxa"/>
            <w:vAlign w:val="center"/>
          </w:tcPr>
          <w:p w14:paraId="44131895">
            <w:pPr>
              <w:spacing w:line="0" w:lineRule="atLeast"/>
              <w:rPr>
                <w:rFonts w:hint="eastAsia" w:ascii="宋体" w:hAnsi="宋体"/>
                <w:color w:val="000000"/>
                <w:kern w:val="2"/>
                <w:sz w:val="24"/>
                <w:szCs w:val="24"/>
              </w:rPr>
            </w:pPr>
          </w:p>
        </w:tc>
        <w:tc>
          <w:tcPr>
            <w:tcW w:w="1372" w:type="dxa"/>
            <w:vAlign w:val="center"/>
          </w:tcPr>
          <w:p w14:paraId="51936503">
            <w:pPr>
              <w:spacing w:line="0" w:lineRule="atLeast"/>
              <w:rPr>
                <w:rFonts w:hint="eastAsia" w:ascii="宋体" w:hAnsi="宋体"/>
                <w:color w:val="000000"/>
                <w:kern w:val="2"/>
                <w:sz w:val="24"/>
                <w:szCs w:val="24"/>
              </w:rPr>
            </w:pPr>
          </w:p>
        </w:tc>
        <w:tc>
          <w:tcPr>
            <w:tcW w:w="1246" w:type="dxa"/>
            <w:vAlign w:val="center"/>
          </w:tcPr>
          <w:p w14:paraId="3D30CE7E">
            <w:pPr>
              <w:spacing w:line="0" w:lineRule="atLeast"/>
              <w:rPr>
                <w:rFonts w:hint="eastAsia" w:ascii="宋体" w:hAnsi="宋体"/>
                <w:color w:val="000000"/>
                <w:kern w:val="2"/>
                <w:sz w:val="24"/>
                <w:szCs w:val="24"/>
              </w:rPr>
            </w:pPr>
          </w:p>
        </w:tc>
      </w:tr>
      <w:tr w14:paraId="1DFB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56" w:type="dxa"/>
            <w:vAlign w:val="center"/>
          </w:tcPr>
          <w:p w14:paraId="4956AD17">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3</w:t>
            </w:r>
          </w:p>
        </w:tc>
        <w:tc>
          <w:tcPr>
            <w:tcW w:w="1036" w:type="dxa"/>
            <w:vAlign w:val="center"/>
          </w:tcPr>
          <w:p w14:paraId="1F59A98E">
            <w:pPr>
              <w:spacing w:line="0" w:lineRule="atLeast"/>
              <w:rPr>
                <w:rFonts w:hint="eastAsia" w:ascii="宋体" w:hAnsi="宋体"/>
                <w:color w:val="000000"/>
                <w:kern w:val="2"/>
                <w:sz w:val="24"/>
                <w:szCs w:val="24"/>
              </w:rPr>
            </w:pPr>
          </w:p>
        </w:tc>
        <w:tc>
          <w:tcPr>
            <w:tcW w:w="966" w:type="dxa"/>
            <w:vAlign w:val="center"/>
          </w:tcPr>
          <w:p w14:paraId="68EFA338">
            <w:pPr>
              <w:spacing w:line="0" w:lineRule="atLeast"/>
              <w:rPr>
                <w:rFonts w:hint="eastAsia" w:ascii="宋体" w:hAnsi="宋体"/>
                <w:color w:val="000000"/>
                <w:kern w:val="2"/>
                <w:sz w:val="24"/>
                <w:szCs w:val="24"/>
              </w:rPr>
            </w:pPr>
          </w:p>
        </w:tc>
        <w:tc>
          <w:tcPr>
            <w:tcW w:w="1414" w:type="dxa"/>
            <w:vAlign w:val="center"/>
          </w:tcPr>
          <w:p w14:paraId="1E07681F">
            <w:pPr>
              <w:spacing w:line="0" w:lineRule="atLeast"/>
              <w:rPr>
                <w:rFonts w:hint="eastAsia" w:ascii="宋体" w:hAnsi="宋体"/>
                <w:color w:val="000000"/>
                <w:kern w:val="2"/>
                <w:sz w:val="24"/>
                <w:szCs w:val="24"/>
              </w:rPr>
            </w:pPr>
          </w:p>
        </w:tc>
        <w:tc>
          <w:tcPr>
            <w:tcW w:w="784" w:type="dxa"/>
            <w:vAlign w:val="center"/>
          </w:tcPr>
          <w:p w14:paraId="17A31EE5">
            <w:pPr>
              <w:spacing w:line="0" w:lineRule="atLeast"/>
              <w:rPr>
                <w:rFonts w:hint="eastAsia" w:ascii="宋体" w:hAnsi="宋体"/>
                <w:color w:val="000000"/>
                <w:kern w:val="2"/>
                <w:sz w:val="24"/>
                <w:szCs w:val="24"/>
              </w:rPr>
            </w:pPr>
          </w:p>
        </w:tc>
        <w:tc>
          <w:tcPr>
            <w:tcW w:w="980" w:type="dxa"/>
            <w:vAlign w:val="center"/>
          </w:tcPr>
          <w:p w14:paraId="2B4EF31C">
            <w:pPr>
              <w:spacing w:line="0" w:lineRule="atLeast"/>
              <w:rPr>
                <w:rFonts w:hint="eastAsia" w:ascii="宋体" w:hAnsi="宋体"/>
                <w:color w:val="000000"/>
                <w:kern w:val="2"/>
                <w:sz w:val="24"/>
                <w:szCs w:val="24"/>
              </w:rPr>
            </w:pPr>
          </w:p>
        </w:tc>
        <w:tc>
          <w:tcPr>
            <w:tcW w:w="727" w:type="dxa"/>
            <w:vAlign w:val="center"/>
          </w:tcPr>
          <w:p w14:paraId="06BB7BE1">
            <w:pPr>
              <w:spacing w:line="0" w:lineRule="atLeast"/>
              <w:rPr>
                <w:rFonts w:hint="eastAsia" w:ascii="宋体" w:hAnsi="宋体"/>
                <w:color w:val="000000"/>
                <w:kern w:val="2"/>
                <w:sz w:val="24"/>
                <w:szCs w:val="24"/>
              </w:rPr>
            </w:pPr>
          </w:p>
        </w:tc>
        <w:tc>
          <w:tcPr>
            <w:tcW w:w="1372" w:type="dxa"/>
            <w:vAlign w:val="center"/>
          </w:tcPr>
          <w:p w14:paraId="5534F24E">
            <w:pPr>
              <w:spacing w:line="0" w:lineRule="atLeast"/>
              <w:rPr>
                <w:rFonts w:hint="eastAsia" w:ascii="宋体" w:hAnsi="宋体"/>
                <w:color w:val="000000"/>
                <w:kern w:val="2"/>
                <w:sz w:val="24"/>
                <w:szCs w:val="24"/>
              </w:rPr>
            </w:pPr>
          </w:p>
        </w:tc>
        <w:tc>
          <w:tcPr>
            <w:tcW w:w="1246" w:type="dxa"/>
            <w:vAlign w:val="center"/>
          </w:tcPr>
          <w:p w14:paraId="2F7E30EE">
            <w:pPr>
              <w:spacing w:line="0" w:lineRule="atLeast"/>
              <w:rPr>
                <w:rFonts w:hint="eastAsia" w:ascii="宋体" w:hAnsi="宋体"/>
                <w:color w:val="000000"/>
                <w:kern w:val="2"/>
                <w:sz w:val="24"/>
                <w:szCs w:val="24"/>
              </w:rPr>
            </w:pPr>
          </w:p>
        </w:tc>
      </w:tr>
      <w:tr w14:paraId="04AF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dxa"/>
            <w:vAlign w:val="center"/>
          </w:tcPr>
          <w:p w14:paraId="2857EE86">
            <w:pPr>
              <w:spacing w:line="0" w:lineRule="atLeast"/>
              <w:jc w:val="center"/>
              <w:rPr>
                <w:rFonts w:hint="eastAsia" w:ascii="宋体" w:hAnsi="宋体"/>
                <w:color w:val="000000"/>
                <w:kern w:val="2"/>
                <w:sz w:val="24"/>
                <w:szCs w:val="24"/>
              </w:rPr>
            </w:pPr>
            <w:r>
              <w:rPr>
                <w:rFonts w:hint="eastAsia" w:ascii="宋体" w:hAnsi="宋体"/>
                <w:color w:val="000000"/>
                <w:kern w:val="2"/>
                <w:sz w:val="24"/>
                <w:szCs w:val="24"/>
              </w:rPr>
              <w:t>4</w:t>
            </w:r>
          </w:p>
        </w:tc>
        <w:tc>
          <w:tcPr>
            <w:tcW w:w="1036" w:type="dxa"/>
            <w:vAlign w:val="center"/>
          </w:tcPr>
          <w:p w14:paraId="50C45723">
            <w:pPr>
              <w:spacing w:line="0" w:lineRule="atLeast"/>
              <w:rPr>
                <w:rFonts w:hint="eastAsia" w:ascii="宋体" w:hAnsi="宋体"/>
                <w:color w:val="000000"/>
                <w:kern w:val="2"/>
                <w:sz w:val="24"/>
                <w:szCs w:val="24"/>
              </w:rPr>
            </w:pPr>
          </w:p>
        </w:tc>
        <w:tc>
          <w:tcPr>
            <w:tcW w:w="966" w:type="dxa"/>
            <w:vAlign w:val="center"/>
          </w:tcPr>
          <w:p w14:paraId="17A08E03">
            <w:pPr>
              <w:spacing w:line="0" w:lineRule="atLeast"/>
              <w:rPr>
                <w:rFonts w:hint="eastAsia" w:ascii="宋体" w:hAnsi="宋体"/>
                <w:color w:val="000000"/>
                <w:kern w:val="2"/>
                <w:sz w:val="24"/>
                <w:szCs w:val="24"/>
              </w:rPr>
            </w:pPr>
          </w:p>
        </w:tc>
        <w:tc>
          <w:tcPr>
            <w:tcW w:w="1414" w:type="dxa"/>
            <w:vAlign w:val="center"/>
          </w:tcPr>
          <w:p w14:paraId="4C2E8F2E">
            <w:pPr>
              <w:spacing w:line="0" w:lineRule="atLeast"/>
              <w:rPr>
                <w:rFonts w:hint="eastAsia" w:ascii="宋体" w:hAnsi="宋体"/>
                <w:color w:val="000000"/>
                <w:kern w:val="2"/>
                <w:sz w:val="24"/>
                <w:szCs w:val="24"/>
              </w:rPr>
            </w:pPr>
          </w:p>
        </w:tc>
        <w:tc>
          <w:tcPr>
            <w:tcW w:w="784" w:type="dxa"/>
            <w:vAlign w:val="center"/>
          </w:tcPr>
          <w:p w14:paraId="74190F34">
            <w:pPr>
              <w:spacing w:line="0" w:lineRule="atLeast"/>
              <w:rPr>
                <w:rFonts w:hint="eastAsia" w:ascii="宋体" w:hAnsi="宋体"/>
                <w:color w:val="000000"/>
                <w:kern w:val="2"/>
                <w:sz w:val="24"/>
                <w:szCs w:val="24"/>
              </w:rPr>
            </w:pPr>
          </w:p>
        </w:tc>
        <w:tc>
          <w:tcPr>
            <w:tcW w:w="980" w:type="dxa"/>
            <w:vAlign w:val="center"/>
          </w:tcPr>
          <w:p w14:paraId="1A435EB8">
            <w:pPr>
              <w:spacing w:line="0" w:lineRule="atLeast"/>
              <w:rPr>
                <w:rFonts w:hint="eastAsia" w:ascii="宋体" w:hAnsi="宋体"/>
                <w:color w:val="000000"/>
                <w:kern w:val="2"/>
                <w:sz w:val="24"/>
                <w:szCs w:val="24"/>
              </w:rPr>
            </w:pPr>
          </w:p>
        </w:tc>
        <w:tc>
          <w:tcPr>
            <w:tcW w:w="727" w:type="dxa"/>
            <w:vAlign w:val="center"/>
          </w:tcPr>
          <w:p w14:paraId="793257D9">
            <w:pPr>
              <w:spacing w:line="0" w:lineRule="atLeast"/>
              <w:rPr>
                <w:rFonts w:hint="eastAsia" w:ascii="宋体" w:hAnsi="宋体"/>
                <w:color w:val="000000"/>
                <w:kern w:val="2"/>
                <w:sz w:val="24"/>
                <w:szCs w:val="24"/>
              </w:rPr>
            </w:pPr>
          </w:p>
        </w:tc>
        <w:tc>
          <w:tcPr>
            <w:tcW w:w="1372" w:type="dxa"/>
            <w:vAlign w:val="center"/>
          </w:tcPr>
          <w:p w14:paraId="4DF6D099">
            <w:pPr>
              <w:spacing w:line="0" w:lineRule="atLeast"/>
              <w:rPr>
                <w:rFonts w:hint="eastAsia" w:ascii="宋体" w:hAnsi="宋体"/>
                <w:color w:val="000000"/>
                <w:kern w:val="2"/>
                <w:sz w:val="24"/>
                <w:szCs w:val="24"/>
              </w:rPr>
            </w:pPr>
          </w:p>
        </w:tc>
        <w:tc>
          <w:tcPr>
            <w:tcW w:w="1246" w:type="dxa"/>
            <w:vAlign w:val="center"/>
          </w:tcPr>
          <w:p w14:paraId="48C7618E">
            <w:pPr>
              <w:spacing w:line="0" w:lineRule="atLeast"/>
              <w:rPr>
                <w:rFonts w:hint="eastAsia" w:ascii="宋体" w:hAnsi="宋体"/>
                <w:color w:val="000000"/>
                <w:kern w:val="2"/>
                <w:sz w:val="24"/>
                <w:szCs w:val="24"/>
              </w:rPr>
            </w:pPr>
          </w:p>
        </w:tc>
      </w:tr>
      <w:tr w14:paraId="6111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56" w:type="dxa"/>
            <w:vAlign w:val="center"/>
          </w:tcPr>
          <w:p w14:paraId="21038D55">
            <w:pPr>
              <w:spacing w:line="0" w:lineRule="atLeast"/>
              <w:jc w:val="center"/>
              <w:rPr>
                <w:rFonts w:hint="eastAsia" w:ascii="宋体" w:hAnsi="宋体"/>
                <w:color w:val="000000"/>
                <w:kern w:val="2"/>
                <w:sz w:val="24"/>
                <w:szCs w:val="24"/>
              </w:rPr>
            </w:pPr>
            <w:r>
              <w:rPr>
                <w:rFonts w:ascii="宋体" w:hAnsi="宋体"/>
                <w:color w:val="000000"/>
                <w:kern w:val="2"/>
                <w:sz w:val="24"/>
                <w:szCs w:val="24"/>
              </w:rPr>
              <w:t>…</w:t>
            </w:r>
          </w:p>
        </w:tc>
        <w:tc>
          <w:tcPr>
            <w:tcW w:w="1036" w:type="dxa"/>
            <w:vAlign w:val="center"/>
          </w:tcPr>
          <w:p w14:paraId="4095A6D4">
            <w:pPr>
              <w:spacing w:line="0" w:lineRule="atLeast"/>
              <w:rPr>
                <w:rFonts w:hint="eastAsia" w:ascii="宋体" w:hAnsi="宋体"/>
                <w:color w:val="000000"/>
                <w:kern w:val="2"/>
                <w:sz w:val="24"/>
                <w:szCs w:val="24"/>
              </w:rPr>
            </w:pPr>
            <w:r>
              <w:rPr>
                <w:rFonts w:ascii="宋体" w:hAnsi="宋体"/>
                <w:color w:val="000000"/>
                <w:kern w:val="2"/>
                <w:sz w:val="24"/>
                <w:szCs w:val="24"/>
              </w:rPr>
              <w:t>……</w:t>
            </w:r>
          </w:p>
        </w:tc>
        <w:tc>
          <w:tcPr>
            <w:tcW w:w="966" w:type="dxa"/>
            <w:vAlign w:val="center"/>
          </w:tcPr>
          <w:p w14:paraId="14316540">
            <w:pPr>
              <w:spacing w:line="0" w:lineRule="atLeast"/>
              <w:rPr>
                <w:rFonts w:hint="eastAsia" w:ascii="宋体" w:hAnsi="宋体"/>
                <w:color w:val="000000"/>
                <w:kern w:val="2"/>
                <w:sz w:val="24"/>
                <w:szCs w:val="24"/>
              </w:rPr>
            </w:pPr>
          </w:p>
        </w:tc>
        <w:tc>
          <w:tcPr>
            <w:tcW w:w="1414" w:type="dxa"/>
            <w:vAlign w:val="center"/>
          </w:tcPr>
          <w:p w14:paraId="7728C7A2">
            <w:pPr>
              <w:spacing w:line="0" w:lineRule="atLeast"/>
              <w:rPr>
                <w:rFonts w:hint="eastAsia" w:ascii="宋体" w:hAnsi="宋体"/>
                <w:color w:val="000000"/>
                <w:kern w:val="2"/>
                <w:sz w:val="24"/>
                <w:szCs w:val="24"/>
              </w:rPr>
            </w:pPr>
          </w:p>
        </w:tc>
        <w:tc>
          <w:tcPr>
            <w:tcW w:w="784" w:type="dxa"/>
            <w:vAlign w:val="center"/>
          </w:tcPr>
          <w:p w14:paraId="523130A3">
            <w:pPr>
              <w:spacing w:line="0" w:lineRule="atLeast"/>
              <w:rPr>
                <w:rFonts w:hint="eastAsia" w:ascii="宋体" w:hAnsi="宋体"/>
                <w:color w:val="000000"/>
                <w:kern w:val="2"/>
                <w:sz w:val="24"/>
                <w:szCs w:val="24"/>
              </w:rPr>
            </w:pPr>
          </w:p>
        </w:tc>
        <w:tc>
          <w:tcPr>
            <w:tcW w:w="980" w:type="dxa"/>
            <w:vAlign w:val="center"/>
          </w:tcPr>
          <w:p w14:paraId="5E586E5D">
            <w:pPr>
              <w:spacing w:line="0" w:lineRule="atLeast"/>
              <w:rPr>
                <w:rFonts w:hint="eastAsia" w:ascii="宋体" w:hAnsi="宋体"/>
                <w:color w:val="000000"/>
                <w:kern w:val="2"/>
                <w:sz w:val="24"/>
                <w:szCs w:val="24"/>
              </w:rPr>
            </w:pPr>
          </w:p>
        </w:tc>
        <w:tc>
          <w:tcPr>
            <w:tcW w:w="727" w:type="dxa"/>
            <w:vAlign w:val="center"/>
          </w:tcPr>
          <w:p w14:paraId="65E250FD">
            <w:pPr>
              <w:spacing w:line="0" w:lineRule="atLeast"/>
              <w:rPr>
                <w:rFonts w:hint="eastAsia" w:ascii="宋体" w:hAnsi="宋体"/>
                <w:color w:val="000000"/>
                <w:kern w:val="2"/>
                <w:sz w:val="24"/>
                <w:szCs w:val="24"/>
              </w:rPr>
            </w:pPr>
          </w:p>
        </w:tc>
        <w:tc>
          <w:tcPr>
            <w:tcW w:w="1372" w:type="dxa"/>
            <w:vAlign w:val="center"/>
          </w:tcPr>
          <w:p w14:paraId="014D1DBD">
            <w:pPr>
              <w:spacing w:line="0" w:lineRule="atLeast"/>
              <w:rPr>
                <w:rFonts w:hint="eastAsia" w:ascii="宋体" w:hAnsi="宋体"/>
                <w:color w:val="000000"/>
                <w:kern w:val="2"/>
                <w:sz w:val="24"/>
                <w:szCs w:val="24"/>
              </w:rPr>
            </w:pPr>
          </w:p>
        </w:tc>
        <w:tc>
          <w:tcPr>
            <w:tcW w:w="1246" w:type="dxa"/>
            <w:vAlign w:val="center"/>
          </w:tcPr>
          <w:p w14:paraId="46968302">
            <w:pPr>
              <w:spacing w:line="0" w:lineRule="atLeast"/>
              <w:rPr>
                <w:rFonts w:hint="eastAsia" w:ascii="宋体" w:hAnsi="宋体"/>
                <w:color w:val="000000"/>
                <w:kern w:val="2"/>
                <w:sz w:val="24"/>
                <w:szCs w:val="24"/>
              </w:rPr>
            </w:pPr>
          </w:p>
        </w:tc>
      </w:tr>
      <w:tr w14:paraId="026B1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0" w:hRule="atLeast"/>
        </w:trPr>
        <w:tc>
          <w:tcPr>
            <w:tcW w:w="7835" w:type="dxa"/>
            <w:gridSpan w:val="8"/>
            <w:vAlign w:val="center"/>
          </w:tcPr>
          <w:p w14:paraId="6266FF7A">
            <w:pPr>
              <w:jc w:val="center"/>
              <w:rPr>
                <w:rFonts w:hint="eastAsia" w:ascii="宋体" w:hAnsi="宋体"/>
                <w:color w:val="000000"/>
                <w:kern w:val="2"/>
                <w:sz w:val="24"/>
                <w:szCs w:val="24"/>
              </w:rPr>
            </w:pPr>
            <w:r>
              <w:rPr>
                <w:rFonts w:hint="eastAsia" w:ascii="宋体" w:hAnsi="宋体"/>
                <w:color w:val="000000"/>
                <w:kern w:val="2"/>
                <w:sz w:val="24"/>
                <w:szCs w:val="24"/>
              </w:rPr>
              <w:t>投标总报价（人民币：元）</w:t>
            </w:r>
          </w:p>
        </w:tc>
        <w:tc>
          <w:tcPr>
            <w:tcW w:w="1246" w:type="dxa"/>
          </w:tcPr>
          <w:p w14:paraId="35EA8363">
            <w:pPr>
              <w:rPr>
                <w:rFonts w:hint="eastAsia" w:ascii="宋体" w:hAnsi="宋体"/>
                <w:color w:val="000000"/>
                <w:kern w:val="2"/>
                <w:sz w:val="24"/>
                <w:szCs w:val="24"/>
              </w:rPr>
            </w:pPr>
          </w:p>
        </w:tc>
      </w:tr>
    </w:tbl>
    <w:p w14:paraId="6DA68D7B">
      <w:pPr>
        <w:rPr>
          <w:rFonts w:hint="eastAsia" w:ascii="宋体" w:hAnsi="宋体"/>
          <w:color w:val="000000"/>
          <w:kern w:val="2"/>
          <w:sz w:val="24"/>
        </w:rPr>
      </w:pPr>
      <w:r>
        <w:rPr>
          <w:rFonts w:hint="eastAsia" w:ascii="宋体" w:hAnsi="宋体"/>
          <w:color w:val="000000"/>
          <w:kern w:val="2"/>
          <w:sz w:val="24"/>
          <w:szCs w:val="24"/>
        </w:rPr>
        <w:t>备注：1.投标报价</w:t>
      </w:r>
      <w:r>
        <w:rPr>
          <w:rFonts w:hint="eastAsia" w:ascii="宋体" w:hAnsi="宋体"/>
          <w:color w:val="000000"/>
          <w:kern w:val="2"/>
          <w:sz w:val="24"/>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C34E49C">
      <w:pPr>
        <w:rPr>
          <w:rFonts w:hint="eastAsia" w:ascii="宋体" w:hAnsi="宋体"/>
          <w:color w:val="000000"/>
          <w:kern w:val="2"/>
          <w:sz w:val="24"/>
        </w:rPr>
      </w:pPr>
      <w:r>
        <w:rPr>
          <w:rFonts w:hint="eastAsia" w:ascii="宋体" w:hAnsi="宋体"/>
          <w:color w:val="000000"/>
          <w:kern w:val="2"/>
          <w:sz w:val="24"/>
        </w:rPr>
        <w:t>2.</w:t>
      </w:r>
      <w:r>
        <w:rPr>
          <w:rFonts w:hint="eastAsia"/>
          <w:color w:val="000000"/>
          <w:kern w:val="2"/>
        </w:rPr>
        <w:t xml:space="preserve"> “</w:t>
      </w:r>
      <w:r>
        <w:rPr>
          <w:rFonts w:hint="eastAsia" w:ascii="宋体" w:hAnsi="宋体"/>
          <w:color w:val="000000"/>
          <w:kern w:val="2"/>
          <w:sz w:val="24"/>
        </w:rPr>
        <w:t>投标分项报价表</w:t>
      </w:r>
      <w:r>
        <w:rPr>
          <w:rFonts w:hint="eastAsia"/>
          <w:color w:val="000000"/>
          <w:kern w:val="2"/>
        </w:rPr>
        <w:t>”</w:t>
      </w:r>
      <w:r>
        <w:rPr>
          <w:rFonts w:hint="eastAsia" w:ascii="宋体" w:hAnsi="宋体"/>
          <w:color w:val="000000"/>
          <w:kern w:val="2"/>
          <w:sz w:val="24"/>
        </w:rPr>
        <w:t>中“投标总报价”数额应当与“开标一览表”中“投标总报价”数额一致。</w:t>
      </w:r>
    </w:p>
    <w:p w14:paraId="5BB6EC18">
      <w:pPr>
        <w:rPr>
          <w:rFonts w:hint="eastAsia" w:ascii="宋体" w:hAnsi="宋体"/>
          <w:color w:val="000000"/>
          <w:kern w:val="2"/>
          <w:sz w:val="24"/>
          <w:szCs w:val="24"/>
        </w:rPr>
      </w:pPr>
      <w:r>
        <w:rPr>
          <w:rFonts w:hint="eastAsia" w:ascii="宋体" w:hAnsi="宋体"/>
          <w:color w:val="000000"/>
          <w:kern w:val="2"/>
          <w:sz w:val="24"/>
          <w:szCs w:val="24"/>
          <w:highlight w:val="yellow"/>
        </w:rPr>
        <w:t>（备注：该表仅适用于项目采用货币报价的情形。项目采用折扣率报价的，如需要填写投标分项报价表，请项目经办人自行设计表格。招标文件定稿后该备注删除。）</w:t>
      </w:r>
    </w:p>
    <w:p w14:paraId="203714A0">
      <w:pPr>
        <w:pStyle w:val="3"/>
        <w:keepNext w:val="0"/>
        <w:snapToGrid w:val="0"/>
        <w:spacing w:before="120" w:after="120"/>
        <w:jc w:val="left"/>
        <w:rPr>
          <w:rFonts w:ascii="Times New Roman" w:hAnsi="Times New Roman" w:eastAsia="黑体"/>
          <w:b w:val="0"/>
          <w:sz w:val="32"/>
          <w:szCs w:val="32"/>
        </w:rPr>
      </w:pPr>
      <w:r>
        <w:rPr>
          <w:rFonts w:ascii="Times New Roman" w:hAnsi="Times New Roman" w:eastAsia="宋体" w:cs="宋体"/>
          <w:strike/>
          <w:sz w:val="32"/>
          <w:szCs w:val="32"/>
        </w:rPr>
        <w:br w:type="page"/>
      </w:r>
      <w:r>
        <w:rPr>
          <w:rFonts w:hint="eastAsia" w:ascii="Times New Roman" w:hAnsi="Times New Roman" w:eastAsia="黑体"/>
          <w:sz w:val="32"/>
          <w:szCs w:val="32"/>
          <w:lang w:val="en-US" w:eastAsia="zh-CN"/>
        </w:rPr>
        <w:t>七</w:t>
      </w:r>
      <w:r>
        <w:rPr>
          <w:rFonts w:hint="eastAsia" w:ascii="Times New Roman" w:hAnsi="Times New Roman" w:eastAsia="黑体"/>
          <w:b w:val="0"/>
          <w:sz w:val="32"/>
          <w:szCs w:val="32"/>
        </w:rPr>
        <w:t>、</w:t>
      </w:r>
      <w:r>
        <w:rPr>
          <w:rFonts w:hint="eastAsia" w:ascii="Times New Roman" w:hAnsi="Times New Roman" w:eastAsia="黑体" w:cs="Times New Roman"/>
          <w:sz w:val="32"/>
          <w:szCs w:val="32"/>
        </w:rPr>
        <w:t>中小（微）企业声明函</w:t>
      </w:r>
      <w:r>
        <w:rPr>
          <w:rFonts w:hint="eastAsia" w:ascii="Times New Roman" w:hAnsi="Times New Roman" w:eastAsia="黑体"/>
          <w:b w:val="0"/>
          <w:sz w:val="32"/>
          <w:szCs w:val="32"/>
        </w:rPr>
        <w:t>（货物）（分包号：**）</w:t>
      </w:r>
    </w:p>
    <w:p w14:paraId="622439A4">
      <w:pPr>
        <w:pStyle w:val="34"/>
        <w:jc w:val="center"/>
        <w:rPr>
          <w:rFonts w:ascii="Times New Roman" w:hAnsi="Times New Roman"/>
          <w:b/>
          <w:sz w:val="36"/>
          <w:szCs w:val="36"/>
        </w:rPr>
      </w:pPr>
      <w:r>
        <w:rPr>
          <w:rFonts w:hint="eastAsia" w:ascii="Times New Roman" w:hAnsi="Times New Roman"/>
          <w:b/>
          <w:sz w:val="36"/>
          <w:szCs w:val="36"/>
        </w:rPr>
        <w:t>中小（微）企业声明函（货物）</w:t>
      </w:r>
    </w:p>
    <w:p w14:paraId="04D46615">
      <w:pPr>
        <w:pStyle w:val="34"/>
        <w:jc w:val="left"/>
        <w:rPr>
          <w:rFonts w:ascii="Times New Roman" w:hAnsi="Times New Roman"/>
          <w:b/>
          <w:sz w:val="32"/>
          <w:szCs w:val="32"/>
        </w:rPr>
      </w:pPr>
    </w:p>
    <w:p w14:paraId="7B4E3941">
      <w:pPr>
        <w:pStyle w:val="34"/>
        <w:spacing w:line="500" w:lineRule="exact"/>
        <w:ind w:firstLine="480" w:firstLineChars="200"/>
        <w:jc w:val="left"/>
        <w:rPr>
          <w:rFonts w:ascii="Times New Roman" w:hAnsi="Times New Roman" w:cs="宋体"/>
          <w:sz w:val="24"/>
          <w:szCs w:val="24"/>
        </w:rPr>
      </w:pPr>
      <w:r>
        <w:rPr>
          <w:rFonts w:hint="eastAsia" w:ascii="Times New Roman" w:hAnsi="Times New Roman" w:cs="宋体"/>
          <w:sz w:val="24"/>
          <w:szCs w:val="24"/>
        </w:rPr>
        <w:t>本公司（联合体）郑重声明，根据《政府采购促进中小企业发展管理办法》（财库〔2020〕46号）的规定，本公司（联合体）参加</w:t>
      </w:r>
      <w:r>
        <w:rPr>
          <w:rFonts w:hint="eastAsia" w:ascii="Times New Roman" w:hAnsi="Times New Roman" w:cs="宋体"/>
          <w:sz w:val="24"/>
          <w:szCs w:val="24"/>
          <w:u w:val="single"/>
        </w:rPr>
        <w:t xml:space="preserve"> 单位名称  </w:t>
      </w:r>
      <w:r>
        <w:rPr>
          <w:rFonts w:hint="eastAsia" w:ascii="Times New Roman" w:hAnsi="Times New Roman" w:cs="宋体"/>
          <w:sz w:val="24"/>
          <w:szCs w:val="24"/>
        </w:rPr>
        <w:t>的（</w:t>
      </w:r>
      <w:r>
        <w:rPr>
          <w:rFonts w:hint="eastAsia" w:ascii="Times New Roman" w:hAnsi="Times New Roman" w:cs="宋体"/>
          <w:sz w:val="24"/>
          <w:szCs w:val="24"/>
          <w:u w:val="single"/>
        </w:rPr>
        <w:t>项目名称）</w:t>
      </w:r>
      <w:r>
        <w:rPr>
          <w:rFonts w:hint="eastAsia" w:ascii="Times New Roman" w:hAnsi="Times New Roman" w:cs="宋体"/>
          <w:sz w:val="24"/>
          <w:szCs w:val="24"/>
        </w:rPr>
        <w:t xml:space="preserve"> 采购活动，提供的货物全部由符合政策要求的中小企业制造。相关企业（含联合体中的中小企业、签订分包意向协议的中小企业）的具体情况如下：</w:t>
      </w:r>
    </w:p>
    <w:p w14:paraId="122FD88E">
      <w:pPr>
        <w:pStyle w:val="34"/>
        <w:spacing w:line="500" w:lineRule="exact"/>
        <w:ind w:firstLine="480" w:firstLineChars="200"/>
        <w:jc w:val="left"/>
        <w:rPr>
          <w:rFonts w:ascii="Times New Roman" w:hAnsi="Times New Roman" w:cs="宋体"/>
          <w:sz w:val="24"/>
          <w:szCs w:val="24"/>
          <w:u w:val="single"/>
        </w:rPr>
      </w:pPr>
      <w:r>
        <w:rPr>
          <w:rFonts w:hint="eastAsia" w:ascii="Times New Roman" w:hAnsi="Times New Roman" w:cs="宋体"/>
          <w:sz w:val="24"/>
          <w:szCs w:val="24"/>
        </w:rPr>
        <w:t xml:space="preserve">1.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，属于（</w:t>
      </w:r>
      <w:r>
        <w:rPr>
          <w:rFonts w:hint="eastAsia" w:ascii="Times New Roman" w:hAnsi="Times New Roman" w:cs="宋体"/>
          <w:i/>
          <w:sz w:val="24"/>
          <w:szCs w:val="24"/>
          <w:u w:val="single"/>
        </w:rPr>
        <w:t>采购文件中明确的所属行业）</w:t>
      </w:r>
      <w:r>
        <w:rPr>
          <w:rFonts w:hint="eastAsia" w:ascii="Times New Roman" w:hAnsi="Times New Roman" w:cs="宋体"/>
          <w:sz w:val="24"/>
          <w:szCs w:val="24"/>
          <w:u w:val="single"/>
        </w:rPr>
        <w:t>行业</w:t>
      </w:r>
      <w:r>
        <w:rPr>
          <w:rFonts w:hint="eastAsia" w:ascii="Times New Roman" w:hAnsi="Times New Roman" w:cs="宋体"/>
          <w:sz w:val="24"/>
          <w:szCs w:val="24"/>
        </w:rPr>
        <w:t>；制造商为</w:t>
      </w:r>
      <w:r>
        <w:rPr>
          <w:rFonts w:hint="eastAsia" w:ascii="Times New Roman" w:hAnsi="Times New Roman" w:cs="宋体"/>
          <w:sz w:val="24"/>
          <w:szCs w:val="24"/>
          <w:u w:val="single"/>
        </w:rPr>
        <w:t>（企业名称）</w:t>
      </w:r>
      <w:r>
        <w:rPr>
          <w:rFonts w:hint="eastAsia" w:ascii="Times New Roman" w:hAnsi="Times New Roman" w:cs="宋体"/>
          <w:sz w:val="24"/>
          <w:szCs w:val="24"/>
        </w:rPr>
        <w:t>，从业人员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万元</w:t>
      </w:r>
      <w:r>
        <w:rPr>
          <w:rFonts w:hint="eastAsia" w:ascii="Times New Roman" w:hAnsi="Times New Roman" w:cs="宋体"/>
          <w:sz w:val="24"/>
          <w:szCs w:val="24"/>
          <w:vertAlign w:val="superscript"/>
        </w:rPr>
        <w:t>1</w:t>
      </w:r>
      <w:r>
        <w:rPr>
          <w:rFonts w:hint="eastAsia" w:ascii="Times New Roman" w:hAnsi="Times New Roman" w:cs="宋体"/>
          <w:sz w:val="24"/>
          <w:szCs w:val="24"/>
        </w:rPr>
        <w:t>，属于</w:t>
      </w:r>
      <w:r>
        <w:rPr>
          <w:rFonts w:hint="eastAsia" w:ascii="Times New Roman" w:hAnsi="Times New Roman" w:cs="宋体"/>
          <w:sz w:val="24"/>
          <w:szCs w:val="24"/>
          <w:u w:val="single"/>
        </w:rPr>
        <w:t>（中型企业、小型企业、微型企业）；</w:t>
      </w:r>
    </w:p>
    <w:p w14:paraId="78A0EBC0">
      <w:pPr>
        <w:pStyle w:val="34"/>
        <w:spacing w:line="500" w:lineRule="exact"/>
        <w:ind w:firstLine="480" w:firstLineChars="200"/>
        <w:jc w:val="left"/>
        <w:rPr>
          <w:rFonts w:ascii="Times New Roman" w:hAnsi="Times New Roman" w:cs="宋体"/>
          <w:sz w:val="24"/>
          <w:szCs w:val="24"/>
          <w:u w:val="single"/>
        </w:rPr>
      </w:pPr>
      <w:r>
        <w:rPr>
          <w:rFonts w:hint="eastAsia" w:ascii="Times New Roman" w:hAnsi="Times New Roman" w:cs="宋体"/>
          <w:sz w:val="24"/>
          <w:szCs w:val="24"/>
        </w:rPr>
        <w:t xml:space="preserve">2.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，属于（</w:t>
      </w:r>
      <w:r>
        <w:rPr>
          <w:rFonts w:hint="eastAsia" w:ascii="Times New Roman" w:hAnsi="Times New Roman" w:cs="宋体"/>
          <w:i/>
          <w:sz w:val="24"/>
          <w:szCs w:val="24"/>
          <w:u w:val="single"/>
        </w:rPr>
        <w:t>采购文件中明确的所属行业）</w:t>
      </w:r>
      <w:r>
        <w:rPr>
          <w:rFonts w:hint="eastAsia" w:ascii="Times New Roman" w:hAnsi="Times New Roman" w:cs="宋体"/>
          <w:sz w:val="24"/>
          <w:szCs w:val="24"/>
          <w:u w:val="single"/>
        </w:rPr>
        <w:t>行业</w:t>
      </w:r>
      <w:r>
        <w:rPr>
          <w:rFonts w:hint="eastAsia" w:ascii="Times New Roman" w:hAnsi="Times New Roman" w:cs="宋体"/>
          <w:sz w:val="24"/>
          <w:szCs w:val="24"/>
        </w:rPr>
        <w:t>；制造商为</w:t>
      </w:r>
      <w:r>
        <w:rPr>
          <w:rFonts w:hint="eastAsia" w:ascii="Times New Roman" w:hAnsi="Times New Roman" w:cs="宋体"/>
          <w:sz w:val="24"/>
          <w:szCs w:val="24"/>
          <w:u w:val="single"/>
        </w:rPr>
        <w:t xml:space="preserve">（企业名称）        </w:t>
      </w:r>
      <w:r>
        <w:rPr>
          <w:rFonts w:hint="eastAsia" w:ascii="Times New Roman" w:hAnsi="Times New Roman" w:cs="宋体"/>
          <w:sz w:val="24"/>
          <w:szCs w:val="24"/>
        </w:rPr>
        <w:t>，从业人员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万元，属于</w:t>
      </w:r>
      <w:r>
        <w:rPr>
          <w:rFonts w:hint="eastAsia" w:ascii="Times New Roman" w:hAnsi="Times New Roman" w:cs="宋体"/>
          <w:sz w:val="24"/>
          <w:szCs w:val="24"/>
          <w:u w:val="single"/>
        </w:rPr>
        <w:t>（中型企业、小型企业、微型企业）；</w:t>
      </w:r>
    </w:p>
    <w:p w14:paraId="4904D8DA">
      <w:pPr>
        <w:pStyle w:val="34"/>
        <w:spacing w:line="500" w:lineRule="exact"/>
        <w:ind w:firstLine="480" w:firstLineChars="200"/>
        <w:jc w:val="left"/>
        <w:rPr>
          <w:rFonts w:ascii="Times New Roman" w:hAnsi="Times New Roman" w:cs="宋体"/>
          <w:sz w:val="24"/>
          <w:szCs w:val="24"/>
        </w:rPr>
      </w:pPr>
      <w:r>
        <w:rPr>
          <w:rFonts w:hint="eastAsia" w:ascii="Times New Roman" w:hAnsi="Times New Roman" w:cs="宋体"/>
          <w:sz w:val="24"/>
          <w:szCs w:val="24"/>
        </w:rPr>
        <w:t>……</w:t>
      </w:r>
    </w:p>
    <w:p w14:paraId="741546C4">
      <w:pPr>
        <w:pStyle w:val="34"/>
        <w:spacing w:line="500" w:lineRule="exact"/>
        <w:ind w:firstLine="480" w:firstLineChars="200"/>
        <w:jc w:val="left"/>
        <w:rPr>
          <w:rFonts w:ascii="Times New Roman" w:hAnsi="Times New Roman" w:cs="宋体"/>
          <w:sz w:val="24"/>
          <w:szCs w:val="24"/>
        </w:rPr>
      </w:pPr>
      <w:r>
        <w:rPr>
          <w:rFonts w:hint="eastAsia" w:ascii="Times New Roman" w:hAnsi="Times New Roman" w:cs="宋体"/>
          <w:sz w:val="24"/>
          <w:szCs w:val="24"/>
        </w:rPr>
        <w:t>以上企业，不属于大企业的分支机构，不存在控股股东为大企业的情形，也不存在与大企业的负责人为同一人的情形。</w:t>
      </w:r>
    </w:p>
    <w:p w14:paraId="691FEDD9">
      <w:pPr>
        <w:pStyle w:val="34"/>
        <w:spacing w:line="500" w:lineRule="exact"/>
        <w:ind w:firstLine="480" w:firstLineChars="200"/>
        <w:jc w:val="left"/>
        <w:rPr>
          <w:rFonts w:ascii="Times New Roman" w:hAnsi="Times New Roman" w:cs="宋体"/>
          <w:sz w:val="24"/>
          <w:szCs w:val="24"/>
        </w:rPr>
      </w:pPr>
      <w:r>
        <w:rPr>
          <w:rFonts w:hint="eastAsia" w:ascii="Times New Roman" w:hAnsi="Times New Roman" w:cs="宋体"/>
          <w:sz w:val="24"/>
          <w:szCs w:val="24"/>
        </w:rPr>
        <w:t>本企业对上述声明内容的真实性负责。如有虚假，将依法承担相应责任。</w:t>
      </w:r>
    </w:p>
    <w:p w14:paraId="4A86D25B">
      <w:pPr>
        <w:spacing w:line="360" w:lineRule="auto"/>
        <w:ind w:right="720"/>
        <w:rPr>
          <w:kern w:val="2"/>
          <w:sz w:val="24"/>
          <w:szCs w:val="24"/>
        </w:rPr>
      </w:pPr>
    </w:p>
    <w:p w14:paraId="224345AA">
      <w:pPr>
        <w:spacing w:line="360" w:lineRule="auto"/>
        <w:ind w:right="180" w:firstLine="360"/>
        <w:jc w:val="right"/>
        <w:rPr>
          <w:kern w:val="2"/>
          <w:sz w:val="24"/>
          <w:szCs w:val="24"/>
        </w:rPr>
      </w:pPr>
      <w:r>
        <w:rPr>
          <w:rFonts w:hint="eastAsia"/>
          <w:kern w:val="2"/>
          <w:sz w:val="24"/>
          <w:szCs w:val="24"/>
        </w:rPr>
        <w:t>企业名称：（加盖CA电子公章）</w:t>
      </w:r>
    </w:p>
    <w:p w14:paraId="2F5D8251">
      <w:pPr>
        <w:spacing w:line="360" w:lineRule="auto"/>
        <w:ind w:firstLine="5760"/>
        <w:rPr>
          <w:kern w:val="2"/>
          <w:sz w:val="24"/>
          <w:szCs w:val="24"/>
        </w:rPr>
      </w:pPr>
      <w:r>
        <w:rPr>
          <w:rFonts w:hint="eastAsia"/>
          <w:kern w:val="2"/>
          <w:sz w:val="24"/>
          <w:szCs w:val="24"/>
        </w:rPr>
        <w:t>日  期：</w:t>
      </w:r>
      <w:r>
        <w:rPr>
          <w:rFonts w:hint="eastAsia"/>
          <w:kern w:val="2"/>
          <w:sz w:val="24"/>
          <w:szCs w:val="24"/>
          <w:u w:val="single"/>
        </w:rPr>
        <w:t xml:space="preserve">       </w:t>
      </w:r>
      <w:r>
        <w:rPr>
          <w:rFonts w:hint="eastAsia"/>
          <w:kern w:val="2"/>
          <w:sz w:val="24"/>
          <w:szCs w:val="24"/>
        </w:rPr>
        <w:t>年___月___日</w:t>
      </w:r>
    </w:p>
    <w:p w14:paraId="3E7AF7D8">
      <w:pPr>
        <w:pStyle w:val="34"/>
        <w:spacing w:line="560" w:lineRule="exact"/>
        <w:ind w:firstLine="360" w:firstLineChars="200"/>
        <w:rPr>
          <w:rFonts w:ascii="Times New Roman" w:hAnsi="Times New Roman"/>
          <w:sz w:val="18"/>
          <w:szCs w:val="18"/>
        </w:rPr>
      </w:pPr>
      <w:r>
        <w:rPr>
          <w:rFonts w:hint="eastAsia" w:ascii="Times New Roman" w:hAnsi="Times New Roman"/>
          <w:sz w:val="18"/>
          <w:szCs w:val="18"/>
          <w:vertAlign w:val="superscript"/>
        </w:rPr>
        <w:t>1</w:t>
      </w:r>
      <w:r>
        <w:rPr>
          <w:rFonts w:hint="eastAsia" w:ascii="Times New Roman" w:hAnsi="Times New Roman"/>
          <w:sz w:val="18"/>
          <w:szCs w:val="18"/>
        </w:rPr>
        <w:t>从业人员、营业收入、资产总额填报上一年数据，无上一年数据的新成立企业可不填报。</w:t>
      </w:r>
    </w:p>
    <w:p w14:paraId="209860F3">
      <w:pPr>
        <w:spacing w:line="460" w:lineRule="exact"/>
        <w:rPr>
          <w:rFonts w:eastAsia="黑体"/>
          <w:iCs/>
          <w:kern w:val="2"/>
          <w:sz w:val="32"/>
          <w:szCs w:val="32"/>
        </w:rPr>
      </w:pPr>
      <w:r>
        <w:rPr>
          <w:rFonts w:eastAsia="黑体"/>
          <w:b/>
          <w:kern w:val="2"/>
          <w:sz w:val="32"/>
          <w:szCs w:val="32"/>
        </w:rPr>
        <w:br w:type="page" w:clear="all"/>
      </w:r>
      <w:r>
        <w:rPr>
          <w:rFonts w:hint="eastAsia" w:eastAsia="黑体"/>
          <w:b/>
          <w:kern w:val="2"/>
          <w:sz w:val="32"/>
          <w:szCs w:val="32"/>
          <w:lang w:val="en-US" w:eastAsia="zh-CN"/>
        </w:rPr>
        <w:t>八</w:t>
      </w:r>
      <w:r>
        <w:rPr>
          <w:rFonts w:hint="eastAsia" w:eastAsia="黑体"/>
          <w:iCs/>
          <w:kern w:val="2"/>
          <w:sz w:val="32"/>
          <w:szCs w:val="32"/>
        </w:rPr>
        <w:t>、残疾人福利性单位声明函</w:t>
      </w:r>
    </w:p>
    <w:p w14:paraId="47804C1C">
      <w:pPr>
        <w:pStyle w:val="35"/>
        <w:spacing w:before="151" w:after="151" w:line="600" w:lineRule="exact"/>
        <w:jc w:val="center"/>
        <w:rPr>
          <w:rFonts w:ascii="Times New Roman" w:hAnsi="Times New Roman"/>
          <w:b/>
          <w:bCs/>
          <w:sz w:val="32"/>
          <w:szCs w:val="32"/>
        </w:rPr>
      </w:pPr>
      <w:r>
        <w:rPr>
          <w:rFonts w:hint="eastAsia" w:ascii="Times New Roman" w:hAnsi="Times New Roman"/>
          <w:b/>
          <w:bCs/>
          <w:sz w:val="32"/>
          <w:szCs w:val="32"/>
        </w:rPr>
        <w:t>残疾人福利性单位声明函</w:t>
      </w:r>
    </w:p>
    <w:p w14:paraId="6C523AF0">
      <w:pPr>
        <w:pStyle w:val="36"/>
        <w:spacing w:line="588" w:lineRule="exact"/>
        <w:rPr>
          <w:rFonts w:ascii="Times New Roman" w:hAnsi="Times New Roman" w:eastAsia="仿宋_GB2312"/>
          <w:b/>
          <w:spacing w:val="6"/>
          <w:sz w:val="30"/>
          <w:szCs w:val="30"/>
        </w:rPr>
      </w:pPr>
    </w:p>
    <w:p w14:paraId="3A797228">
      <w:pPr>
        <w:spacing w:line="360" w:lineRule="auto"/>
        <w:ind w:firstLine="480"/>
        <w:rPr>
          <w:kern w:val="2"/>
          <w:sz w:val="24"/>
        </w:rPr>
      </w:pPr>
      <w:r>
        <w:rPr>
          <w:rFonts w:hint="eastAsia"/>
          <w:kern w:val="2"/>
          <w:sz w:val="24"/>
        </w:rPr>
        <w:t>本单位郑重声明，根据《财政部 民政部 中国残疾人联合会关于促进残疾人就业政府采购政策的通知》（财库〔2017〕141号）的规定，本单位为符合条件的残疾人福利性单位，且本单位参加</w:t>
      </w:r>
      <w:r>
        <w:rPr>
          <w:rFonts w:hint="eastAsia"/>
          <w:kern w:val="2"/>
          <w:sz w:val="24"/>
          <w:u w:val="single"/>
        </w:rPr>
        <w:t xml:space="preserve">          </w:t>
      </w:r>
      <w:r>
        <w:rPr>
          <w:rFonts w:hint="eastAsia"/>
          <w:kern w:val="2"/>
          <w:sz w:val="24"/>
        </w:rPr>
        <w:t>的</w:t>
      </w:r>
      <w:r>
        <w:rPr>
          <w:rFonts w:hint="eastAsia"/>
          <w:kern w:val="2"/>
          <w:sz w:val="24"/>
          <w:u w:val="single"/>
        </w:rPr>
        <w:t xml:space="preserve">                  </w:t>
      </w:r>
      <w:r>
        <w:rPr>
          <w:rFonts w:hint="eastAsia"/>
          <w:kern w:val="2"/>
          <w:sz w:val="24"/>
        </w:rPr>
        <w:t>项目采购活动提供本单位制造的货物（由本单位承担工程/提供服务），或者提供其他残疾人福利性单位制造的货物（不包括使用非残疾人福利性单位注册商标的货物）。</w:t>
      </w:r>
    </w:p>
    <w:p w14:paraId="3B2EE8A2">
      <w:pPr>
        <w:spacing w:line="360" w:lineRule="auto"/>
        <w:ind w:firstLine="480"/>
        <w:rPr>
          <w:kern w:val="2"/>
          <w:sz w:val="24"/>
        </w:rPr>
      </w:pPr>
      <w:r>
        <w:rPr>
          <w:rFonts w:hint="eastAsia"/>
          <w:kern w:val="2"/>
          <w:sz w:val="24"/>
        </w:rPr>
        <w:t>本单位对上述声明的真实性负责。如有虚假，将依法承担相应责任。</w:t>
      </w:r>
    </w:p>
    <w:p w14:paraId="736BA94B">
      <w:pPr>
        <w:spacing w:line="360" w:lineRule="auto"/>
        <w:ind w:firstLine="480"/>
        <w:rPr>
          <w:kern w:val="2"/>
          <w:sz w:val="24"/>
        </w:rPr>
      </w:pPr>
    </w:p>
    <w:p w14:paraId="015662CF">
      <w:pPr>
        <w:spacing w:line="360" w:lineRule="auto"/>
        <w:ind w:firstLine="480"/>
        <w:rPr>
          <w:kern w:val="2"/>
          <w:sz w:val="24"/>
        </w:rPr>
      </w:pPr>
      <w:r>
        <w:rPr>
          <w:rFonts w:hint="eastAsia"/>
          <w:kern w:val="2"/>
          <w:sz w:val="24"/>
        </w:rPr>
        <w:t>（备注：1、投标人如不提供此声明函，价格将不做相应扣除。2、中标人为残疾人福利单位的，此声明函将随中标结果同时公告，接受社会监督。）</w:t>
      </w:r>
    </w:p>
    <w:p w14:paraId="46AFC2A1">
      <w:pPr>
        <w:spacing w:line="360" w:lineRule="auto"/>
        <w:ind w:firstLine="624"/>
        <w:rPr>
          <w:rFonts w:eastAsia="仿宋_GB2312"/>
          <w:spacing w:val="6"/>
          <w:kern w:val="2"/>
          <w:sz w:val="30"/>
          <w:szCs w:val="30"/>
        </w:rPr>
      </w:pPr>
    </w:p>
    <w:p w14:paraId="35C44826">
      <w:pPr>
        <w:pStyle w:val="37"/>
        <w:spacing w:line="360" w:lineRule="auto"/>
        <w:rPr>
          <w:rFonts w:ascii="Times New Roman" w:hAnsi="Times New Roman"/>
        </w:rPr>
      </w:pPr>
    </w:p>
    <w:p w14:paraId="52AC1BDF">
      <w:pPr>
        <w:spacing w:line="360" w:lineRule="auto"/>
        <w:ind w:right="180" w:firstLine="360"/>
        <w:jc w:val="right"/>
        <w:rPr>
          <w:kern w:val="2"/>
          <w:sz w:val="24"/>
          <w:szCs w:val="24"/>
        </w:rPr>
      </w:pPr>
      <w:r>
        <w:rPr>
          <w:rFonts w:hint="eastAsia"/>
          <w:kern w:val="2"/>
          <w:sz w:val="24"/>
          <w:szCs w:val="24"/>
        </w:rPr>
        <w:t>企业名称：（加盖CA电子公章）</w:t>
      </w:r>
    </w:p>
    <w:p w14:paraId="04433BAB">
      <w:pPr>
        <w:spacing w:line="360" w:lineRule="auto"/>
        <w:ind w:firstLine="5760"/>
        <w:rPr>
          <w:kern w:val="2"/>
          <w:sz w:val="24"/>
          <w:szCs w:val="24"/>
        </w:rPr>
      </w:pPr>
      <w:r>
        <w:rPr>
          <w:rFonts w:hint="eastAsia"/>
          <w:kern w:val="2"/>
          <w:sz w:val="24"/>
          <w:szCs w:val="24"/>
        </w:rPr>
        <w:t>日  期：</w:t>
      </w:r>
      <w:r>
        <w:rPr>
          <w:rFonts w:hint="eastAsia"/>
          <w:kern w:val="2"/>
          <w:sz w:val="24"/>
          <w:szCs w:val="24"/>
          <w:u w:val="single"/>
        </w:rPr>
        <w:t xml:space="preserve">       </w:t>
      </w:r>
      <w:r>
        <w:rPr>
          <w:rFonts w:hint="eastAsia"/>
          <w:kern w:val="2"/>
          <w:sz w:val="24"/>
          <w:szCs w:val="24"/>
        </w:rPr>
        <w:t>年___月___日</w:t>
      </w:r>
    </w:p>
    <w:p w14:paraId="16FD6059">
      <w:pPr>
        <w:spacing w:line="560" w:lineRule="exact"/>
        <w:jc w:val="left"/>
        <w:rPr>
          <w:rFonts w:eastAsia="黑体"/>
          <w:b/>
          <w:kern w:val="2"/>
          <w:sz w:val="32"/>
          <w:szCs w:val="32"/>
        </w:rPr>
      </w:pPr>
      <w:r>
        <w:rPr>
          <w:rFonts w:eastAsia="黑体"/>
          <w:b/>
          <w:kern w:val="2"/>
          <w:sz w:val="32"/>
          <w:szCs w:val="32"/>
        </w:rPr>
        <w:br w:type="page"/>
      </w:r>
      <w:r>
        <w:rPr>
          <w:rFonts w:hint="eastAsia" w:eastAsia="黑体"/>
          <w:b/>
          <w:sz w:val="32"/>
          <w:szCs w:val="32"/>
          <w:lang w:val="en-US" w:eastAsia="zh-CN"/>
        </w:rPr>
        <w:t>九</w:t>
      </w:r>
      <w:r>
        <w:rPr>
          <w:rFonts w:hint="eastAsia"/>
          <w:b/>
          <w:sz w:val="32"/>
          <w:szCs w:val="32"/>
        </w:rPr>
        <w:t>、技术要求响应及偏离表（分包号：**）</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08DF6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3F52AA78">
            <w:pPr>
              <w:jc w:val="center"/>
              <w:rPr>
                <w:kern w:val="2"/>
                <w:sz w:val="24"/>
                <w:szCs w:val="24"/>
              </w:rPr>
            </w:pPr>
            <w:r>
              <w:rPr>
                <w:rFonts w:hint="eastAsia"/>
                <w:kern w:val="2"/>
                <w:sz w:val="24"/>
                <w:szCs w:val="24"/>
              </w:rPr>
              <w:t>序号</w:t>
            </w:r>
          </w:p>
        </w:tc>
        <w:tc>
          <w:tcPr>
            <w:tcW w:w="3291" w:type="dxa"/>
            <w:vAlign w:val="center"/>
          </w:tcPr>
          <w:p w14:paraId="18A27FE8">
            <w:pPr>
              <w:pStyle w:val="10"/>
              <w:spacing w:before="0" w:beforeAutospacing="0" w:after="0" w:afterAutospacing="0"/>
              <w:jc w:val="center"/>
              <w:rPr>
                <w:rFonts w:ascii="Times New Roman" w:hAnsi="Times New Roman"/>
              </w:rPr>
            </w:pPr>
            <w:r>
              <w:rPr>
                <w:rFonts w:ascii="Times New Roman" w:hAnsi="Times New Roman"/>
              </w:rPr>
              <w:t>技术要求和商务要求中的实质性要求（打“★”内容）</w:t>
            </w:r>
          </w:p>
        </w:tc>
        <w:tc>
          <w:tcPr>
            <w:tcW w:w="2852" w:type="dxa"/>
            <w:vAlign w:val="center"/>
          </w:tcPr>
          <w:p w14:paraId="7B18BA49">
            <w:pPr>
              <w:pStyle w:val="10"/>
              <w:spacing w:before="0" w:beforeAutospacing="0" w:after="0" w:afterAutospacing="0"/>
              <w:jc w:val="center"/>
              <w:rPr>
                <w:rFonts w:ascii="Times New Roman" w:hAnsi="Times New Roman"/>
              </w:rPr>
            </w:pPr>
            <w:r>
              <w:rPr>
                <w:rFonts w:ascii="Times New Roman" w:hAnsi="Times New Roman"/>
              </w:rPr>
              <w:t>响应情况</w:t>
            </w:r>
            <w:r>
              <w:rPr>
                <w:rFonts w:hint="eastAsia" w:ascii="Times New Roman" w:hAnsi="Times New Roman"/>
              </w:rPr>
              <w:t>（填报“响应或完全响应”）</w:t>
            </w:r>
          </w:p>
        </w:tc>
        <w:tc>
          <w:tcPr>
            <w:tcW w:w="1308" w:type="dxa"/>
            <w:vAlign w:val="center"/>
          </w:tcPr>
          <w:p w14:paraId="463F06E9">
            <w:pPr>
              <w:pStyle w:val="10"/>
              <w:spacing w:before="0" w:beforeAutospacing="0" w:after="0" w:afterAutospacing="0"/>
              <w:jc w:val="center"/>
              <w:rPr>
                <w:rFonts w:ascii="Times New Roman" w:hAnsi="Times New Roman"/>
              </w:rPr>
            </w:pPr>
            <w:r>
              <w:rPr>
                <w:rFonts w:hint="eastAsia" w:ascii="Times New Roman" w:hAnsi="Times New Roman"/>
              </w:rPr>
              <w:t>偏离（填报“正偏离、符合或负偏离”）</w:t>
            </w:r>
          </w:p>
        </w:tc>
        <w:tc>
          <w:tcPr>
            <w:tcW w:w="1173" w:type="dxa"/>
            <w:vAlign w:val="center"/>
          </w:tcPr>
          <w:p w14:paraId="0A5A2B67">
            <w:pPr>
              <w:jc w:val="center"/>
              <w:rPr>
                <w:kern w:val="2"/>
                <w:sz w:val="24"/>
                <w:szCs w:val="24"/>
              </w:rPr>
            </w:pPr>
            <w:r>
              <w:rPr>
                <w:rFonts w:hint="eastAsia"/>
                <w:kern w:val="2"/>
                <w:sz w:val="24"/>
                <w:szCs w:val="24"/>
              </w:rPr>
              <w:t>证明</w:t>
            </w:r>
          </w:p>
          <w:p w14:paraId="648832B8">
            <w:pPr>
              <w:jc w:val="center"/>
              <w:rPr>
                <w:kern w:val="2"/>
                <w:sz w:val="24"/>
                <w:szCs w:val="24"/>
              </w:rPr>
            </w:pPr>
            <w:r>
              <w:rPr>
                <w:rFonts w:hint="eastAsia"/>
                <w:kern w:val="2"/>
                <w:sz w:val="24"/>
                <w:szCs w:val="24"/>
              </w:rPr>
              <w:t>材料</w:t>
            </w:r>
          </w:p>
        </w:tc>
      </w:tr>
      <w:tr w14:paraId="1BF3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E963847">
            <w:pPr>
              <w:jc w:val="center"/>
              <w:rPr>
                <w:kern w:val="2"/>
                <w:sz w:val="24"/>
                <w:szCs w:val="24"/>
              </w:rPr>
            </w:pPr>
          </w:p>
        </w:tc>
        <w:tc>
          <w:tcPr>
            <w:tcW w:w="3291" w:type="dxa"/>
          </w:tcPr>
          <w:p w14:paraId="48BC1B07">
            <w:pPr>
              <w:jc w:val="center"/>
              <w:rPr>
                <w:kern w:val="2"/>
                <w:sz w:val="24"/>
                <w:szCs w:val="24"/>
              </w:rPr>
            </w:pPr>
          </w:p>
        </w:tc>
        <w:tc>
          <w:tcPr>
            <w:tcW w:w="2852" w:type="dxa"/>
          </w:tcPr>
          <w:p w14:paraId="12696269">
            <w:pPr>
              <w:jc w:val="center"/>
              <w:rPr>
                <w:kern w:val="2"/>
                <w:sz w:val="24"/>
                <w:szCs w:val="24"/>
              </w:rPr>
            </w:pPr>
          </w:p>
        </w:tc>
        <w:tc>
          <w:tcPr>
            <w:tcW w:w="1308" w:type="dxa"/>
          </w:tcPr>
          <w:p w14:paraId="45EEF0E8">
            <w:pPr>
              <w:jc w:val="center"/>
              <w:rPr>
                <w:kern w:val="2"/>
                <w:sz w:val="24"/>
                <w:szCs w:val="24"/>
              </w:rPr>
            </w:pPr>
          </w:p>
        </w:tc>
        <w:tc>
          <w:tcPr>
            <w:tcW w:w="1173" w:type="dxa"/>
          </w:tcPr>
          <w:p w14:paraId="1AC10131">
            <w:pPr>
              <w:jc w:val="center"/>
              <w:rPr>
                <w:kern w:val="2"/>
                <w:sz w:val="24"/>
                <w:szCs w:val="24"/>
              </w:rPr>
            </w:pPr>
          </w:p>
        </w:tc>
      </w:tr>
      <w:tr w14:paraId="04DD0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8312689">
            <w:pPr>
              <w:jc w:val="center"/>
              <w:rPr>
                <w:kern w:val="2"/>
                <w:sz w:val="24"/>
                <w:szCs w:val="24"/>
              </w:rPr>
            </w:pPr>
          </w:p>
        </w:tc>
        <w:tc>
          <w:tcPr>
            <w:tcW w:w="3291" w:type="dxa"/>
          </w:tcPr>
          <w:p w14:paraId="058B2F3A">
            <w:pPr>
              <w:jc w:val="center"/>
              <w:rPr>
                <w:kern w:val="2"/>
                <w:sz w:val="24"/>
                <w:szCs w:val="24"/>
              </w:rPr>
            </w:pPr>
          </w:p>
        </w:tc>
        <w:tc>
          <w:tcPr>
            <w:tcW w:w="2852" w:type="dxa"/>
          </w:tcPr>
          <w:p w14:paraId="342161D5">
            <w:pPr>
              <w:jc w:val="center"/>
              <w:rPr>
                <w:kern w:val="2"/>
                <w:sz w:val="24"/>
                <w:szCs w:val="24"/>
              </w:rPr>
            </w:pPr>
          </w:p>
        </w:tc>
        <w:tc>
          <w:tcPr>
            <w:tcW w:w="1308" w:type="dxa"/>
          </w:tcPr>
          <w:p w14:paraId="1A4488AB">
            <w:pPr>
              <w:jc w:val="center"/>
              <w:rPr>
                <w:kern w:val="2"/>
                <w:sz w:val="24"/>
                <w:szCs w:val="24"/>
              </w:rPr>
            </w:pPr>
          </w:p>
        </w:tc>
        <w:tc>
          <w:tcPr>
            <w:tcW w:w="1173" w:type="dxa"/>
          </w:tcPr>
          <w:p w14:paraId="7DE5BAB7">
            <w:pPr>
              <w:jc w:val="center"/>
              <w:rPr>
                <w:kern w:val="2"/>
                <w:sz w:val="24"/>
                <w:szCs w:val="24"/>
              </w:rPr>
            </w:pPr>
          </w:p>
        </w:tc>
      </w:tr>
      <w:tr w14:paraId="1474F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E61EA75">
            <w:pPr>
              <w:jc w:val="center"/>
              <w:rPr>
                <w:kern w:val="2"/>
                <w:sz w:val="24"/>
                <w:szCs w:val="24"/>
              </w:rPr>
            </w:pPr>
          </w:p>
        </w:tc>
        <w:tc>
          <w:tcPr>
            <w:tcW w:w="3291" w:type="dxa"/>
          </w:tcPr>
          <w:p w14:paraId="4DF603DE">
            <w:pPr>
              <w:jc w:val="center"/>
              <w:rPr>
                <w:kern w:val="2"/>
                <w:sz w:val="24"/>
                <w:szCs w:val="24"/>
              </w:rPr>
            </w:pPr>
          </w:p>
        </w:tc>
        <w:tc>
          <w:tcPr>
            <w:tcW w:w="2852" w:type="dxa"/>
          </w:tcPr>
          <w:p w14:paraId="17C30D47">
            <w:pPr>
              <w:jc w:val="center"/>
              <w:rPr>
                <w:kern w:val="2"/>
                <w:sz w:val="24"/>
                <w:szCs w:val="24"/>
              </w:rPr>
            </w:pPr>
          </w:p>
        </w:tc>
        <w:tc>
          <w:tcPr>
            <w:tcW w:w="1308" w:type="dxa"/>
          </w:tcPr>
          <w:p w14:paraId="4F987B1C">
            <w:pPr>
              <w:jc w:val="center"/>
              <w:rPr>
                <w:kern w:val="2"/>
                <w:sz w:val="24"/>
                <w:szCs w:val="24"/>
              </w:rPr>
            </w:pPr>
          </w:p>
        </w:tc>
        <w:tc>
          <w:tcPr>
            <w:tcW w:w="1173" w:type="dxa"/>
          </w:tcPr>
          <w:p w14:paraId="62669984">
            <w:pPr>
              <w:jc w:val="center"/>
              <w:rPr>
                <w:kern w:val="2"/>
                <w:sz w:val="24"/>
                <w:szCs w:val="24"/>
              </w:rPr>
            </w:pPr>
          </w:p>
        </w:tc>
      </w:tr>
      <w:tr w14:paraId="2456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3E3813F">
            <w:pPr>
              <w:jc w:val="center"/>
              <w:rPr>
                <w:kern w:val="2"/>
                <w:sz w:val="24"/>
                <w:szCs w:val="24"/>
              </w:rPr>
            </w:pPr>
          </w:p>
        </w:tc>
        <w:tc>
          <w:tcPr>
            <w:tcW w:w="3291" w:type="dxa"/>
          </w:tcPr>
          <w:p w14:paraId="18171544">
            <w:pPr>
              <w:jc w:val="center"/>
              <w:rPr>
                <w:kern w:val="2"/>
                <w:sz w:val="24"/>
                <w:szCs w:val="24"/>
              </w:rPr>
            </w:pPr>
          </w:p>
        </w:tc>
        <w:tc>
          <w:tcPr>
            <w:tcW w:w="2852" w:type="dxa"/>
          </w:tcPr>
          <w:p w14:paraId="679EC14B">
            <w:pPr>
              <w:jc w:val="center"/>
              <w:rPr>
                <w:kern w:val="2"/>
                <w:sz w:val="24"/>
                <w:szCs w:val="24"/>
              </w:rPr>
            </w:pPr>
          </w:p>
        </w:tc>
        <w:tc>
          <w:tcPr>
            <w:tcW w:w="1308" w:type="dxa"/>
          </w:tcPr>
          <w:p w14:paraId="2FA0ECC8">
            <w:pPr>
              <w:jc w:val="center"/>
              <w:rPr>
                <w:kern w:val="2"/>
                <w:sz w:val="24"/>
                <w:szCs w:val="24"/>
              </w:rPr>
            </w:pPr>
          </w:p>
        </w:tc>
        <w:tc>
          <w:tcPr>
            <w:tcW w:w="1173" w:type="dxa"/>
          </w:tcPr>
          <w:p w14:paraId="6CB3F8B1">
            <w:pPr>
              <w:jc w:val="center"/>
              <w:rPr>
                <w:kern w:val="2"/>
                <w:sz w:val="24"/>
                <w:szCs w:val="24"/>
              </w:rPr>
            </w:pPr>
          </w:p>
        </w:tc>
      </w:tr>
      <w:tr w14:paraId="7E31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10F5960">
            <w:pPr>
              <w:jc w:val="center"/>
              <w:rPr>
                <w:kern w:val="2"/>
                <w:sz w:val="24"/>
                <w:szCs w:val="24"/>
              </w:rPr>
            </w:pPr>
          </w:p>
        </w:tc>
        <w:tc>
          <w:tcPr>
            <w:tcW w:w="3291" w:type="dxa"/>
          </w:tcPr>
          <w:p w14:paraId="27541BA8">
            <w:pPr>
              <w:jc w:val="center"/>
              <w:rPr>
                <w:kern w:val="2"/>
                <w:sz w:val="24"/>
                <w:szCs w:val="24"/>
              </w:rPr>
            </w:pPr>
          </w:p>
        </w:tc>
        <w:tc>
          <w:tcPr>
            <w:tcW w:w="2852" w:type="dxa"/>
          </w:tcPr>
          <w:p w14:paraId="641F8004">
            <w:pPr>
              <w:jc w:val="center"/>
              <w:rPr>
                <w:kern w:val="2"/>
                <w:sz w:val="24"/>
                <w:szCs w:val="24"/>
              </w:rPr>
            </w:pPr>
          </w:p>
        </w:tc>
        <w:tc>
          <w:tcPr>
            <w:tcW w:w="1308" w:type="dxa"/>
          </w:tcPr>
          <w:p w14:paraId="1C509672">
            <w:pPr>
              <w:jc w:val="center"/>
              <w:rPr>
                <w:kern w:val="2"/>
                <w:sz w:val="24"/>
                <w:szCs w:val="24"/>
              </w:rPr>
            </w:pPr>
          </w:p>
        </w:tc>
        <w:tc>
          <w:tcPr>
            <w:tcW w:w="1173" w:type="dxa"/>
          </w:tcPr>
          <w:p w14:paraId="4F6D7F38">
            <w:pPr>
              <w:jc w:val="center"/>
              <w:rPr>
                <w:kern w:val="2"/>
                <w:sz w:val="24"/>
                <w:szCs w:val="24"/>
              </w:rPr>
            </w:pPr>
          </w:p>
        </w:tc>
      </w:tr>
      <w:tr w14:paraId="2A06C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C4C5405">
            <w:pPr>
              <w:jc w:val="center"/>
              <w:rPr>
                <w:kern w:val="2"/>
                <w:sz w:val="24"/>
                <w:szCs w:val="24"/>
              </w:rPr>
            </w:pPr>
          </w:p>
        </w:tc>
        <w:tc>
          <w:tcPr>
            <w:tcW w:w="3291" w:type="dxa"/>
          </w:tcPr>
          <w:p w14:paraId="492CED94">
            <w:pPr>
              <w:jc w:val="center"/>
              <w:rPr>
                <w:kern w:val="2"/>
                <w:sz w:val="24"/>
                <w:szCs w:val="24"/>
              </w:rPr>
            </w:pPr>
          </w:p>
        </w:tc>
        <w:tc>
          <w:tcPr>
            <w:tcW w:w="2852" w:type="dxa"/>
          </w:tcPr>
          <w:p w14:paraId="30624CBA">
            <w:pPr>
              <w:jc w:val="center"/>
              <w:rPr>
                <w:kern w:val="2"/>
                <w:sz w:val="24"/>
                <w:szCs w:val="24"/>
              </w:rPr>
            </w:pPr>
          </w:p>
        </w:tc>
        <w:tc>
          <w:tcPr>
            <w:tcW w:w="1308" w:type="dxa"/>
          </w:tcPr>
          <w:p w14:paraId="6FC80FF2">
            <w:pPr>
              <w:jc w:val="center"/>
              <w:rPr>
                <w:kern w:val="2"/>
                <w:sz w:val="24"/>
                <w:szCs w:val="24"/>
              </w:rPr>
            </w:pPr>
          </w:p>
        </w:tc>
        <w:tc>
          <w:tcPr>
            <w:tcW w:w="1173" w:type="dxa"/>
          </w:tcPr>
          <w:p w14:paraId="02838AFF">
            <w:pPr>
              <w:jc w:val="center"/>
              <w:rPr>
                <w:kern w:val="2"/>
                <w:sz w:val="24"/>
                <w:szCs w:val="24"/>
              </w:rPr>
            </w:pPr>
          </w:p>
        </w:tc>
      </w:tr>
      <w:tr w14:paraId="724A8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4F182418">
            <w:pPr>
              <w:jc w:val="center"/>
              <w:rPr>
                <w:kern w:val="2"/>
                <w:sz w:val="24"/>
                <w:szCs w:val="24"/>
              </w:rPr>
            </w:pPr>
          </w:p>
        </w:tc>
        <w:tc>
          <w:tcPr>
            <w:tcW w:w="3291" w:type="dxa"/>
          </w:tcPr>
          <w:p w14:paraId="1C3D9B62">
            <w:pPr>
              <w:jc w:val="center"/>
              <w:rPr>
                <w:kern w:val="2"/>
                <w:sz w:val="24"/>
                <w:szCs w:val="24"/>
              </w:rPr>
            </w:pPr>
          </w:p>
        </w:tc>
        <w:tc>
          <w:tcPr>
            <w:tcW w:w="2852" w:type="dxa"/>
          </w:tcPr>
          <w:p w14:paraId="099656CA">
            <w:pPr>
              <w:jc w:val="center"/>
              <w:rPr>
                <w:kern w:val="2"/>
                <w:sz w:val="24"/>
                <w:szCs w:val="24"/>
              </w:rPr>
            </w:pPr>
          </w:p>
        </w:tc>
        <w:tc>
          <w:tcPr>
            <w:tcW w:w="1308" w:type="dxa"/>
          </w:tcPr>
          <w:p w14:paraId="6AD3B7BF">
            <w:pPr>
              <w:jc w:val="center"/>
              <w:rPr>
                <w:kern w:val="2"/>
                <w:sz w:val="24"/>
                <w:szCs w:val="24"/>
              </w:rPr>
            </w:pPr>
          </w:p>
        </w:tc>
        <w:tc>
          <w:tcPr>
            <w:tcW w:w="1173" w:type="dxa"/>
          </w:tcPr>
          <w:p w14:paraId="5179FFB0">
            <w:pPr>
              <w:jc w:val="center"/>
              <w:rPr>
                <w:kern w:val="2"/>
                <w:sz w:val="24"/>
                <w:szCs w:val="24"/>
              </w:rPr>
            </w:pPr>
          </w:p>
        </w:tc>
      </w:tr>
      <w:tr w14:paraId="582F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26DEAAF9">
            <w:pPr>
              <w:jc w:val="center"/>
              <w:rPr>
                <w:kern w:val="2"/>
                <w:sz w:val="24"/>
                <w:szCs w:val="24"/>
              </w:rPr>
            </w:pPr>
          </w:p>
        </w:tc>
        <w:tc>
          <w:tcPr>
            <w:tcW w:w="3291" w:type="dxa"/>
          </w:tcPr>
          <w:p w14:paraId="0AB701BA">
            <w:pPr>
              <w:jc w:val="center"/>
              <w:rPr>
                <w:kern w:val="2"/>
                <w:sz w:val="24"/>
                <w:szCs w:val="24"/>
              </w:rPr>
            </w:pPr>
            <w:r>
              <w:rPr>
                <w:kern w:val="2"/>
                <w:sz w:val="24"/>
                <w:szCs w:val="24"/>
              </w:rPr>
              <w:t>……</w:t>
            </w:r>
          </w:p>
        </w:tc>
        <w:tc>
          <w:tcPr>
            <w:tcW w:w="2852" w:type="dxa"/>
          </w:tcPr>
          <w:p w14:paraId="102DB5EE">
            <w:pPr>
              <w:jc w:val="center"/>
              <w:rPr>
                <w:kern w:val="2"/>
                <w:sz w:val="24"/>
                <w:szCs w:val="24"/>
              </w:rPr>
            </w:pPr>
          </w:p>
        </w:tc>
        <w:tc>
          <w:tcPr>
            <w:tcW w:w="1308" w:type="dxa"/>
          </w:tcPr>
          <w:p w14:paraId="6EEFDA2D">
            <w:pPr>
              <w:jc w:val="center"/>
              <w:rPr>
                <w:kern w:val="2"/>
                <w:sz w:val="24"/>
                <w:szCs w:val="24"/>
              </w:rPr>
            </w:pPr>
          </w:p>
        </w:tc>
        <w:tc>
          <w:tcPr>
            <w:tcW w:w="1173" w:type="dxa"/>
          </w:tcPr>
          <w:p w14:paraId="10B699D5">
            <w:pPr>
              <w:jc w:val="center"/>
              <w:rPr>
                <w:kern w:val="2"/>
                <w:sz w:val="24"/>
                <w:szCs w:val="24"/>
              </w:rPr>
            </w:pPr>
          </w:p>
        </w:tc>
      </w:tr>
    </w:tbl>
    <w:p w14:paraId="33EB395D">
      <w:pPr>
        <w:spacing w:line="588" w:lineRule="exact"/>
        <w:rPr>
          <w:kern w:val="2"/>
          <w:sz w:val="24"/>
        </w:rPr>
      </w:pPr>
      <w:r>
        <w:rPr>
          <w:kern w:val="2"/>
          <w:sz w:val="24"/>
        </w:rPr>
        <w:t>1.</w:t>
      </w:r>
      <w:r>
        <w:rPr>
          <w:rFonts w:hint="eastAsia"/>
          <w:kern w:val="2"/>
          <w:sz w:val="24"/>
        </w:rPr>
        <w:t>投标人</w:t>
      </w:r>
      <w:r>
        <w:rPr>
          <w:kern w:val="2"/>
          <w:sz w:val="24"/>
        </w:rPr>
        <w:t>必须对技术要求和商务要求中的实质性要求（打“★”内容）做出明确响应，否则作无效响应处理。</w:t>
      </w:r>
    </w:p>
    <w:p w14:paraId="4AEC0A5C">
      <w:pPr>
        <w:spacing w:line="588" w:lineRule="exact"/>
        <w:rPr>
          <w:kern w:val="2"/>
          <w:sz w:val="24"/>
        </w:rPr>
      </w:pPr>
      <w:r>
        <w:rPr>
          <w:kern w:val="2"/>
          <w:sz w:val="24"/>
        </w:rPr>
        <w:t>2.如果采购文件要求提供证明材料，</w:t>
      </w:r>
      <w:r>
        <w:rPr>
          <w:rFonts w:hint="eastAsia"/>
          <w:kern w:val="2"/>
          <w:sz w:val="24"/>
        </w:rPr>
        <w:t>投标人</w:t>
      </w:r>
      <w:r>
        <w:rPr>
          <w:kern w:val="2"/>
          <w:sz w:val="24"/>
        </w:rPr>
        <w:t>必须将证明材料列于该表之下。</w:t>
      </w:r>
    </w:p>
    <w:p w14:paraId="7A2C115B">
      <w:pPr>
        <w:spacing w:line="588" w:lineRule="exact"/>
        <w:rPr>
          <w:kern w:val="2"/>
          <w:sz w:val="24"/>
        </w:rPr>
      </w:pPr>
      <w:r>
        <w:rPr>
          <w:kern w:val="2"/>
          <w:sz w:val="24"/>
        </w:rPr>
        <w:t>3.</w:t>
      </w:r>
      <w:r>
        <w:rPr>
          <w:rFonts w:hint="eastAsia"/>
          <w:kern w:val="2"/>
          <w:sz w:val="24"/>
        </w:rPr>
        <w:t>投标人</w:t>
      </w:r>
      <w:r>
        <w:rPr>
          <w:kern w:val="2"/>
          <w:sz w:val="24"/>
        </w:rPr>
        <w:t>未对实质性要求作出明确响应的，或未按采购文件要求提供证明材料的，该分包作无效响应处理。</w:t>
      </w:r>
    </w:p>
    <w:p w14:paraId="42B0A9D8">
      <w:pPr>
        <w:spacing w:line="588" w:lineRule="exact"/>
        <w:rPr>
          <w:kern w:val="2"/>
          <w:sz w:val="24"/>
        </w:rPr>
      </w:pPr>
      <w:r>
        <w:rPr>
          <w:rFonts w:hint="eastAsia"/>
          <w:kern w:val="2"/>
          <w:sz w:val="24"/>
        </w:rPr>
        <w:t>4.行数不够，可自行添加。</w:t>
      </w:r>
    </w:p>
    <w:p w14:paraId="21422D52">
      <w:pPr>
        <w:jc w:val="center"/>
        <w:rPr>
          <w:rFonts w:eastAsia="黑体"/>
          <w:b/>
          <w:kern w:val="2"/>
          <w:sz w:val="36"/>
        </w:rPr>
      </w:pPr>
    </w:p>
    <w:p w14:paraId="38441199">
      <w:pPr>
        <w:pStyle w:val="38"/>
        <w:outlineLvl w:val="1"/>
        <w:rPr>
          <w:rFonts w:ascii="Times New Roman" w:hAnsi="Times New Roman"/>
        </w:rPr>
      </w:pPr>
    </w:p>
    <w:p w14:paraId="0A3E75F5">
      <w:pPr>
        <w:pStyle w:val="38"/>
        <w:outlineLvl w:val="1"/>
        <w:rPr>
          <w:rFonts w:ascii="Times New Roman" w:hAnsi="Times New Roman"/>
        </w:rPr>
      </w:pPr>
    </w:p>
    <w:p w14:paraId="2BAFD585">
      <w:pPr>
        <w:pStyle w:val="38"/>
        <w:outlineLvl w:val="1"/>
        <w:rPr>
          <w:rFonts w:ascii="Times New Roman" w:hAnsi="Times New Roman"/>
        </w:rPr>
      </w:pPr>
    </w:p>
    <w:p w14:paraId="7243F16B">
      <w:pPr>
        <w:pStyle w:val="38"/>
        <w:outlineLvl w:val="1"/>
        <w:rPr>
          <w:rFonts w:ascii="Times New Roman" w:hAnsi="Times New Roman"/>
        </w:rPr>
      </w:pPr>
    </w:p>
    <w:p w14:paraId="0CBD55FD">
      <w:pPr>
        <w:pStyle w:val="38"/>
        <w:outlineLvl w:val="1"/>
        <w:rPr>
          <w:rFonts w:ascii="Times New Roman" w:hAnsi="Times New Roman"/>
        </w:rPr>
      </w:pPr>
      <w:r>
        <w:rPr>
          <w:rFonts w:hint="eastAsia" w:ascii="Times New Roman" w:hAnsi="Times New Roman"/>
        </w:rPr>
        <w:t>十、</w:t>
      </w:r>
      <w:r>
        <w:rPr>
          <w:rFonts w:ascii="Times New Roman" w:hAnsi="Times New Roman"/>
        </w:rPr>
        <w:t>项目组人员</w:t>
      </w:r>
    </w:p>
    <w:p w14:paraId="5DBD2E9A">
      <w:pPr>
        <w:pStyle w:val="10"/>
        <w:spacing w:line="600" w:lineRule="exact"/>
        <w:jc w:val="center"/>
        <w:rPr>
          <w:rFonts w:ascii="Times New Roman" w:hAnsi="Times New Roman"/>
          <w:b/>
          <w:bCs/>
          <w:sz w:val="32"/>
          <w:szCs w:val="32"/>
        </w:rPr>
      </w:pPr>
      <w:r>
        <w:rPr>
          <w:rFonts w:hint="eastAsia" w:ascii="Times New Roman" w:hAnsi="Times New Roman"/>
          <w:b/>
          <w:bCs/>
          <w:sz w:val="32"/>
          <w:szCs w:val="32"/>
          <w:lang w:bidi="ar"/>
        </w:rPr>
        <w:t>项目组成员</w:t>
      </w:r>
    </w:p>
    <w:tbl>
      <w:tblPr>
        <w:tblStyle w:val="11"/>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50DE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vAlign w:val="center"/>
          </w:tcPr>
          <w:p w14:paraId="4EC9480F">
            <w:pPr>
              <w:pStyle w:val="39"/>
              <w:widowControl/>
              <w:spacing w:beforeAutospacing="1" w:line="560" w:lineRule="exact"/>
              <w:jc w:val="center"/>
              <w:rPr>
                <w:rFonts w:eastAsia="仿宋_GB2312" w:cs="仿宋_GB2312"/>
                <w:sz w:val="28"/>
                <w:szCs w:val="28"/>
              </w:rPr>
            </w:pPr>
            <w:r>
              <w:rPr>
                <w:rFonts w:eastAsia="仿宋_GB2312" w:cs="仿宋_GB2312"/>
                <w:sz w:val="28"/>
                <w:szCs w:val="28"/>
              </w:rPr>
              <w:t>姓名</w:t>
            </w:r>
          </w:p>
        </w:tc>
        <w:tc>
          <w:tcPr>
            <w:tcW w:w="1843" w:type="dxa"/>
            <w:tcBorders>
              <w:top w:val="single" w:color="auto" w:sz="4" w:space="0"/>
              <w:left w:val="single" w:color="auto" w:sz="4" w:space="0"/>
              <w:bottom w:val="single" w:color="auto" w:sz="4" w:space="0"/>
              <w:right w:val="single" w:color="auto" w:sz="4" w:space="0"/>
            </w:tcBorders>
            <w:vAlign w:val="center"/>
          </w:tcPr>
          <w:p w14:paraId="33039CBF">
            <w:pPr>
              <w:pStyle w:val="39"/>
              <w:widowControl/>
              <w:spacing w:beforeAutospacing="1" w:line="560" w:lineRule="exact"/>
              <w:jc w:val="center"/>
              <w:rPr>
                <w:rFonts w:eastAsia="仿宋_GB2312" w:cs="仿宋_GB2312"/>
                <w:sz w:val="28"/>
                <w:szCs w:val="28"/>
              </w:rPr>
            </w:pPr>
            <w:r>
              <w:rPr>
                <w:rFonts w:eastAsia="仿宋_GB2312" w:cs="仿宋_GB2312"/>
                <w:sz w:val="28"/>
                <w:szCs w:val="28"/>
              </w:rPr>
              <w:t>职务</w:t>
            </w:r>
          </w:p>
        </w:tc>
        <w:tc>
          <w:tcPr>
            <w:tcW w:w="992" w:type="dxa"/>
            <w:tcBorders>
              <w:top w:val="single" w:color="auto" w:sz="4" w:space="0"/>
              <w:left w:val="single" w:color="auto" w:sz="4" w:space="0"/>
              <w:bottom w:val="single" w:color="auto" w:sz="4" w:space="0"/>
              <w:right w:val="single" w:color="auto" w:sz="4" w:space="0"/>
            </w:tcBorders>
            <w:vAlign w:val="center"/>
          </w:tcPr>
          <w:p w14:paraId="4508F258">
            <w:pPr>
              <w:pStyle w:val="39"/>
              <w:widowControl/>
              <w:spacing w:beforeAutospacing="1" w:line="560" w:lineRule="exact"/>
              <w:jc w:val="center"/>
              <w:rPr>
                <w:rFonts w:eastAsia="仿宋_GB2312" w:cs="仿宋_GB2312"/>
                <w:sz w:val="28"/>
                <w:szCs w:val="28"/>
              </w:rPr>
            </w:pPr>
            <w:r>
              <w:rPr>
                <w:rFonts w:eastAsia="仿宋_GB2312" w:cs="仿宋_GB2312"/>
                <w:sz w:val="28"/>
                <w:szCs w:val="28"/>
              </w:rPr>
              <w:t>学历</w:t>
            </w:r>
          </w:p>
        </w:tc>
        <w:tc>
          <w:tcPr>
            <w:tcW w:w="1984" w:type="dxa"/>
            <w:tcBorders>
              <w:top w:val="single" w:color="auto" w:sz="4" w:space="0"/>
              <w:left w:val="single" w:color="auto" w:sz="4" w:space="0"/>
              <w:bottom w:val="single" w:color="auto" w:sz="4" w:space="0"/>
              <w:right w:val="single" w:color="auto" w:sz="4" w:space="0"/>
            </w:tcBorders>
            <w:vAlign w:val="center"/>
          </w:tcPr>
          <w:p w14:paraId="3728A63D">
            <w:pPr>
              <w:pStyle w:val="39"/>
              <w:widowControl/>
              <w:spacing w:beforeAutospacing="1" w:line="560" w:lineRule="exact"/>
              <w:ind w:firstLine="280"/>
              <w:rPr>
                <w:rFonts w:eastAsia="仿宋_GB2312" w:cs="仿宋_GB2312"/>
                <w:sz w:val="28"/>
                <w:szCs w:val="28"/>
              </w:rPr>
            </w:pPr>
            <w:r>
              <w:rPr>
                <w:rFonts w:eastAsia="仿宋_GB2312" w:cs="仿宋_GB2312"/>
                <w:sz w:val="28"/>
                <w:szCs w:val="28"/>
              </w:rPr>
              <w:t>身份证号</w:t>
            </w:r>
          </w:p>
        </w:tc>
        <w:tc>
          <w:tcPr>
            <w:tcW w:w="1702" w:type="dxa"/>
            <w:tcBorders>
              <w:top w:val="single" w:color="auto" w:sz="4" w:space="0"/>
              <w:left w:val="single" w:color="auto" w:sz="4" w:space="0"/>
              <w:bottom w:val="single" w:color="auto" w:sz="4" w:space="0"/>
              <w:right w:val="single" w:color="auto" w:sz="4" w:space="0"/>
            </w:tcBorders>
            <w:vAlign w:val="center"/>
          </w:tcPr>
          <w:p w14:paraId="4D44424A">
            <w:pPr>
              <w:pStyle w:val="39"/>
              <w:widowControl/>
              <w:spacing w:beforeAutospacing="1" w:line="560" w:lineRule="exact"/>
              <w:jc w:val="center"/>
              <w:rPr>
                <w:rFonts w:eastAsia="仿宋_GB2312" w:cs="仿宋_GB2312"/>
                <w:sz w:val="28"/>
                <w:szCs w:val="28"/>
              </w:rPr>
            </w:pPr>
            <w:r>
              <w:rPr>
                <w:rFonts w:eastAsia="仿宋_GB2312" w:cs="仿宋_GB2312"/>
                <w:sz w:val="28"/>
                <w:szCs w:val="28"/>
              </w:rPr>
              <w:t>相关证书</w:t>
            </w:r>
          </w:p>
        </w:tc>
        <w:tc>
          <w:tcPr>
            <w:tcW w:w="962" w:type="dxa"/>
            <w:tcBorders>
              <w:top w:val="single" w:color="auto" w:sz="4" w:space="0"/>
              <w:left w:val="single" w:color="auto" w:sz="4" w:space="0"/>
              <w:bottom w:val="single" w:color="auto" w:sz="4" w:space="0"/>
              <w:right w:val="single" w:color="auto" w:sz="4" w:space="0"/>
            </w:tcBorders>
            <w:vAlign w:val="center"/>
          </w:tcPr>
          <w:p w14:paraId="0311554B">
            <w:pPr>
              <w:pStyle w:val="39"/>
              <w:widowControl/>
              <w:spacing w:beforeAutospacing="1" w:line="560" w:lineRule="exact"/>
              <w:rPr>
                <w:rFonts w:eastAsia="仿宋_GB2312" w:cs="仿宋_GB2312"/>
                <w:sz w:val="28"/>
                <w:szCs w:val="28"/>
              </w:rPr>
            </w:pPr>
            <w:r>
              <w:rPr>
                <w:rFonts w:eastAsia="仿宋_GB2312" w:cs="仿宋_GB2312"/>
                <w:sz w:val="28"/>
                <w:szCs w:val="28"/>
              </w:rPr>
              <w:t>备注</w:t>
            </w:r>
          </w:p>
        </w:tc>
      </w:tr>
      <w:tr w14:paraId="2837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02267A8E">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7BDCE361">
            <w:pPr>
              <w:pStyle w:val="10"/>
              <w:jc w:val="center"/>
              <w:rPr>
                <w:rFonts w:ascii="Times New Roman" w:hAnsi="Times New Roman"/>
                <w:sz w:val="20"/>
                <w:szCs w:val="20"/>
              </w:rPr>
            </w:pPr>
            <w:r>
              <w:rPr>
                <w:rFonts w:hint="eastAsia" w:ascii="Times New Roman" w:hAnsi="Times New Roman" w:eastAsia="仿宋_GB2312" w:cs="仿宋_GB2312"/>
                <w:sz w:val="28"/>
                <w:szCs w:val="28"/>
                <w:lang w:bidi="ar"/>
              </w:rPr>
              <w:t>项目经理</w:t>
            </w:r>
          </w:p>
        </w:tc>
        <w:tc>
          <w:tcPr>
            <w:tcW w:w="992" w:type="dxa"/>
            <w:tcBorders>
              <w:top w:val="single" w:color="auto" w:sz="4" w:space="0"/>
              <w:left w:val="single" w:color="auto" w:sz="4" w:space="0"/>
              <w:bottom w:val="single" w:color="auto" w:sz="4" w:space="0"/>
              <w:right w:val="single" w:color="auto" w:sz="4" w:space="0"/>
            </w:tcBorders>
            <w:vAlign w:val="center"/>
          </w:tcPr>
          <w:p w14:paraId="674D3411">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63FA7137">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5C6235CA">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577EFAC4">
            <w:pPr>
              <w:pStyle w:val="39"/>
              <w:widowControl/>
              <w:spacing w:line="560" w:lineRule="exact"/>
              <w:ind w:firstLine="560"/>
              <w:jc w:val="center"/>
              <w:rPr>
                <w:rFonts w:eastAsia="仿宋_GB2312" w:cs="仿宋_GB2312"/>
                <w:sz w:val="28"/>
                <w:szCs w:val="28"/>
              </w:rPr>
            </w:pPr>
          </w:p>
        </w:tc>
      </w:tr>
      <w:tr w14:paraId="0696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602AFD90">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4FCC917B">
            <w:pPr>
              <w:pStyle w:val="10"/>
              <w:jc w:val="center"/>
              <w:rPr>
                <w:rFonts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auto" w:sz="4" w:space="0"/>
              <w:left w:val="single" w:color="auto" w:sz="4" w:space="0"/>
              <w:bottom w:val="single" w:color="auto" w:sz="4" w:space="0"/>
              <w:right w:val="single" w:color="auto" w:sz="4" w:space="0"/>
            </w:tcBorders>
            <w:vAlign w:val="center"/>
          </w:tcPr>
          <w:p w14:paraId="6E7A1444">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7D18D24A">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2BA9718A">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76D5F224">
            <w:pPr>
              <w:pStyle w:val="39"/>
              <w:widowControl/>
              <w:spacing w:line="560" w:lineRule="exact"/>
              <w:ind w:firstLine="560"/>
              <w:jc w:val="center"/>
              <w:rPr>
                <w:rFonts w:eastAsia="仿宋_GB2312" w:cs="仿宋_GB2312"/>
                <w:sz w:val="28"/>
                <w:szCs w:val="28"/>
              </w:rPr>
            </w:pPr>
          </w:p>
        </w:tc>
      </w:tr>
      <w:tr w14:paraId="29D1D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2E51536B">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5C059486">
            <w:pPr>
              <w:pStyle w:val="10"/>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auto" w:sz="4" w:space="0"/>
              <w:left w:val="single" w:color="auto" w:sz="4" w:space="0"/>
              <w:bottom w:val="single" w:color="auto" w:sz="4" w:space="0"/>
              <w:right w:val="single" w:color="auto" w:sz="4" w:space="0"/>
            </w:tcBorders>
            <w:vAlign w:val="center"/>
          </w:tcPr>
          <w:p w14:paraId="431B8C8E">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5520F013">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0EA59440">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3A25598D">
            <w:pPr>
              <w:pStyle w:val="39"/>
              <w:widowControl/>
              <w:spacing w:line="560" w:lineRule="exact"/>
              <w:ind w:firstLine="560"/>
              <w:jc w:val="center"/>
              <w:rPr>
                <w:rFonts w:eastAsia="仿宋_GB2312" w:cs="仿宋_GB2312"/>
                <w:sz w:val="28"/>
                <w:szCs w:val="28"/>
              </w:rPr>
            </w:pPr>
          </w:p>
        </w:tc>
      </w:tr>
      <w:tr w14:paraId="39C1E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455729D2">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35CD33F1">
            <w:pPr>
              <w:pStyle w:val="10"/>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19426DB1">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43835CEA">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7992B795">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3C76C5DC">
            <w:pPr>
              <w:pStyle w:val="39"/>
              <w:widowControl/>
              <w:spacing w:line="560" w:lineRule="exact"/>
              <w:ind w:firstLine="560"/>
              <w:jc w:val="center"/>
              <w:rPr>
                <w:rFonts w:eastAsia="仿宋_GB2312" w:cs="仿宋_GB2312"/>
                <w:sz w:val="28"/>
                <w:szCs w:val="28"/>
              </w:rPr>
            </w:pPr>
          </w:p>
        </w:tc>
      </w:tr>
      <w:tr w14:paraId="2921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6C36F85A">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7275B675">
            <w:pPr>
              <w:pStyle w:val="10"/>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13BE0C51">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407A7397">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46CAA03C">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72E8015D">
            <w:pPr>
              <w:pStyle w:val="39"/>
              <w:widowControl/>
              <w:spacing w:line="560" w:lineRule="exact"/>
              <w:ind w:firstLine="560"/>
              <w:jc w:val="center"/>
              <w:rPr>
                <w:rFonts w:eastAsia="仿宋_GB2312" w:cs="仿宋_GB2312"/>
                <w:sz w:val="28"/>
                <w:szCs w:val="28"/>
              </w:rPr>
            </w:pPr>
          </w:p>
        </w:tc>
      </w:tr>
      <w:tr w14:paraId="2CFDA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099A5BCD">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06898CCA">
            <w:pPr>
              <w:pStyle w:val="39"/>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3A93687A">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7D79878D">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590186C0">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7BD90A0C">
            <w:pPr>
              <w:pStyle w:val="39"/>
              <w:widowControl/>
              <w:spacing w:line="560" w:lineRule="exact"/>
              <w:ind w:firstLine="560"/>
              <w:jc w:val="center"/>
              <w:rPr>
                <w:rFonts w:eastAsia="仿宋_GB2312" w:cs="仿宋_GB2312"/>
                <w:sz w:val="28"/>
                <w:szCs w:val="28"/>
              </w:rPr>
            </w:pPr>
          </w:p>
        </w:tc>
      </w:tr>
      <w:tr w14:paraId="53D9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5E20052E">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7B27997C">
            <w:pPr>
              <w:pStyle w:val="39"/>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462461CE">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3601F0F4">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00B6E71F">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67C9456C">
            <w:pPr>
              <w:pStyle w:val="39"/>
              <w:widowControl/>
              <w:spacing w:line="560" w:lineRule="exact"/>
              <w:ind w:firstLine="560"/>
              <w:jc w:val="center"/>
              <w:rPr>
                <w:rFonts w:eastAsia="仿宋_GB2312" w:cs="仿宋_GB2312"/>
                <w:sz w:val="28"/>
                <w:szCs w:val="28"/>
              </w:rPr>
            </w:pPr>
          </w:p>
        </w:tc>
      </w:tr>
      <w:tr w14:paraId="5BE71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21BE0B41">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1D192BD3">
            <w:pPr>
              <w:pStyle w:val="39"/>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471BF129">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747978C">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27FAFCFD">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0E541987">
            <w:pPr>
              <w:pStyle w:val="39"/>
              <w:widowControl/>
              <w:spacing w:line="560" w:lineRule="exact"/>
              <w:ind w:firstLine="560"/>
              <w:jc w:val="center"/>
              <w:rPr>
                <w:rFonts w:eastAsia="仿宋_GB2312" w:cs="仿宋_GB2312"/>
                <w:sz w:val="28"/>
                <w:szCs w:val="28"/>
              </w:rPr>
            </w:pPr>
          </w:p>
        </w:tc>
      </w:tr>
      <w:tr w14:paraId="659BD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09F23A62">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1007471A">
            <w:pPr>
              <w:pStyle w:val="39"/>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256696F6">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73B7EF87">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1F0CF5C7">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5E8A0FD4">
            <w:pPr>
              <w:pStyle w:val="39"/>
              <w:widowControl/>
              <w:spacing w:line="560" w:lineRule="exact"/>
              <w:ind w:firstLine="560"/>
              <w:jc w:val="center"/>
              <w:rPr>
                <w:rFonts w:eastAsia="仿宋_GB2312" w:cs="仿宋_GB2312"/>
                <w:sz w:val="28"/>
                <w:szCs w:val="28"/>
              </w:rPr>
            </w:pPr>
          </w:p>
        </w:tc>
      </w:tr>
      <w:tr w14:paraId="2DAD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15A474A8">
            <w:pPr>
              <w:pStyle w:val="39"/>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36F6D1EB">
            <w:pPr>
              <w:pStyle w:val="39"/>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7888DB88">
            <w:pPr>
              <w:pStyle w:val="39"/>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53FA3386">
            <w:pPr>
              <w:pStyle w:val="39"/>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047117F5">
            <w:pPr>
              <w:pStyle w:val="39"/>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306C29E6">
            <w:pPr>
              <w:pStyle w:val="39"/>
              <w:widowControl/>
              <w:spacing w:line="560" w:lineRule="exact"/>
              <w:ind w:firstLine="560"/>
              <w:jc w:val="center"/>
              <w:rPr>
                <w:rFonts w:eastAsia="仿宋_GB2312" w:cs="仿宋_GB2312"/>
                <w:sz w:val="28"/>
                <w:szCs w:val="28"/>
              </w:rPr>
            </w:pPr>
          </w:p>
        </w:tc>
      </w:tr>
    </w:tbl>
    <w:p w14:paraId="30B73E09">
      <w:pPr>
        <w:pStyle w:val="10"/>
        <w:spacing w:line="460" w:lineRule="exact"/>
        <w:ind w:firstLine="398"/>
        <w:rPr>
          <w:rFonts w:ascii="Times New Roman" w:hAnsi="Times New Roman" w:eastAsia="仿宋_GB2312" w:cs="仿宋_GB2312"/>
        </w:rPr>
      </w:pPr>
      <w:r>
        <w:rPr>
          <w:rFonts w:ascii="Times New Roman" w:hAnsi="Times New Roman" w:eastAsia="仿宋_GB2312" w:cs="仿宋_GB2312"/>
          <w:b/>
          <w:lang w:bidi="ar"/>
        </w:rPr>
        <w:t>注：如供应商中标，项目组成员必须按本表承诺人员操作，不得随意更换。按</w:t>
      </w:r>
      <w:r>
        <w:rPr>
          <w:rFonts w:hint="eastAsia" w:ascii="Times New Roman" w:hAnsi="Times New Roman" w:eastAsia="仿宋_GB2312" w:cs="仿宋_GB2312"/>
          <w:b/>
          <w:lang w:bidi="ar"/>
        </w:rPr>
        <w:t>招标</w:t>
      </w:r>
      <w:r>
        <w:rPr>
          <w:rFonts w:ascii="Times New Roman" w:hAnsi="Times New Roman" w:eastAsia="仿宋_GB2312" w:cs="仿宋_GB2312"/>
          <w:b/>
          <w:lang w:bidi="ar"/>
        </w:rPr>
        <w:t>文件要求附相关人员证书。</w:t>
      </w:r>
    </w:p>
    <w:p w14:paraId="5B712D15">
      <w:pPr>
        <w:pStyle w:val="10"/>
        <w:spacing w:line="500" w:lineRule="exact"/>
        <w:ind w:firstLine="280"/>
        <w:rPr>
          <w:rFonts w:ascii="Times New Roman" w:hAnsi="Times New Roman" w:eastAsia="仿宋_GB2312" w:cs="仿宋_GB2312"/>
        </w:rPr>
      </w:pPr>
    </w:p>
    <w:p w14:paraId="475B802F">
      <w:pPr>
        <w:pStyle w:val="40"/>
        <w:spacing w:line="500" w:lineRule="exact"/>
      </w:pPr>
      <w:r>
        <w:rPr/>
        <w:br w:type="page" w:clear="all"/>
      </w:r>
      <w:bookmarkStart w:id="222" w:name="_Toc11176"/>
      <w:r>
        <w:rPr>
          <w:rFonts w:hint="eastAsia" w:eastAsia="黑体" w:cs="黑体"/>
          <w:b/>
          <w:sz w:val="32"/>
        </w:rPr>
        <w:t>十</w:t>
      </w:r>
      <w:r>
        <w:rPr>
          <w:rFonts w:hint="eastAsia" w:eastAsia="黑体" w:cs="黑体"/>
          <w:b/>
          <w:sz w:val="32"/>
          <w:lang w:val="en-US" w:eastAsia="zh-CN"/>
        </w:rPr>
        <w:t>一</w:t>
      </w:r>
      <w:r>
        <w:rPr>
          <w:rFonts w:hint="eastAsia" w:eastAsia="黑体" w:cs="黑体"/>
          <w:b/>
          <w:sz w:val="32"/>
        </w:rPr>
        <w:t>、</w:t>
      </w:r>
      <w:bookmarkEnd w:id="222"/>
      <w:r>
        <w:rPr>
          <w:rFonts w:hint="eastAsia" w:eastAsia="黑体" w:cs="黑体"/>
          <w:b/>
          <w:sz w:val="32"/>
        </w:rPr>
        <w:t>企业业绩</w:t>
      </w:r>
    </w:p>
    <w:p w14:paraId="01365628">
      <w:pPr>
        <w:pStyle w:val="41"/>
        <w:jc w:val="center"/>
        <w:rPr>
          <w:rFonts w:ascii="Times New Roman" w:hAnsi="Times New Roman"/>
          <w:b/>
          <w:sz w:val="32"/>
          <w:szCs w:val="32"/>
        </w:rPr>
      </w:pPr>
      <w:r>
        <w:rPr>
          <w:rFonts w:hint="eastAsia" w:ascii="Times New Roman" w:hAnsi="Times New Roman"/>
          <w:b/>
          <w:sz w:val="32"/>
          <w:szCs w:val="32"/>
        </w:rPr>
        <w:t>投标人承担类似项目业绩一览表</w:t>
      </w:r>
    </w:p>
    <w:tbl>
      <w:tblPr>
        <w:tblStyle w:val="1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F26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14:paraId="12924005">
            <w:pPr>
              <w:pStyle w:val="42"/>
              <w:spacing w:line="560" w:lineRule="exact"/>
              <w:jc w:val="center"/>
              <w:rPr>
                <w:rFonts w:eastAsia="仿宋_GB2312"/>
                <w:sz w:val="28"/>
                <w:szCs w:val="28"/>
              </w:rPr>
            </w:pPr>
            <w:r>
              <w:rPr>
                <w:rFonts w:hint="eastAsia" w:eastAsia="仿宋_GB2312"/>
                <w:sz w:val="28"/>
                <w:szCs w:val="28"/>
              </w:rPr>
              <w:t>序号</w:t>
            </w:r>
          </w:p>
        </w:tc>
        <w:tc>
          <w:tcPr>
            <w:tcW w:w="3827" w:type="dxa"/>
            <w:vAlign w:val="center"/>
          </w:tcPr>
          <w:p w14:paraId="3AE44EFD">
            <w:pPr>
              <w:pStyle w:val="42"/>
              <w:spacing w:line="560" w:lineRule="exact"/>
              <w:jc w:val="center"/>
              <w:rPr>
                <w:rFonts w:eastAsia="仿宋_GB2312"/>
                <w:sz w:val="28"/>
                <w:szCs w:val="28"/>
              </w:rPr>
            </w:pPr>
            <w:r>
              <w:rPr>
                <w:rFonts w:hint="eastAsia" w:eastAsia="仿宋_GB2312"/>
                <w:sz w:val="28"/>
                <w:szCs w:val="28"/>
              </w:rPr>
              <w:t>项目名称</w:t>
            </w:r>
          </w:p>
        </w:tc>
        <w:tc>
          <w:tcPr>
            <w:tcW w:w="2433" w:type="dxa"/>
            <w:vAlign w:val="center"/>
          </w:tcPr>
          <w:p w14:paraId="4DC5A714">
            <w:pPr>
              <w:pStyle w:val="42"/>
              <w:spacing w:line="560" w:lineRule="exact"/>
              <w:jc w:val="center"/>
              <w:rPr>
                <w:rFonts w:eastAsia="仿宋_GB2312"/>
                <w:sz w:val="28"/>
                <w:szCs w:val="28"/>
              </w:rPr>
            </w:pPr>
            <w:r>
              <w:rPr>
                <w:rFonts w:hint="eastAsia" w:eastAsia="仿宋_GB2312"/>
                <w:sz w:val="28"/>
                <w:szCs w:val="28"/>
              </w:rPr>
              <w:t>采购单位</w:t>
            </w:r>
          </w:p>
        </w:tc>
        <w:tc>
          <w:tcPr>
            <w:tcW w:w="1395" w:type="dxa"/>
            <w:vAlign w:val="center"/>
          </w:tcPr>
          <w:p w14:paraId="05DCF257">
            <w:pPr>
              <w:pStyle w:val="42"/>
              <w:spacing w:line="560" w:lineRule="exact"/>
              <w:jc w:val="center"/>
              <w:rPr>
                <w:rFonts w:eastAsia="仿宋_GB2312"/>
                <w:sz w:val="28"/>
                <w:szCs w:val="28"/>
              </w:rPr>
            </w:pPr>
            <w:r>
              <w:rPr>
                <w:rFonts w:hint="eastAsia" w:eastAsia="仿宋_GB2312"/>
                <w:sz w:val="28"/>
                <w:szCs w:val="28"/>
              </w:rPr>
              <w:t>合同金额</w:t>
            </w:r>
          </w:p>
        </w:tc>
      </w:tr>
      <w:tr w14:paraId="7521A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700BBDB2">
            <w:pPr>
              <w:pStyle w:val="42"/>
              <w:spacing w:line="560" w:lineRule="exact"/>
              <w:jc w:val="center"/>
              <w:rPr>
                <w:rFonts w:eastAsia="仿宋_GB2312"/>
                <w:sz w:val="28"/>
              </w:rPr>
            </w:pPr>
          </w:p>
        </w:tc>
        <w:tc>
          <w:tcPr>
            <w:tcW w:w="3827" w:type="dxa"/>
            <w:vAlign w:val="center"/>
          </w:tcPr>
          <w:p w14:paraId="6911B0BB">
            <w:pPr>
              <w:pStyle w:val="42"/>
              <w:spacing w:line="560" w:lineRule="exact"/>
              <w:jc w:val="center"/>
              <w:rPr>
                <w:rFonts w:eastAsia="仿宋_GB2312"/>
                <w:sz w:val="28"/>
              </w:rPr>
            </w:pPr>
          </w:p>
        </w:tc>
        <w:tc>
          <w:tcPr>
            <w:tcW w:w="2433" w:type="dxa"/>
            <w:vAlign w:val="center"/>
          </w:tcPr>
          <w:p w14:paraId="4FB133A2">
            <w:pPr>
              <w:pStyle w:val="42"/>
              <w:spacing w:line="560" w:lineRule="exact"/>
              <w:jc w:val="center"/>
              <w:rPr>
                <w:rFonts w:eastAsia="仿宋_GB2312"/>
                <w:sz w:val="28"/>
              </w:rPr>
            </w:pPr>
          </w:p>
        </w:tc>
        <w:tc>
          <w:tcPr>
            <w:tcW w:w="1395" w:type="dxa"/>
            <w:vAlign w:val="center"/>
          </w:tcPr>
          <w:p w14:paraId="5EFF1DC6">
            <w:pPr>
              <w:pStyle w:val="42"/>
              <w:spacing w:line="560" w:lineRule="exact"/>
              <w:jc w:val="center"/>
              <w:rPr>
                <w:rFonts w:eastAsia="仿宋_GB2312"/>
                <w:sz w:val="28"/>
              </w:rPr>
            </w:pPr>
          </w:p>
        </w:tc>
      </w:tr>
      <w:tr w14:paraId="05D4F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14319CD2">
            <w:pPr>
              <w:pStyle w:val="42"/>
              <w:spacing w:line="560" w:lineRule="exact"/>
              <w:jc w:val="center"/>
              <w:rPr>
                <w:rFonts w:eastAsia="仿宋_GB2312"/>
                <w:sz w:val="28"/>
              </w:rPr>
            </w:pPr>
          </w:p>
        </w:tc>
        <w:tc>
          <w:tcPr>
            <w:tcW w:w="3827" w:type="dxa"/>
            <w:vAlign w:val="center"/>
          </w:tcPr>
          <w:p w14:paraId="04AA018B">
            <w:pPr>
              <w:pStyle w:val="42"/>
              <w:spacing w:line="560" w:lineRule="exact"/>
              <w:jc w:val="center"/>
              <w:rPr>
                <w:rFonts w:eastAsia="仿宋_GB2312"/>
                <w:sz w:val="28"/>
              </w:rPr>
            </w:pPr>
          </w:p>
        </w:tc>
        <w:tc>
          <w:tcPr>
            <w:tcW w:w="2433" w:type="dxa"/>
            <w:vAlign w:val="center"/>
          </w:tcPr>
          <w:p w14:paraId="709FA998">
            <w:pPr>
              <w:pStyle w:val="42"/>
              <w:spacing w:line="560" w:lineRule="exact"/>
              <w:jc w:val="center"/>
              <w:rPr>
                <w:rFonts w:eastAsia="仿宋_GB2312"/>
                <w:sz w:val="28"/>
              </w:rPr>
            </w:pPr>
          </w:p>
        </w:tc>
        <w:tc>
          <w:tcPr>
            <w:tcW w:w="1395" w:type="dxa"/>
            <w:vAlign w:val="center"/>
          </w:tcPr>
          <w:p w14:paraId="6151AE9B">
            <w:pPr>
              <w:pStyle w:val="42"/>
              <w:spacing w:line="560" w:lineRule="exact"/>
              <w:jc w:val="center"/>
              <w:rPr>
                <w:rFonts w:eastAsia="仿宋_GB2312"/>
                <w:sz w:val="28"/>
              </w:rPr>
            </w:pPr>
          </w:p>
        </w:tc>
      </w:tr>
      <w:tr w14:paraId="4D8F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3BA70171">
            <w:pPr>
              <w:pStyle w:val="42"/>
              <w:spacing w:line="560" w:lineRule="exact"/>
              <w:jc w:val="center"/>
              <w:rPr>
                <w:rFonts w:eastAsia="仿宋_GB2312"/>
                <w:sz w:val="28"/>
              </w:rPr>
            </w:pPr>
          </w:p>
        </w:tc>
        <w:tc>
          <w:tcPr>
            <w:tcW w:w="3827" w:type="dxa"/>
            <w:vAlign w:val="center"/>
          </w:tcPr>
          <w:p w14:paraId="55FB074E">
            <w:pPr>
              <w:pStyle w:val="42"/>
              <w:spacing w:line="560" w:lineRule="exact"/>
              <w:jc w:val="center"/>
              <w:rPr>
                <w:rFonts w:eastAsia="仿宋_GB2312"/>
                <w:sz w:val="28"/>
              </w:rPr>
            </w:pPr>
          </w:p>
        </w:tc>
        <w:tc>
          <w:tcPr>
            <w:tcW w:w="2433" w:type="dxa"/>
            <w:vAlign w:val="center"/>
          </w:tcPr>
          <w:p w14:paraId="1CA13171">
            <w:pPr>
              <w:pStyle w:val="42"/>
              <w:spacing w:line="560" w:lineRule="exact"/>
              <w:jc w:val="center"/>
              <w:rPr>
                <w:rFonts w:eastAsia="仿宋_GB2312"/>
                <w:sz w:val="28"/>
              </w:rPr>
            </w:pPr>
          </w:p>
        </w:tc>
        <w:tc>
          <w:tcPr>
            <w:tcW w:w="1395" w:type="dxa"/>
            <w:vAlign w:val="center"/>
          </w:tcPr>
          <w:p w14:paraId="7C7058F5">
            <w:pPr>
              <w:pStyle w:val="42"/>
              <w:spacing w:line="560" w:lineRule="exact"/>
              <w:jc w:val="center"/>
              <w:rPr>
                <w:rFonts w:eastAsia="仿宋_GB2312"/>
                <w:sz w:val="28"/>
              </w:rPr>
            </w:pPr>
          </w:p>
        </w:tc>
      </w:tr>
      <w:tr w14:paraId="1D61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4FFF1100">
            <w:pPr>
              <w:pStyle w:val="42"/>
              <w:spacing w:line="560" w:lineRule="exact"/>
              <w:jc w:val="center"/>
              <w:rPr>
                <w:rFonts w:eastAsia="仿宋_GB2312"/>
                <w:sz w:val="28"/>
              </w:rPr>
            </w:pPr>
          </w:p>
        </w:tc>
        <w:tc>
          <w:tcPr>
            <w:tcW w:w="3827" w:type="dxa"/>
            <w:vAlign w:val="center"/>
          </w:tcPr>
          <w:p w14:paraId="326082E5">
            <w:pPr>
              <w:pStyle w:val="42"/>
              <w:spacing w:line="560" w:lineRule="exact"/>
              <w:jc w:val="center"/>
              <w:rPr>
                <w:rFonts w:eastAsia="仿宋_GB2312"/>
                <w:sz w:val="28"/>
              </w:rPr>
            </w:pPr>
          </w:p>
        </w:tc>
        <w:tc>
          <w:tcPr>
            <w:tcW w:w="2433" w:type="dxa"/>
            <w:vAlign w:val="center"/>
          </w:tcPr>
          <w:p w14:paraId="33F4BA1A">
            <w:pPr>
              <w:pStyle w:val="42"/>
              <w:spacing w:line="560" w:lineRule="exact"/>
              <w:jc w:val="center"/>
              <w:rPr>
                <w:rFonts w:eastAsia="仿宋_GB2312"/>
                <w:sz w:val="28"/>
              </w:rPr>
            </w:pPr>
          </w:p>
        </w:tc>
        <w:tc>
          <w:tcPr>
            <w:tcW w:w="1395" w:type="dxa"/>
            <w:vAlign w:val="center"/>
          </w:tcPr>
          <w:p w14:paraId="71D40E98">
            <w:pPr>
              <w:pStyle w:val="42"/>
              <w:spacing w:line="560" w:lineRule="exact"/>
              <w:jc w:val="center"/>
              <w:rPr>
                <w:rFonts w:eastAsia="仿宋_GB2312"/>
                <w:sz w:val="28"/>
              </w:rPr>
            </w:pPr>
          </w:p>
        </w:tc>
      </w:tr>
    </w:tbl>
    <w:p w14:paraId="75FE3362">
      <w:pPr>
        <w:pStyle w:val="41"/>
        <w:rPr>
          <w:rFonts w:ascii="Times New Roman" w:hAnsi="Times New Roman"/>
        </w:rPr>
      </w:pPr>
      <w:r>
        <w:rPr>
          <w:rFonts w:hint="eastAsia" w:ascii="Times New Roman" w:hAnsi="Times New Roman" w:eastAsia="仿宋_GB2312"/>
          <w:b/>
          <w:sz w:val="24"/>
        </w:rPr>
        <w:t>注：请填写此表，并按要求上传业绩资料电子件。</w:t>
      </w:r>
    </w:p>
    <w:p w14:paraId="3C258F67">
      <w:pPr>
        <w:pStyle w:val="43"/>
        <w:outlineLvl w:val="1"/>
        <w:rPr>
          <w:rFonts w:ascii="Times New Roman" w:hAnsi="Times New Roman"/>
        </w:rPr>
      </w:pPr>
      <w:r>
        <w:rPr>
          <w:rFonts w:ascii="Times New Roman" w:hAnsi="Times New Roman"/>
        </w:rPr>
        <w:br w:type="page" w:clear="all"/>
      </w:r>
      <w:bookmarkStart w:id="223" w:name="_Toc28140"/>
      <w:r>
        <w:rPr>
          <w:rFonts w:hint="eastAsia" w:ascii="Times New Roman" w:hAnsi="Times New Roman"/>
        </w:rPr>
        <w:t>十</w:t>
      </w:r>
      <w:r>
        <w:rPr>
          <w:rFonts w:hint="eastAsia" w:ascii="Times New Roman" w:hAnsi="Times New Roman"/>
          <w:lang w:val="en-US" w:eastAsia="zh-CN"/>
        </w:rPr>
        <w:t>二</w:t>
      </w:r>
      <w:r>
        <w:rPr>
          <w:rFonts w:ascii="Times New Roman" w:hAnsi="Times New Roman"/>
        </w:rPr>
        <w:t>、投标所需其他材料</w:t>
      </w:r>
      <w:bookmarkEnd w:id="223"/>
    </w:p>
    <w:p w14:paraId="40A2EFF1">
      <w:pPr>
        <w:pStyle w:val="44"/>
        <w:spacing w:line="360" w:lineRule="auto"/>
        <w:ind w:firstLine="560"/>
        <w:rPr>
          <w:rFonts w:ascii="Times New Roman" w:hAnsi="Times New Roman" w:eastAsia="仿宋_GB2312"/>
          <w:sz w:val="28"/>
          <w:szCs w:val="28"/>
        </w:rPr>
      </w:pPr>
      <w:r>
        <w:rPr>
          <w:rFonts w:hint="eastAsia" w:ascii="Times New Roman" w:hAnsi="Times New Roman" w:eastAsia="仿宋_GB2312"/>
          <w:sz w:val="28"/>
          <w:szCs w:val="28"/>
        </w:rPr>
        <w:t>请在此文档中增加投标所需其他相关内容（包括资格要求、评分办法、采购需求中涉及的证件证明及其它投标人认为有必要提供的资料），如没有请将此空文档上传。</w:t>
      </w:r>
    </w:p>
    <w:p w14:paraId="11216748">
      <w:pPr>
        <w:rPr>
          <w:kern w:val="2"/>
          <w:sz w:val="20"/>
          <w:highlight w:val="white"/>
        </w:rPr>
      </w:pPr>
      <w:r>
        <w:rPr>
          <w:rFonts w:hint="eastAsia"/>
          <w:kern w:val="2"/>
          <w:sz w:val="20"/>
          <w:highlight w:val="white"/>
        </w:rPr>
        <w:t xml:space="preserve"> </w:t>
      </w:r>
    </w:p>
    <w:p w14:paraId="2753A3E9">
      <w:pPr>
        <w:rPr>
          <w:kern w:val="2"/>
        </w:rPr>
      </w:pPr>
    </w:p>
    <w:p w14:paraId="1CA806BF">
      <w:pPr>
        <w:rPr>
          <w:rFonts w:eastAsia="黑体"/>
          <w:kern w:val="2"/>
          <w:sz w:val="32"/>
        </w:rPr>
      </w:pPr>
    </w:p>
    <w:p w14:paraId="6FF43535">
      <w:pPr>
        <w:rPr>
          <w:rFonts w:eastAsia="黑体"/>
          <w:kern w:val="2"/>
          <w:sz w:val="32"/>
        </w:rPr>
      </w:pPr>
    </w:p>
    <w:p w14:paraId="39360CFF">
      <w:pPr>
        <w:rPr>
          <w:rFonts w:eastAsia="黑体"/>
          <w:kern w:val="2"/>
          <w:sz w:val="32"/>
        </w:rPr>
      </w:pPr>
    </w:p>
    <w:p w14:paraId="5FC33A9C">
      <w:pPr>
        <w:rPr>
          <w:rFonts w:eastAsia="黑体"/>
          <w:kern w:val="2"/>
          <w:sz w:val="32"/>
        </w:rPr>
      </w:pPr>
    </w:p>
    <w:bookmarkEnd w:id="218"/>
    <w:p w14:paraId="4BF5FF4A">
      <w:pPr>
        <w:spacing w:line="480" w:lineRule="auto"/>
        <w:rPr>
          <w:kern w:val="2"/>
          <w:sz w:val="24"/>
        </w:rPr>
      </w:pPr>
    </w:p>
    <w:p w14:paraId="3F9BC459">
      <w:pPr>
        <w:spacing w:line="480" w:lineRule="auto"/>
        <w:rPr>
          <w:kern w:val="2"/>
          <w:sz w:val="30"/>
        </w:rPr>
      </w:pPr>
    </w:p>
    <w:p w14:paraId="7A510B4D">
      <w:pPr>
        <w:pStyle w:val="5"/>
        <w:ind w:firstLine="0"/>
        <w:rPr>
          <w:sz w:val="24"/>
        </w:rPr>
      </w:pPr>
      <w:bookmarkStart w:id="224" w:name="_Hlt26609389"/>
      <w:bookmarkEnd w:id="224"/>
      <w:bookmarkStart w:id="225" w:name="_Hlt26671374"/>
      <w:bookmarkEnd w:id="225"/>
      <w:bookmarkStart w:id="226" w:name="_Hlt26955066"/>
      <w:bookmarkEnd w:id="226"/>
      <w:bookmarkStart w:id="227" w:name="_Toc462564146"/>
    </w:p>
    <w:p w14:paraId="05C4C90E">
      <w:pPr>
        <w:rPr>
          <w:kern w:val="2"/>
          <w:sz w:val="24"/>
        </w:rPr>
      </w:pPr>
    </w:p>
    <w:p w14:paraId="212D6B56">
      <w:pPr>
        <w:snapToGrid w:val="0"/>
        <w:spacing w:line="560" w:lineRule="exact"/>
        <w:ind w:firstLine="480" w:firstLineChars="200"/>
        <w:rPr>
          <w:rFonts w:eastAsia="仿宋_GB2312" w:cs="仿宋_GB2312"/>
          <w:kern w:val="2"/>
          <w:sz w:val="24"/>
          <w:szCs w:val="32"/>
          <w:lang w:val="zh-TW"/>
        </w:rPr>
      </w:pPr>
    </w:p>
    <w:p w14:paraId="32D050BB">
      <w:pPr>
        <w:snapToGrid w:val="0"/>
        <w:spacing w:line="560" w:lineRule="exact"/>
        <w:ind w:firstLine="480" w:firstLineChars="200"/>
        <w:rPr>
          <w:rFonts w:eastAsia="仿宋_GB2312" w:cs="仿宋_GB2312"/>
          <w:kern w:val="2"/>
          <w:sz w:val="24"/>
          <w:szCs w:val="32"/>
          <w:lang w:val="zh-TW"/>
        </w:rPr>
      </w:pPr>
    </w:p>
    <w:p w14:paraId="56FFD93F">
      <w:pPr>
        <w:snapToGrid w:val="0"/>
        <w:spacing w:line="560" w:lineRule="exact"/>
        <w:ind w:firstLine="480" w:firstLineChars="200"/>
        <w:rPr>
          <w:rFonts w:eastAsia="仿宋_GB2312" w:cs="仿宋_GB2312"/>
          <w:kern w:val="2"/>
          <w:sz w:val="24"/>
          <w:szCs w:val="32"/>
          <w:lang w:val="zh-TW"/>
        </w:rPr>
      </w:pPr>
    </w:p>
    <w:p w14:paraId="34990FF8">
      <w:pPr>
        <w:snapToGrid w:val="0"/>
        <w:spacing w:line="560" w:lineRule="exact"/>
        <w:ind w:firstLine="480" w:firstLineChars="200"/>
        <w:rPr>
          <w:rFonts w:eastAsia="仿宋_GB2312" w:cs="仿宋_GB2312"/>
          <w:kern w:val="2"/>
          <w:sz w:val="24"/>
          <w:szCs w:val="32"/>
          <w:lang w:val="zh-TW"/>
        </w:rPr>
      </w:pPr>
    </w:p>
    <w:p w14:paraId="060D0D6A">
      <w:pPr>
        <w:snapToGrid w:val="0"/>
        <w:spacing w:line="560" w:lineRule="exact"/>
        <w:ind w:firstLine="480" w:firstLineChars="200"/>
        <w:rPr>
          <w:rFonts w:eastAsia="仿宋_GB2312" w:cs="仿宋_GB2312"/>
          <w:kern w:val="2"/>
          <w:sz w:val="24"/>
          <w:szCs w:val="32"/>
          <w:lang w:val="zh-TW"/>
        </w:rPr>
      </w:pPr>
    </w:p>
    <w:p w14:paraId="2CC5A05E">
      <w:pPr>
        <w:snapToGrid w:val="0"/>
        <w:spacing w:line="560" w:lineRule="exact"/>
        <w:ind w:firstLine="480" w:firstLineChars="200"/>
        <w:rPr>
          <w:rFonts w:eastAsia="仿宋_GB2312" w:cs="仿宋_GB2312"/>
          <w:kern w:val="2"/>
          <w:sz w:val="24"/>
          <w:szCs w:val="32"/>
          <w:lang w:val="zh-TW"/>
        </w:rPr>
      </w:pPr>
    </w:p>
    <w:bookmarkEnd w:id="227"/>
    <w:p w14:paraId="49978FCE">
      <w:pPr>
        <w:jc w:val="center"/>
        <w:rPr>
          <w:rFonts w:cs="仿宋"/>
          <w:b/>
          <w:bCs/>
          <w:kern w:val="2"/>
          <w:sz w:val="32"/>
          <w:szCs w:val="32"/>
          <w:highlight w:val="yellow"/>
        </w:rPr>
      </w:pPr>
      <w:bookmarkStart w:id="228" w:name="_格式2__法定代表人授权书"/>
      <w:bookmarkEnd w:id="228"/>
      <w:r>
        <w:rPr>
          <w:rFonts w:hint="eastAsia" w:eastAsia="黑体"/>
          <w:b/>
          <w:kern w:val="2"/>
          <w:sz w:val="32"/>
          <w:szCs w:val="32"/>
        </w:rPr>
        <w:br w:type="page"/>
      </w:r>
      <w:r>
        <w:rPr>
          <w:rFonts w:hint="eastAsia" w:cs="仿宋"/>
          <w:b/>
          <w:bCs/>
          <w:kern w:val="2"/>
          <w:sz w:val="32"/>
          <w:szCs w:val="32"/>
          <w:highlight w:val="yellow"/>
        </w:rPr>
        <w:t>质疑函范本</w:t>
      </w:r>
    </w:p>
    <w:p w14:paraId="2ECF0189">
      <w:pPr>
        <w:adjustRightInd w:val="0"/>
        <w:snapToGrid w:val="0"/>
        <w:spacing w:before="312" w:beforeLines="100" w:line="360" w:lineRule="auto"/>
        <w:rPr>
          <w:rFonts w:cs="仿宋"/>
          <w:bCs/>
          <w:kern w:val="2"/>
          <w:sz w:val="24"/>
          <w:szCs w:val="24"/>
        </w:rPr>
      </w:pPr>
      <w:r>
        <w:rPr>
          <w:rFonts w:hint="eastAsia" w:cs="仿宋"/>
          <w:bCs/>
          <w:kern w:val="2"/>
          <w:sz w:val="24"/>
          <w:szCs w:val="24"/>
        </w:rPr>
        <w:t>一、质疑投标人基本信息</w:t>
      </w:r>
    </w:p>
    <w:p w14:paraId="7AA42AC5">
      <w:pPr>
        <w:adjustRightInd w:val="0"/>
        <w:snapToGrid w:val="0"/>
        <w:spacing w:line="360" w:lineRule="auto"/>
        <w:rPr>
          <w:rFonts w:cs="仿宋"/>
          <w:kern w:val="2"/>
          <w:sz w:val="24"/>
          <w:szCs w:val="24"/>
          <w:u w:val="dotted"/>
        </w:rPr>
      </w:pPr>
      <w:r>
        <w:rPr>
          <w:rFonts w:hint="eastAsia" w:cs="仿宋"/>
          <w:kern w:val="2"/>
          <w:sz w:val="24"/>
          <w:szCs w:val="24"/>
        </w:rPr>
        <w:t>质疑投标人：</w:t>
      </w:r>
      <w:r>
        <w:rPr>
          <w:rFonts w:hint="eastAsia" w:cs="仿宋"/>
          <w:kern w:val="2"/>
          <w:sz w:val="24"/>
          <w:szCs w:val="24"/>
          <w:u w:val="dotted"/>
        </w:rPr>
        <w:t xml:space="preserve">                                                              </w:t>
      </w:r>
    </w:p>
    <w:p w14:paraId="4CE71B27">
      <w:pPr>
        <w:adjustRightInd w:val="0"/>
        <w:snapToGrid w:val="0"/>
        <w:spacing w:line="360" w:lineRule="auto"/>
        <w:rPr>
          <w:rFonts w:cs="仿宋"/>
          <w:kern w:val="2"/>
          <w:sz w:val="24"/>
          <w:szCs w:val="24"/>
        </w:rPr>
      </w:pPr>
      <w:r>
        <w:rPr>
          <w:rFonts w:hint="eastAsia" w:cs="仿宋"/>
          <w:kern w:val="2"/>
          <w:sz w:val="24"/>
          <w:szCs w:val="24"/>
        </w:rPr>
        <w:t>地址：</w:t>
      </w:r>
      <w:r>
        <w:rPr>
          <w:rFonts w:hint="eastAsia" w:cs="仿宋"/>
          <w:kern w:val="2"/>
          <w:sz w:val="24"/>
          <w:szCs w:val="24"/>
          <w:u w:val="dotted"/>
        </w:rPr>
        <w:t xml:space="preserve">                             </w:t>
      </w:r>
      <w:r>
        <w:rPr>
          <w:rFonts w:hint="eastAsia" w:cs="仿宋"/>
          <w:kern w:val="2"/>
          <w:sz w:val="24"/>
          <w:szCs w:val="24"/>
        </w:rPr>
        <w:t>邮编：</w:t>
      </w:r>
      <w:r>
        <w:rPr>
          <w:rFonts w:hint="eastAsia" w:cs="仿宋"/>
          <w:kern w:val="2"/>
          <w:sz w:val="24"/>
          <w:szCs w:val="24"/>
          <w:u w:val="dotted"/>
        </w:rPr>
        <w:t xml:space="preserve">                                    </w:t>
      </w:r>
    </w:p>
    <w:p w14:paraId="3154AE15">
      <w:pPr>
        <w:adjustRightInd w:val="0"/>
        <w:snapToGrid w:val="0"/>
        <w:spacing w:line="360" w:lineRule="auto"/>
        <w:rPr>
          <w:rFonts w:cs="仿宋"/>
          <w:kern w:val="2"/>
          <w:sz w:val="24"/>
          <w:szCs w:val="24"/>
        </w:rPr>
      </w:pPr>
      <w:r>
        <w:rPr>
          <w:rFonts w:hint="eastAsia" w:cs="仿宋"/>
          <w:kern w:val="2"/>
          <w:sz w:val="24"/>
          <w:szCs w:val="24"/>
        </w:rPr>
        <w:t>联系人：</w:t>
      </w:r>
      <w:r>
        <w:rPr>
          <w:rFonts w:hint="eastAsia" w:cs="仿宋"/>
          <w:kern w:val="2"/>
          <w:sz w:val="24"/>
          <w:szCs w:val="24"/>
          <w:u w:val="dotted"/>
        </w:rPr>
        <w:t xml:space="preserve">                      </w:t>
      </w:r>
      <w:r>
        <w:rPr>
          <w:rFonts w:hint="eastAsia" w:cs="仿宋"/>
          <w:kern w:val="2"/>
          <w:sz w:val="24"/>
          <w:szCs w:val="24"/>
        </w:rPr>
        <w:t>联系电话：</w:t>
      </w:r>
      <w:r>
        <w:rPr>
          <w:rFonts w:hint="eastAsia" w:cs="仿宋"/>
          <w:kern w:val="2"/>
          <w:sz w:val="24"/>
          <w:szCs w:val="24"/>
          <w:u w:val="dotted"/>
        </w:rPr>
        <w:t xml:space="preserve">                                       </w:t>
      </w:r>
    </w:p>
    <w:p w14:paraId="590B875F">
      <w:pPr>
        <w:adjustRightInd w:val="0"/>
        <w:snapToGrid w:val="0"/>
        <w:spacing w:line="360" w:lineRule="auto"/>
        <w:rPr>
          <w:rFonts w:cs="仿宋"/>
          <w:kern w:val="2"/>
          <w:sz w:val="24"/>
          <w:szCs w:val="24"/>
          <w:u w:val="dotted"/>
        </w:rPr>
      </w:pPr>
      <w:r>
        <w:rPr>
          <w:rFonts w:hint="eastAsia" w:cs="仿宋"/>
          <w:kern w:val="2"/>
          <w:sz w:val="24"/>
          <w:szCs w:val="24"/>
        </w:rPr>
        <w:t>授权代表：</w:t>
      </w:r>
      <w:r>
        <w:rPr>
          <w:rFonts w:hint="eastAsia" w:cs="仿宋"/>
          <w:kern w:val="2"/>
          <w:sz w:val="24"/>
          <w:szCs w:val="24"/>
          <w:u w:val="dotted"/>
        </w:rPr>
        <w:t xml:space="preserve">                                                                 </w:t>
      </w:r>
    </w:p>
    <w:p w14:paraId="73221089">
      <w:pPr>
        <w:adjustRightInd w:val="0"/>
        <w:snapToGrid w:val="0"/>
        <w:spacing w:line="360" w:lineRule="auto"/>
        <w:rPr>
          <w:rFonts w:cs="仿宋"/>
          <w:kern w:val="2"/>
          <w:sz w:val="24"/>
          <w:szCs w:val="24"/>
        </w:rPr>
      </w:pPr>
      <w:r>
        <w:rPr>
          <w:rFonts w:hint="eastAsia" w:cs="仿宋"/>
          <w:kern w:val="2"/>
          <w:sz w:val="24"/>
          <w:szCs w:val="24"/>
        </w:rPr>
        <w:t>联系电话：</w:t>
      </w:r>
      <w:r>
        <w:rPr>
          <w:rFonts w:hint="eastAsia" w:cs="仿宋"/>
          <w:kern w:val="2"/>
          <w:sz w:val="24"/>
          <w:szCs w:val="24"/>
          <w:u w:val="dotted"/>
        </w:rPr>
        <w:t xml:space="preserve">                                                                </w:t>
      </w:r>
    </w:p>
    <w:p w14:paraId="0D745A34">
      <w:pPr>
        <w:adjustRightInd w:val="0"/>
        <w:snapToGrid w:val="0"/>
        <w:spacing w:line="360" w:lineRule="auto"/>
        <w:rPr>
          <w:rFonts w:cs="仿宋"/>
          <w:kern w:val="2"/>
          <w:sz w:val="24"/>
          <w:szCs w:val="24"/>
        </w:rPr>
      </w:pPr>
      <w:r>
        <w:rPr>
          <w:rFonts w:hint="eastAsia" w:cs="仿宋"/>
          <w:kern w:val="2"/>
          <w:sz w:val="24"/>
          <w:szCs w:val="24"/>
        </w:rPr>
        <w:t>地址：</w:t>
      </w:r>
      <w:r>
        <w:rPr>
          <w:rFonts w:cs="仿宋"/>
          <w:kern w:val="2"/>
          <w:sz w:val="24"/>
          <w:szCs w:val="24"/>
        </w:rPr>
        <w:t xml:space="preserve"> </w:t>
      </w:r>
      <w:r>
        <w:rPr>
          <w:rFonts w:hint="eastAsia" w:cs="仿宋"/>
          <w:kern w:val="2"/>
          <w:sz w:val="24"/>
          <w:szCs w:val="24"/>
          <w:u w:val="dotted"/>
        </w:rPr>
        <w:t xml:space="preserve">                        </w:t>
      </w:r>
      <w:r>
        <w:rPr>
          <w:rFonts w:hint="eastAsia" w:cs="仿宋"/>
          <w:kern w:val="2"/>
          <w:sz w:val="24"/>
          <w:szCs w:val="24"/>
        </w:rPr>
        <w:t>邮编：</w:t>
      </w:r>
      <w:r>
        <w:rPr>
          <w:rFonts w:hint="eastAsia" w:cs="仿宋"/>
          <w:kern w:val="2"/>
          <w:sz w:val="24"/>
          <w:szCs w:val="24"/>
          <w:u w:val="dotted"/>
        </w:rPr>
        <w:t xml:space="preserve">                                     </w:t>
      </w:r>
    </w:p>
    <w:p w14:paraId="77E55A3C">
      <w:pPr>
        <w:adjustRightInd w:val="0"/>
        <w:snapToGrid w:val="0"/>
        <w:spacing w:line="360" w:lineRule="auto"/>
        <w:rPr>
          <w:rFonts w:cs="仿宋"/>
          <w:bCs/>
          <w:kern w:val="2"/>
          <w:sz w:val="24"/>
          <w:szCs w:val="24"/>
        </w:rPr>
      </w:pPr>
      <w:r>
        <w:rPr>
          <w:rFonts w:hint="eastAsia" w:cs="仿宋"/>
          <w:bCs/>
          <w:kern w:val="2"/>
          <w:sz w:val="24"/>
          <w:szCs w:val="24"/>
        </w:rPr>
        <w:t>二、质疑项目基本情况</w:t>
      </w:r>
    </w:p>
    <w:p w14:paraId="2659278B">
      <w:pPr>
        <w:adjustRightInd w:val="0"/>
        <w:snapToGrid w:val="0"/>
        <w:spacing w:line="360" w:lineRule="auto"/>
        <w:rPr>
          <w:rFonts w:cs="仿宋"/>
          <w:kern w:val="2"/>
          <w:sz w:val="24"/>
          <w:szCs w:val="24"/>
        </w:rPr>
      </w:pPr>
      <w:r>
        <w:rPr>
          <w:rFonts w:hint="eastAsia" w:cs="仿宋"/>
          <w:kern w:val="2"/>
          <w:sz w:val="24"/>
          <w:szCs w:val="24"/>
        </w:rPr>
        <w:t>质疑项目的名称：</w:t>
      </w:r>
      <w:r>
        <w:rPr>
          <w:rFonts w:hint="eastAsia" w:cs="仿宋"/>
          <w:kern w:val="2"/>
          <w:sz w:val="24"/>
          <w:szCs w:val="24"/>
          <w:u w:val="dotted"/>
        </w:rPr>
        <w:t xml:space="preserve">                                                          </w:t>
      </w:r>
    </w:p>
    <w:p w14:paraId="6868C097">
      <w:pPr>
        <w:adjustRightInd w:val="0"/>
        <w:snapToGrid w:val="0"/>
        <w:spacing w:line="360" w:lineRule="auto"/>
        <w:rPr>
          <w:rFonts w:cs="仿宋"/>
          <w:kern w:val="2"/>
          <w:sz w:val="24"/>
          <w:szCs w:val="24"/>
        </w:rPr>
      </w:pPr>
      <w:r>
        <w:rPr>
          <w:rFonts w:hint="eastAsia" w:cs="仿宋"/>
          <w:kern w:val="2"/>
          <w:sz w:val="24"/>
          <w:szCs w:val="24"/>
        </w:rPr>
        <w:t>质疑项目的编号：</w:t>
      </w:r>
      <w:r>
        <w:rPr>
          <w:rFonts w:hint="eastAsia" w:cs="仿宋"/>
          <w:kern w:val="2"/>
          <w:sz w:val="24"/>
          <w:szCs w:val="24"/>
          <w:u w:val="dotted"/>
        </w:rPr>
        <w:t xml:space="preserve">                         </w:t>
      </w:r>
      <w:r>
        <w:rPr>
          <w:rFonts w:hint="eastAsia" w:cs="仿宋"/>
          <w:kern w:val="2"/>
          <w:sz w:val="24"/>
          <w:szCs w:val="24"/>
        </w:rPr>
        <w:t>包号：</w:t>
      </w:r>
      <w:r>
        <w:rPr>
          <w:rFonts w:hint="eastAsia" w:cs="仿宋"/>
          <w:kern w:val="2"/>
          <w:sz w:val="24"/>
          <w:szCs w:val="24"/>
          <w:u w:val="dotted"/>
        </w:rPr>
        <w:t xml:space="preserve">                           </w:t>
      </w:r>
    </w:p>
    <w:p w14:paraId="1D34D0D5">
      <w:pPr>
        <w:adjustRightInd w:val="0"/>
        <w:snapToGrid w:val="0"/>
        <w:spacing w:line="360" w:lineRule="auto"/>
        <w:rPr>
          <w:rFonts w:cs="仿宋"/>
          <w:kern w:val="2"/>
          <w:sz w:val="24"/>
          <w:szCs w:val="24"/>
          <w:u w:val="dotted"/>
        </w:rPr>
      </w:pPr>
      <w:r>
        <w:rPr>
          <w:rFonts w:hint="eastAsia" w:cs="仿宋"/>
          <w:kern w:val="2"/>
          <w:sz w:val="24"/>
          <w:szCs w:val="24"/>
        </w:rPr>
        <w:t>采购人名称：</w:t>
      </w:r>
      <w:r>
        <w:rPr>
          <w:rFonts w:hint="eastAsia" w:cs="仿宋"/>
          <w:kern w:val="2"/>
          <w:sz w:val="24"/>
          <w:szCs w:val="24"/>
          <w:u w:val="dotted"/>
        </w:rPr>
        <w:t xml:space="preserve">                                                              </w:t>
      </w:r>
    </w:p>
    <w:p w14:paraId="642D3683">
      <w:pPr>
        <w:adjustRightInd w:val="0"/>
        <w:snapToGrid w:val="0"/>
        <w:spacing w:line="360" w:lineRule="auto"/>
        <w:rPr>
          <w:rFonts w:cs="仿宋"/>
          <w:kern w:val="2"/>
          <w:sz w:val="24"/>
          <w:szCs w:val="24"/>
        </w:rPr>
      </w:pPr>
      <w:r>
        <w:rPr>
          <w:rFonts w:hint="eastAsia" w:cs="仿宋"/>
          <w:kern w:val="2"/>
          <w:sz w:val="24"/>
          <w:szCs w:val="24"/>
        </w:rPr>
        <w:t>采购文件获取日期：</w:t>
      </w:r>
      <w:r>
        <w:rPr>
          <w:rFonts w:hint="eastAsia" w:cs="仿宋"/>
          <w:kern w:val="2"/>
          <w:sz w:val="24"/>
          <w:szCs w:val="24"/>
          <w:u w:val="dotted"/>
        </w:rPr>
        <w:t xml:space="preserve">                                                        </w:t>
      </w:r>
    </w:p>
    <w:p w14:paraId="735E0020">
      <w:pPr>
        <w:adjustRightInd w:val="0"/>
        <w:snapToGrid w:val="0"/>
        <w:spacing w:line="360" w:lineRule="auto"/>
        <w:rPr>
          <w:rFonts w:cs="仿宋"/>
          <w:bCs/>
          <w:kern w:val="2"/>
          <w:sz w:val="24"/>
          <w:szCs w:val="24"/>
        </w:rPr>
      </w:pPr>
      <w:r>
        <w:rPr>
          <w:rFonts w:hint="eastAsia" w:cs="仿宋"/>
          <w:bCs/>
          <w:kern w:val="2"/>
          <w:sz w:val="24"/>
          <w:szCs w:val="24"/>
        </w:rPr>
        <w:t>三、质疑事项具体内容</w:t>
      </w:r>
    </w:p>
    <w:p w14:paraId="59F5BC53">
      <w:pPr>
        <w:adjustRightInd w:val="0"/>
        <w:snapToGrid w:val="0"/>
        <w:spacing w:line="360" w:lineRule="auto"/>
        <w:rPr>
          <w:rFonts w:cs="仿宋"/>
          <w:kern w:val="2"/>
          <w:sz w:val="24"/>
          <w:szCs w:val="24"/>
          <w:u w:val="dotted"/>
        </w:rPr>
      </w:pPr>
      <w:r>
        <w:rPr>
          <w:rFonts w:hint="eastAsia" w:cs="仿宋"/>
          <w:kern w:val="2"/>
          <w:sz w:val="24"/>
          <w:szCs w:val="24"/>
        </w:rPr>
        <w:t>质疑事项1：</w:t>
      </w:r>
      <w:r>
        <w:rPr>
          <w:rFonts w:hint="eastAsia" w:cs="仿宋"/>
          <w:kern w:val="2"/>
          <w:sz w:val="24"/>
          <w:szCs w:val="24"/>
          <w:u w:val="dotted"/>
        </w:rPr>
        <w:t xml:space="preserve">                                                              </w:t>
      </w:r>
    </w:p>
    <w:p w14:paraId="2ED7F6E8">
      <w:pPr>
        <w:adjustRightInd w:val="0"/>
        <w:snapToGrid w:val="0"/>
        <w:spacing w:line="360" w:lineRule="auto"/>
        <w:rPr>
          <w:rFonts w:cs="仿宋"/>
          <w:kern w:val="2"/>
          <w:sz w:val="24"/>
          <w:szCs w:val="24"/>
          <w:u w:val="dotted"/>
        </w:rPr>
      </w:pPr>
      <w:r>
        <w:rPr>
          <w:rFonts w:hint="eastAsia" w:cs="仿宋"/>
          <w:kern w:val="2"/>
          <w:sz w:val="24"/>
          <w:szCs w:val="24"/>
        </w:rPr>
        <w:t>事实依据：</w:t>
      </w:r>
      <w:r>
        <w:rPr>
          <w:rFonts w:hint="eastAsia" w:cs="仿宋"/>
          <w:kern w:val="2"/>
          <w:sz w:val="24"/>
          <w:szCs w:val="24"/>
          <w:u w:val="dotted"/>
        </w:rPr>
        <w:t xml:space="preserve">                                                                </w:t>
      </w:r>
    </w:p>
    <w:p w14:paraId="27EC6443">
      <w:pPr>
        <w:adjustRightInd w:val="0"/>
        <w:snapToGrid w:val="0"/>
        <w:spacing w:line="360" w:lineRule="auto"/>
        <w:rPr>
          <w:rFonts w:cs="仿宋"/>
          <w:kern w:val="2"/>
          <w:sz w:val="24"/>
          <w:szCs w:val="24"/>
        </w:rPr>
      </w:pPr>
      <w:r>
        <w:rPr>
          <w:rFonts w:hint="eastAsia" w:cs="仿宋"/>
          <w:kern w:val="2"/>
          <w:sz w:val="24"/>
          <w:szCs w:val="24"/>
          <w:u w:val="dotted"/>
        </w:rPr>
        <w:t xml:space="preserve">                                                                           </w:t>
      </w:r>
    </w:p>
    <w:p w14:paraId="72C82B2F">
      <w:pPr>
        <w:adjustRightInd w:val="0"/>
        <w:snapToGrid w:val="0"/>
        <w:spacing w:line="360" w:lineRule="auto"/>
        <w:rPr>
          <w:rFonts w:cs="仿宋"/>
          <w:kern w:val="2"/>
          <w:sz w:val="24"/>
          <w:szCs w:val="24"/>
          <w:u w:val="dotted"/>
        </w:rPr>
      </w:pPr>
      <w:r>
        <w:rPr>
          <w:rFonts w:hint="eastAsia" w:cs="仿宋"/>
          <w:kern w:val="2"/>
          <w:sz w:val="24"/>
          <w:szCs w:val="24"/>
        </w:rPr>
        <w:t>法律依据：</w:t>
      </w:r>
      <w:r>
        <w:rPr>
          <w:rFonts w:hint="eastAsia" w:cs="仿宋"/>
          <w:kern w:val="2"/>
          <w:sz w:val="24"/>
          <w:szCs w:val="24"/>
          <w:u w:val="dotted"/>
        </w:rPr>
        <w:t xml:space="preserve">                                                                 </w:t>
      </w:r>
    </w:p>
    <w:p w14:paraId="02D295A8">
      <w:pPr>
        <w:adjustRightInd w:val="0"/>
        <w:snapToGrid w:val="0"/>
        <w:spacing w:line="360" w:lineRule="auto"/>
        <w:rPr>
          <w:rFonts w:cs="仿宋"/>
          <w:kern w:val="2"/>
          <w:sz w:val="24"/>
          <w:szCs w:val="24"/>
          <w:u w:val="dotted"/>
        </w:rPr>
      </w:pPr>
      <w:r>
        <w:rPr>
          <w:rFonts w:hint="eastAsia" w:cs="仿宋"/>
          <w:kern w:val="2"/>
          <w:sz w:val="24"/>
          <w:szCs w:val="24"/>
          <w:u w:val="dotted"/>
        </w:rPr>
        <w:t xml:space="preserve">                                                                           </w:t>
      </w:r>
    </w:p>
    <w:p w14:paraId="1876CCEB">
      <w:pPr>
        <w:adjustRightInd w:val="0"/>
        <w:snapToGrid w:val="0"/>
        <w:spacing w:line="360" w:lineRule="auto"/>
        <w:rPr>
          <w:rFonts w:cs="仿宋"/>
          <w:kern w:val="2"/>
          <w:sz w:val="24"/>
          <w:szCs w:val="24"/>
          <w:u w:val="dotted"/>
        </w:rPr>
      </w:pPr>
      <w:r>
        <w:rPr>
          <w:rFonts w:hint="eastAsia" w:cs="仿宋"/>
          <w:kern w:val="2"/>
          <w:sz w:val="24"/>
          <w:szCs w:val="24"/>
        </w:rPr>
        <w:t>质疑事项2</w:t>
      </w:r>
    </w:p>
    <w:p w14:paraId="3A61335C">
      <w:pPr>
        <w:adjustRightInd w:val="0"/>
        <w:snapToGrid w:val="0"/>
        <w:spacing w:line="360" w:lineRule="auto"/>
        <w:rPr>
          <w:rFonts w:cs="仿宋"/>
          <w:kern w:val="2"/>
          <w:sz w:val="24"/>
          <w:szCs w:val="24"/>
        </w:rPr>
      </w:pPr>
      <w:r>
        <w:rPr>
          <w:rFonts w:hint="eastAsia" w:cs="仿宋"/>
          <w:kern w:val="2"/>
          <w:sz w:val="24"/>
          <w:szCs w:val="24"/>
        </w:rPr>
        <w:t>……</w:t>
      </w:r>
    </w:p>
    <w:p w14:paraId="443A82DD">
      <w:pPr>
        <w:adjustRightInd w:val="0"/>
        <w:snapToGrid w:val="0"/>
        <w:spacing w:line="360" w:lineRule="auto"/>
        <w:rPr>
          <w:rFonts w:cs="仿宋"/>
          <w:bCs/>
          <w:kern w:val="2"/>
          <w:sz w:val="24"/>
          <w:szCs w:val="24"/>
        </w:rPr>
      </w:pPr>
      <w:r>
        <w:rPr>
          <w:rFonts w:hint="eastAsia" w:cs="仿宋"/>
          <w:bCs/>
          <w:kern w:val="2"/>
          <w:sz w:val="24"/>
          <w:szCs w:val="24"/>
        </w:rPr>
        <w:t>四、与质疑事项相关的质疑请求</w:t>
      </w:r>
    </w:p>
    <w:p w14:paraId="70C2880F">
      <w:pPr>
        <w:adjustRightInd w:val="0"/>
        <w:snapToGrid w:val="0"/>
        <w:spacing w:line="360" w:lineRule="auto"/>
        <w:rPr>
          <w:rFonts w:cs="仿宋"/>
          <w:kern w:val="2"/>
          <w:sz w:val="24"/>
          <w:szCs w:val="24"/>
          <w:u w:val="dotted"/>
        </w:rPr>
      </w:pPr>
      <w:r>
        <w:rPr>
          <w:rFonts w:hint="eastAsia" w:cs="仿宋"/>
          <w:kern w:val="2"/>
          <w:sz w:val="24"/>
          <w:szCs w:val="24"/>
        </w:rPr>
        <w:t>请求：</w:t>
      </w:r>
      <w:r>
        <w:rPr>
          <w:rFonts w:hint="eastAsia" w:cs="仿宋"/>
          <w:kern w:val="2"/>
          <w:sz w:val="24"/>
          <w:szCs w:val="24"/>
          <w:u w:val="dotted"/>
        </w:rPr>
        <w:t xml:space="preserve">                                                                     </w:t>
      </w:r>
    </w:p>
    <w:p w14:paraId="02569853">
      <w:pPr>
        <w:rPr>
          <w:kern w:val="2"/>
          <w:sz w:val="24"/>
          <w:szCs w:val="24"/>
        </w:rPr>
      </w:pPr>
      <w:r>
        <w:rPr>
          <w:rFonts w:hint="eastAsia"/>
          <w:kern w:val="2"/>
          <w:sz w:val="24"/>
          <w:szCs w:val="24"/>
        </w:rPr>
        <w:t xml:space="preserve">签字(签章)：                   公章：                      </w:t>
      </w:r>
    </w:p>
    <w:p w14:paraId="2223F279">
      <w:pPr>
        <w:rPr>
          <w:kern w:val="2"/>
          <w:sz w:val="24"/>
          <w:szCs w:val="24"/>
        </w:rPr>
      </w:pPr>
      <w:r>
        <w:rPr>
          <w:rFonts w:hint="eastAsia"/>
          <w:kern w:val="2"/>
          <w:sz w:val="24"/>
          <w:szCs w:val="24"/>
        </w:rPr>
        <w:t xml:space="preserve">日期：    </w:t>
      </w:r>
    </w:p>
    <w:p w14:paraId="1C2C376C">
      <w:pPr>
        <w:spacing w:line="400" w:lineRule="exact"/>
        <w:rPr>
          <w:b/>
          <w:kern w:val="2"/>
          <w:sz w:val="24"/>
          <w:szCs w:val="24"/>
        </w:rPr>
      </w:pPr>
    </w:p>
    <w:p w14:paraId="02B98F34">
      <w:pPr>
        <w:spacing w:line="400" w:lineRule="exact"/>
        <w:rPr>
          <w:b/>
          <w:kern w:val="2"/>
          <w:sz w:val="24"/>
          <w:szCs w:val="24"/>
        </w:rPr>
      </w:pPr>
    </w:p>
    <w:p w14:paraId="4B1C37AF">
      <w:pPr>
        <w:spacing w:line="400" w:lineRule="exact"/>
        <w:rPr>
          <w:b/>
          <w:kern w:val="2"/>
          <w:sz w:val="24"/>
          <w:szCs w:val="24"/>
        </w:rPr>
      </w:pPr>
    </w:p>
    <w:p w14:paraId="3ACE0758">
      <w:pPr>
        <w:spacing w:line="400" w:lineRule="exact"/>
        <w:rPr>
          <w:b/>
          <w:kern w:val="2"/>
          <w:sz w:val="24"/>
          <w:szCs w:val="24"/>
        </w:rPr>
      </w:pPr>
    </w:p>
    <w:p w14:paraId="765AC575">
      <w:pPr>
        <w:spacing w:line="400" w:lineRule="exact"/>
        <w:rPr>
          <w:b/>
          <w:kern w:val="2"/>
          <w:sz w:val="24"/>
          <w:szCs w:val="24"/>
        </w:rPr>
      </w:pPr>
    </w:p>
    <w:p w14:paraId="16CFC482">
      <w:pPr>
        <w:spacing w:line="400" w:lineRule="exact"/>
        <w:rPr>
          <w:b/>
          <w:kern w:val="2"/>
          <w:sz w:val="24"/>
          <w:szCs w:val="24"/>
        </w:rPr>
      </w:pPr>
      <w:r>
        <w:rPr>
          <w:rFonts w:hint="eastAsia"/>
          <w:b/>
          <w:kern w:val="2"/>
          <w:sz w:val="24"/>
          <w:szCs w:val="24"/>
        </w:rPr>
        <w:t>质疑函制作说明：</w:t>
      </w:r>
    </w:p>
    <w:p w14:paraId="693C411D">
      <w:pPr>
        <w:widowControl/>
        <w:spacing w:line="400" w:lineRule="exact"/>
        <w:ind w:firstLine="480" w:firstLineChars="200"/>
        <w:jc w:val="left"/>
        <w:rPr>
          <w:kern w:val="2"/>
          <w:sz w:val="24"/>
          <w:szCs w:val="24"/>
        </w:rPr>
      </w:pPr>
      <w:r>
        <w:rPr>
          <w:rFonts w:hint="eastAsia"/>
          <w:kern w:val="2"/>
          <w:sz w:val="24"/>
          <w:szCs w:val="24"/>
        </w:rPr>
        <w:t>1.投标人提出质疑时，应提交质疑函和必要的证明材料。</w:t>
      </w:r>
    </w:p>
    <w:p w14:paraId="448D2F01">
      <w:pPr>
        <w:widowControl/>
        <w:spacing w:line="400" w:lineRule="exact"/>
        <w:ind w:firstLine="480" w:firstLineChars="200"/>
        <w:jc w:val="left"/>
        <w:rPr>
          <w:kern w:val="2"/>
          <w:sz w:val="24"/>
          <w:szCs w:val="24"/>
        </w:rPr>
      </w:pPr>
      <w:r>
        <w:rPr>
          <w:rFonts w:hint="eastAsia"/>
          <w:kern w:val="2"/>
          <w:sz w:val="24"/>
          <w:szCs w:val="24"/>
        </w:rPr>
        <w:t>2.质疑投标人若委托代理人进行质疑的，质疑函应按要求列明“授权代表”的有关内容，并在附件中提交由质疑</w:t>
      </w:r>
      <w:r>
        <w:rPr>
          <w:rFonts w:hint="eastAsia" w:cs="宋体"/>
          <w:sz w:val="24"/>
          <w:szCs w:val="24"/>
        </w:rPr>
        <w:t>投标人签署的授权委托书。授权委托书应载明代理人的姓名或者名称、代理事项、具体权限、期限和相关事项。</w:t>
      </w:r>
    </w:p>
    <w:p w14:paraId="19BF108D">
      <w:pPr>
        <w:widowControl/>
        <w:spacing w:line="400" w:lineRule="exact"/>
        <w:ind w:firstLine="480" w:firstLineChars="200"/>
        <w:jc w:val="left"/>
        <w:rPr>
          <w:kern w:val="2"/>
          <w:sz w:val="24"/>
          <w:szCs w:val="24"/>
        </w:rPr>
      </w:pPr>
      <w:r>
        <w:rPr>
          <w:rFonts w:hint="eastAsia"/>
          <w:kern w:val="2"/>
          <w:sz w:val="24"/>
          <w:szCs w:val="24"/>
        </w:rPr>
        <w:t>3.质疑投标人若对项目的某一分包进行质疑，质疑函中应列明具体分包号。</w:t>
      </w:r>
    </w:p>
    <w:p w14:paraId="30B43177">
      <w:pPr>
        <w:widowControl/>
        <w:spacing w:line="400" w:lineRule="exact"/>
        <w:ind w:firstLine="480" w:firstLineChars="200"/>
        <w:jc w:val="left"/>
        <w:rPr>
          <w:kern w:val="2"/>
          <w:sz w:val="24"/>
          <w:szCs w:val="24"/>
        </w:rPr>
      </w:pPr>
      <w:r>
        <w:rPr>
          <w:rFonts w:hint="eastAsia"/>
          <w:kern w:val="2"/>
          <w:sz w:val="24"/>
          <w:szCs w:val="24"/>
        </w:rPr>
        <w:t>4.质疑函的质疑事项应具体、明确，并有必要的事实依据和法律依据。</w:t>
      </w:r>
    </w:p>
    <w:p w14:paraId="23EF9638">
      <w:pPr>
        <w:widowControl/>
        <w:spacing w:line="400" w:lineRule="exact"/>
        <w:ind w:firstLine="480" w:firstLineChars="200"/>
        <w:jc w:val="left"/>
        <w:rPr>
          <w:kern w:val="2"/>
          <w:sz w:val="24"/>
          <w:szCs w:val="24"/>
        </w:rPr>
      </w:pPr>
      <w:r>
        <w:rPr>
          <w:rFonts w:hint="eastAsia"/>
          <w:kern w:val="2"/>
          <w:sz w:val="24"/>
          <w:szCs w:val="24"/>
        </w:rPr>
        <w:t>5.质疑函的质疑请求应与质疑事项相关。</w:t>
      </w:r>
    </w:p>
    <w:p w14:paraId="1781E1F5">
      <w:pPr>
        <w:widowControl/>
        <w:spacing w:line="400" w:lineRule="exact"/>
        <w:ind w:firstLine="480" w:firstLineChars="200"/>
        <w:jc w:val="left"/>
        <w:rPr>
          <w:kern w:val="2"/>
          <w:sz w:val="24"/>
          <w:szCs w:val="24"/>
        </w:rPr>
      </w:pPr>
      <w:r>
        <w:rPr>
          <w:rFonts w:hint="eastAsia"/>
          <w:kern w:val="2"/>
          <w:sz w:val="24"/>
          <w:szCs w:val="24"/>
        </w:rPr>
        <w:t>6.质疑投标人为自然人的，质疑函应由本人签字；质疑投标人为法人或者其他组织的，质疑函应由法定代表人、主要负责人，或者其授权代表签字或者盖章，并加盖公章。</w:t>
      </w:r>
    </w:p>
    <w:p w14:paraId="1B1A604D">
      <w:pPr>
        <w:pStyle w:val="5"/>
        <w:rPr>
          <w:sz w:val="24"/>
          <w:szCs w:val="24"/>
        </w:rPr>
      </w:pPr>
    </w:p>
    <w:p w14:paraId="09B45B1D">
      <w:pPr>
        <w:pStyle w:val="5"/>
        <w:rPr>
          <w:sz w:val="24"/>
          <w:szCs w:val="24"/>
        </w:rPr>
      </w:pPr>
    </w:p>
    <w:p w14:paraId="3656B820">
      <w:pPr>
        <w:rPr>
          <w:kern w:val="2"/>
        </w:rPr>
      </w:pPr>
    </w:p>
    <w:p w14:paraId="6629A626">
      <w:pPr>
        <w:pStyle w:val="1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C77B88"/>
    <w:multiLevelType w:val="singleLevel"/>
    <w:tmpl w:val="93C77B88"/>
    <w:lvl w:ilvl="0" w:tentative="0">
      <w:start w:val="1"/>
      <w:numFmt w:val="decimal"/>
      <w:suff w:val="space"/>
      <w:lvlText w:val="%1)"/>
      <w:lvlJc w:val="left"/>
      <w:pPr>
        <w:ind w:left="425" w:hanging="425"/>
      </w:pPr>
      <w:rPr>
        <w:rFonts w:hint="default"/>
      </w:rPr>
    </w:lvl>
  </w:abstractNum>
  <w:abstractNum w:abstractNumId="1">
    <w:nsid w:val="AF61081F"/>
    <w:multiLevelType w:val="singleLevel"/>
    <w:tmpl w:val="AF61081F"/>
    <w:lvl w:ilvl="0" w:tentative="0">
      <w:start w:val="1"/>
      <w:numFmt w:val="chineseCounting"/>
      <w:suff w:val="nothing"/>
      <w:lvlText w:val="%1、"/>
      <w:lvlJc w:val="left"/>
      <w:rPr>
        <w:rFonts w:hint="eastAsia"/>
      </w:rPr>
    </w:lvl>
  </w:abstractNum>
  <w:abstractNum w:abstractNumId="2">
    <w:nsid w:val="B6243D5D"/>
    <w:multiLevelType w:val="multilevel"/>
    <w:tmpl w:val="B6243D5D"/>
    <w:lvl w:ilvl="0" w:tentative="0">
      <w:start w:val="1"/>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B63DED29"/>
    <w:multiLevelType w:val="singleLevel"/>
    <w:tmpl w:val="B63DED29"/>
    <w:lvl w:ilvl="0" w:tentative="0">
      <w:start w:val="1"/>
      <w:numFmt w:val="decimal"/>
      <w:suff w:val="space"/>
      <w:lvlText w:val="%1)"/>
      <w:lvlJc w:val="left"/>
      <w:pPr>
        <w:ind w:left="425" w:hanging="425"/>
      </w:pPr>
      <w:rPr>
        <w:rFonts w:hint="default"/>
      </w:rPr>
    </w:lvl>
  </w:abstractNum>
  <w:abstractNum w:abstractNumId="4">
    <w:nsid w:val="D674F9EE"/>
    <w:multiLevelType w:val="singleLevel"/>
    <w:tmpl w:val="D674F9EE"/>
    <w:lvl w:ilvl="0" w:tentative="0">
      <w:start w:val="1"/>
      <w:numFmt w:val="decimal"/>
      <w:suff w:val="space"/>
      <w:lvlText w:val="%1)"/>
      <w:lvlJc w:val="left"/>
      <w:pPr>
        <w:ind w:left="425" w:hanging="425"/>
      </w:pPr>
      <w:rPr>
        <w:rFonts w:hint="default"/>
      </w:rPr>
    </w:lvl>
  </w:abstractNum>
  <w:abstractNum w:abstractNumId="5">
    <w:nsid w:val="E3C2A964"/>
    <w:multiLevelType w:val="multilevel"/>
    <w:tmpl w:val="E3C2A964"/>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6D85D5F"/>
    <w:multiLevelType w:val="singleLevel"/>
    <w:tmpl w:val="F6D85D5F"/>
    <w:lvl w:ilvl="0" w:tentative="0">
      <w:start w:val="1"/>
      <w:numFmt w:val="decimal"/>
      <w:suff w:val="space"/>
      <w:lvlText w:val="%1)"/>
      <w:lvlJc w:val="left"/>
      <w:pPr>
        <w:ind w:left="425" w:hanging="425"/>
      </w:pPr>
      <w:rPr>
        <w:rFonts w:hint="default"/>
      </w:rPr>
    </w:lvl>
  </w:abstractNum>
  <w:abstractNum w:abstractNumId="7">
    <w:nsid w:val="FFF95957"/>
    <w:multiLevelType w:val="singleLevel"/>
    <w:tmpl w:val="FFF95957"/>
    <w:lvl w:ilvl="0" w:tentative="0">
      <w:start w:val="1"/>
      <w:numFmt w:val="chineseCounting"/>
      <w:suff w:val="nothing"/>
      <w:lvlText w:val="（%1）"/>
      <w:lvlJc w:val="left"/>
      <w:pPr>
        <w:ind w:left="0" w:firstLine="420"/>
      </w:pPr>
      <w:rPr>
        <w:rFonts w:hint="eastAsia"/>
      </w:rPr>
    </w:lvl>
  </w:abstractNum>
  <w:abstractNum w:abstractNumId="8">
    <w:nsid w:val="1CFCE13A"/>
    <w:multiLevelType w:val="singleLevel"/>
    <w:tmpl w:val="1CFCE13A"/>
    <w:lvl w:ilvl="0" w:tentative="0">
      <w:start w:val="1"/>
      <w:numFmt w:val="decimal"/>
      <w:suff w:val="nothing"/>
      <w:lvlText w:val="%1、"/>
      <w:lvlJc w:val="left"/>
      <w:pPr>
        <w:ind w:left="0" w:firstLine="0"/>
      </w:pPr>
    </w:lvl>
  </w:abstractNum>
  <w:abstractNum w:abstractNumId="9">
    <w:nsid w:val="7E9182DA"/>
    <w:multiLevelType w:val="singleLevel"/>
    <w:tmpl w:val="7E9182DA"/>
    <w:lvl w:ilvl="0" w:tentative="0">
      <w:start w:val="1"/>
      <w:numFmt w:val="decimal"/>
      <w:suff w:val="space"/>
      <w:lvlText w:val="%1)"/>
      <w:lvlJc w:val="left"/>
      <w:pPr>
        <w:ind w:left="425" w:hanging="425"/>
      </w:pPr>
      <w:rPr>
        <w:rFonts w:hint="default"/>
      </w:rPr>
    </w:lvl>
  </w:abstractNum>
  <w:num w:numId="1">
    <w:abstractNumId w:val="5"/>
  </w:num>
  <w:num w:numId="2">
    <w:abstractNumId w:val="1"/>
  </w:num>
  <w:num w:numId="3">
    <w:abstractNumId w:val="6"/>
  </w:num>
  <w:num w:numId="4">
    <w:abstractNumId w:val="0"/>
  </w:num>
  <w:num w:numId="5">
    <w:abstractNumId w:val="3"/>
  </w:num>
  <w:num w:numId="6">
    <w:abstractNumId w:val="9"/>
  </w:num>
  <w:num w:numId="7">
    <w:abstractNumId w:val="7"/>
    <w:lvlOverride w:ilvl="0">
      <w:startOverride w:val="1"/>
    </w:lvlOverride>
  </w:num>
  <w:num w:numId="8">
    <w:abstractNumId w:val="8"/>
    <w:lvlOverride w:ilvl="0">
      <w:startOverride w:val="1"/>
    </w:lvlOverride>
  </w:num>
  <w:num w:numId="9">
    <w:abstractNumId w:val="4"/>
  </w:num>
  <w:num w:numId="1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0B524D"/>
    <w:rsid w:val="001766C1"/>
    <w:rsid w:val="0026617E"/>
    <w:rsid w:val="002C236B"/>
    <w:rsid w:val="002F5A33"/>
    <w:rsid w:val="0034182F"/>
    <w:rsid w:val="00374F8C"/>
    <w:rsid w:val="00965C2E"/>
    <w:rsid w:val="00A04FAA"/>
    <w:rsid w:val="00A23FA7"/>
    <w:rsid w:val="00A70135"/>
    <w:rsid w:val="00B42132"/>
    <w:rsid w:val="00D034D0"/>
    <w:rsid w:val="00DC66BA"/>
    <w:rsid w:val="00EF09A3"/>
    <w:rsid w:val="00F27A58"/>
    <w:rsid w:val="070B524D"/>
    <w:rsid w:val="23E9688E"/>
    <w:rsid w:val="488048EC"/>
    <w:rsid w:val="585A29C5"/>
    <w:rsid w:val="5FEE7D4E"/>
    <w:rsid w:val="6C5A2920"/>
    <w:rsid w:val="6DE00303"/>
    <w:rsid w:val="6E7875C4"/>
    <w:rsid w:val="713E5CCC"/>
    <w:rsid w:val="77480829"/>
    <w:rsid w:val="7E82523B"/>
    <w:rsid w:val="7EF261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kern w:val="2"/>
      <w:sz w:val="28"/>
      <w:szCs w:val="28"/>
    </w:rPr>
  </w:style>
  <w:style w:type="paragraph" w:styleId="3">
    <w:name w:val="heading 2"/>
    <w:next w:val="1"/>
    <w:qFormat/>
    <w:uiPriority w:val="0"/>
    <w:pPr>
      <w:keepNext/>
      <w:keepLines/>
      <w:widowControl w:val="0"/>
      <w:spacing w:before="260" w:after="260" w:line="416" w:lineRule="auto"/>
      <w:jc w:val="center"/>
      <w:outlineLvl w:val="1"/>
    </w:pPr>
    <w:rPr>
      <w:rFonts w:ascii="Arial" w:hAnsi="Arial" w:eastAsia="幼圆" w:cs="Arial"/>
      <w:b/>
      <w:bCs/>
      <w:kern w:val="2"/>
      <w:sz w:val="44"/>
      <w:szCs w:val="44"/>
      <w:lang w:val="en-US" w:eastAsia="zh-CN" w:bidi="ar-SA"/>
    </w:rPr>
  </w:style>
  <w:style w:type="paragraph" w:styleId="4">
    <w:name w:val="heading 3"/>
    <w:next w:val="1"/>
    <w:qFormat/>
    <w:uiPriority w:val="0"/>
    <w:pPr>
      <w:keepNext/>
      <w:keepLines/>
      <w:widowControl w:val="0"/>
      <w:spacing w:before="260" w:after="260" w:line="416" w:lineRule="auto"/>
      <w:jc w:val="both"/>
      <w:outlineLvl w:val="2"/>
    </w:pPr>
    <w:rPr>
      <w:rFonts w:ascii="Times New Roman" w:hAnsi="Times New Roman" w:eastAsia="宋体" w:cs="Times New Roman"/>
      <w:b/>
      <w:bCs/>
      <w:kern w:val="2"/>
      <w:sz w:val="32"/>
      <w:szCs w:val="32"/>
      <w:lang w:val="en-US" w:eastAsia="zh-CN" w:bidi="ar-SA"/>
    </w:rPr>
  </w:style>
  <w:style w:type="character" w:default="1" w:styleId="12">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Normal Indent"/>
    <w:next w:val="1"/>
    <w:qFormat/>
    <w:uiPriority w:val="0"/>
    <w:pPr>
      <w:widowControl w:val="0"/>
      <w:ind w:firstLine="420"/>
      <w:jc w:val="both"/>
    </w:pPr>
    <w:rPr>
      <w:rFonts w:ascii="Times New Roman" w:hAnsi="Times New Roman" w:eastAsia="宋体" w:cs="Times New Roman"/>
      <w:kern w:val="2"/>
      <w:sz w:val="21"/>
      <w:szCs w:val="21"/>
      <w:lang w:val="en-US" w:eastAsia="zh-CN" w:bidi="ar-SA"/>
    </w:rPr>
  </w:style>
  <w:style w:type="paragraph" w:styleId="6">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7">
    <w:name w:val="footer"/>
    <w:qFormat/>
    <w:uiPriority w:val="0"/>
    <w:pPr>
      <w:widowControl w:val="0"/>
      <w:tabs>
        <w:tab w:val="center" w:pos="4153"/>
        <w:tab w:val="right" w:pos="8306"/>
      </w:tabs>
      <w:snapToGrid w:val="0"/>
    </w:pPr>
    <w:rPr>
      <w:rFonts w:ascii="Times New Roman" w:hAnsi="Times New Roman" w:eastAsia="宋体" w:cs="Times New Roman"/>
      <w:kern w:val="2"/>
      <w:sz w:val="18"/>
      <w:szCs w:val="18"/>
      <w:lang w:val="en-US" w:eastAsia="zh-CN" w:bidi="ar-SA"/>
    </w:rPr>
  </w:style>
  <w:style w:type="paragraph" w:styleId="8">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9">
    <w:name w:val="toc 1"/>
    <w:next w:val="1"/>
    <w:semiHidden/>
    <w:qFormat/>
    <w:uiPriority w:val="0"/>
    <w:pPr>
      <w:widowControl w:val="0"/>
      <w:tabs>
        <w:tab w:val="right" w:leader="dot" w:pos="8720"/>
      </w:tabs>
      <w:spacing w:before="120" w:after="120" w:line="400" w:lineRule="exact"/>
    </w:pPr>
    <w:rPr>
      <w:rFonts w:ascii="宋体" w:hAnsi="宋体" w:eastAsia="宋体" w:cs="Times New Roman"/>
      <w:caps/>
      <w:kern w:val="2"/>
      <w:sz w:val="24"/>
      <w:szCs w:val="24"/>
      <w:lang w:val="en-US" w:eastAsia="zh-CN" w:bidi="ar-SA"/>
    </w:rPr>
  </w:style>
  <w:style w:type="paragraph" w:styleId="10">
    <w:name w:val="Normal (Web)"/>
    <w:qFormat/>
    <w:uiPriority w:val="99"/>
    <w:pPr>
      <w:spacing w:before="100" w:beforeAutospacing="1" w:after="100" w:afterAutospacing="1"/>
    </w:pPr>
    <w:rPr>
      <w:rFonts w:ascii="宋体" w:hAnsi="宋体" w:eastAsia="宋体" w:cs="宋体"/>
      <w:sz w:val="24"/>
      <w:szCs w:val="24"/>
      <w:lang w:val="en-US" w:eastAsia="zh-CN" w:bidi="ar-SA"/>
    </w:rPr>
  </w:style>
  <w:style w:type="character" w:styleId="13">
    <w:name w:val="Strong"/>
    <w:basedOn w:val="12"/>
    <w:qFormat/>
    <w:uiPriority w:val="0"/>
    <w:rPr>
      <w:b/>
    </w:rPr>
  </w:style>
  <w:style w:type="character" w:styleId="14">
    <w:name w:val="page number"/>
    <w:qFormat/>
    <w:uiPriority w:val="0"/>
  </w:style>
  <w:style w:type="paragraph" w:customStyle="1" w:styleId="15">
    <w:name w:val="普通正文"/>
    <w:qFormat/>
    <w:uiPriority w:val="0"/>
    <w:pPr>
      <w:widowControl w:val="0"/>
      <w:spacing w:before="120" w:after="120" w:line="360" w:lineRule="auto"/>
      <w:ind w:firstLine="480"/>
    </w:pPr>
    <w:rPr>
      <w:rFonts w:ascii="Arial" w:hAnsi="Arial" w:eastAsia="宋体" w:cs="Times New Roman"/>
      <w:sz w:val="24"/>
      <w:szCs w:val="24"/>
      <w:lang w:val="en-US" w:eastAsia="zh-CN" w:bidi="ar-SA"/>
    </w:rPr>
  </w:style>
  <w:style w:type="paragraph" w:customStyle="1" w:styleId="16">
    <w:name w:val="标题 11"/>
    <w:next w:val="1"/>
    <w:qFormat/>
    <w:uiPriority w:val="0"/>
    <w:pPr>
      <w:keepNext/>
      <w:widowControl w:val="0"/>
      <w:jc w:val="center"/>
      <w:outlineLvl w:val="0"/>
    </w:pPr>
    <w:rPr>
      <w:rFonts w:ascii="楷体_GB2312" w:hAnsi="Times New Roman" w:eastAsia="楷体_GB2312" w:cs="Times New Roman"/>
      <w:sz w:val="28"/>
      <w:szCs w:val="28"/>
      <w:lang w:val="en-US" w:eastAsia="zh-CN" w:bidi="ar-SA"/>
    </w:rPr>
  </w:style>
  <w:style w:type="paragraph" w:customStyle="1" w:styleId="17">
    <w:name w:val="标题 31"/>
    <w:next w:val="18"/>
    <w:qFormat/>
    <w:uiPriority w:val="0"/>
    <w:pPr>
      <w:keepNext/>
      <w:keepLines/>
      <w:widowControl w:val="0"/>
      <w:spacing w:before="260" w:after="260" w:line="416" w:lineRule="auto"/>
      <w:jc w:val="both"/>
      <w:outlineLvl w:val="2"/>
    </w:pPr>
    <w:rPr>
      <w:rFonts w:ascii="Times New Roman" w:hAnsi="Times New Roman" w:eastAsia="宋体" w:cs="Times New Roman"/>
      <w:b/>
      <w:bCs/>
      <w:sz w:val="32"/>
      <w:szCs w:val="32"/>
      <w:lang w:val="en-US" w:eastAsia="zh-CN" w:bidi="ar-SA"/>
    </w:rPr>
  </w:style>
  <w:style w:type="paragraph" w:customStyle="1" w:styleId="18">
    <w:name w:val="正文缩进1"/>
    <w:next w:val="1"/>
    <w:qFormat/>
    <w:uiPriority w:val="0"/>
    <w:pPr>
      <w:widowControl w:val="0"/>
      <w:ind w:firstLine="420"/>
      <w:jc w:val="both"/>
    </w:pPr>
    <w:rPr>
      <w:rFonts w:ascii="Times New Roman" w:hAnsi="Times New Roman" w:eastAsia="宋体" w:cs="Times New Roman"/>
      <w:sz w:val="21"/>
      <w:szCs w:val="21"/>
      <w:lang w:val="en-US" w:eastAsia="zh-CN" w:bidi="ar-SA"/>
    </w:rPr>
  </w:style>
  <w:style w:type="paragraph" w:customStyle="1" w:styleId="19">
    <w:name w:val="BodyText"/>
    <w:autoRedefine/>
    <w:qFormat/>
    <w:uiPriority w:val="0"/>
    <w:pPr>
      <w:widowControl w:val="0"/>
      <w:spacing w:after="120"/>
      <w:jc w:val="both"/>
      <w:textAlignment w:val="baseline"/>
    </w:pPr>
    <w:rPr>
      <w:rFonts w:ascii="Calibri" w:hAnsi="Times New Roman" w:eastAsia="宋体" w:cs="Times New Roman"/>
      <w:kern w:val="2"/>
      <w:szCs w:val="21"/>
      <w:lang w:val="en-US" w:eastAsia="zh-CN" w:bidi="ar-SA"/>
    </w:rPr>
  </w:style>
  <w:style w:type="paragraph" w:customStyle="1" w:styleId="20">
    <w:name w:val="正文空2字"/>
    <w:qFormat/>
    <w:uiPriority w:val="99"/>
    <w:pPr>
      <w:widowControl w:val="0"/>
      <w:spacing w:line="560" w:lineRule="exact"/>
      <w:ind w:firstLine="640"/>
    </w:pPr>
    <w:rPr>
      <w:rFonts w:ascii="仿宋_GB2312" w:hAnsi="仿宋_GB2312" w:eastAsia="仿宋_GB2312" w:cs="仿宋_GB2312"/>
      <w:sz w:val="32"/>
      <w:szCs w:val="32"/>
      <w:lang w:val="zh-TW" w:eastAsia="zh-CN" w:bidi="ar-SA"/>
    </w:rPr>
  </w:style>
  <w:style w:type="paragraph" w:customStyle="1" w:styleId="21">
    <w:name w:val="左对齐正文"/>
    <w:qFormat/>
    <w:uiPriority w:val="99"/>
    <w:rPr>
      <w:rFonts w:ascii="Calibri" w:hAnsi="Calibri" w:eastAsia="仿宋_GB2312" w:cs="Calibri"/>
      <w:sz w:val="32"/>
      <w:szCs w:val="32"/>
      <w:lang w:val="en-US" w:eastAsia="zh-CN" w:bidi="ar-SA"/>
    </w:rPr>
  </w:style>
  <w:style w:type="paragraph" w:customStyle="1" w:styleId="22">
    <w:name w:val="标题 21"/>
    <w:next w:val="1"/>
    <w:qFormat/>
    <w:uiPriority w:val="0"/>
    <w:pPr>
      <w:keepNext/>
      <w:keepLines/>
      <w:widowControl w:val="0"/>
      <w:spacing w:before="260" w:after="260" w:line="416" w:lineRule="auto"/>
      <w:jc w:val="center"/>
      <w:outlineLvl w:val="1"/>
    </w:pPr>
    <w:rPr>
      <w:rFonts w:ascii="Arial" w:hAnsi="Arial" w:eastAsia="幼圆" w:cs="Arial"/>
      <w:b/>
      <w:bCs/>
      <w:sz w:val="44"/>
      <w:szCs w:val="44"/>
      <w:lang w:val="en-US" w:eastAsia="zh-CN" w:bidi="ar-SA"/>
    </w:rPr>
  </w:style>
  <w:style w:type="paragraph" w:customStyle="1" w:styleId="23">
    <w:name w:val="标题 211"/>
    <w:next w:val="1"/>
    <w:qFormat/>
    <w:uiPriority w:val="0"/>
    <w:pPr>
      <w:keepNext/>
      <w:keepLines/>
      <w:widowControl w:val="0"/>
      <w:spacing w:before="260" w:after="260" w:line="413" w:lineRule="auto"/>
      <w:jc w:val="both"/>
      <w:outlineLvl w:val="1"/>
    </w:pPr>
    <w:rPr>
      <w:rFonts w:ascii="Arial" w:hAnsi="Arial" w:eastAsia="黑体" w:cs="Times New Roman"/>
      <w:b/>
      <w:sz w:val="32"/>
      <w:lang w:val="en-US" w:eastAsia="zh-CN" w:bidi="ar-SA"/>
    </w:rPr>
  </w:style>
  <w:style w:type="character" w:customStyle="1" w:styleId="24">
    <w:name w:val="NormalCharacter_0_0"/>
    <w:qFormat/>
    <w:uiPriority w:val="0"/>
    <w:rPr>
      <w:rFonts w:hint="default" w:ascii="Times New Roman" w:hAnsi="Times New Roman" w:eastAsia="宋体" w:cs="Times New Roman"/>
      <w:sz w:val="21"/>
      <w:szCs w:val="21"/>
      <w:lang w:val="en-US" w:eastAsia="zh-CN" w:bidi="ar-SA"/>
    </w:rPr>
  </w:style>
  <w:style w:type="paragraph" w:customStyle="1" w:styleId="25">
    <w:name w:val="标题 411"/>
    <w:next w:val="1"/>
    <w:qFormat/>
    <w:uiPriority w:val="0"/>
    <w:pPr>
      <w:keepNext/>
      <w:keepLines/>
      <w:widowControl w:val="0"/>
      <w:spacing w:before="280" w:after="290" w:line="376" w:lineRule="auto"/>
      <w:jc w:val="both"/>
      <w:outlineLvl w:val="3"/>
    </w:pPr>
    <w:rPr>
      <w:rFonts w:ascii="Arial" w:hAnsi="Arial" w:eastAsia="黑体" w:cs="Arial"/>
      <w:b/>
      <w:bCs/>
      <w:sz w:val="28"/>
      <w:szCs w:val="28"/>
      <w:lang w:val="en-US" w:eastAsia="zh-CN" w:bidi="ar-SA"/>
    </w:rPr>
  </w:style>
  <w:style w:type="paragraph" w:customStyle="1" w:styleId="26">
    <w:name w:val="首行缩进"/>
    <w:qFormat/>
    <w:uiPriority w:val="0"/>
    <w:pPr>
      <w:widowControl w:val="0"/>
      <w:ind w:firstLine="480"/>
      <w:jc w:val="both"/>
    </w:pPr>
    <w:rPr>
      <w:rFonts w:ascii="Times New Roman" w:hAnsi="Times New Roman" w:eastAsia="宋体" w:cs="Times New Roman"/>
      <w:sz w:val="21"/>
      <w:szCs w:val="21"/>
      <w:lang w:val="zh-CN" w:eastAsia="zh-CN" w:bidi="ar-SA"/>
    </w:rPr>
  </w:style>
  <w:style w:type="paragraph" w:customStyle="1" w:styleId="27">
    <w:name w:val="标题 41"/>
    <w:next w:val="1"/>
    <w:qFormat/>
    <w:uiPriority w:val="0"/>
    <w:pPr>
      <w:keepNext/>
      <w:keepLines/>
      <w:widowControl w:val="0"/>
      <w:tabs>
        <w:tab w:val="left" w:pos="1134"/>
        <w:tab w:val="right" w:pos="7371"/>
      </w:tabs>
      <w:spacing w:line="360" w:lineRule="auto"/>
      <w:jc w:val="both"/>
      <w:outlineLvl w:val="3"/>
    </w:pPr>
    <w:rPr>
      <w:rFonts w:ascii="宋体" w:hAnsi="Times New Roman" w:eastAsia="宋体" w:cs="Times New Roman"/>
      <w:color w:val="800000"/>
      <w:sz w:val="28"/>
      <w:lang w:val="en-US" w:eastAsia="zh-CN" w:bidi="ar-SA"/>
    </w:rPr>
  </w:style>
  <w:style w:type="paragraph" w:customStyle="1" w:styleId="28">
    <w:name w:val="正文_16_0_0"/>
    <w:next w:val="29"/>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
    <w:name w:val="正文1_0"/>
    <w:qFormat/>
    <w:uiPriority w:val="0"/>
    <w:pPr>
      <w:widowControl w:val="0"/>
      <w:jc w:val="both"/>
    </w:pPr>
    <w:rPr>
      <w:rFonts w:ascii="Times New Roman" w:hAnsi="Times New Roman" w:eastAsia="宋体" w:cs="Times New Roman"/>
      <w:szCs w:val="24"/>
      <w:lang w:val="en-US" w:eastAsia="zh-CN" w:bidi="ar-SA"/>
    </w:rPr>
  </w:style>
  <w:style w:type="paragraph" w:customStyle="1" w:styleId="30">
    <w:name w:val="Normal_1_2"/>
    <w:qFormat/>
    <w:uiPriority w:val="0"/>
    <w:rPr>
      <w:rFonts w:ascii="Times New Roman" w:hAnsi="Times New Roman" w:eastAsia="Times New Roman" w:cs="Times New Roman"/>
      <w:sz w:val="24"/>
      <w:szCs w:val="24"/>
      <w:lang w:val="en-US" w:eastAsia="zh-CN" w:bidi="ar-SA"/>
    </w:rPr>
  </w:style>
  <w:style w:type="paragraph" w:customStyle="1" w:styleId="31">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2">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33">
    <w:name w:val="Char"/>
    <w:qFormat/>
    <w:uiPriority w:val="0"/>
    <w:pPr>
      <w:widowControl w:val="0"/>
      <w:tabs>
        <w:tab w:val="left" w:pos="360"/>
      </w:tabs>
      <w:ind w:firstLine="200" w:firstLineChars="200"/>
      <w:jc w:val="both"/>
    </w:pPr>
    <w:rPr>
      <w:rFonts w:ascii="Times New Roman" w:hAnsi="Times New Roman" w:eastAsia="宋体" w:cs="Times New Roman"/>
      <w:kern w:val="2"/>
      <w:sz w:val="28"/>
      <w:szCs w:val="30"/>
      <w:lang w:val="en-US" w:eastAsia="zh-CN" w:bidi="ar-SA"/>
    </w:rPr>
  </w:style>
  <w:style w:type="paragraph" w:customStyle="1" w:styleId="34">
    <w:name w:val="Normal_1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
    <w:name w:val="正文_9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
    <w:name w:val="正文_8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
    <w:name w:val="正文文本12"/>
    <w:qFormat/>
    <w:uiPriority w:val="1"/>
    <w:pPr>
      <w:widowControl w:val="0"/>
      <w:ind w:left="120"/>
      <w:jc w:val="both"/>
    </w:pPr>
    <w:rPr>
      <w:rFonts w:ascii="宋体" w:hAnsi="宋体" w:eastAsia="宋体" w:cs="宋体"/>
      <w:kern w:val="2"/>
      <w:sz w:val="21"/>
      <w:szCs w:val="21"/>
      <w:lang w:val="zh-CN" w:eastAsia="zh-CN" w:bidi="zh-CN"/>
    </w:rPr>
  </w:style>
  <w:style w:type="paragraph" w:customStyle="1" w:styleId="38">
    <w:name w:val="Normal_18_0"/>
    <w:qFormat/>
    <w:uiPriority w:val="0"/>
    <w:rPr>
      <w:rFonts w:ascii="黑体" w:hAnsi="黑体" w:eastAsia="黑体" w:cs="黑体"/>
      <w:b/>
      <w:sz w:val="32"/>
      <w:szCs w:val="24"/>
      <w:lang w:val="en-US" w:eastAsia="zh-CN" w:bidi="ar-SA"/>
    </w:rPr>
  </w:style>
  <w:style w:type="paragraph" w:customStyle="1" w:styleId="39">
    <w:name w:val="正文_12_0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42">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
    <w:name w:val="Normal_20"/>
    <w:qFormat/>
    <w:uiPriority w:val="0"/>
    <w:rPr>
      <w:rFonts w:ascii="黑体" w:hAnsi="黑体" w:eastAsia="黑体" w:cs="黑体"/>
      <w:b/>
      <w:sz w:val="32"/>
      <w:szCs w:val="24"/>
      <w:lang w:val="en-US" w:eastAsia="zh-CN" w:bidi="ar-SA"/>
    </w:rPr>
  </w:style>
  <w:style w:type="paragraph" w:customStyle="1" w:styleId="44">
    <w:name w:val="正文_15_0"/>
    <w:qFormat/>
    <w:uiPriority w:val="0"/>
    <w:pPr>
      <w:widowControl w:val="0"/>
      <w:jc w:val="both"/>
    </w:pPr>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74</Pages>
  <Words>17920</Words>
  <Characters>19614</Characters>
  <Lines>318</Lines>
  <Paragraphs>89</Paragraphs>
  <TotalTime>8</TotalTime>
  <ScaleCrop>false</ScaleCrop>
  <LinksUpToDate>false</LinksUpToDate>
  <CharactersWithSpaces>20403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2026-06-15T03:44:00Z</dcterms:created>
  <dc:creator>..</dc:creator>
  <cp:lastModifiedBy>..</cp:lastModifiedBy>
  <dcterms:modified xsi:type="dcterms:W3CDTF">2026-06-30T08:24:15Z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D958FF83330745CEBAB7AE36D8B777DE_11</vt:lpwstr>
  </property>
  <property fmtid="{D5CDD505-2E9C-101B-9397-08002B2CF9AE}" pid="4" name="KSOTemplateDocerSaveRecord">
    <vt:lpwstr>eyJoZGlkIjoiNTc1OTQxYTUxYjhlZWU3NDkyNDNmYWNlMjAyODg1ZDMiLCJ1c2VySWQiOiI5MDk4Mjk5ODAifQ==</vt:lpwstr>
  </property>
</Properties>
</file>