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C88D46E">
      <w:pPr>
        <w:spacing w:before="120" w:after="120"/>
        <w:jc w:val="left"/>
        <w:rPr>
          <w:rFonts w:hint="eastAsia" w:ascii="仿宋" w:hAnsi="仿宋" w:eastAsia="仿宋" w:cs="仿宋"/>
          <w:b/>
          <w:bCs/>
          <w:color w:val="auto"/>
          <w:sz w:val="84"/>
          <w:szCs w:val="24"/>
          <w:highlight w:val="none"/>
        </w:rPr>
      </w:pPr>
    </w:p>
    <w:p w14:paraId="02422CC2">
      <w:pPr>
        <w:spacing w:before="120" w:after="120"/>
        <w:jc w:val="center"/>
        <w:outlineLvl w:val="0"/>
        <w:rPr>
          <w:rFonts w:hint="eastAsia" w:ascii="仿宋" w:hAnsi="仿宋" w:eastAsia="仿宋" w:cs="仿宋"/>
          <w:color w:val="auto"/>
          <w:sz w:val="84"/>
          <w:szCs w:val="24"/>
          <w:highlight w:val="none"/>
        </w:rPr>
      </w:pPr>
      <w:bookmarkStart w:id="0" w:name="_Toc8513"/>
      <w:r>
        <w:rPr>
          <w:rFonts w:hint="eastAsia" w:ascii="仿宋" w:hAnsi="仿宋" w:eastAsia="仿宋" w:cs="仿宋"/>
          <w:color w:val="auto"/>
          <w:sz w:val="84"/>
          <w:szCs w:val="24"/>
          <w:highlight w:val="none"/>
        </w:rPr>
        <w:t>竞争性磋商文件</w:t>
      </w:r>
      <w:bookmarkEnd w:id="0"/>
    </w:p>
    <w:p w14:paraId="34BE4BE5">
      <w:pPr>
        <w:spacing w:before="120" w:after="120"/>
        <w:jc w:val="center"/>
        <w:rPr>
          <w:rFonts w:hint="eastAsia" w:ascii="仿宋" w:hAnsi="仿宋" w:eastAsia="仿宋" w:cs="仿宋"/>
          <w:b/>
          <w:bCs/>
          <w:color w:val="auto"/>
          <w:sz w:val="32"/>
          <w:szCs w:val="24"/>
          <w:highlight w:val="none"/>
        </w:rPr>
      </w:pPr>
    </w:p>
    <w:p w14:paraId="6A74FF12">
      <w:pPr>
        <w:spacing w:before="120" w:after="120"/>
        <w:jc w:val="center"/>
        <w:rPr>
          <w:rFonts w:hint="eastAsia" w:ascii="仿宋" w:hAnsi="仿宋" w:eastAsia="仿宋" w:cs="仿宋"/>
          <w:b/>
          <w:bCs/>
          <w:color w:val="auto"/>
          <w:sz w:val="32"/>
          <w:szCs w:val="24"/>
          <w:highlight w:val="none"/>
          <w:lang w:eastAsia="zh-CN"/>
        </w:rPr>
      </w:pPr>
      <w:r>
        <w:rPr>
          <w:rFonts w:hint="eastAsia" w:ascii="仿宋" w:hAnsi="仿宋" w:eastAsia="仿宋" w:cs="仿宋"/>
          <w:b/>
          <w:bCs/>
          <w:color w:val="auto"/>
          <w:sz w:val="32"/>
          <w:szCs w:val="24"/>
          <w:highlight w:val="none"/>
        </w:rPr>
        <w:t>项目名称：</w:t>
      </w:r>
      <w:r>
        <w:rPr>
          <w:rFonts w:hint="eastAsia" w:ascii="仿宋" w:hAnsi="仿宋" w:eastAsia="仿宋" w:cs="仿宋"/>
          <w:b/>
          <w:bCs/>
          <w:color w:val="auto"/>
          <w:sz w:val="32"/>
          <w:szCs w:val="24"/>
          <w:highlight w:val="none"/>
          <w:u w:val="single"/>
          <w:lang w:eastAsia="zh-CN"/>
        </w:rPr>
        <w:t>宿城区农村乱占耕地建非住宅类房屋专项整治工作技术服务</w:t>
      </w:r>
    </w:p>
    <w:p w14:paraId="66A580E7">
      <w:pPr>
        <w:spacing w:before="120" w:after="120"/>
        <w:jc w:val="center"/>
        <w:outlineLvl w:val="0"/>
        <w:rPr>
          <w:rFonts w:hint="eastAsia" w:ascii="仿宋" w:hAnsi="仿宋" w:eastAsia="仿宋" w:cs="仿宋"/>
          <w:b/>
          <w:bCs/>
          <w:color w:val="auto"/>
          <w:sz w:val="32"/>
          <w:szCs w:val="24"/>
          <w:highlight w:val="none"/>
          <w:lang w:eastAsia="zh-CN"/>
        </w:rPr>
      </w:pPr>
      <w:bookmarkStart w:id="1" w:name="_Toc12308"/>
      <w:r>
        <w:rPr>
          <w:rFonts w:hint="eastAsia" w:ascii="仿宋" w:hAnsi="仿宋" w:eastAsia="仿宋" w:cs="仿宋"/>
          <w:b/>
          <w:bCs/>
          <w:color w:val="auto"/>
          <w:sz w:val="32"/>
          <w:szCs w:val="24"/>
          <w:highlight w:val="none"/>
        </w:rPr>
        <w:t>项目编号：</w:t>
      </w:r>
      <w:bookmarkEnd w:id="1"/>
      <w:r>
        <w:rPr>
          <w:rFonts w:hint="eastAsia" w:ascii="仿宋" w:hAnsi="仿宋" w:eastAsia="仿宋" w:cs="仿宋"/>
          <w:b/>
          <w:bCs/>
          <w:color w:val="auto"/>
          <w:sz w:val="32"/>
          <w:szCs w:val="24"/>
          <w:highlight w:val="none"/>
          <w:lang w:eastAsia="zh-CN"/>
        </w:rPr>
        <w:t>JSZC-321302-WDGC-C2026-0005</w:t>
      </w:r>
    </w:p>
    <w:p w14:paraId="322EAF57">
      <w:pPr>
        <w:spacing w:before="120" w:after="120"/>
        <w:jc w:val="center"/>
        <w:outlineLvl w:val="0"/>
        <w:rPr>
          <w:rFonts w:hint="eastAsia" w:ascii="仿宋" w:hAnsi="仿宋" w:eastAsia="仿宋" w:cs="仿宋"/>
          <w:b/>
          <w:color w:val="auto"/>
          <w:sz w:val="30"/>
          <w:szCs w:val="30"/>
          <w:highlight w:val="none"/>
        </w:rPr>
      </w:pPr>
      <w:bookmarkStart w:id="2" w:name="_Toc14343"/>
      <w:r>
        <w:rPr>
          <w:rFonts w:hint="eastAsia" w:ascii="仿宋" w:hAnsi="仿宋" w:eastAsia="仿宋" w:cs="仿宋"/>
          <w:b/>
          <w:bCs/>
          <w:color w:val="auto"/>
          <w:sz w:val="32"/>
          <w:szCs w:val="24"/>
          <w:highlight w:val="none"/>
        </w:rPr>
        <w:t>（</w:t>
      </w:r>
      <w:r>
        <w:rPr>
          <w:rFonts w:hint="eastAsia" w:ascii="仿宋" w:hAnsi="仿宋" w:eastAsia="仿宋" w:cs="仿宋"/>
          <w:b/>
          <w:bCs/>
          <w:color w:val="auto"/>
          <w:sz w:val="32"/>
          <w:szCs w:val="24"/>
          <w:highlight w:val="none"/>
          <w:u w:val="single"/>
        </w:rPr>
        <w:t xml:space="preserve"> 服务 </w:t>
      </w:r>
      <w:r>
        <w:rPr>
          <w:rFonts w:hint="eastAsia" w:ascii="仿宋" w:hAnsi="仿宋" w:eastAsia="仿宋" w:cs="仿宋"/>
          <w:b/>
          <w:bCs/>
          <w:color w:val="auto"/>
          <w:sz w:val="32"/>
          <w:szCs w:val="24"/>
          <w:highlight w:val="none"/>
        </w:rPr>
        <w:t>类项目，专门面向中小企业）</w:t>
      </w:r>
      <w:bookmarkEnd w:id="2"/>
    </w:p>
    <w:p w14:paraId="1CC34422">
      <w:pPr>
        <w:jc w:val="left"/>
        <w:rPr>
          <w:rFonts w:hint="eastAsia" w:ascii="仿宋" w:hAnsi="仿宋" w:eastAsia="仿宋" w:cs="仿宋"/>
          <w:color w:val="auto"/>
          <w:sz w:val="24"/>
          <w:szCs w:val="24"/>
          <w:highlight w:val="none"/>
        </w:rPr>
      </w:pPr>
    </w:p>
    <w:p w14:paraId="3FF2AF23">
      <w:pPr>
        <w:jc w:val="left"/>
        <w:rPr>
          <w:rFonts w:hint="eastAsia" w:ascii="仿宋" w:hAnsi="仿宋" w:eastAsia="仿宋" w:cs="仿宋"/>
          <w:color w:val="auto"/>
          <w:sz w:val="24"/>
          <w:szCs w:val="24"/>
          <w:highlight w:val="none"/>
        </w:rPr>
      </w:pPr>
    </w:p>
    <w:p w14:paraId="2695FD2A">
      <w:pPr>
        <w:jc w:val="left"/>
        <w:rPr>
          <w:rFonts w:hint="eastAsia" w:ascii="仿宋" w:hAnsi="仿宋" w:eastAsia="仿宋" w:cs="仿宋"/>
          <w:color w:val="auto"/>
          <w:sz w:val="24"/>
          <w:szCs w:val="24"/>
          <w:highlight w:val="none"/>
        </w:rPr>
      </w:pPr>
    </w:p>
    <w:p w14:paraId="085607A1">
      <w:pPr>
        <w:jc w:val="left"/>
        <w:rPr>
          <w:rFonts w:hint="eastAsia" w:ascii="仿宋" w:hAnsi="仿宋" w:eastAsia="仿宋" w:cs="仿宋"/>
          <w:color w:val="auto"/>
          <w:sz w:val="24"/>
          <w:szCs w:val="24"/>
          <w:highlight w:val="none"/>
        </w:rPr>
      </w:pPr>
    </w:p>
    <w:p w14:paraId="30F1F395">
      <w:pPr>
        <w:jc w:val="left"/>
        <w:rPr>
          <w:rFonts w:hint="eastAsia" w:ascii="仿宋" w:hAnsi="仿宋" w:eastAsia="仿宋" w:cs="仿宋"/>
          <w:color w:val="auto"/>
          <w:sz w:val="24"/>
          <w:szCs w:val="24"/>
          <w:highlight w:val="none"/>
        </w:rPr>
      </w:pPr>
    </w:p>
    <w:p w14:paraId="696825D9">
      <w:pPr>
        <w:jc w:val="left"/>
        <w:rPr>
          <w:rFonts w:hint="eastAsia" w:ascii="仿宋" w:hAnsi="仿宋" w:eastAsia="仿宋" w:cs="仿宋"/>
          <w:color w:val="auto"/>
          <w:sz w:val="24"/>
          <w:szCs w:val="24"/>
          <w:highlight w:val="none"/>
        </w:rPr>
      </w:pPr>
    </w:p>
    <w:p w14:paraId="0CCF8304">
      <w:pPr>
        <w:jc w:val="left"/>
        <w:rPr>
          <w:rFonts w:hint="eastAsia" w:ascii="仿宋" w:hAnsi="仿宋" w:eastAsia="仿宋" w:cs="仿宋"/>
          <w:color w:val="auto"/>
          <w:sz w:val="24"/>
          <w:szCs w:val="24"/>
          <w:highlight w:val="none"/>
        </w:rPr>
      </w:pPr>
    </w:p>
    <w:p w14:paraId="6B1BB779">
      <w:pPr>
        <w:pStyle w:val="313"/>
        <w:spacing w:line="240" w:lineRule="auto"/>
        <w:ind w:left="2478" w:hanging="1520"/>
        <w:jc w:val="both"/>
        <w:outlineLvl w:val="0"/>
        <w:rPr>
          <w:rFonts w:hint="eastAsia" w:ascii="仿宋" w:hAnsi="仿宋" w:eastAsia="仿宋" w:cs="仿宋"/>
          <w:b/>
          <w:bCs/>
          <w:color w:val="auto"/>
          <w:sz w:val="32"/>
          <w:highlight w:val="none"/>
          <w:u w:val="single"/>
        </w:rPr>
      </w:pPr>
      <w:bookmarkStart w:id="3" w:name="_Toc23067"/>
      <w:r>
        <w:rPr>
          <w:rFonts w:hint="eastAsia" w:ascii="仿宋" w:hAnsi="仿宋" w:eastAsia="仿宋" w:cs="仿宋"/>
          <w:b/>
          <w:bCs/>
          <w:color w:val="auto"/>
          <w:sz w:val="32"/>
          <w:highlight w:val="none"/>
        </w:rPr>
        <w:t>采购人：</w:t>
      </w:r>
      <w:bookmarkEnd w:id="3"/>
      <w:r>
        <w:rPr>
          <w:rFonts w:hint="eastAsia" w:ascii="仿宋" w:hAnsi="仿宋" w:eastAsia="仿宋" w:cs="仿宋"/>
          <w:b/>
          <w:bCs/>
          <w:color w:val="auto"/>
          <w:sz w:val="32"/>
          <w:highlight w:val="none"/>
          <w:u w:val="single"/>
        </w:rPr>
        <w:t>宿迁市自然资源和规划局宿城分局</w:t>
      </w:r>
    </w:p>
    <w:p w14:paraId="112DC4CE">
      <w:pPr>
        <w:pStyle w:val="313"/>
        <w:spacing w:line="240" w:lineRule="auto"/>
        <w:ind w:left="2478" w:hanging="1520"/>
        <w:jc w:val="both"/>
        <w:outlineLvl w:val="0"/>
        <w:rPr>
          <w:rFonts w:hint="eastAsia" w:ascii="仿宋" w:hAnsi="仿宋" w:eastAsia="仿宋" w:cs="仿宋"/>
          <w:b/>
          <w:bCs/>
          <w:color w:val="auto"/>
          <w:sz w:val="32"/>
          <w:highlight w:val="none"/>
          <w:u w:val="single"/>
        </w:rPr>
      </w:pPr>
      <w:r>
        <w:rPr>
          <w:rFonts w:hint="eastAsia" w:ascii="仿宋" w:hAnsi="仿宋" w:eastAsia="仿宋" w:cs="仿宋"/>
          <w:b/>
          <w:bCs/>
          <w:color w:val="auto"/>
          <w:sz w:val="32"/>
          <w:highlight w:val="none"/>
        </w:rPr>
        <w:t>采购代理机构：</w:t>
      </w:r>
      <w:r>
        <w:rPr>
          <w:rFonts w:hint="eastAsia" w:ascii="仿宋" w:hAnsi="仿宋" w:eastAsia="仿宋" w:cs="仿宋"/>
          <w:b/>
          <w:bCs/>
          <w:color w:val="auto"/>
          <w:sz w:val="32"/>
          <w:highlight w:val="none"/>
          <w:u w:val="single"/>
        </w:rPr>
        <w:t xml:space="preserve"> 江苏文鼎工程管理有限公司 </w:t>
      </w:r>
    </w:p>
    <w:p w14:paraId="0691B9EF">
      <w:pPr>
        <w:pStyle w:val="313"/>
        <w:spacing w:line="240" w:lineRule="auto"/>
        <w:ind w:firstLine="2570"/>
        <w:jc w:val="both"/>
        <w:rPr>
          <w:rFonts w:hint="eastAsia" w:ascii="仿宋" w:hAnsi="仿宋" w:eastAsia="仿宋" w:cs="仿宋"/>
          <w:b/>
          <w:bCs/>
          <w:color w:val="auto"/>
          <w:sz w:val="32"/>
          <w:highlight w:val="none"/>
        </w:rPr>
      </w:pPr>
      <w:r>
        <w:rPr>
          <w:rFonts w:hint="eastAsia" w:ascii="仿宋" w:hAnsi="仿宋" w:eastAsia="仿宋" w:cs="仿宋"/>
          <w:b/>
          <w:bCs/>
          <w:color w:val="auto"/>
          <w:sz w:val="32"/>
          <w:highlight w:val="none"/>
          <w:u w:val="single"/>
        </w:rPr>
        <w:t>2026</w:t>
      </w:r>
      <w:r>
        <w:rPr>
          <w:rFonts w:hint="eastAsia" w:ascii="仿宋" w:hAnsi="仿宋" w:eastAsia="仿宋" w:cs="仿宋"/>
          <w:b/>
          <w:bCs/>
          <w:color w:val="auto"/>
          <w:sz w:val="32"/>
          <w:highlight w:val="none"/>
        </w:rPr>
        <w:t>年</w:t>
      </w:r>
      <w:r>
        <w:rPr>
          <w:rFonts w:hint="eastAsia" w:ascii="仿宋" w:hAnsi="仿宋" w:eastAsia="仿宋" w:cs="仿宋"/>
          <w:b/>
          <w:bCs/>
          <w:color w:val="auto"/>
          <w:sz w:val="32"/>
          <w:highlight w:val="none"/>
          <w:u w:val="single"/>
          <w:lang w:val="en-US" w:eastAsia="zh-CN"/>
        </w:rPr>
        <w:t>08</w:t>
      </w:r>
      <w:r>
        <w:rPr>
          <w:rFonts w:hint="eastAsia" w:ascii="仿宋" w:hAnsi="仿宋" w:eastAsia="仿宋" w:cs="仿宋"/>
          <w:b/>
          <w:bCs/>
          <w:color w:val="auto"/>
          <w:sz w:val="32"/>
          <w:highlight w:val="none"/>
        </w:rPr>
        <w:t>月</w:t>
      </w:r>
      <w:r>
        <w:rPr>
          <w:rFonts w:hint="eastAsia" w:ascii="仿宋" w:hAnsi="仿宋" w:eastAsia="仿宋" w:cs="仿宋"/>
          <w:b/>
          <w:bCs/>
          <w:color w:val="auto"/>
          <w:sz w:val="32"/>
          <w:highlight w:val="none"/>
          <w:u w:val="single"/>
          <w:lang w:val="en-US" w:eastAsia="zh-CN"/>
        </w:rPr>
        <w:t>10</w:t>
      </w:r>
      <w:r>
        <w:rPr>
          <w:rFonts w:hint="eastAsia" w:ascii="仿宋" w:hAnsi="仿宋" w:eastAsia="仿宋" w:cs="仿宋"/>
          <w:b/>
          <w:bCs/>
          <w:color w:val="auto"/>
          <w:sz w:val="32"/>
          <w:highlight w:val="none"/>
        </w:rPr>
        <w:t>日</w:t>
      </w:r>
    </w:p>
    <w:p w14:paraId="6559DB25">
      <w:pPr>
        <w:spacing w:before="120" w:after="120"/>
        <w:jc w:val="lef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                        </w:t>
      </w:r>
    </w:p>
    <w:p w14:paraId="3F99553C">
      <w:pPr>
        <w:spacing w:before="120" w:after="120"/>
        <w:jc w:val="center"/>
        <w:rPr>
          <w:rFonts w:hint="eastAsia" w:ascii="仿宋" w:hAnsi="仿宋" w:eastAsia="仿宋" w:cs="仿宋"/>
          <w:color w:val="auto"/>
          <w:sz w:val="24"/>
          <w:szCs w:val="24"/>
          <w:highlight w:val="none"/>
        </w:rPr>
      </w:pPr>
    </w:p>
    <w:p w14:paraId="1AED4A34">
      <w:pPr>
        <w:ind w:left="1440" w:hanging="1440"/>
        <w:rPr>
          <w:rFonts w:hint="eastAsia" w:ascii="仿宋" w:hAnsi="仿宋" w:eastAsia="仿宋" w:cs="仿宋"/>
          <w:color w:val="auto"/>
          <w:szCs w:val="21"/>
          <w:highlight w:val="none"/>
        </w:rPr>
      </w:pPr>
      <w:r>
        <w:rPr>
          <w:rFonts w:hint="eastAsia" w:ascii="仿宋" w:hAnsi="仿宋" w:eastAsia="仿宋" w:cs="仿宋"/>
          <w:color w:val="auto"/>
          <w:szCs w:val="21"/>
          <w:highlight w:val="none"/>
        </w:rPr>
        <w:br w:type="page" w:clear="all"/>
      </w:r>
      <w:bookmarkStart w:id="4" w:name="_Toc120614210"/>
      <w:bookmarkStart w:id="5" w:name="_Toc16938516"/>
      <w:bookmarkStart w:id="6" w:name="_Toc523127445"/>
      <w:bookmarkStart w:id="7" w:name="_Toc20823272"/>
      <w:bookmarkStart w:id="8" w:name="_Toc479757206"/>
      <w:bookmarkStart w:id="9" w:name="_Toc513029200"/>
    </w:p>
    <w:sdt>
      <w:sdtPr>
        <w:rPr>
          <w:rFonts w:hint="eastAsia" w:ascii="仿宋" w:hAnsi="仿宋" w:eastAsia="仿宋" w:cs="仿宋"/>
          <w:color w:val="auto"/>
          <w:highlight w:val="none"/>
        </w:rPr>
        <w:id w:val="147477829"/>
        <w:docPartObj>
          <w:docPartGallery w:val="Table of Contents"/>
          <w:docPartUnique/>
        </w:docPartObj>
      </w:sdtPr>
      <w:sdtEndPr>
        <w:rPr>
          <w:rFonts w:hint="eastAsia" w:ascii="仿宋" w:hAnsi="仿宋" w:eastAsia="仿宋" w:cs="仿宋"/>
          <w:color w:val="auto"/>
          <w:highlight w:val="none"/>
        </w:rPr>
      </w:sdtEndPr>
      <w:sdtContent>
        <w:p w14:paraId="3C0DDA36">
          <w:pPr>
            <w:jc w:val="center"/>
            <w:rPr>
              <w:rFonts w:hint="eastAsia" w:ascii="仿宋" w:hAnsi="仿宋" w:eastAsia="仿宋" w:cs="仿宋"/>
              <w:color w:val="auto"/>
              <w:highlight w:val="none"/>
            </w:rPr>
          </w:pPr>
          <w:r>
            <w:rPr>
              <w:rFonts w:hint="eastAsia" w:ascii="仿宋" w:hAnsi="仿宋" w:eastAsia="仿宋" w:cs="仿宋"/>
              <w:color w:val="auto"/>
              <w:sz w:val="72"/>
              <w:szCs w:val="72"/>
              <w:highlight w:val="none"/>
            </w:rPr>
            <w:t>目录</w:t>
          </w:r>
        </w:p>
        <w:p w14:paraId="4A91298A">
          <w:pPr>
            <w:pStyle w:val="389"/>
            <w:tabs>
              <w:tab w:val="right" w:leader="dot" w:pos="8953"/>
            </w:tabs>
            <w:spacing w:line="480" w:lineRule="auto"/>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fldChar w:fldCharType="begin"/>
          </w:r>
          <w:r>
            <w:rPr>
              <w:rFonts w:hint="eastAsia" w:ascii="仿宋" w:hAnsi="仿宋" w:eastAsia="仿宋" w:cs="仿宋"/>
              <w:color w:val="auto"/>
              <w:sz w:val="36"/>
              <w:szCs w:val="36"/>
              <w:highlight w:val="none"/>
            </w:rPr>
            <w:instrText xml:space="preserve">TOC \o "1-1" \h \u </w:instrText>
          </w:r>
          <w:r>
            <w:rPr>
              <w:rFonts w:hint="eastAsia" w:ascii="仿宋" w:hAnsi="仿宋" w:eastAsia="仿宋" w:cs="仿宋"/>
              <w:color w:val="auto"/>
              <w:sz w:val="36"/>
              <w:szCs w:val="36"/>
              <w:highlight w:val="none"/>
            </w:rPr>
            <w:fldChar w:fldCharType="separate"/>
          </w:r>
        </w:p>
        <w:p w14:paraId="17AC4C25">
          <w:pPr>
            <w:pStyle w:val="389"/>
            <w:tabs>
              <w:tab w:val="right" w:leader="dot" w:pos="8953"/>
            </w:tabs>
            <w:spacing w:line="480" w:lineRule="auto"/>
            <w:rPr>
              <w:rFonts w:hint="eastAsia" w:ascii="仿宋" w:hAnsi="仿宋" w:eastAsia="仿宋" w:cs="仿宋"/>
              <w:color w:val="auto"/>
              <w:sz w:val="36"/>
              <w:szCs w:val="36"/>
              <w:highlight w:val="none"/>
            </w:rPr>
          </w:pPr>
          <w:r>
            <w:rPr>
              <w:color w:val="auto"/>
              <w:highlight w:val="none"/>
            </w:rPr>
            <w:fldChar w:fldCharType="begin"/>
          </w:r>
          <w:r>
            <w:rPr>
              <w:color w:val="auto"/>
              <w:highlight w:val="none"/>
            </w:rPr>
            <w:instrText xml:space="preserve"> HYPERLINK \l "_Toc138" </w:instrText>
          </w:r>
          <w:r>
            <w:rPr>
              <w:color w:val="auto"/>
              <w:highlight w:val="none"/>
            </w:rPr>
            <w:fldChar w:fldCharType="separate"/>
          </w:r>
          <w:r>
            <w:rPr>
              <w:rFonts w:hint="eastAsia" w:ascii="仿宋" w:hAnsi="仿宋" w:eastAsia="仿宋" w:cs="仿宋"/>
              <w:bCs/>
              <w:color w:val="auto"/>
              <w:sz w:val="36"/>
              <w:szCs w:val="36"/>
              <w:highlight w:val="none"/>
            </w:rPr>
            <w:t>第一章  磋商邀请</w:t>
          </w:r>
          <w:r>
            <w:rPr>
              <w:rFonts w:hint="eastAsia" w:ascii="仿宋" w:hAnsi="仿宋" w:eastAsia="仿宋" w:cs="仿宋"/>
              <w:color w:val="auto"/>
              <w:sz w:val="36"/>
              <w:szCs w:val="36"/>
              <w:highlight w:val="none"/>
            </w:rPr>
            <w:tab/>
          </w:r>
          <w:r>
            <w:rPr>
              <w:rFonts w:hint="eastAsia" w:ascii="仿宋" w:hAnsi="仿宋" w:eastAsia="仿宋" w:cs="仿宋"/>
              <w:color w:val="auto"/>
              <w:sz w:val="36"/>
              <w:szCs w:val="36"/>
              <w:highlight w:val="none"/>
            </w:rPr>
            <w:fldChar w:fldCharType="begin"/>
          </w:r>
          <w:r>
            <w:rPr>
              <w:rFonts w:hint="eastAsia" w:ascii="仿宋" w:hAnsi="仿宋" w:eastAsia="仿宋" w:cs="仿宋"/>
              <w:color w:val="auto"/>
              <w:sz w:val="36"/>
              <w:szCs w:val="36"/>
              <w:highlight w:val="none"/>
            </w:rPr>
            <w:instrText xml:space="preserve"> PAGEREF _Toc138 \h </w:instrText>
          </w:r>
          <w:r>
            <w:rPr>
              <w:rFonts w:hint="eastAsia" w:ascii="仿宋" w:hAnsi="仿宋" w:eastAsia="仿宋" w:cs="仿宋"/>
              <w:color w:val="auto"/>
              <w:sz w:val="36"/>
              <w:szCs w:val="36"/>
              <w:highlight w:val="none"/>
            </w:rPr>
            <w:fldChar w:fldCharType="separate"/>
          </w:r>
          <w:r>
            <w:rPr>
              <w:rFonts w:hint="eastAsia" w:ascii="仿宋" w:hAnsi="仿宋" w:eastAsia="仿宋" w:cs="仿宋"/>
              <w:color w:val="auto"/>
              <w:sz w:val="36"/>
              <w:szCs w:val="36"/>
              <w:highlight w:val="none"/>
            </w:rPr>
            <w:t>1</w:t>
          </w:r>
          <w:r>
            <w:rPr>
              <w:rFonts w:hint="eastAsia" w:ascii="仿宋" w:hAnsi="仿宋" w:eastAsia="仿宋" w:cs="仿宋"/>
              <w:color w:val="auto"/>
              <w:sz w:val="36"/>
              <w:szCs w:val="36"/>
              <w:highlight w:val="none"/>
            </w:rPr>
            <w:fldChar w:fldCharType="end"/>
          </w:r>
          <w:r>
            <w:rPr>
              <w:rFonts w:hint="eastAsia" w:ascii="仿宋" w:hAnsi="仿宋" w:eastAsia="仿宋" w:cs="仿宋"/>
              <w:color w:val="auto"/>
              <w:sz w:val="36"/>
              <w:szCs w:val="36"/>
              <w:highlight w:val="none"/>
            </w:rPr>
            <w:fldChar w:fldCharType="end"/>
          </w:r>
        </w:p>
        <w:p w14:paraId="3214A759">
          <w:pPr>
            <w:pStyle w:val="389"/>
            <w:tabs>
              <w:tab w:val="right" w:leader="dot" w:pos="8953"/>
            </w:tabs>
            <w:spacing w:line="480" w:lineRule="auto"/>
            <w:rPr>
              <w:rFonts w:hint="eastAsia" w:ascii="仿宋" w:hAnsi="仿宋" w:eastAsia="仿宋" w:cs="仿宋"/>
              <w:color w:val="auto"/>
              <w:sz w:val="36"/>
              <w:szCs w:val="36"/>
              <w:highlight w:val="none"/>
            </w:rPr>
          </w:pPr>
          <w:r>
            <w:rPr>
              <w:color w:val="auto"/>
              <w:highlight w:val="none"/>
            </w:rPr>
            <w:fldChar w:fldCharType="begin"/>
          </w:r>
          <w:r>
            <w:rPr>
              <w:color w:val="auto"/>
              <w:highlight w:val="none"/>
            </w:rPr>
            <w:instrText xml:space="preserve"> HYPERLINK \l "_Toc30696" </w:instrText>
          </w:r>
          <w:r>
            <w:rPr>
              <w:color w:val="auto"/>
              <w:highlight w:val="none"/>
            </w:rPr>
            <w:fldChar w:fldCharType="separate"/>
          </w:r>
          <w:r>
            <w:rPr>
              <w:rFonts w:hint="eastAsia" w:ascii="仿宋" w:hAnsi="仿宋" w:eastAsia="仿宋" w:cs="仿宋"/>
              <w:bCs/>
              <w:color w:val="auto"/>
              <w:sz w:val="36"/>
              <w:szCs w:val="36"/>
              <w:highlight w:val="none"/>
            </w:rPr>
            <w:t>第二章  供应商须知</w:t>
          </w:r>
          <w:r>
            <w:rPr>
              <w:rFonts w:hint="eastAsia" w:ascii="仿宋" w:hAnsi="仿宋" w:eastAsia="仿宋" w:cs="仿宋"/>
              <w:color w:val="auto"/>
              <w:sz w:val="36"/>
              <w:szCs w:val="36"/>
              <w:highlight w:val="none"/>
            </w:rPr>
            <w:tab/>
          </w:r>
          <w:r>
            <w:rPr>
              <w:rFonts w:hint="eastAsia" w:ascii="仿宋" w:hAnsi="仿宋" w:eastAsia="仿宋" w:cs="仿宋"/>
              <w:color w:val="auto"/>
              <w:sz w:val="36"/>
              <w:szCs w:val="36"/>
              <w:highlight w:val="none"/>
            </w:rPr>
            <w:fldChar w:fldCharType="begin"/>
          </w:r>
          <w:r>
            <w:rPr>
              <w:rFonts w:hint="eastAsia" w:ascii="仿宋" w:hAnsi="仿宋" w:eastAsia="仿宋" w:cs="仿宋"/>
              <w:color w:val="auto"/>
              <w:sz w:val="36"/>
              <w:szCs w:val="36"/>
              <w:highlight w:val="none"/>
            </w:rPr>
            <w:instrText xml:space="preserve"> PAGEREF _Toc30696 \h </w:instrText>
          </w:r>
          <w:r>
            <w:rPr>
              <w:rFonts w:hint="eastAsia" w:ascii="仿宋" w:hAnsi="仿宋" w:eastAsia="仿宋" w:cs="仿宋"/>
              <w:color w:val="auto"/>
              <w:sz w:val="36"/>
              <w:szCs w:val="36"/>
              <w:highlight w:val="none"/>
            </w:rPr>
            <w:fldChar w:fldCharType="separate"/>
          </w:r>
          <w:r>
            <w:rPr>
              <w:rFonts w:hint="eastAsia" w:ascii="仿宋" w:hAnsi="仿宋" w:eastAsia="仿宋" w:cs="仿宋"/>
              <w:color w:val="auto"/>
              <w:sz w:val="36"/>
              <w:szCs w:val="36"/>
              <w:highlight w:val="none"/>
            </w:rPr>
            <w:t>5</w:t>
          </w:r>
          <w:r>
            <w:rPr>
              <w:rFonts w:hint="eastAsia" w:ascii="仿宋" w:hAnsi="仿宋" w:eastAsia="仿宋" w:cs="仿宋"/>
              <w:color w:val="auto"/>
              <w:sz w:val="36"/>
              <w:szCs w:val="36"/>
              <w:highlight w:val="none"/>
            </w:rPr>
            <w:fldChar w:fldCharType="end"/>
          </w:r>
          <w:r>
            <w:rPr>
              <w:rFonts w:hint="eastAsia" w:ascii="仿宋" w:hAnsi="仿宋" w:eastAsia="仿宋" w:cs="仿宋"/>
              <w:color w:val="auto"/>
              <w:sz w:val="36"/>
              <w:szCs w:val="36"/>
              <w:highlight w:val="none"/>
            </w:rPr>
            <w:fldChar w:fldCharType="end"/>
          </w:r>
        </w:p>
        <w:p w14:paraId="762BEC92">
          <w:pPr>
            <w:pStyle w:val="389"/>
            <w:tabs>
              <w:tab w:val="right" w:leader="dot" w:pos="8953"/>
            </w:tabs>
            <w:spacing w:line="480" w:lineRule="auto"/>
            <w:rPr>
              <w:rFonts w:hint="eastAsia" w:ascii="仿宋" w:hAnsi="仿宋" w:eastAsia="仿宋" w:cs="仿宋"/>
              <w:color w:val="auto"/>
              <w:sz w:val="36"/>
              <w:szCs w:val="36"/>
              <w:highlight w:val="none"/>
            </w:rPr>
          </w:pPr>
          <w:r>
            <w:rPr>
              <w:color w:val="auto"/>
              <w:highlight w:val="none"/>
            </w:rPr>
            <w:fldChar w:fldCharType="begin"/>
          </w:r>
          <w:r>
            <w:rPr>
              <w:color w:val="auto"/>
              <w:highlight w:val="none"/>
            </w:rPr>
            <w:instrText xml:space="preserve"> HYPERLINK \l "_Toc24509" </w:instrText>
          </w:r>
          <w:r>
            <w:rPr>
              <w:color w:val="auto"/>
              <w:highlight w:val="none"/>
            </w:rPr>
            <w:fldChar w:fldCharType="separate"/>
          </w:r>
          <w:r>
            <w:rPr>
              <w:rFonts w:hint="eastAsia" w:ascii="仿宋" w:hAnsi="仿宋" w:eastAsia="仿宋" w:cs="仿宋"/>
              <w:bCs/>
              <w:color w:val="auto"/>
              <w:sz w:val="36"/>
              <w:szCs w:val="36"/>
              <w:highlight w:val="none"/>
            </w:rPr>
            <w:t>第三章  合同文本</w:t>
          </w:r>
          <w:r>
            <w:rPr>
              <w:rFonts w:hint="eastAsia" w:ascii="仿宋" w:hAnsi="仿宋" w:eastAsia="仿宋" w:cs="仿宋"/>
              <w:color w:val="auto"/>
              <w:sz w:val="36"/>
              <w:szCs w:val="36"/>
              <w:highlight w:val="none"/>
            </w:rPr>
            <w:tab/>
          </w:r>
          <w:r>
            <w:rPr>
              <w:rFonts w:hint="eastAsia" w:ascii="仿宋" w:hAnsi="仿宋" w:eastAsia="仿宋" w:cs="仿宋"/>
              <w:color w:val="auto"/>
              <w:sz w:val="36"/>
              <w:szCs w:val="36"/>
              <w:highlight w:val="none"/>
            </w:rPr>
            <w:fldChar w:fldCharType="begin"/>
          </w:r>
          <w:r>
            <w:rPr>
              <w:rFonts w:hint="eastAsia" w:ascii="仿宋" w:hAnsi="仿宋" w:eastAsia="仿宋" w:cs="仿宋"/>
              <w:color w:val="auto"/>
              <w:sz w:val="36"/>
              <w:szCs w:val="36"/>
              <w:highlight w:val="none"/>
            </w:rPr>
            <w:instrText xml:space="preserve"> PAGEREF _Toc24509 \h </w:instrText>
          </w:r>
          <w:r>
            <w:rPr>
              <w:rFonts w:hint="eastAsia" w:ascii="仿宋" w:hAnsi="仿宋" w:eastAsia="仿宋" w:cs="仿宋"/>
              <w:color w:val="auto"/>
              <w:sz w:val="36"/>
              <w:szCs w:val="36"/>
              <w:highlight w:val="none"/>
            </w:rPr>
            <w:fldChar w:fldCharType="separate"/>
          </w:r>
          <w:r>
            <w:rPr>
              <w:rFonts w:hint="eastAsia" w:ascii="仿宋" w:hAnsi="仿宋" w:eastAsia="仿宋" w:cs="仿宋"/>
              <w:color w:val="auto"/>
              <w:sz w:val="36"/>
              <w:szCs w:val="36"/>
              <w:highlight w:val="none"/>
            </w:rPr>
            <w:t>22</w:t>
          </w:r>
          <w:r>
            <w:rPr>
              <w:rFonts w:hint="eastAsia" w:ascii="仿宋" w:hAnsi="仿宋" w:eastAsia="仿宋" w:cs="仿宋"/>
              <w:color w:val="auto"/>
              <w:sz w:val="36"/>
              <w:szCs w:val="36"/>
              <w:highlight w:val="none"/>
            </w:rPr>
            <w:fldChar w:fldCharType="end"/>
          </w:r>
          <w:r>
            <w:rPr>
              <w:rFonts w:hint="eastAsia" w:ascii="仿宋" w:hAnsi="仿宋" w:eastAsia="仿宋" w:cs="仿宋"/>
              <w:color w:val="auto"/>
              <w:sz w:val="36"/>
              <w:szCs w:val="36"/>
              <w:highlight w:val="none"/>
            </w:rPr>
            <w:fldChar w:fldCharType="end"/>
          </w:r>
        </w:p>
        <w:p w14:paraId="3736D929">
          <w:pPr>
            <w:pStyle w:val="389"/>
            <w:tabs>
              <w:tab w:val="right" w:leader="dot" w:pos="8953"/>
            </w:tabs>
            <w:spacing w:line="480" w:lineRule="auto"/>
            <w:rPr>
              <w:rFonts w:hint="eastAsia" w:ascii="仿宋" w:hAnsi="仿宋" w:eastAsia="仿宋" w:cs="仿宋"/>
              <w:color w:val="auto"/>
              <w:sz w:val="36"/>
              <w:szCs w:val="36"/>
              <w:highlight w:val="none"/>
            </w:rPr>
          </w:pPr>
          <w:r>
            <w:rPr>
              <w:color w:val="auto"/>
              <w:highlight w:val="none"/>
            </w:rPr>
            <w:fldChar w:fldCharType="begin"/>
          </w:r>
          <w:r>
            <w:rPr>
              <w:color w:val="auto"/>
              <w:highlight w:val="none"/>
            </w:rPr>
            <w:instrText xml:space="preserve"> HYPERLINK \l "_Toc17" </w:instrText>
          </w:r>
          <w:r>
            <w:rPr>
              <w:color w:val="auto"/>
              <w:highlight w:val="none"/>
            </w:rPr>
            <w:fldChar w:fldCharType="separate"/>
          </w:r>
          <w:r>
            <w:rPr>
              <w:rFonts w:hint="eastAsia" w:ascii="仿宋" w:hAnsi="仿宋" w:eastAsia="仿宋" w:cs="仿宋"/>
              <w:bCs/>
              <w:color w:val="auto"/>
              <w:sz w:val="36"/>
              <w:szCs w:val="36"/>
              <w:highlight w:val="none"/>
            </w:rPr>
            <w:t>第四章 采购需求</w:t>
          </w:r>
          <w:r>
            <w:rPr>
              <w:rFonts w:hint="eastAsia" w:ascii="仿宋" w:hAnsi="仿宋" w:eastAsia="仿宋" w:cs="仿宋"/>
              <w:color w:val="auto"/>
              <w:sz w:val="36"/>
              <w:szCs w:val="36"/>
              <w:highlight w:val="none"/>
            </w:rPr>
            <w:tab/>
          </w:r>
          <w:r>
            <w:rPr>
              <w:rFonts w:hint="eastAsia" w:ascii="仿宋" w:hAnsi="仿宋" w:eastAsia="仿宋" w:cs="仿宋"/>
              <w:color w:val="auto"/>
              <w:sz w:val="36"/>
              <w:szCs w:val="36"/>
              <w:highlight w:val="none"/>
            </w:rPr>
            <w:fldChar w:fldCharType="begin"/>
          </w:r>
          <w:r>
            <w:rPr>
              <w:rFonts w:hint="eastAsia" w:ascii="仿宋" w:hAnsi="仿宋" w:eastAsia="仿宋" w:cs="仿宋"/>
              <w:color w:val="auto"/>
              <w:sz w:val="36"/>
              <w:szCs w:val="36"/>
              <w:highlight w:val="none"/>
            </w:rPr>
            <w:instrText xml:space="preserve"> PAGEREF _Toc17 \h </w:instrText>
          </w:r>
          <w:r>
            <w:rPr>
              <w:rFonts w:hint="eastAsia" w:ascii="仿宋" w:hAnsi="仿宋" w:eastAsia="仿宋" w:cs="仿宋"/>
              <w:color w:val="auto"/>
              <w:sz w:val="36"/>
              <w:szCs w:val="36"/>
              <w:highlight w:val="none"/>
            </w:rPr>
            <w:fldChar w:fldCharType="separate"/>
          </w:r>
          <w:r>
            <w:rPr>
              <w:rFonts w:hint="eastAsia" w:ascii="仿宋" w:hAnsi="仿宋" w:eastAsia="仿宋" w:cs="仿宋"/>
              <w:color w:val="auto"/>
              <w:sz w:val="36"/>
              <w:szCs w:val="36"/>
              <w:highlight w:val="none"/>
            </w:rPr>
            <w:t>31</w:t>
          </w:r>
          <w:r>
            <w:rPr>
              <w:rFonts w:hint="eastAsia" w:ascii="仿宋" w:hAnsi="仿宋" w:eastAsia="仿宋" w:cs="仿宋"/>
              <w:color w:val="auto"/>
              <w:sz w:val="36"/>
              <w:szCs w:val="36"/>
              <w:highlight w:val="none"/>
            </w:rPr>
            <w:fldChar w:fldCharType="end"/>
          </w:r>
          <w:r>
            <w:rPr>
              <w:rFonts w:hint="eastAsia" w:ascii="仿宋" w:hAnsi="仿宋" w:eastAsia="仿宋" w:cs="仿宋"/>
              <w:color w:val="auto"/>
              <w:sz w:val="36"/>
              <w:szCs w:val="36"/>
              <w:highlight w:val="none"/>
            </w:rPr>
            <w:fldChar w:fldCharType="end"/>
          </w:r>
        </w:p>
        <w:p w14:paraId="253AB908">
          <w:pPr>
            <w:pStyle w:val="389"/>
            <w:tabs>
              <w:tab w:val="right" w:leader="dot" w:pos="8953"/>
            </w:tabs>
            <w:spacing w:line="480" w:lineRule="auto"/>
            <w:rPr>
              <w:rFonts w:hint="eastAsia" w:ascii="仿宋" w:hAnsi="仿宋" w:eastAsia="仿宋" w:cs="仿宋"/>
              <w:color w:val="auto"/>
              <w:sz w:val="36"/>
              <w:szCs w:val="36"/>
              <w:highlight w:val="none"/>
            </w:rPr>
          </w:pPr>
          <w:r>
            <w:rPr>
              <w:color w:val="auto"/>
              <w:highlight w:val="none"/>
            </w:rPr>
            <w:fldChar w:fldCharType="begin"/>
          </w:r>
          <w:r>
            <w:rPr>
              <w:color w:val="auto"/>
              <w:highlight w:val="none"/>
            </w:rPr>
            <w:instrText xml:space="preserve"> HYPERLINK \l "_Toc5975" </w:instrText>
          </w:r>
          <w:r>
            <w:rPr>
              <w:color w:val="auto"/>
              <w:highlight w:val="none"/>
            </w:rPr>
            <w:fldChar w:fldCharType="separate"/>
          </w:r>
          <w:r>
            <w:rPr>
              <w:rFonts w:hint="eastAsia" w:ascii="仿宋" w:hAnsi="仿宋" w:eastAsia="仿宋" w:cs="仿宋"/>
              <w:bCs/>
              <w:color w:val="auto"/>
              <w:sz w:val="36"/>
              <w:szCs w:val="36"/>
              <w:highlight w:val="none"/>
            </w:rPr>
            <w:t>第五章  评审方法与评审标准</w:t>
          </w:r>
          <w:r>
            <w:rPr>
              <w:rFonts w:hint="eastAsia" w:ascii="仿宋" w:hAnsi="仿宋" w:eastAsia="仿宋" w:cs="仿宋"/>
              <w:color w:val="auto"/>
              <w:sz w:val="36"/>
              <w:szCs w:val="36"/>
              <w:highlight w:val="none"/>
            </w:rPr>
            <w:tab/>
          </w:r>
          <w:r>
            <w:rPr>
              <w:rFonts w:hint="eastAsia" w:ascii="仿宋" w:hAnsi="仿宋" w:eastAsia="仿宋" w:cs="仿宋"/>
              <w:color w:val="auto"/>
              <w:sz w:val="36"/>
              <w:szCs w:val="36"/>
              <w:highlight w:val="none"/>
            </w:rPr>
            <w:fldChar w:fldCharType="begin"/>
          </w:r>
          <w:r>
            <w:rPr>
              <w:rFonts w:hint="eastAsia" w:ascii="仿宋" w:hAnsi="仿宋" w:eastAsia="仿宋" w:cs="仿宋"/>
              <w:color w:val="auto"/>
              <w:sz w:val="36"/>
              <w:szCs w:val="36"/>
              <w:highlight w:val="none"/>
            </w:rPr>
            <w:instrText xml:space="preserve"> PAGEREF _Toc5975 \h </w:instrText>
          </w:r>
          <w:r>
            <w:rPr>
              <w:rFonts w:hint="eastAsia" w:ascii="仿宋" w:hAnsi="仿宋" w:eastAsia="仿宋" w:cs="仿宋"/>
              <w:color w:val="auto"/>
              <w:sz w:val="36"/>
              <w:szCs w:val="36"/>
              <w:highlight w:val="none"/>
            </w:rPr>
            <w:fldChar w:fldCharType="separate"/>
          </w:r>
          <w:r>
            <w:rPr>
              <w:rFonts w:hint="eastAsia" w:ascii="仿宋" w:hAnsi="仿宋" w:eastAsia="仿宋" w:cs="仿宋"/>
              <w:color w:val="auto"/>
              <w:sz w:val="36"/>
              <w:szCs w:val="36"/>
              <w:highlight w:val="none"/>
            </w:rPr>
            <w:t>37</w:t>
          </w:r>
          <w:r>
            <w:rPr>
              <w:rFonts w:hint="eastAsia" w:ascii="仿宋" w:hAnsi="仿宋" w:eastAsia="仿宋" w:cs="仿宋"/>
              <w:color w:val="auto"/>
              <w:sz w:val="36"/>
              <w:szCs w:val="36"/>
              <w:highlight w:val="none"/>
            </w:rPr>
            <w:fldChar w:fldCharType="end"/>
          </w:r>
          <w:r>
            <w:rPr>
              <w:rFonts w:hint="eastAsia" w:ascii="仿宋" w:hAnsi="仿宋" w:eastAsia="仿宋" w:cs="仿宋"/>
              <w:color w:val="auto"/>
              <w:sz w:val="36"/>
              <w:szCs w:val="36"/>
              <w:highlight w:val="none"/>
            </w:rPr>
            <w:fldChar w:fldCharType="end"/>
          </w:r>
        </w:p>
        <w:p w14:paraId="7014298C">
          <w:pPr>
            <w:pStyle w:val="389"/>
            <w:tabs>
              <w:tab w:val="right" w:leader="dot" w:pos="8953"/>
            </w:tabs>
            <w:spacing w:line="480" w:lineRule="auto"/>
            <w:rPr>
              <w:rFonts w:hint="eastAsia" w:ascii="仿宋" w:hAnsi="仿宋" w:eastAsia="仿宋" w:cs="仿宋"/>
              <w:color w:val="auto"/>
              <w:sz w:val="36"/>
              <w:szCs w:val="36"/>
              <w:highlight w:val="none"/>
            </w:rPr>
          </w:pPr>
          <w:r>
            <w:rPr>
              <w:color w:val="auto"/>
              <w:highlight w:val="none"/>
            </w:rPr>
            <w:fldChar w:fldCharType="begin"/>
          </w:r>
          <w:r>
            <w:rPr>
              <w:color w:val="auto"/>
              <w:highlight w:val="none"/>
            </w:rPr>
            <w:instrText xml:space="preserve"> HYPERLINK \l "_Toc28887" </w:instrText>
          </w:r>
          <w:r>
            <w:rPr>
              <w:color w:val="auto"/>
              <w:highlight w:val="none"/>
            </w:rPr>
            <w:fldChar w:fldCharType="separate"/>
          </w:r>
          <w:r>
            <w:rPr>
              <w:rFonts w:hint="eastAsia" w:ascii="仿宋" w:hAnsi="仿宋" w:eastAsia="仿宋" w:cs="仿宋"/>
              <w:bCs/>
              <w:color w:val="auto"/>
              <w:sz w:val="36"/>
              <w:szCs w:val="36"/>
              <w:highlight w:val="none"/>
            </w:rPr>
            <w:t>第六章  响应文件格式</w:t>
          </w:r>
          <w:r>
            <w:rPr>
              <w:rFonts w:hint="eastAsia" w:ascii="仿宋" w:hAnsi="仿宋" w:eastAsia="仿宋" w:cs="仿宋"/>
              <w:color w:val="auto"/>
              <w:sz w:val="36"/>
              <w:szCs w:val="36"/>
              <w:highlight w:val="none"/>
            </w:rPr>
            <w:tab/>
          </w:r>
          <w:r>
            <w:rPr>
              <w:rFonts w:hint="eastAsia" w:ascii="仿宋" w:hAnsi="仿宋" w:eastAsia="仿宋" w:cs="仿宋"/>
              <w:color w:val="auto"/>
              <w:sz w:val="36"/>
              <w:szCs w:val="36"/>
              <w:highlight w:val="none"/>
            </w:rPr>
            <w:fldChar w:fldCharType="begin"/>
          </w:r>
          <w:r>
            <w:rPr>
              <w:rFonts w:hint="eastAsia" w:ascii="仿宋" w:hAnsi="仿宋" w:eastAsia="仿宋" w:cs="仿宋"/>
              <w:color w:val="auto"/>
              <w:sz w:val="36"/>
              <w:szCs w:val="36"/>
              <w:highlight w:val="none"/>
            </w:rPr>
            <w:instrText xml:space="preserve"> PAGEREF _Toc28887 \h </w:instrText>
          </w:r>
          <w:r>
            <w:rPr>
              <w:rFonts w:hint="eastAsia" w:ascii="仿宋" w:hAnsi="仿宋" w:eastAsia="仿宋" w:cs="仿宋"/>
              <w:color w:val="auto"/>
              <w:sz w:val="36"/>
              <w:szCs w:val="36"/>
              <w:highlight w:val="none"/>
            </w:rPr>
            <w:fldChar w:fldCharType="separate"/>
          </w:r>
          <w:r>
            <w:rPr>
              <w:rFonts w:hint="eastAsia" w:ascii="仿宋" w:hAnsi="仿宋" w:eastAsia="仿宋" w:cs="仿宋"/>
              <w:color w:val="auto"/>
              <w:sz w:val="36"/>
              <w:szCs w:val="36"/>
              <w:highlight w:val="none"/>
            </w:rPr>
            <w:t>43</w:t>
          </w:r>
          <w:r>
            <w:rPr>
              <w:rFonts w:hint="eastAsia" w:ascii="仿宋" w:hAnsi="仿宋" w:eastAsia="仿宋" w:cs="仿宋"/>
              <w:color w:val="auto"/>
              <w:sz w:val="36"/>
              <w:szCs w:val="36"/>
              <w:highlight w:val="none"/>
            </w:rPr>
            <w:fldChar w:fldCharType="end"/>
          </w:r>
          <w:r>
            <w:rPr>
              <w:rFonts w:hint="eastAsia" w:ascii="仿宋" w:hAnsi="仿宋" w:eastAsia="仿宋" w:cs="仿宋"/>
              <w:color w:val="auto"/>
              <w:sz w:val="36"/>
              <w:szCs w:val="36"/>
              <w:highlight w:val="none"/>
            </w:rPr>
            <w:fldChar w:fldCharType="end"/>
          </w:r>
        </w:p>
        <w:p w14:paraId="3AFD6D4E">
          <w:pPr>
            <w:spacing w:line="480" w:lineRule="auto"/>
            <w:ind w:left="1440" w:hanging="1440"/>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fldChar w:fldCharType="end"/>
          </w:r>
        </w:p>
      </w:sdtContent>
    </w:sdt>
    <w:p w14:paraId="658C55DC">
      <w:pPr>
        <w:ind w:left="1440" w:hanging="1440"/>
        <w:rPr>
          <w:rFonts w:hint="eastAsia" w:ascii="仿宋" w:hAnsi="仿宋" w:eastAsia="仿宋" w:cs="仿宋"/>
          <w:color w:val="auto"/>
          <w:szCs w:val="21"/>
          <w:highlight w:val="none"/>
        </w:rPr>
      </w:pPr>
    </w:p>
    <w:p w14:paraId="004C671A">
      <w:pPr>
        <w:spacing w:line="420" w:lineRule="exact"/>
        <w:rPr>
          <w:rFonts w:hint="eastAsia" w:ascii="仿宋" w:hAnsi="仿宋" w:eastAsia="仿宋" w:cs="仿宋"/>
          <w:color w:val="auto"/>
          <w:szCs w:val="21"/>
          <w:highlight w:val="none"/>
        </w:rPr>
      </w:pPr>
    </w:p>
    <w:p w14:paraId="54296F95">
      <w:pPr>
        <w:spacing w:line="420" w:lineRule="exact"/>
        <w:rPr>
          <w:rFonts w:hint="eastAsia" w:ascii="仿宋" w:hAnsi="仿宋" w:eastAsia="仿宋" w:cs="仿宋"/>
          <w:color w:val="auto"/>
          <w:szCs w:val="21"/>
          <w:highlight w:val="none"/>
        </w:rPr>
      </w:pPr>
    </w:p>
    <w:p w14:paraId="5E0174E5">
      <w:pPr>
        <w:spacing w:line="420" w:lineRule="exact"/>
        <w:rPr>
          <w:rFonts w:hint="eastAsia" w:ascii="仿宋" w:hAnsi="仿宋" w:eastAsia="仿宋" w:cs="仿宋"/>
          <w:color w:val="auto"/>
          <w:szCs w:val="21"/>
          <w:highlight w:val="none"/>
        </w:rPr>
      </w:pPr>
    </w:p>
    <w:p w14:paraId="7C133344">
      <w:pPr>
        <w:spacing w:line="420" w:lineRule="exact"/>
        <w:rPr>
          <w:rFonts w:hint="eastAsia" w:ascii="仿宋" w:hAnsi="仿宋" w:eastAsia="仿宋" w:cs="仿宋"/>
          <w:color w:val="auto"/>
          <w:szCs w:val="21"/>
          <w:highlight w:val="none"/>
        </w:rPr>
      </w:pPr>
    </w:p>
    <w:p w14:paraId="19520D65">
      <w:pPr>
        <w:spacing w:line="420" w:lineRule="exact"/>
        <w:rPr>
          <w:rFonts w:hint="eastAsia" w:ascii="仿宋" w:hAnsi="仿宋" w:eastAsia="仿宋" w:cs="仿宋"/>
          <w:color w:val="auto"/>
          <w:szCs w:val="21"/>
          <w:highlight w:val="none"/>
        </w:rPr>
      </w:pPr>
    </w:p>
    <w:p w14:paraId="510DB89E">
      <w:pPr>
        <w:spacing w:line="420" w:lineRule="exact"/>
        <w:rPr>
          <w:rFonts w:hint="eastAsia" w:ascii="仿宋" w:hAnsi="仿宋" w:eastAsia="仿宋" w:cs="仿宋"/>
          <w:color w:val="auto"/>
          <w:szCs w:val="21"/>
          <w:highlight w:val="none"/>
        </w:rPr>
      </w:pPr>
    </w:p>
    <w:p w14:paraId="05B296C2">
      <w:pPr>
        <w:spacing w:line="420" w:lineRule="exact"/>
        <w:rPr>
          <w:rFonts w:hint="eastAsia" w:ascii="仿宋" w:hAnsi="仿宋" w:eastAsia="仿宋" w:cs="仿宋"/>
          <w:color w:val="auto"/>
          <w:szCs w:val="21"/>
          <w:highlight w:val="none"/>
        </w:rPr>
      </w:pPr>
    </w:p>
    <w:p w14:paraId="3BAC2E5F">
      <w:pPr>
        <w:spacing w:line="420" w:lineRule="exact"/>
        <w:rPr>
          <w:rFonts w:hint="eastAsia" w:ascii="仿宋" w:hAnsi="仿宋" w:eastAsia="仿宋" w:cs="仿宋"/>
          <w:color w:val="auto"/>
          <w:szCs w:val="21"/>
          <w:highlight w:val="none"/>
        </w:rPr>
      </w:pPr>
    </w:p>
    <w:p w14:paraId="0F0F22FA">
      <w:pPr>
        <w:spacing w:line="420" w:lineRule="exact"/>
        <w:rPr>
          <w:rFonts w:hint="eastAsia" w:ascii="仿宋" w:hAnsi="仿宋" w:eastAsia="仿宋" w:cs="仿宋"/>
          <w:color w:val="auto"/>
          <w:szCs w:val="21"/>
          <w:highlight w:val="none"/>
        </w:rPr>
      </w:pPr>
    </w:p>
    <w:p w14:paraId="5EA189DC">
      <w:pPr>
        <w:spacing w:line="420" w:lineRule="exact"/>
        <w:rPr>
          <w:rFonts w:hint="eastAsia" w:ascii="仿宋" w:hAnsi="仿宋" w:eastAsia="仿宋" w:cs="仿宋"/>
          <w:color w:val="auto"/>
          <w:szCs w:val="21"/>
          <w:highlight w:val="none"/>
        </w:rPr>
      </w:pPr>
    </w:p>
    <w:p w14:paraId="7C39F032">
      <w:pPr>
        <w:spacing w:line="420" w:lineRule="exact"/>
        <w:rPr>
          <w:rFonts w:hint="eastAsia" w:ascii="仿宋" w:hAnsi="仿宋" w:eastAsia="仿宋" w:cs="仿宋"/>
          <w:color w:val="auto"/>
          <w:szCs w:val="21"/>
          <w:highlight w:val="none"/>
        </w:rPr>
      </w:pPr>
    </w:p>
    <w:p w14:paraId="45913161">
      <w:pPr>
        <w:spacing w:line="420" w:lineRule="exact"/>
        <w:rPr>
          <w:rFonts w:hint="eastAsia" w:ascii="仿宋" w:hAnsi="仿宋" w:eastAsia="仿宋" w:cs="仿宋"/>
          <w:color w:val="auto"/>
          <w:szCs w:val="21"/>
          <w:highlight w:val="none"/>
        </w:rPr>
      </w:pPr>
    </w:p>
    <w:p w14:paraId="31ADFA5B">
      <w:pPr>
        <w:spacing w:line="420" w:lineRule="exact"/>
        <w:rPr>
          <w:rFonts w:hint="eastAsia" w:ascii="仿宋" w:hAnsi="仿宋" w:eastAsia="仿宋" w:cs="仿宋"/>
          <w:color w:val="auto"/>
          <w:szCs w:val="21"/>
          <w:highlight w:val="none"/>
        </w:rPr>
        <w:sectPr>
          <w:pgSz w:w="11906" w:h="16838"/>
          <w:pgMar w:top="1440" w:right="1800" w:bottom="1440" w:left="1800" w:header="851" w:footer="907" w:gutter="0"/>
          <w:pgNumType w:start="1"/>
          <w:cols w:space="1701" w:num="1"/>
          <w:titlePg/>
          <w:docGrid w:linePitch="360" w:charSpace="0"/>
        </w:sectPr>
      </w:pPr>
    </w:p>
    <w:p w14:paraId="36B045EF">
      <w:pPr>
        <w:pStyle w:val="2"/>
        <w:jc w:val="center"/>
        <w:rPr>
          <w:rFonts w:hint="eastAsia" w:ascii="仿宋" w:hAnsi="仿宋" w:eastAsia="仿宋" w:cs="仿宋"/>
          <w:bCs/>
          <w:color w:val="auto"/>
          <w:szCs w:val="44"/>
          <w:highlight w:val="none"/>
        </w:rPr>
      </w:pPr>
      <w:bookmarkStart w:id="10" w:name="_Toc138"/>
      <w:r>
        <w:rPr>
          <w:rFonts w:hint="eastAsia" w:ascii="仿宋" w:hAnsi="仿宋" w:eastAsia="仿宋" w:cs="仿宋"/>
          <w:b/>
          <w:bCs/>
          <w:color w:val="auto"/>
          <w:highlight w:val="none"/>
        </w:rPr>
        <w:t xml:space="preserve">第一章  </w:t>
      </w:r>
      <w:bookmarkEnd w:id="4"/>
      <w:r>
        <w:rPr>
          <w:rFonts w:hint="eastAsia" w:ascii="仿宋" w:hAnsi="仿宋" w:eastAsia="仿宋" w:cs="仿宋"/>
          <w:b/>
          <w:bCs/>
          <w:color w:val="auto"/>
          <w:highlight w:val="none"/>
        </w:rPr>
        <w:t>磋商邀请</w:t>
      </w:r>
      <w:bookmarkEnd w:id="10"/>
    </w:p>
    <w:p w14:paraId="77360830">
      <w:pPr>
        <w:spacing w:line="520" w:lineRule="exact"/>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受[宿迁市自然资源和规划局宿城分局]的委托，[江苏文鼎工程管理有限公司]就[</w:t>
      </w:r>
      <w:r>
        <w:rPr>
          <w:rFonts w:hint="eastAsia" w:ascii="仿宋" w:hAnsi="仿宋" w:eastAsia="仿宋" w:cs="仿宋"/>
          <w:color w:val="auto"/>
          <w:sz w:val="24"/>
          <w:szCs w:val="24"/>
          <w:highlight w:val="none"/>
          <w:lang w:eastAsia="zh-CN"/>
        </w:rPr>
        <w:t>宿城区农村乱占耕地建非住宅类房屋专项整治工作技术服务</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eastAsia="zh-CN"/>
        </w:rPr>
        <w:t>JSZC-321302-WDGC-C2026-0005</w:t>
      </w:r>
      <w:r>
        <w:rPr>
          <w:rFonts w:hint="eastAsia" w:ascii="仿宋" w:hAnsi="仿宋" w:eastAsia="仿宋" w:cs="仿宋"/>
          <w:color w:val="auto"/>
          <w:sz w:val="24"/>
          <w:szCs w:val="24"/>
          <w:highlight w:val="none"/>
        </w:rPr>
        <w:t>]）项目进行竞争性磋商采购，欢迎符合条件的供应商参加磋商。</w:t>
      </w:r>
    </w:p>
    <w:p w14:paraId="18586361">
      <w:pPr>
        <w:pBdr>
          <w:top w:val="single" w:color="000000" w:sz="4" w:space="1"/>
          <w:left w:val="single" w:color="000000" w:sz="4" w:space="4"/>
          <w:bottom w:val="single" w:color="000000" w:sz="4" w:space="1"/>
          <w:right w:val="single" w:color="000000" w:sz="4" w:space="4"/>
        </w:pBdr>
        <w:spacing w:line="520" w:lineRule="exact"/>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项目概况</w:t>
      </w:r>
    </w:p>
    <w:p w14:paraId="1C4EC3FA">
      <w:pPr>
        <w:pBdr>
          <w:top w:val="single" w:color="000000" w:sz="4" w:space="1"/>
          <w:left w:val="single" w:color="000000" w:sz="4" w:space="4"/>
          <w:bottom w:val="single" w:color="000000" w:sz="4" w:space="1"/>
          <w:right w:val="single" w:color="000000" w:sz="4" w:space="4"/>
        </w:pBdr>
        <w:spacing w:line="520" w:lineRule="exact"/>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w:t>
      </w:r>
      <w:r>
        <w:rPr>
          <w:rFonts w:hint="eastAsia" w:ascii="仿宋" w:hAnsi="仿宋" w:eastAsia="仿宋" w:cs="仿宋"/>
          <w:color w:val="auto"/>
          <w:sz w:val="24"/>
          <w:szCs w:val="24"/>
          <w:highlight w:val="none"/>
          <w:u w:val="single"/>
          <w:lang w:eastAsia="zh-CN"/>
        </w:rPr>
        <w:t>宿城区农村乱占耕地建非住宅类房屋专项整治工作技术服务</w:t>
      </w:r>
      <w:r>
        <w:rPr>
          <w:rFonts w:hint="eastAsia" w:ascii="仿宋" w:hAnsi="仿宋" w:eastAsia="仿宋" w:cs="仿宋"/>
          <w:color w:val="auto"/>
          <w:sz w:val="24"/>
          <w:szCs w:val="24"/>
          <w:highlight w:val="none"/>
          <w:u w:val="single"/>
        </w:rPr>
        <w:t>）</w:t>
      </w:r>
      <w:r>
        <w:rPr>
          <w:rFonts w:hint="eastAsia" w:ascii="仿宋" w:hAnsi="仿宋" w:eastAsia="仿宋" w:cs="仿宋"/>
          <w:color w:val="auto"/>
          <w:sz w:val="24"/>
          <w:szCs w:val="24"/>
          <w:highlight w:val="none"/>
        </w:rPr>
        <w:t>竞争性磋商项目的潜在供应商可在</w:t>
      </w:r>
      <w:r>
        <w:rPr>
          <w:rFonts w:hint="eastAsia" w:ascii="仿宋" w:hAnsi="仿宋" w:eastAsia="仿宋" w:cs="仿宋"/>
          <w:color w:val="auto"/>
          <w:sz w:val="24"/>
          <w:szCs w:val="24"/>
          <w:highlight w:val="none"/>
          <w:u w:val="single"/>
        </w:rPr>
        <w:t>“宿迁市政府采购网”</w:t>
      </w:r>
      <w:r>
        <w:rPr>
          <w:rFonts w:hint="eastAsia" w:ascii="仿宋" w:hAnsi="仿宋" w:eastAsia="仿宋" w:cs="仿宋"/>
          <w:color w:val="auto"/>
          <w:sz w:val="24"/>
          <w:szCs w:val="24"/>
          <w:highlight w:val="none"/>
        </w:rPr>
        <w:t>自行免费下载磋商文件，并于</w:t>
      </w:r>
      <w:r>
        <w:rPr>
          <w:rFonts w:hint="eastAsia" w:ascii="仿宋" w:hAnsi="仿宋" w:eastAsia="仿宋" w:cs="仿宋"/>
          <w:color w:val="auto"/>
          <w:sz w:val="24"/>
          <w:szCs w:val="24"/>
          <w:highlight w:val="none"/>
          <w:u w:val="single"/>
        </w:rPr>
        <w:t>2026年</w:t>
      </w:r>
      <w:r>
        <w:rPr>
          <w:rFonts w:hint="eastAsia" w:ascii="仿宋" w:hAnsi="仿宋" w:eastAsia="仿宋" w:cs="仿宋"/>
          <w:color w:val="auto"/>
          <w:sz w:val="24"/>
          <w:szCs w:val="24"/>
          <w:highlight w:val="none"/>
          <w:u w:val="single"/>
          <w:lang w:val="en-US" w:eastAsia="zh-CN"/>
        </w:rPr>
        <w:t>8</w:t>
      </w:r>
      <w:r>
        <w:rPr>
          <w:rFonts w:hint="eastAsia" w:ascii="仿宋" w:hAnsi="仿宋" w:eastAsia="仿宋" w:cs="仿宋"/>
          <w:color w:val="auto"/>
          <w:sz w:val="24"/>
          <w:szCs w:val="24"/>
          <w:highlight w:val="none"/>
          <w:u w:val="single"/>
        </w:rPr>
        <w:t>月</w:t>
      </w:r>
      <w:r>
        <w:rPr>
          <w:rFonts w:hint="eastAsia" w:ascii="仿宋" w:hAnsi="仿宋" w:eastAsia="仿宋" w:cs="仿宋"/>
          <w:color w:val="auto"/>
          <w:sz w:val="24"/>
          <w:szCs w:val="24"/>
          <w:highlight w:val="none"/>
          <w:u w:val="single"/>
          <w:lang w:val="en-US" w:eastAsia="zh-CN"/>
        </w:rPr>
        <w:t>24</w:t>
      </w:r>
      <w:r>
        <w:rPr>
          <w:rFonts w:hint="eastAsia" w:ascii="仿宋" w:hAnsi="仿宋" w:eastAsia="仿宋" w:cs="仿宋"/>
          <w:color w:val="auto"/>
          <w:sz w:val="24"/>
          <w:szCs w:val="24"/>
          <w:highlight w:val="none"/>
          <w:u w:val="single"/>
        </w:rPr>
        <w:t>日09点30分</w:t>
      </w:r>
      <w:r>
        <w:rPr>
          <w:rFonts w:hint="eastAsia" w:ascii="仿宋" w:hAnsi="仿宋" w:eastAsia="仿宋" w:cs="仿宋"/>
          <w:bCs/>
          <w:color w:val="auto"/>
          <w:sz w:val="24"/>
          <w:szCs w:val="24"/>
          <w:highlight w:val="none"/>
          <w:u w:val="single"/>
        </w:rPr>
        <w:t>（</w:t>
      </w:r>
      <w:r>
        <w:rPr>
          <w:rFonts w:hint="eastAsia" w:ascii="仿宋" w:hAnsi="仿宋" w:eastAsia="仿宋" w:cs="仿宋"/>
          <w:bCs/>
          <w:color w:val="auto"/>
          <w:sz w:val="24"/>
          <w:szCs w:val="24"/>
          <w:highlight w:val="none"/>
        </w:rPr>
        <w:t>北京时间）前递交响应文件</w:t>
      </w:r>
      <w:r>
        <w:rPr>
          <w:rFonts w:hint="eastAsia" w:ascii="仿宋" w:hAnsi="仿宋" w:eastAsia="仿宋" w:cs="仿宋"/>
          <w:color w:val="auto"/>
          <w:sz w:val="24"/>
          <w:szCs w:val="24"/>
          <w:highlight w:val="none"/>
        </w:rPr>
        <w:t>。</w:t>
      </w:r>
    </w:p>
    <w:p w14:paraId="6AF51754">
      <w:pPr>
        <w:keepNext/>
        <w:keepLines/>
        <w:spacing w:line="520" w:lineRule="exact"/>
        <w:ind w:firstLine="640"/>
        <w:outlineLvl w:val="2"/>
        <w:rPr>
          <w:rFonts w:hint="eastAsia" w:ascii="仿宋" w:hAnsi="仿宋" w:eastAsia="仿宋" w:cs="仿宋"/>
          <w:color w:val="auto"/>
          <w:sz w:val="32"/>
          <w:szCs w:val="32"/>
          <w:highlight w:val="none"/>
        </w:rPr>
      </w:pPr>
      <w:bookmarkStart w:id="11" w:name="_Toc28359079"/>
      <w:bookmarkStart w:id="12" w:name="_Toc35393621"/>
      <w:bookmarkStart w:id="13" w:name="_Toc38985263"/>
      <w:bookmarkStart w:id="14" w:name="_Toc35393790"/>
      <w:bookmarkStart w:id="15" w:name="_Toc28359002"/>
      <w:bookmarkStart w:id="16" w:name="_Hlk24379207"/>
      <w:r>
        <w:rPr>
          <w:rFonts w:hint="eastAsia" w:ascii="仿宋" w:hAnsi="仿宋" w:eastAsia="仿宋" w:cs="仿宋"/>
          <w:color w:val="auto"/>
          <w:sz w:val="32"/>
          <w:szCs w:val="32"/>
          <w:highlight w:val="none"/>
        </w:rPr>
        <w:t>一、项目基本情况</w:t>
      </w:r>
      <w:bookmarkEnd w:id="11"/>
      <w:bookmarkEnd w:id="12"/>
      <w:bookmarkEnd w:id="13"/>
      <w:bookmarkEnd w:id="14"/>
      <w:bookmarkEnd w:id="15"/>
    </w:p>
    <w:p w14:paraId="33F13034">
      <w:pPr>
        <w:spacing w:line="520" w:lineRule="exact"/>
        <w:ind w:firstLine="48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1.项目编号：</w:t>
      </w:r>
      <w:r>
        <w:rPr>
          <w:rFonts w:hint="eastAsia" w:ascii="仿宋" w:hAnsi="仿宋" w:eastAsia="仿宋" w:cs="仿宋"/>
          <w:color w:val="auto"/>
          <w:sz w:val="24"/>
          <w:szCs w:val="24"/>
          <w:highlight w:val="none"/>
          <w:lang w:eastAsia="zh-CN"/>
        </w:rPr>
        <w:t>JSZC-321302-WDGC-C2026-0005</w:t>
      </w:r>
    </w:p>
    <w:p w14:paraId="4A9DC376">
      <w:pPr>
        <w:spacing w:line="520" w:lineRule="exact"/>
        <w:ind w:firstLine="48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2.项目名称：</w:t>
      </w:r>
      <w:bookmarkEnd w:id="16"/>
      <w:r>
        <w:rPr>
          <w:rFonts w:hint="eastAsia" w:ascii="仿宋" w:hAnsi="仿宋" w:eastAsia="仿宋" w:cs="仿宋"/>
          <w:color w:val="auto"/>
          <w:sz w:val="24"/>
          <w:szCs w:val="24"/>
          <w:highlight w:val="none"/>
          <w:lang w:eastAsia="zh-CN"/>
        </w:rPr>
        <w:t>宿城区农村乱占耕地建非住宅类房屋专项整治工作技术服务</w:t>
      </w:r>
    </w:p>
    <w:p w14:paraId="6BAB374F">
      <w:pPr>
        <w:spacing w:line="520" w:lineRule="exact"/>
        <w:ind w:firstLine="48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3.预算金额：</w:t>
      </w:r>
      <w:r>
        <w:rPr>
          <w:rFonts w:hint="eastAsia" w:ascii="仿宋" w:hAnsi="仿宋" w:eastAsia="仿宋" w:cs="仿宋"/>
          <w:color w:val="auto"/>
          <w:sz w:val="24"/>
          <w:szCs w:val="24"/>
          <w:highlight w:val="none"/>
          <w:lang w:eastAsia="zh-CN"/>
        </w:rPr>
        <w:t>110万元</w:t>
      </w:r>
    </w:p>
    <w:p w14:paraId="7DE98470">
      <w:pPr>
        <w:spacing w:line="520" w:lineRule="exact"/>
        <w:ind w:firstLine="482"/>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4.本项目</w:t>
      </w:r>
      <w:r>
        <w:rPr>
          <w:rFonts w:hint="eastAsia" w:ascii="仿宋" w:hAnsi="仿宋" w:eastAsia="仿宋" w:cs="仿宋"/>
          <w:b/>
          <w:bCs/>
          <w:color w:val="auto"/>
          <w:sz w:val="24"/>
          <w:szCs w:val="24"/>
          <w:highlight w:val="none"/>
          <w:u w:val="single"/>
        </w:rPr>
        <w:t xml:space="preserve"> 设定 </w:t>
      </w:r>
      <w:r>
        <w:rPr>
          <w:rFonts w:hint="eastAsia" w:ascii="仿宋" w:hAnsi="仿宋" w:eastAsia="仿宋" w:cs="仿宋"/>
          <w:b/>
          <w:bCs/>
          <w:color w:val="auto"/>
          <w:sz w:val="24"/>
          <w:szCs w:val="24"/>
          <w:highlight w:val="none"/>
        </w:rPr>
        <w:t>（设定/不设定）最高限价，最高限价为</w:t>
      </w:r>
      <w:r>
        <w:rPr>
          <w:rFonts w:hint="eastAsia" w:ascii="仿宋" w:hAnsi="仿宋" w:eastAsia="仿宋" w:cs="仿宋"/>
          <w:b/>
          <w:bCs/>
          <w:color w:val="auto"/>
          <w:sz w:val="24"/>
          <w:szCs w:val="24"/>
          <w:highlight w:val="none"/>
          <w:u w:val="single"/>
        </w:rPr>
        <w:t xml:space="preserve"> </w:t>
      </w:r>
      <w:r>
        <w:rPr>
          <w:rFonts w:hint="eastAsia" w:ascii="仿宋" w:hAnsi="仿宋" w:eastAsia="仿宋" w:cs="仿宋"/>
          <w:b/>
          <w:bCs/>
          <w:color w:val="auto"/>
          <w:sz w:val="24"/>
          <w:szCs w:val="24"/>
          <w:highlight w:val="none"/>
          <w:u w:val="single"/>
          <w:lang w:val="en-US" w:eastAsia="zh-CN"/>
        </w:rPr>
        <w:t>110</w:t>
      </w:r>
      <w:r>
        <w:rPr>
          <w:rFonts w:hint="eastAsia" w:ascii="仿宋" w:hAnsi="仿宋" w:eastAsia="仿宋" w:cs="仿宋"/>
          <w:b/>
          <w:bCs/>
          <w:color w:val="auto"/>
          <w:sz w:val="24"/>
          <w:szCs w:val="24"/>
          <w:highlight w:val="none"/>
          <w:u w:val="single"/>
        </w:rPr>
        <w:t xml:space="preserve"> </w:t>
      </w:r>
      <w:r>
        <w:rPr>
          <w:rFonts w:hint="eastAsia" w:ascii="仿宋" w:hAnsi="仿宋" w:eastAsia="仿宋" w:cs="仿宋"/>
          <w:b/>
          <w:bCs/>
          <w:color w:val="auto"/>
          <w:sz w:val="24"/>
          <w:szCs w:val="24"/>
          <w:highlight w:val="none"/>
        </w:rPr>
        <w:t>万元。</w:t>
      </w:r>
    </w:p>
    <w:p w14:paraId="69CC50E3">
      <w:pPr>
        <w:spacing w:line="520" w:lineRule="exact"/>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采购需求（简介）：依据《农村乱占耕地建非住宅类房屋整治销号工作指引》（试行）、《中华人民共和国土地管理法》《土地调查条例》《土地调查条例实施办法》《第三次全国国土调查技术规程》（TD/T1055-2019）等文件要求，为全面推进宿城区农村乱占耕地建非住宅类房屋整治工作，宿迁市自然资源和规划局宿城分局决定引入第三方负责宿城区乱占耕地建非住宅类房屋专项整治勘测定界、摸底调查、信息核准、制定处置方案、举证销号等工作。详见第四章采购需求。</w:t>
      </w:r>
    </w:p>
    <w:p w14:paraId="5F7799FC">
      <w:pPr>
        <w:spacing w:line="520" w:lineRule="exact"/>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6.合同履行期限：以自然资源部、江苏省自然资源厅、宿迁市自然资源和规划局进度要求开展工作，按时报送合格成果，所有图斑均通过整改并完成销号后，将工作成果按要求移交采购人接收后服务截止。</w:t>
      </w:r>
    </w:p>
    <w:p w14:paraId="17ADA039">
      <w:pPr>
        <w:spacing w:line="520" w:lineRule="exact"/>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7.本项目</w:t>
      </w:r>
      <w:r>
        <w:rPr>
          <w:rFonts w:hint="eastAsia" w:ascii="仿宋" w:hAnsi="仿宋" w:eastAsia="仿宋" w:cs="仿宋"/>
          <w:color w:val="auto"/>
          <w:sz w:val="24"/>
          <w:szCs w:val="24"/>
          <w:highlight w:val="none"/>
          <w:u w:val="single"/>
        </w:rPr>
        <w:t xml:space="preserve"> 不接受</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 联合体参与磋商（接受/不接受）。</w:t>
      </w:r>
    </w:p>
    <w:p w14:paraId="4B959086">
      <w:pPr>
        <w:keepNext/>
        <w:keepLines/>
        <w:spacing w:line="520" w:lineRule="exact"/>
        <w:ind w:firstLine="640"/>
        <w:outlineLvl w:val="2"/>
        <w:rPr>
          <w:rFonts w:hint="eastAsia" w:ascii="仿宋" w:hAnsi="仿宋" w:eastAsia="仿宋" w:cs="仿宋"/>
          <w:color w:val="auto"/>
          <w:sz w:val="30"/>
          <w:szCs w:val="30"/>
          <w:highlight w:val="none"/>
        </w:rPr>
      </w:pPr>
      <w:bookmarkStart w:id="17" w:name="_Toc38985264"/>
      <w:bookmarkStart w:id="18" w:name="_Toc28359080"/>
      <w:bookmarkStart w:id="19" w:name="_Toc35393791"/>
      <w:bookmarkStart w:id="20" w:name="_Toc35393622"/>
      <w:bookmarkStart w:id="21" w:name="_Toc28359003"/>
      <w:r>
        <w:rPr>
          <w:rFonts w:hint="eastAsia" w:ascii="仿宋" w:hAnsi="仿宋" w:eastAsia="仿宋" w:cs="仿宋"/>
          <w:color w:val="auto"/>
          <w:sz w:val="30"/>
          <w:szCs w:val="30"/>
          <w:highlight w:val="none"/>
        </w:rPr>
        <w:t>二、申请人的资格要求：</w:t>
      </w:r>
      <w:bookmarkEnd w:id="17"/>
      <w:bookmarkEnd w:id="18"/>
      <w:bookmarkEnd w:id="19"/>
      <w:bookmarkEnd w:id="20"/>
      <w:bookmarkEnd w:id="21"/>
    </w:p>
    <w:p w14:paraId="2386AC9C">
      <w:pPr>
        <w:spacing w:line="520" w:lineRule="exact"/>
        <w:ind w:firstLine="480"/>
        <w:rPr>
          <w:rFonts w:hint="eastAsia" w:ascii="仿宋" w:hAnsi="仿宋" w:eastAsia="仿宋" w:cs="仿宋"/>
          <w:color w:val="auto"/>
          <w:sz w:val="24"/>
          <w:szCs w:val="24"/>
          <w:highlight w:val="none"/>
        </w:rPr>
      </w:pPr>
      <w:bookmarkStart w:id="22" w:name="_Toc35393623"/>
      <w:bookmarkStart w:id="23" w:name="_Toc28359081"/>
      <w:bookmarkStart w:id="24" w:name="_Toc35393792"/>
      <w:bookmarkStart w:id="25" w:name="_Toc28359004"/>
      <w:bookmarkStart w:id="26" w:name="_Toc38985265"/>
      <w:r>
        <w:rPr>
          <w:rFonts w:hint="eastAsia" w:ascii="仿宋" w:hAnsi="仿宋" w:eastAsia="仿宋" w:cs="仿宋"/>
          <w:color w:val="auto"/>
          <w:sz w:val="24"/>
          <w:szCs w:val="24"/>
          <w:highlight w:val="none"/>
        </w:rPr>
        <w:t>（一）通用资格要求</w:t>
      </w:r>
    </w:p>
    <w:p w14:paraId="4BE97EEE">
      <w:pPr>
        <w:spacing w:line="520" w:lineRule="exact"/>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1.具备《中华人民共和国政府采购法》第二十二条第一款规定的6项条件（按要求提供声明及信用承诺）；</w:t>
      </w:r>
    </w:p>
    <w:p w14:paraId="179A7CB1">
      <w:pPr>
        <w:spacing w:line="520" w:lineRule="exact"/>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2.信用信息。信用信息查询渠道：“信用中国”网（www.creditchina.gov.cn）、“中国政府采购”网（www.ccgp.gov.cn）、江苏政府采购网（www.ccgp-jiangsu.gov.cn）。    </w:t>
      </w:r>
    </w:p>
    <w:p w14:paraId="6D6BCA1A">
      <w:pPr>
        <w:spacing w:line="520" w:lineRule="exact"/>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信用信息的使用规则：供应商被列入失信被执行人、重大税收违法失信主体、政府采购严重违法失信行为记录名单及其他不符合《中华人民共和国政府采购法》第二十二条规定条件的供应商，将拒绝其参与政府采购活动。（响应文件中无需提供证明材料）。</w:t>
      </w:r>
    </w:p>
    <w:p w14:paraId="1D19DE06">
      <w:pPr>
        <w:spacing w:line="520" w:lineRule="exact"/>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信用信息查询记录和证据留存的方式：由采购人在审查现场查询信用信息，网页截屏打印，与其他采购文件一并保存。网页截屏应当留有（或注明）查询时点的网页地址和网络时间标记。信用查询记录（网页截屏和《政府采购信用信息查询使用情况说明》）由采购人授权的经办人签字确认。</w:t>
      </w:r>
    </w:p>
    <w:p w14:paraId="06F81C4B">
      <w:pPr>
        <w:spacing w:line="520" w:lineRule="exact"/>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落实政府采购政策需满足的资格要求：本项目属于专门面向中小企业采购的项目，供应商应为中小微企业、监狱企业、残疾人福利性单位（须提供《中小企业或残疾人福利性单位声明函》）。非中小型企业参与本项目投标，将作无效标处理。</w:t>
      </w:r>
    </w:p>
    <w:p w14:paraId="77312933">
      <w:pPr>
        <w:spacing w:line="520" w:lineRule="exact"/>
        <w:ind w:firstLine="48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（二）本项目的特定资格要求：</w:t>
      </w:r>
      <w:r>
        <w:rPr>
          <w:rFonts w:hint="eastAsia" w:ascii="仿宋" w:hAnsi="仿宋" w:eastAsia="仿宋" w:cs="仿宋"/>
          <w:color w:val="auto"/>
          <w:sz w:val="24"/>
          <w:szCs w:val="24"/>
          <w:highlight w:val="none"/>
          <w:lang w:val="zh-TW" w:eastAsia="zh-CN"/>
        </w:rPr>
        <w:t>供应商须具有有效的乙级及以上测绘资质。</w:t>
      </w:r>
    </w:p>
    <w:p w14:paraId="3E0CC350">
      <w:pPr>
        <w:keepNext/>
        <w:keepLines/>
        <w:spacing w:line="520" w:lineRule="exact"/>
        <w:ind w:firstLine="640"/>
        <w:outlineLvl w:val="2"/>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三、获取</w:t>
      </w:r>
      <w:bookmarkEnd w:id="22"/>
      <w:bookmarkEnd w:id="23"/>
      <w:bookmarkEnd w:id="24"/>
      <w:bookmarkEnd w:id="25"/>
      <w:bookmarkEnd w:id="26"/>
      <w:r>
        <w:rPr>
          <w:rFonts w:hint="eastAsia" w:ascii="仿宋" w:hAnsi="仿宋" w:eastAsia="仿宋" w:cs="仿宋"/>
          <w:color w:val="auto"/>
          <w:sz w:val="32"/>
          <w:szCs w:val="32"/>
          <w:highlight w:val="none"/>
        </w:rPr>
        <w:t>磋商文件</w:t>
      </w:r>
    </w:p>
    <w:p w14:paraId="29D91D82">
      <w:pPr>
        <w:spacing w:line="520" w:lineRule="exact"/>
        <w:ind w:firstLine="480"/>
        <w:rPr>
          <w:rFonts w:hint="eastAsia" w:ascii="仿宋" w:hAnsi="仿宋" w:eastAsia="仿宋" w:cs="仿宋"/>
          <w:bCs/>
          <w:color w:val="auto"/>
          <w:sz w:val="24"/>
          <w:szCs w:val="24"/>
          <w:highlight w:val="none"/>
        </w:rPr>
      </w:pPr>
      <w:bookmarkStart w:id="27" w:name="_Toc28359005"/>
      <w:bookmarkStart w:id="28" w:name="_Toc28359082"/>
      <w:bookmarkStart w:id="29" w:name="_Toc35393624"/>
      <w:bookmarkStart w:id="30" w:name="_Toc38985266"/>
      <w:bookmarkStart w:id="31" w:name="_Toc35393793"/>
      <w:r>
        <w:rPr>
          <w:rFonts w:hint="eastAsia" w:ascii="仿宋" w:hAnsi="仿宋" w:eastAsia="仿宋" w:cs="仿宋"/>
          <w:color w:val="auto"/>
          <w:sz w:val="24"/>
          <w:szCs w:val="24"/>
          <w:highlight w:val="none"/>
        </w:rPr>
        <w:t>1.时间：2026年</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lang w:val="en-US" w:eastAsia="zh-CN"/>
        </w:rPr>
        <w:t>13</w:t>
      </w:r>
      <w:r>
        <w:rPr>
          <w:rFonts w:hint="eastAsia" w:ascii="仿宋" w:hAnsi="仿宋" w:eastAsia="仿宋" w:cs="仿宋"/>
          <w:color w:val="auto"/>
          <w:sz w:val="24"/>
          <w:szCs w:val="24"/>
          <w:highlight w:val="none"/>
        </w:rPr>
        <w:t>日09:00至2026年</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lang w:val="en-US" w:eastAsia="zh-CN"/>
        </w:rPr>
        <w:t>19</w:t>
      </w:r>
      <w:r>
        <w:rPr>
          <w:rFonts w:hint="eastAsia" w:ascii="仿宋" w:hAnsi="仿宋" w:eastAsia="仿宋" w:cs="仿宋"/>
          <w:color w:val="auto"/>
          <w:sz w:val="24"/>
          <w:szCs w:val="24"/>
          <w:highlight w:val="none"/>
        </w:rPr>
        <w:t>日</w:t>
      </w:r>
      <w:r>
        <w:rPr>
          <w:rFonts w:hint="eastAsia" w:ascii="仿宋" w:hAnsi="仿宋" w:eastAsia="仿宋" w:cs="仿宋"/>
          <w:color w:val="auto"/>
          <w:sz w:val="24"/>
          <w:szCs w:val="24"/>
          <w:highlight w:val="none"/>
          <w:lang w:val="en-US" w:eastAsia="zh-CN"/>
        </w:rPr>
        <w:t>18</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0</w:t>
      </w:r>
      <w:r>
        <w:rPr>
          <w:rFonts w:hint="eastAsia" w:ascii="仿宋" w:hAnsi="仿宋" w:eastAsia="仿宋" w:cs="仿宋"/>
          <w:color w:val="auto"/>
          <w:sz w:val="24"/>
          <w:szCs w:val="24"/>
          <w:highlight w:val="none"/>
        </w:rPr>
        <w:t>0（北京时间，法定节假日除外）</w:t>
      </w:r>
      <w:r>
        <w:rPr>
          <w:rFonts w:hint="eastAsia" w:ascii="仿宋" w:hAnsi="仿宋" w:eastAsia="仿宋" w:cs="仿宋"/>
          <w:bCs/>
          <w:color w:val="auto"/>
          <w:sz w:val="24"/>
          <w:szCs w:val="24"/>
          <w:highlight w:val="none"/>
        </w:rPr>
        <w:t>。</w:t>
      </w:r>
    </w:p>
    <w:p w14:paraId="526BD54D">
      <w:pPr>
        <w:spacing w:line="520" w:lineRule="exact"/>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2.方式：供应商应在采购文件提供的时间内，通过“苏采云”系统（网址： http://jszfcg.jsczt.cn/）或宿迁市政府采购网点击“政府采购管理交易系统（苏采云）”，使用CA锁进入系统从“项目参与”--“采购项目”菜单中，找到本项目获取采购文件（后缀名为“.kedt”）。</w:t>
      </w:r>
    </w:p>
    <w:p w14:paraId="7466C222">
      <w:pPr>
        <w:spacing w:line="520" w:lineRule="exact"/>
        <w:ind w:firstLine="480"/>
        <w:rPr>
          <w:rFonts w:hint="eastAsia" w:ascii="仿宋" w:hAnsi="仿宋" w:eastAsia="仿宋" w:cs="仿宋"/>
          <w:color w:val="auto"/>
          <w:sz w:val="24"/>
          <w:szCs w:val="24"/>
          <w:highlight w:val="none"/>
          <w:u w:val="single"/>
        </w:rPr>
      </w:pPr>
      <w:bookmarkStart w:id="32" w:name="EB0c44ff4da61f4af989d119fe214be450"/>
      <w:r>
        <w:rPr>
          <w:rFonts w:hint="eastAsia" w:ascii="仿宋" w:hAnsi="仿宋" w:eastAsia="仿宋" w:cs="仿宋"/>
          <w:color w:val="auto"/>
          <w:sz w:val="24"/>
          <w:szCs w:val="28"/>
          <w:highlight w:val="none"/>
        </w:rPr>
        <w:t>3.本项目共分一个包。供应商参与多个包磋商的，应按包分别获取磋商文件。供应商未按要求获取竞争性磋商文件导致无法磋商的，后果自负（其响应文件不予接受）。</w:t>
      </w:r>
      <w:bookmarkEnd w:id="32"/>
    </w:p>
    <w:p w14:paraId="160A9D5F">
      <w:pPr>
        <w:keepNext/>
        <w:keepLines/>
        <w:spacing w:line="520" w:lineRule="exact"/>
        <w:ind w:firstLine="640"/>
        <w:outlineLvl w:val="2"/>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四、提交</w:t>
      </w:r>
      <w:bookmarkEnd w:id="27"/>
      <w:bookmarkEnd w:id="28"/>
      <w:r>
        <w:rPr>
          <w:rFonts w:hint="eastAsia" w:ascii="仿宋" w:hAnsi="仿宋" w:eastAsia="仿宋" w:cs="仿宋"/>
          <w:color w:val="auto"/>
          <w:sz w:val="32"/>
          <w:szCs w:val="32"/>
          <w:highlight w:val="none"/>
        </w:rPr>
        <w:t>响应文件截止时间</w:t>
      </w:r>
      <w:bookmarkEnd w:id="29"/>
      <w:bookmarkEnd w:id="30"/>
      <w:bookmarkEnd w:id="31"/>
    </w:p>
    <w:p w14:paraId="0CDD0292">
      <w:pPr>
        <w:spacing w:line="520" w:lineRule="exact"/>
        <w:ind w:firstLine="480"/>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1.提交响应文件截止时间、磋商时间：</w:t>
      </w:r>
      <w:r>
        <w:rPr>
          <w:rFonts w:hint="eastAsia" w:ascii="仿宋" w:hAnsi="仿宋" w:eastAsia="仿宋" w:cs="仿宋"/>
          <w:color w:val="auto"/>
          <w:sz w:val="24"/>
          <w:szCs w:val="24"/>
          <w:highlight w:val="none"/>
          <w:u w:val="single"/>
        </w:rPr>
        <w:t>2026年</w:t>
      </w:r>
      <w:r>
        <w:rPr>
          <w:rFonts w:hint="eastAsia" w:ascii="仿宋" w:hAnsi="仿宋" w:eastAsia="仿宋" w:cs="仿宋"/>
          <w:color w:val="auto"/>
          <w:sz w:val="24"/>
          <w:szCs w:val="24"/>
          <w:highlight w:val="none"/>
          <w:u w:val="single"/>
          <w:lang w:val="en-US" w:eastAsia="zh-CN"/>
        </w:rPr>
        <w:t>8</w:t>
      </w:r>
      <w:r>
        <w:rPr>
          <w:rFonts w:hint="eastAsia" w:ascii="仿宋" w:hAnsi="仿宋" w:eastAsia="仿宋" w:cs="仿宋"/>
          <w:color w:val="auto"/>
          <w:sz w:val="24"/>
          <w:szCs w:val="24"/>
          <w:highlight w:val="none"/>
          <w:u w:val="single"/>
        </w:rPr>
        <w:t>月</w:t>
      </w:r>
      <w:r>
        <w:rPr>
          <w:rFonts w:hint="eastAsia" w:ascii="仿宋" w:hAnsi="仿宋" w:eastAsia="仿宋" w:cs="仿宋"/>
          <w:color w:val="auto"/>
          <w:sz w:val="24"/>
          <w:szCs w:val="24"/>
          <w:highlight w:val="none"/>
          <w:u w:val="single"/>
          <w:lang w:val="en-US" w:eastAsia="zh-CN"/>
        </w:rPr>
        <w:t>24</w:t>
      </w:r>
      <w:r>
        <w:rPr>
          <w:rFonts w:hint="eastAsia" w:ascii="仿宋" w:hAnsi="仿宋" w:eastAsia="仿宋" w:cs="仿宋"/>
          <w:color w:val="auto"/>
          <w:sz w:val="24"/>
          <w:szCs w:val="24"/>
          <w:highlight w:val="none"/>
          <w:u w:val="single"/>
        </w:rPr>
        <w:t>日</w:t>
      </w:r>
      <w:r>
        <w:rPr>
          <w:rFonts w:hint="eastAsia" w:ascii="仿宋" w:hAnsi="仿宋" w:eastAsia="仿宋" w:cs="仿宋"/>
          <w:bCs/>
          <w:color w:val="auto"/>
          <w:sz w:val="24"/>
          <w:szCs w:val="24"/>
          <w:highlight w:val="none"/>
          <w:u w:val="single"/>
        </w:rPr>
        <w:t>09点30分</w:t>
      </w:r>
      <w:r>
        <w:rPr>
          <w:rFonts w:hint="eastAsia" w:ascii="仿宋" w:hAnsi="仿宋" w:eastAsia="仿宋" w:cs="仿宋"/>
          <w:bCs/>
          <w:color w:val="auto"/>
          <w:sz w:val="24"/>
          <w:szCs w:val="24"/>
          <w:highlight w:val="none"/>
        </w:rPr>
        <w:t>（北京时间）。</w:t>
      </w:r>
    </w:p>
    <w:p w14:paraId="17DFB642">
      <w:pPr>
        <w:spacing w:line="520" w:lineRule="exact"/>
        <w:ind w:firstLine="480"/>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2.地点：“苏采云”政府采购交易系统网上开标大厅。</w:t>
      </w:r>
    </w:p>
    <w:p w14:paraId="327025AD">
      <w:pPr>
        <w:keepNext/>
        <w:keepLines/>
        <w:spacing w:line="520" w:lineRule="exact"/>
        <w:ind w:firstLine="640"/>
        <w:outlineLvl w:val="2"/>
        <w:rPr>
          <w:rFonts w:hint="eastAsia" w:ascii="仿宋" w:hAnsi="仿宋" w:eastAsia="仿宋" w:cs="仿宋"/>
          <w:color w:val="auto"/>
          <w:sz w:val="32"/>
          <w:szCs w:val="32"/>
          <w:highlight w:val="none"/>
        </w:rPr>
      </w:pPr>
      <w:bookmarkStart w:id="33" w:name="_Toc28359084"/>
      <w:bookmarkStart w:id="34" w:name="_Toc35393625"/>
      <w:bookmarkStart w:id="35" w:name="_Toc38985267"/>
      <w:bookmarkStart w:id="36" w:name="_Toc35393794"/>
      <w:bookmarkStart w:id="37" w:name="_Toc28359007"/>
      <w:r>
        <w:rPr>
          <w:rFonts w:hint="eastAsia" w:ascii="仿宋" w:hAnsi="仿宋" w:eastAsia="仿宋" w:cs="仿宋"/>
          <w:color w:val="auto"/>
          <w:sz w:val="32"/>
          <w:szCs w:val="32"/>
          <w:highlight w:val="none"/>
        </w:rPr>
        <w:t>五、公告期限</w:t>
      </w:r>
      <w:bookmarkEnd w:id="33"/>
      <w:bookmarkEnd w:id="34"/>
      <w:bookmarkEnd w:id="35"/>
      <w:bookmarkEnd w:id="36"/>
      <w:bookmarkEnd w:id="37"/>
    </w:p>
    <w:p w14:paraId="23A672CD">
      <w:pPr>
        <w:spacing w:line="520" w:lineRule="exact"/>
        <w:ind w:firstLine="480"/>
        <w:rPr>
          <w:rFonts w:hint="eastAsia" w:ascii="仿宋" w:hAnsi="仿宋" w:eastAsia="仿宋" w:cs="仿宋"/>
          <w:color w:val="auto"/>
          <w:sz w:val="24"/>
          <w:szCs w:val="28"/>
          <w:highlight w:val="none"/>
        </w:rPr>
      </w:pPr>
      <w:bookmarkStart w:id="38" w:name="_Toc35393626"/>
      <w:bookmarkStart w:id="39" w:name="_Toc35393795"/>
      <w:bookmarkStart w:id="40" w:name="_Toc38985268"/>
      <w:r>
        <w:rPr>
          <w:rFonts w:hint="eastAsia" w:ascii="仿宋" w:hAnsi="仿宋" w:eastAsia="仿宋" w:cs="仿宋"/>
          <w:color w:val="auto"/>
          <w:sz w:val="24"/>
          <w:szCs w:val="28"/>
          <w:highlight w:val="none"/>
        </w:rPr>
        <w:t>磋商公告及磋商文件公告期限为自本公告发布之日起5个工作日。采购公告发布媒体：宿迁市政府采购网、宿迁市公共资源交易平台、江</w:t>
      </w:r>
      <w:bookmarkStart w:id="233" w:name="_GoBack"/>
      <w:bookmarkEnd w:id="233"/>
      <w:r>
        <w:rPr>
          <w:rFonts w:hint="eastAsia" w:ascii="仿宋" w:hAnsi="仿宋" w:eastAsia="仿宋" w:cs="仿宋"/>
          <w:color w:val="auto"/>
          <w:sz w:val="24"/>
          <w:szCs w:val="28"/>
          <w:highlight w:val="none"/>
        </w:rPr>
        <w:t>苏省财政部门指定的媒体。</w:t>
      </w:r>
    </w:p>
    <w:p w14:paraId="1BAB8072">
      <w:pPr>
        <w:keepNext/>
        <w:keepLines/>
        <w:spacing w:line="520" w:lineRule="exact"/>
        <w:ind w:firstLine="640"/>
        <w:outlineLvl w:val="2"/>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六、其他补充事宜</w:t>
      </w:r>
      <w:bookmarkEnd w:id="38"/>
      <w:bookmarkEnd w:id="39"/>
      <w:bookmarkEnd w:id="40"/>
    </w:p>
    <w:p w14:paraId="215FD2AB">
      <w:pPr>
        <w:spacing w:line="520" w:lineRule="exact"/>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1.财政部门监督电话：0527-82963292。</w:t>
      </w:r>
    </w:p>
    <w:p w14:paraId="3ADFC2D8">
      <w:pPr>
        <w:spacing w:line="520" w:lineRule="exact"/>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2.“CA”数字证书办理：“苏采云”系统目前仅支持“苏采云”系统下的政务CA。省内各地区办理的“苏采云”系统下的政务CA全省通用。宿迁地区CA数字证书办理联系方式：18762803891。</w:t>
      </w:r>
    </w:p>
    <w:p w14:paraId="023473BB">
      <w:pPr>
        <w:pStyle w:val="348"/>
        <w:spacing w:line="520" w:lineRule="exact"/>
        <w:ind w:firstLine="480"/>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lang w:val="en-US"/>
        </w:rPr>
        <w:t>3.宿迁地区“苏采云”技术支持客服电话：0527-84225125、0519-86722806。</w:t>
      </w:r>
    </w:p>
    <w:p w14:paraId="26FD851E">
      <w:pPr>
        <w:pStyle w:val="348"/>
        <w:spacing w:line="520" w:lineRule="exact"/>
        <w:ind w:firstLine="480"/>
        <w:jc w:val="both"/>
        <w:rPr>
          <w:rFonts w:hint="eastAsia" w:ascii="仿宋" w:hAnsi="仿宋" w:eastAsia="仿宋" w:cs="仿宋"/>
          <w:color w:val="auto"/>
          <w:spacing w:val="-6"/>
          <w:sz w:val="24"/>
          <w:szCs w:val="24"/>
          <w:highlight w:val="none"/>
          <w:lang w:eastAsia="zh-TW"/>
        </w:rPr>
      </w:pPr>
      <w:r>
        <w:rPr>
          <w:rFonts w:hint="eastAsia" w:ascii="仿宋" w:hAnsi="仿宋" w:eastAsia="仿宋" w:cs="仿宋"/>
          <w:color w:val="auto"/>
          <w:sz w:val="24"/>
          <w:szCs w:val="21"/>
          <w:highlight w:val="none"/>
          <w:lang w:val="en-US" w:eastAsia="zh-TW"/>
        </w:rPr>
        <w:t>4.如果供应商通过苏采云系统参与政府采购项目，相关操作手册详见链接：</w:t>
      </w:r>
      <w:r>
        <w:rPr>
          <w:rFonts w:hint="eastAsia" w:ascii="仿宋" w:hAnsi="仿宋" w:eastAsia="仿宋" w:cs="仿宋"/>
          <w:color w:val="auto"/>
          <w:spacing w:val="-6"/>
          <w:sz w:val="24"/>
          <w:szCs w:val="21"/>
          <w:highlight w:val="none"/>
          <w:lang w:val="en-US" w:eastAsia="zh-TW"/>
        </w:rPr>
        <w:t>http://www.ccgpjiangsu.gov.cn/jiangsu/zlxz/ee/ee3a4bc5a3454aa2b0d9312230633ce9.html。</w:t>
      </w:r>
    </w:p>
    <w:p w14:paraId="7E4E7499">
      <w:pPr>
        <w:pStyle w:val="348"/>
        <w:spacing w:line="520" w:lineRule="exact"/>
        <w:ind w:firstLine="480"/>
        <w:jc w:val="both"/>
        <w:rPr>
          <w:rFonts w:hint="eastAsia" w:ascii="仿宋" w:hAnsi="仿宋" w:eastAsia="仿宋" w:cs="仿宋"/>
          <w:color w:val="auto"/>
          <w:sz w:val="24"/>
          <w:szCs w:val="24"/>
          <w:highlight w:val="none"/>
        </w:rPr>
      </w:pPr>
      <w:r>
        <w:rPr>
          <w:rFonts w:hint="eastAsia" w:ascii="仿宋" w:hAnsi="仿宋" w:eastAsia="仿宋" w:cs="仿宋"/>
          <w:color w:val="auto"/>
          <w:spacing w:val="-6"/>
          <w:sz w:val="24"/>
          <w:szCs w:val="21"/>
          <w:highlight w:val="none"/>
          <w:lang w:val="en-US"/>
        </w:rPr>
        <w:t>5.现场勘察及答疑：本项目不组织集中勘察及答疑，供应商如对采购需求有疑问，请咨询采购单位联系人。</w:t>
      </w:r>
    </w:p>
    <w:p w14:paraId="391658AD">
      <w:pPr>
        <w:keepNext/>
        <w:keepLines/>
        <w:spacing w:line="520" w:lineRule="exact"/>
        <w:ind w:firstLine="640"/>
        <w:outlineLvl w:val="2"/>
        <w:rPr>
          <w:rFonts w:hint="eastAsia" w:ascii="仿宋" w:hAnsi="仿宋" w:eastAsia="仿宋" w:cs="仿宋"/>
          <w:color w:val="auto"/>
          <w:sz w:val="32"/>
          <w:szCs w:val="32"/>
          <w:highlight w:val="none"/>
        </w:rPr>
      </w:pPr>
      <w:bookmarkStart w:id="41" w:name="_Toc35393796"/>
      <w:bookmarkStart w:id="42" w:name="_Toc28359085"/>
      <w:bookmarkStart w:id="43" w:name="_Toc35393627"/>
      <w:bookmarkStart w:id="44" w:name="_Toc28359008"/>
      <w:bookmarkStart w:id="45" w:name="_Toc38985269"/>
      <w:r>
        <w:rPr>
          <w:rFonts w:hint="eastAsia" w:ascii="仿宋" w:hAnsi="仿宋" w:eastAsia="仿宋" w:cs="仿宋"/>
          <w:color w:val="auto"/>
          <w:sz w:val="32"/>
          <w:szCs w:val="32"/>
          <w:highlight w:val="none"/>
        </w:rPr>
        <w:t>七、本次磋商联系方式</w:t>
      </w:r>
      <w:bookmarkEnd w:id="41"/>
      <w:bookmarkEnd w:id="42"/>
      <w:bookmarkEnd w:id="43"/>
      <w:bookmarkEnd w:id="44"/>
      <w:bookmarkEnd w:id="45"/>
    </w:p>
    <w:p w14:paraId="5F81521A">
      <w:pPr>
        <w:widowControl/>
        <w:spacing w:line="520" w:lineRule="exact"/>
        <w:ind w:firstLine="56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1.采购人信息</w:t>
      </w:r>
    </w:p>
    <w:p w14:paraId="1BF1FBC1">
      <w:pPr>
        <w:spacing w:line="520" w:lineRule="exact"/>
        <w:ind w:firstLine="48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名 称：</w:t>
      </w:r>
      <w:r>
        <w:rPr>
          <w:rFonts w:hint="eastAsia" w:ascii="仿宋" w:hAnsi="仿宋" w:eastAsia="仿宋" w:cs="仿宋"/>
          <w:color w:val="auto"/>
          <w:sz w:val="24"/>
          <w:szCs w:val="24"/>
          <w:highlight w:val="none"/>
          <w:u w:val="single"/>
        </w:rPr>
        <w:t>宿迁市自然资源和规划局宿城分局</w:t>
      </w:r>
    </w:p>
    <w:p w14:paraId="70B5F5FB">
      <w:pPr>
        <w:spacing w:line="520" w:lineRule="exact"/>
        <w:ind w:firstLine="48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地</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址：</w:t>
      </w:r>
      <w:r>
        <w:rPr>
          <w:rFonts w:hint="eastAsia" w:ascii="仿宋" w:hAnsi="仿宋" w:eastAsia="仿宋" w:cs="仿宋"/>
          <w:color w:val="auto"/>
          <w:sz w:val="24"/>
          <w:szCs w:val="24"/>
          <w:highlight w:val="none"/>
          <w:u w:val="single"/>
        </w:rPr>
        <w:t>宿迁市宿城区市民服务中心10楼</w:t>
      </w:r>
    </w:p>
    <w:p w14:paraId="708BFA69">
      <w:pPr>
        <w:spacing w:line="520" w:lineRule="exact"/>
        <w:ind w:firstLine="480"/>
        <w:jc w:val="left"/>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rPr>
        <w:t>联系方式：</w:t>
      </w:r>
      <w:bookmarkStart w:id="46" w:name="_Toc28359009"/>
      <w:bookmarkStart w:id="47" w:name="_Toc28359086"/>
      <w:r>
        <w:rPr>
          <w:rFonts w:hint="eastAsia" w:ascii="仿宋" w:hAnsi="仿宋" w:eastAsia="仿宋" w:cs="仿宋"/>
          <w:color w:val="auto"/>
          <w:sz w:val="24"/>
          <w:szCs w:val="24"/>
          <w:highlight w:val="none"/>
          <w:u w:val="single"/>
          <w:lang w:val="en-US" w:eastAsia="zh-CN"/>
        </w:rPr>
        <w:t>孟昭成</w:t>
      </w:r>
      <w:r>
        <w:rPr>
          <w:rFonts w:hint="eastAsia" w:ascii="仿宋" w:hAnsi="仿宋" w:eastAsia="仿宋" w:cs="仿宋"/>
          <w:color w:val="auto"/>
          <w:sz w:val="24"/>
          <w:szCs w:val="24"/>
          <w:highlight w:val="none"/>
          <w:u w:val="single"/>
        </w:rPr>
        <w:t xml:space="preserve"> 0527-8438120</w:t>
      </w:r>
      <w:r>
        <w:rPr>
          <w:rFonts w:hint="eastAsia" w:ascii="仿宋" w:hAnsi="仿宋" w:eastAsia="仿宋" w:cs="仿宋"/>
          <w:color w:val="auto"/>
          <w:sz w:val="24"/>
          <w:szCs w:val="24"/>
          <w:highlight w:val="none"/>
          <w:u w:val="single"/>
          <w:lang w:val="en-US" w:eastAsia="zh-CN"/>
        </w:rPr>
        <w:t>7</w:t>
      </w:r>
    </w:p>
    <w:p w14:paraId="3634A0F2">
      <w:pPr>
        <w:widowControl/>
        <w:spacing w:line="520" w:lineRule="exact"/>
        <w:ind w:firstLine="56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2.采购代理机构信息</w:t>
      </w:r>
      <w:bookmarkEnd w:id="46"/>
      <w:bookmarkEnd w:id="47"/>
    </w:p>
    <w:p w14:paraId="4C93D7E0">
      <w:pPr>
        <w:spacing w:line="520" w:lineRule="exact"/>
        <w:ind w:firstLine="480"/>
        <w:jc w:val="left"/>
        <w:rPr>
          <w:rFonts w:hint="eastAsia" w:ascii="仿宋" w:hAnsi="仿宋" w:eastAsia="仿宋" w:cs="仿宋"/>
          <w:color w:val="auto"/>
          <w:sz w:val="24"/>
          <w:szCs w:val="24"/>
          <w:highlight w:val="none"/>
        </w:rPr>
      </w:pPr>
      <w:bookmarkStart w:id="48" w:name="_Toc28359010"/>
      <w:bookmarkStart w:id="49" w:name="_Toc28359087"/>
      <w:r>
        <w:rPr>
          <w:rFonts w:hint="eastAsia" w:ascii="仿宋" w:hAnsi="仿宋" w:eastAsia="仿宋" w:cs="仿宋"/>
          <w:color w:val="auto"/>
          <w:sz w:val="24"/>
          <w:szCs w:val="24"/>
          <w:highlight w:val="none"/>
        </w:rPr>
        <w:t>名 称：</w:t>
      </w:r>
      <w:r>
        <w:rPr>
          <w:rFonts w:hint="eastAsia" w:ascii="仿宋" w:hAnsi="仿宋" w:eastAsia="仿宋" w:cs="仿宋"/>
          <w:color w:val="auto"/>
          <w:sz w:val="24"/>
          <w:szCs w:val="24"/>
          <w:highlight w:val="none"/>
          <w:u w:val="single"/>
        </w:rPr>
        <w:t>江苏文鼎工程管理有限公司</w:t>
      </w:r>
    </w:p>
    <w:p w14:paraId="0F792917">
      <w:pPr>
        <w:spacing w:line="520" w:lineRule="exact"/>
        <w:ind w:firstLine="48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地</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址：</w:t>
      </w:r>
      <w:r>
        <w:rPr>
          <w:rFonts w:hint="eastAsia" w:ascii="仿宋" w:hAnsi="仿宋" w:eastAsia="仿宋" w:cs="仿宋"/>
          <w:color w:val="auto"/>
          <w:sz w:val="24"/>
          <w:szCs w:val="24"/>
          <w:highlight w:val="none"/>
          <w:u w:val="single"/>
        </w:rPr>
        <w:t>江苏省宿迁经济技术开发区金茂府二期1幢109商铺</w:t>
      </w:r>
    </w:p>
    <w:p w14:paraId="4FBE846B">
      <w:pPr>
        <w:spacing w:line="520" w:lineRule="exact"/>
        <w:ind w:firstLine="480"/>
        <w:jc w:val="lef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联系人：</w:t>
      </w:r>
      <w:r>
        <w:rPr>
          <w:rFonts w:hint="eastAsia" w:ascii="仿宋" w:hAnsi="仿宋" w:eastAsia="仿宋" w:cs="仿宋"/>
          <w:color w:val="auto"/>
          <w:sz w:val="24"/>
          <w:szCs w:val="24"/>
          <w:highlight w:val="none"/>
          <w:u w:val="single"/>
        </w:rPr>
        <w:t>彭淼</w:t>
      </w:r>
    </w:p>
    <w:p w14:paraId="0D8A51E4">
      <w:pPr>
        <w:spacing w:line="520" w:lineRule="exact"/>
        <w:ind w:firstLine="48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联系方式：</w:t>
      </w:r>
      <w:bookmarkEnd w:id="48"/>
      <w:bookmarkEnd w:id="49"/>
      <w:r>
        <w:rPr>
          <w:rFonts w:hint="eastAsia" w:ascii="仿宋" w:hAnsi="仿宋" w:eastAsia="仿宋" w:cs="仿宋"/>
          <w:color w:val="auto"/>
          <w:sz w:val="24"/>
          <w:szCs w:val="24"/>
          <w:highlight w:val="none"/>
          <w:u w:val="single"/>
        </w:rPr>
        <w:t>13218916011</w:t>
      </w:r>
    </w:p>
    <w:p w14:paraId="589B3621">
      <w:pPr>
        <w:keepNext/>
        <w:keepLines/>
        <w:spacing w:line="520" w:lineRule="exact"/>
        <w:ind w:firstLine="640"/>
        <w:outlineLvl w:val="2"/>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八、其他</w:t>
      </w:r>
    </w:p>
    <w:p w14:paraId="6BFA51CB">
      <w:pPr>
        <w:tabs>
          <w:tab w:val="left" w:pos="900"/>
        </w:tabs>
        <w:spacing w:line="520" w:lineRule="exact"/>
        <w:ind w:firstLine="48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1.有关本次采购的事项若存在变动或修改，敬请及时关注“宿迁市政府采购网”等平台更正公告。</w:t>
      </w:r>
    </w:p>
    <w:p w14:paraId="38DCC045">
      <w:pPr>
        <w:tabs>
          <w:tab w:val="left" w:pos="900"/>
        </w:tabs>
        <w:spacing w:line="520" w:lineRule="exact"/>
        <w:ind w:firstLine="48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2.本次磋商不收取磋商保证金。</w:t>
      </w:r>
    </w:p>
    <w:p w14:paraId="490E92BB">
      <w:pPr>
        <w:keepNext/>
        <w:keepLines/>
        <w:spacing w:before="260" w:after="260" w:line="520" w:lineRule="exact"/>
        <w:jc w:val="center"/>
        <w:outlineLvl w:val="0"/>
        <w:rPr>
          <w:rFonts w:hint="eastAsia" w:ascii="仿宋" w:hAnsi="仿宋" w:eastAsia="仿宋" w:cs="仿宋"/>
          <w:color w:val="auto"/>
          <w:sz w:val="44"/>
          <w:szCs w:val="44"/>
          <w:highlight w:val="none"/>
        </w:rPr>
      </w:pPr>
      <w:bookmarkStart w:id="50" w:name="_Toc120614211"/>
      <w:r>
        <w:rPr>
          <w:rFonts w:hint="eastAsia" w:ascii="仿宋" w:hAnsi="仿宋" w:eastAsia="仿宋" w:cs="仿宋"/>
          <w:color w:val="auto"/>
          <w:sz w:val="44"/>
          <w:szCs w:val="44"/>
          <w:highlight w:val="none"/>
        </w:rPr>
        <w:br w:type="page" w:clear="all"/>
      </w:r>
      <w:bookmarkStart w:id="51" w:name="_Toc30696"/>
      <w:r>
        <w:rPr>
          <w:rStyle w:val="79"/>
          <w:rFonts w:hint="eastAsia" w:ascii="仿宋" w:hAnsi="仿宋" w:eastAsia="仿宋" w:cs="仿宋"/>
          <w:b/>
          <w:bCs/>
          <w:color w:val="auto"/>
          <w:highlight w:val="none"/>
        </w:rPr>
        <w:t xml:space="preserve">第二章  </w:t>
      </w:r>
      <w:bookmarkEnd w:id="5"/>
      <w:bookmarkEnd w:id="6"/>
      <w:bookmarkEnd w:id="7"/>
      <w:bookmarkEnd w:id="8"/>
      <w:bookmarkEnd w:id="9"/>
      <w:bookmarkEnd w:id="50"/>
      <w:r>
        <w:rPr>
          <w:rStyle w:val="79"/>
          <w:rFonts w:hint="eastAsia" w:ascii="仿宋" w:hAnsi="仿宋" w:eastAsia="仿宋" w:cs="仿宋"/>
          <w:b/>
          <w:bCs/>
          <w:color w:val="auto"/>
          <w:highlight w:val="none"/>
        </w:rPr>
        <w:t>供应商须知</w:t>
      </w:r>
      <w:bookmarkEnd w:id="51"/>
    </w:p>
    <w:p w14:paraId="77417419">
      <w:pPr>
        <w:keepNext/>
        <w:keepLines/>
        <w:spacing w:line="520" w:lineRule="exact"/>
        <w:ind w:firstLine="640"/>
        <w:outlineLvl w:val="2"/>
        <w:rPr>
          <w:rFonts w:hint="eastAsia" w:ascii="仿宋" w:hAnsi="仿宋" w:eastAsia="仿宋" w:cs="仿宋"/>
          <w:color w:val="auto"/>
          <w:sz w:val="32"/>
          <w:szCs w:val="32"/>
          <w:highlight w:val="none"/>
        </w:rPr>
      </w:pPr>
      <w:bookmarkStart w:id="52" w:name="_Toc513029203"/>
      <w:bookmarkStart w:id="53" w:name="_Toc20823275"/>
      <w:bookmarkStart w:id="54" w:name="_Toc16938519"/>
      <w:bookmarkStart w:id="55" w:name="_Toc120614214"/>
      <w:r>
        <w:rPr>
          <w:rFonts w:hint="eastAsia" w:ascii="仿宋" w:hAnsi="仿宋" w:eastAsia="仿宋" w:cs="仿宋"/>
          <w:color w:val="auto"/>
          <w:sz w:val="32"/>
          <w:szCs w:val="32"/>
          <w:highlight w:val="none"/>
        </w:rPr>
        <w:t>一、总则</w:t>
      </w:r>
      <w:bookmarkEnd w:id="52"/>
      <w:bookmarkEnd w:id="53"/>
      <w:bookmarkEnd w:id="54"/>
      <w:bookmarkEnd w:id="55"/>
    </w:p>
    <w:p w14:paraId="5E5E76F4">
      <w:pPr>
        <w:keepNext/>
        <w:keepLines/>
        <w:spacing w:line="520" w:lineRule="exact"/>
        <w:ind w:firstLine="560"/>
        <w:outlineLvl w:val="3"/>
        <w:rPr>
          <w:rFonts w:hint="eastAsia" w:ascii="仿宋" w:hAnsi="仿宋" w:eastAsia="仿宋" w:cs="仿宋"/>
          <w:color w:val="auto"/>
          <w:sz w:val="28"/>
          <w:szCs w:val="28"/>
          <w:highlight w:val="none"/>
        </w:rPr>
      </w:pPr>
      <w:bookmarkStart w:id="56" w:name="_Hlt16619475"/>
      <w:bookmarkEnd w:id="56"/>
      <w:bookmarkStart w:id="57" w:name="_Toc458694821"/>
      <w:bookmarkStart w:id="58" w:name="_Toc513029204"/>
      <w:bookmarkStart w:id="59" w:name="_Toc16938520"/>
      <w:bookmarkStart w:id="60" w:name="_Toc20823276"/>
      <w:r>
        <w:rPr>
          <w:rFonts w:hint="eastAsia" w:ascii="仿宋" w:hAnsi="仿宋" w:eastAsia="仿宋" w:cs="仿宋"/>
          <w:color w:val="auto"/>
          <w:sz w:val="28"/>
          <w:szCs w:val="28"/>
          <w:highlight w:val="none"/>
        </w:rPr>
        <w:t>1</w:t>
      </w:r>
      <w:bookmarkEnd w:id="57"/>
      <w:r>
        <w:rPr>
          <w:rFonts w:hint="eastAsia" w:ascii="仿宋" w:hAnsi="仿宋" w:eastAsia="仿宋" w:cs="仿宋"/>
          <w:color w:val="auto"/>
          <w:sz w:val="28"/>
          <w:szCs w:val="28"/>
          <w:highlight w:val="none"/>
        </w:rPr>
        <w:t>、采购方式</w:t>
      </w:r>
      <w:bookmarkEnd w:id="58"/>
      <w:bookmarkEnd w:id="59"/>
      <w:bookmarkEnd w:id="60"/>
    </w:p>
    <w:p w14:paraId="37534E9B">
      <w:pPr>
        <w:spacing w:line="520" w:lineRule="exact"/>
        <w:ind w:firstLine="480"/>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1.1 本次政府采购活动采取竞争性磋商（以下简称磋商）方式，本磋商文件仅适用于磋商公告中所述项目。</w:t>
      </w:r>
    </w:p>
    <w:p w14:paraId="7197C154">
      <w:pPr>
        <w:keepNext/>
        <w:keepLines/>
        <w:spacing w:line="520" w:lineRule="exact"/>
        <w:ind w:firstLine="560"/>
        <w:outlineLvl w:val="3"/>
        <w:rPr>
          <w:rFonts w:hint="eastAsia" w:ascii="仿宋" w:hAnsi="仿宋" w:eastAsia="仿宋" w:cs="仿宋"/>
          <w:color w:val="auto"/>
          <w:sz w:val="28"/>
          <w:szCs w:val="28"/>
          <w:highlight w:val="none"/>
        </w:rPr>
      </w:pPr>
      <w:bookmarkStart w:id="61" w:name="_Toc20823277"/>
      <w:bookmarkStart w:id="62" w:name="_Toc513029205"/>
      <w:bookmarkStart w:id="63" w:name="_Toc16938521"/>
      <w:r>
        <w:rPr>
          <w:rFonts w:hint="eastAsia" w:ascii="仿宋" w:hAnsi="仿宋" w:eastAsia="仿宋" w:cs="仿宋"/>
          <w:color w:val="auto"/>
          <w:sz w:val="28"/>
          <w:szCs w:val="28"/>
          <w:highlight w:val="none"/>
        </w:rPr>
        <w:t>2、合格的</w:t>
      </w:r>
      <w:bookmarkEnd w:id="61"/>
      <w:bookmarkEnd w:id="62"/>
      <w:bookmarkEnd w:id="63"/>
      <w:r>
        <w:rPr>
          <w:rFonts w:hint="eastAsia" w:ascii="仿宋" w:hAnsi="仿宋" w:eastAsia="仿宋" w:cs="仿宋"/>
          <w:color w:val="auto"/>
          <w:sz w:val="28"/>
          <w:szCs w:val="28"/>
          <w:highlight w:val="none"/>
        </w:rPr>
        <w:t>供应商</w:t>
      </w:r>
    </w:p>
    <w:p w14:paraId="783403BD">
      <w:pPr>
        <w:spacing w:line="520" w:lineRule="exact"/>
        <w:ind w:firstLine="480"/>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2.1满足磋商公告中供应商资格要求的规定。</w:t>
      </w:r>
    </w:p>
    <w:p w14:paraId="6A0E92E2">
      <w:pPr>
        <w:spacing w:line="520" w:lineRule="exact"/>
        <w:ind w:firstLine="480"/>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2.2 满足本磋商文件实质性要求和条件的规定。</w:t>
      </w:r>
    </w:p>
    <w:p w14:paraId="1F9133F6">
      <w:pPr>
        <w:keepNext/>
        <w:keepLines/>
        <w:spacing w:line="520" w:lineRule="exact"/>
        <w:ind w:firstLine="560"/>
        <w:outlineLvl w:val="3"/>
        <w:rPr>
          <w:rFonts w:hint="eastAsia" w:ascii="仿宋" w:hAnsi="仿宋" w:eastAsia="仿宋" w:cs="仿宋"/>
          <w:color w:val="auto"/>
          <w:sz w:val="28"/>
          <w:szCs w:val="28"/>
          <w:highlight w:val="none"/>
        </w:rPr>
      </w:pPr>
      <w:bookmarkStart w:id="64" w:name="_Toc20823278"/>
      <w:bookmarkStart w:id="65" w:name="_Toc513029206"/>
      <w:bookmarkStart w:id="66" w:name="_Toc16938522"/>
      <w:r>
        <w:rPr>
          <w:rFonts w:hint="eastAsia" w:ascii="仿宋" w:hAnsi="仿宋" w:eastAsia="仿宋" w:cs="仿宋"/>
          <w:color w:val="auto"/>
          <w:sz w:val="28"/>
          <w:szCs w:val="28"/>
          <w:highlight w:val="none"/>
        </w:rPr>
        <w:t>3、适用法律</w:t>
      </w:r>
      <w:bookmarkEnd w:id="64"/>
      <w:bookmarkEnd w:id="65"/>
      <w:bookmarkEnd w:id="66"/>
    </w:p>
    <w:p w14:paraId="31BE80BE">
      <w:pPr>
        <w:spacing w:line="520" w:lineRule="exact"/>
        <w:ind w:firstLine="480"/>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3.1本次磋商及由此产生的合同受中华人民共和国有关的法律法规制约和保护。</w:t>
      </w:r>
    </w:p>
    <w:p w14:paraId="6C1ABE2A">
      <w:pPr>
        <w:keepNext/>
        <w:keepLines/>
        <w:spacing w:line="520" w:lineRule="exact"/>
        <w:ind w:firstLine="560"/>
        <w:outlineLvl w:val="3"/>
        <w:rPr>
          <w:rFonts w:hint="eastAsia" w:ascii="仿宋" w:hAnsi="仿宋" w:eastAsia="仿宋" w:cs="仿宋"/>
          <w:color w:val="auto"/>
          <w:sz w:val="28"/>
          <w:szCs w:val="28"/>
          <w:highlight w:val="none"/>
        </w:rPr>
      </w:pPr>
      <w:bookmarkStart w:id="67" w:name="_Toc462564067"/>
      <w:bookmarkStart w:id="68" w:name="_Toc16938523"/>
      <w:bookmarkStart w:id="69" w:name="_Toc513029207"/>
      <w:bookmarkStart w:id="70" w:name="_Toc20823279"/>
      <w:r>
        <w:rPr>
          <w:rFonts w:hint="eastAsia" w:ascii="仿宋" w:hAnsi="仿宋" w:eastAsia="仿宋" w:cs="仿宋"/>
          <w:color w:val="auto"/>
          <w:sz w:val="28"/>
          <w:szCs w:val="28"/>
          <w:highlight w:val="none"/>
        </w:rPr>
        <w:t>4、磋商费用</w:t>
      </w:r>
      <w:bookmarkEnd w:id="67"/>
      <w:bookmarkEnd w:id="68"/>
      <w:bookmarkEnd w:id="69"/>
      <w:bookmarkEnd w:id="70"/>
    </w:p>
    <w:p w14:paraId="198951E7">
      <w:pPr>
        <w:spacing w:line="520" w:lineRule="exact"/>
        <w:ind w:firstLine="480"/>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4.1供应商应自行承担所有与参加本次磋商有关的费用，无论磋商过程中的做法和结果如何，采购代理机构在任何情况下均无义务和责任承担这些费用。</w:t>
      </w:r>
    </w:p>
    <w:p w14:paraId="14D2DBC4">
      <w:pPr>
        <w:spacing w:line="520" w:lineRule="exact"/>
        <w:ind w:firstLine="480"/>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4.2代理费用收取方式及标准：按以下第</w:t>
      </w:r>
      <w:r>
        <w:rPr>
          <w:rFonts w:hint="eastAsia" w:ascii="仿宋" w:hAnsi="仿宋" w:eastAsia="仿宋" w:cs="仿宋"/>
          <w:color w:val="auto"/>
          <w:sz w:val="24"/>
          <w:szCs w:val="21"/>
          <w:highlight w:val="none"/>
          <w:u w:val="single"/>
        </w:rPr>
        <w:t xml:space="preserve"> 4.2.2 </w:t>
      </w:r>
      <w:r>
        <w:rPr>
          <w:rFonts w:hint="eastAsia" w:ascii="仿宋" w:hAnsi="仿宋" w:eastAsia="仿宋" w:cs="仿宋"/>
          <w:color w:val="auto"/>
          <w:sz w:val="24"/>
          <w:szCs w:val="21"/>
          <w:highlight w:val="none"/>
        </w:rPr>
        <w:t>种方式执行</w:t>
      </w:r>
    </w:p>
    <w:p w14:paraId="385A7A16">
      <w:pPr>
        <w:spacing w:line="520" w:lineRule="exact"/>
        <w:ind w:firstLine="480"/>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lang w:val="zh-CN"/>
        </w:rPr>
        <w:t>4.2.1无需支付；</w:t>
      </w:r>
    </w:p>
    <w:p w14:paraId="481AFD28">
      <w:pPr>
        <w:spacing w:line="520" w:lineRule="exact"/>
        <w:ind w:firstLine="480"/>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lang w:val="zh-CN"/>
        </w:rPr>
        <w:t>4.2.2</w:t>
      </w:r>
      <w:r>
        <w:rPr>
          <w:rFonts w:hint="eastAsia" w:ascii="仿宋" w:hAnsi="仿宋" w:eastAsia="仿宋" w:cs="仿宋"/>
          <w:color w:val="auto"/>
          <w:sz w:val="24"/>
          <w:szCs w:val="21"/>
          <w:highlight w:val="none"/>
        </w:rPr>
        <w:t>成交供应商</w:t>
      </w:r>
      <w:r>
        <w:rPr>
          <w:rFonts w:hint="eastAsia" w:ascii="仿宋" w:hAnsi="仿宋" w:eastAsia="仿宋" w:cs="仿宋"/>
          <w:color w:val="auto"/>
          <w:sz w:val="24"/>
          <w:szCs w:val="21"/>
          <w:highlight w:val="none"/>
          <w:lang w:val="zh-CN"/>
        </w:rPr>
        <w:t>支付，具体方式及标准为：</w:t>
      </w:r>
      <w:r>
        <w:rPr>
          <w:rFonts w:hint="eastAsia" w:ascii="仿宋" w:hAnsi="仿宋" w:eastAsia="仿宋" w:cs="仿宋"/>
          <w:color w:val="auto"/>
          <w:sz w:val="24"/>
          <w:szCs w:val="21"/>
          <w:highlight w:val="none"/>
          <w:u w:val="single"/>
        </w:rPr>
        <w:t xml:space="preserve"> 参照国家发改委制定的标准收取代理服务费（发改办价格[2002]1980号文），建议推行数字人民币支付。</w:t>
      </w:r>
      <w:r>
        <w:rPr>
          <w:rFonts w:hint="eastAsia" w:ascii="仿宋" w:hAnsi="仿宋" w:eastAsia="仿宋" w:cs="仿宋"/>
          <w:color w:val="auto"/>
          <w:sz w:val="24"/>
          <w:szCs w:val="21"/>
          <w:highlight w:val="none"/>
        </w:rPr>
        <w:t xml:space="preserve">               </w:t>
      </w:r>
    </w:p>
    <w:p w14:paraId="22FF73FE">
      <w:pPr>
        <w:keepNext/>
        <w:keepLines/>
        <w:spacing w:line="520" w:lineRule="exact"/>
        <w:ind w:firstLine="600"/>
        <w:outlineLvl w:val="3"/>
        <w:rPr>
          <w:rFonts w:hint="eastAsia" w:ascii="仿宋" w:hAnsi="仿宋" w:eastAsia="仿宋" w:cs="仿宋"/>
          <w:color w:val="auto"/>
          <w:sz w:val="28"/>
          <w:szCs w:val="28"/>
          <w:highlight w:val="none"/>
        </w:rPr>
      </w:pPr>
      <w:r>
        <w:rPr>
          <w:rFonts w:hint="eastAsia" w:ascii="仿宋" w:hAnsi="仿宋" w:eastAsia="仿宋" w:cs="仿宋"/>
          <w:color w:val="auto"/>
          <w:sz w:val="30"/>
          <w:szCs w:val="28"/>
          <w:highlight w:val="none"/>
        </w:rPr>
        <w:t>5、</w:t>
      </w:r>
      <w:r>
        <w:rPr>
          <w:rFonts w:hint="eastAsia" w:ascii="仿宋" w:hAnsi="仿宋" w:eastAsia="仿宋" w:cs="仿宋"/>
          <w:color w:val="auto"/>
          <w:sz w:val="28"/>
          <w:szCs w:val="28"/>
          <w:highlight w:val="none"/>
        </w:rPr>
        <w:t>磋商文件的约束力</w:t>
      </w:r>
    </w:p>
    <w:p w14:paraId="334308FB">
      <w:pPr>
        <w:spacing w:line="520" w:lineRule="exact"/>
        <w:ind w:firstLine="480"/>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5.1</w:t>
      </w:r>
      <w:r>
        <w:rPr>
          <w:rFonts w:hint="eastAsia" w:ascii="仿宋" w:hAnsi="仿宋" w:eastAsia="仿宋" w:cs="仿宋"/>
          <w:color w:val="auto"/>
          <w:sz w:val="24"/>
          <w:szCs w:val="24"/>
          <w:highlight w:val="none"/>
        </w:rPr>
        <w:t>供应商一旦参加本项目采购活动，即被认为接受了本磋商文件的规定和约束。</w:t>
      </w:r>
    </w:p>
    <w:p w14:paraId="796B833E">
      <w:pPr>
        <w:keepNext/>
        <w:keepLines/>
        <w:spacing w:line="520" w:lineRule="exact"/>
        <w:ind w:firstLine="640"/>
        <w:outlineLvl w:val="2"/>
        <w:rPr>
          <w:rFonts w:hint="eastAsia" w:ascii="仿宋" w:hAnsi="仿宋" w:eastAsia="仿宋" w:cs="仿宋"/>
          <w:color w:val="auto"/>
          <w:sz w:val="32"/>
          <w:szCs w:val="32"/>
          <w:highlight w:val="none"/>
        </w:rPr>
      </w:pPr>
      <w:bookmarkStart w:id="71" w:name="_Toc120614215"/>
      <w:bookmarkStart w:id="72" w:name="_Toc20823281"/>
      <w:bookmarkStart w:id="73" w:name="_Toc513029209"/>
      <w:bookmarkStart w:id="74" w:name="_Toc16938525"/>
      <w:r>
        <w:rPr>
          <w:rFonts w:hint="eastAsia" w:ascii="仿宋" w:hAnsi="仿宋" w:eastAsia="仿宋" w:cs="仿宋"/>
          <w:color w:val="auto"/>
          <w:sz w:val="32"/>
          <w:szCs w:val="32"/>
          <w:highlight w:val="none"/>
        </w:rPr>
        <w:t>二、</w:t>
      </w:r>
      <w:bookmarkEnd w:id="71"/>
      <w:bookmarkEnd w:id="72"/>
      <w:bookmarkEnd w:id="73"/>
      <w:bookmarkEnd w:id="74"/>
      <w:r>
        <w:rPr>
          <w:rFonts w:hint="eastAsia" w:ascii="仿宋" w:hAnsi="仿宋" w:eastAsia="仿宋" w:cs="仿宋"/>
          <w:color w:val="auto"/>
          <w:sz w:val="32"/>
          <w:szCs w:val="32"/>
          <w:highlight w:val="none"/>
        </w:rPr>
        <w:t>磋商文件</w:t>
      </w:r>
    </w:p>
    <w:p w14:paraId="1073473A">
      <w:pPr>
        <w:keepNext/>
        <w:keepLines/>
        <w:spacing w:line="520" w:lineRule="exact"/>
        <w:ind w:firstLine="560"/>
        <w:outlineLvl w:val="3"/>
        <w:rPr>
          <w:rFonts w:hint="eastAsia" w:ascii="仿宋" w:hAnsi="仿宋" w:eastAsia="仿宋" w:cs="仿宋"/>
          <w:color w:val="auto"/>
          <w:sz w:val="28"/>
          <w:szCs w:val="28"/>
          <w:highlight w:val="none"/>
        </w:rPr>
      </w:pPr>
      <w:bookmarkStart w:id="75" w:name="_Toc20823282"/>
      <w:bookmarkStart w:id="76" w:name="_Toc16938526"/>
      <w:bookmarkStart w:id="77" w:name="_Toc513029210"/>
      <w:r>
        <w:rPr>
          <w:rFonts w:hint="eastAsia" w:ascii="仿宋" w:hAnsi="仿宋" w:eastAsia="仿宋" w:cs="仿宋"/>
          <w:color w:val="auto"/>
          <w:sz w:val="28"/>
          <w:szCs w:val="28"/>
          <w:highlight w:val="none"/>
        </w:rPr>
        <w:t>6、磋商文件构成</w:t>
      </w:r>
      <w:bookmarkEnd w:id="75"/>
      <w:bookmarkEnd w:id="76"/>
      <w:bookmarkEnd w:id="77"/>
    </w:p>
    <w:p w14:paraId="0CA41433">
      <w:pPr>
        <w:spacing w:line="520" w:lineRule="exact"/>
        <w:ind w:firstLine="48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6.1磋商文件由以下部分组成：</w:t>
      </w:r>
    </w:p>
    <w:p w14:paraId="0413E1F0">
      <w:pPr>
        <w:spacing w:line="520" w:lineRule="exact"/>
        <w:ind w:firstLine="48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（1）磋商邀请</w:t>
      </w:r>
    </w:p>
    <w:p w14:paraId="3663D75B">
      <w:pPr>
        <w:spacing w:line="520" w:lineRule="exact"/>
        <w:ind w:firstLine="48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（2）供应商须知</w:t>
      </w:r>
    </w:p>
    <w:p w14:paraId="01904246">
      <w:pPr>
        <w:spacing w:line="520" w:lineRule="exact"/>
        <w:ind w:firstLine="48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（3）合同文本</w:t>
      </w:r>
    </w:p>
    <w:p w14:paraId="7FC20B2E">
      <w:pPr>
        <w:spacing w:line="520" w:lineRule="exact"/>
        <w:ind w:firstLine="48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（4）采购需求</w:t>
      </w:r>
    </w:p>
    <w:p w14:paraId="7CDAD1DB">
      <w:pPr>
        <w:spacing w:line="520" w:lineRule="exact"/>
        <w:ind w:firstLine="48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（5）评审方法与评审标准</w:t>
      </w:r>
    </w:p>
    <w:p w14:paraId="0741D508">
      <w:pPr>
        <w:spacing w:line="520" w:lineRule="exact"/>
        <w:ind w:firstLine="48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（6）响应文件格式</w:t>
      </w:r>
    </w:p>
    <w:p w14:paraId="63BE3A4F">
      <w:pPr>
        <w:spacing w:line="520" w:lineRule="exact"/>
        <w:ind w:firstLine="480"/>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请仔细检查磋商文件是否齐全，如有缺漏请立即与采购代理机构联系解决。</w:t>
      </w:r>
    </w:p>
    <w:p w14:paraId="31414413">
      <w:pPr>
        <w:spacing w:line="520" w:lineRule="exact"/>
        <w:ind w:firstLine="480"/>
        <w:rPr>
          <w:rFonts w:hint="eastAsia" w:ascii="仿宋" w:hAnsi="仿宋" w:eastAsia="仿宋" w:cs="仿宋"/>
          <w:color w:val="auto"/>
          <w:sz w:val="24"/>
          <w:szCs w:val="21"/>
          <w:highlight w:val="none"/>
        </w:rPr>
      </w:pPr>
      <w:r>
        <w:rPr>
          <w:rFonts w:hint="eastAsia" w:ascii="仿宋" w:hAnsi="仿宋" w:eastAsia="仿宋" w:cs="仿宋"/>
          <w:bCs/>
          <w:color w:val="auto"/>
          <w:sz w:val="24"/>
          <w:szCs w:val="21"/>
          <w:highlight w:val="none"/>
        </w:rPr>
        <w:t>6.2</w:t>
      </w:r>
      <w:r>
        <w:rPr>
          <w:rFonts w:hint="eastAsia" w:ascii="仿宋" w:hAnsi="仿宋" w:eastAsia="仿宋" w:cs="仿宋"/>
          <w:color w:val="auto"/>
          <w:sz w:val="24"/>
          <w:szCs w:val="21"/>
          <w:highlight w:val="none"/>
        </w:rPr>
        <w:t>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2F001292">
      <w:pPr>
        <w:keepNext/>
        <w:keepLines/>
        <w:spacing w:line="520" w:lineRule="exact"/>
        <w:ind w:firstLine="560"/>
        <w:outlineLvl w:val="3"/>
        <w:rPr>
          <w:rFonts w:hint="eastAsia" w:ascii="仿宋" w:hAnsi="仿宋" w:eastAsia="仿宋" w:cs="仿宋"/>
          <w:color w:val="auto"/>
          <w:sz w:val="28"/>
          <w:szCs w:val="28"/>
          <w:highlight w:val="none"/>
        </w:rPr>
      </w:pPr>
      <w:bookmarkStart w:id="78" w:name="_Toc20823283"/>
      <w:bookmarkStart w:id="79" w:name="_Toc462564070"/>
      <w:bookmarkStart w:id="80" w:name="_Toc16938527"/>
      <w:bookmarkStart w:id="81" w:name="_Toc513029211"/>
      <w:r>
        <w:rPr>
          <w:rFonts w:hint="eastAsia" w:ascii="仿宋" w:hAnsi="仿宋" w:eastAsia="仿宋" w:cs="仿宋"/>
          <w:color w:val="auto"/>
          <w:sz w:val="28"/>
          <w:szCs w:val="28"/>
          <w:highlight w:val="none"/>
        </w:rPr>
        <w:t>7、磋商文件的澄清</w:t>
      </w:r>
      <w:bookmarkEnd w:id="78"/>
      <w:bookmarkEnd w:id="79"/>
      <w:bookmarkEnd w:id="80"/>
      <w:bookmarkEnd w:id="81"/>
    </w:p>
    <w:p w14:paraId="2542DACD">
      <w:pPr>
        <w:spacing w:line="520" w:lineRule="exact"/>
        <w:ind w:firstLine="480"/>
        <w:rPr>
          <w:rFonts w:hint="eastAsia" w:ascii="仿宋" w:hAnsi="仿宋" w:eastAsia="仿宋" w:cs="仿宋"/>
          <w:color w:val="auto"/>
          <w:sz w:val="24"/>
          <w:szCs w:val="24"/>
          <w:highlight w:val="none"/>
        </w:rPr>
      </w:pPr>
      <w:r>
        <w:rPr>
          <w:rFonts w:hint="eastAsia" w:ascii="仿宋" w:hAnsi="仿宋" w:eastAsia="仿宋" w:cs="仿宋"/>
          <w:bCs/>
          <w:color w:val="auto"/>
          <w:sz w:val="24"/>
          <w:szCs w:val="21"/>
          <w:highlight w:val="none"/>
        </w:rPr>
        <w:t>7.1</w:t>
      </w:r>
      <w:r>
        <w:rPr>
          <w:rFonts w:hint="eastAsia" w:ascii="仿宋" w:hAnsi="仿宋" w:eastAsia="仿宋" w:cs="仿宋"/>
          <w:color w:val="auto"/>
          <w:sz w:val="24"/>
          <w:szCs w:val="21"/>
          <w:highlight w:val="none"/>
        </w:rPr>
        <w:t>任何要求对磋商文件进行澄清的供应商，应在磋商截止期5日</w:t>
      </w:r>
      <w:r>
        <w:rPr>
          <w:rFonts w:hint="eastAsia" w:ascii="仿宋" w:hAnsi="仿宋" w:eastAsia="仿宋" w:cs="仿宋"/>
          <w:color w:val="auto"/>
          <w:sz w:val="24"/>
          <w:szCs w:val="24"/>
          <w:highlight w:val="none"/>
        </w:rPr>
        <w:t>前</w:t>
      </w:r>
      <w:r>
        <w:rPr>
          <w:rFonts w:hint="eastAsia" w:ascii="仿宋" w:hAnsi="仿宋" w:eastAsia="仿宋" w:cs="仿宋"/>
          <w:color w:val="auto"/>
          <w:sz w:val="24"/>
          <w:szCs w:val="21"/>
          <w:highlight w:val="none"/>
        </w:rPr>
        <w:t>按磋商公告中的通讯地址，以书面形式通知采购代理机构。</w:t>
      </w:r>
    </w:p>
    <w:p w14:paraId="3AC7BA1D">
      <w:pPr>
        <w:keepNext/>
        <w:keepLines/>
        <w:spacing w:line="520" w:lineRule="exact"/>
        <w:ind w:firstLine="560"/>
        <w:outlineLvl w:val="3"/>
        <w:rPr>
          <w:rFonts w:hint="eastAsia" w:ascii="仿宋" w:hAnsi="仿宋" w:eastAsia="仿宋" w:cs="仿宋"/>
          <w:color w:val="auto"/>
          <w:sz w:val="28"/>
          <w:szCs w:val="28"/>
          <w:highlight w:val="none"/>
        </w:rPr>
      </w:pPr>
      <w:bookmarkStart w:id="82" w:name="_Toc513029212"/>
      <w:bookmarkStart w:id="83" w:name="_Toc16938528"/>
      <w:bookmarkStart w:id="84" w:name="_Toc20823284"/>
      <w:bookmarkStart w:id="85" w:name="_Toc462564071"/>
      <w:r>
        <w:rPr>
          <w:rFonts w:hint="eastAsia" w:ascii="仿宋" w:hAnsi="仿宋" w:eastAsia="仿宋" w:cs="仿宋"/>
          <w:color w:val="auto"/>
          <w:sz w:val="28"/>
          <w:szCs w:val="28"/>
          <w:highlight w:val="none"/>
        </w:rPr>
        <w:t>8、磋商文件的澄清和修改</w:t>
      </w:r>
      <w:bookmarkEnd w:id="82"/>
      <w:bookmarkEnd w:id="83"/>
      <w:bookmarkEnd w:id="84"/>
      <w:bookmarkEnd w:id="85"/>
    </w:p>
    <w:p w14:paraId="0E47720E">
      <w:pPr>
        <w:keepNext/>
        <w:keepLines/>
        <w:spacing w:line="520" w:lineRule="exact"/>
        <w:ind w:firstLine="480"/>
        <w:outlineLvl w:val="2"/>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8.1采购代理机构可以以更正公告的形式，对已发出的磋商文件进行必要的澄清或者修改。澄清或者修改的内容可能影响响应文件编制的，更正公告应在</w:t>
      </w:r>
      <w:r>
        <w:rPr>
          <w:rFonts w:hint="eastAsia" w:ascii="仿宋" w:hAnsi="仿宋" w:eastAsia="仿宋" w:cs="仿宋"/>
          <w:color w:val="auto"/>
          <w:sz w:val="24"/>
          <w:szCs w:val="21"/>
          <w:highlight w:val="none"/>
        </w:rPr>
        <w:t>提交首次响应文件截止时间</w:t>
      </w:r>
      <w:r>
        <w:rPr>
          <w:rFonts w:hint="eastAsia" w:ascii="仿宋" w:hAnsi="仿宋" w:eastAsia="仿宋" w:cs="仿宋"/>
          <w:bCs/>
          <w:color w:val="auto"/>
          <w:sz w:val="24"/>
          <w:highlight w:val="none"/>
        </w:rPr>
        <w:t>至少5日前发出，不足5日的，采购代理机构应当顺延</w:t>
      </w:r>
      <w:r>
        <w:rPr>
          <w:rFonts w:hint="eastAsia" w:ascii="仿宋" w:hAnsi="仿宋" w:eastAsia="仿宋" w:cs="仿宋"/>
          <w:color w:val="auto"/>
          <w:sz w:val="24"/>
          <w:szCs w:val="21"/>
          <w:highlight w:val="none"/>
        </w:rPr>
        <w:t>提交首次响应文件截止时间</w:t>
      </w:r>
      <w:r>
        <w:rPr>
          <w:rFonts w:hint="eastAsia" w:ascii="仿宋" w:hAnsi="仿宋" w:eastAsia="仿宋" w:cs="仿宋"/>
          <w:bCs/>
          <w:color w:val="auto"/>
          <w:sz w:val="24"/>
          <w:highlight w:val="none"/>
        </w:rPr>
        <w:t>。</w:t>
      </w:r>
    </w:p>
    <w:p w14:paraId="52A0ACC0">
      <w:pPr>
        <w:spacing w:line="520" w:lineRule="exact"/>
        <w:ind w:firstLine="480"/>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8.2</w:t>
      </w:r>
      <w:r>
        <w:rPr>
          <w:rFonts w:hint="eastAsia" w:ascii="仿宋" w:hAnsi="仿宋" w:eastAsia="仿宋" w:cs="仿宋"/>
          <w:color w:val="auto"/>
          <w:sz w:val="24"/>
          <w:szCs w:val="21"/>
          <w:highlight w:val="none"/>
        </w:rPr>
        <w:t>在响应文件提交截止时间前</w:t>
      </w:r>
      <w:r>
        <w:rPr>
          <w:rFonts w:hint="eastAsia" w:ascii="仿宋" w:hAnsi="仿宋" w:eastAsia="仿宋" w:cs="仿宋"/>
          <w:bCs/>
          <w:color w:val="auto"/>
          <w:sz w:val="24"/>
          <w:highlight w:val="none"/>
        </w:rPr>
        <w:t>，采购代理机构可以对磋商文件进行修改。</w:t>
      </w:r>
    </w:p>
    <w:p w14:paraId="4A647E70">
      <w:pPr>
        <w:spacing w:line="520" w:lineRule="exact"/>
        <w:ind w:firstLine="480"/>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8.3采购代理机构有权按照法定的要求推迟响应文件递交截止日期和磋商日期。</w:t>
      </w:r>
    </w:p>
    <w:p w14:paraId="7F0BDB0E">
      <w:pPr>
        <w:spacing w:line="520" w:lineRule="exact"/>
        <w:ind w:firstLine="480"/>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8.4磋商文件的修改将在原公告媒体上发布更正公告，</w:t>
      </w:r>
      <w:r>
        <w:rPr>
          <w:rFonts w:hint="eastAsia" w:ascii="仿宋" w:hAnsi="仿宋" w:eastAsia="仿宋" w:cs="仿宋"/>
          <w:color w:val="auto"/>
          <w:sz w:val="24"/>
          <w:szCs w:val="21"/>
          <w:highlight w:val="none"/>
        </w:rPr>
        <w:t>更正公告内容将作为磋商文件的组成部分</w:t>
      </w:r>
      <w:r>
        <w:rPr>
          <w:rFonts w:hint="eastAsia" w:ascii="仿宋" w:hAnsi="仿宋" w:eastAsia="仿宋" w:cs="仿宋"/>
          <w:bCs/>
          <w:color w:val="auto"/>
          <w:sz w:val="24"/>
          <w:highlight w:val="none"/>
        </w:rPr>
        <w:t>，并对供应商具有约束力，发布的更正公告视同为以书面形式通知所有获取磋商文件的潜在供应商。</w:t>
      </w:r>
    </w:p>
    <w:p w14:paraId="774163CB">
      <w:pPr>
        <w:spacing w:line="520" w:lineRule="exact"/>
        <w:ind w:firstLine="480"/>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8.5供应商应及时登录“苏采云”系统获取澄清答疑文件（修改后磋商文件），如因供应商原因未能及时下载澄清和修改后的磋商文件，由此造成的相关责任，由供应商承担。</w:t>
      </w:r>
    </w:p>
    <w:p w14:paraId="7162FD6E">
      <w:pPr>
        <w:keepNext/>
        <w:keepLines/>
        <w:spacing w:line="520" w:lineRule="exact"/>
        <w:ind w:firstLine="640"/>
        <w:outlineLvl w:val="2"/>
        <w:rPr>
          <w:rFonts w:hint="eastAsia" w:ascii="仿宋" w:hAnsi="仿宋" w:eastAsia="仿宋" w:cs="仿宋"/>
          <w:color w:val="auto"/>
          <w:sz w:val="32"/>
          <w:szCs w:val="32"/>
          <w:highlight w:val="none"/>
        </w:rPr>
      </w:pPr>
      <w:bookmarkStart w:id="86" w:name="_Toc462564072"/>
      <w:bookmarkStart w:id="87" w:name="_Toc120614216"/>
      <w:bookmarkStart w:id="88" w:name="_Toc513029213"/>
      <w:bookmarkStart w:id="89" w:name="_Toc16938529"/>
      <w:bookmarkStart w:id="90" w:name="_Toc20823285"/>
      <w:r>
        <w:rPr>
          <w:rFonts w:hint="eastAsia" w:ascii="仿宋" w:hAnsi="仿宋" w:eastAsia="仿宋" w:cs="仿宋"/>
          <w:color w:val="auto"/>
          <w:sz w:val="32"/>
          <w:szCs w:val="32"/>
          <w:highlight w:val="none"/>
        </w:rPr>
        <w:t>三、响应文件的编制</w:t>
      </w:r>
      <w:bookmarkEnd w:id="86"/>
      <w:bookmarkEnd w:id="87"/>
      <w:bookmarkEnd w:id="88"/>
      <w:bookmarkEnd w:id="89"/>
      <w:bookmarkEnd w:id="90"/>
    </w:p>
    <w:p w14:paraId="4A6C95B3">
      <w:pPr>
        <w:keepNext/>
        <w:keepLines/>
        <w:spacing w:line="520" w:lineRule="exact"/>
        <w:ind w:firstLine="560"/>
        <w:outlineLvl w:val="3"/>
        <w:rPr>
          <w:rFonts w:hint="eastAsia" w:ascii="仿宋" w:hAnsi="仿宋" w:eastAsia="仿宋" w:cs="仿宋"/>
          <w:b/>
          <w:color w:val="auto"/>
          <w:sz w:val="28"/>
          <w:szCs w:val="28"/>
          <w:highlight w:val="none"/>
        </w:rPr>
      </w:pPr>
      <w:bookmarkStart w:id="91" w:name="_Toc513029214"/>
      <w:bookmarkStart w:id="92" w:name="_Toc462564073"/>
      <w:bookmarkStart w:id="93" w:name="_Toc16938530"/>
      <w:bookmarkStart w:id="94" w:name="_Toc20823286"/>
      <w:r>
        <w:rPr>
          <w:rFonts w:hint="eastAsia" w:ascii="仿宋" w:hAnsi="仿宋" w:eastAsia="仿宋" w:cs="仿宋"/>
          <w:color w:val="auto"/>
          <w:sz w:val="28"/>
          <w:szCs w:val="28"/>
          <w:highlight w:val="none"/>
        </w:rPr>
        <w:t>9、响应文件的语言及度量衡单位</w:t>
      </w:r>
      <w:bookmarkEnd w:id="91"/>
      <w:bookmarkEnd w:id="92"/>
      <w:bookmarkEnd w:id="93"/>
      <w:bookmarkEnd w:id="94"/>
    </w:p>
    <w:p w14:paraId="7BAB820F">
      <w:pPr>
        <w:spacing w:line="520" w:lineRule="exact"/>
        <w:ind w:firstLine="480"/>
        <w:rPr>
          <w:rFonts w:hint="eastAsia" w:ascii="仿宋" w:hAnsi="仿宋" w:eastAsia="仿宋" w:cs="仿宋"/>
          <w:color w:val="auto"/>
          <w:sz w:val="24"/>
          <w:szCs w:val="21"/>
          <w:highlight w:val="none"/>
        </w:rPr>
      </w:pPr>
      <w:r>
        <w:rPr>
          <w:rFonts w:hint="eastAsia" w:ascii="仿宋" w:hAnsi="仿宋" w:eastAsia="仿宋" w:cs="仿宋"/>
          <w:bCs/>
          <w:color w:val="auto"/>
          <w:sz w:val="24"/>
          <w:szCs w:val="21"/>
          <w:highlight w:val="none"/>
        </w:rPr>
        <w:t>9.1</w:t>
      </w:r>
      <w:r>
        <w:rPr>
          <w:rFonts w:hint="eastAsia" w:ascii="仿宋" w:hAnsi="仿宋" w:eastAsia="仿宋" w:cs="仿宋"/>
          <w:color w:val="auto"/>
          <w:sz w:val="24"/>
          <w:szCs w:val="21"/>
          <w:highlight w:val="none"/>
        </w:rPr>
        <w:t>供应商提交的响应文件以及供应商与采购代理机构就有关磋商的所有来往通知、函件和文件均应使用</w:t>
      </w:r>
      <w:r>
        <w:rPr>
          <w:rFonts w:hint="eastAsia" w:ascii="仿宋" w:hAnsi="仿宋" w:eastAsia="仿宋" w:cs="仿宋"/>
          <w:b/>
          <w:bCs/>
          <w:color w:val="auto"/>
          <w:sz w:val="24"/>
          <w:szCs w:val="21"/>
          <w:highlight w:val="none"/>
        </w:rPr>
        <w:t>简体中文</w:t>
      </w:r>
      <w:r>
        <w:rPr>
          <w:rFonts w:hint="eastAsia" w:ascii="仿宋" w:hAnsi="仿宋" w:eastAsia="仿宋" w:cs="仿宋"/>
          <w:color w:val="auto"/>
          <w:sz w:val="24"/>
          <w:szCs w:val="21"/>
          <w:highlight w:val="none"/>
        </w:rPr>
        <w:t>。</w:t>
      </w:r>
    </w:p>
    <w:p w14:paraId="5444C720">
      <w:pPr>
        <w:keepNext/>
        <w:keepLines/>
        <w:spacing w:line="520" w:lineRule="exact"/>
        <w:ind w:firstLine="480"/>
        <w:outlineLvl w:val="2"/>
        <w:rPr>
          <w:rFonts w:hint="eastAsia" w:ascii="仿宋" w:hAnsi="仿宋" w:eastAsia="仿宋" w:cs="仿宋"/>
          <w:color w:val="auto"/>
          <w:sz w:val="24"/>
          <w:szCs w:val="21"/>
          <w:highlight w:val="none"/>
        </w:rPr>
      </w:pPr>
      <w:r>
        <w:rPr>
          <w:rFonts w:hint="eastAsia" w:ascii="仿宋" w:hAnsi="仿宋" w:eastAsia="仿宋" w:cs="仿宋"/>
          <w:bCs/>
          <w:color w:val="auto"/>
          <w:sz w:val="24"/>
          <w:szCs w:val="21"/>
          <w:highlight w:val="none"/>
        </w:rPr>
        <w:t>9.2</w:t>
      </w:r>
      <w:r>
        <w:rPr>
          <w:rFonts w:hint="eastAsia" w:ascii="仿宋" w:hAnsi="仿宋" w:eastAsia="仿宋" w:cs="仿宋"/>
          <w:color w:val="auto"/>
          <w:sz w:val="24"/>
          <w:szCs w:val="21"/>
          <w:highlight w:val="none"/>
        </w:rPr>
        <w:t xml:space="preserve"> 除技术性能另有规定外，响应文件所使用的度量衡单位，均须采用国家法定计量单位。</w:t>
      </w:r>
    </w:p>
    <w:p w14:paraId="5FDC7E1C">
      <w:pPr>
        <w:keepNext/>
        <w:keepLines/>
        <w:spacing w:line="520" w:lineRule="exact"/>
        <w:ind w:firstLine="560"/>
        <w:outlineLvl w:val="3"/>
        <w:rPr>
          <w:rFonts w:hint="eastAsia" w:ascii="仿宋" w:hAnsi="仿宋" w:eastAsia="仿宋" w:cs="仿宋"/>
          <w:color w:val="auto"/>
          <w:sz w:val="28"/>
          <w:szCs w:val="28"/>
          <w:highlight w:val="none"/>
        </w:rPr>
      </w:pPr>
      <w:bookmarkStart w:id="95" w:name="_Toc462564074"/>
      <w:bookmarkStart w:id="96" w:name="_Toc20823287"/>
      <w:bookmarkStart w:id="97" w:name="_Toc16938531"/>
      <w:bookmarkStart w:id="98" w:name="_Toc513029215"/>
      <w:r>
        <w:rPr>
          <w:rFonts w:hint="eastAsia" w:ascii="仿宋" w:hAnsi="仿宋" w:eastAsia="仿宋" w:cs="仿宋"/>
          <w:color w:val="auto"/>
          <w:sz w:val="28"/>
          <w:szCs w:val="28"/>
          <w:highlight w:val="none"/>
        </w:rPr>
        <w:t>10、响应文件构成</w:t>
      </w:r>
      <w:bookmarkEnd w:id="95"/>
      <w:bookmarkEnd w:id="96"/>
      <w:bookmarkEnd w:id="97"/>
      <w:bookmarkEnd w:id="98"/>
    </w:p>
    <w:p w14:paraId="1DBFCCB8">
      <w:pPr>
        <w:spacing w:line="520" w:lineRule="exact"/>
        <w:ind w:firstLine="480"/>
        <w:rPr>
          <w:rFonts w:hint="eastAsia" w:ascii="仿宋" w:hAnsi="仿宋" w:eastAsia="仿宋" w:cs="仿宋"/>
          <w:bCs/>
          <w:color w:val="auto"/>
          <w:sz w:val="24"/>
          <w:highlight w:val="none"/>
        </w:rPr>
      </w:pPr>
      <w:r>
        <w:rPr>
          <w:rFonts w:hint="eastAsia" w:ascii="仿宋" w:hAnsi="仿宋" w:eastAsia="仿宋" w:cs="仿宋"/>
          <w:bCs/>
          <w:color w:val="auto"/>
          <w:sz w:val="24"/>
          <w:szCs w:val="21"/>
          <w:highlight w:val="none"/>
        </w:rPr>
        <w:t>10.1</w:t>
      </w:r>
      <w:r>
        <w:rPr>
          <w:rFonts w:hint="eastAsia" w:ascii="仿宋" w:hAnsi="仿宋" w:eastAsia="仿宋" w:cs="仿宋"/>
          <w:bCs/>
          <w:color w:val="auto"/>
          <w:sz w:val="24"/>
          <w:highlight w:val="none"/>
        </w:rPr>
        <w:t>供应商应仔细阅读“磋商文件”的所有内容，按“磋商文件”第六章“响应文件格式”编制“电子响应文件”，如有必要，可以增加附页，作为响应文件的组成部分。本次磋商不接受纸质响应文件。供应商须保证所提供的全部资料的真实性、完整性及有效性，以使其投标对“磋商文件”作出实质性响应。否则，可能被拒绝。</w:t>
      </w:r>
    </w:p>
    <w:p w14:paraId="48EC219D">
      <w:pPr>
        <w:spacing w:line="520" w:lineRule="exact"/>
        <w:ind w:firstLine="480"/>
        <w:rPr>
          <w:rFonts w:hint="eastAsia" w:ascii="仿宋" w:hAnsi="仿宋" w:eastAsia="仿宋" w:cs="仿宋"/>
          <w:color w:val="auto"/>
          <w:sz w:val="24"/>
          <w:szCs w:val="21"/>
          <w:highlight w:val="none"/>
        </w:rPr>
      </w:pPr>
      <w:r>
        <w:rPr>
          <w:rFonts w:hint="eastAsia" w:ascii="仿宋" w:hAnsi="仿宋" w:eastAsia="仿宋" w:cs="仿宋"/>
          <w:bCs/>
          <w:color w:val="auto"/>
          <w:sz w:val="24"/>
          <w:highlight w:val="none"/>
          <w:lang w:val="zh-CN"/>
        </w:rPr>
        <w:t>各供应商在编制</w:t>
      </w:r>
      <w:r>
        <w:rPr>
          <w:rFonts w:hint="eastAsia" w:ascii="仿宋" w:hAnsi="仿宋" w:eastAsia="仿宋" w:cs="仿宋"/>
          <w:bCs/>
          <w:color w:val="auto"/>
          <w:sz w:val="24"/>
          <w:highlight w:val="none"/>
        </w:rPr>
        <w:t>响应文件</w:t>
      </w:r>
      <w:r>
        <w:rPr>
          <w:rFonts w:hint="eastAsia" w:ascii="仿宋" w:hAnsi="仿宋" w:eastAsia="仿宋" w:cs="仿宋"/>
          <w:bCs/>
          <w:color w:val="auto"/>
          <w:sz w:val="24"/>
          <w:highlight w:val="none"/>
          <w:lang w:val="zh-CN"/>
        </w:rPr>
        <w:t>时请按照磋商文件第六</w:t>
      </w:r>
      <w:r>
        <w:rPr>
          <w:rFonts w:hint="eastAsia" w:ascii="仿宋" w:hAnsi="仿宋" w:eastAsia="仿宋" w:cs="仿宋"/>
          <w:bCs/>
          <w:color w:val="auto"/>
          <w:sz w:val="24"/>
          <w:highlight w:val="none"/>
        </w:rPr>
        <w:t>章</w:t>
      </w:r>
      <w:r>
        <w:rPr>
          <w:rFonts w:hint="eastAsia" w:ascii="仿宋" w:hAnsi="仿宋" w:eastAsia="仿宋" w:cs="仿宋"/>
          <w:bCs/>
          <w:color w:val="auto"/>
          <w:sz w:val="24"/>
          <w:highlight w:val="none"/>
          <w:lang w:val="zh-CN"/>
        </w:rPr>
        <w:t>规定的格式进行，混乱的编排导致</w:t>
      </w:r>
      <w:r>
        <w:rPr>
          <w:rFonts w:hint="eastAsia" w:ascii="仿宋" w:hAnsi="仿宋" w:eastAsia="仿宋" w:cs="仿宋"/>
          <w:bCs/>
          <w:color w:val="auto"/>
          <w:sz w:val="24"/>
          <w:highlight w:val="none"/>
        </w:rPr>
        <w:t>响应</w:t>
      </w:r>
      <w:r>
        <w:rPr>
          <w:rFonts w:hint="eastAsia" w:ascii="仿宋" w:hAnsi="仿宋" w:eastAsia="仿宋" w:cs="仿宋"/>
          <w:bCs/>
          <w:color w:val="auto"/>
          <w:sz w:val="24"/>
          <w:highlight w:val="none"/>
          <w:lang w:val="zh-CN"/>
        </w:rPr>
        <w:t>文件被误读或磋商小组查找不到有效文件是供应商的风险。</w:t>
      </w:r>
    </w:p>
    <w:p w14:paraId="7C524017">
      <w:pPr>
        <w:spacing w:line="520" w:lineRule="exact"/>
        <w:ind w:firstLine="480"/>
        <w:rPr>
          <w:rFonts w:hint="eastAsia" w:ascii="仿宋" w:hAnsi="仿宋" w:eastAsia="仿宋" w:cs="仿宋"/>
          <w:color w:val="auto"/>
          <w:sz w:val="24"/>
          <w:highlight w:val="none"/>
        </w:rPr>
      </w:pPr>
      <w:r>
        <w:rPr>
          <w:rFonts w:hint="eastAsia" w:ascii="仿宋" w:hAnsi="仿宋" w:eastAsia="仿宋" w:cs="仿宋"/>
          <w:color w:val="auto"/>
          <w:sz w:val="24"/>
          <w:szCs w:val="21"/>
          <w:highlight w:val="none"/>
        </w:rPr>
        <w:t>10.2</w:t>
      </w:r>
      <w:r>
        <w:rPr>
          <w:rFonts w:hint="eastAsia" w:ascii="仿宋" w:hAnsi="仿宋" w:eastAsia="仿宋" w:cs="仿宋"/>
          <w:color w:val="auto"/>
          <w:sz w:val="24"/>
          <w:highlight w:val="none"/>
        </w:rPr>
        <w:t>供应商编写的响应文件应包括资格证明文件、分项报价表、响应及偏离表、其他证明文件、磋商申请及声明函、开标一览表等部分。</w:t>
      </w:r>
    </w:p>
    <w:p w14:paraId="3B6256CD">
      <w:pPr>
        <w:spacing w:line="520" w:lineRule="exact"/>
        <w:ind w:firstLine="480"/>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10.3响应文件须加盖电子签章，应按要求加盖</w:t>
      </w:r>
      <w:r>
        <w:rPr>
          <w:rFonts w:hint="eastAsia" w:ascii="仿宋" w:hAnsi="仿宋" w:eastAsia="仿宋" w:cs="仿宋"/>
          <w:bCs/>
          <w:color w:val="auto"/>
          <w:sz w:val="24"/>
          <w:highlight w:val="none"/>
          <w:lang w:val="zh-CN"/>
        </w:rPr>
        <w:t>供应商</w:t>
      </w:r>
      <w:r>
        <w:rPr>
          <w:rFonts w:hint="eastAsia" w:ascii="仿宋" w:hAnsi="仿宋" w:eastAsia="仿宋" w:cs="仿宋"/>
          <w:bCs/>
          <w:color w:val="auto"/>
          <w:sz w:val="24"/>
          <w:highlight w:val="none"/>
        </w:rPr>
        <w:t>数字证书的电子签章。其他需要盖章但未明确要求电子签章的，</w:t>
      </w:r>
      <w:r>
        <w:rPr>
          <w:rFonts w:hint="eastAsia" w:ascii="仿宋" w:hAnsi="仿宋" w:eastAsia="仿宋" w:cs="仿宋"/>
          <w:bCs/>
          <w:color w:val="auto"/>
          <w:sz w:val="24"/>
          <w:highlight w:val="none"/>
          <w:lang w:val="zh-CN"/>
        </w:rPr>
        <w:t>供应商</w:t>
      </w:r>
      <w:r>
        <w:rPr>
          <w:rFonts w:hint="eastAsia" w:ascii="仿宋" w:hAnsi="仿宋" w:eastAsia="仿宋" w:cs="仿宋"/>
          <w:bCs/>
          <w:color w:val="auto"/>
          <w:sz w:val="24"/>
          <w:highlight w:val="none"/>
        </w:rPr>
        <w:t xml:space="preserve">可按要求加盖公章后上传材料电子件或直接加盖电子签章。 </w:t>
      </w:r>
    </w:p>
    <w:p w14:paraId="58012575">
      <w:pPr>
        <w:spacing w:line="520" w:lineRule="exact"/>
        <w:ind w:firstLine="480"/>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10.4本项目通过“苏采云”系统进行电子招标投标，即</w:t>
      </w:r>
      <w:r>
        <w:rPr>
          <w:rFonts w:hint="eastAsia" w:ascii="仿宋" w:hAnsi="仿宋" w:eastAsia="仿宋" w:cs="仿宋"/>
          <w:bCs/>
          <w:color w:val="auto"/>
          <w:sz w:val="24"/>
          <w:highlight w:val="none"/>
          <w:lang w:val="zh-CN"/>
        </w:rPr>
        <w:t>供应商</w:t>
      </w:r>
      <w:r>
        <w:rPr>
          <w:rFonts w:hint="eastAsia" w:ascii="仿宋" w:hAnsi="仿宋" w:eastAsia="仿宋" w:cs="仿宋"/>
          <w:bCs/>
          <w:color w:val="auto"/>
          <w:sz w:val="24"/>
          <w:highlight w:val="none"/>
        </w:rPr>
        <w:t>应当通过“苏采云”系统提交数据电文形式的响应文件（即电子投标）。响应文件使用政府采购客户端工具制作并通过“苏采云”系统提交，未进行响应文件提交并解密的</w:t>
      </w:r>
      <w:r>
        <w:rPr>
          <w:rFonts w:hint="eastAsia" w:ascii="仿宋" w:hAnsi="仿宋" w:eastAsia="仿宋" w:cs="仿宋"/>
          <w:bCs/>
          <w:color w:val="auto"/>
          <w:sz w:val="24"/>
          <w:highlight w:val="none"/>
          <w:lang w:val="zh-CN"/>
        </w:rPr>
        <w:t>供应商</w:t>
      </w:r>
      <w:r>
        <w:rPr>
          <w:rFonts w:hint="eastAsia" w:ascii="仿宋" w:hAnsi="仿宋" w:eastAsia="仿宋" w:cs="仿宋"/>
          <w:bCs/>
          <w:color w:val="auto"/>
          <w:sz w:val="24"/>
          <w:highlight w:val="none"/>
        </w:rPr>
        <w:t>，按照无效响应处理（因“苏采云”系统导致解密失败的除外）。</w:t>
      </w:r>
    </w:p>
    <w:p w14:paraId="095CDCEE">
      <w:pPr>
        <w:spacing w:line="520" w:lineRule="exact"/>
        <w:ind w:firstLine="480"/>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10.5如标书制作工具中格式和内容与“宿迁市政府采购网”发布的磋商文件不一致，请以“宿迁市政府采购网”发布的磋商文件为准。</w:t>
      </w:r>
    </w:p>
    <w:p w14:paraId="4D7C3F08">
      <w:pPr>
        <w:spacing w:line="520" w:lineRule="exact"/>
        <w:ind w:firstLine="480"/>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10.6成交后按相关要求提供与电子响应文件一致的纸质打印响应文件3份。 </w:t>
      </w:r>
    </w:p>
    <w:p w14:paraId="67D7F83C">
      <w:pPr>
        <w:spacing w:line="520" w:lineRule="exact"/>
        <w:ind w:firstLine="480"/>
        <w:rPr>
          <w:rFonts w:hint="eastAsia" w:ascii="仿宋" w:hAnsi="仿宋" w:eastAsia="仿宋" w:cs="仿宋"/>
          <w:color w:val="auto"/>
          <w:sz w:val="24"/>
          <w:highlight w:val="none"/>
        </w:rPr>
      </w:pPr>
      <w:bookmarkStart w:id="99" w:name="EBc50e2bb832bb43068403b10c1cce6141"/>
      <w:r>
        <w:rPr>
          <w:rFonts w:hint="eastAsia" w:ascii="仿宋" w:hAnsi="仿宋" w:eastAsia="仿宋" w:cs="仿宋"/>
          <w:bCs/>
          <w:color w:val="auto"/>
          <w:sz w:val="24"/>
          <w:highlight w:val="none"/>
        </w:rPr>
        <w:t>注：（1）响应文件构成资料为非中文时应提供中文译版；（2）磋商文件要求提供证书证件等原件电子件的，供应商提供的电子件应是对证书证件等原件通过扫描、拍照等方式进行数字化的可被“苏采云”系统识别的数字文件，否则磋商小组可以视其未提供。（3）无论何种原因，即使供应商磋商时携带了证书证明资料的原件，但电子响应文件中未包含相关资料电子件的，磋商小组可以视同其未提供。</w:t>
      </w:r>
      <w:bookmarkEnd w:id="99"/>
    </w:p>
    <w:p w14:paraId="1DEBEBD9">
      <w:pPr>
        <w:keepNext/>
        <w:keepLines/>
        <w:spacing w:line="520" w:lineRule="exact"/>
        <w:ind w:firstLine="560"/>
        <w:outlineLvl w:val="3"/>
        <w:rPr>
          <w:rFonts w:hint="eastAsia" w:ascii="仿宋" w:hAnsi="仿宋" w:eastAsia="仿宋" w:cs="仿宋"/>
          <w:color w:val="auto"/>
          <w:sz w:val="28"/>
          <w:szCs w:val="28"/>
          <w:highlight w:val="none"/>
        </w:rPr>
      </w:pPr>
      <w:bookmarkStart w:id="100" w:name="_Hlt26670360"/>
      <w:bookmarkEnd w:id="100"/>
      <w:bookmarkStart w:id="101" w:name="_Hlt26954838"/>
      <w:bookmarkEnd w:id="101"/>
      <w:bookmarkStart w:id="102" w:name="_Hlt26668975"/>
      <w:bookmarkEnd w:id="102"/>
      <w:bookmarkStart w:id="103" w:name="_Toc14577357"/>
      <w:bookmarkStart w:id="104" w:name="_Toc513029219"/>
      <w:bookmarkStart w:id="105" w:name="_Toc49090507"/>
      <w:bookmarkStart w:id="106" w:name="_Toc14577354"/>
      <w:bookmarkStart w:id="107" w:name="_Toc49090509"/>
      <w:bookmarkStart w:id="108" w:name="_Toc513029216"/>
      <w:bookmarkStart w:id="109" w:name="_Toc49090508"/>
      <w:bookmarkStart w:id="110" w:name="_Toc14577355"/>
      <w:r>
        <w:rPr>
          <w:rFonts w:hint="eastAsia" w:ascii="仿宋" w:hAnsi="仿宋" w:eastAsia="仿宋" w:cs="仿宋"/>
          <w:color w:val="auto"/>
          <w:sz w:val="28"/>
          <w:szCs w:val="28"/>
          <w:highlight w:val="none"/>
        </w:rPr>
        <w:t>11、证明磋商响应标的符合磋商文件规定的文件</w:t>
      </w:r>
      <w:bookmarkEnd w:id="103"/>
      <w:bookmarkEnd w:id="104"/>
      <w:bookmarkEnd w:id="105"/>
      <w:bookmarkEnd w:id="106"/>
      <w:bookmarkEnd w:id="107"/>
      <w:bookmarkEnd w:id="108"/>
    </w:p>
    <w:p w14:paraId="22A418C4">
      <w:pPr>
        <w:spacing w:line="520" w:lineRule="exact"/>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11.1供应商应按照磋商文件要求提交证明文件，证明其及磋商响应标的符合磋商文件规定。</w:t>
      </w:r>
    </w:p>
    <w:p w14:paraId="583B4F2F">
      <w:pPr>
        <w:spacing w:line="520" w:lineRule="exact"/>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11.2磋商文件对证明文件无明确形式要求的，证明文件可以以文字资料、图纸和数据等形式提交。</w:t>
      </w:r>
      <w:bookmarkEnd w:id="109"/>
      <w:bookmarkEnd w:id="110"/>
    </w:p>
    <w:p w14:paraId="56CC9F18">
      <w:pPr>
        <w:keepNext/>
        <w:keepLines/>
        <w:spacing w:line="520" w:lineRule="exact"/>
        <w:ind w:firstLine="560"/>
        <w:outlineLvl w:val="3"/>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12、分项报价表</w:t>
      </w:r>
    </w:p>
    <w:p w14:paraId="1573F498">
      <w:pPr>
        <w:spacing w:line="520" w:lineRule="exact"/>
        <w:ind w:firstLine="480"/>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12.1</w:t>
      </w:r>
      <w:r>
        <w:rPr>
          <w:rFonts w:hint="eastAsia" w:ascii="仿宋" w:hAnsi="仿宋" w:eastAsia="仿宋" w:cs="仿宋"/>
          <w:color w:val="auto"/>
          <w:sz w:val="24"/>
          <w:szCs w:val="21"/>
          <w:highlight w:val="none"/>
        </w:rPr>
        <w:t>供应商应按照磋商文件规定格式填报分项报价表。</w:t>
      </w:r>
    </w:p>
    <w:p w14:paraId="0E02E538">
      <w:pPr>
        <w:spacing w:line="520" w:lineRule="exact"/>
        <w:ind w:firstLine="480"/>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12.2</w:t>
      </w:r>
      <w:r>
        <w:rPr>
          <w:rFonts w:hint="eastAsia" w:ascii="仿宋" w:hAnsi="仿宋" w:eastAsia="仿宋" w:cs="仿宋"/>
          <w:bCs/>
          <w:color w:val="auto"/>
          <w:sz w:val="24"/>
          <w:szCs w:val="21"/>
          <w:highlight w:val="none"/>
        </w:rPr>
        <w:t>磋商货币。响应文件中的单价和总价无特殊规定的采用人民币报价，以元为单位标注。</w:t>
      </w:r>
      <w:r>
        <w:rPr>
          <w:rFonts w:hint="eastAsia" w:ascii="仿宋" w:hAnsi="仿宋" w:eastAsia="仿宋" w:cs="仿宋"/>
          <w:color w:val="auto"/>
          <w:sz w:val="24"/>
          <w:szCs w:val="21"/>
          <w:highlight w:val="none"/>
        </w:rPr>
        <w:t>磋商文件中另有规定的按规定执行。</w:t>
      </w:r>
    </w:p>
    <w:p w14:paraId="0847753A">
      <w:pPr>
        <w:spacing w:line="520" w:lineRule="exact"/>
        <w:ind w:firstLine="480"/>
        <w:rPr>
          <w:rFonts w:hint="eastAsia" w:ascii="仿宋" w:hAnsi="仿宋" w:eastAsia="仿宋" w:cs="仿宋"/>
          <w:bCs/>
          <w:color w:val="auto"/>
          <w:sz w:val="24"/>
          <w:szCs w:val="21"/>
          <w:highlight w:val="none"/>
        </w:rPr>
      </w:pPr>
      <w:r>
        <w:rPr>
          <w:rFonts w:hint="eastAsia" w:ascii="仿宋" w:hAnsi="仿宋" w:eastAsia="仿宋" w:cs="仿宋"/>
          <w:bCs/>
          <w:color w:val="auto"/>
          <w:sz w:val="24"/>
          <w:highlight w:val="none"/>
        </w:rPr>
        <w:t>12.3本项目不接受备选的投标方案或有选择的报价，只允许有一个报价。供应商响应文件中的报价作为首次报价，不公开；以最后报价作为评审价。投标报价内容包括：服务本身、人工费、服务费、税金等完成本项目所涉及到的一切相关费用。</w:t>
      </w:r>
    </w:p>
    <w:p w14:paraId="0FB7992D">
      <w:pPr>
        <w:keepNext/>
        <w:keepLines/>
        <w:spacing w:line="520" w:lineRule="exact"/>
        <w:ind w:firstLine="560"/>
        <w:outlineLvl w:val="3"/>
        <w:rPr>
          <w:rFonts w:hint="eastAsia" w:ascii="仿宋" w:hAnsi="仿宋" w:eastAsia="仿宋" w:cs="仿宋"/>
          <w:color w:val="auto"/>
          <w:sz w:val="28"/>
          <w:szCs w:val="28"/>
          <w:highlight w:val="none"/>
        </w:rPr>
      </w:pPr>
      <w:bookmarkStart w:id="111" w:name="_Hlt26670486"/>
      <w:bookmarkEnd w:id="111"/>
      <w:bookmarkStart w:id="112" w:name="_Hlt26670482"/>
      <w:bookmarkEnd w:id="112"/>
      <w:bookmarkStart w:id="113" w:name="_Hlt26954731"/>
      <w:bookmarkEnd w:id="113"/>
      <w:bookmarkStart w:id="114" w:name="_Hlt26954846"/>
      <w:bookmarkEnd w:id="114"/>
      <w:bookmarkStart w:id="115" w:name="_Hlt26954848"/>
      <w:bookmarkEnd w:id="115"/>
      <w:r>
        <w:rPr>
          <w:rFonts w:hint="eastAsia" w:ascii="仿宋" w:hAnsi="仿宋" w:eastAsia="仿宋" w:cs="仿宋"/>
          <w:color w:val="auto"/>
          <w:sz w:val="28"/>
          <w:szCs w:val="28"/>
          <w:highlight w:val="none"/>
        </w:rPr>
        <w:t>13、技术要求响应及偏离表、商务要求响应及偏离表</w:t>
      </w:r>
    </w:p>
    <w:p w14:paraId="0FA032CF">
      <w:pPr>
        <w:spacing w:line="520" w:lineRule="exact"/>
        <w:ind w:firstLine="480"/>
        <w:rPr>
          <w:rFonts w:hint="eastAsia" w:ascii="仿宋" w:hAnsi="仿宋" w:eastAsia="仿宋" w:cs="仿宋"/>
          <w:color w:val="auto"/>
          <w:sz w:val="24"/>
          <w:szCs w:val="21"/>
          <w:highlight w:val="none"/>
        </w:rPr>
      </w:pPr>
      <w:r>
        <w:rPr>
          <w:rFonts w:hint="eastAsia" w:ascii="仿宋" w:hAnsi="仿宋" w:eastAsia="仿宋" w:cs="仿宋"/>
          <w:bCs/>
          <w:color w:val="auto"/>
          <w:sz w:val="24"/>
          <w:szCs w:val="21"/>
          <w:highlight w:val="none"/>
          <w:lang w:val="zh-CN"/>
        </w:rPr>
        <w:t>13.1</w:t>
      </w:r>
      <w:r>
        <w:rPr>
          <w:rFonts w:hint="eastAsia" w:ascii="仿宋" w:hAnsi="仿宋" w:eastAsia="仿宋" w:cs="仿宋"/>
          <w:color w:val="auto"/>
          <w:sz w:val="24"/>
          <w:szCs w:val="21"/>
          <w:highlight w:val="none"/>
          <w:lang w:val="zh-CN"/>
        </w:rPr>
        <w:t>供应商需对磋商文件中的技术要求与商务要求逐项作出响应或偏离，并说明原因。</w:t>
      </w:r>
    </w:p>
    <w:p w14:paraId="63FF6AC4">
      <w:pPr>
        <w:spacing w:line="520" w:lineRule="exact"/>
        <w:ind w:firstLine="480"/>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lang w:val="zh-CN"/>
        </w:rPr>
        <w:t>13.2供应商可在响应文件中提供认为需要的其他技术文件或说明。</w:t>
      </w:r>
    </w:p>
    <w:p w14:paraId="630D8015">
      <w:pPr>
        <w:keepNext/>
        <w:keepLines/>
        <w:spacing w:line="520" w:lineRule="exact"/>
        <w:ind w:firstLine="560"/>
        <w:outlineLvl w:val="3"/>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14、服务承诺、培训计划、人员安排及其他</w:t>
      </w:r>
    </w:p>
    <w:p w14:paraId="50EF30C6">
      <w:pPr>
        <w:spacing w:line="520" w:lineRule="exact"/>
        <w:ind w:firstLine="480"/>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14.1</w:t>
      </w:r>
      <w:r>
        <w:rPr>
          <w:rFonts w:hint="eastAsia" w:ascii="仿宋" w:hAnsi="仿宋" w:eastAsia="仿宋" w:cs="仿宋"/>
          <w:color w:val="auto"/>
          <w:sz w:val="24"/>
          <w:szCs w:val="24"/>
          <w:highlight w:val="none"/>
        </w:rPr>
        <w:t>供应商需根据磋商文件要求提供有关售后服务的管理制度，售后服务机构的分布情况，售后服务人员的数量、素质、技术水平及售后服务的反应能力等。</w:t>
      </w:r>
    </w:p>
    <w:p w14:paraId="08D2CF56">
      <w:pPr>
        <w:spacing w:line="520" w:lineRule="exact"/>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14.2供应商需根据磋商文件要求提供培训计划。</w:t>
      </w:r>
    </w:p>
    <w:p w14:paraId="3323BB5F">
      <w:pPr>
        <w:spacing w:line="520" w:lineRule="exact"/>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14.3供应商需根据磋商文件要求提供</w:t>
      </w:r>
      <w:r>
        <w:rPr>
          <w:rFonts w:hint="eastAsia" w:ascii="仿宋" w:hAnsi="仿宋" w:eastAsia="仿宋" w:cs="仿宋"/>
          <w:color w:val="auto"/>
          <w:sz w:val="24"/>
          <w:szCs w:val="21"/>
          <w:highlight w:val="none"/>
          <w:lang w:val="zh-CN"/>
        </w:rPr>
        <w:t>磋商响应标的的主要组成部分、功能设计、实现思路及关键技术等。</w:t>
      </w:r>
    </w:p>
    <w:p w14:paraId="6211B702">
      <w:pPr>
        <w:keepNext/>
        <w:keepLines/>
        <w:spacing w:line="520" w:lineRule="exact"/>
        <w:ind w:firstLine="560"/>
        <w:outlineLvl w:val="3"/>
        <w:rPr>
          <w:rFonts w:hint="eastAsia" w:ascii="仿宋" w:hAnsi="仿宋" w:eastAsia="仿宋" w:cs="仿宋"/>
          <w:color w:val="auto"/>
          <w:sz w:val="28"/>
          <w:szCs w:val="28"/>
          <w:highlight w:val="none"/>
        </w:rPr>
      </w:pPr>
      <w:bookmarkStart w:id="116" w:name="_Toc14577359"/>
      <w:bookmarkStart w:id="117" w:name="_Toc49090510"/>
      <w:r>
        <w:rPr>
          <w:rFonts w:hint="eastAsia" w:ascii="仿宋" w:hAnsi="仿宋" w:eastAsia="仿宋" w:cs="仿宋"/>
          <w:color w:val="auto"/>
          <w:sz w:val="28"/>
          <w:szCs w:val="28"/>
          <w:highlight w:val="none"/>
        </w:rPr>
        <w:t>15、磋商响应函</w:t>
      </w:r>
    </w:p>
    <w:p w14:paraId="4BD57BC1">
      <w:pPr>
        <w:spacing w:line="520" w:lineRule="exact"/>
        <w:ind w:firstLine="480"/>
        <w:rPr>
          <w:rFonts w:hint="eastAsia" w:ascii="仿宋" w:hAnsi="仿宋" w:eastAsia="仿宋" w:cs="仿宋"/>
          <w:color w:val="auto"/>
          <w:sz w:val="24"/>
          <w:szCs w:val="21"/>
          <w:highlight w:val="none"/>
        </w:rPr>
      </w:pPr>
      <w:r>
        <w:rPr>
          <w:rFonts w:hint="eastAsia" w:ascii="仿宋" w:hAnsi="仿宋" w:eastAsia="仿宋" w:cs="仿宋"/>
          <w:bCs/>
          <w:color w:val="auto"/>
          <w:sz w:val="24"/>
          <w:szCs w:val="21"/>
          <w:highlight w:val="none"/>
        </w:rPr>
        <w:t>15.1</w:t>
      </w:r>
      <w:r>
        <w:rPr>
          <w:rFonts w:hint="eastAsia" w:ascii="仿宋" w:hAnsi="仿宋" w:eastAsia="仿宋" w:cs="仿宋"/>
          <w:color w:val="auto"/>
          <w:sz w:val="24"/>
          <w:szCs w:val="21"/>
          <w:highlight w:val="none"/>
        </w:rPr>
        <w:t>供应商应按照磋商文件中提供的格式完整、正确填写磋商响应函。</w:t>
      </w:r>
      <w:bookmarkEnd w:id="116"/>
      <w:bookmarkEnd w:id="117"/>
    </w:p>
    <w:p w14:paraId="63061134">
      <w:pPr>
        <w:keepNext/>
        <w:keepLines/>
        <w:spacing w:line="520" w:lineRule="exact"/>
        <w:ind w:firstLine="560"/>
        <w:outlineLvl w:val="3"/>
        <w:rPr>
          <w:rFonts w:hint="eastAsia" w:ascii="仿宋" w:hAnsi="仿宋" w:eastAsia="仿宋" w:cs="仿宋"/>
          <w:color w:val="auto"/>
          <w:sz w:val="28"/>
          <w:szCs w:val="28"/>
          <w:highlight w:val="none"/>
        </w:rPr>
      </w:pPr>
      <w:bookmarkStart w:id="118" w:name="_Toc49090511"/>
      <w:bookmarkStart w:id="119" w:name="_Toc14577360"/>
      <w:r>
        <w:rPr>
          <w:rFonts w:hint="eastAsia" w:ascii="仿宋" w:hAnsi="仿宋" w:eastAsia="仿宋" w:cs="仿宋"/>
          <w:color w:val="auto"/>
          <w:sz w:val="28"/>
          <w:szCs w:val="28"/>
          <w:highlight w:val="none"/>
        </w:rPr>
        <w:t>16、磋商有效期</w:t>
      </w:r>
      <w:bookmarkEnd w:id="118"/>
      <w:bookmarkEnd w:id="119"/>
    </w:p>
    <w:p w14:paraId="3B11CDF1">
      <w:pPr>
        <w:spacing w:line="520" w:lineRule="exact"/>
        <w:ind w:firstLine="480"/>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16.1磋商有效期为提交响应文件截止之日后</w:t>
      </w:r>
      <w:r>
        <w:rPr>
          <w:rFonts w:hint="eastAsia" w:ascii="仿宋" w:hAnsi="仿宋" w:eastAsia="仿宋" w:cs="仿宋"/>
          <w:b/>
          <w:color w:val="auto"/>
          <w:sz w:val="24"/>
          <w:szCs w:val="21"/>
          <w:highlight w:val="none"/>
          <w:u w:val="single"/>
        </w:rPr>
        <w:t>六十（60）天</w:t>
      </w:r>
      <w:r>
        <w:rPr>
          <w:rFonts w:hint="eastAsia" w:ascii="仿宋" w:hAnsi="仿宋" w:eastAsia="仿宋" w:cs="仿宋"/>
          <w:bCs/>
          <w:color w:val="auto"/>
          <w:sz w:val="24"/>
          <w:szCs w:val="21"/>
          <w:highlight w:val="none"/>
        </w:rPr>
        <w:t>。磋商有效期比规定短的将被视为非实质性响应磋商文件而予以拒绝。</w:t>
      </w:r>
    </w:p>
    <w:p w14:paraId="2DF8A05E">
      <w:pPr>
        <w:keepNext/>
        <w:keepLines/>
        <w:spacing w:line="520" w:lineRule="exact"/>
        <w:ind w:firstLine="560"/>
        <w:outlineLvl w:val="3"/>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17、磋商有效期的延长</w:t>
      </w:r>
    </w:p>
    <w:p w14:paraId="494B3596">
      <w:pPr>
        <w:spacing w:line="520" w:lineRule="exact"/>
        <w:ind w:firstLine="480"/>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17.1在特殊情况下，</w:t>
      </w:r>
      <w:r>
        <w:rPr>
          <w:rFonts w:hint="eastAsia" w:ascii="仿宋" w:hAnsi="仿宋" w:eastAsia="仿宋" w:cs="仿宋"/>
          <w:color w:val="auto"/>
          <w:sz w:val="24"/>
          <w:szCs w:val="21"/>
          <w:highlight w:val="none"/>
        </w:rPr>
        <w:t>采购代理机构</w:t>
      </w:r>
      <w:r>
        <w:rPr>
          <w:rFonts w:hint="eastAsia" w:ascii="仿宋" w:hAnsi="仿宋" w:eastAsia="仿宋" w:cs="仿宋"/>
          <w:bCs/>
          <w:color w:val="auto"/>
          <w:sz w:val="24"/>
          <w:szCs w:val="21"/>
          <w:highlight w:val="none"/>
        </w:rPr>
        <w:t>于原磋商有效期满之前，可向供应商提出延长磋商有效期的要求。这种要求与答复均应采用书面形式。供应商可以拒绝</w:t>
      </w:r>
      <w:r>
        <w:rPr>
          <w:rFonts w:hint="eastAsia" w:ascii="仿宋" w:hAnsi="仿宋" w:eastAsia="仿宋" w:cs="仿宋"/>
          <w:color w:val="auto"/>
          <w:sz w:val="24"/>
          <w:szCs w:val="21"/>
          <w:highlight w:val="none"/>
        </w:rPr>
        <w:t>采购代理机构</w:t>
      </w:r>
      <w:r>
        <w:rPr>
          <w:rFonts w:hint="eastAsia" w:ascii="仿宋" w:hAnsi="仿宋" w:eastAsia="仿宋" w:cs="仿宋"/>
          <w:bCs/>
          <w:color w:val="auto"/>
          <w:sz w:val="24"/>
          <w:szCs w:val="21"/>
          <w:highlight w:val="none"/>
        </w:rPr>
        <w:t>的这一要求而放弃磋商，同意延长磋商有效期的供应商既不能要求也不允许修改其响应文件。</w:t>
      </w:r>
      <w:r>
        <w:rPr>
          <w:rFonts w:hint="eastAsia" w:ascii="仿宋" w:hAnsi="仿宋" w:eastAsia="仿宋" w:cs="仿宋"/>
          <w:color w:val="auto"/>
          <w:sz w:val="24"/>
          <w:szCs w:val="24"/>
          <w:highlight w:val="none"/>
        </w:rPr>
        <w:t>受磋商有效期约束的所有权利与义务均延长至新的有效期</w:t>
      </w:r>
      <w:r>
        <w:rPr>
          <w:rFonts w:hint="eastAsia" w:ascii="仿宋" w:hAnsi="仿宋" w:eastAsia="仿宋" w:cs="仿宋"/>
          <w:bCs/>
          <w:color w:val="auto"/>
          <w:sz w:val="24"/>
          <w:szCs w:val="21"/>
          <w:highlight w:val="none"/>
        </w:rPr>
        <w:t>。</w:t>
      </w:r>
    </w:p>
    <w:p w14:paraId="7DF50A41">
      <w:pPr>
        <w:spacing w:line="520" w:lineRule="exact"/>
        <w:ind w:firstLine="480"/>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17.2</w:t>
      </w:r>
      <w:r>
        <w:rPr>
          <w:rFonts w:hint="eastAsia" w:ascii="仿宋" w:hAnsi="仿宋" w:eastAsia="仿宋" w:cs="仿宋"/>
          <w:color w:val="auto"/>
          <w:sz w:val="24"/>
          <w:highlight w:val="none"/>
        </w:rPr>
        <w:t>成交人的响应文件作为项目合同的附件，其有效期至成交人全部合同义务履行完毕为止。</w:t>
      </w:r>
    </w:p>
    <w:p w14:paraId="18BB5415">
      <w:pPr>
        <w:keepNext/>
        <w:keepLines/>
        <w:spacing w:line="520" w:lineRule="exact"/>
        <w:ind w:firstLine="643"/>
        <w:outlineLvl w:val="2"/>
        <w:rPr>
          <w:rFonts w:hint="eastAsia" w:ascii="仿宋" w:hAnsi="仿宋" w:eastAsia="仿宋" w:cs="仿宋"/>
          <w:b/>
          <w:bCs/>
          <w:color w:val="auto"/>
          <w:sz w:val="32"/>
          <w:szCs w:val="32"/>
          <w:highlight w:val="none"/>
        </w:rPr>
      </w:pPr>
      <w:bookmarkStart w:id="120" w:name="_Hlt26954739"/>
      <w:bookmarkEnd w:id="120"/>
      <w:bookmarkStart w:id="121" w:name="_Hlt26954852"/>
      <w:bookmarkEnd w:id="121"/>
      <w:bookmarkStart w:id="122" w:name="_Toc513029224"/>
      <w:bookmarkStart w:id="123" w:name="_Toc16938540"/>
      <w:bookmarkStart w:id="124" w:name="_Toc20823296"/>
      <w:bookmarkStart w:id="125" w:name="_Toc120614217"/>
      <w:r>
        <w:rPr>
          <w:rFonts w:hint="eastAsia" w:ascii="仿宋" w:hAnsi="仿宋" w:eastAsia="仿宋" w:cs="仿宋"/>
          <w:b/>
          <w:bCs/>
          <w:color w:val="auto"/>
          <w:sz w:val="32"/>
          <w:szCs w:val="32"/>
          <w:highlight w:val="none"/>
        </w:rPr>
        <w:t>四、响应文件的递交</w:t>
      </w:r>
      <w:bookmarkEnd w:id="122"/>
      <w:bookmarkEnd w:id="123"/>
      <w:bookmarkEnd w:id="124"/>
      <w:bookmarkEnd w:id="125"/>
    </w:p>
    <w:p w14:paraId="3A5BB6D3">
      <w:pPr>
        <w:keepNext/>
        <w:keepLines/>
        <w:spacing w:line="520" w:lineRule="exact"/>
        <w:ind w:firstLine="560"/>
        <w:outlineLvl w:val="3"/>
        <w:rPr>
          <w:rFonts w:hint="eastAsia" w:ascii="仿宋" w:hAnsi="仿宋" w:eastAsia="仿宋" w:cs="仿宋"/>
          <w:color w:val="auto"/>
          <w:sz w:val="28"/>
          <w:szCs w:val="28"/>
          <w:highlight w:val="none"/>
        </w:rPr>
      </w:pPr>
      <w:bookmarkStart w:id="126" w:name="_Toc16938541"/>
      <w:bookmarkStart w:id="127" w:name="_Toc513029225"/>
      <w:bookmarkStart w:id="128" w:name="_Toc462564084"/>
      <w:bookmarkStart w:id="129" w:name="_Toc20823297"/>
      <w:r>
        <w:rPr>
          <w:rFonts w:hint="eastAsia" w:ascii="仿宋" w:hAnsi="仿宋" w:eastAsia="仿宋" w:cs="仿宋"/>
          <w:color w:val="auto"/>
          <w:sz w:val="28"/>
          <w:szCs w:val="28"/>
          <w:highlight w:val="none"/>
        </w:rPr>
        <w:t>18、电子磋商</w:t>
      </w:r>
      <w:bookmarkEnd w:id="126"/>
      <w:bookmarkEnd w:id="127"/>
      <w:bookmarkEnd w:id="128"/>
      <w:bookmarkEnd w:id="129"/>
      <w:r>
        <w:rPr>
          <w:rFonts w:hint="eastAsia" w:ascii="仿宋" w:hAnsi="仿宋" w:eastAsia="仿宋" w:cs="仿宋"/>
          <w:color w:val="auto"/>
          <w:sz w:val="28"/>
          <w:szCs w:val="28"/>
          <w:highlight w:val="none"/>
        </w:rPr>
        <w:t>响应文件的递交</w:t>
      </w:r>
    </w:p>
    <w:p w14:paraId="6F258108">
      <w:pPr>
        <w:spacing w:line="520" w:lineRule="exact"/>
        <w:ind w:firstLine="480"/>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18.1供应商应当按照《操作手册》规定，在提交响应文件截止时间前制作并上传电子响应文件。</w:t>
      </w:r>
      <w:bookmarkStart w:id="130" w:name="_Toc16938542"/>
      <w:bookmarkStart w:id="131" w:name="_Toc513029226"/>
      <w:bookmarkStart w:id="132" w:name="_Toc20823298"/>
    </w:p>
    <w:p w14:paraId="7C35243F">
      <w:pPr>
        <w:spacing w:line="520" w:lineRule="exact"/>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18.2供应商通过“苏采云”系统不见面开标大厅在线参与开标活动。（具体操作详见《“苏采云”系统供应商操作手册》，网址链接http://www.ccgp-jiangsu.gov.cn//webfile/jiangsu/202311/1699268553318052447.pdf）</w:t>
      </w:r>
    </w:p>
    <w:p w14:paraId="0FD8D82C">
      <w:pPr>
        <w:keepNext/>
        <w:keepLines/>
        <w:spacing w:line="520" w:lineRule="exact"/>
        <w:ind w:firstLine="560"/>
        <w:outlineLvl w:val="3"/>
        <w:rPr>
          <w:rFonts w:hint="eastAsia" w:ascii="仿宋" w:hAnsi="仿宋" w:eastAsia="仿宋" w:cs="仿宋"/>
          <w:bCs/>
          <w:color w:val="auto"/>
          <w:sz w:val="24"/>
          <w:szCs w:val="28"/>
          <w:highlight w:val="none"/>
        </w:rPr>
      </w:pPr>
      <w:r>
        <w:rPr>
          <w:rFonts w:hint="eastAsia" w:ascii="仿宋" w:hAnsi="仿宋" w:eastAsia="仿宋" w:cs="仿宋"/>
          <w:bCs/>
          <w:color w:val="auto"/>
          <w:sz w:val="28"/>
          <w:szCs w:val="28"/>
          <w:highlight w:val="none"/>
        </w:rPr>
        <w:t>19、提交响应文件截止时间</w:t>
      </w:r>
      <w:bookmarkEnd w:id="130"/>
      <w:bookmarkEnd w:id="131"/>
      <w:bookmarkEnd w:id="132"/>
    </w:p>
    <w:p w14:paraId="12C848D3">
      <w:pPr>
        <w:spacing w:line="520" w:lineRule="exact"/>
        <w:ind w:firstLine="480"/>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19.1供应商上传电子响应文件的时间不得迟于磋商公告中规定的提交响应文件截止时间。</w:t>
      </w:r>
    </w:p>
    <w:p w14:paraId="39D51F6C">
      <w:pPr>
        <w:spacing w:line="520" w:lineRule="exact"/>
        <w:ind w:firstLine="480"/>
        <w:rPr>
          <w:rFonts w:hint="eastAsia" w:ascii="仿宋" w:hAnsi="仿宋" w:eastAsia="仿宋" w:cs="仿宋"/>
          <w:bCs/>
          <w:color w:val="auto"/>
          <w:sz w:val="24"/>
          <w:szCs w:val="21"/>
          <w:highlight w:val="none"/>
        </w:rPr>
      </w:pPr>
      <w:r>
        <w:rPr>
          <w:rFonts w:hint="eastAsia" w:ascii="仿宋" w:hAnsi="仿宋" w:eastAsia="仿宋" w:cs="仿宋"/>
          <w:color w:val="auto"/>
          <w:sz w:val="24"/>
          <w:szCs w:val="21"/>
          <w:highlight w:val="none"/>
        </w:rPr>
        <w:t>19.2采购代理机构</w:t>
      </w:r>
      <w:r>
        <w:rPr>
          <w:rFonts w:hint="eastAsia" w:ascii="仿宋" w:hAnsi="仿宋" w:eastAsia="仿宋" w:cs="仿宋"/>
          <w:bCs/>
          <w:color w:val="auto"/>
          <w:sz w:val="24"/>
          <w:szCs w:val="21"/>
          <w:highlight w:val="none"/>
        </w:rPr>
        <w:t>可以按照规定，通过修改磋商文件酌情延长提交响应文件截止日期，在此情况下，供应商的所有权利和义务以及供应商受制的截止日期均应以延长后新的截止日期为准。</w:t>
      </w:r>
    </w:p>
    <w:p w14:paraId="278C8BCA">
      <w:pPr>
        <w:keepNext/>
        <w:keepLines/>
        <w:spacing w:line="520" w:lineRule="exact"/>
        <w:ind w:firstLine="560"/>
        <w:outlineLvl w:val="3"/>
        <w:rPr>
          <w:rFonts w:hint="eastAsia" w:ascii="仿宋" w:hAnsi="仿宋" w:eastAsia="仿宋" w:cs="仿宋"/>
          <w:color w:val="auto"/>
          <w:sz w:val="28"/>
          <w:szCs w:val="28"/>
          <w:highlight w:val="none"/>
        </w:rPr>
      </w:pPr>
      <w:bookmarkStart w:id="133" w:name="_Toc20823299"/>
      <w:bookmarkStart w:id="134" w:name="_Toc16938543"/>
      <w:bookmarkStart w:id="135" w:name="_Toc513029227"/>
      <w:r>
        <w:rPr>
          <w:rFonts w:hint="eastAsia" w:ascii="仿宋" w:hAnsi="仿宋" w:eastAsia="仿宋" w:cs="仿宋"/>
          <w:color w:val="auto"/>
          <w:sz w:val="28"/>
          <w:szCs w:val="28"/>
          <w:highlight w:val="none"/>
        </w:rPr>
        <w:t>20、响应文件</w:t>
      </w:r>
      <w:bookmarkEnd w:id="133"/>
      <w:bookmarkEnd w:id="134"/>
      <w:bookmarkEnd w:id="135"/>
      <w:r>
        <w:rPr>
          <w:rFonts w:hint="eastAsia" w:ascii="仿宋" w:hAnsi="仿宋" w:eastAsia="仿宋" w:cs="仿宋"/>
          <w:color w:val="auto"/>
          <w:sz w:val="28"/>
          <w:szCs w:val="28"/>
          <w:highlight w:val="none"/>
        </w:rPr>
        <w:t>的拒收</w:t>
      </w:r>
    </w:p>
    <w:p w14:paraId="381F5919">
      <w:pPr>
        <w:spacing w:line="520" w:lineRule="exact"/>
        <w:ind w:firstLine="480"/>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20.1 </w:t>
      </w:r>
      <w:r>
        <w:rPr>
          <w:rFonts w:hint="eastAsia" w:ascii="仿宋" w:hAnsi="仿宋" w:eastAsia="仿宋" w:cs="仿宋"/>
          <w:color w:val="auto"/>
          <w:sz w:val="24"/>
          <w:szCs w:val="21"/>
          <w:highlight w:val="none"/>
        </w:rPr>
        <w:t>采购代理机构</w:t>
      </w:r>
      <w:r>
        <w:rPr>
          <w:rFonts w:hint="eastAsia" w:ascii="仿宋" w:hAnsi="仿宋" w:eastAsia="仿宋" w:cs="仿宋"/>
          <w:bCs/>
          <w:color w:val="auto"/>
          <w:sz w:val="24"/>
          <w:szCs w:val="21"/>
          <w:highlight w:val="none"/>
        </w:rPr>
        <w:t>拒绝接收在其规定的提交响应文件截止时间后上传的任何电子响应文件。</w:t>
      </w:r>
      <w:r>
        <w:rPr>
          <w:rFonts w:hint="eastAsia" w:ascii="仿宋" w:hAnsi="仿宋" w:eastAsia="仿宋" w:cs="仿宋"/>
          <w:bCs/>
          <w:color w:val="auto"/>
          <w:sz w:val="24"/>
          <w:highlight w:val="none"/>
        </w:rPr>
        <w:t>供应商应将电子响应文件上传至“苏采云”系统对应的本次磋商分包中，未及时上传的，采购人不予受理。响应文件提交截止时间后，供应商对投标报价或其他实质性内容修正的函件和增加的任何优惠条件，一律拒绝接收。</w:t>
      </w:r>
    </w:p>
    <w:p w14:paraId="4C5ACC8D">
      <w:pPr>
        <w:keepNext/>
        <w:keepLines/>
        <w:spacing w:line="520" w:lineRule="exact"/>
        <w:ind w:firstLine="560"/>
        <w:outlineLvl w:val="3"/>
        <w:rPr>
          <w:rFonts w:hint="eastAsia" w:ascii="仿宋" w:hAnsi="仿宋" w:eastAsia="仿宋" w:cs="仿宋"/>
          <w:color w:val="auto"/>
          <w:sz w:val="28"/>
          <w:szCs w:val="28"/>
          <w:highlight w:val="none"/>
        </w:rPr>
      </w:pPr>
      <w:bookmarkStart w:id="136" w:name="_Toc513029228"/>
      <w:bookmarkStart w:id="137" w:name="_Toc20823300"/>
      <w:bookmarkStart w:id="138" w:name="_Toc16938544"/>
      <w:r>
        <w:rPr>
          <w:rFonts w:hint="eastAsia" w:ascii="仿宋" w:hAnsi="仿宋" w:eastAsia="仿宋" w:cs="仿宋"/>
          <w:color w:val="auto"/>
          <w:sz w:val="28"/>
          <w:szCs w:val="28"/>
          <w:highlight w:val="none"/>
        </w:rPr>
        <w:t>21、响应文件的撤回和修改</w:t>
      </w:r>
      <w:bookmarkEnd w:id="136"/>
      <w:bookmarkEnd w:id="137"/>
      <w:bookmarkEnd w:id="138"/>
    </w:p>
    <w:p w14:paraId="1A1337A4">
      <w:pPr>
        <w:spacing w:line="520" w:lineRule="exact"/>
        <w:ind w:firstLine="480"/>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21.1响应文件的撤回</w:t>
      </w:r>
    </w:p>
    <w:p w14:paraId="41EC9BEB">
      <w:pPr>
        <w:spacing w:line="520" w:lineRule="exact"/>
        <w:ind w:firstLine="480"/>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21.1.1电子响应文件的撤回</w:t>
      </w:r>
    </w:p>
    <w:p w14:paraId="0412F2F3">
      <w:pPr>
        <w:spacing w:line="520" w:lineRule="exact"/>
        <w:ind w:firstLine="480"/>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供应商可在</w:t>
      </w:r>
      <w:r>
        <w:rPr>
          <w:rFonts w:hint="eastAsia" w:ascii="仿宋" w:hAnsi="仿宋" w:eastAsia="仿宋" w:cs="仿宋"/>
          <w:bCs/>
          <w:color w:val="auto"/>
          <w:sz w:val="24"/>
          <w:szCs w:val="21"/>
          <w:highlight w:val="none"/>
        </w:rPr>
        <w:t>提交响应文件</w:t>
      </w:r>
      <w:r>
        <w:rPr>
          <w:rFonts w:hint="eastAsia" w:ascii="仿宋" w:hAnsi="仿宋" w:eastAsia="仿宋" w:cs="仿宋"/>
          <w:color w:val="auto"/>
          <w:sz w:val="24"/>
          <w:szCs w:val="21"/>
          <w:highlight w:val="none"/>
        </w:rPr>
        <w:t>截止时间前，撤回其电子响应文件，具体操作方法见《操作手册》。</w:t>
      </w:r>
    </w:p>
    <w:p w14:paraId="41EB4070">
      <w:pPr>
        <w:spacing w:line="520" w:lineRule="exact"/>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21.1.2供应商撤回电子响应文件，则认为其不再参与本项目磋商活动。</w:t>
      </w:r>
    </w:p>
    <w:p w14:paraId="4E73FC4D">
      <w:pPr>
        <w:spacing w:line="520" w:lineRule="exact"/>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21.2响应文件的修改</w:t>
      </w:r>
    </w:p>
    <w:p w14:paraId="2426967F">
      <w:pPr>
        <w:spacing w:line="520" w:lineRule="exact"/>
        <w:ind w:firstLine="480"/>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21.2.1供应商可在</w:t>
      </w:r>
      <w:r>
        <w:rPr>
          <w:rFonts w:hint="eastAsia" w:ascii="仿宋" w:hAnsi="仿宋" w:eastAsia="仿宋" w:cs="仿宋"/>
          <w:bCs/>
          <w:color w:val="auto"/>
          <w:sz w:val="24"/>
          <w:szCs w:val="21"/>
          <w:highlight w:val="none"/>
        </w:rPr>
        <w:t>提交响应文件</w:t>
      </w:r>
      <w:r>
        <w:rPr>
          <w:rFonts w:hint="eastAsia" w:ascii="仿宋" w:hAnsi="仿宋" w:eastAsia="仿宋" w:cs="仿宋"/>
          <w:color w:val="auto"/>
          <w:sz w:val="24"/>
          <w:szCs w:val="21"/>
          <w:highlight w:val="none"/>
        </w:rPr>
        <w:t>截止时间前，对其电子响应文件进行修改，具体操作方法见《操作手册》。</w:t>
      </w:r>
    </w:p>
    <w:p w14:paraId="19570D74">
      <w:pPr>
        <w:spacing w:line="520" w:lineRule="exact"/>
        <w:ind w:firstLine="480"/>
        <w:rPr>
          <w:rFonts w:hint="eastAsia" w:ascii="仿宋" w:hAnsi="仿宋" w:eastAsia="仿宋" w:cs="仿宋"/>
          <w:bCs/>
          <w:color w:val="auto"/>
          <w:sz w:val="24"/>
          <w:szCs w:val="21"/>
          <w:highlight w:val="none"/>
        </w:rPr>
      </w:pPr>
      <w:r>
        <w:rPr>
          <w:rFonts w:hint="eastAsia" w:ascii="仿宋" w:hAnsi="仿宋" w:eastAsia="仿宋" w:cs="仿宋"/>
          <w:color w:val="auto"/>
          <w:sz w:val="24"/>
          <w:szCs w:val="21"/>
          <w:highlight w:val="none"/>
        </w:rPr>
        <w:t>21.2.2</w:t>
      </w:r>
      <w:r>
        <w:rPr>
          <w:rFonts w:hint="eastAsia" w:ascii="仿宋" w:hAnsi="仿宋" w:eastAsia="仿宋" w:cs="仿宋"/>
          <w:bCs/>
          <w:color w:val="auto"/>
          <w:sz w:val="24"/>
          <w:szCs w:val="21"/>
          <w:highlight w:val="none"/>
        </w:rPr>
        <w:t>在提交响应文件截止时间之后，供应商不得对其电子响应文件作任何修改。</w:t>
      </w:r>
    </w:p>
    <w:p w14:paraId="7805D1E8">
      <w:pPr>
        <w:spacing w:line="520" w:lineRule="exact"/>
        <w:ind w:firstLine="480"/>
        <w:rPr>
          <w:rFonts w:hint="eastAsia" w:ascii="仿宋" w:hAnsi="仿宋" w:eastAsia="仿宋" w:cs="仿宋"/>
          <w:bCs/>
          <w:color w:val="auto"/>
          <w:sz w:val="24"/>
          <w:szCs w:val="21"/>
          <w:highlight w:val="none"/>
        </w:rPr>
      </w:pPr>
      <w:r>
        <w:rPr>
          <w:rFonts w:hint="eastAsia" w:ascii="仿宋" w:hAnsi="仿宋" w:eastAsia="仿宋" w:cs="仿宋"/>
          <w:color w:val="auto"/>
          <w:sz w:val="24"/>
          <w:szCs w:val="21"/>
          <w:highlight w:val="none"/>
        </w:rPr>
        <w:t>21.3</w:t>
      </w:r>
      <w:r>
        <w:rPr>
          <w:rFonts w:hint="eastAsia" w:ascii="仿宋" w:hAnsi="仿宋" w:eastAsia="仿宋" w:cs="仿宋"/>
          <w:bCs/>
          <w:color w:val="auto"/>
          <w:sz w:val="24"/>
          <w:szCs w:val="21"/>
          <w:highlight w:val="none"/>
        </w:rPr>
        <w:t>在提交响应文件截止时间至磋商文件中规定的磋商有效期满之间的这段时间内，供应商不得撤回其响应文件。</w:t>
      </w:r>
    </w:p>
    <w:p w14:paraId="5B6C74C0">
      <w:pPr>
        <w:keepNext/>
        <w:keepLines/>
        <w:spacing w:line="520" w:lineRule="exact"/>
        <w:ind w:firstLine="643"/>
        <w:outlineLvl w:val="2"/>
        <w:rPr>
          <w:rFonts w:hint="eastAsia" w:ascii="仿宋" w:hAnsi="仿宋" w:eastAsia="仿宋" w:cs="仿宋"/>
          <w:b/>
          <w:bCs/>
          <w:color w:val="auto"/>
          <w:sz w:val="32"/>
          <w:szCs w:val="32"/>
          <w:highlight w:val="none"/>
        </w:rPr>
      </w:pPr>
      <w:bookmarkStart w:id="139" w:name="_Toc16938545"/>
      <w:bookmarkStart w:id="140" w:name="_Toc20823301"/>
      <w:bookmarkStart w:id="141" w:name="_Toc513029229"/>
      <w:bookmarkStart w:id="142" w:name="_Toc120614218"/>
      <w:r>
        <w:rPr>
          <w:rFonts w:hint="eastAsia" w:ascii="仿宋" w:hAnsi="仿宋" w:eastAsia="仿宋" w:cs="仿宋"/>
          <w:b/>
          <w:bCs/>
          <w:color w:val="auto"/>
          <w:sz w:val="32"/>
          <w:szCs w:val="32"/>
          <w:highlight w:val="none"/>
        </w:rPr>
        <w:t>五、响应文件的解密与评审</w:t>
      </w:r>
      <w:bookmarkEnd w:id="139"/>
      <w:bookmarkEnd w:id="140"/>
      <w:bookmarkEnd w:id="141"/>
      <w:bookmarkEnd w:id="142"/>
    </w:p>
    <w:p w14:paraId="4779BE1D">
      <w:pPr>
        <w:keepNext/>
        <w:keepLines/>
        <w:spacing w:line="520" w:lineRule="exact"/>
        <w:ind w:firstLine="560"/>
        <w:outlineLvl w:val="3"/>
        <w:rPr>
          <w:rFonts w:hint="eastAsia" w:ascii="仿宋" w:hAnsi="仿宋" w:eastAsia="仿宋" w:cs="仿宋"/>
          <w:color w:val="auto"/>
          <w:sz w:val="28"/>
          <w:szCs w:val="28"/>
          <w:highlight w:val="none"/>
        </w:rPr>
      </w:pPr>
      <w:bookmarkStart w:id="143" w:name="_Toc16938546"/>
      <w:bookmarkStart w:id="144" w:name="_Toc513029230"/>
      <w:bookmarkStart w:id="145" w:name="_Toc20823302"/>
      <w:r>
        <w:rPr>
          <w:rFonts w:hint="eastAsia" w:ascii="仿宋" w:hAnsi="仿宋" w:eastAsia="仿宋" w:cs="仿宋"/>
          <w:color w:val="auto"/>
          <w:sz w:val="28"/>
          <w:szCs w:val="28"/>
          <w:highlight w:val="none"/>
        </w:rPr>
        <w:t>22、</w:t>
      </w:r>
      <w:bookmarkEnd w:id="143"/>
      <w:bookmarkEnd w:id="144"/>
      <w:bookmarkEnd w:id="145"/>
      <w:r>
        <w:rPr>
          <w:rFonts w:hint="eastAsia" w:ascii="仿宋" w:hAnsi="仿宋" w:eastAsia="仿宋" w:cs="仿宋"/>
          <w:color w:val="auto"/>
          <w:sz w:val="28"/>
          <w:szCs w:val="28"/>
          <w:highlight w:val="none"/>
        </w:rPr>
        <w:t>响应文件解密</w:t>
      </w:r>
    </w:p>
    <w:p w14:paraId="29271E49">
      <w:pPr>
        <w:spacing w:line="520" w:lineRule="exact"/>
        <w:ind w:firstLine="480"/>
        <w:rPr>
          <w:rFonts w:hint="eastAsia" w:ascii="仿宋" w:hAnsi="仿宋" w:eastAsia="仿宋" w:cs="仿宋"/>
          <w:color w:val="auto"/>
          <w:szCs w:val="21"/>
          <w:highlight w:val="none"/>
        </w:rPr>
      </w:pPr>
      <w:r>
        <w:rPr>
          <w:rFonts w:hint="eastAsia" w:ascii="仿宋" w:hAnsi="仿宋" w:eastAsia="仿宋" w:cs="仿宋"/>
          <w:color w:val="auto"/>
          <w:sz w:val="24"/>
          <w:szCs w:val="21"/>
          <w:highlight w:val="none"/>
        </w:rPr>
        <w:t>22.1</w:t>
      </w:r>
      <w:r>
        <w:rPr>
          <w:rFonts w:hint="eastAsia" w:ascii="仿宋" w:hAnsi="仿宋" w:eastAsia="仿宋" w:cs="仿宋"/>
          <w:color w:val="auto"/>
          <w:sz w:val="24"/>
          <w:szCs w:val="24"/>
          <w:highlight w:val="none"/>
        </w:rPr>
        <w:t>供应商应当</w:t>
      </w:r>
      <w:r>
        <w:rPr>
          <w:rFonts w:hint="eastAsia" w:ascii="仿宋" w:hAnsi="仿宋" w:eastAsia="仿宋" w:cs="仿宋"/>
          <w:color w:val="auto"/>
          <w:sz w:val="24"/>
          <w:szCs w:val="21"/>
          <w:highlight w:val="none"/>
        </w:rPr>
        <w:t>按照《“苏采云”系统供应商操作手册》规定</w:t>
      </w:r>
      <w:r>
        <w:rPr>
          <w:rFonts w:hint="eastAsia" w:ascii="仿宋" w:hAnsi="仿宋" w:eastAsia="仿宋" w:cs="仿宋"/>
          <w:color w:val="auto"/>
          <w:sz w:val="24"/>
          <w:szCs w:val="24"/>
          <w:highlight w:val="none"/>
        </w:rPr>
        <w:t>，参加磋商活动和在苏采云系统规定的时间内对磋商响应文件进行解密。</w:t>
      </w:r>
    </w:p>
    <w:p w14:paraId="09A2D393">
      <w:pPr>
        <w:keepNext/>
        <w:keepLines/>
        <w:spacing w:line="520" w:lineRule="exact"/>
        <w:ind w:firstLine="560"/>
        <w:outlineLvl w:val="3"/>
        <w:rPr>
          <w:rFonts w:hint="eastAsia" w:ascii="仿宋" w:hAnsi="仿宋" w:eastAsia="仿宋" w:cs="仿宋"/>
          <w:color w:val="auto"/>
          <w:sz w:val="28"/>
          <w:szCs w:val="28"/>
          <w:highlight w:val="none"/>
        </w:rPr>
      </w:pPr>
      <w:bookmarkStart w:id="146" w:name="_Toc20823303"/>
      <w:bookmarkStart w:id="147" w:name="_Toc16938547"/>
      <w:bookmarkStart w:id="148" w:name="_Toc513029231"/>
      <w:r>
        <w:rPr>
          <w:rFonts w:hint="eastAsia" w:ascii="仿宋" w:hAnsi="仿宋" w:eastAsia="仿宋" w:cs="仿宋"/>
          <w:color w:val="auto"/>
          <w:sz w:val="28"/>
          <w:szCs w:val="28"/>
          <w:highlight w:val="none"/>
        </w:rPr>
        <w:t>23、磋商小组</w:t>
      </w:r>
    </w:p>
    <w:p w14:paraId="56921AA6">
      <w:pPr>
        <w:spacing w:line="520" w:lineRule="exact"/>
        <w:ind w:firstLine="480"/>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23.1</w:t>
      </w:r>
      <w:r>
        <w:rPr>
          <w:rFonts w:hint="eastAsia" w:ascii="仿宋" w:hAnsi="仿宋" w:eastAsia="仿宋" w:cs="仿宋"/>
          <w:color w:val="auto"/>
          <w:sz w:val="24"/>
          <w:szCs w:val="21"/>
          <w:highlight w:val="none"/>
        </w:rPr>
        <w:t>采购代理机构</w:t>
      </w:r>
      <w:r>
        <w:rPr>
          <w:rFonts w:hint="eastAsia" w:ascii="仿宋" w:hAnsi="仿宋" w:eastAsia="仿宋" w:cs="仿宋"/>
          <w:color w:val="auto"/>
          <w:sz w:val="24"/>
          <w:szCs w:val="24"/>
          <w:highlight w:val="none"/>
        </w:rPr>
        <w:t>将组织磋商小组对响应文件进行评审。磋商小组由采购人代表和有关技术、经济等方面的专家组成，且人员构成符合政府采购有关规定。</w:t>
      </w:r>
    </w:p>
    <w:p w14:paraId="1707E5B1">
      <w:pPr>
        <w:spacing w:line="520" w:lineRule="exact"/>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23.2磋商小组独立工作，负责评审所有响应文件并确定成交候选人。</w:t>
      </w:r>
    </w:p>
    <w:p w14:paraId="0CEE7806">
      <w:pPr>
        <w:keepNext/>
        <w:keepLines/>
        <w:spacing w:line="520" w:lineRule="exact"/>
        <w:ind w:firstLine="560"/>
        <w:outlineLvl w:val="3"/>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24、评审过程的保密与公正</w:t>
      </w:r>
      <w:bookmarkEnd w:id="146"/>
      <w:bookmarkEnd w:id="147"/>
      <w:bookmarkEnd w:id="148"/>
    </w:p>
    <w:p w14:paraId="53B5344B">
      <w:pPr>
        <w:spacing w:line="520" w:lineRule="exact"/>
        <w:ind w:firstLine="480"/>
        <w:rPr>
          <w:rFonts w:hint="eastAsia" w:ascii="仿宋" w:hAnsi="仿宋" w:eastAsia="仿宋" w:cs="仿宋"/>
          <w:bCs/>
          <w:color w:val="auto"/>
          <w:sz w:val="24"/>
          <w:szCs w:val="21"/>
          <w:highlight w:val="none"/>
        </w:rPr>
      </w:pPr>
      <w:r>
        <w:rPr>
          <w:rFonts w:hint="eastAsia" w:ascii="仿宋" w:hAnsi="仿宋" w:eastAsia="仿宋" w:cs="仿宋"/>
          <w:color w:val="auto"/>
          <w:sz w:val="24"/>
          <w:szCs w:val="21"/>
          <w:highlight w:val="none"/>
        </w:rPr>
        <w:t>24.1</w:t>
      </w:r>
      <w:r>
        <w:rPr>
          <w:rFonts w:hint="eastAsia" w:ascii="仿宋" w:hAnsi="仿宋" w:eastAsia="仿宋" w:cs="仿宋"/>
          <w:bCs/>
          <w:color w:val="auto"/>
          <w:sz w:val="24"/>
          <w:szCs w:val="21"/>
          <w:highlight w:val="none"/>
        </w:rPr>
        <w:t>磋商小组、采购人和</w:t>
      </w:r>
      <w:r>
        <w:rPr>
          <w:rFonts w:hint="eastAsia" w:ascii="仿宋" w:hAnsi="仿宋" w:eastAsia="仿宋" w:cs="仿宋"/>
          <w:color w:val="auto"/>
          <w:sz w:val="24"/>
          <w:szCs w:val="21"/>
          <w:highlight w:val="none"/>
        </w:rPr>
        <w:t>采购代理机构</w:t>
      </w:r>
      <w:r>
        <w:rPr>
          <w:rFonts w:hint="eastAsia" w:ascii="仿宋" w:hAnsi="仿宋" w:eastAsia="仿宋" w:cs="仿宋"/>
          <w:bCs/>
          <w:color w:val="auto"/>
          <w:sz w:val="24"/>
          <w:szCs w:val="21"/>
          <w:highlight w:val="none"/>
        </w:rPr>
        <w:t>工作人员、相关监督人员等与评审工作有关的人员，对评审情况以及在评审过程中获悉的国家秘密、商业秘密负有保密责任。</w:t>
      </w:r>
    </w:p>
    <w:p w14:paraId="237886AF">
      <w:pPr>
        <w:spacing w:line="520" w:lineRule="exact"/>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1"/>
          <w:highlight w:val="none"/>
        </w:rPr>
        <w:t>24.2</w:t>
      </w:r>
      <w:r>
        <w:rPr>
          <w:rFonts w:hint="eastAsia" w:ascii="仿宋" w:hAnsi="仿宋" w:eastAsia="仿宋" w:cs="仿宋"/>
          <w:color w:val="auto"/>
          <w:sz w:val="24"/>
          <w:szCs w:val="24"/>
          <w:highlight w:val="none"/>
        </w:rPr>
        <w:t>在评审过程中，供应商不得以任何行为影响磋商评审过程，否则其响应文件将被作为无效响应文件。</w:t>
      </w:r>
    </w:p>
    <w:p w14:paraId="4B039A12">
      <w:pPr>
        <w:spacing w:line="520" w:lineRule="exact"/>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1"/>
          <w:highlight w:val="none"/>
        </w:rPr>
        <w:t>24.3</w:t>
      </w:r>
      <w:r>
        <w:rPr>
          <w:rFonts w:hint="eastAsia" w:ascii="仿宋" w:hAnsi="仿宋" w:eastAsia="仿宋" w:cs="仿宋"/>
          <w:color w:val="auto"/>
          <w:sz w:val="24"/>
          <w:szCs w:val="24"/>
          <w:highlight w:val="none"/>
        </w:rPr>
        <w:t>在项目评审期间，</w:t>
      </w:r>
      <w:r>
        <w:rPr>
          <w:rFonts w:hint="eastAsia" w:ascii="仿宋" w:hAnsi="仿宋" w:eastAsia="仿宋" w:cs="仿宋"/>
          <w:color w:val="auto"/>
          <w:sz w:val="24"/>
          <w:szCs w:val="21"/>
          <w:highlight w:val="none"/>
        </w:rPr>
        <w:t>采购代理机构</w:t>
      </w:r>
      <w:r>
        <w:rPr>
          <w:rFonts w:hint="eastAsia" w:ascii="仿宋" w:hAnsi="仿宋" w:eastAsia="仿宋" w:cs="仿宋"/>
          <w:color w:val="auto"/>
          <w:sz w:val="24"/>
          <w:szCs w:val="24"/>
          <w:highlight w:val="none"/>
        </w:rPr>
        <w:t>将设专门人员与供应商联系。</w:t>
      </w:r>
    </w:p>
    <w:p w14:paraId="0634DA8E">
      <w:pPr>
        <w:spacing w:line="520" w:lineRule="exact"/>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24.4 </w:t>
      </w:r>
      <w:r>
        <w:rPr>
          <w:rFonts w:hint="eastAsia" w:ascii="仿宋" w:hAnsi="仿宋" w:eastAsia="仿宋" w:cs="仿宋"/>
          <w:color w:val="auto"/>
          <w:sz w:val="24"/>
          <w:szCs w:val="21"/>
          <w:highlight w:val="none"/>
        </w:rPr>
        <w:t>采购代理机构</w:t>
      </w:r>
      <w:r>
        <w:rPr>
          <w:rFonts w:hint="eastAsia" w:ascii="仿宋" w:hAnsi="仿宋" w:eastAsia="仿宋" w:cs="仿宋"/>
          <w:color w:val="auto"/>
          <w:sz w:val="24"/>
          <w:szCs w:val="24"/>
          <w:highlight w:val="none"/>
        </w:rPr>
        <w:t>和磋商小组不向未成交的供应商解释未成交原因，也不公布评审过程中的相关细节。</w:t>
      </w:r>
    </w:p>
    <w:p w14:paraId="0661F995">
      <w:pPr>
        <w:keepNext/>
        <w:keepLines/>
        <w:spacing w:line="520" w:lineRule="exact"/>
        <w:ind w:firstLine="560"/>
        <w:outlineLvl w:val="3"/>
        <w:rPr>
          <w:rFonts w:hint="eastAsia" w:ascii="仿宋" w:hAnsi="仿宋" w:eastAsia="仿宋" w:cs="仿宋"/>
          <w:color w:val="auto"/>
          <w:sz w:val="28"/>
          <w:szCs w:val="28"/>
          <w:highlight w:val="none"/>
        </w:rPr>
      </w:pPr>
      <w:bookmarkStart w:id="149" w:name="_Toc16938548"/>
      <w:bookmarkStart w:id="150" w:name="_Toc20823304"/>
      <w:bookmarkStart w:id="151" w:name="_Toc513029232"/>
      <w:r>
        <w:rPr>
          <w:rFonts w:hint="eastAsia" w:ascii="仿宋" w:hAnsi="仿宋" w:eastAsia="仿宋" w:cs="仿宋"/>
          <w:color w:val="auto"/>
          <w:sz w:val="28"/>
          <w:szCs w:val="28"/>
          <w:highlight w:val="none"/>
        </w:rPr>
        <w:t>25、评审过程中的澄清</w:t>
      </w:r>
      <w:bookmarkEnd w:id="149"/>
      <w:bookmarkEnd w:id="150"/>
      <w:bookmarkEnd w:id="151"/>
    </w:p>
    <w:p w14:paraId="5274D0BF">
      <w:pPr>
        <w:spacing w:line="520" w:lineRule="exact"/>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1BE9F549">
      <w:pPr>
        <w:spacing w:line="520" w:lineRule="exact"/>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磋商小组并非对每个供应商都作澄清要求。</w:t>
      </w:r>
    </w:p>
    <w:p w14:paraId="1D57A4FE">
      <w:pPr>
        <w:spacing w:line="520" w:lineRule="exact"/>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25.2需要供应商进行澄清、说明和更正的，本项目供应商的澄清、说明或者补正采用线上澄清，磋商小组将通过苏采云系统向供应商发布“澄清要求函”，接到“澄清要求函”的供应商应当按照要求在规定时间内通过苏采云系统中提交“澄清响应函”并加盖CA电子公章。澄清、说明和更正的内容作为响应文件的补充部分，具体操作方式见《操作手册》。</w:t>
      </w:r>
    </w:p>
    <w:p w14:paraId="16234750">
      <w:pPr>
        <w:spacing w:line="520" w:lineRule="exact"/>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25.3接到磋商小组澄清、说明和更正要求的供应商如未按规定做出澄清、说明和 更正，其风险由供应商自行承担。</w:t>
      </w:r>
    </w:p>
    <w:p w14:paraId="503E6AA9">
      <w:pPr>
        <w:keepNext/>
        <w:keepLines/>
        <w:spacing w:line="520" w:lineRule="exact"/>
        <w:ind w:firstLine="560"/>
        <w:outlineLvl w:val="3"/>
        <w:rPr>
          <w:rFonts w:hint="eastAsia" w:ascii="仿宋" w:hAnsi="仿宋" w:eastAsia="仿宋" w:cs="仿宋"/>
          <w:color w:val="auto"/>
          <w:sz w:val="28"/>
          <w:szCs w:val="28"/>
          <w:highlight w:val="none"/>
        </w:rPr>
      </w:pPr>
      <w:bookmarkStart w:id="152" w:name="_Toc16938549"/>
      <w:bookmarkStart w:id="153" w:name="_Toc20823305"/>
      <w:bookmarkStart w:id="154" w:name="_Toc513029233"/>
      <w:r>
        <w:rPr>
          <w:rFonts w:hint="eastAsia" w:ascii="仿宋" w:hAnsi="仿宋" w:eastAsia="仿宋" w:cs="仿宋"/>
          <w:color w:val="auto"/>
          <w:sz w:val="28"/>
          <w:szCs w:val="28"/>
          <w:highlight w:val="none"/>
        </w:rPr>
        <w:t>26、对响应文件的审</w:t>
      </w:r>
      <w:bookmarkEnd w:id="152"/>
      <w:bookmarkEnd w:id="153"/>
      <w:bookmarkEnd w:id="154"/>
      <w:r>
        <w:rPr>
          <w:rFonts w:hint="eastAsia" w:ascii="仿宋" w:hAnsi="仿宋" w:eastAsia="仿宋" w:cs="仿宋"/>
          <w:color w:val="auto"/>
          <w:sz w:val="28"/>
          <w:szCs w:val="28"/>
          <w:highlight w:val="none"/>
        </w:rPr>
        <w:t>查</w:t>
      </w:r>
    </w:p>
    <w:p w14:paraId="49A221CA">
      <w:pPr>
        <w:spacing w:line="520" w:lineRule="exact"/>
        <w:ind w:firstLine="480"/>
        <w:rPr>
          <w:rFonts w:hint="eastAsia" w:ascii="仿宋" w:hAnsi="仿宋" w:eastAsia="仿宋" w:cs="仿宋"/>
          <w:bCs/>
          <w:color w:val="auto"/>
          <w:sz w:val="24"/>
          <w:szCs w:val="21"/>
          <w:highlight w:val="none"/>
        </w:rPr>
      </w:pPr>
      <w:r>
        <w:rPr>
          <w:rFonts w:hint="eastAsia" w:ascii="仿宋" w:hAnsi="仿宋" w:eastAsia="仿宋" w:cs="仿宋"/>
          <w:color w:val="auto"/>
          <w:sz w:val="24"/>
          <w:szCs w:val="21"/>
          <w:highlight w:val="none"/>
        </w:rPr>
        <w:t>26.1</w:t>
      </w:r>
      <w:r>
        <w:rPr>
          <w:rFonts w:hint="eastAsia" w:ascii="仿宋" w:hAnsi="仿宋" w:eastAsia="仿宋" w:cs="仿宋"/>
          <w:bCs/>
          <w:color w:val="auto"/>
          <w:sz w:val="24"/>
          <w:szCs w:val="21"/>
          <w:highlight w:val="none"/>
        </w:rPr>
        <w:t>响应文件审查分为资格审查和符合性审查。</w:t>
      </w:r>
    </w:p>
    <w:p w14:paraId="207784BB">
      <w:pPr>
        <w:spacing w:line="520" w:lineRule="exact"/>
        <w:ind w:firstLine="480"/>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26.1.1 资格审查：由磋商小组依据法律法规和磋商文件的规定，对响应文件中的资格证明文件进行审查，以确定供应商是否具备参加磋商的资格。</w:t>
      </w:r>
    </w:p>
    <w:p w14:paraId="1D5DABB9">
      <w:pPr>
        <w:spacing w:line="520" w:lineRule="exact"/>
        <w:ind w:firstLine="480"/>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磋商小组在进行资格审查的同时，将在“信用中国”网站（www.creditchina.gov.cn）查询供应商的信用记录，以确定供应商是否具备磋商资格，查询结果留存并归档。</w:t>
      </w:r>
    </w:p>
    <w:p w14:paraId="438DADED">
      <w:pPr>
        <w:spacing w:line="520" w:lineRule="exact"/>
        <w:ind w:firstLine="480"/>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接受联合体的项目，两个以上的自然人、法人或者其他组织组成一个联合体，以一个供应商的身份共同参加政府采购活动的，联合体成员中任何一方存在不良信用记录的，视同联合体存在不良应用记录。</w:t>
      </w:r>
    </w:p>
    <w:p w14:paraId="104FDBA1">
      <w:pPr>
        <w:spacing w:line="520" w:lineRule="exact"/>
        <w:ind w:firstLine="480"/>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26.1.2 符合性审查：依据磋商文件的规定，由磋商小组从响应文件的有效性、完整性和对磋商文件的响应程度进行审查，以确定是否对磋商文件的实质性要求作出响应。</w:t>
      </w:r>
    </w:p>
    <w:p w14:paraId="66A111A4">
      <w:pPr>
        <w:spacing w:line="520" w:lineRule="exact"/>
        <w:ind w:firstLine="480"/>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26.1.3 未通过资格审查或符合性审查的供应商，磋商小组将在</w:t>
      </w:r>
      <w:r>
        <w:rPr>
          <w:rFonts w:hint="eastAsia" w:ascii="仿宋" w:hAnsi="仿宋" w:eastAsia="仿宋" w:cs="仿宋"/>
          <w:color w:val="auto"/>
          <w:sz w:val="24"/>
          <w:szCs w:val="24"/>
          <w:highlight w:val="none"/>
        </w:rPr>
        <w:t>苏采云系统</w:t>
      </w:r>
      <w:r>
        <w:rPr>
          <w:rFonts w:hint="eastAsia" w:ascii="仿宋" w:hAnsi="仿宋" w:eastAsia="仿宋" w:cs="仿宋"/>
          <w:bCs/>
          <w:color w:val="auto"/>
          <w:sz w:val="24"/>
          <w:szCs w:val="21"/>
          <w:highlight w:val="none"/>
        </w:rPr>
        <w:t>中告知未通过资格审查或符合性审查的原因，评审结束后，磋商小组将不再告知未通过资格审查或符合性审查的原因。</w:t>
      </w:r>
    </w:p>
    <w:p w14:paraId="4221E85C">
      <w:pPr>
        <w:spacing w:line="520" w:lineRule="exact"/>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1"/>
          <w:highlight w:val="none"/>
        </w:rPr>
        <w:t>26.2</w:t>
      </w:r>
      <w:r>
        <w:rPr>
          <w:rFonts w:hint="eastAsia" w:ascii="仿宋" w:hAnsi="仿宋" w:eastAsia="仿宋" w:cs="仿宋"/>
          <w:color w:val="auto"/>
          <w:sz w:val="24"/>
          <w:szCs w:val="24"/>
          <w:highlight w:val="none"/>
        </w:rPr>
        <w:t>在详细评审之前，磋商小组将首先审查每份响应文件是否实质性响应了磋商文件的要求。实质性响应的响应文件应该是与磋商文件要求的条款、条件和规格相符，没有重大偏离或保留。</w:t>
      </w:r>
    </w:p>
    <w:p w14:paraId="50BE7E32">
      <w:pPr>
        <w:spacing w:line="520" w:lineRule="exact"/>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所谓重大偏离或保留是指与磋商文件规定的实质性要求存在负偏离，或者在实质上与磋商文件不一致，而且限制了合同中买方和</w:t>
      </w:r>
      <w:r>
        <w:rPr>
          <w:rFonts w:hint="eastAsia" w:ascii="仿宋" w:hAnsi="仿宋" w:eastAsia="仿宋" w:cs="仿宋"/>
          <w:color w:val="auto"/>
          <w:sz w:val="24"/>
          <w:szCs w:val="21"/>
          <w:highlight w:val="none"/>
        </w:rPr>
        <w:t>采购代理机构</w:t>
      </w:r>
      <w:r>
        <w:rPr>
          <w:rFonts w:hint="eastAsia" w:ascii="仿宋" w:hAnsi="仿宋" w:eastAsia="仿宋" w:cs="仿宋"/>
          <w:color w:val="auto"/>
          <w:sz w:val="24"/>
          <w:szCs w:val="24"/>
          <w:highlight w:val="none"/>
        </w:rPr>
        <w:t>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0044CEC8">
      <w:pPr>
        <w:spacing w:line="520" w:lineRule="exact"/>
        <w:ind w:firstLine="480"/>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26.3未实质性响应磋商文件的情形</w:t>
      </w:r>
    </w:p>
    <w:p w14:paraId="23D096B6">
      <w:pPr>
        <w:spacing w:line="520" w:lineRule="exact"/>
        <w:ind w:firstLine="480"/>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26.3.1供应商在</w:t>
      </w:r>
      <w:r>
        <w:rPr>
          <w:rFonts w:hint="eastAsia" w:ascii="仿宋" w:hAnsi="仿宋" w:eastAsia="仿宋" w:cs="仿宋"/>
          <w:color w:val="auto"/>
          <w:sz w:val="24"/>
          <w:szCs w:val="24"/>
          <w:highlight w:val="none"/>
        </w:rPr>
        <w:t>苏采云系统</w:t>
      </w:r>
      <w:r>
        <w:rPr>
          <w:rFonts w:hint="eastAsia" w:ascii="仿宋" w:hAnsi="仿宋" w:eastAsia="仿宋" w:cs="仿宋"/>
          <w:bCs/>
          <w:color w:val="auto"/>
          <w:sz w:val="24"/>
          <w:szCs w:val="21"/>
          <w:highlight w:val="none"/>
        </w:rPr>
        <w:t>规定的时间内未成功解密电子响应文件的。</w:t>
      </w:r>
    </w:p>
    <w:p w14:paraId="32F1020C">
      <w:pPr>
        <w:spacing w:line="520" w:lineRule="exact"/>
        <w:ind w:firstLine="480"/>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26.3.2供应商未按照磋商文件要求上传电子响应文件的。</w:t>
      </w:r>
    </w:p>
    <w:p w14:paraId="41476467">
      <w:pPr>
        <w:spacing w:line="520" w:lineRule="exact"/>
        <w:ind w:firstLine="480"/>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26.3.3同一供应商提交两个（含两个）以上不同的响应文件或者最后报价的。</w:t>
      </w:r>
    </w:p>
    <w:p w14:paraId="6FF33AB6">
      <w:pPr>
        <w:spacing w:line="520" w:lineRule="exact"/>
        <w:ind w:firstLine="480"/>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26.3.4供应商不具备磋商文件中规定资格要求的。</w:t>
      </w:r>
    </w:p>
    <w:p w14:paraId="5D18FD0E">
      <w:pPr>
        <w:spacing w:line="520" w:lineRule="exact"/>
        <w:ind w:firstLine="480"/>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26.3.5供应商的最后报价超过了采购预算。</w:t>
      </w:r>
    </w:p>
    <w:p w14:paraId="62D6467E">
      <w:pPr>
        <w:spacing w:line="520" w:lineRule="exact"/>
        <w:ind w:firstLine="480"/>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26.3.6不符合磋商文件中规定的实质性要求和条件的</w:t>
      </w:r>
      <w:r>
        <w:rPr>
          <w:rFonts w:hint="eastAsia" w:ascii="仿宋" w:hAnsi="仿宋" w:eastAsia="仿宋" w:cs="仿宋"/>
          <w:bCs/>
          <w:color w:val="auto"/>
          <w:sz w:val="24"/>
          <w:highlight w:val="none"/>
        </w:rPr>
        <w:t>（</w:t>
      </w:r>
      <w:r>
        <w:rPr>
          <w:rFonts w:hint="eastAsia" w:ascii="仿宋" w:hAnsi="仿宋" w:eastAsia="仿宋" w:cs="仿宋"/>
          <w:bCs/>
          <w:i/>
          <w:color w:val="auto"/>
          <w:sz w:val="24"/>
          <w:highlight w:val="none"/>
          <w:u w:val="single"/>
        </w:rPr>
        <w:t>加斜体下划线内容或打“★”内容为实质性要求和条件）。</w:t>
      </w:r>
    </w:p>
    <w:p w14:paraId="71FE55DD">
      <w:pPr>
        <w:spacing w:line="520" w:lineRule="exact"/>
        <w:ind w:firstLine="480"/>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26.3.7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348DFDCC">
      <w:pPr>
        <w:spacing w:line="520" w:lineRule="exact"/>
        <w:ind w:firstLine="480"/>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26.3.8响应文件含有采购人不能接受的附加条件的。</w:t>
      </w:r>
    </w:p>
    <w:p w14:paraId="4A5158BD">
      <w:pPr>
        <w:spacing w:line="520" w:lineRule="exact"/>
        <w:ind w:firstLine="480"/>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26.3.9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p>
    <w:p w14:paraId="3E9956CC">
      <w:pPr>
        <w:spacing w:line="520" w:lineRule="exact"/>
        <w:ind w:firstLine="480"/>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26.3.10响应文件未按照磋商文件要求加盖CA电子公章的。</w:t>
      </w:r>
    </w:p>
    <w:p w14:paraId="590996BD">
      <w:pPr>
        <w:spacing w:line="520" w:lineRule="exact"/>
        <w:ind w:firstLine="480"/>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26.4未实质性响应磋商文件的响应文件按无效响应处理。</w:t>
      </w:r>
    </w:p>
    <w:p w14:paraId="4C5D3B32">
      <w:pPr>
        <w:spacing w:line="520" w:lineRule="exact"/>
        <w:ind w:firstLine="480"/>
        <w:rPr>
          <w:rFonts w:hint="eastAsia" w:ascii="仿宋" w:hAnsi="仿宋" w:eastAsia="仿宋" w:cs="仿宋"/>
          <w:bCs/>
          <w:color w:val="auto"/>
          <w:sz w:val="24"/>
          <w:szCs w:val="21"/>
          <w:highlight w:val="none"/>
        </w:rPr>
      </w:pPr>
      <w:r>
        <w:rPr>
          <w:rFonts w:hint="eastAsia" w:ascii="仿宋" w:hAnsi="仿宋" w:eastAsia="仿宋" w:cs="仿宋"/>
          <w:color w:val="auto"/>
          <w:sz w:val="24"/>
          <w:szCs w:val="21"/>
          <w:highlight w:val="none"/>
        </w:rPr>
        <w:t>26.5</w:t>
      </w:r>
      <w:r>
        <w:rPr>
          <w:rFonts w:hint="eastAsia" w:ascii="仿宋" w:hAnsi="仿宋" w:eastAsia="仿宋" w:cs="仿宋"/>
          <w:bCs/>
          <w:color w:val="auto"/>
          <w:sz w:val="24"/>
          <w:szCs w:val="21"/>
          <w:highlight w:val="none"/>
        </w:rPr>
        <w:t>如果响应文件实质上没有响应磋商文件的要求，磋商小组将予以拒绝，供应商不得通过修改或撤销不符合要求的偏离或保留而使其成为实质性响应的文件。</w:t>
      </w:r>
    </w:p>
    <w:p w14:paraId="603E452F">
      <w:pPr>
        <w:spacing w:line="520" w:lineRule="exact"/>
        <w:ind w:firstLine="480"/>
        <w:rPr>
          <w:rFonts w:hint="eastAsia" w:ascii="仿宋" w:hAnsi="仿宋" w:eastAsia="仿宋" w:cs="仿宋"/>
          <w:color w:val="auto"/>
          <w:sz w:val="24"/>
          <w:szCs w:val="21"/>
          <w:highlight w:val="none"/>
        </w:rPr>
      </w:pPr>
      <w:bookmarkStart w:id="155" w:name="_Toc513029234"/>
      <w:bookmarkStart w:id="156" w:name="_Toc20823306"/>
      <w:bookmarkStart w:id="157" w:name="_Toc16938550"/>
      <w:r>
        <w:rPr>
          <w:rFonts w:hint="eastAsia" w:ascii="仿宋" w:hAnsi="仿宋" w:eastAsia="仿宋" w:cs="仿宋"/>
          <w:color w:val="auto"/>
          <w:sz w:val="24"/>
          <w:szCs w:val="21"/>
          <w:highlight w:val="none"/>
        </w:rPr>
        <w:t>26.6供应商在项目评审全过程中应保持通讯畅通，并安排专人与采购代理机构及磋商小组联系。</w:t>
      </w:r>
    </w:p>
    <w:p w14:paraId="22EB40A9">
      <w:pPr>
        <w:keepNext/>
        <w:keepLines/>
        <w:spacing w:line="520" w:lineRule="exact"/>
        <w:ind w:firstLine="560"/>
        <w:outlineLvl w:val="3"/>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27、</w:t>
      </w:r>
      <w:bookmarkEnd w:id="155"/>
      <w:bookmarkEnd w:id="156"/>
      <w:bookmarkEnd w:id="157"/>
      <w:r>
        <w:rPr>
          <w:rFonts w:hint="eastAsia" w:ascii="仿宋" w:hAnsi="仿宋" w:eastAsia="仿宋" w:cs="仿宋"/>
          <w:color w:val="auto"/>
          <w:sz w:val="28"/>
          <w:szCs w:val="28"/>
          <w:highlight w:val="none"/>
        </w:rPr>
        <w:t>磋商程序及评审方法和评审标准</w:t>
      </w:r>
    </w:p>
    <w:p w14:paraId="4B8F97FF">
      <w:pPr>
        <w:tabs>
          <w:tab w:val="left" w:pos="900"/>
        </w:tabs>
        <w:spacing w:line="520" w:lineRule="exact"/>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27.1磋商程序</w:t>
      </w:r>
    </w:p>
    <w:p w14:paraId="7FDD0EE8">
      <w:pPr>
        <w:tabs>
          <w:tab w:val="left" w:pos="900"/>
        </w:tabs>
        <w:spacing w:line="520" w:lineRule="exact"/>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27.1.1对于通过资格审查和符合性审查的供应商，磋商小组将集中与单一供应商分别进行磋商。磋商小组通过苏采云系统向供应商发布“磋商函”，供应商应当按照要求在苏采云系统提交“磋商响应函”并加盖CA电子公章。</w:t>
      </w:r>
    </w:p>
    <w:p w14:paraId="1E1EDF62">
      <w:pPr>
        <w:tabs>
          <w:tab w:val="left" w:pos="900"/>
        </w:tabs>
        <w:spacing w:line="520" w:lineRule="exact"/>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727496AB">
      <w:pPr>
        <w:tabs>
          <w:tab w:val="left" w:pos="900"/>
        </w:tabs>
        <w:spacing w:line="520" w:lineRule="exact"/>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p>
    <w:p w14:paraId="4E3EE84C">
      <w:pPr>
        <w:tabs>
          <w:tab w:val="left" w:pos="900"/>
        </w:tabs>
        <w:spacing w:line="520" w:lineRule="exact"/>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磋商文件不能详细列明采购标的的技术、服务要求，需经磋商由供应商提供最终设计方案或解决方案的，磋商结束后，磋商小组将按照少数服从多数的原则投票推荐3家以上供应商的设计方案或者解决方案，并在苏采云系统中向其发布“最后报价要求函”及最后报价格式表，要求其在规定时间内提交最后报价。</w:t>
      </w:r>
    </w:p>
    <w:p w14:paraId="6BCFB481">
      <w:pPr>
        <w:tabs>
          <w:tab w:val="left" w:pos="900"/>
        </w:tabs>
        <w:spacing w:line="520" w:lineRule="exact"/>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p>
    <w:p w14:paraId="523333B4">
      <w:pPr>
        <w:tabs>
          <w:tab w:val="left" w:pos="900"/>
        </w:tabs>
        <w:spacing w:line="520" w:lineRule="exact"/>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p>
    <w:p w14:paraId="3912D207">
      <w:pPr>
        <w:tabs>
          <w:tab w:val="left" w:pos="900"/>
        </w:tabs>
        <w:spacing w:line="520" w:lineRule="exact"/>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27.2 评审方法和评审标准</w:t>
      </w:r>
    </w:p>
    <w:p w14:paraId="6E3799AD">
      <w:pPr>
        <w:tabs>
          <w:tab w:val="left" w:pos="900"/>
        </w:tabs>
        <w:spacing w:line="520" w:lineRule="exact"/>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27.2.1评审方法。经磋商确定最终采购需求和提交最后报价的供应商后，由磋商小组采用综合评分法对提交最后报价的供应商的响应文件和最后报价进行综合评分。</w:t>
      </w:r>
    </w:p>
    <w:p w14:paraId="5F7AA52C">
      <w:pPr>
        <w:tabs>
          <w:tab w:val="left" w:pos="900"/>
        </w:tabs>
        <w:spacing w:line="520" w:lineRule="exact"/>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39776584">
      <w:pPr>
        <w:tabs>
          <w:tab w:val="left" w:pos="900"/>
        </w:tabs>
        <w:spacing w:line="520" w:lineRule="exact"/>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27.2.2评审标准</w:t>
      </w:r>
    </w:p>
    <w:p w14:paraId="58DE4FEB">
      <w:pPr>
        <w:tabs>
          <w:tab w:val="left" w:pos="900"/>
        </w:tabs>
        <w:spacing w:line="520" w:lineRule="exact"/>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见本磋商文件第五章规定。</w:t>
      </w:r>
    </w:p>
    <w:p w14:paraId="3789B7F3">
      <w:pPr>
        <w:tabs>
          <w:tab w:val="left" w:pos="900"/>
        </w:tabs>
        <w:spacing w:line="520" w:lineRule="exact"/>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27.3采购活动终止的情况</w:t>
      </w:r>
    </w:p>
    <w:p w14:paraId="57576246">
      <w:pPr>
        <w:tabs>
          <w:tab w:val="left" w:pos="900"/>
        </w:tabs>
        <w:spacing w:line="520" w:lineRule="exact"/>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出现下列情形之一的，本次竞争性磋商采购活动将被终止：</w:t>
      </w:r>
    </w:p>
    <w:p w14:paraId="0FC11ABC">
      <w:pPr>
        <w:tabs>
          <w:tab w:val="left" w:pos="900"/>
        </w:tabs>
        <w:spacing w:line="520" w:lineRule="exact"/>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27.3.1因情况变化，不再符合规定的竞争性磋商采购方式适用情形的。</w:t>
      </w:r>
    </w:p>
    <w:p w14:paraId="7167AC77">
      <w:pPr>
        <w:tabs>
          <w:tab w:val="left" w:pos="900"/>
        </w:tabs>
        <w:spacing w:line="520" w:lineRule="exact"/>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27.3.2出现影响采购公正的违法、违规行为的。</w:t>
      </w:r>
    </w:p>
    <w:p w14:paraId="590C0E60">
      <w:pPr>
        <w:tabs>
          <w:tab w:val="left" w:pos="900"/>
        </w:tabs>
        <w:spacing w:line="520" w:lineRule="exact"/>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27.3.3除本磋商文件第二章第27.1.2条第三款规定的情形外，在采购过程中符合要求的供应商或者最后报价未超过采购预算的供应商不足3家的。</w:t>
      </w:r>
    </w:p>
    <w:p w14:paraId="3FE85A2C">
      <w:pPr>
        <w:tabs>
          <w:tab w:val="left" w:pos="900"/>
        </w:tabs>
        <w:spacing w:line="520" w:lineRule="exact"/>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27.3.4在苏采云系统规定时间内成功解密电子响应文件的供应商不足3家的。</w:t>
      </w:r>
    </w:p>
    <w:p w14:paraId="612C2800">
      <w:pPr>
        <w:keepNext/>
        <w:keepLines/>
        <w:spacing w:line="520" w:lineRule="exact"/>
        <w:ind w:firstLine="643"/>
        <w:outlineLvl w:val="2"/>
        <w:rPr>
          <w:rFonts w:hint="eastAsia" w:ascii="仿宋" w:hAnsi="仿宋" w:eastAsia="仿宋" w:cs="仿宋"/>
          <w:b/>
          <w:bCs/>
          <w:color w:val="auto"/>
          <w:sz w:val="32"/>
          <w:szCs w:val="32"/>
          <w:highlight w:val="none"/>
        </w:rPr>
      </w:pPr>
      <w:bookmarkStart w:id="158" w:name="_Toc513029235"/>
      <w:bookmarkStart w:id="159" w:name="_Toc120614219"/>
      <w:bookmarkStart w:id="160" w:name="_Toc16938551"/>
      <w:bookmarkStart w:id="161" w:name="_Toc20823307"/>
      <w:r>
        <w:rPr>
          <w:rFonts w:hint="eastAsia" w:ascii="仿宋" w:hAnsi="仿宋" w:eastAsia="仿宋" w:cs="仿宋"/>
          <w:b/>
          <w:bCs/>
          <w:color w:val="auto"/>
          <w:sz w:val="32"/>
          <w:szCs w:val="32"/>
          <w:highlight w:val="none"/>
        </w:rPr>
        <w:t>六、</w:t>
      </w:r>
      <w:bookmarkEnd w:id="158"/>
      <w:bookmarkEnd w:id="159"/>
      <w:bookmarkEnd w:id="160"/>
      <w:bookmarkEnd w:id="161"/>
      <w:r>
        <w:rPr>
          <w:rFonts w:hint="eastAsia" w:ascii="仿宋" w:hAnsi="仿宋" w:eastAsia="仿宋" w:cs="仿宋"/>
          <w:b/>
          <w:bCs/>
          <w:color w:val="auto"/>
          <w:sz w:val="32"/>
          <w:szCs w:val="32"/>
          <w:highlight w:val="none"/>
        </w:rPr>
        <w:t>成交</w:t>
      </w:r>
    </w:p>
    <w:p w14:paraId="2EF673A0">
      <w:pPr>
        <w:keepNext/>
        <w:keepLines/>
        <w:spacing w:line="520" w:lineRule="exact"/>
        <w:ind w:firstLine="600"/>
        <w:outlineLvl w:val="3"/>
        <w:rPr>
          <w:rFonts w:hint="eastAsia" w:ascii="仿宋" w:hAnsi="仿宋" w:eastAsia="仿宋" w:cs="仿宋"/>
          <w:bCs/>
          <w:color w:val="auto"/>
          <w:sz w:val="30"/>
          <w:szCs w:val="30"/>
          <w:highlight w:val="none"/>
        </w:rPr>
      </w:pPr>
      <w:bookmarkStart w:id="162" w:name="_Toc513029238"/>
      <w:bookmarkStart w:id="163" w:name="_Toc20823310"/>
      <w:bookmarkStart w:id="164" w:name="_Toc16938554"/>
      <w:r>
        <w:rPr>
          <w:rFonts w:hint="eastAsia" w:ascii="仿宋" w:hAnsi="仿宋" w:eastAsia="仿宋" w:cs="仿宋"/>
          <w:bCs/>
          <w:color w:val="auto"/>
          <w:sz w:val="30"/>
          <w:szCs w:val="30"/>
          <w:highlight w:val="none"/>
        </w:rPr>
        <w:t>28、</w:t>
      </w:r>
      <w:bookmarkEnd w:id="162"/>
      <w:r>
        <w:rPr>
          <w:rFonts w:hint="eastAsia" w:ascii="仿宋" w:hAnsi="仿宋" w:eastAsia="仿宋" w:cs="仿宋"/>
          <w:bCs/>
          <w:color w:val="auto"/>
          <w:sz w:val="30"/>
          <w:szCs w:val="30"/>
          <w:highlight w:val="none"/>
        </w:rPr>
        <w:t>确定</w:t>
      </w:r>
      <w:bookmarkEnd w:id="163"/>
      <w:bookmarkEnd w:id="164"/>
      <w:r>
        <w:rPr>
          <w:rFonts w:hint="eastAsia" w:ascii="仿宋" w:hAnsi="仿宋" w:eastAsia="仿宋" w:cs="仿宋"/>
          <w:bCs/>
          <w:color w:val="auto"/>
          <w:sz w:val="30"/>
          <w:szCs w:val="30"/>
          <w:highlight w:val="none"/>
        </w:rPr>
        <w:t>成交单位</w:t>
      </w:r>
    </w:p>
    <w:p w14:paraId="128160EE">
      <w:pPr>
        <w:tabs>
          <w:tab w:val="left" w:pos="900"/>
        </w:tabs>
        <w:spacing w:line="520" w:lineRule="exact"/>
        <w:ind w:firstLine="480"/>
        <w:rPr>
          <w:rFonts w:hint="eastAsia" w:ascii="仿宋" w:hAnsi="仿宋" w:eastAsia="仿宋" w:cs="仿宋"/>
          <w:color w:val="auto"/>
          <w:sz w:val="24"/>
          <w:szCs w:val="21"/>
          <w:highlight w:val="none"/>
        </w:rPr>
      </w:pPr>
      <w:r>
        <w:rPr>
          <w:rFonts w:hint="eastAsia" w:ascii="仿宋" w:hAnsi="仿宋" w:eastAsia="仿宋" w:cs="仿宋"/>
          <w:bCs/>
          <w:color w:val="auto"/>
          <w:sz w:val="24"/>
          <w:szCs w:val="21"/>
          <w:highlight w:val="none"/>
        </w:rPr>
        <w:t>28.1</w:t>
      </w:r>
      <w:r>
        <w:rPr>
          <w:rFonts w:hint="eastAsia" w:ascii="仿宋" w:hAnsi="仿宋" w:eastAsia="仿宋" w:cs="仿宋"/>
          <w:color w:val="auto"/>
          <w:sz w:val="24"/>
          <w:szCs w:val="21"/>
          <w:highlight w:val="none"/>
        </w:rPr>
        <w:t>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p>
    <w:p w14:paraId="2A857FAB">
      <w:pPr>
        <w:tabs>
          <w:tab w:val="left" w:pos="900"/>
        </w:tabs>
        <w:spacing w:line="520" w:lineRule="exact"/>
        <w:ind w:firstLine="480"/>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p>
    <w:p w14:paraId="61D15BE9">
      <w:pPr>
        <w:tabs>
          <w:tab w:val="left" w:pos="900"/>
        </w:tabs>
        <w:spacing w:line="520" w:lineRule="exact"/>
        <w:ind w:firstLine="480"/>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28.2采购人从评审报告提出的成交候选供应商中，按照排序由高到低的原则确定成交供应商。</w:t>
      </w:r>
    </w:p>
    <w:p w14:paraId="39ABAF1B">
      <w:pPr>
        <w:spacing w:line="520" w:lineRule="exact"/>
        <w:ind w:firstLine="480"/>
        <w:rPr>
          <w:rFonts w:hint="eastAsia" w:ascii="仿宋" w:hAnsi="仿宋" w:eastAsia="仿宋" w:cs="仿宋"/>
          <w:bCs/>
          <w:color w:val="auto"/>
          <w:sz w:val="24"/>
          <w:highlight w:val="none"/>
        </w:rPr>
      </w:pPr>
      <w:r>
        <w:rPr>
          <w:rFonts w:hint="eastAsia" w:ascii="仿宋" w:hAnsi="仿宋" w:eastAsia="仿宋" w:cs="仿宋"/>
          <w:bCs/>
          <w:color w:val="auto"/>
          <w:sz w:val="24"/>
          <w:highlight w:val="none"/>
          <w:lang w:val="zh-CN"/>
        </w:rPr>
        <w:t>按以下第</w:t>
      </w:r>
      <w:r>
        <w:rPr>
          <w:rFonts w:hint="eastAsia" w:ascii="仿宋" w:hAnsi="仿宋" w:eastAsia="仿宋" w:cs="仿宋"/>
          <w:bCs/>
          <w:color w:val="auto"/>
          <w:sz w:val="24"/>
          <w:highlight w:val="none"/>
          <w:u w:val="single"/>
          <w:lang w:val="zh-CN"/>
        </w:rPr>
        <w:t>（</w:t>
      </w:r>
      <w:r>
        <w:rPr>
          <w:rFonts w:hint="eastAsia" w:ascii="仿宋" w:hAnsi="仿宋" w:eastAsia="仿宋" w:cs="仿宋"/>
          <w:bCs/>
          <w:color w:val="auto"/>
          <w:sz w:val="24"/>
          <w:highlight w:val="none"/>
          <w:u w:val="single"/>
        </w:rPr>
        <w:t xml:space="preserve"> 1 </w:t>
      </w:r>
      <w:r>
        <w:rPr>
          <w:rFonts w:hint="eastAsia" w:ascii="仿宋" w:hAnsi="仿宋" w:eastAsia="仿宋" w:cs="仿宋"/>
          <w:bCs/>
          <w:color w:val="auto"/>
          <w:sz w:val="24"/>
          <w:highlight w:val="none"/>
          <w:u w:val="single"/>
          <w:lang w:val="zh-CN"/>
        </w:rPr>
        <w:t>）</w:t>
      </w:r>
      <w:r>
        <w:rPr>
          <w:rFonts w:hint="eastAsia" w:ascii="仿宋" w:hAnsi="仿宋" w:eastAsia="仿宋" w:cs="仿宋"/>
          <w:bCs/>
          <w:color w:val="auto"/>
          <w:sz w:val="24"/>
          <w:highlight w:val="none"/>
          <w:lang w:val="zh-CN"/>
        </w:rPr>
        <w:t>种方式确定成交供应商</w:t>
      </w:r>
    </w:p>
    <w:p w14:paraId="36384253">
      <w:pPr>
        <w:spacing w:line="520" w:lineRule="exact"/>
        <w:ind w:firstLine="480"/>
        <w:rPr>
          <w:rFonts w:hint="eastAsia" w:ascii="仿宋" w:hAnsi="仿宋" w:eastAsia="仿宋" w:cs="仿宋"/>
          <w:bCs/>
          <w:color w:val="auto"/>
          <w:sz w:val="24"/>
          <w:highlight w:val="none"/>
        </w:rPr>
      </w:pPr>
      <w:r>
        <w:rPr>
          <w:rFonts w:hint="eastAsia" w:ascii="仿宋" w:hAnsi="仿宋" w:eastAsia="仿宋" w:cs="仿宋"/>
          <w:bCs/>
          <w:color w:val="auto"/>
          <w:sz w:val="24"/>
          <w:highlight w:val="none"/>
          <w:lang w:val="zh-CN"/>
        </w:rPr>
        <w:t>（1）磋商小组直接确定排名第一的</w:t>
      </w:r>
      <w:r>
        <w:rPr>
          <w:rFonts w:hint="eastAsia" w:ascii="仿宋" w:hAnsi="仿宋" w:eastAsia="仿宋" w:cs="仿宋"/>
          <w:bCs/>
          <w:color w:val="auto"/>
          <w:sz w:val="24"/>
          <w:szCs w:val="21"/>
          <w:highlight w:val="none"/>
        </w:rPr>
        <w:t>成交候选供应商</w:t>
      </w:r>
      <w:r>
        <w:rPr>
          <w:rFonts w:hint="eastAsia" w:ascii="仿宋" w:hAnsi="仿宋" w:eastAsia="仿宋" w:cs="仿宋"/>
          <w:bCs/>
          <w:color w:val="auto"/>
          <w:sz w:val="24"/>
          <w:highlight w:val="none"/>
          <w:lang w:val="zh-CN"/>
        </w:rPr>
        <w:t>为成交供应商；</w:t>
      </w:r>
    </w:p>
    <w:p w14:paraId="0C08F1E1">
      <w:pPr>
        <w:spacing w:line="520" w:lineRule="exact"/>
        <w:ind w:firstLine="480"/>
        <w:rPr>
          <w:rFonts w:hint="eastAsia" w:ascii="仿宋" w:hAnsi="仿宋" w:eastAsia="仿宋" w:cs="仿宋"/>
          <w:bCs/>
          <w:color w:val="auto"/>
          <w:sz w:val="24"/>
          <w:highlight w:val="none"/>
        </w:rPr>
      </w:pPr>
      <w:r>
        <w:rPr>
          <w:rFonts w:hint="eastAsia" w:ascii="仿宋" w:hAnsi="仿宋" w:eastAsia="仿宋" w:cs="仿宋"/>
          <w:bCs/>
          <w:color w:val="auto"/>
          <w:sz w:val="24"/>
          <w:highlight w:val="none"/>
          <w:lang w:val="zh-CN"/>
        </w:rPr>
        <w:t>（2）采购人</w:t>
      </w:r>
      <w:r>
        <w:rPr>
          <w:rFonts w:hint="eastAsia" w:ascii="仿宋" w:hAnsi="仿宋" w:eastAsia="仿宋" w:cs="仿宋"/>
          <w:bCs/>
          <w:color w:val="auto"/>
          <w:sz w:val="24"/>
          <w:szCs w:val="21"/>
          <w:highlight w:val="none"/>
        </w:rPr>
        <w:t>从评审报告提出</w:t>
      </w:r>
      <w:r>
        <w:rPr>
          <w:rFonts w:hint="eastAsia" w:ascii="仿宋" w:hAnsi="仿宋" w:eastAsia="仿宋" w:cs="仿宋"/>
          <w:bCs/>
          <w:color w:val="auto"/>
          <w:sz w:val="24"/>
          <w:highlight w:val="none"/>
          <w:lang w:val="zh-CN"/>
        </w:rPr>
        <w:t>的</w:t>
      </w:r>
      <w:r>
        <w:rPr>
          <w:rFonts w:hint="eastAsia" w:ascii="仿宋" w:hAnsi="仿宋" w:eastAsia="仿宋" w:cs="仿宋"/>
          <w:bCs/>
          <w:color w:val="auto"/>
          <w:sz w:val="24"/>
          <w:szCs w:val="21"/>
          <w:highlight w:val="none"/>
        </w:rPr>
        <w:t>成交候选供应商</w:t>
      </w:r>
      <w:r>
        <w:rPr>
          <w:rFonts w:hint="eastAsia" w:ascii="仿宋" w:hAnsi="仿宋" w:eastAsia="仿宋" w:cs="仿宋"/>
          <w:bCs/>
          <w:color w:val="auto"/>
          <w:sz w:val="24"/>
          <w:highlight w:val="none"/>
          <w:lang w:val="zh-CN"/>
        </w:rPr>
        <w:t>中按顺序确定成交供应商。</w:t>
      </w:r>
    </w:p>
    <w:p w14:paraId="4D6E9EE5">
      <w:pPr>
        <w:tabs>
          <w:tab w:val="left" w:pos="900"/>
        </w:tabs>
        <w:spacing w:line="520" w:lineRule="exact"/>
        <w:ind w:firstLine="480"/>
        <w:rPr>
          <w:rFonts w:hint="eastAsia" w:ascii="仿宋" w:hAnsi="仿宋" w:eastAsia="仿宋" w:cs="仿宋"/>
          <w:bCs/>
          <w:color w:val="auto"/>
          <w:sz w:val="24"/>
          <w:szCs w:val="21"/>
          <w:highlight w:val="none"/>
        </w:rPr>
      </w:pPr>
      <w:r>
        <w:rPr>
          <w:rFonts w:hint="eastAsia" w:ascii="仿宋" w:hAnsi="仿宋" w:eastAsia="仿宋" w:cs="仿宋"/>
          <w:bCs/>
          <w:color w:val="auto"/>
          <w:sz w:val="24"/>
          <w:highlight w:val="none"/>
          <w:lang w:val="zh-CN"/>
        </w:rPr>
        <w:t>按第</w:t>
      </w:r>
      <w:r>
        <w:rPr>
          <w:rFonts w:hint="eastAsia" w:ascii="仿宋" w:hAnsi="仿宋" w:eastAsia="仿宋" w:cs="仿宋"/>
          <w:bCs/>
          <w:color w:val="auto"/>
          <w:sz w:val="24"/>
          <w:highlight w:val="none"/>
        </w:rPr>
        <w:t>2</w:t>
      </w:r>
      <w:r>
        <w:rPr>
          <w:rFonts w:hint="eastAsia" w:ascii="仿宋" w:hAnsi="仿宋" w:eastAsia="仿宋" w:cs="仿宋"/>
          <w:bCs/>
          <w:color w:val="auto"/>
          <w:sz w:val="24"/>
          <w:highlight w:val="none"/>
          <w:lang w:val="zh-CN"/>
        </w:rPr>
        <w:t>种方式确定成交供应商的，</w:t>
      </w:r>
      <w:r>
        <w:rPr>
          <w:rFonts w:hint="eastAsia" w:ascii="仿宋" w:hAnsi="仿宋" w:eastAsia="仿宋" w:cs="仿宋"/>
          <w:bCs/>
          <w:color w:val="auto"/>
          <w:sz w:val="24"/>
          <w:highlight w:val="none"/>
        </w:rPr>
        <w:t>采购代理机构</w:t>
      </w:r>
      <w:r>
        <w:rPr>
          <w:rFonts w:hint="eastAsia" w:ascii="仿宋" w:hAnsi="仿宋" w:eastAsia="仿宋" w:cs="仿宋"/>
          <w:bCs/>
          <w:color w:val="auto"/>
          <w:sz w:val="24"/>
          <w:highlight w:val="none"/>
          <w:lang w:val="zh-CN"/>
        </w:rPr>
        <w:t>自评审结束之日起两个工作日内将评审报告送交采购人，采购人自收到评审报告之日起五个工作日内在评审报告推荐的</w:t>
      </w:r>
      <w:r>
        <w:rPr>
          <w:rFonts w:hint="eastAsia" w:ascii="仿宋" w:hAnsi="仿宋" w:eastAsia="仿宋" w:cs="仿宋"/>
          <w:bCs/>
          <w:color w:val="auto"/>
          <w:sz w:val="24"/>
          <w:szCs w:val="21"/>
          <w:highlight w:val="none"/>
        </w:rPr>
        <w:t>成交候选供应商</w:t>
      </w:r>
      <w:r>
        <w:rPr>
          <w:rFonts w:hint="eastAsia" w:ascii="仿宋" w:hAnsi="仿宋" w:eastAsia="仿宋" w:cs="仿宋"/>
          <w:bCs/>
          <w:color w:val="auto"/>
          <w:sz w:val="24"/>
          <w:highlight w:val="none"/>
          <w:lang w:val="zh-CN"/>
        </w:rPr>
        <w:t>中按顺序确定成交供应商。</w:t>
      </w:r>
    </w:p>
    <w:p w14:paraId="2FB1E298">
      <w:pPr>
        <w:tabs>
          <w:tab w:val="left" w:pos="900"/>
        </w:tabs>
        <w:spacing w:line="520" w:lineRule="exact"/>
        <w:ind w:firstLine="480"/>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28.3成交供应商确定后，采购代理机构将在“宿迁市政府采购网”发布成交结果公告，公告期限为1个工作日。</w:t>
      </w:r>
    </w:p>
    <w:p w14:paraId="7A67F97E">
      <w:pPr>
        <w:tabs>
          <w:tab w:val="left" w:pos="900"/>
        </w:tabs>
        <w:spacing w:line="520" w:lineRule="exact"/>
        <w:ind w:firstLine="480"/>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28.4若有充分证据证明，成交供应商出现下列情况之一的，一经查实，将被取消成交资格：</w:t>
      </w:r>
    </w:p>
    <w:p w14:paraId="2AB54996">
      <w:pPr>
        <w:spacing w:line="520" w:lineRule="exact"/>
        <w:ind w:firstLine="480"/>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28.4.1提供虚假材料谋取成交的。</w:t>
      </w:r>
    </w:p>
    <w:p w14:paraId="3EE23AB1">
      <w:pPr>
        <w:spacing w:line="520" w:lineRule="exact"/>
        <w:ind w:firstLine="480"/>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28.4.2与评审专家、采购人、其他供应商或者</w:t>
      </w:r>
      <w:r>
        <w:rPr>
          <w:rFonts w:hint="eastAsia" w:ascii="仿宋" w:hAnsi="仿宋" w:eastAsia="仿宋" w:cs="仿宋"/>
          <w:color w:val="auto"/>
          <w:sz w:val="24"/>
          <w:szCs w:val="21"/>
          <w:highlight w:val="none"/>
        </w:rPr>
        <w:t>采购代理机构</w:t>
      </w:r>
      <w:r>
        <w:rPr>
          <w:rFonts w:hint="eastAsia" w:ascii="仿宋" w:hAnsi="仿宋" w:eastAsia="仿宋" w:cs="仿宋"/>
          <w:bCs/>
          <w:color w:val="auto"/>
          <w:sz w:val="24"/>
          <w:szCs w:val="21"/>
          <w:highlight w:val="none"/>
        </w:rPr>
        <w:t>工作人员恶意串通的。</w:t>
      </w:r>
    </w:p>
    <w:p w14:paraId="12322293">
      <w:pPr>
        <w:spacing w:line="520" w:lineRule="exact"/>
        <w:ind w:firstLine="480"/>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28.4.3向评审专家、采购人或</w:t>
      </w:r>
      <w:r>
        <w:rPr>
          <w:rFonts w:hint="eastAsia" w:ascii="仿宋" w:hAnsi="仿宋" w:eastAsia="仿宋" w:cs="仿宋"/>
          <w:color w:val="auto"/>
          <w:sz w:val="24"/>
          <w:szCs w:val="21"/>
          <w:highlight w:val="none"/>
        </w:rPr>
        <w:t>采购代理机构</w:t>
      </w:r>
      <w:r>
        <w:rPr>
          <w:rFonts w:hint="eastAsia" w:ascii="仿宋" w:hAnsi="仿宋" w:eastAsia="仿宋" w:cs="仿宋"/>
          <w:bCs/>
          <w:color w:val="auto"/>
          <w:sz w:val="24"/>
          <w:szCs w:val="21"/>
          <w:highlight w:val="none"/>
        </w:rPr>
        <w:t>工作人员行贿或者提供其他不正当利益的。</w:t>
      </w:r>
    </w:p>
    <w:p w14:paraId="1D78CF2C">
      <w:pPr>
        <w:spacing w:line="520" w:lineRule="exact"/>
        <w:ind w:firstLine="480"/>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28.4.4恶意竞争，最后报价明显低于其自身合理成本且又无法提供证明的。</w:t>
      </w:r>
    </w:p>
    <w:p w14:paraId="767FAB57">
      <w:pPr>
        <w:spacing w:line="520" w:lineRule="exact"/>
        <w:ind w:firstLine="480"/>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28.4.5不满足本磋商文件规定的实质性要求，但在评审过程中又未被磋商小组发现的。</w:t>
      </w:r>
    </w:p>
    <w:p w14:paraId="1644561F">
      <w:pPr>
        <w:spacing w:line="520" w:lineRule="exact"/>
        <w:ind w:firstLine="480"/>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28.4.6成交后无正当理由拒不与采购人签订政府采购合同或者未按照磋商文件确定的事项签订政府采购合同的。</w:t>
      </w:r>
    </w:p>
    <w:p w14:paraId="7238069B">
      <w:pPr>
        <w:spacing w:line="520" w:lineRule="exact"/>
        <w:ind w:firstLine="480"/>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28.4.7将政府采购合同转包的。</w:t>
      </w:r>
    </w:p>
    <w:p w14:paraId="01276A49">
      <w:pPr>
        <w:keepNext/>
        <w:keepLines/>
        <w:spacing w:line="520" w:lineRule="exact"/>
        <w:ind w:firstLine="600"/>
        <w:outlineLvl w:val="3"/>
        <w:rPr>
          <w:rFonts w:hint="eastAsia" w:ascii="仿宋" w:hAnsi="仿宋" w:eastAsia="仿宋" w:cs="仿宋"/>
          <w:bCs/>
          <w:color w:val="auto"/>
          <w:sz w:val="30"/>
          <w:szCs w:val="30"/>
          <w:highlight w:val="none"/>
        </w:rPr>
      </w:pPr>
      <w:bookmarkStart w:id="165" w:name="_Toc200451960"/>
      <w:r>
        <w:rPr>
          <w:rFonts w:hint="eastAsia" w:ascii="仿宋" w:hAnsi="仿宋" w:eastAsia="仿宋" w:cs="仿宋"/>
          <w:bCs/>
          <w:color w:val="auto"/>
          <w:sz w:val="30"/>
          <w:szCs w:val="30"/>
          <w:highlight w:val="none"/>
        </w:rPr>
        <w:t>29、质疑处理</w:t>
      </w:r>
      <w:bookmarkEnd w:id="165"/>
    </w:p>
    <w:p w14:paraId="58A5A403">
      <w:pPr>
        <w:spacing w:line="520" w:lineRule="exact"/>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29.1 提出质疑的供应商应当是参与所质疑项目采购活动的供应商。潜在供应商依法获取其可质疑的采购文件的，可以对采购文件提出质疑。</w:t>
      </w:r>
    </w:p>
    <w:p w14:paraId="2CBE7CDE">
      <w:pPr>
        <w:spacing w:line="520" w:lineRule="exact"/>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p>
    <w:p w14:paraId="743D3CF1">
      <w:pPr>
        <w:spacing w:line="520" w:lineRule="exact"/>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29.2.1对可以质疑的采购文件提出质疑的，为收到采购文件之日或者采购文件公告期限届满之日。</w:t>
      </w:r>
    </w:p>
    <w:p w14:paraId="05EF91A8">
      <w:pPr>
        <w:spacing w:line="520" w:lineRule="exact"/>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29.2.2对采购过程提出质疑的，为各采购程序环节结束之日。</w:t>
      </w:r>
    </w:p>
    <w:p w14:paraId="589F395E">
      <w:pPr>
        <w:spacing w:line="520" w:lineRule="exact"/>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29.2.3对成交结果提出质疑的，为成交结果公告期限届满之日。</w:t>
      </w:r>
    </w:p>
    <w:p w14:paraId="00634F5E">
      <w:pPr>
        <w:spacing w:line="520" w:lineRule="exact"/>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供应商应当在法定质疑期内一次性提出针对同一采购程序环节的质疑。供应商如在法定期限内对同一采购程序环节提出多次质疑的，</w:t>
      </w:r>
      <w:r>
        <w:rPr>
          <w:rFonts w:hint="eastAsia" w:ascii="仿宋" w:hAnsi="仿宋" w:eastAsia="仿宋" w:cs="仿宋"/>
          <w:color w:val="auto"/>
          <w:sz w:val="24"/>
          <w:szCs w:val="21"/>
          <w:highlight w:val="none"/>
        </w:rPr>
        <w:t>采购代理机构</w:t>
      </w:r>
      <w:r>
        <w:rPr>
          <w:rFonts w:hint="eastAsia" w:ascii="仿宋" w:hAnsi="仿宋" w:eastAsia="仿宋" w:cs="仿宋"/>
          <w:color w:val="auto"/>
          <w:sz w:val="24"/>
          <w:szCs w:val="24"/>
          <w:highlight w:val="none"/>
        </w:rPr>
        <w:t>、采购人将只对供应商第一次质疑作出答复。</w:t>
      </w:r>
    </w:p>
    <w:p w14:paraId="3F8E8E68">
      <w:pPr>
        <w:spacing w:line="520" w:lineRule="exact"/>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29.3质疑函必须按照本磋商文件中《质疑函范本》要求的格式和内容进行填写。供应商如组成联合体参加磋商，则《质疑函范本》中要求签字、盖章、加盖公章之处，联合体各方均须按要求签字、盖章、加盖公章。</w:t>
      </w:r>
    </w:p>
    <w:p w14:paraId="2172D607">
      <w:pPr>
        <w:spacing w:line="520" w:lineRule="exact"/>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29.4供应商应登录“苏采云”系统，从“项目质疑申请”模块向采购人、采购代理机构提出质疑或以书面形式向采购人或者其委托的采购代理机构提出质疑。质疑超出采购机构代理范围的，投标人应当向采购人提出。</w:t>
      </w:r>
    </w:p>
    <w:p w14:paraId="7057D241">
      <w:pPr>
        <w:spacing w:line="520" w:lineRule="exact"/>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接收质疑函的方式：将质疑函以书面形式由法定代表人或法人授权代表邮寄或现场送达采购人或委托的采购代理机构。</w:t>
      </w:r>
    </w:p>
    <w:p w14:paraId="3F89860C">
      <w:pPr>
        <w:spacing w:line="520" w:lineRule="exact"/>
        <w:ind w:firstLine="48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联系部门：</w:t>
      </w:r>
      <w:r>
        <w:rPr>
          <w:rFonts w:hint="eastAsia" w:ascii="仿宋" w:hAnsi="仿宋" w:eastAsia="仿宋" w:cs="仿宋"/>
          <w:color w:val="auto"/>
          <w:sz w:val="24"/>
          <w:szCs w:val="24"/>
          <w:highlight w:val="none"/>
          <w:u w:val="single"/>
        </w:rPr>
        <w:t xml:space="preserve"> 宿迁市自然资源和规划局宿城分局/江苏文鼎工程管理有限公司 </w:t>
      </w:r>
    </w:p>
    <w:p w14:paraId="39987BC3">
      <w:pPr>
        <w:spacing w:line="520" w:lineRule="exact"/>
        <w:ind w:firstLine="48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联系电话：</w:t>
      </w:r>
      <w:r>
        <w:rPr>
          <w:rFonts w:hint="eastAsia" w:ascii="仿宋" w:hAnsi="仿宋" w:eastAsia="仿宋" w:cs="仿宋"/>
          <w:color w:val="auto"/>
          <w:sz w:val="24"/>
          <w:szCs w:val="24"/>
          <w:highlight w:val="none"/>
          <w:u w:val="single"/>
        </w:rPr>
        <w:t xml:space="preserve">0527-84381206/13218916011 </w:t>
      </w:r>
    </w:p>
    <w:p w14:paraId="0EA06C52">
      <w:pPr>
        <w:spacing w:line="520" w:lineRule="exact"/>
        <w:ind w:firstLine="48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通讯地址：</w:t>
      </w:r>
      <w:r>
        <w:rPr>
          <w:rFonts w:hint="eastAsia" w:ascii="仿宋" w:hAnsi="仿宋" w:eastAsia="仿宋" w:cs="仿宋"/>
          <w:color w:val="auto"/>
          <w:sz w:val="24"/>
          <w:szCs w:val="24"/>
          <w:highlight w:val="none"/>
          <w:u w:val="single"/>
        </w:rPr>
        <w:t>宿迁市宿城区市民服务中心10楼/江苏省宿迁经济技术开发区金茂府二期1幢109商铺</w:t>
      </w:r>
    </w:p>
    <w:p w14:paraId="2F1CE893">
      <w:pPr>
        <w:spacing w:line="520" w:lineRule="exact"/>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29.5 以下情形的质疑不予受理</w:t>
      </w:r>
    </w:p>
    <w:p w14:paraId="763A02DA">
      <w:pPr>
        <w:spacing w:line="520" w:lineRule="exact"/>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29.5.1内容不符合《政府采购质疑和投诉办法》第十二条规定的质疑。</w:t>
      </w:r>
    </w:p>
    <w:p w14:paraId="1DB37717">
      <w:pPr>
        <w:spacing w:line="520" w:lineRule="exact"/>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29.5.2超出政府采购法定期限的质疑。</w:t>
      </w:r>
    </w:p>
    <w:p w14:paraId="5154EBD6">
      <w:pPr>
        <w:spacing w:line="520" w:lineRule="exact"/>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29.5.3以传真、电子邮件等方式递交的非原件形式的质疑。</w:t>
      </w:r>
    </w:p>
    <w:p w14:paraId="5FC102F3">
      <w:pPr>
        <w:spacing w:line="520" w:lineRule="exact"/>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29.5.4未参加磋商活动的供应商或在磋商活动中自身权益未受到损害的供应商所提出的质疑。</w:t>
      </w:r>
    </w:p>
    <w:p w14:paraId="503AAF80">
      <w:pPr>
        <w:spacing w:line="520" w:lineRule="exact"/>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29.5.5供应商组成联合体参加磋商，联合体中任何一方或多方未按要求签字、盖章、加盖公章的质疑。</w:t>
      </w:r>
    </w:p>
    <w:p w14:paraId="25E99873">
      <w:pPr>
        <w:spacing w:line="520" w:lineRule="exact"/>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29.6供应商提出书面质疑必须有理、有据，不得捏造事实、提供虚假材料进行恶意质疑。否则，一经查实，</w:t>
      </w:r>
      <w:r>
        <w:rPr>
          <w:rFonts w:hint="eastAsia" w:ascii="仿宋" w:hAnsi="仿宋" w:eastAsia="仿宋" w:cs="仿宋"/>
          <w:color w:val="auto"/>
          <w:sz w:val="24"/>
          <w:szCs w:val="21"/>
          <w:highlight w:val="none"/>
        </w:rPr>
        <w:t>采购代理机构</w:t>
      </w:r>
      <w:r>
        <w:rPr>
          <w:rFonts w:hint="eastAsia" w:ascii="仿宋" w:hAnsi="仿宋" w:eastAsia="仿宋" w:cs="仿宋"/>
          <w:color w:val="auto"/>
          <w:sz w:val="24"/>
          <w:szCs w:val="24"/>
          <w:highlight w:val="none"/>
        </w:rPr>
        <w:t>有权依据政府采购的有关规定，报请政府采购监管部门对该供应商进行相应的行政处罚和记录该供应商的失信信息。</w:t>
      </w:r>
    </w:p>
    <w:p w14:paraId="68FA1807">
      <w:pPr>
        <w:spacing w:line="520" w:lineRule="exact"/>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29.7质疑供应商对采购人、采购代理机构的答复不满意，或者采购人、采购代理机构未在规定时间内作出答复的，可以在答复期满后15个工作日内向同级财政部门提起投诉。</w:t>
      </w:r>
    </w:p>
    <w:p w14:paraId="3D2C1AF2">
      <w:pPr>
        <w:keepNext/>
        <w:keepLines/>
        <w:spacing w:line="520" w:lineRule="exact"/>
        <w:ind w:firstLine="600"/>
        <w:outlineLvl w:val="3"/>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30、成交通知书</w:t>
      </w:r>
    </w:p>
    <w:p w14:paraId="1E2B0DC4">
      <w:pPr>
        <w:spacing w:line="520" w:lineRule="exact"/>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30.1成交结果确定后，采购代理机构将向成交供应商发出成交通知书。请成交供应商使用CA数字证书登录“苏采云系统”及时下载成交通知书。成交供应商可自行下载打印《成交通知书》，《成交通知书》将作为授予合同资格的唯一合法依据。</w:t>
      </w:r>
    </w:p>
    <w:p w14:paraId="3C50F2A0">
      <w:pPr>
        <w:spacing w:line="520" w:lineRule="exact"/>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30.2成交通知书将是合同的一个组成部分。对采购人和成交供应商均具有法律效力。成交通知书发出后，采购人改变成交结果的，或者成交供应商放弃成交项目的，应当依法承担法律责任。</w:t>
      </w:r>
    </w:p>
    <w:p w14:paraId="1C3BFA12">
      <w:pPr>
        <w:keepNext/>
        <w:keepLines/>
        <w:spacing w:line="520" w:lineRule="exact"/>
        <w:ind w:firstLine="643"/>
        <w:outlineLvl w:val="2"/>
        <w:rPr>
          <w:rFonts w:hint="eastAsia" w:ascii="仿宋" w:hAnsi="仿宋" w:eastAsia="仿宋" w:cs="仿宋"/>
          <w:b/>
          <w:bCs/>
          <w:color w:val="auto"/>
          <w:sz w:val="32"/>
          <w:szCs w:val="32"/>
          <w:highlight w:val="none"/>
        </w:rPr>
      </w:pPr>
      <w:bookmarkStart w:id="166" w:name="_Toc513029236"/>
      <w:bookmarkStart w:id="167" w:name="_Toc16938552"/>
      <w:bookmarkStart w:id="168" w:name="_Toc20823308"/>
      <w:bookmarkStart w:id="169" w:name="_Toc120614220"/>
      <w:r>
        <w:rPr>
          <w:rFonts w:hint="eastAsia" w:ascii="仿宋" w:hAnsi="仿宋" w:eastAsia="仿宋" w:cs="仿宋"/>
          <w:b/>
          <w:bCs/>
          <w:color w:val="auto"/>
          <w:sz w:val="32"/>
          <w:szCs w:val="32"/>
          <w:highlight w:val="none"/>
        </w:rPr>
        <w:t>七、授予合同</w:t>
      </w:r>
      <w:bookmarkEnd w:id="166"/>
      <w:bookmarkEnd w:id="167"/>
      <w:bookmarkEnd w:id="168"/>
      <w:bookmarkEnd w:id="169"/>
    </w:p>
    <w:p w14:paraId="4BCC1416">
      <w:pPr>
        <w:keepNext/>
        <w:keepLines/>
        <w:spacing w:line="520" w:lineRule="exact"/>
        <w:ind w:firstLine="600"/>
        <w:outlineLvl w:val="3"/>
        <w:rPr>
          <w:rFonts w:hint="eastAsia" w:ascii="仿宋" w:hAnsi="仿宋" w:eastAsia="仿宋" w:cs="仿宋"/>
          <w:bCs/>
          <w:color w:val="auto"/>
          <w:sz w:val="30"/>
          <w:szCs w:val="30"/>
          <w:highlight w:val="none"/>
        </w:rPr>
      </w:pPr>
      <w:bookmarkStart w:id="170" w:name="_Toc16938553"/>
      <w:bookmarkStart w:id="171" w:name="_Toc513029237"/>
      <w:bookmarkStart w:id="172" w:name="_Toc20823309"/>
      <w:r>
        <w:rPr>
          <w:rFonts w:hint="eastAsia" w:ascii="仿宋" w:hAnsi="仿宋" w:eastAsia="仿宋" w:cs="仿宋"/>
          <w:bCs/>
          <w:color w:val="auto"/>
          <w:sz w:val="30"/>
          <w:szCs w:val="30"/>
          <w:highlight w:val="none"/>
        </w:rPr>
        <w:t>31. 签订合同</w:t>
      </w:r>
    </w:p>
    <w:p w14:paraId="386EE119">
      <w:pPr>
        <w:spacing w:line="520" w:lineRule="exact"/>
        <w:ind w:firstLine="480"/>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31</w:t>
      </w:r>
      <w:r>
        <w:rPr>
          <w:rFonts w:hint="eastAsia" w:ascii="仿宋" w:hAnsi="仿宋" w:eastAsia="仿宋" w:cs="仿宋"/>
          <w:color w:val="auto"/>
          <w:sz w:val="24"/>
          <w:szCs w:val="24"/>
          <w:highlight w:val="none"/>
        </w:rPr>
        <w:t>.l成交供应商应当在成交通知书发出之日起15日内，按照磋商文件确定的事项与采购人签订政府采购合同。</w:t>
      </w:r>
    </w:p>
    <w:p w14:paraId="23891806">
      <w:pPr>
        <w:spacing w:line="520" w:lineRule="exact"/>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31.2磋商文件、成交供应商的响应文件及磋商过程中有关澄清、承诺文件均应作为合同附件。</w:t>
      </w:r>
    </w:p>
    <w:p w14:paraId="25B30422">
      <w:pPr>
        <w:spacing w:line="520" w:lineRule="exact"/>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31.3签订合同后，成交供应商不得将合同标的进行转包。未经采购人同意，成交供应商也不得采用分包形式履行合同，否则采购人有权终止合同。转包或分包造成采购人损失的，成交供应商应承担相应赔偿责任。</w:t>
      </w:r>
    </w:p>
    <w:p w14:paraId="793852AE">
      <w:pPr>
        <w:spacing w:line="520" w:lineRule="exact"/>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31.4本项目的非主体、非关键性工作是否允许分包按以下第</w:t>
      </w:r>
      <w:r>
        <w:rPr>
          <w:rFonts w:hint="eastAsia" w:ascii="仿宋" w:hAnsi="仿宋" w:eastAsia="仿宋" w:cs="仿宋"/>
          <w:color w:val="auto"/>
          <w:sz w:val="24"/>
          <w:szCs w:val="24"/>
          <w:highlight w:val="none"/>
          <w:u w:val="single"/>
        </w:rPr>
        <w:t xml:space="preserve">  2  </w:t>
      </w:r>
      <w:r>
        <w:rPr>
          <w:rFonts w:hint="eastAsia" w:ascii="仿宋" w:hAnsi="仿宋" w:eastAsia="仿宋" w:cs="仿宋"/>
          <w:color w:val="auto"/>
          <w:sz w:val="24"/>
          <w:szCs w:val="24"/>
          <w:highlight w:val="none"/>
        </w:rPr>
        <w:t>种方式确定：</w:t>
      </w:r>
    </w:p>
    <w:p w14:paraId="6AE89DD0">
      <w:pPr>
        <w:spacing w:line="520" w:lineRule="exact"/>
        <w:ind w:firstLine="48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1.允许分包，允许大中型企业向一家或者多家小微企业分包，分包具体内容、金额或比例：</w:t>
      </w:r>
      <w:r>
        <w:rPr>
          <w:rFonts w:hint="eastAsia" w:ascii="仿宋" w:hAnsi="仿宋" w:eastAsia="仿宋" w:cs="仿宋"/>
          <w:color w:val="auto"/>
          <w:sz w:val="24"/>
          <w:szCs w:val="24"/>
          <w:highlight w:val="none"/>
          <w:u w:val="single"/>
        </w:rPr>
        <w:t xml:space="preserve">    /   ；</w:t>
      </w:r>
    </w:p>
    <w:p w14:paraId="0CB5B911">
      <w:pPr>
        <w:spacing w:line="520" w:lineRule="exact"/>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2.不允许分包。未经采购人同意，成交供应商也不得采用分包形式履行合同，否则采购人有权终止合同。转包或分包造成采购人损失的，成交供应商应承担相应赔偿责任。</w:t>
      </w:r>
    </w:p>
    <w:p w14:paraId="25CB58DE">
      <w:pPr>
        <w:spacing w:line="520" w:lineRule="exact"/>
        <w:ind w:firstLine="480"/>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31.5履约保证金</w:t>
      </w:r>
    </w:p>
    <w:p w14:paraId="39BFAF67">
      <w:pPr>
        <w:spacing w:line="520" w:lineRule="exact"/>
        <w:ind w:firstLine="480"/>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该项目</w:t>
      </w:r>
      <w:r>
        <w:rPr>
          <w:rFonts w:hint="eastAsia" w:ascii="仿宋" w:hAnsi="仿宋" w:eastAsia="仿宋" w:cs="仿宋"/>
          <w:bCs/>
          <w:color w:val="auto"/>
          <w:sz w:val="24"/>
          <w:highlight w:val="none"/>
          <w:lang w:val="zh-CN"/>
        </w:rPr>
        <w:t>不收取履约保证金。</w:t>
      </w:r>
    </w:p>
    <w:p w14:paraId="63FA9326">
      <w:pPr>
        <w:keepNext/>
        <w:keepLines/>
        <w:spacing w:line="520" w:lineRule="exact"/>
        <w:ind w:firstLine="600"/>
        <w:outlineLvl w:val="3"/>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32、标的物的追加</w:t>
      </w:r>
    </w:p>
    <w:p w14:paraId="3A36BAAF">
      <w:pPr>
        <w:spacing w:line="520" w:lineRule="exact"/>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70"/>
      <w:bookmarkEnd w:id="171"/>
      <w:bookmarkEnd w:id="172"/>
    </w:p>
    <w:p w14:paraId="7591F775">
      <w:pPr>
        <w:keepNext/>
        <w:keepLines/>
        <w:spacing w:line="520" w:lineRule="exact"/>
        <w:ind w:firstLine="600"/>
        <w:outlineLvl w:val="3"/>
        <w:rPr>
          <w:rFonts w:hint="eastAsia" w:ascii="仿宋" w:hAnsi="仿宋" w:eastAsia="仿宋" w:cs="仿宋"/>
          <w:bCs/>
          <w:color w:val="auto"/>
          <w:sz w:val="30"/>
          <w:szCs w:val="30"/>
          <w:highlight w:val="none"/>
        </w:rPr>
      </w:pPr>
      <w:bookmarkStart w:id="173" w:name="_Toc16938558"/>
      <w:bookmarkStart w:id="174" w:name="_Toc479757207"/>
      <w:bookmarkStart w:id="175" w:name="_Toc120614221"/>
      <w:bookmarkStart w:id="176" w:name="_Toc20823314"/>
      <w:bookmarkStart w:id="177" w:name="_Toc513029242"/>
      <w:r>
        <w:rPr>
          <w:rFonts w:hint="eastAsia" w:ascii="仿宋" w:hAnsi="仿宋" w:eastAsia="仿宋" w:cs="仿宋"/>
          <w:bCs/>
          <w:color w:val="auto"/>
          <w:sz w:val="30"/>
          <w:szCs w:val="30"/>
          <w:highlight w:val="none"/>
        </w:rPr>
        <w:t>33、政府采购履约资金扶持政策</w:t>
      </w:r>
    </w:p>
    <w:p w14:paraId="42207032">
      <w:pPr>
        <w:spacing w:line="520" w:lineRule="exact"/>
        <w:ind w:firstLine="480"/>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33.1依</w:t>
      </w:r>
      <w:r>
        <w:rPr>
          <w:rFonts w:hint="eastAsia" w:ascii="仿宋" w:hAnsi="仿宋" w:eastAsia="仿宋" w:cs="仿宋"/>
          <w:bCs/>
          <w:color w:val="auto"/>
          <w:sz w:val="24"/>
          <w:highlight w:val="none"/>
          <w:lang w:val="zh-CN"/>
        </w:rPr>
        <w:t>据《关于转发江苏省财政厅、中国人民银行南京分行&lt;关于深入推进政府采购线上合同信用融资工作的通知&gt;的通知》（通财购〔2021〕41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w:t>
      </w:r>
    </w:p>
    <w:p w14:paraId="3CA978E0">
      <w:pPr>
        <w:pStyle w:val="231"/>
        <w:spacing w:before="0" w:after="0" w:line="520" w:lineRule="exact"/>
        <w:ind w:firstLine="602"/>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34、验收及付款</w:t>
      </w:r>
    </w:p>
    <w:p w14:paraId="4D84920F">
      <w:pPr>
        <w:pStyle w:val="347"/>
        <w:spacing w:line="520" w:lineRule="exact"/>
        <w:ind w:firstLine="480"/>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34.1</w:t>
      </w:r>
      <w:r>
        <w:rPr>
          <w:rFonts w:hint="eastAsia" w:ascii="仿宋" w:hAnsi="仿宋" w:eastAsia="仿宋" w:cs="仿宋"/>
          <w:color w:val="auto"/>
          <w:sz w:val="24"/>
          <w:szCs w:val="24"/>
          <w:highlight w:val="none"/>
        </w:rPr>
        <w:t>供应商提交的成果资料需符合相关规范、符合采购人有关要求，并顺利通过采购人验收。</w:t>
      </w:r>
    </w:p>
    <w:p w14:paraId="2ED27EA2">
      <w:pPr>
        <w:spacing w:line="520" w:lineRule="exact"/>
        <w:ind w:firstLine="480"/>
        <w:rPr>
          <w:rFonts w:hint="eastAsia" w:ascii="仿宋" w:hAnsi="仿宋" w:eastAsia="仿宋" w:cs="仿宋"/>
          <w:color w:val="auto"/>
          <w:sz w:val="24"/>
          <w:highlight w:val="none"/>
        </w:rPr>
      </w:pPr>
      <w:r>
        <w:rPr>
          <w:rFonts w:hint="eastAsia" w:ascii="仿宋" w:hAnsi="仿宋" w:eastAsia="仿宋" w:cs="仿宋"/>
          <w:bCs/>
          <w:color w:val="auto"/>
          <w:sz w:val="24"/>
          <w:highlight w:val="none"/>
        </w:rPr>
        <w:t>34.2验收合格的项目，采购人将根据采购合同的约定及时向供应商支付采购资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p>
    <w:p w14:paraId="44451A29">
      <w:pPr>
        <w:spacing w:line="520" w:lineRule="exact"/>
        <w:ind w:firstLine="482"/>
        <w:rPr>
          <w:rFonts w:hint="eastAsia" w:ascii="仿宋" w:hAnsi="仿宋" w:eastAsia="仿宋" w:cs="仿宋"/>
          <w:b/>
          <w:color w:val="auto"/>
          <w:sz w:val="24"/>
          <w:highlight w:val="none"/>
        </w:rPr>
      </w:pPr>
      <w:r>
        <w:rPr>
          <w:rFonts w:hint="eastAsia" w:ascii="仿宋" w:hAnsi="仿宋" w:eastAsia="仿宋" w:cs="仿宋"/>
          <w:b/>
          <w:color w:val="auto"/>
          <w:sz w:val="24"/>
          <w:highlight w:val="none"/>
        </w:rPr>
        <w:t>35、付款</w:t>
      </w:r>
    </w:p>
    <w:p w14:paraId="210D775C">
      <w:pPr>
        <w:spacing w:line="520" w:lineRule="exact"/>
        <w:ind w:firstLine="480"/>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 </w:t>
      </w:r>
      <w:bookmarkStart w:id="178" w:name="EBec7f529f50594afd871ea9378869e456"/>
      <w:r>
        <w:rPr>
          <w:rFonts w:hint="eastAsia" w:ascii="仿宋" w:hAnsi="仿宋" w:eastAsia="仿宋" w:cs="仿宋"/>
          <w:bCs/>
          <w:color w:val="auto"/>
          <w:sz w:val="24"/>
          <w:highlight w:val="none"/>
        </w:rPr>
        <w:t>按照以下</w:t>
      </w:r>
      <w:r>
        <w:rPr>
          <w:rFonts w:hint="eastAsia" w:ascii="仿宋" w:hAnsi="仿宋" w:eastAsia="仿宋" w:cs="仿宋"/>
          <w:bCs/>
          <w:color w:val="auto"/>
          <w:sz w:val="24"/>
          <w:highlight w:val="none"/>
          <w:u w:val="single"/>
        </w:rPr>
        <w:t xml:space="preserve">  服务 </w:t>
      </w:r>
      <w:r>
        <w:rPr>
          <w:rFonts w:hint="eastAsia" w:ascii="仿宋" w:hAnsi="仿宋" w:eastAsia="仿宋" w:cs="仿宋"/>
          <w:bCs/>
          <w:color w:val="auto"/>
          <w:sz w:val="24"/>
          <w:highlight w:val="none"/>
        </w:rPr>
        <w:t>类项目确定的付款方式，采购人及时办理付款手续。对于满足合同约定支付条件的，自收到发票后10个工作日内将资金支付到合同约定的供应商账户或供应商数字人民币账户。</w:t>
      </w:r>
      <w:bookmarkEnd w:id="178"/>
    </w:p>
    <w:p w14:paraId="41A56509">
      <w:pPr>
        <w:spacing w:line="520" w:lineRule="exact"/>
        <w:ind w:firstLine="480"/>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（1）货物类项目</w:t>
      </w:r>
    </w:p>
    <w:p w14:paraId="704FC744">
      <w:pPr>
        <w:spacing w:line="520" w:lineRule="exact"/>
        <w:ind w:firstLine="480"/>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预付款：合同金额的</w:t>
      </w:r>
      <w:r>
        <w:rPr>
          <w:rFonts w:hint="eastAsia" w:ascii="仿宋" w:hAnsi="仿宋" w:eastAsia="仿宋" w:cs="仿宋"/>
          <w:bCs/>
          <w:color w:val="auto"/>
          <w:sz w:val="24"/>
          <w:highlight w:val="none"/>
          <w:u w:val="single"/>
        </w:rPr>
        <w:t xml:space="preserve">  /  </w:t>
      </w:r>
      <w:r>
        <w:rPr>
          <w:rFonts w:hint="eastAsia" w:ascii="仿宋" w:hAnsi="仿宋" w:eastAsia="仿宋" w:cs="仿宋"/>
          <w:bCs/>
          <w:color w:val="auto"/>
          <w:sz w:val="24"/>
          <w:highlight w:val="none"/>
        </w:rPr>
        <w:t xml:space="preserve">%，合同签订后按规定支付； </w:t>
      </w:r>
    </w:p>
    <w:p w14:paraId="68CE7E54">
      <w:pPr>
        <w:spacing w:line="520" w:lineRule="exact"/>
        <w:ind w:firstLine="480"/>
        <w:rPr>
          <w:rFonts w:hint="eastAsia" w:ascii="仿宋" w:hAnsi="仿宋" w:eastAsia="仿宋" w:cs="仿宋"/>
          <w:bCs/>
          <w:color w:val="auto"/>
          <w:sz w:val="24"/>
          <w:highlight w:val="none"/>
          <w:u w:val="single"/>
        </w:rPr>
      </w:pPr>
      <w:r>
        <w:rPr>
          <w:rFonts w:hint="eastAsia" w:ascii="仿宋" w:hAnsi="仿宋" w:eastAsia="仿宋" w:cs="仿宋"/>
          <w:bCs/>
          <w:color w:val="auto"/>
          <w:sz w:val="24"/>
          <w:highlight w:val="none"/>
        </w:rPr>
        <w:t>进度款：</w:t>
      </w:r>
      <w:bookmarkStart w:id="179" w:name="EBf1f8b954f7504a2cb44cef25707c76a6"/>
      <w:bookmarkEnd w:id="179"/>
      <w:r>
        <w:rPr>
          <w:rFonts w:hint="eastAsia" w:ascii="仿宋" w:hAnsi="仿宋" w:eastAsia="仿宋" w:cs="仿宋"/>
          <w:bCs/>
          <w:color w:val="auto"/>
          <w:sz w:val="24"/>
          <w:highlight w:val="none"/>
          <w:u w:val="single"/>
        </w:rPr>
        <w:t xml:space="preserve">              /                  </w:t>
      </w:r>
      <w:r>
        <w:rPr>
          <w:rFonts w:hint="eastAsia" w:ascii="仿宋" w:hAnsi="仿宋" w:eastAsia="仿宋" w:cs="仿宋"/>
          <w:bCs/>
          <w:color w:val="auto"/>
          <w:sz w:val="24"/>
          <w:highlight w:val="none"/>
        </w:rPr>
        <w:t>。</w:t>
      </w:r>
    </w:p>
    <w:p w14:paraId="32823148">
      <w:pPr>
        <w:spacing w:line="520" w:lineRule="exact"/>
        <w:ind w:firstLine="480"/>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（2）服务类项目</w:t>
      </w:r>
    </w:p>
    <w:p w14:paraId="0380BE84">
      <w:pPr>
        <w:spacing w:line="520" w:lineRule="exact"/>
        <w:ind w:firstLine="480"/>
        <w:rPr>
          <w:rFonts w:hint="eastAsia" w:ascii="仿宋" w:hAnsi="仿宋" w:eastAsia="仿宋" w:cs="仿宋"/>
          <w:color w:val="auto"/>
          <w:sz w:val="24"/>
          <w:highlight w:val="none"/>
        </w:rPr>
      </w:pPr>
      <w:r>
        <w:rPr>
          <w:rFonts w:hint="eastAsia" w:ascii="仿宋" w:hAnsi="仿宋" w:eastAsia="仿宋" w:cs="仿宋"/>
          <w:bCs/>
          <w:color w:val="auto"/>
          <w:sz w:val="24"/>
          <w:highlight w:val="none"/>
        </w:rPr>
        <w:t>预付款：合同金额的</w:t>
      </w:r>
      <w:bookmarkStart w:id="180" w:name="EBe373fd05aa034cc3a1a41aadf8509e01"/>
      <w:r>
        <w:rPr>
          <w:rFonts w:hint="eastAsia" w:ascii="仿宋" w:hAnsi="仿宋" w:eastAsia="仿宋" w:cs="仿宋"/>
          <w:bCs/>
          <w:color w:val="auto"/>
          <w:sz w:val="24"/>
          <w:highlight w:val="none"/>
          <w:u w:val="single"/>
        </w:rPr>
        <w:t xml:space="preserve"> 10 </w:t>
      </w:r>
      <w:r>
        <w:rPr>
          <w:rFonts w:hint="eastAsia" w:ascii="仿宋" w:hAnsi="仿宋" w:eastAsia="仿宋" w:cs="仿宋"/>
          <w:bCs/>
          <w:color w:val="auto"/>
          <w:sz w:val="24"/>
          <w:highlight w:val="none"/>
        </w:rPr>
        <w:t>%</w:t>
      </w:r>
      <w:bookmarkEnd w:id="180"/>
      <w:r>
        <w:rPr>
          <w:rFonts w:hint="eastAsia" w:ascii="仿宋" w:hAnsi="仿宋" w:eastAsia="仿宋" w:cs="仿宋"/>
          <w:bCs/>
          <w:color w:val="auto"/>
          <w:sz w:val="24"/>
          <w:highlight w:val="none"/>
        </w:rPr>
        <w:t>，合同签订后按规定支付；</w:t>
      </w:r>
      <w:r>
        <w:rPr>
          <w:rFonts w:hint="eastAsia" w:ascii="仿宋" w:hAnsi="仿宋" w:eastAsia="仿宋" w:cs="仿宋"/>
          <w:color w:val="auto"/>
          <w:sz w:val="24"/>
          <w:highlight w:val="none"/>
        </w:rPr>
        <w:t xml:space="preserve"> </w:t>
      </w:r>
    </w:p>
    <w:p w14:paraId="1BA4050E">
      <w:pPr>
        <w:spacing w:line="520" w:lineRule="exact"/>
        <w:ind w:firstLine="480"/>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进度款：</w:t>
      </w:r>
      <w:bookmarkStart w:id="181" w:name="EB5e42c1c1be704ecfa15d9f8f317e8f12"/>
      <w:bookmarkEnd w:id="181"/>
      <w:r>
        <w:rPr>
          <w:rFonts w:hint="eastAsia" w:ascii="仿宋" w:hAnsi="仿宋" w:eastAsia="仿宋" w:cs="仿宋"/>
          <w:bCs/>
          <w:color w:val="auto"/>
          <w:sz w:val="24"/>
          <w:highlight w:val="none"/>
        </w:rPr>
        <w:t>（1）完成2026年度国土变更调查且收到供应商发票后10个工作日内，付至合同价款的30%；</w:t>
      </w:r>
    </w:p>
    <w:p w14:paraId="6599C015">
      <w:pPr>
        <w:spacing w:line="520" w:lineRule="exact"/>
        <w:ind w:firstLine="480"/>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（2）完成全部成果，经省级检查单位检查合格后且收到供应商发票后10个工作日内，付清余款。</w:t>
      </w:r>
    </w:p>
    <w:p w14:paraId="650A1A86">
      <w:pPr>
        <w:numPr>
          <w:ilvl w:val="0"/>
          <w:numId w:val="4"/>
        </w:numPr>
        <w:spacing w:line="520" w:lineRule="exact"/>
        <w:ind w:firstLine="480"/>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工程类项目</w:t>
      </w:r>
    </w:p>
    <w:p w14:paraId="0C44CD85">
      <w:pPr>
        <w:spacing w:line="520" w:lineRule="exact"/>
        <w:ind w:firstLine="480"/>
        <w:rPr>
          <w:rFonts w:hint="eastAsia" w:ascii="仿宋" w:hAnsi="仿宋" w:eastAsia="仿宋" w:cs="仿宋"/>
          <w:color w:val="auto"/>
          <w:sz w:val="24"/>
          <w:highlight w:val="none"/>
        </w:rPr>
      </w:pPr>
      <w:r>
        <w:rPr>
          <w:rFonts w:hint="eastAsia" w:ascii="仿宋" w:hAnsi="仿宋" w:eastAsia="仿宋" w:cs="仿宋"/>
          <w:bCs/>
          <w:color w:val="auto"/>
          <w:sz w:val="24"/>
          <w:highlight w:val="none"/>
        </w:rPr>
        <w:t>预付款：合同金额的</w:t>
      </w:r>
      <w:r>
        <w:rPr>
          <w:rFonts w:hint="eastAsia" w:ascii="仿宋" w:hAnsi="仿宋" w:eastAsia="仿宋" w:cs="仿宋"/>
          <w:bCs/>
          <w:color w:val="auto"/>
          <w:sz w:val="24"/>
          <w:highlight w:val="none"/>
          <w:u w:val="single"/>
        </w:rPr>
        <w:t xml:space="preserve">  / </w:t>
      </w:r>
      <w:r>
        <w:rPr>
          <w:rFonts w:hint="eastAsia" w:ascii="仿宋" w:hAnsi="仿宋" w:eastAsia="仿宋" w:cs="仿宋"/>
          <w:bCs/>
          <w:color w:val="auto"/>
          <w:sz w:val="24"/>
          <w:highlight w:val="none"/>
        </w:rPr>
        <w:t>%，合同签订后按规定支付；</w:t>
      </w:r>
      <w:r>
        <w:rPr>
          <w:rFonts w:hint="eastAsia" w:ascii="仿宋" w:hAnsi="仿宋" w:eastAsia="仿宋" w:cs="仿宋"/>
          <w:color w:val="auto"/>
          <w:sz w:val="24"/>
          <w:highlight w:val="none"/>
        </w:rPr>
        <w:t xml:space="preserve"> </w:t>
      </w:r>
    </w:p>
    <w:p w14:paraId="05FB1916">
      <w:pPr>
        <w:spacing w:line="520" w:lineRule="exact"/>
        <w:ind w:firstLine="480"/>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进度款：</w:t>
      </w:r>
      <w:r>
        <w:rPr>
          <w:rFonts w:hint="eastAsia" w:ascii="仿宋" w:hAnsi="仿宋" w:eastAsia="仿宋" w:cs="仿宋"/>
          <w:bCs/>
          <w:color w:val="auto"/>
          <w:sz w:val="24"/>
          <w:highlight w:val="none"/>
          <w:u w:val="single"/>
        </w:rPr>
        <w:t xml:space="preserve">              /                  </w:t>
      </w:r>
      <w:r>
        <w:rPr>
          <w:rFonts w:hint="eastAsia" w:ascii="仿宋" w:hAnsi="仿宋" w:eastAsia="仿宋" w:cs="仿宋"/>
          <w:bCs/>
          <w:color w:val="auto"/>
          <w:sz w:val="24"/>
          <w:highlight w:val="none"/>
        </w:rPr>
        <w:t>。</w:t>
      </w:r>
    </w:p>
    <w:p w14:paraId="78D694BF">
      <w:pPr>
        <w:spacing w:line="520" w:lineRule="exact"/>
        <w:ind w:firstLine="480"/>
        <w:rPr>
          <w:rFonts w:hint="eastAsia" w:ascii="仿宋" w:hAnsi="仿宋" w:eastAsia="仿宋" w:cs="仿宋"/>
          <w:bCs/>
          <w:color w:val="auto"/>
          <w:sz w:val="24"/>
          <w:highlight w:val="none"/>
        </w:rPr>
      </w:pPr>
      <w:bookmarkStart w:id="182" w:name="EB11398ec6946f4019bc4c35221e27b04f"/>
      <w:r>
        <w:rPr>
          <w:rFonts w:hint="eastAsia" w:ascii="仿宋" w:hAnsi="仿宋" w:eastAsia="仿宋" w:cs="仿宋"/>
          <w:bCs/>
          <w:color w:val="auto"/>
          <w:sz w:val="24"/>
          <w:highlight w:val="none"/>
        </w:rPr>
        <w:t>注：在签订合同时，成交人明确表示无需预付款或者主动要求降低预付款比例的金额，采购人可不适用预付款规定。</w:t>
      </w:r>
      <w:bookmarkEnd w:id="182"/>
    </w:p>
    <w:p w14:paraId="34E84EAB">
      <w:pPr>
        <w:keepNext/>
        <w:spacing w:line="520" w:lineRule="exact"/>
        <w:ind w:firstLine="2640"/>
        <w:outlineLvl w:val="0"/>
        <w:rPr>
          <w:rFonts w:hint="eastAsia" w:ascii="仿宋" w:hAnsi="仿宋" w:eastAsia="仿宋" w:cs="仿宋"/>
          <w:bCs/>
          <w:color w:val="auto"/>
          <w:sz w:val="44"/>
          <w:szCs w:val="28"/>
          <w:highlight w:val="none"/>
        </w:rPr>
      </w:pPr>
      <w:r>
        <w:rPr>
          <w:rFonts w:hint="eastAsia" w:ascii="仿宋" w:hAnsi="仿宋" w:eastAsia="仿宋" w:cs="仿宋"/>
          <w:bCs/>
          <w:color w:val="auto"/>
          <w:sz w:val="44"/>
          <w:szCs w:val="28"/>
          <w:highlight w:val="none"/>
        </w:rPr>
        <w:br w:type="page" w:clear="all"/>
      </w:r>
      <w:bookmarkStart w:id="183" w:name="_Toc24509"/>
      <w:r>
        <w:rPr>
          <w:rStyle w:val="79"/>
          <w:rFonts w:hint="eastAsia" w:ascii="仿宋" w:hAnsi="仿宋" w:eastAsia="仿宋" w:cs="仿宋"/>
          <w:b/>
          <w:bCs/>
          <w:color w:val="auto"/>
          <w:highlight w:val="none"/>
        </w:rPr>
        <w:t>第三章  合同</w:t>
      </w:r>
      <w:bookmarkEnd w:id="173"/>
      <w:bookmarkEnd w:id="174"/>
      <w:bookmarkEnd w:id="175"/>
      <w:bookmarkEnd w:id="176"/>
      <w:bookmarkEnd w:id="177"/>
      <w:r>
        <w:rPr>
          <w:rStyle w:val="79"/>
          <w:rFonts w:hint="eastAsia" w:ascii="仿宋" w:hAnsi="仿宋" w:eastAsia="仿宋" w:cs="仿宋"/>
          <w:b/>
          <w:bCs/>
          <w:color w:val="auto"/>
          <w:highlight w:val="none"/>
        </w:rPr>
        <w:t>文本</w:t>
      </w:r>
      <w:bookmarkEnd w:id="183"/>
    </w:p>
    <w:p w14:paraId="5A2F0825">
      <w:pPr>
        <w:spacing w:line="520" w:lineRule="exact"/>
        <w:ind w:firstLine="480"/>
        <w:rPr>
          <w:rFonts w:hint="eastAsia" w:ascii="仿宋" w:hAnsi="仿宋" w:eastAsia="仿宋" w:cs="仿宋"/>
          <w:bCs/>
          <w:color w:val="auto"/>
          <w:sz w:val="24"/>
          <w:szCs w:val="21"/>
          <w:highlight w:val="none"/>
        </w:rPr>
      </w:pPr>
      <w:bookmarkStart w:id="184" w:name="_Toc20823315"/>
      <w:bookmarkStart w:id="185" w:name="_Toc513029243"/>
      <w:bookmarkStart w:id="186" w:name="_Toc16938559"/>
    </w:p>
    <w:p w14:paraId="3084C00B">
      <w:pPr>
        <w:spacing w:line="520" w:lineRule="exact"/>
        <w:ind w:firstLine="480"/>
        <w:rPr>
          <w:rFonts w:hint="eastAsia" w:ascii="仿宋" w:hAnsi="仿宋" w:eastAsia="仿宋" w:cs="仿宋"/>
          <w:bCs/>
          <w:color w:val="auto"/>
          <w:sz w:val="32"/>
          <w:szCs w:val="32"/>
          <w:highlight w:val="none"/>
        </w:rPr>
      </w:pPr>
      <w:r>
        <w:rPr>
          <w:rFonts w:hint="eastAsia" w:ascii="仿宋" w:hAnsi="仿宋" w:eastAsia="仿宋" w:cs="仿宋"/>
          <w:bCs/>
          <w:color w:val="auto"/>
          <w:sz w:val="24"/>
          <w:szCs w:val="21"/>
          <w:highlight w:val="none"/>
        </w:rPr>
        <w:t>以下为成交后签定本项目合同的通用条款，成交供应商不得提出实质性的修改。</w:t>
      </w:r>
      <w:bookmarkEnd w:id="184"/>
      <w:bookmarkEnd w:id="185"/>
      <w:bookmarkEnd w:id="186"/>
    </w:p>
    <w:p w14:paraId="4B2FA35B">
      <w:pPr>
        <w:spacing w:before="145" w:after="145" w:line="520" w:lineRule="exact"/>
        <w:jc w:val="center"/>
        <w:rPr>
          <w:rFonts w:hint="eastAsia" w:ascii="仿宋" w:hAnsi="仿宋" w:eastAsia="仿宋" w:cs="仿宋"/>
          <w:b/>
          <w:color w:val="auto"/>
          <w:sz w:val="30"/>
          <w:szCs w:val="21"/>
          <w:highlight w:val="none"/>
        </w:rPr>
      </w:pPr>
    </w:p>
    <w:p w14:paraId="58B3821F">
      <w:pPr>
        <w:spacing w:before="145" w:after="145" w:line="520" w:lineRule="exact"/>
        <w:jc w:val="center"/>
        <w:rPr>
          <w:rFonts w:hint="eastAsia" w:ascii="仿宋" w:hAnsi="仿宋" w:eastAsia="仿宋" w:cs="仿宋"/>
          <w:b/>
          <w:color w:val="auto"/>
          <w:sz w:val="30"/>
          <w:szCs w:val="21"/>
          <w:highlight w:val="none"/>
        </w:rPr>
      </w:pPr>
      <w:bookmarkStart w:id="187" w:name="_Hlt16619350"/>
      <w:bookmarkStart w:id="188" w:name="_Toc20823346"/>
      <w:bookmarkStart w:id="189" w:name="_Toc120614244"/>
      <w:bookmarkStart w:id="190" w:name="_Toc16938590"/>
      <w:bookmarkStart w:id="191" w:name="_Toc462564139"/>
      <w:bookmarkStart w:id="192" w:name="_Toc479757211"/>
    </w:p>
    <w:p w14:paraId="0DC96E79">
      <w:pPr>
        <w:spacing w:before="145" w:after="145" w:line="520" w:lineRule="exact"/>
        <w:jc w:val="center"/>
        <w:outlineLvl w:val="0"/>
        <w:rPr>
          <w:rFonts w:hint="eastAsia" w:ascii="仿宋" w:hAnsi="仿宋" w:eastAsia="仿宋" w:cs="仿宋"/>
          <w:b/>
          <w:color w:val="auto"/>
          <w:sz w:val="30"/>
          <w:szCs w:val="21"/>
          <w:highlight w:val="none"/>
        </w:rPr>
      </w:pPr>
      <w:bookmarkStart w:id="193" w:name="_Toc21663"/>
      <w:r>
        <w:rPr>
          <w:rFonts w:hint="eastAsia" w:ascii="仿宋" w:hAnsi="仿宋" w:eastAsia="仿宋" w:cs="仿宋"/>
          <w:b/>
          <w:color w:val="auto"/>
          <w:sz w:val="30"/>
          <w:szCs w:val="21"/>
          <w:highlight w:val="none"/>
          <w:lang w:eastAsia="zh-CN"/>
        </w:rPr>
        <w:t>宿城区农村乱占耕地建非住宅类房屋专项整治工作技术服务</w:t>
      </w:r>
      <w:r>
        <w:rPr>
          <w:rFonts w:hint="eastAsia" w:ascii="仿宋" w:hAnsi="仿宋" w:eastAsia="仿宋" w:cs="仿宋"/>
          <w:b/>
          <w:color w:val="auto"/>
          <w:sz w:val="30"/>
          <w:szCs w:val="21"/>
          <w:highlight w:val="none"/>
        </w:rPr>
        <w:t>政府采购合同</w:t>
      </w:r>
      <w:bookmarkEnd w:id="193"/>
    </w:p>
    <w:p w14:paraId="2FC8B661">
      <w:pPr>
        <w:spacing w:before="145" w:after="145" w:line="520" w:lineRule="exact"/>
        <w:jc w:val="center"/>
        <w:outlineLvl w:val="0"/>
        <w:rPr>
          <w:rFonts w:hint="eastAsia" w:ascii="仿宋" w:hAnsi="仿宋" w:eastAsia="仿宋" w:cs="仿宋"/>
          <w:b/>
          <w:bCs/>
          <w:color w:val="auto"/>
          <w:sz w:val="30"/>
          <w:szCs w:val="20"/>
          <w:highlight w:val="none"/>
        </w:rPr>
      </w:pPr>
      <w:bookmarkStart w:id="194" w:name="_Toc28232"/>
      <w:r>
        <w:rPr>
          <w:rFonts w:hint="eastAsia" w:ascii="仿宋" w:hAnsi="仿宋" w:eastAsia="仿宋" w:cs="仿宋"/>
          <w:b/>
          <w:color w:val="auto"/>
          <w:sz w:val="30"/>
          <w:szCs w:val="21"/>
          <w:highlight w:val="none"/>
        </w:rPr>
        <w:t>合同编号：（</w:t>
      </w:r>
      <w:r>
        <w:rPr>
          <w:rFonts w:hint="eastAsia" w:ascii="仿宋" w:hAnsi="仿宋" w:eastAsia="仿宋" w:cs="仿宋"/>
          <w:b/>
          <w:color w:val="auto"/>
          <w:sz w:val="30"/>
          <w:szCs w:val="21"/>
          <w:highlight w:val="none"/>
          <w:lang w:eastAsia="zh-CN"/>
        </w:rPr>
        <w:t>JSZC-321302-WDGC-C2026-0005</w:t>
      </w:r>
      <w:r>
        <w:rPr>
          <w:rFonts w:hint="eastAsia" w:ascii="仿宋" w:hAnsi="仿宋" w:eastAsia="仿宋" w:cs="仿宋"/>
          <w:b/>
          <w:color w:val="auto"/>
          <w:sz w:val="30"/>
          <w:szCs w:val="21"/>
          <w:highlight w:val="none"/>
        </w:rPr>
        <w:t>001）</w:t>
      </w:r>
      <w:bookmarkEnd w:id="194"/>
    </w:p>
    <w:p w14:paraId="1F5F0179">
      <w:pPr>
        <w:spacing w:line="520" w:lineRule="exact"/>
        <w:ind w:firstLine="480"/>
        <w:rPr>
          <w:rFonts w:hint="eastAsia" w:ascii="仿宋" w:hAnsi="仿宋" w:eastAsia="仿宋" w:cs="仿宋"/>
          <w:color w:val="auto"/>
          <w:sz w:val="24"/>
          <w:szCs w:val="24"/>
          <w:highlight w:val="none"/>
        </w:rPr>
      </w:pPr>
    </w:p>
    <w:p w14:paraId="185411B7">
      <w:pPr>
        <w:spacing w:line="520" w:lineRule="exact"/>
        <w:ind w:firstLine="48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项目名称：</w:t>
      </w:r>
      <w:r>
        <w:rPr>
          <w:rFonts w:hint="eastAsia" w:ascii="仿宋" w:hAnsi="仿宋" w:eastAsia="仿宋" w:cs="仿宋"/>
          <w:color w:val="auto"/>
          <w:sz w:val="24"/>
          <w:szCs w:val="24"/>
          <w:highlight w:val="none"/>
          <w:lang w:eastAsia="zh-CN"/>
        </w:rPr>
        <w:t>宿城区农村乱占耕地建非住宅类房屋专项整治工作技术服务</w:t>
      </w:r>
    </w:p>
    <w:p w14:paraId="6533610C">
      <w:pPr>
        <w:spacing w:line="520" w:lineRule="exact"/>
        <w:ind w:firstLine="48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项目编号：</w:t>
      </w:r>
      <w:r>
        <w:rPr>
          <w:rFonts w:hint="eastAsia" w:ascii="仿宋" w:hAnsi="仿宋" w:eastAsia="仿宋" w:cs="仿宋"/>
          <w:color w:val="auto"/>
          <w:sz w:val="24"/>
          <w:szCs w:val="24"/>
          <w:highlight w:val="none"/>
          <w:lang w:eastAsia="zh-CN"/>
        </w:rPr>
        <w:t>JSZC-321302-WDGC-C2026-0005</w:t>
      </w:r>
    </w:p>
    <w:p w14:paraId="473A38E2">
      <w:pPr>
        <w:spacing w:line="520" w:lineRule="exact"/>
        <w:ind w:firstLine="480"/>
        <w:rPr>
          <w:rFonts w:hint="eastAsia" w:ascii="仿宋" w:hAnsi="仿宋" w:eastAsia="仿宋" w:cs="仿宋"/>
          <w:color w:val="auto"/>
          <w:sz w:val="24"/>
          <w:szCs w:val="24"/>
          <w:highlight w:val="none"/>
        </w:rPr>
      </w:pPr>
    </w:p>
    <w:p w14:paraId="39224B08">
      <w:pPr>
        <w:spacing w:line="520" w:lineRule="exact"/>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甲方：（买方）_________</w:t>
      </w:r>
    </w:p>
    <w:p w14:paraId="7919BD7D">
      <w:pPr>
        <w:spacing w:line="520" w:lineRule="exact"/>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乙方：（卖方）_________</w:t>
      </w:r>
    </w:p>
    <w:p w14:paraId="0987E93D">
      <w:pPr>
        <w:spacing w:line="520" w:lineRule="exact"/>
        <w:ind w:firstLine="464"/>
        <w:rPr>
          <w:rStyle w:val="373"/>
          <w:rFonts w:hint="eastAsia" w:ascii="仿宋" w:hAnsi="仿宋" w:eastAsia="仿宋" w:cs="仿宋"/>
          <w:color w:val="auto"/>
          <w:spacing w:val="-4"/>
          <w:sz w:val="24"/>
          <w:highlight w:val="none"/>
        </w:rPr>
      </w:pPr>
      <w:r>
        <w:rPr>
          <w:rStyle w:val="373"/>
          <w:rFonts w:hint="eastAsia" w:ascii="仿宋" w:hAnsi="仿宋" w:eastAsia="仿宋" w:cs="仿宋"/>
          <w:color w:val="auto"/>
          <w:spacing w:val="-4"/>
          <w:sz w:val="24"/>
          <w:highlight w:val="none"/>
        </w:rPr>
        <w:t>甲、乙双方根据宿城区农村乱占耕地建非住宅类房屋专项整治工作技术服务（项目编号：JSZC-321302-WDGC-C2026-0005）竞争性磋商的结果，签署本合同。</w:t>
      </w:r>
    </w:p>
    <w:p w14:paraId="1EB0643F">
      <w:pPr>
        <w:spacing w:line="520" w:lineRule="exact"/>
        <w:ind w:firstLine="464"/>
        <w:rPr>
          <w:rStyle w:val="373"/>
          <w:rFonts w:hint="eastAsia" w:ascii="仿宋" w:hAnsi="仿宋" w:eastAsia="仿宋" w:cs="仿宋"/>
          <w:color w:val="auto"/>
          <w:spacing w:val="-4"/>
          <w:sz w:val="24"/>
          <w:highlight w:val="none"/>
        </w:rPr>
      </w:pPr>
      <w:bookmarkStart w:id="195" w:name="_Hlt16619369"/>
      <w:bookmarkEnd w:id="195"/>
      <w:r>
        <w:rPr>
          <w:rStyle w:val="373"/>
          <w:rFonts w:hint="eastAsia" w:ascii="仿宋" w:hAnsi="仿宋" w:eastAsia="仿宋" w:cs="仿宋"/>
          <w:color w:val="auto"/>
          <w:spacing w:val="-4"/>
          <w:sz w:val="24"/>
          <w:highlight w:val="none"/>
        </w:rPr>
        <w:t xml:space="preserve"> 依照《中华人民共和国政府采购法》及其实施条例、《民法典》及其他有关法律、行政法规，遵循平等、自愿、公平和诚实信用的原则，双方就采购编号：</w:t>
      </w:r>
      <w:r>
        <w:rPr>
          <w:rStyle w:val="373"/>
          <w:rFonts w:hint="eastAsia" w:ascii="仿宋" w:hAnsi="仿宋" w:eastAsia="仿宋" w:cs="仿宋"/>
          <w:color w:val="auto"/>
          <w:spacing w:val="-4"/>
          <w:sz w:val="24"/>
          <w:highlight w:val="none"/>
          <w:u w:val="single"/>
        </w:rPr>
        <w:t>JSZC-321302-WDGC-C2026-0005  宿城区农村乱占耕地建非住宅类房屋专项整治工作技术服务</w:t>
      </w:r>
      <w:r>
        <w:rPr>
          <w:rStyle w:val="373"/>
          <w:rFonts w:hint="eastAsia" w:ascii="仿宋" w:hAnsi="仿宋" w:eastAsia="仿宋" w:cs="仿宋"/>
          <w:color w:val="auto"/>
          <w:spacing w:val="-4"/>
          <w:sz w:val="24"/>
          <w:highlight w:val="none"/>
        </w:rPr>
        <w:t>相关事项协商一致，达成如下合同条款：</w:t>
      </w:r>
    </w:p>
    <w:p w14:paraId="4FE1E274">
      <w:pPr>
        <w:pStyle w:val="377"/>
        <w:spacing w:line="520" w:lineRule="exact"/>
        <w:ind w:firstLine="482"/>
        <w:rPr>
          <w:rFonts w:hint="eastAsia" w:ascii="仿宋" w:hAnsi="仿宋" w:eastAsia="仿宋" w:cs="仿宋"/>
          <w:color w:val="auto"/>
          <w:sz w:val="24"/>
          <w:szCs w:val="22"/>
          <w:highlight w:val="none"/>
          <w:lang w:val="zh-CN"/>
        </w:rPr>
      </w:pPr>
      <w:r>
        <w:rPr>
          <w:rFonts w:hint="eastAsia" w:ascii="仿宋" w:hAnsi="仿宋" w:eastAsia="仿宋" w:cs="仿宋"/>
          <w:color w:val="auto"/>
          <w:sz w:val="24"/>
          <w:szCs w:val="22"/>
          <w:highlight w:val="none"/>
          <w:lang w:val="zh-CN"/>
        </w:rPr>
        <w:t>按照相关标准要求，根据林业外业调查进行可行性报告的编制工作，达到行业主管部门审查审批条件，并根据业主要求完成审批手续。</w:t>
      </w:r>
    </w:p>
    <w:p w14:paraId="5082EA72">
      <w:pPr>
        <w:pStyle w:val="377"/>
        <w:spacing w:line="520" w:lineRule="exact"/>
        <w:ind w:firstLine="482"/>
        <w:rPr>
          <w:rStyle w:val="378"/>
          <w:rFonts w:hint="eastAsia" w:ascii="仿宋" w:hAnsi="仿宋" w:eastAsia="仿宋" w:cs="仿宋"/>
          <w:b/>
          <w:bCs/>
          <w:color w:val="auto"/>
          <w:sz w:val="24"/>
          <w:szCs w:val="24"/>
          <w:highlight w:val="none"/>
        </w:rPr>
      </w:pPr>
      <w:r>
        <w:rPr>
          <w:rStyle w:val="378"/>
          <w:rFonts w:hint="eastAsia" w:ascii="仿宋" w:hAnsi="仿宋" w:eastAsia="仿宋" w:cs="仿宋"/>
          <w:b/>
          <w:bCs/>
          <w:color w:val="auto"/>
          <w:sz w:val="24"/>
          <w:szCs w:val="24"/>
          <w:highlight w:val="none"/>
        </w:rPr>
        <w:t>一、项目内容</w:t>
      </w:r>
    </w:p>
    <w:p w14:paraId="67FACD54">
      <w:pPr>
        <w:pStyle w:val="377"/>
        <w:spacing w:line="520" w:lineRule="exact"/>
        <w:ind w:firstLine="48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1.标的名称：</w:t>
      </w:r>
      <w:r>
        <w:rPr>
          <w:rFonts w:hint="eastAsia" w:ascii="仿宋" w:hAnsi="仿宋" w:eastAsia="仿宋" w:cs="仿宋"/>
          <w:color w:val="auto"/>
          <w:sz w:val="24"/>
          <w:szCs w:val="24"/>
          <w:highlight w:val="none"/>
          <w:lang w:eastAsia="zh-CN"/>
        </w:rPr>
        <w:t>宿城区农村乱占耕地建非住宅类房屋专项整治工作技术服务</w:t>
      </w:r>
    </w:p>
    <w:p w14:paraId="2472FB8D">
      <w:pPr>
        <w:pStyle w:val="377"/>
        <w:spacing w:line="520" w:lineRule="exact"/>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2.标的质量：合格。</w:t>
      </w:r>
    </w:p>
    <w:p w14:paraId="561AEE15">
      <w:pPr>
        <w:pStyle w:val="377"/>
        <w:spacing w:line="520" w:lineRule="exact"/>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3.标的数量（规模）：详见合同清单。</w:t>
      </w:r>
    </w:p>
    <w:p w14:paraId="40D0761B">
      <w:pPr>
        <w:pStyle w:val="377"/>
        <w:spacing w:line="520" w:lineRule="exact"/>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4.履行方式：按照磋商文件要求、响应文件内容及合同履行条款履行本合同。</w:t>
      </w:r>
    </w:p>
    <w:p w14:paraId="354A5943">
      <w:pPr>
        <w:pStyle w:val="377"/>
        <w:spacing w:line="520" w:lineRule="exact"/>
        <w:ind w:firstLine="482"/>
        <w:rPr>
          <w:rStyle w:val="378"/>
          <w:rFonts w:hint="eastAsia" w:ascii="仿宋" w:hAnsi="仿宋" w:eastAsia="仿宋" w:cs="仿宋"/>
          <w:b/>
          <w:bCs/>
          <w:color w:val="auto"/>
          <w:sz w:val="24"/>
          <w:szCs w:val="24"/>
          <w:highlight w:val="none"/>
        </w:rPr>
      </w:pPr>
      <w:r>
        <w:rPr>
          <w:rStyle w:val="378"/>
          <w:rFonts w:hint="eastAsia" w:ascii="仿宋" w:hAnsi="仿宋" w:eastAsia="仿宋" w:cs="仿宋"/>
          <w:b/>
          <w:bCs/>
          <w:color w:val="auto"/>
          <w:sz w:val="24"/>
          <w:szCs w:val="24"/>
          <w:highlight w:val="none"/>
        </w:rPr>
        <w:t>二、服务期限及地点</w:t>
      </w:r>
    </w:p>
    <w:p w14:paraId="6534B25A">
      <w:pPr>
        <w:pStyle w:val="347"/>
        <w:spacing w:line="520" w:lineRule="exact"/>
        <w:ind w:firstLine="480"/>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（一）服务期：</w:t>
      </w:r>
      <w:r>
        <w:rPr>
          <w:rFonts w:hint="eastAsia" w:ascii="仿宋" w:hAnsi="仿宋" w:eastAsia="仿宋" w:cs="仿宋"/>
          <w:color w:val="auto"/>
          <w:sz w:val="24"/>
          <w:szCs w:val="24"/>
          <w:highlight w:val="none"/>
          <w:lang w:eastAsia="zh-CN"/>
        </w:rPr>
        <w:t>以自然资源部、江苏省自然资源厅、宿迁市自然资源和规划局进度要求开展工作，按时报送合格成果，所有图斑均通过整改并完成销号后，将工作成果按要求移交采购人接收后服务截止。</w:t>
      </w:r>
    </w:p>
    <w:p w14:paraId="666737FA">
      <w:pPr>
        <w:pStyle w:val="347"/>
        <w:spacing w:line="520" w:lineRule="exact"/>
        <w:ind w:firstLine="48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（二）服务地点：宿迁市，具体由采购人指定。</w:t>
      </w:r>
    </w:p>
    <w:p w14:paraId="13EDEB33">
      <w:pPr>
        <w:pStyle w:val="377"/>
        <w:spacing w:line="520" w:lineRule="exact"/>
        <w:ind w:firstLine="482"/>
        <w:rPr>
          <w:rStyle w:val="378"/>
          <w:rFonts w:hint="eastAsia" w:ascii="仿宋" w:hAnsi="仿宋" w:eastAsia="仿宋" w:cs="仿宋"/>
          <w:b/>
          <w:bCs/>
          <w:color w:val="auto"/>
          <w:sz w:val="24"/>
          <w:szCs w:val="24"/>
          <w:highlight w:val="none"/>
        </w:rPr>
      </w:pPr>
      <w:r>
        <w:rPr>
          <w:rStyle w:val="378"/>
          <w:rFonts w:hint="eastAsia" w:ascii="仿宋" w:hAnsi="仿宋" w:eastAsia="仿宋" w:cs="仿宋"/>
          <w:b/>
          <w:bCs/>
          <w:color w:val="auto"/>
          <w:sz w:val="24"/>
          <w:szCs w:val="24"/>
          <w:highlight w:val="none"/>
        </w:rPr>
        <w:t>三、合同金额及付款方式</w:t>
      </w:r>
    </w:p>
    <w:p w14:paraId="067DA1FA">
      <w:pPr>
        <w:pStyle w:val="377"/>
        <w:spacing w:line="520" w:lineRule="exact"/>
        <w:ind w:firstLine="464"/>
        <w:rPr>
          <w:rStyle w:val="379"/>
          <w:rFonts w:hint="eastAsia" w:ascii="仿宋" w:hAnsi="仿宋" w:eastAsia="仿宋" w:cs="仿宋"/>
          <w:color w:val="auto"/>
          <w:sz w:val="24"/>
          <w:szCs w:val="24"/>
          <w:highlight w:val="none"/>
          <w:u w:val="single"/>
        </w:rPr>
      </w:pPr>
      <w:r>
        <w:rPr>
          <w:rStyle w:val="379"/>
          <w:rFonts w:hint="eastAsia" w:ascii="仿宋" w:hAnsi="仿宋" w:eastAsia="仿宋" w:cs="仿宋"/>
          <w:color w:val="auto"/>
          <w:spacing w:val="-4"/>
          <w:sz w:val="24"/>
          <w:szCs w:val="24"/>
          <w:highlight w:val="none"/>
        </w:rPr>
        <w:t>1.本合同金额为人民币</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元整（¥: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r>
        <w:rPr>
          <w:rStyle w:val="379"/>
          <w:rFonts w:hint="eastAsia" w:ascii="仿宋" w:hAnsi="仿宋" w:eastAsia="仿宋" w:cs="仿宋"/>
          <w:color w:val="auto"/>
          <w:spacing w:val="-4"/>
          <w:sz w:val="24"/>
          <w:szCs w:val="24"/>
          <w:highlight w:val="none"/>
        </w:rPr>
        <w:t>。</w:t>
      </w:r>
    </w:p>
    <w:p w14:paraId="7D3650D9">
      <w:pPr>
        <w:pStyle w:val="377"/>
        <w:spacing w:line="520" w:lineRule="exact"/>
        <w:ind w:firstLine="464"/>
        <w:rPr>
          <w:rStyle w:val="379"/>
          <w:rFonts w:hint="eastAsia" w:ascii="仿宋" w:hAnsi="仿宋" w:eastAsia="仿宋" w:cs="仿宋"/>
          <w:color w:val="auto"/>
          <w:spacing w:val="-4"/>
          <w:sz w:val="24"/>
          <w:szCs w:val="24"/>
          <w:highlight w:val="none"/>
        </w:rPr>
      </w:pPr>
      <w:r>
        <w:rPr>
          <w:rStyle w:val="379"/>
          <w:rFonts w:hint="eastAsia" w:ascii="仿宋" w:hAnsi="仿宋" w:eastAsia="仿宋" w:cs="仿宋"/>
          <w:color w:val="auto"/>
          <w:spacing w:val="-4"/>
          <w:sz w:val="24"/>
          <w:szCs w:val="24"/>
          <w:highlight w:val="none"/>
        </w:rPr>
        <w:t>2.付款方式：</w:t>
      </w:r>
    </w:p>
    <w:p w14:paraId="3E99CA4C">
      <w:pPr>
        <w:spacing w:line="520" w:lineRule="exact"/>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对于满足合同约定支付条件的，自收到发票后10个工作日内将资金支付到合同约定的供应商账户或供应商数字人民币账户。</w:t>
      </w:r>
    </w:p>
    <w:p w14:paraId="614A4818">
      <w:pPr>
        <w:spacing w:line="520" w:lineRule="exact"/>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（1）合同签订且采购人收到成交供应商发票后10个工作日内，支付合同价款的10%作为预付款；</w:t>
      </w:r>
    </w:p>
    <w:p w14:paraId="2F3620F3">
      <w:pPr>
        <w:spacing w:line="520" w:lineRule="exact"/>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（2）完成宿城区乱占耕地建非住宅类房屋前期勘测定界、摸底调查，在系统内完成信息核对后且收到供应商发票后10个工作日内，</w:t>
      </w:r>
      <w:r>
        <w:rPr>
          <w:rFonts w:hint="eastAsia" w:ascii="仿宋" w:hAnsi="仿宋" w:eastAsia="仿宋" w:cs="仿宋"/>
          <w:color w:val="auto"/>
          <w:sz w:val="24"/>
          <w:szCs w:val="24"/>
          <w:highlight w:val="none"/>
          <w:lang w:val="en-US" w:eastAsia="zh-CN"/>
        </w:rPr>
        <w:t>支付</w:t>
      </w:r>
      <w:r>
        <w:rPr>
          <w:rFonts w:hint="eastAsia" w:ascii="仿宋" w:hAnsi="仿宋" w:eastAsia="仿宋" w:cs="仿宋"/>
          <w:color w:val="auto"/>
          <w:sz w:val="24"/>
          <w:szCs w:val="24"/>
          <w:highlight w:val="none"/>
        </w:rPr>
        <w:t>合同价款的30%；</w:t>
      </w:r>
    </w:p>
    <w:p w14:paraId="60A30A33">
      <w:pPr>
        <w:spacing w:line="520" w:lineRule="exact"/>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（3）完成宿城区非住宅类房屋处置工作系统处置填报且收到供应商发票后10个工作日内，</w:t>
      </w:r>
      <w:r>
        <w:rPr>
          <w:rFonts w:hint="eastAsia" w:ascii="仿宋" w:hAnsi="仿宋" w:eastAsia="仿宋" w:cs="仿宋"/>
          <w:color w:val="auto"/>
          <w:sz w:val="24"/>
          <w:szCs w:val="24"/>
          <w:highlight w:val="none"/>
          <w:lang w:val="en-US" w:eastAsia="zh-CN"/>
        </w:rPr>
        <w:t>支付</w:t>
      </w:r>
      <w:r>
        <w:rPr>
          <w:rFonts w:hint="eastAsia" w:ascii="仿宋" w:hAnsi="仿宋" w:eastAsia="仿宋" w:cs="仿宋"/>
          <w:color w:val="auto"/>
          <w:sz w:val="24"/>
          <w:szCs w:val="24"/>
          <w:highlight w:val="none"/>
        </w:rPr>
        <w:t>合同价款的40%；</w:t>
      </w:r>
    </w:p>
    <w:p w14:paraId="5F4F9087">
      <w:pPr>
        <w:spacing w:line="520" w:lineRule="exact"/>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（4）完成全部成果，系统销号省级审核通过并完成资料移交后且收到供应商发票后10个工作日内，付清余款。</w:t>
      </w:r>
    </w:p>
    <w:p w14:paraId="1F6BECE1">
      <w:pPr>
        <w:spacing w:line="520" w:lineRule="exact"/>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注：在签订合同时，成交人明确表示无需预付款或者主动要求降低预付款比例的金额，采购人可不适用预付款规定。</w:t>
      </w:r>
    </w:p>
    <w:p w14:paraId="38E34292">
      <w:pPr>
        <w:spacing w:line="520" w:lineRule="exact"/>
        <w:ind w:firstLine="480"/>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3.乙方账户收款信息</w:t>
      </w:r>
    </w:p>
    <w:p w14:paraId="2705DE45">
      <w:pPr>
        <w:spacing w:line="520" w:lineRule="exact"/>
        <w:ind w:firstLine="480"/>
        <w:rPr>
          <w:rFonts w:hint="eastAsia" w:ascii="仿宋" w:hAnsi="仿宋" w:eastAsia="仿宋" w:cs="仿宋"/>
          <w:bCs/>
          <w:color w:val="auto"/>
          <w:sz w:val="24"/>
          <w:highlight w:val="none"/>
          <w:u w:val="single"/>
        </w:rPr>
      </w:pPr>
      <w:r>
        <w:rPr>
          <w:rFonts w:hint="eastAsia" w:ascii="仿宋" w:hAnsi="仿宋" w:eastAsia="仿宋" w:cs="仿宋"/>
          <w:bCs/>
          <w:color w:val="auto"/>
          <w:sz w:val="24"/>
          <w:highlight w:val="none"/>
        </w:rPr>
        <w:t>开户名称：</w:t>
      </w:r>
      <w:r>
        <w:rPr>
          <w:rFonts w:hint="eastAsia" w:ascii="仿宋" w:hAnsi="仿宋" w:eastAsia="仿宋" w:cs="仿宋"/>
          <w:bCs/>
          <w:color w:val="auto"/>
          <w:sz w:val="24"/>
          <w:highlight w:val="none"/>
          <w:u w:val="single"/>
        </w:rPr>
        <w:t xml:space="preserve">                        </w:t>
      </w:r>
    </w:p>
    <w:p w14:paraId="5E9945EA">
      <w:pPr>
        <w:spacing w:line="520" w:lineRule="exact"/>
        <w:ind w:firstLine="480"/>
        <w:rPr>
          <w:rFonts w:hint="eastAsia" w:ascii="仿宋" w:hAnsi="仿宋" w:eastAsia="仿宋" w:cs="仿宋"/>
          <w:bCs/>
          <w:color w:val="auto"/>
          <w:sz w:val="24"/>
          <w:highlight w:val="none"/>
          <w:u w:val="single"/>
        </w:rPr>
      </w:pPr>
      <w:r>
        <w:rPr>
          <w:rFonts w:hint="eastAsia" w:ascii="仿宋" w:hAnsi="仿宋" w:eastAsia="仿宋" w:cs="仿宋"/>
          <w:bCs/>
          <w:color w:val="auto"/>
          <w:sz w:val="24"/>
          <w:highlight w:val="none"/>
        </w:rPr>
        <w:t>开户银行：</w:t>
      </w:r>
      <w:r>
        <w:rPr>
          <w:rFonts w:hint="eastAsia" w:ascii="仿宋" w:hAnsi="仿宋" w:eastAsia="仿宋" w:cs="仿宋"/>
          <w:bCs/>
          <w:color w:val="auto"/>
          <w:sz w:val="24"/>
          <w:highlight w:val="none"/>
          <w:u w:val="single"/>
        </w:rPr>
        <w:t xml:space="preserve">                        </w:t>
      </w:r>
    </w:p>
    <w:p w14:paraId="139564BE">
      <w:pPr>
        <w:spacing w:line="520" w:lineRule="exact"/>
        <w:ind w:firstLine="480"/>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开户账号：</w:t>
      </w:r>
      <w:r>
        <w:rPr>
          <w:rFonts w:hint="eastAsia" w:ascii="仿宋" w:hAnsi="仿宋" w:eastAsia="仿宋" w:cs="仿宋"/>
          <w:bCs/>
          <w:color w:val="auto"/>
          <w:sz w:val="24"/>
          <w:highlight w:val="none"/>
          <w:u w:val="single"/>
        </w:rPr>
        <w:t xml:space="preserve">                        </w:t>
      </w:r>
    </w:p>
    <w:p w14:paraId="6840AC17">
      <w:pPr>
        <w:pStyle w:val="377"/>
        <w:spacing w:line="520" w:lineRule="exact"/>
        <w:ind w:firstLine="482"/>
        <w:rPr>
          <w:rStyle w:val="378"/>
          <w:rFonts w:hint="eastAsia" w:ascii="仿宋" w:hAnsi="仿宋" w:eastAsia="仿宋" w:cs="仿宋"/>
          <w:b/>
          <w:bCs/>
          <w:color w:val="auto"/>
          <w:sz w:val="24"/>
          <w:szCs w:val="24"/>
          <w:highlight w:val="none"/>
        </w:rPr>
      </w:pPr>
      <w:r>
        <w:rPr>
          <w:rStyle w:val="378"/>
          <w:rFonts w:hint="eastAsia" w:ascii="仿宋" w:hAnsi="仿宋" w:eastAsia="仿宋" w:cs="仿宋"/>
          <w:b/>
          <w:bCs/>
          <w:color w:val="auto"/>
          <w:sz w:val="24"/>
          <w:szCs w:val="24"/>
          <w:highlight w:val="none"/>
        </w:rPr>
        <w:t>四、服务内容及要求</w:t>
      </w:r>
    </w:p>
    <w:p w14:paraId="2029E411">
      <w:pPr>
        <w:spacing w:line="360" w:lineRule="auto"/>
        <w:ind w:firstLine="482"/>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（一）内业预处理与底图制作</w:t>
      </w:r>
    </w:p>
    <w:p w14:paraId="344AD9E2">
      <w:pPr>
        <w:spacing w:line="360" w:lineRule="auto"/>
        <w:ind w:firstLine="482"/>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收集整理基础数据：自然资源部下发图斑矢量数据、国土空间规划（永久基本农田、耕地保护红线、生态保护红线、生态管控区、自然保护地等）、土地利用现状、卫星遥感影像、不动产登记、用地审批等资料，建立项目数据库。</w:t>
      </w:r>
    </w:p>
    <w:p w14:paraId="011D5AB9">
      <w:pPr>
        <w:spacing w:line="360" w:lineRule="auto"/>
        <w:ind w:firstLine="482"/>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图斑套合分析：将图斑与国土空间规划、耕地红线、土地利用现状等图层精准套合，判定图斑占用耕地类型、规划符合性、权属性质，标注疑似问题、边界不清图斑，形成内业初步研判台账。</w:t>
      </w:r>
    </w:p>
    <w:p w14:paraId="4816D606">
      <w:pPr>
        <w:spacing w:line="360" w:lineRule="auto"/>
        <w:ind w:firstLine="482"/>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外业底图制作：按规范制作单宗图斑外业核查底图，包含图斑位置、边界、编号、现状地类、规划地类、周边地形地貌等信息，满足外业实地核查需求。</w:t>
      </w:r>
    </w:p>
    <w:p w14:paraId="7FAC99D2">
      <w:pPr>
        <w:spacing w:line="360" w:lineRule="auto"/>
        <w:ind w:firstLine="482"/>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（二）外业实地核查与精准测绘</w:t>
      </w:r>
    </w:p>
    <w:p w14:paraId="01EEF64F">
      <w:pPr>
        <w:spacing w:line="360" w:lineRule="auto"/>
        <w:ind w:firstLine="482"/>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逐宗实地查勘：组织专业技术人员赴现场，核实图斑位置、范围、房屋结构、建成年代、用途、占地面积、建筑面积、耕地占用面积、权属人信息、是否存在合法用地手续等关键信息，填写《非住宅类乱占耕地建房图斑核查表》，做到“一斑一表”。</w:t>
      </w:r>
    </w:p>
    <w:p w14:paraId="60368965">
      <w:pPr>
        <w:spacing w:line="360" w:lineRule="auto"/>
        <w:ind w:firstLine="482"/>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现状影像采集：拍摄图斑全景、房屋正面、侧面、内部、耕地占用边界、周边环境等多角度高清照片，照片命名规范（含图斑编号、拍摄时间、点位），确保影像可追溯、可复核。</w:t>
      </w:r>
    </w:p>
    <w:p w14:paraId="45E1754A">
      <w:pPr>
        <w:spacing w:line="360" w:lineRule="auto"/>
        <w:ind w:firstLine="482"/>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精准测绘作业：对重点区域、疑似违法、边界不清、拆除复耕类图斑，使用RTK/GNSS设备采集地块边界坐标或利用高精度影像进行解译，精准测算耕地占用面积、房屋占地面积；绘制宗地图、现状图，标注坐标、面积、地类等核心要素。</w:t>
      </w:r>
    </w:p>
    <w:p w14:paraId="2D27CDD9">
      <w:pPr>
        <w:spacing w:line="360" w:lineRule="auto"/>
        <w:ind w:firstLine="482"/>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信息补充核实：核实是否存在临时用地、设施农业、产业项目等合法手续，收集相关审批文件、合同、缴费凭证等材料，形成佐证资料清单。</w:t>
      </w:r>
    </w:p>
    <w:p w14:paraId="27CF692F">
      <w:pPr>
        <w:spacing w:line="360" w:lineRule="auto"/>
        <w:ind w:firstLine="482"/>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（三）内业数据处理与研判分析</w:t>
      </w:r>
    </w:p>
    <w:p w14:paraId="31980817">
      <w:pPr>
        <w:spacing w:line="360" w:lineRule="auto"/>
        <w:ind w:firstLine="482"/>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数据录入与校核：将外业核查信息、测绘数据、影像资料、佐证材料录入专项整治系统，建立电子台账；逐宗校核数据逻辑一致性、完整性，修正错误信息，确保数据零差错。</w:t>
      </w:r>
    </w:p>
    <w:p w14:paraId="3856C740">
      <w:pPr>
        <w:spacing w:line="360" w:lineRule="auto"/>
        <w:ind w:firstLine="482"/>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图斑性质判定：依据《土地管理法》《农村乱占耕地建非住宅类房屋整治工作方案》等政策，结合内业空间数据分析、外业核查结果，判定图斑违法类型（如未批先建、非法占地、违规改变用途等）、处置分类（拆除复耕、完善手续、过渡期监管等）。</w:t>
      </w:r>
    </w:p>
    <w:p w14:paraId="1AA3A842">
      <w:pPr>
        <w:spacing w:line="360" w:lineRule="auto"/>
        <w:ind w:firstLine="482"/>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一斑一策方案编制：逐宗分析图斑违法情节、整改可行性、政策适配性，制定针对性整改方案，明确整改方式、整改时限、责任主体、整改标准、举证要求，确保方案可操作、可落地。</w:t>
      </w:r>
    </w:p>
    <w:p w14:paraId="6AC8156E">
      <w:pPr>
        <w:spacing w:line="360" w:lineRule="auto"/>
        <w:ind w:firstLine="482"/>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规划合规性分析：分析图斑是否符合国土空间规划、耕地保护要求，明确整改后土地利用方向，为后续规划调整、用地审批提供依据。</w:t>
      </w:r>
    </w:p>
    <w:p w14:paraId="2D3B98AA">
      <w:pPr>
        <w:spacing w:line="360" w:lineRule="auto"/>
        <w:ind w:firstLine="482"/>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（四）整改跟踪与验收举证</w:t>
      </w:r>
    </w:p>
    <w:p w14:paraId="3AD9F155">
      <w:pPr>
        <w:spacing w:line="360" w:lineRule="auto"/>
        <w:ind w:firstLine="482"/>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整改技术指导：协助采购人督促责任主体落实整改方案，提供技术指导，解答整改过程中的政策、技术问题，确保整改按标准推进。</w:t>
      </w:r>
    </w:p>
    <w:p w14:paraId="42D5AEBE">
      <w:pPr>
        <w:spacing w:line="360" w:lineRule="auto"/>
        <w:ind w:firstLine="482"/>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整改验收核查：对完成整改的图斑开展实地验收，重点核查拆除复耕是否到位（耕地恢复质量、面积达标）、手续完善是否合规（审批材料齐全有效）、房屋用途是否合规；拍摄整改后影像，对比整改前后变化。</w:t>
      </w:r>
    </w:p>
    <w:p w14:paraId="5D13140D">
      <w:pPr>
        <w:spacing w:line="360" w:lineRule="auto"/>
        <w:ind w:firstLine="482"/>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系统举证上报：按自然资源部、省/市主管部门规范，整理整改验收资料（核查表、测绘图、整改前后照片、佐证材料、验收意见等），完成专项整治系统举证、上报、核销，确保举证一次性通过，不返工。</w:t>
      </w:r>
    </w:p>
    <w:p w14:paraId="28D86AFE">
      <w:pPr>
        <w:spacing w:line="360" w:lineRule="auto"/>
        <w:ind w:firstLine="482"/>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新增图斑动态处置：服务期内新增非住宅类乱占耕地建房图斑，按同等标准完成核查、测绘、研判、整改、举证全流程技术服务。</w:t>
      </w:r>
    </w:p>
    <w:p w14:paraId="463C299C">
      <w:pPr>
        <w:spacing w:line="360" w:lineRule="auto"/>
        <w:ind w:firstLine="482"/>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（五）档案整理与成果编制</w:t>
      </w:r>
    </w:p>
    <w:p w14:paraId="22472082">
      <w:pPr>
        <w:spacing w:line="360" w:lineRule="auto"/>
        <w:ind w:firstLine="482"/>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一斑一档归档：逐宗整理图斑全流程资料，含内业底图、核查表、测绘报告、影像资料、佐证材料、整改方案、验收意见、举证材料等，按“电子+纸质”双归档标准，规范装订、编号、建档，确保档案完整、可追溯。</w:t>
      </w:r>
    </w:p>
    <w:p w14:paraId="297E56CB">
      <w:pPr>
        <w:spacing w:line="360" w:lineRule="auto"/>
        <w:ind w:firstLine="482"/>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台账动态更新：建立辖区非住宅类乱占耕地建房图斑总台账、分类台账、整改台账、核销台账，实时更新数据，做到账实相符、动态可查。</w:t>
      </w:r>
    </w:p>
    <w:p w14:paraId="176EC24F">
      <w:pPr>
        <w:spacing w:line="360" w:lineRule="auto"/>
        <w:ind w:firstLine="482"/>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成果报告编制：服务期满后，编制《宿城区非住宅类乱占耕地建房专项整治技术服务成果报告》，内容包括项目概况、工作开展情况、核查结果分析、整改成效、存在问题、对策建议、附图附表等，确保报告数据详实、分析深入、结论明确。</w:t>
      </w:r>
    </w:p>
    <w:p w14:paraId="2C6C3B8F">
      <w:pPr>
        <w:spacing w:line="360" w:lineRule="auto"/>
        <w:ind w:firstLine="482"/>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成果交付：提交全套电子成果（数据库、台账、影像、报告、图件等，格式为Shp、Excel、PDF、JPG）及纸质成果（报告、档案、图件等），并按采购人要求份数装订。</w:t>
      </w:r>
    </w:p>
    <w:p w14:paraId="32243615">
      <w:pPr>
        <w:spacing w:line="360" w:lineRule="auto"/>
        <w:ind w:firstLine="482"/>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（六）配合保障</w:t>
      </w:r>
    </w:p>
    <w:p w14:paraId="74BE0951">
      <w:pPr>
        <w:spacing w:line="360" w:lineRule="auto"/>
        <w:ind w:firstLine="482"/>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设备保障：自备RTK/GNSS测绘设备、无人机（可选）、笔记本电脑、打印机、作业车辆等，确保外业核查、内业处理、整改验收工作正常开展，费用包含在报价内。</w:t>
      </w:r>
    </w:p>
    <w:p w14:paraId="336F9CC6">
      <w:pPr>
        <w:spacing w:line="360" w:lineRule="auto"/>
        <w:ind w:firstLine="482"/>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配合专项工作：无条件配合采购人及上级主管部门开展的专项检查、复核、督导、验收等工作，提供技术支持、资料配合、现场讲解等服务。</w:t>
      </w:r>
    </w:p>
    <w:p w14:paraId="52D068EF">
      <w:pPr>
        <w:spacing w:line="360" w:lineRule="auto"/>
        <w:ind w:firstLine="482"/>
        <w:rPr>
          <w:rFonts w:hint="eastAsia" w:ascii="仿宋" w:hAnsi="仿宋" w:eastAsia="仿宋" w:cs="仿宋"/>
          <w:b/>
          <w:bCs/>
          <w:color w:val="auto"/>
          <w:sz w:val="24"/>
          <w:szCs w:val="32"/>
          <w:highlight w:val="none"/>
        </w:rPr>
      </w:pPr>
      <w:r>
        <w:rPr>
          <w:rFonts w:hint="eastAsia" w:ascii="仿宋" w:hAnsi="仿宋" w:eastAsia="仿宋" w:cs="仿宋"/>
          <w:b/>
          <w:bCs/>
          <w:color w:val="auto"/>
          <w:sz w:val="24"/>
          <w:szCs w:val="32"/>
          <w:highlight w:val="none"/>
        </w:rPr>
        <w:t>五、技术要求</w:t>
      </w:r>
    </w:p>
    <w:p w14:paraId="19E27A45">
      <w:pPr>
        <w:tabs>
          <w:tab w:val="left" w:pos="4680"/>
        </w:tabs>
        <w:spacing w:line="360" w:lineRule="auto"/>
        <w:ind w:firstLine="480"/>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本项目所有工作必须严格遵循以下国家、行业及地方标准规范（最新版本）：</w:t>
      </w:r>
    </w:p>
    <w:p w14:paraId="0936E61B">
      <w:pPr>
        <w:tabs>
          <w:tab w:val="left" w:pos="4680"/>
        </w:tabs>
        <w:spacing w:line="360" w:lineRule="auto"/>
        <w:ind w:firstLine="480"/>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（1）《中华人民共和国土地管理法》；</w:t>
      </w:r>
    </w:p>
    <w:p w14:paraId="60BAC9C9">
      <w:pPr>
        <w:tabs>
          <w:tab w:val="left" w:pos="4680"/>
        </w:tabs>
        <w:spacing w:line="360" w:lineRule="auto"/>
        <w:ind w:firstLine="480"/>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（2）《中华人民共和国测绘法》；</w:t>
      </w:r>
    </w:p>
    <w:p w14:paraId="68501075">
      <w:pPr>
        <w:tabs>
          <w:tab w:val="left" w:pos="4680"/>
        </w:tabs>
        <w:spacing w:line="360" w:lineRule="auto"/>
        <w:ind w:firstLine="480"/>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（3）《农村乱占耕地建房专项整治试点工作方案》（中办发〔2020〕24号）；</w:t>
      </w:r>
    </w:p>
    <w:p w14:paraId="386F9483">
      <w:pPr>
        <w:tabs>
          <w:tab w:val="left" w:pos="4680"/>
        </w:tabs>
        <w:spacing w:line="360" w:lineRule="auto"/>
        <w:ind w:firstLine="480"/>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（4）《中共中央办公厅国务院办公厅关于印发&lt;农村乱占耕地建非住宅类房屋整治工作方案&gt;的通知》（厅字〔2025〕28号）；</w:t>
      </w:r>
    </w:p>
    <w:p w14:paraId="783782E8">
      <w:pPr>
        <w:tabs>
          <w:tab w:val="left" w:pos="4680"/>
        </w:tabs>
        <w:spacing w:line="360" w:lineRule="auto"/>
        <w:ind w:firstLine="480"/>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（5）《自然资源部办公厅关于开展非住宅类房屋信息补充摸排等工作的通知》（自然资办函〔2022〕1718 号）；</w:t>
      </w:r>
    </w:p>
    <w:p w14:paraId="4A01F8BF">
      <w:pPr>
        <w:tabs>
          <w:tab w:val="left" w:pos="4680"/>
        </w:tabs>
        <w:spacing w:line="360" w:lineRule="auto"/>
        <w:ind w:firstLine="480"/>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（6）《土地利用现状分类》（GB/T 21010-2017）；</w:t>
      </w:r>
    </w:p>
    <w:p w14:paraId="6A791AE3">
      <w:pPr>
        <w:tabs>
          <w:tab w:val="left" w:pos="4680"/>
        </w:tabs>
        <w:spacing w:line="360" w:lineRule="auto"/>
        <w:ind w:firstLine="480"/>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（7）《测绘成果质量检查与验收》(GB/T 24356-2023)；</w:t>
      </w:r>
    </w:p>
    <w:p w14:paraId="34C2379C">
      <w:pPr>
        <w:tabs>
          <w:tab w:val="left" w:pos="4680"/>
        </w:tabs>
        <w:spacing w:line="360" w:lineRule="auto"/>
        <w:ind w:firstLine="480"/>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（8）《国土空间调查、规划、用途管制用地用海分类指南》；</w:t>
      </w:r>
    </w:p>
    <w:p w14:paraId="2BE8DDB6">
      <w:pPr>
        <w:tabs>
          <w:tab w:val="left" w:pos="4680"/>
        </w:tabs>
        <w:spacing w:line="360" w:lineRule="auto"/>
        <w:ind w:firstLine="480"/>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（9）省、市、县关于农村乱占耕地建房专项整治的相关文件及技术要求。</w:t>
      </w:r>
    </w:p>
    <w:p w14:paraId="16A10203">
      <w:pPr>
        <w:tabs>
          <w:tab w:val="left" w:pos="4680"/>
        </w:tabs>
        <w:spacing w:line="360" w:lineRule="auto"/>
        <w:ind w:firstLine="480"/>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（四）成果主要指标和规格</w:t>
      </w:r>
    </w:p>
    <w:p w14:paraId="7D5FA81B">
      <w:pPr>
        <w:tabs>
          <w:tab w:val="left" w:pos="4680"/>
        </w:tabs>
        <w:spacing w:line="360" w:lineRule="auto"/>
        <w:ind w:firstLine="480"/>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1）测绘基准</w:t>
      </w:r>
    </w:p>
    <w:p w14:paraId="09DDFF67">
      <w:pPr>
        <w:tabs>
          <w:tab w:val="left" w:pos="4680"/>
        </w:tabs>
        <w:spacing w:line="360" w:lineRule="auto"/>
        <w:ind w:firstLine="480"/>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采用2000国家大地坐标系（CGCS2000）。</w:t>
      </w:r>
    </w:p>
    <w:p w14:paraId="585A0BF2">
      <w:pPr>
        <w:tabs>
          <w:tab w:val="left" w:pos="4680"/>
        </w:tabs>
        <w:spacing w:line="360" w:lineRule="auto"/>
        <w:ind w:firstLine="480"/>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2）高程基准</w:t>
      </w:r>
    </w:p>
    <w:p w14:paraId="63C5DBE2">
      <w:pPr>
        <w:tabs>
          <w:tab w:val="left" w:pos="4680"/>
        </w:tabs>
        <w:spacing w:line="360" w:lineRule="auto"/>
        <w:ind w:firstLine="480"/>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采用1985国家高程基准。</w:t>
      </w:r>
    </w:p>
    <w:p w14:paraId="34973A0B">
      <w:pPr>
        <w:tabs>
          <w:tab w:val="left" w:pos="4680"/>
        </w:tabs>
        <w:spacing w:line="360" w:lineRule="auto"/>
        <w:ind w:firstLine="480"/>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3）成图比例尺</w:t>
      </w:r>
    </w:p>
    <w:p w14:paraId="31016D18">
      <w:pPr>
        <w:tabs>
          <w:tab w:val="left" w:pos="4680"/>
        </w:tabs>
        <w:spacing w:line="360" w:lineRule="auto"/>
        <w:ind w:firstLine="480"/>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成图比例尺1:5000。</w:t>
      </w:r>
    </w:p>
    <w:p w14:paraId="0FE4440A">
      <w:pPr>
        <w:tabs>
          <w:tab w:val="left" w:pos="4680"/>
        </w:tabs>
        <w:spacing w:line="360" w:lineRule="auto"/>
        <w:ind w:firstLine="480"/>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4）分幅及编号</w:t>
      </w:r>
    </w:p>
    <w:p w14:paraId="76BD48DE">
      <w:pPr>
        <w:tabs>
          <w:tab w:val="left" w:pos="4680"/>
        </w:tabs>
        <w:spacing w:line="360" w:lineRule="auto"/>
        <w:ind w:firstLine="480"/>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日常变更调查比例尺标准分幅及编号执行GB/T13989标准。标准分幅以国际1:1000000地图分幅为标准，各比例尺标准分幅图以经差和纬差划分，采用经、纬度分幅。标准分幅图编号均以1:1000000地形图编号为基础以行列编号方法。</w:t>
      </w:r>
    </w:p>
    <w:p w14:paraId="2C0720A5">
      <w:pPr>
        <w:tabs>
          <w:tab w:val="left" w:pos="4680"/>
        </w:tabs>
        <w:spacing w:line="360" w:lineRule="auto"/>
        <w:ind w:firstLine="480"/>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1:5000的土地利用现状图，以1:1000000国际标准分幅为基础，采用192×192的行列分幅编号，图幅大小为经差1′52.5〞，纬差1′15〞。</w:t>
      </w:r>
    </w:p>
    <w:p w14:paraId="2C8CD796">
      <w:pPr>
        <w:tabs>
          <w:tab w:val="left" w:pos="4680"/>
        </w:tabs>
        <w:spacing w:line="360" w:lineRule="auto"/>
        <w:ind w:firstLine="480"/>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5）计量单位</w:t>
      </w:r>
    </w:p>
    <w:p w14:paraId="4D49494D">
      <w:pPr>
        <w:tabs>
          <w:tab w:val="left" w:pos="4680"/>
        </w:tabs>
        <w:spacing w:line="360" w:lineRule="auto"/>
        <w:ind w:firstLine="480"/>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长度单位采用米（m），保留1位小数；面积计算单位采用平方米（m2），保留2位小数；面积统计汇总单位采用公顷（hm2）和亩，保留2位小数。</w:t>
      </w:r>
    </w:p>
    <w:p w14:paraId="74F13EB1">
      <w:pPr>
        <w:spacing w:line="360" w:lineRule="auto"/>
        <w:ind w:firstLine="482"/>
        <w:rPr>
          <w:rFonts w:hint="eastAsia" w:ascii="仿宋" w:hAnsi="仿宋" w:eastAsia="仿宋" w:cs="仿宋"/>
          <w:b/>
          <w:bCs/>
          <w:color w:val="auto"/>
          <w:sz w:val="24"/>
          <w:szCs w:val="32"/>
          <w:highlight w:val="none"/>
        </w:rPr>
      </w:pPr>
      <w:r>
        <w:rPr>
          <w:rFonts w:hint="eastAsia" w:ascii="仿宋" w:hAnsi="仿宋" w:eastAsia="仿宋" w:cs="仿宋"/>
          <w:b w:val="0"/>
          <w:bCs w:val="0"/>
          <w:color w:val="auto"/>
          <w:sz w:val="24"/>
          <w:szCs w:val="32"/>
          <w:highlight w:val="none"/>
        </w:rPr>
        <w:t>注：供应商根据上述要求，要充分了解相关法律、法规要求，制定项目保障方案，方案内容包括但不限于：质量问题分析及进度安排。</w:t>
      </w:r>
    </w:p>
    <w:p w14:paraId="26305EB9">
      <w:pPr>
        <w:spacing w:line="360" w:lineRule="auto"/>
        <w:ind w:firstLine="482"/>
        <w:rPr>
          <w:rFonts w:hint="eastAsia" w:ascii="仿宋" w:hAnsi="仿宋" w:eastAsia="仿宋" w:cs="仿宋"/>
          <w:b/>
          <w:bCs/>
          <w:color w:val="auto"/>
          <w:sz w:val="24"/>
          <w:szCs w:val="32"/>
          <w:highlight w:val="none"/>
        </w:rPr>
      </w:pPr>
      <w:r>
        <w:rPr>
          <w:rFonts w:hint="eastAsia" w:ascii="仿宋" w:hAnsi="仿宋" w:eastAsia="仿宋" w:cs="仿宋"/>
          <w:b/>
          <w:bCs/>
          <w:color w:val="auto"/>
          <w:sz w:val="24"/>
          <w:szCs w:val="32"/>
          <w:highlight w:val="none"/>
        </w:rPr>
        <w:t>六、成果主要指标和规格</w:t>
      </w:r>
    </w:p>
    <w:p w14:paraId="3752F61D">
      <w:pPr>
        <w:tabs>
          <w:tab w:val="left" w:pos="4680"/>
        </w:tabs>
        <w:spacing w:line="360" w:lineRule="auto"/>
        <w:ind w:firstLine="480"/>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（1）测绘基准</w:t>
      </w:r>
    </w:p>
    <w:p w14:paraId="359547BC">
      <w:pPr>
        <w:tabs>
          <w:tab w:val="left" w:pos="4680"/>
        </w:tabs>
        <w:spacing w:line="360" w:lineRule="auto"/>
        <w:ind w:firstLine="480"/>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采用2000国家大地坐标系（CGCS2000）。</w:t>
      </w:r>
    </w:p>
    <w:p w14:paraId="0398F526">
      <w:pPr>
        <w:tabs>
          <w:tab w:val="left" w:pos="4680"/>
        </w:tabs>
        <w:spacing w:line="360" w:lineRule="auto"/>
        <w:ind w:firstLine="480"/>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（2）高程基准</w:t>
      </w:r>
    </w:p>
    <w:p w14:paraId="20F50AFF">
      <w:pPr>
        <w:tabs>
          <w:tab w:val="left" w:pos="4680"/>
        </w:tabs>
        <w:spacing w:line="360" w:lineRule="auto"/>
        <w:ind w:firstLine="480"/>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采用1985国家高程基准。</w:t>
      </w:r>
    </w:p>
    <w:p w14:paraId="52A9E5E5">
      <w:pPr>
        <w:tabs>
          <w:tab w:val="left" w:pos="4680"/>
        </w:tabs>
        <w:spacing w:line="360" w:lineRule="auto"/>
        <w:ind w:firstLine="480"/>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（3）计量单位</w:t>
      </w:r>
    </w:p>
    <w:p w14:paraId="7F2BBAF4">
      <w:pPr>
        <w:tabs>
          <w:tab w:val="left" w:pos="4680"/>
        </w:tabs>
        <w:spacing w:line="360" w:lineRule="auto"/>
        <w:ind w:firstLine="480"/>
        <w:rPr>
          <w:rFonts w:hint="eastAsia" w:ascii="仿宋" w:hAnsi="仿宋" w:eastAsia="仿宋" w:cs="仿宋"/>
          <w:bCs/>
          <w:color w:val="auto"/>
          <w:sz w:val="24"/>
          <w:szCs w:val="32"/>
          <w:highlight w:val="none"/>
        </w:rPr>
      </w:pPr>
      <w:r>
        <w:rPr>
          <w:rFonts w:hint="eastAsia" w:ascii="仿宋" w:hAnsi="仿宋" w:eastAsia="仿宋" w:cs="仿宋"/>
          <w:color w:val="auto"/>
          <w:kern w:val="2"/>
          <w:sz w:val="24"/>
          <w:szCs w:val="24"/>
          <w:highlight w:val="none"/>
        </w:rPr>
        <w:t>长度单位采用米（m），保留1位小数；面积计算单位采用平方米（㎡），保留2位小数；面积统计汇总单位采用公顷（ha）和亩，保留2位小数。</w:t>
      </w:r>
    </w:p>
    <w:p w14:paraId="37A20422">
      <w:pPr>
        <w:spacing w:line="360" w:lineRule="auto"/>
        <w:ind w:firstLine="482"/>
        <w:rPr>
          <w:rFonts w:hint="eastAsia" w:ascii="仿宋" w:hAnsi="仿宋" w:eastAsia="仿宋" w:cs="仿宋"/>
          <w:b/>
          <w:bCs/>
          <w:color w:val="auto"/>
          <w:sz w:val="24"/>
          <w:szCs w:val="32"/>
          <w:highlight w:val="none"/>
        </w:rPr>
      </w:pPr>
      <w:r>
        <w:rPr>
          <w:rFonts w:hint="eastAsia" w:ascii="仿宋" w:hAnsi="仿宋" w:eastAsia="仿宋" w:cs="仿宋"/>
          <w:b/>
          <w:bCs/>
          <w:color w:val="auto"/>
          <w:sz w:val="24"/>
          <w:szCs w:val="32"/>
          <w:highlight w:val="none"/>
        </w:rPr>
        <w:t>七、进度要求</w:t>
      </w:r>
    </w:p>
    <w:p w14:paraId="71F074F3">
      <w:pPr>
        <w:widowControl w:val="0"/>
        <w:spacing w:line="360" w:lineRule="auto"/>
        <w:ind w:firstLine="480"/>
        <w:jc w:val="both"/>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以自然资源部、江苏省自然资源厅、宿迁市自然资源和规划局进度要求开展工作，按时报送合格成果，所有图斑均通过整改并完成销号后，将工作成果按要求移交采购人接收后服务截止。</w:t>
      </w:r>
    </w:p>
    <w:p w14:paraId="2D95D4C1">
      <w:pPr>
        <w:pStyle w:val="31"/>
        <w:spacing w:beforeAutospacing="0" w:afterAutospacing="0" w:line="480" w:lineRule="exact"/>
        <w:ind w:firstLine="480"/>
        <w:jc w:val="both"/>
        <w:rPr>
          <w:rFonts w:hint="eastAsia" w:ascii="仿宋" w:hAnsi="仿宋" w:eastAsia="仿宋" w:cs="仿宋"/>
          <w:b/>
          <w:bCs/>
          <w:color w:val="auto"/>
          <w:szCs w:val="32"/>
          <w:highlight w:val="none"/>
        </w:rPr>
      </w:pPr>
      <w:r>
        <w:rPr>
          <w:rFonts w:hint="eastAsia" w:ascii="仿宋" w:hAnsi="仿宋" w:eastAsia="仿宋" w:cs="仿宋"/>
          <w:b/>
          <w:bCs/>
          <w:color w:val="auto"/>
          <w:szCs w:val="32"/>
          <w:highlight w:val="none"/>
        </w:rPr>
        <w:t>八、成果要求</w:t>
      </w:r>
    </w:p>
    <w:p w14:paraId="29D869E7">
      <w:pPr>
        <w:widowControl w:val="0"/>
        <w:spacing w:line="360" w:lineRule="auto"/>
        <w:ind w:firstLine="480"/>
        <w:jc w:val="both"/>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（1）数据质量：所有数据真实、准确、完整，逻辑一致，无遗漏、无错误，通过上级主管部门核查。</w:t>
      </w:r>
    </w:p>
    <w:p w14:paraId="001FFFB7">
      <w:pPr>
        <w:widowControl w:val="0"/>
        <w:spacing w:line="360" w:lineRule="auto"/>
        <w:ind w:firstLine="480"/>
        <w:jc w:val="both"/>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（2）图件质量：底图、宗地图、现状图、套合图等图件清晰、规范、要素齐全，坐标精准，符合举证及归档要求。</w:t>
      </w:r>
    </w:p>
    <w:p w14:paraId="042F32FF">
      <w:pPr>
        <w:widowControl w:val="0"/>
        <w:spacing w:line="360" w:lineRule="auto"/>
        <w:ind w:firstLine="480"/>
        <w:jc w:val="both"/>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（3）档案质量：“一斑一档” 资料齐全、分类清晰、装订规范，电子档案与纸质档案一致，可追溯、可复核。</w:t>
      </w:r>
    </w:p>
    <w:p w14:paraId="64854B2F">
      <w:pPr>
        <w:pStyle w:val="31"/>
        <w:spacing w:beforeAutospacing="0" w:afterAutospacing="0" w:line="480" w:lineRule="exact"/>
        <w:ind w:firstLine="480"/>
        <w:jc w:val="both"/>
        <w:rPr>
          <w:rFonts w:hint="eastAsia" w:ascii="仿宋" w:hAnsi="仿宋" w:eastAsia="仿宋" w:cs="仿宋"/>
          <w:color w:val="auto"/>
          <w:highlight w:val="none"/>
        </w:rPr>
      </w:pPr>
      <w:r>
        <w:rPr>
          <w:rFonts w:hint="eastAsia" w:ascii="仿宋" w:hAnsi="仿宋" w:eastAsia="仿宋" w:cs="仿宋"/>
          <w:color w:val="auto"/>
          <w:kern w:val="2"/>
          <w:sz w:val="24"/>
          <w:szCs w:val="24"/>
          <w:highlight w:val="none"/>
          <w:lang w:val="en-US" w:eastAsia="zh-CN" w:bidi="ar-SA"/>
        </w:rPr>
        <w:t>（4）服务质量：响应及时（接到采购人通知后 24 小时内到场），工作高效，整改举证一次性通过率≥95%，无重大质量问题、安全事故。</w:t>
      </w:r>
    </w:p>
    <w:p w14:paraId="7610F390">
      <w:pPr>
        <w:spacing w:line="520" w:lineRule="exact"/>
        <w:ind w:firstLine="466"/>
        <w:rPr>
          <w:rFonts w:hint="eastAsia" w:ascii="仿宋" w:hAnsi="仿宋" w:eastAsia="仿宋" w:cs="仿宋"/>
          <w:b/>
          <w:bCs/>
          <w:color w:val="auto"/>
          <w:spacing w:val="-4"/>
          <w:sz w:val="24"/>
          <w:highlight w:val="none"/>
        </w:rPr>
      </w:pPr>
      <w:r>
        <w:rPr>
          <w:rFonts w:hint="eastAsia" w:ascii="仿宋" w:hAnsi="仿宋" w:eastAsia="仿宋" w:cs="仿宋"/>
          <w:b/>
          <w:bCs/>
          <w:color w:val="auto"/>
          <w:spacing w:val="-4"/>
          <w:sz w:val="24"/>
          <w:szCs w:val="24"/>
          <w:highlight w:val="none"/>
        </w:rPr>
        <w:t>九、安全保密措施</w:t>
      </w:r>
    </w:p>
    <w:p w14:paraId="058C3CE5">
      <w:pPr>
        <w:pStyle w:val="375"/>
        <w:spacing w:line="520" w:lineRule="exact"/>
        <w:ind w:firstLine="482"/>
        <w:jc w:val="left"/>
        <w:rPr>
          <w:rFonts w:hint="eastAsia" w:ascii="仿宋" w:hAnsi="仿宋" w:eastAsia="仿宋" w:cs="仿宋"/>
          <w:b/>
          <w:bCs/>
          <w:color w:val="auto"/>
          <w:sz w:val="24"/>
          <w:szCs w:val="24"/>
          <w:highlight w:val="none"/>
        </w:rPr>
      </w:pPr>
      <w:r>
        <w:rPr>
          <w:rFonts w:hint="eastAsia" w:ascii="仿宋" w:hAnsi="仿宋" w:eastAsia="仿宋" w:cs="仿宋"/>
          <w:color w:val="auto"/>
          <w:spacing w:val="-4"/>
          <w:sz w:val="24"/>
          <w:szCs w:val="24"/>
          <w:highlight w:val="none"/>
        </w:rPr>
        <w:t>工作中涉及的敏感资料、电子数据等相关信息，成交供应商应严格执行保密的相关规定，不得以任何方式向任何第三方披露、泄露或许可第三方使用，并与采购单位签订保密协议，否则追究其相应法律责任</w:t>
      </w:r>
      <w:r>
        <w:rPr>
          <w:rStyle w:val="373"/>
          <w:rFonts w:hint="eastAsia" w:ascii="仿宋" w:hAnsi="仿宋" w:eastAsia="仿宋" w:cs="仿宋"/>
          <w:color w:val="auto"/>
          <w:spacing w:val="-4"/>
          <w:sz w:val="24"/>
          <w:highlight w:val="none"/>
        </w:rPr>
        <w:t>。</w:t>
      </w:r>
    </w:p>
    <w:p w14:paraId="593AE5C9">
      <w:pPr>
        <w:pStyle w:val="375"/>
        <w:spacing w:line="520" w:lineRule="exact"/>
        <w:ind w:firstLine="482"/>
        <w:jc w:val="lef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十、技术资料</w:t>
      </w:r>
    </w:p>
    <w:p w14:paraId="1E50CDA2">
      <w:pPr>
        <w:spacing w:line="520" w:lineRule="exact"/>
        <w:ind w:firstLine="464"/>
        <w:rPr>
          <w:rStyle w:val="373"/>
          <w:rFonts w:hint="eastAsia" w:ascii="仿宋" w:hAnsi="仿宋" w:eastAsia="仿宋" w:cs="仿宋"/>
          <w:color w:val="auto"/>
          <w:spacing w:val="-4"/>
          <w:sz w:val="24"/>
          <w:highlight w:val="none"/>
        </w:rPr>
      </w:pPr>
      <w:r>
        <w:rPr>
          <w:rStyle w:val="373"/>
          <w:rFonts w:hint="eastAsia" w:ascii="仿宋" w:hAnsi="仿宋" w:eastAsia="仿宋" w:cs="仿宋"/>
          <w:color w:val="auto"/>
          <w:spacing w:val="-4"/>
          <w:sz w:val="24"/>
          <w:highlight w:val="none"/>
        </w:rPr>
        <w:t>1.乙方应按磋商文件规定的时间向甲方提供与合同标的有关的技术资料。</w:t>
      </w:r>
    </w:p>
    <w:p w14:paraId="32BEAA35">
      <w:pPr>
        <w:spacing w:line="520" w:lineRule="exact"/>
        <w:ind w:firstLine="464"/>
        <w:rPr>
          <w:rStyle w:val="373"/>
          <w:rFonts w:hint="eastAsia" w:ascii="仿宋" w:hAnsi="仿宋" w:eastAsia="仿宋" w:cs="仿宋"/>
          <w:color w:val="auto"/>
          <w:spacing w:val="-4"/>
          <w:sz w:val="24"/>
          <w:highlight w:val="none"/>
        </w:rPr>
      </w:pPr>
      <w:r>
        <w:rPr>
          <w:rStyle w:val="373"/>
          <w:rFonts w:hint="eastAsia" w:ascii="仿宋" w:hAnsi="仿宋" w:eastAsia="仿宋" w:cs="仿宋"/>
          <w:color w:val="auto"/>
          <w:spacing w:val="-4"/>
          <w:sz w:val="24"/>
          <w:highlight w:val="none"/>
        </w:rPr>
        <w:t>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323101CD">
      <w:pPr>
        <w:pStyle w:val="347"/>
        <w:spacing w:line="520" w:lineRule="exact"/>
        <w:ind w:firstLine="482"/>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十一、知识产权</w:t>
      </w:r>
    </w:p>
    <w:p w14:paraId="49F19611">
      <w:pPr>
        <w:pStyle w:val="347"/>
        <w:spacing w:line="520" w:lineRule="exact"/>
        <w:ind w:firstLine="480"/>
        <w:rPr>
          <w:rFonts w:hint="eastAsia" w:ascii="仿宋" w:hAnsi="仿宋" w:eastAsia="仿宋" w:cs="仿宋"/>
          <w:color w:val="auto"/>
          <w:sz w:val="24"/>
          <w:szCs w:val="24"/>
          <w:highlight w:val="none"/>
          <w:shd w:val="clear" w:color="auto" w:fill="DCE6F2"/>
        </w:rPr>
      </w:pPr>
      <w:r>
        <w:rPr>
          <w:rFonts w:hint="eastAsia" w:ascii="仿宋" w:hAnsi="仿宋" w:eastAsia="仿宋" w:cs="仿宋"/>
          <w:color w:val="auto"/>
          <w:sz w:val="24"/>
          <w:szCs w:val="24"/>
          <w:highlight w:val="none"/>
        </w:rPr>
        <w:t>乙方应保证甲方在使用、接受本合同标的或其任何一部分时不受第三方提出侵犯其专利权、版权、商标权和工业设计权等知识产权的起诉。一旦出现侵权，由乙方负全部责任。</w:t>
      </w:r>
    </w:p>
    <w:p w14:paraId="76C43478">
      <w:pPr>
        <w:pStyle w:val="347"/>
        <w:spacing w:line="520" w:lineRule="exact"/>
        <w:ind w:firstLine="482"/>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十二、产权担保</w:t>
      </w:r>
    </w:p>
    <w:p w14:paraId="023C293F">
      <w:pPr>
        <w:pStyle w:val="347"/>
        <w:spacing w:line="520" w:lineRule="exact"/>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乙方保证所交付的合同标的的所有权完全属于乙方且无任何抵押、查封等产权瑕疵。</w:t>
      </w:r>
    </w:p>
    <w:p w14:paraId="59AA8E04">
      <w:pPr>
        <w:pStyle w:val="347"/>
        <w:spacing w:line="520" w:lineRule="exact"/>
        <w:ind w:firstLine="482"/>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十三、履约保证金</w:t>
      </w:r>
    </w:p>
    <w:p w14:paraId="691ACA39">
      <w:pPr>
        <w:pStyle w:val="347"/>
        <w:spacing w:line="520" w:lineRule="exact"/>
        <w:ind w:firstLine="480"/>
        <w:rPr>
          <w:color w:val="auto"/>
          <w:highlight w:val="none"/>
        </w:rPr>
      </w:pPr>
      <w:r>
        <w:rPr>
          <w:rFonts w:hint="eastAsia" w:ascii="仿宋" w:hAnsi="仿宋" w:eastAsia="仿宋" w:cs="仿宋"/>
          <w:color w:val="auto"/>
          <w:sz w:val="24"/>
          <w:szCs w:val="24"/>
          <w:highlight w:val="none"/>
        </w:rPr>
        <w:t>本项目不收取履约保证金。</w:t>
      </w:r>
    </w:p>
    <w:p w14:paraId="2E71EE74">
      <w:pPr>
        <w:pStyle w:val="347"/>
        <w:spacing w:line="520" w:lineRule="exact"/>
        <w:ind w:firstLine="482"/>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十四、合同转包或分包</w:t>
      </w:r>
    </w:p>
    <w:p w14:paraId="20B29FBF">
      <w:pPr>
        <w:pStyle w:val="347"/>
        <w:spacing w:line="520" w:lineRule="exact"/>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1.乙方不得将合同标的转包给他人履行。</w:t>
      </w:r>
    </w:p>
    <w:p w14:paraId="5DFB9508">
      <w:pPr>
        <w:pStyle w:val="347"/>
        <w:spacing w:line="520" w:lineRule="exact"/>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2.乙方不得将合同标的分包给他人履行。</w:t>
      </w:r>
    </w:p>
    <w:p w14:paraId="4175ECAF">
      <w:pPr>
        <w:pStyle w:val="347"/>
        <w:spacing w:line="520" w:lineRule="exact"/>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3.乙方如有转包或未经甲方同意的分包行为，甲方有权解除合同。</w:t>
      </w:r>
    </w:p>
    <w:p w14:paraId="4F1777C8">
      <w:pPr>
        <w:pStyle w:val="347"/>
        <w:spacing w:line="520" w:lineRule="exact"/>
        <w:ind w:firstLine="482"/>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十五、税费</w:t>
      </w:r>
    </w:p>
    <w:p w14:paraId="2009CDFB">
      <w:pPr>
        <w:pStyle w:val="347"/>
        <w:spacing w:line="520" w:lineRule="exact"/>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1.本合同执行中相关的一切税费均由乙方负担。</w:t>
      </w:r>
    </w:p>
    <w:p w14:paraId="266A1423">
      <w:pPr>
        <w:pStyle w:val="347"/>
        <w:spacing w:line="520" w:lineRule="exact"/>
        <w:ind w:firstLine="482"/>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十六、项目验收</w:t>
      </w:r>
    </w:p>
    <w:p w14:paraId="4665CF3A">
      <w:pPr>
        <w:pStyle w:val="347"/>
        <w:spacing w:line="520" w:lineRule="exact"/>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供应商提交的成果资料需符合相关规范、符合采购人有关要求，并顺利通过采购人验收。</w:t>
      </w:r>
    </w:p>
    <w:p w14:paraId="57D147D1">
      <w:pPr>
        <w:pStyle w:val="347"/>
        <w:spacing w:line="520" w:lineRule="exact"/>
        <w:ind w:firstLine="482"/>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十七、违约责任</w:t>
      </w:r>
    </w:p>
    <w:p w14:paraId="17C8CC8A">
      <w:pPr>
        <w:pStyle w:val="347"/>
        <w:spacing w:line="520" w:lineRule="exact"/>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1.甲方无正当理由拒绝接受乙方提供的合同标的的，甲方向乙方偿付拒绝接受合同价款总值</w:t>
      </w:r>
      <w:r>
        <w:rPr>
          <w:rFonts w:hint="eastAsia" w:ascii="仿宋" w:hAnsi="仿宋" w:eastAsia="仿宋" w:cs="仿宋"/>
          <w:color w:val="auto"/>
          <w:sz w:val="24"/>
          <w:szCs w:val="24"/>
          <w:highlight w:val="none"/>
          <w:u w:val="single"/>
        </w:rPr>
        <w:t xml:space="preserve"> 5% </w:t>
      </w:r>
      <w:r>
        <w:rPr>
          <w:rFonts w:hint="eastAsia" w:ascii="仿宋" w:hAnsi="仿宋" w:eastAsia="仿宋" w:cs="仿宋"/>
          <w:color w:val="auto"/>
          <w:sz w:val="24"/>
          <w:szCs w:val="24"/>
          <w:highlight w:val="none"/>
        </w:rPr>
        <w:t>的违约金。</w:t>
      </w:r>
    </w:p>
    <w:p w14:paraId="490DA583">
      <w:pPr>
        <w:pStyle w:val="347"/>
        <w:spacing w:line="520" w:lineRule="exact"/>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2.甲方无故逾期验收和办理合同款项支付手续的，甲方应按逾期付款总额</w:t>
      </w:r>
      <w:r>
        <w:rPr>
          <w:rFonts w:hint="eastAsia" w:ascii="仿宋" w:hAnsi="仿宋" w:eastAsia="仿宋" w:cs="仿宋"/>
          <w:color w:val="auto"/>
          <w:sz w:val="24"/>
          <w:szCs w:val="24"/>
          <w:highlight w:val="none"/>
          <w:u w:val="single"/>
        </w:rPr>
        <w:t xml:space="preserve">    </w:t>
      </w:r>
      <w:r>
        <w:rPr>
          <w:rFonts w:hint="eastAsia" w:cs="Courier New"/>
          <w:color w:val="auto"/>
          <w:sz w:val="24"/>
          <w:szCs w:val="24"/>
          <w:highlight w:val="none"/>
          <w:u w:val="single"/>
        </w:rPr>
        <w:t>2‰</w:t>
      </w:r>
      <w:r>
        <w:rPr>
          <w:rFonts w:hint="eastAsia" w:ascii="仿宋" w:hAnsi="仿宋" w:eastAsia="仿宋" w:cs="仿宋"/>
          <w:color w:val="auto"/>
          <w:sz w:val="24"/>
          <w:szCs w:val="24"/>
          <w:highlight w:val="none"/>
        </w:rPr>
        <w:t>每日向乙方支付违约金。</w:t>
      </w:r>
    </w:p>
    <w:p w14:paraId="55098CF3">
      <w:pPr>
        <w:pStyle w:val="347"/>
        <w:spacing w:line="520" w:lineRule="exact"/>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乙方逾期交付合同标的的，乙方应按逾期交付合同总额每日千分之六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hint="eastAsia" w:ascii="仿宋" w:hAnsi="仿宋" w:eastAsia="仿宋" w:cs="仿宋"/>
          <w:color w:val="auto"/>
          <w:sz w:val="24"/>
          <w:szCs w:val="24"/>
          <w:highlight w:val="none"/>
          <w:u w:val="single"/>
        </w:rPr>
        <w:t xml:space="preserve"> 20% </w:t>
      </w:r>
      <w:r>
        <w:rPr>
          <w:rFonts w:hint="eastAsia" w:ascii="仿宋" w:hAnsi="仿宋" w:eastAsia="仿宋" w:cs="仿宋"/>
          <w:color w:val="auto"/>
          <w:sz w:val="24"/>
          <w:szCs w:val="24"/>
          <w:highlight w:val="none"/>
        </w:rPr>
        <w:t xml:space="preserve">的违约金，如造成甲方损失超过违约金的，超出部分由乙方继续承担赔偿责任。 </w:t>
      </w:r>
    </w:p>
    <w:p w14:paraId="32160D1A">
      <w:pPr>
        <w:pStyle w:val="347"/>
        <w:spacing w:line="520" w:lineRule="exact"/>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4.乙方交付合同标的的标准不符合合同规定及磋商文件规定标准的，甲方有权拒绝接受合同标的，并可单方面解除合同。</w:t>
      </w:r>
    </w:p>
    <w:p w14:paraId="5BF67F0F">
      <w:pPr>
        <w:pStyle w:val="347"/>
        <w:spacing w:line="520" w:lineRule="exact"/>
        <w:ind w:firstLine="482"/>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十八、供应商合法权益补偿机制</w:t>
      </w:r>
    </w:p>
    <w:p w14:paraId="3AACD1A9">
      <w:pPr>
        <w:pStyle w:val="347"/>
        <w:spacing w:line="520" w:lineRule="exact"/>
        <w:ind w:firstLine="480"/>
        <w:rPr>
          <w:rFonts w:hint="eastAsia" w:ascii="仿宋" w:hAnsi="仿宋" w:eastAsia="仿宋" w:cs="仿宋"/>
          <w:color w:val="auto"/>
          <w:sz w:val="24"/>
          <w:szCs w:val="24"/>
          <w:highlight w:val="none"/>
        </w:rPr>
      </w:pPr>
      <w:bookmarkStart w:id="196" w:name="_Toc23650"/>
      <w:r>
        <w:rPr>
          <w:rFonts w:hint="eastAsia" w:ascii="仿宋" w:hAnsi="仿宋" w:eastAsia="仿宋" w:cs="仿宋"/>
          <w:color w:val="auto"/>
          <w:sz w:val="24"/>
          <w:szCs w:val="24"/>
          <w:highlight w:val="none"/>
        </w:rPr>
        <w:t>供应商合法权益补偿救济机制。在履约过程中因政策变化、规划调整而无法履行合同约定，造成企业合法权益受损的，采购人依据实际情况对供应商进行补偿救济。</w:t>
      </w:r>
      <w:bookmarkEnd w:id="196"/>
    </w:p>
    <w:p w14:paraId="23DF9BEC">
      <w:pPr>
        <w:pStyle w:val="347"/>
        <w:spacing w:line="520" w:lineRule="exact"/>
        <w:ind w:firstLine="482"/>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十九、不可抗力事件处理</w:t>
      </w:r>
    </w:p>
    <w:p w14:paraId="49181232">
      <w:pPr>
        <w:pStyle w:val="347"/>
        <w:spacing w:line="520" w:lineRule="exact"/>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1.在合同有效期内，任何一方因不可抗力事件导致不能履行合同，则合同履行期可延长，其延长期与不可抗力影响 期相同。</w:t>
      </w:r>
    </w:p>
    <w:p w14:paraId="3AEB105D">
      <w:pPr>
        <w:pStyle w:val="347"/>
        <w:spacing w:line="520" w:lineRule="exact"/>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2.不可抗力事件发生后，应立即通知对方，并寄送有关权威机构出具的证明。</w:t>
      </w:r>
    </w:p>
    <w:p w14:paraId="2AC7318C">
      <w:pPr>
        <w:pStyle w:val="347"/>
        <w:spacing w:line="520" w:lineRule="exact"/>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3.不可抗力事件延续120天以上，双方应通过友好协商，确定是否继续履行合同。</w:t>
      </w:r>
    </w:p>
    <w:p w14:paraId="1994B285">
      <w:pPr>
        <w:pStyle w:val="347"/>
        <w:spacing w:line="520" w:lineRule="exact"/>
        <w:ind w:firstLine="482"/>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二十、解决争议的方法</w:t>
      </w:r>
    </w:p>
    <w:p w14:paraId="617F89D0">
      <w:pPr>
        <w:pStyle w:val="347"/>
        <w:spacing w:line="520" w:lineRule="exact"/>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1.双方在签订、履行合同中所发生的一切争议，应通过友好协商解决。如协商不成，由甲方住所地人民法院管辖。</w:t>
      </w:r>
    </w:p>
    <w:p w14:paraId="2D122085">
      <w:pPr>
        <w:pStyle w:val="347"/>
        <w:spacing w:line="520" w:lineRule="exact"/>
        <w:ind w:firstLine="482"/>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二十一、合同生效及其它</w:t>
      </w:r>
    </w:p>
    <w:p w14:paraId="0424C758">
      <w:pPr>
        <w:pStyle w:val="347"/>
        <w:spacing w:line="520" w:lineRule="exact"/>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1.合同经双方法定代表人或授权委托代表人签字并加盖单位公章后生效。</w:t>
      </w:r>
    </w:p>
    <w:p w14:paraId="54381025">
      <w:pPr>
        <w:pStyle w:val="347"/>
        <w:spacing w:line="520" w:lineRule="exact"/>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2.本合同未尽事宜，遵照《民法典》、《政府采购法》等有关条文执行。</w:t>
      </w:r>
    </w:p>
    <w:p w14:paraId="50C8CF82">
      <w:pPr>
        <w:pStyle w:val="347"/>
        <w:spacing w:line="520" w:lineRule="exact"/>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3.本合同正本一式三份，具有同等法律效力，甲方、乙方及财政监管部门各执一份。</w:t>
      </w:r>
    </w:p>
    <w:p w14:paraId="026955B9">
      <w:pPr>
        <w:spacing w:line="520" w:lineRule="exact"/>
        <w:ind w:firstLine="480"/>
        <w:rPr>
          <w:rFonts w:hint="eastAsia" w:ascii="仿宋" w:hAnsi="仿宋" w:eastAsia="仿宋" w:cs="仿宋"/>
          <w:color w:val="auto"/>
          <w:sz w:val="24"/>
          <w:szCs w:val="24"/>
          <w:highlight w:val="none"/>
        </w:rPr>
      </w:pPr>
    </w:p>
    <w:p w14:paraId="60F47325">
      <w:pPr>
        <w:spacing w:line="520" w:lineRule="exact"/>
        <w:ind w:firstLine="480"/>
        <w:rPr>
          <w:rFonts w:hint="eastAsia" w:ascii="仿宋" w:hAnsi="仿宋" w:eastAsia="仿宋" w:cs="仿宋"/>
          <w:color w:val="auto"/>
          <w:sz w:val="24"/>
          <w:szCs w:val="24"/>
          <w:highlight w:val="none"/>
        </w:rPr>
      </w:pPr>
    </w:p>
    <w:p w14:paraId="69990908">
      <w:pPr>
        <w:spacing w:line="520" w:lineRule="exact"/>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甲方：                        乙方： </w:t>
      </w:r>
    </w:p>
    <w:p w14:paraId="2C39EAC5">
      <w:pPr>
        <w:spacing w:line="520" w:lineRule="exact"/>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地址：                        地址： </w:t>
      </w:r>
    </w:p>
    <w:p w14:paraId="659EB6EC">
      <w:pPr>
        <w:spacing w:line="520" w:lineRule="exact"/>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法定代表人或授权代表：        法定代表人或授权代表：</w:t>
      </w:r>
    </w:p>
    <w:p w14:paraId="694C3427">
      <w:pPr>
        <w:spacing w:line="520" w:lineRule="exact"/>
        <w:ind w:firstLine="480"/>
        <w:rPr>
          <w:rFonts w:hint="eastAsia" w:ascii="仿宋" w:hAnsi="仿宋" w:eastAsia="仿宋" w:cs="仿宋"/>
          <w:color w:val="auto"/>
          <w:szCs w:val="21"/>
          <w:highlight w:val="none"/>
        </w:rPr>
      </w:pPr>
      <w:r>
        <w:rPr>
          <w:rFonts w:hint="eastAsia" w:ascii="仿宋" w:hAnsi="仿宋" w:eastAsia="仿宋" w:cs="仿宋"/>
          <w:color w:val="auto"/>
          <w:sz w:val="24"/>
          <w:szCs w:val="24"/>
          <w:highlight w:val="none"/>
        </w:rPr>
        <w:t xml:space="preserve">联系电话：                    联系电话：          </w:t>
      </w:r>
    </w:p>
    <w:p w14:paraId="16EB443F">
      <w:pPr>
        <w:spacing w:line="520" w:lineRule="exact"/>
        <w:ind w:firstLine="420"/>
        <w:rPr>
          <w:rFonts w:hint="eastAsia" w:ascii="仿宋" w:hAnsi="仿宋" w:eastAsia="仿宋" w:cs="仿宋"/>
          <w:bCs/>
          <w:color w:val="auto"/>
          <w:sz w:val="24"/>
          <w:szCs w:val="21"/>
          <w:highlight w:val="none"/>
        </w:rPr>
      </w:pPr>
      <w:r>
        <w:rPr>
          <w:rFonts w:hint="eastAsia" w:ascii="仿宋" w:hAnsi="仿宋" w:eastAsia="仿宋" w:cs="仿宋"/>
          <w:color w:val="auto"/>
          <w:szCs w:val="21"/>
          <w:highlight w:val="none"/>
        </w:rPr>
        <w:t xml:space="preserve">                                         </w:t>
      </w:r>
      <w:r>
        <w:rPr>
          <w:rFonts w:hint="eastAsia" w:ascii="仿宋" w:hAnsi="仿宋" w:eastAsia="仿宋" w:cs="仿宋"/>
          <w:color w:val="auto"/>
          <w:sz w:val="24"/>
          <w:szCs w:val="24"/>
          <w:highlight w:val="none"/>
        </w:rPr>
        <w:t>签订日期：      年    月   日</w:t>
      </w:r>
      <w:bookmarkEnd w:id="187"/>
      <w:bookmarkEnd w:id="188"/>
      <w:bookmarkEnd w:id="189"/>
      <w:bookmarkEnd w:id="190"/>
    </w:p>
    <w:p w14:paraId="10EE9E60">
      <w:pPr>
        <w:pStyle w:val="302"/>
        <w:rPr>
          <w:rFonts w:hint="eastAsia" w:ascii="仿宋" w:hAnsi="仿宋" w:eastAsia="仿宋" w:cs="仿宋"/>
          <w:color w:val="auto"/>
          <w:sz w:val="32"/>
          <w:szCs w:val="32"/>
          <w:highlight w:val="none"/>
        </w:rPr>
      </w:pPr>
    </w:p>
    <w:p w14:paraId="251F5B5B">
      <w:pPr>
        <w:rPr>
          <w:rFonts w:hint="eastAsia" w:ascii="仿宋" w:hAnsi="仿宋" w:eastAsia="仿宋" w:cs="仿宋"/>
          <w:b/>
          <w:bCs/>
          <w:color w:val="auto"/>
          <w:highlight w:val="none"/>
        </w:rPr>
      </w:pPr>
      <w:bookmarkStart w:id="197" w:name="_Toc17"/>
      <w:bookmarkStart w:id="198" w:name="_Toc26554093"/>
      <w:bookmarkStart w:id="199" w:name="_Toc49090575"/>
      <w:r>
        <w:rPr>
          <w:rFonts w:hint="eastAsia" w:ascii="仿宋" w:hAnsi="仿宋" w:eastAsia="仿宋" w:cs="仿宋"/>
          <w:b/>
          <w:bCs/>
          <w:color w:val="auto"/>
          <w:highlight w:val="none"/>
        </w:rPr>
        <w:br w:type="page" w:clear="all"/>
      </w:r>
    </w:p>
    <w:p w14:paraId="042907D8">
      <w:pPr>
        <w:pStyle w:val="2"/>
        <w:jc w:val="center"/>
        <w:rPr>
          <w:rFonts w:hint="eastAsia" w:ascii="仿宋" w:hAnsi="仿宋" w:eastAsia="仿宋" w:cs="仿宋"/>
          <w:bCs/>
          <w:color w:val="auto"/>
          <w:szCs w:val="21"/>
          <w:highlight w:val="none"/>
        </w:rPr>
      </w:pPr>
      <w:r>
        <w:rPr>
          <w:rFonts w:hint="eastAsia" w:ascii="仿宋" w:hAnsi="仿宋" w:eastAsia="仿宋" w:cs="仿宋"/>
          <w:b/>
          <w:bCs/>
          <w:color w:val="auto"/>
          <w:highlight w:val="none"/>
        </w:rPr>
        <w:t>第四章 采购需求</w:t>
      </w:r>
      <w:bookmarkEnd w:id="197"/>
    </w:p>
    <w:p w14:paraId="3D0A2853">
      <w:pPr>
        <w:spacing w:before="120" w:after="120"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项目属性：服务类项目</w:t>
      </w:r>
    </w:p>
    <w:p w14:paraId="036335A6">
      <w:pPr>
        <w:spacing w:before="120" w:after="120" w:line="520" w:lineRule="exact"/>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本项目采购标的对应的中小企业划分标准所属行业：</w:t>
      </w:r>
      <w:r>
        <w:rPr>
          <w:rFonts w:hint="eastAsia" w:ascii="仿宋" w:hAnsi="仿宋" w:eastAsia="仿宋" w:cs="仿宋"/>
          <w:color w:val="auto"/>
          <w:sz w:val="24"/>
          <w:szCs w:val="24"/>
          <w:highlight w:val="none"/>
          <w:u w:val="single"/>
        </w:rPr>
        <w:t xml:space="preserve"> 其他未列明行业 </w:t>
      </w:r>
    </w:p>
    <w:p w14:paraId="7D0F9D4D">
      <w:pPr>
        <w:numPr>
          <w:ilvl w:val="0"/>
          <w:numId w:val="5"/>
        </w:numPr>
        <w:spacing w:line="360" w:lineRule="auto"/>
        <w:ind w:firstLine="482"/>
        <w:jc w:val="left"/>
        <w:rPr>
          <w:rFonts w:hint="eastAsia" w:ascii="仿宋" w:hAnsi="仿宋" w:eastAsia="仿宋" w:cs="仿宋"/>
          <w:b/>
          <w:color w:val="auto"/>
          <w:sz w:val="24"/>
          <w:szCs w:val="28"/>
          <w:highlight w:val="none"/>
        </w:rPr>
      </w:pPr>
      <w:bookmarkStart w:id="200" w:name="EB7816f6fdbc96408ea7b735c177a21493"/>
      <w:bookmarkStart w:id="201" w:name="_Toc120614281"/>
      <w:r>
        <w:rPr>
          <w:rFonts w:hint="eastAsia" w:ascii="仿宋" w:hAnsi="仿宋" w:eastAsia="仿宋" w:cs="仿宋"/>
          <w:b/>
          <w:color w:val="auto"/>
          <w:sz w:val="24"/>
          <w:szCs w:val="28"/>
          <w:highlight w:val="none"/>
        </w:rPr>
        <w:t>项目概况</w:t>
      </w:r>
    </w:p>
    <w:p w14:paraId="0C116357">
      <w:pPr>
        <w:spacing w:line="500" w:lineRule="exact"/>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依据《农村乱占耕地建非住宅类房屋整治销号工作指引》（试行）、《中华人民共和国土地管理法》《土地调查条例》《土地调查条例实施办法》《第三次全国国土调查技术规程》（TD/T1055-2019）等文件要求，为全面推进宿城区农村乱占耕地建非住宅类房屋整治工作，宿迁市自然资源和规划局宿城分局决定引入第三方负责宿城区乱占耕地建非住宅类房屋专项整治勘测定界、摸底调查、信息核准、制定处置方案、举证销号等工作。</w:t>
      </w:r>
    </w:p>
    <w:p w14:paraId="266E3F7E">
      <w:pPr>
        <w:spacing w:line="500" w:lineRule="exact"/>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项目名称：</w:t>
      </w:r>
      <w:r>
        <w:rPr>
          <w:rFonts w:hint="eastAsia" w:ascii="仿宋" w:hAnsi="仿宋" w:eastAsia="仿宋" w:cs="仿宋"/>
          <w:color w:val="auto"/>
          <w:sz w:val="24"/>
          <w:highlight w:val="none"/>
          <w:lang w:eastAsia="zh-CN"/>
        </w:rPr>
        <w:t>宿城区农村乱占耕地建非住宅类房屋专项整治工作技术服务</w:t>
      </w:r>
      <w:r>
        <w:rPr>
          <w:rFonts w:hint="eastAsia" w:ascii="仿宋" w:hAnsi="仿宋" w:eastAsia="仿宋" w:cs="仿宋"/>
          <w:color w:val="auto"/>
          <w:sz w:val="24"/>
          <w:highlight w:val="none"/>
        </w:rPr>
        <w:t xml:space="preserve"> </w:t>
      </w:r>
    </w:p>
    <w:p w14:paraId="3FB887A4">
      <w:pPr>
        <w:spacing w:line="500" w:lineRule="exact"/>
        <w:ind w:firstLine="48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采购预算：</w:t>
      </w:r>
      <w:r>
        <w:rPr>
          <w:rFonts w:hint="eastAsia" w:ascii="仿宋" w:hAnsi="仿宋" w:eastAsia="仿宋" w:cs="仿宋"/>
          <w:color w:val="auto"/>
          <w:sz w:val="24"/>
          <w:highlight w:val="none"/>
          <w:lang w:eastAsia="zh-CN"/>
        </w:rPr>
        <w:t>110万元</w:t>
      </w:r>
    </w:p>
    <w:p w14:paraId="35558E96">
      <w:pPr>
        <w:spacing w:line="500" w:lineRule="exact"/>
        <w:ind w:firstLine="48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最高限价：</w:t>
      </w:r>
      <w:r>
        <w:rPr>
          <w:rFonts w:hint="eastAsia" w:ascii="仿宋" w:hAnsi="仿宋" w:eastAsia="仿宋" w:cs="仿宋"/>
          <w:color w:val="auto"/>
          <w:sz w:val="24"/>
          <w:highlight w:val="none"/>
          <w:lang w:eastAsia="zh-CN"/>
        </w:rPr>
        <w:t>110万元</w:t>
      </w:r>
    </w:p>
    <w:p w14:paraId="3A7C3F24">
      <w:pPr>
        <w:spacing w:line="360" w:lineRule="auto"/>
        <w:ind w:firstLine="480"/>
        <w:jc w:val="left"/>
        <w:rPr>
          <w:rFonts w:hint="eastAsia" w:ascii="仿宋" w:hAnsi="仿宋" w:eastAsia="仿宋" w:cs="仿宋"/>
          <w:color w:val="auto"/>
          <w:sz w:val="24"/>
          <w:highlight w:val="none"/>
        </w:rPr>
      </w:pPr>
      <w:r>
        <w:rPr>
          <w:rFonts w:hint="eastAsia" w:ascii="仿宋" w:hAnsi="仿宋" w:eastAsia="仿宋" w:cs="仿宋"/>
          <w:color w:val="auto"/>
          <w:sz w:val="24"/>
          <w:szCs w:val="28"/>
          <w:highlight w:val="none"/>
        </w:rPr>
        <w:t>二、</w:t>
      </w:r>
      <w:bookmarkEnd w:id="200"/>
      <w:r>
        <w:rPr>
          <w:rFonts w:hint="eastAsia" w:ascii="仿宋" w:hAnsi="仿宋" w:eastAsia="仿宋" w:cs="仿宋"/>
          <w:b/>
          <w:color w:val="auto"/>
          <w:sz w:val="24"/>
          <w:szCs w:val="28"/>
          <w:highlight w:val="none"/>
        </w:rPr>
        <w:t>合同履行期限及地点</w:t>
      </w:r>
    </w:p>
    <w:p w14:paraId="69424114">
      <w:pPr>
        <w:spacing w:line="360" w:lineRule="auto"/>
        <w:ind w:firstLine="482"/>
        <w:rPr>
          <w:rFonts w:hint="eastAsia" w:ascii="仿宋" w:hAnsi="仿宋" w:eastAsia="仿宋" w:cs="仿宋"/>
          <w:bCs/>
          <w:color w:val="auto"/>
          <w:sz w:val="24"/>
          <w:szCs w:val="32"/>
          <w:highlight w:val="none"/>
        </w:rPr>
      </w:pPr>
      <w:r>
        <w:rPr>
          <w:rFonts w:hint="eastAsia" w:ascii="仿宋" w:hAnsi="仿宋" w:eastAsia="仿宋" w:cs="仿宋"/>
          <w:bCs/>
          <w:color w:val="auto"/>
          <w:sz w:val="24"/>
          <w:szCs w:val="32"/>
          <w:highlight w:val="none"/>
        </w:rPr>
        <w:t>服务期：以自然资源部、江苏省自然资源厅、宿迁市自然资源和规划局进度要求开展工作，按时报送合格成果，所有图斑均通过整改并完成销号后，将工作成果按要求移交采购人接收后服务截止。</w:t>
      </w:r>
    </w:p>
    <w:p w14:paraId="2FC5620D">
      <w:pPr>
        <w:spacing w:line="360" w:lineRule="auto"/>
        <w:ind w:firstLine="482"/>
        <w:rPr>
          <w:rFonts w:hint="eastAsia" w:ascii="仿宋" w:hAnsi="仿宋" w:eastAsia="仿宋" w:cs="仿宋"/>
          <w:bCs/>
          <w:color w:val="auto"/>
          <w:sz w:val="24"/>
          <w:szCs w:val="32"/>
          <w:highlight w:val="none"/>
        </w:rPr>
      </w:pPr>
      <w:r>
        <w:rPr>
          <w:rFonts w:hint="eastAsia" w:ascii="仿宋" w:hAnsi="仿宋" w:eastAsia="仿宋" w:cs="仿宋"/>
          <w:bCs/>
          <w:color w:val="auto"/>
          <w:sz w:val="24"/>
          <w:szCs w:val="32"/>
          <w:highlight w:val="none"/>
        </w:rPr>
        <w:t>服务地点：宿迁市，具体由采购人指定。</w:t>
      </w:r>
    </w:p>
    <w:p w14:paraId="40777ADD">
      <w:pPr>
        <w:spacing w:line="360" w:lineRule="auto"/>
        <w:ind w:firstLine="482"/>
        <w:rPr>
          <w:rFonts w:hint="eastAsia" w:ascii="仿宋" w:hAnsi="仿宋" w:eastAsia="仿宋" w:cs="仿宋"/>
          <w:bCs/>
          <w:color w:val="auto"/>
          <w:sz w:val="24"/>
          <w:szCs w:val="32"/>
          <w:highlight w:val="none"/>
        </w:rPr>
      </w:pPr>
      <w:r>
        <w:rPr>
          <w:rFonts w:hint="eastAsia" w:ascii="仿宋" w:hAnsi="仿宋" w:eastAsia="仿宋" w:cs="仿宋"/>
          <w:bCs/>
          <w:color w:val="auto"/>
          <w:sz w:val="24"/>
          <w:szCs w:val="32"/>
          <w:highlight w:val="none"/>
        </w:rPr>
        <w:t>质量要求：成果资料需符合相关规范、符合宿迁市自然资源和规划局宿城分局有关要求。</w:t>
      </w:r>
    </w:p>
    <w:p w14:paraId="7E254A80">
      <w:pPr>
        <w:spacing w:line="360" w:lineRule="auto"/>
        <w:ind w:firstLine="482"/>
        <w:rPr>
          <w:rFonts w:hint="eastAsia" w:ascii="仿宋" w:hAnsi="仿宋" w:eastAsia="仿宋" w:cs="仿宋"/>
          <w:b/>
          <w:color w:val="auto"/>
          <w:sz w:val="24"/>
          <w:szCs w:val="28"/>
          <w:highlight w:val="none"/>
        </w:rPr>
      </w:pPr>
      <w:r>
        <w:rPr>
          <w:rFonts w:hint="eastAsia" w:ascii="仿宋" w:hAnsi="仿宋" w:eastAsia="仿宋" w:cs="仿宋"/>
          <w:b/>
          <w:color w:val="auto"/>
          <w:sz w:val="24"/>
          <w:szCs w:val="28"/>
          <w:highlight w:val="none"/>
        </w:rPr>
        <w:t>三、付款方式</w:t>
      </w:r>
    </w:p>
    <w:p w14:paraId="1D5FBAFB">
      <w:pPr>
        <w:widowControl w:val="0"/>
        <w:autoSpaceDE w:val="0"/>
        <w:autoSpaceDN w:val="0"/>
        <w:spacing w:line="360" w:lineRule="auto"/>
        <w:ind w:firstLine="482"/>
        <w:rPr>
          <w:rFonts w:hint="eastAsia" w:ascii="仿宋" w:hAnsi="仿宋" w:eastAsia="仿宋" w:cs="仿宋"/>
          <w:bCs/>
          <w:color w:val="auto"/>
          <w:sz w:val="24"/>
          <w:szCs w:val="32"/>
          <w:highlight w:val="none"/>
          <w:lang w:val="zh-CN" w:eastAsia="zh-CN" w:bidi="ar-SA"/>
        </w:rPr>
      </w:pPr>
      <w:r>
        <w:rPr>
          <w:rFonts w:hint="eastAsia" w:ascii="仿宋" w:hAnsi="仿宋" w:eastAsia="仿宋" w:cs="仿宋"/>
          <w:bCs/>
          <w:color w:val="auto"/>
          <w:sz w:val="24"/>
          <w:szCs w:val="32"/>
          <w:highlight w:val="none"/>
          <w:lang w:val="zh-CN" w:eastAsia="zh-CN" w:bidi="ar-SA"/>
        </w:rPr>
        <w:t>对于满足合同约定支付条件的，自收到发票后10个工作日内将资金支付到合同约定的供应商账户或供应商数字人民币账户。</w:t>
      </w:r>
    </w:p>
    <w:p w14:paraId="00F574AA">
      <w:pPr>
        <w:widowControl w:val="0"/>
        <w:autoSpaceDE w:val="0"/>
        <w:autoSpaceDN w:val="0"/>
        <w:spacing w:line="360" w:lineRule="auto"/>
        <w:ind w:firstLine="482"/>
        <w:rPr>
          <w:rFonts w:hint="eastAsia" w:ascii="仿宋" w:hAnsi="仿宋" w:eastAsia="仿宋" w:cs="仿宋"/>
          <w:bCs/>
          <w:color w:val="auto"/>
          <w:sz w:val="24"/>
          <w:szCs w:val="32"/>
          <w:highlight w:val="none"/>
          <w:lang w:val="zh-CN" w:eastAsia="zh-CN" w:bidi="ar-SA"/>
        </w:rPr>
      </w:pPr>
      <w:r>
        <w:rPr>
          <w:rFonts w:hint="eastAsia" w:ascii="仿宋" w:hAnsi="仿宋" w:eastAsia="仿宋" w:cs="仿宋"/>
          <w:bCs/>
          <w:color w:val="auto"/>
          <w:sz w:val="24"/>
          <w:szCs w:val="32"/>
          <w:highlight w:val="none"/>
          <w:lang w:val="zh-CN" w:eastAsia="zh-CN" w:bidi="ar-SA"/>
        </w:rPr>
        <w:t>（1）合同签订且采购人收到成交供应商发票后10个工作日内，支付合同价款的10%作为预付款；</w:t>
      </w:r>
    </w:p>
    <w:p w14:paraId="3F312234">
      <w:pPr>
        <w:widowControl w:val="0"/>
        <w:autoSpaceDE w:val="0"/>
        <w:autoSpaceDN w:val="0"/>
        <w:spacing w:line="360" w:lineRule="auto"/>
        <w:ind w:firstLine="482"/>
        <w:rPr>
          <w:rFonts w:hint="eastAsia" w:ascii="仿宋" w:hAnsi="仿宋" w:eastAsia="仿宋" w:cs="仿宋"/>
          <w:bCs/>
          <w:color w:val="auto"/>
          <w:sz w:val="24"/>
          <w:szCs w:val="32"/>
          <w:highlight w:val="none"/>
          <w:lang w:val="zh-CN" w:eastAsia="zh-CN" w:bidi="ar-SA"/>
        </w:rPr>
      </w:pPr>
      <w:r>
        <w:rPr>
          <w:rFonts w:hint="eastAsia" w:ascii="仿宋" w:hAnsi="仿宋" w:eastAsia="仿宋" w:cs="仿宋"/>
          <w:bCs/>
          <w:color w:val="auto"/>
          <w:sz w:val="24"/>
          <w:szCs w:val="32"/>
          <w:highlight w:val="none"/>
          <w:lang w:val="zh-CN" w:eastAsia="zh-CN" w:bidi="ar-SA"/>
        </w:rPr>
        <w:t>（2）完成宿城区乱占耕地建非住宅类房屋前期勘测定界、摸底调查，在系统内完成信息核对后且收到供应商发票后10个工作日内，</w:t>
      </w:r>
      <w:r>
        <w:rPr>
          <w:rFonts w:hint="eastAsia" w:ascii="仿宋" w:hAnsi="仿宋" w:eastAsia="仿宋" w:cs="仿宋"/>
          <w:bCs/>
          <w:color w:val="auto"/>
          <w:sz w:val="24"/>
          <w:szCs w:val="32"/>
          <w:highlight w:val="none"/>
          <w:lang w:val="en-US" w:eastAsia="zh-CN" w:bidi="ar-SA"/>
        </w:rPr>
        <w:t>支付</w:t>
      </w:r>
      <w:r>
        <w:rPr>
          <w:rFonts w:hint="eastAsia" w:ascii="仿宋" w:hAnsi="仿宋" w:eastAsia="仿宋" w:cs="仿宋"/>
          <w:bCs/>
          <w:color w:val="auto"/>
          <w:sz w:val="24"/>
          <w:szCs w:val="32"/>
          <w:highlight w:val="none"/>
          <w:lang w:val="zh-CN" w:eastAsia="zh-CN" w:bidi="ar-SA"/>
        </w:rPr>
        <w:t>合同价款的30%；</w:t>
      </w:r>
    </w:p>
    <w:p w14:paraId="1B878CE0">
      <w:pPr>
        <w:widowControl w:val="0"/>
        <w:autoSpaceDE w:val="0"/>
        <w:autoSpaceDN w:val="0"/>
        <w:spacing w:line="360" w:lineRule="auto"/>
        <w:ind w:firstLine="482"/>
        <w:rPr>
          <w:rFonts w:hint="eastAsia" w:ascii="仿宋" w:hAnsi="仿宋" w:eastAsia="仿宋" w:cs="仿宋"/>
          <w:bCs/>
          <w:color w:val="auto"/>
          <w:sz w:val="24"/>
          <w:szCs w:val="32"/>
          <w:highlight w:val="none"/>
          <w:lang w:val="zh-CN" w:eastAsia="zh-CN" w:bidi="ar-SA"/>
        </w:rPr>
      </w:pPr>
      <w:r>
        <w:rPr>
          <w:rFonts w:hint="eastAsia" w:ascii="仿宋" w:hAnsi="仿宋" w:eastAsia="仿宋" w:cs="仿宋"/>
          <w:bCs/>
          <w:color w:val="auto"/>
          <w:sz w:val="24"/>
          <w:szCs w:val="32"/>
          <w:highlight w:val="none"/>
          <w:lang w:val="zh-CN" w:eastAsia="zh-CN" w:bidi="ar-SA"/>
        </w:rPr>
        <w:t>（3）完成宿城区非住宅类房屋处置工作系统处置填报且收到供应商发票后10个工作日内，</w:t>
      </w:r>
      <w:r>
        <w:rPr>
          <w:rFonts w:hint="eastAsia" w:ascii="仿宋" w:hAnsi="仿宋" w:eastAsia="仿宋" w:cs="仿宋"/>
          <w:bCs/>
          <w:color w:val="auto"/>
          <w:sz w:val="24"/>
          <w:szCs w:val="32"/>
          <w:highlight w:val="none"/>
          <w:lang w:val="en-US" w:eastAsia="zh-CN" w:bidi="ar-SA"/>
        </w:rPr>
        <w:t>支付</w:t>
      </w:r>
      <w:r>
        <w:rPr>
          <w:rFonts w:hint="eastAsia" w:ascii="仿宋" w:hAnsi="仿宋" w:eastAsia="仿宋" w:cs="仿宋"/>
          <w:bCs/>
          <w:color w:val="auto"/>
          <w:sz w:val="24"/>
          <w:szCs w:val="32"/>
          <w:highlight w:val="none"/>
          <w:lang w:val="zh-CN" w:eastAsia="zh-CN" w:bidi="ar-SA"/>
        </w:rPr>
        <w:t>合同价款的40%；</w:t>
      </w:r>
    </w:p>
    <w:p w14:paraId="0C15FBC5">
      <w:pPr>
        <w:widowControl w:val="0"/>
        <w:autoSpaceDE w:val="0"/>
        <w:autoSpaceDN w:val="0"/>
        <w:spacing w:line="360" w:lineRule="auto"/>
        <w:ind w:firstLine="482"/>
        <w:rPr>
          <w:rFonts w:hint="eastAsia" w:ascii="仿宋" w:hAnsi="仿宋" w:eastAsia="仿宋" w:cs="仿宋"/>
          <w:bCs/>
          <w:color w:val="auto"/>
          <w:sz w:val="24"/>
          <w:szCs w:val="32"/>
          <w:highlight w:val="none"/>
          <w:lang w:val="zh-CN" w:eastAsia="zh-CN" w:bidi="ar-SA"/>
        </w:rPr>
      </w:pPr>
      <w:r>
        <w:rPr>
          <w:rFonts w:hint="eastAsia" w:ascii="仿宋" w:hAnsi="仿宋" w:eastAsia="仿宋" w:cs="仿宋"/>
          <w:bCs/>
          <w:color w:val="auto"/>
          <w:sz w:val="24"/>
          <w:szCs w:val="32"/>
          <w:highlight w:val="none"/>
          <w:lang w:val="zh-CN" w:eastAsia="zh-CN" w:bidi="ar-SA"/>
        </w:rPr>
        <w:t>（4）完成全部成果，系统销号省级审核通过并完成资料移交后且收到供应商发票后10个工作日内，付清余款。</w:t>
      </w:r>
    </w:p>
    <w:p w14:paraId="506826CD">
      <w:pPr>
        <w:widowControl w:val="0"/>
        <w:autoSpaceDE w:val="0"/>
        <w:autoSpaceDN w:val="0"/>
        <w:spacing w:line="360" w:lineRule="auto"/>
        <w:ind w:firstLine="482"/>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注：在签订合同时，成交人明确表示无需预付款或者主动要求降低预付款比例的金额，采购人可不适用预付款规定。</w:t>
      </w:r>
    </w:p>
    <w:p w14:paraId="7E1BE2E3">
      <w:pPr>
        <w:pStyle w:val="391"/>
        <w:spacing w:line="360" w:lineRule="auto"/>
        <w:ind w:firstLine="482"/>
        <w:rPr>
          <w:rFonts w:hint="eastAsia" w:ascii="仿宋" w:hAnsi="仿宋" w:eastAsia="仿宋" w:cs="仿宋"/>
          <w:b/>
          <w:color w:val="auto"/>
          <w:highlight w:val="none"/>
        </w:rPr>
      </w:pPr>
      <w:r>
        <w:rPr>
          <w:rFonts w:hint="eastAsia" w:ascii="仿宋" w:hAnsi="仿宋" w:eastAsia="仿宋" w:cs="仿宋"/>
          <w:b/>
          <w:color w:val="auto"/>
          <w:highlight w:val="none"/>
        </w:rPr>
        <w:t>四、服务内容</w:t>
      </w:r>
    </w:p>
    <w:p w14:paraId="1A9EBA49">
      <w:pPr>
        <w:spacing w:line="360" w:lineRule="auto"/>
        <w:ind w:firstLine="482"/>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（一）内业预处理与底图制作</w:t>
      </w:r>
    </w:p>
    <w:p w14:paraId="1FFFB592">
      <w:pPr>
        <w:spacing w:line="360" w:lineRule="auto"/>
        <w:ind w:firstLine="482"/>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收集整理基础数据：自然资源部下发图斑矢量数据、国土空间规划（永久基本农田、耕地保护红线、生态保护红线、生态管控区、自然保护地等）、土地利用现状、卫星遥感影像、不动产登记、用地审批等资料，建立项目数据库。</w:t>
      </w:r>
    </w:p>
    <w:p w14:paraId="280F7888">
      <w:pPr>
        <w:spacing w:line="360" w:lineRule="auto"/>
        <w:ind w:firstLine="482"/>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图斑套合分析：将图斑与国土空间规划、耕地红线、土地利用现状等图层精准套合，判定图斑占用耕地类型、规划符合性、权属性质，标注疑似问题、边界不清图斑，形成内业初步研判台账。</w:t>
      </w:r>
    </w:p>
    <w:p w14:paraId="083294A4">
      <w:pPr>
        <w:spacing w:line="360" w:lineRule="auto"/>
        <w:ind w:firstLine="482"/>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外业底图制作：按规范制作单宗图斑外业核查底图，包含图斑位置、边界、编号、现状地类、规划地类、周边地形地貌等信息，满足外业实地核查需求。</w:t>
      </w:r>
    </w:p>
    <w:p w14:paraId="43C30F73">
      <w:pPr>
        <w:spacing w:line="360" w:lineRule="auto"/>
        <w:ind w:firstLine="482"/>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（二）外业实地核查与精准测绘</w:t>
      </w:r>
    </w:p>
    <w:p w14:paraId="065A2AB7">
      <w:pPr>
        <w:spacing w:line="360" w:lineRule="auto"/>
        <w:ind w:firstLine="482"/>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逐宗实地查勘：组织专业技术人员赴现场，核实图斑位置、范围、房屋结构、建成年代、用途、占地面积、建筑面积、耕地占用面积、权属人信息、是否存在合法用地手续等关键信息，填写《非住宅类乱占耕地建房图斑核查表》，做到“一斑一表”。</w:t>
      </w:r>
    </w:p>
    <w:p w14:paraId="4BA4BD5C">
      <w:pPr>
        <w:spacing w:line="360" w:lineRule="auto"/>
        <w:ind w:firstLine="482"/>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现状影像采集：拍摄图斑全景、房屋正面、侧面、内部、耕地占用边界、周边环境等多角度高清照片，照片命名规范（含图斑编号、拍摄时间、点位），确保影像可追溯、可复核。</w:t>
      </w:r>
    </w:p>
    <w:p w14:paraId="3432A400">
      <w:pPr>
        <w:spacing w:line="360" w:lineRule="auto"/>
        <w:ind w:firstLine="482"/>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精准测绘作业：对重点区域、疑似违法、边界不清、拆除复耕类图斑，使用RTK/GNSS设备采集地块边界坐标或利用高精度影像进行解译，精准测算耕地占用面积、房屋占地面积；绘制宗地图、现状图，标注坐标、面积、地类等核心要素。</w:t>
      </w:r>
    </w:p>
    <w:p w14:paraId="4B1880A5">
      <w:pPr>
        <w:spacing w:line="360" w:lineRule="auto"/>
        <w:ind w:firstLine="482"/>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信息补充核实：核实是否存在临时用地、设施农业、产业项目等合法手续，收集相关审批文件、合同、缴费凭证等材料，形成佐证资料清单。</w:t>
      </w:r>
    </w:p>
    <w:p w14:paraId="5912D5B7">
      <w:pPr>
        <w:spacing w:line="360" w:lineRule="auto"/>
        <w:ind w:firstLine="482"/>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（三）内业数据处理与研判分析</w:t>
      </w:r>
    </w:p>
    <w:p w14:paraId="4CEC0AE1">
      <w:pPr>
        <w:spacing w:line="360" w:lineRule="auto"/>
        <w:ind w:firstLine="482"/>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数据录入与校核：将外业核查信息、测绘数据、影像资料、佐证材料录入专项整治系统，建立电子台账；逐宗校核数据逻辑一致性、完整性，修正错误信息，确保数据零差错。</w:t>
      </w:r>
    </w:p>
    <w:p w14:paraId="3981660A">
      <w:pPr>
        <w:spacing w:line="360" w:lineRule="auto"/>
        <w:ind w:firstLine="482"/>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图斑性质判定：依据《土地管理法》《农村乱占耕地建非住宅类房屋整治工作方案》等政策，结合内业空间数据分析、外业核查结果，判定图斑违法类型（如未批先建、非法占地、违规改变用途等）、处置分类（拆除复耕、完善手续、过渡期监管等）。</w:t>
      </w:r>
    </w:p>
    <w:p w14:paraId="7BA146C1">
      <w:pPr>
        <w:spacing w:line="360" w:lineRule="auto"/>
        <w:ind w:firstLine="482"/>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一斑一策方案编制：逐宗分析图斑违法情节、整改可行性、政策适配性，制定针对性整改方案，明确整改方式、整改时限、责任主体、整改标准、举证要求，确保方案可操作、可落地。</w:t>
      </w:r>
    </w:p>
    <w:p w14:paraId="324CFD0C">
      <w:pPr>
        <w:spacing w:line="360" w:lineRule="auto"/>
        <w:ind w:firstLine="482"/>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规划合规性分析：分析图斑是否符合国土空间规划、耕地保护要求，明确整改后土地利用方向，为后续规划调整、用地审批提供依据。</w:t>
      </w:r>
    </w:p>
    <w:p w14:paraId="55A4224F">
      <w:pPr>
        <w:spacing w:line="360" w:lineRule="auto"/>
        <w:ind w:firstLine="482"/>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（四）整改跟踪与验收举证</w:t>
      </w:r>
    </w:p>
    <w:p w14:paraId="6AE3858D">
      <w:pPr>
        <w:spacing w:line="360" w:lineRule="auto"/>
        <w:ind w:firstLine="482"/>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整改技术指导：协助采购人督促责任主体落实整改方案，提供技术指导，解答整改过程中的政策、技术问题，确保整改按标准推进。</w:t>
      </w:r>
    </w:p>
    <w:p w14:paraId="1B5E6F13">
      <w:pPr>
        <w:spacing w:line="360" w:lineRule="auto"/>
        <w:ind w:firstLine="482"/>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整改验收核查：对完成整改的图斑开展实地验收，重点核查拆除复耕是否到位（耕地恢复质量、面积达标）、手续完善是否合规（审批材料齐全有效）、房屋用途是否合规；拍摄整改后影像，对比整改前后变化。</w:t>
      </w:r>
    </w:p>
    <w:p w14:paraId="503749FA">
      <w:pPr>
        <w:spacing w:line="360" w:lineRule="auto"/>
        <w:ind w:firstLine="482"/>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系统举证上报：按自然资源部、省/市主管部门规范，整理整改验收资料（核查表、测绘图、整改前后照片、佐证材料、验收意见等），完成专项整治系统举证、上报、核销，确保举证一次性通过，不返工。</w:t>
      </w:r>
    </w:p>
    <w:p w14:paraId="2F08433C">
      <w:pPr>
        <w:spacing w:line="360" w:lineRule="auto"/>
        <w:ind w:firstLine="482"/>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新增图斑动态处置：服务期内新增非住宅类乱占耕地建房图斑，按同等标准完成核查、测绘、研判、整改、举证全流程技术服务。</w:t>
      </w:r>
    </w:p>
    <w:p w14:paraId="6E0B17E4">
      <w:pPr>
        <w:spacing w:line="360" w:lineRule="auto"/>
        <w:ind w:firstLine="482"/>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（五）档案整理与成果编制</w:t>
      </w:r>
    </w:p>
    <w:p w14:paraId="2F1BBFFE">
      <w:pPr>
        <w:spacing w:line="360" w:lineRule="auto"/>
        <w:ind w:firstLine="482"/>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一斑一档归档：逐宗整理图斑全流程资料，含内业底图、核查表、测绘报告、影像资料、佐证材料、整改方案、验收意见、举证材料等，按“电子+纸质”双归档标准，规范装订、编号、建档，确保档案完整、可追溯。</w:t>
      </w:r>
    </w:p>
    <w:p w14:paraId="00386AF2">
      <w:pPr>
        <w:spacing w:line="360" w:lineRule="auto"/>
        <w:ind w:firstLine="482"/>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台账动态更新：建立辖区非住宅类乱占耕地建房图斑总台账、分类台账、整改台账、核销台账，实时更新数据，做到账实相符、动态可查。</w:t>
      </w:r>
    </w:p>
    <w:p w14:paraId="70ED1BE0">
      <w:pPr>
        <w:spacing w:line="360" w:lineRule="auto"/>
        <w:ind w:firstLine="482"/>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成果报告编制：服务期满后，编制《宿城区非住宅类乱占耕地建房专项整治技术服务成果报告》，内容包括项目概况、工作开展情况、核查结果分析、整改成效、存在问题、对策建议、附图附表等，确保报告数据详实、分析深入、结论明确。</w:t>
      </w:r>
    </w:p>
    <w:p w14:paraId="40F3FE05">
      <w:pPr>
        <w:spacing w:line="360" w:lineRule="auto"/>
        <w:ind w:firstLine="482"/>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成果交付：提交全套电子成果（数据库、台账、影像、报告、图件等，格式为Shp、Excel、PDF、JPG）及纸质成果（报告、档案、图件等），并按采购人要求份数装订。</w:t>
      </w:r>
    </w:p>
    <w:p w14:paraId="7538B2B6">
      <w:pPr>
        <w:spacing w:line="360" w:lineRule="auto"/>
        <w:ind w:firstLine="482"/>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（六）配合保障</w:t>
      </w:r>
    </w:p>
    <w:p w14:paraId="49D2A804">
      <w:pPr>
        <w:spacing w:line="360" w:lineRule="auto"/>
        <w:ind w:firstLine="482"/>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设备保障：自备RTK/GNSS测绘设备、无人机（可选）、笔记本电脑、打印机、作业车辆等，确保外业核查、内业处理、整改验收工作正常开展，费用包含在报价内。</w:t>
      </w:r>
    </w:p>
    <w:p w14:paraId="348D2B75">
      <w:pPr>
        <w:spacing w:line="360" w:lineRule="auto"/>
        <w:ind w:firstLine="482"/>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配合专项工作：无条件配合采购人及上级主管部门开展的专项检查、复核、督导、验收等工作，提供技术支持、资料配合、现场讲解等服务。</w:t>
      </w:r>
    </w:p>
    <w:p w14:paraId="1E709B9C">
      <w:pPr>
        <w:spacing w:line="360" w:lineRule="auto"/>
        <w:ind w:firstLine="482"/>
        <w:rPr>
          <w:rFonts w:hint="eastAsia" w:ascii="仿宋" w:hAnsi="仿宋" w:eastAsia="仿宋" w:cs="仿宋"/>
          <w:b/>
          <w:bCs/>
          <w:color w:val="auto"/>
          <w:sz w:val="24"/>
          <w:szCs w:val="32"/>
          <w:highlight w:val="none"/>
        </w:rPr>
      </w:pPr>
      <w:r>
        <w:rPr>
          <w:rFonts w:hint="eastAsia" w:ascii="仿宋" w:hAnsi="仿宋" w:eastAsia="仿宋" w:cs="仿宋"/>
          <w:b/>
          <w:bCs/>
          <w:color w:val="auto"/>
          <w:sz w:val="24"/>
          <w:szCs w:val="32"/>
          <w:highlight w:val="none"/>
        </w:rPr>
        <w:t>五、技术要求</w:t>
      </w:r>
    </w:p>
    <w:p w14:paraId="17442641">
      <w:pPr>
        <w:tabs>
          <w:tab w:val="left" w:pos="4680"/>
        </w:tabs>
        <w:spacing w:line="360" w:lineRule="auto"/>
        <w:ind w:firstLine="480"/>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本项目所有工作必须严格遵循以下国家、行业及地方标准规范（最新版本）：</w:t>
      </w:r>
    </w:p>
    <w:p w14:paraId="048653AC">
      <w:pPr>
        <w:tabs>
          <w:tab w:val="left" w:pos="4680"/>
        </w:tabs>
        <w:spacing w:line="360" w:lineRule="auto"/>
        <w:ind w:firstLine="480"/>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（1）《中华人民共和国土地管理法》；</w:t>
      </w:r>
    </w:p>
    <w:p w14:paraId="7B3FD0A8">
      <w:pPr>
        <w:tabs>
          <w:tab w:val="left" w:pos="4680"/>
        </w:tabs>
        <w:spacing w:line="360" w:lineRule="auto"/>
        <w:ind w:firstLine="480"/>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（2）《中华人民共和国测绘法》；</w:t>
      </w:r>
    </w:p>
    <w:p w14:paraId="70D7F410">
      <w:pPr>
        <w:tabs>
          <w:tab w:val="left" w:pos="4680"/>
        </w:tabs>
        <w:spacing w:line="360" w:lineRule="auto"/>
        <w:ind w:firstLine="480"/>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（3）《农村乱占耕地建房专项整治试点工作方案》（中办发〔2020〕24号）；</w:t>
      </w:r>
    </w:p>
    <w:p w14:paraId="363A4D6F">
      <w:pPr>
        <w:tabs>
          <w:tab w:val="left" w:pos="4680"/>
        </w:tabs>
        <w:spacing w:line="360" w:lineRule="auto"/>
        <w:ind w:firstLine="480"/>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（4）《中共中央办公厅国务院办公厅关于印发&lt;农村乱占耕地建非住宅类房屋整治工作方案&gt;的通知》（厅字〔2025〕28号）；</w:t>
      </w:r>
    </w:p>
    <w:p w14:paraId="39318C44">
      <w:pPr>
        <w:tabs>
          <w:tab w:val="left" w:pos="4680"/>
        </w:tabs>
        <w:spacing w:line="360" w:lineRule="auto"/>
        <w:ind w:firstLine="480"/>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（5）《自然资源部办公厅关于开展非住宅类房屋信息补充摸排等工作的通知》（自然资办函〔2022〕1718 号）；</w:t>
      </w:r>
    </w:p>
    <w:p w14:paraId="6BF1416F">
      <w:pPr>
        <w:tabs>
          <w:tab w:val="left" w:pos="4680"/>
        </w:tabs>
        <w:spacing w:line="360" w:lineRule="auto"/>
        <w:ind w:firstLine="480"/>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（6）《土地利用现状分类》（GB/T 21010-2017）；</w:t>
      </w:r>
    </w:p>
    <w:p w14:paraId="4D8F08C5">
      <w:pPr>
        <w:tabs>
          <w:tab w:val="left" w:pos="4680"/>
        </w:tabs>
        <w:spacing w:line="360" w:lineRule="auto"/>
        <w:ind w:firstLine="480"/>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（7）《测绘成果质量检查与验收》(GB/T 24356-2023)；</w:t>
      </w:r>
    </w:p>
    <w:p w14:paraId="0118623D">
      <w:pPr>
        <w:tabs>
          <w:tab w:val="left" w:pos="4680"/>
        </w:tabs>
        <w:spacing w:line="360" w:lineRule="auto"/>
        <w:ind w:firstLine="480"/>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（8）《国土空间调查、规划、用途管制用地用海分类指南》；</w:t>
      </w:r>
    </w:p>
    <w:p w14:paraId="72974313">
      <w:pPr>
        <w:tabs>
          <w:tab w:val="left" w:pos="4680"/>
        </w:tabs>
        <w:spacing w:line="360" w:lineRule="auto"/>
        <w:ind w:firstLine="480"/>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（9）省、市、县关于农村乱占耕地建房专项整治的相关文件及技术要求。</w:t>
      </w:r>
    </w:p>
    <w:p w14:paraId="618BE741">
      <w:pPr>
        <w:tabs>
          <w:tab w:val="left" w:pos="4680"/>
        </w:tabs>
        <w:spacing w:line="360" w:lineRule="auto"/>
        <w:ind w:firstLine="480"/>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（四）成果主要指标和规格</w:t>
      </w:r>
    </w:p>
    <w:p w14:paraId="6B643C8B">
      <w:pPr>
        <w:tabs>
          <w:tab w:val="left" w:pos="4680"/>
        </w:tabs>
        <w:spacing w:line="360" w:lineRule="auto"/>
        <w:ind w:firstLine="480"/>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1）测绘基准</w:t>
      </w:r>
    </w:p>
    <w:p w14:paraId="530973FD">
      <w:pPr>
        <w:tabs>
          <w:tab w:val="left" w:pos="4680"/>
        </w:tabs>
        <w:spacing w:line="360" w:lineRule="auto"/>
        <w:ind w:firstLine="480"/>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采用2000国家大地坐标系（CGCS2000）。</w:t>
      </w:r>
    </w:p>
    <w:p w14:paraId="052FE4D1">
      <w:pPr>
        <w:tabs>
          <w:tab w:val="left" w:pos="4680"/>
        </w:tabs>
        <w:spacing w:line="360" w:lineRule="auto"/>
        <w:ind w:firstLine="480"/>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2）高程基准</w:t>
      </w:r>
    </w:p>
    <w:p w14:paraId="493C492C">
      <w:pPr>
        <w:tabs>
          <w:tab w:val="left" w:pos="4680"/>
        </w:tabs>
        <w:spacing w:line="360" w:lineRule="auto"/>
        <w:ind w:firstLine="480"/>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采用1985国家高程基准。</w:t>
      </w:r>
    </w:p>
    <w:p w14:paraId="0B14E6FA">
      <w:pPr>
        <w:tabs>
          <w:tab w:val="left" w:pos="4680"/>
        </w:tabs>
        <w:spacing w:line="360" w:lineRule="auto"/>
        <w:ind w:firstLine="480"/>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3）成图比例尺</w:t>
      </w:r>
    </w:p>
    <w:p w14:paraId="45B5C161">
      <w:pPr>
        <w:tabs>
          <w:tab w:val="left" w:pos="4680"/>
        </w:tabs>
        <w:spacing w:line="360" w:lineRule="auto"/>
        <w:ind w:firstLine="480"/>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成图比例尺1:5000。</w:t>
      </w:r>
    </w:p>
    <w:p w14:paraId="6F266EAB">
      <w:pPr>
        <w:tabs>
          <w:tab w:val="left" w:pos="4680"/>
        </w:tabs>
        <w:spacing w:line="360" w:lineRule="auto"/>
        <w:ind w:firstLine="480"/>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4）分幅及编号</w:t>
      </w:r>
    </w:p>
    <w:p w14:paraId="099FD8F5">
      <w:pPr>
        <w:tabs>
          <w:tab w:val="left" w:pos="4680"/>
        </w:tabs>
        <w:spacing w:line="360" w:lineRule="auto"/>
        <w:ind w:firstLine="480"/>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日常变更调查比例尺标准分幅及编号执行GB/T13989标准。标准分幅以国际1:1000000地图分幅为标准，各比例尺标准分幅图以经差和纬差划分，采用经、纬度分幅。标准分幅图编号均以1:1000000地形图编号为基础以行列编号方法。</w:t>
      </w:r>
    </w:p>
    <w:p w14:paraId="5D7FCE9D">
      <w:pPr>
        <w:tabs>
          <w:tab w:val="left" w:pos="4680"/>
        </w:tabs>
        <w:spacing w:line="360" w:lineRule="auto"/>
        <w:ind w:firstLine="480"/>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1:5000的土地利用现状图，以1:1000000国际标准分幅为基础，采用192×192的行列分幅编号，图幅大小为经差1′52.5〞，纬差1′15〞。</w:t>
      </w:r>
    </w:p>
    <w:p w14:paraId="7756B6DD">
      <w:pPr>
        <w:tabs>
          <w:tab w:val="left" w:pos="4680"/>
        </w:tabs>
        <w:spacing w:line="360" w:lineRule="auto"/>
        <w:ind w:firstLine="480"/>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5）计量单位</w:t>
      </w:r>
    </w:p>
    <w:p w14:paraId="7C16F437">
      <w:pPr>
        <w:tabs>
          <w:tab w:val="left" w:pos="4680"/>
        </w:tabs>
        <w:spacing w:line="360" w:lineRule="auto"/>
        <w:ind w:firstLine="480"/>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长度单位采用米（m），保留1位小数；面积计算单位采用平方米（m2），保留2位小数；面积统计汇总单位采用公顷（hm2）和亩，保留2位小数。</w:t>
      </w:r>
    </w:p>
    <w:p w14:paraId="3F005A87">
      <w:pPr>
        <w:spacing w:line="460" w:lineRule="exact"/>
        <w:ind w:firstLine="482"/>
        <w:jc w:val="left"/>
        <w:rPr>
          <w:rFonts w:hint="eastAsia" w:ascii="仿宋" w:hAnsi="仿宋" w:eastAsia="仿宋" w:cs="仿宋"/>
          <w:bCs/>
          <w:color w:val="auto"/>
          <w:kern w:val="2"/>
          <w:sz w:val="24"/>
          <w:szCs w:val="32"/>
          <w:highlight w:val="none"/>
        </w:rPr>
      </w:pPr>
      <w:r>
        <w:rPr>
          <w:rFonts w:hint="eastAsia" w:ascii="仿宋" w:hAnsi="仿宋" w:eastAsia="仿宋" w:cs="仿宋"/>
          <w:bCs/>
          <w:color w:val="auto"/>
          <w:kern w:val="2"/>
          <w:sz w:val="24"/>
          <w:szCs w:val="32"/>
          <w:highlight w:val="none"/>
        </w:rPr>
        <w:t>注：供应商根据上述要求，要充分了解相关法律、法规要求，制定项目保障方案，方案内容包括但不限于：质量问题分析及进度安排。</w:t>
      </w:r>
    </w:p>
    <w:p w14:paraId="48A0A658">
      <w:pPr>
        <w:spacing w:line="460" w:lineRule="exact"/>
        <w:ind w:firstLine="482"/>
        <w:jc w:val="left"/>
        <w:rPr>
          <w:rFonts w:hint="eastAsia" w:ascii="仿宋" w:hAnsi="仿宋" w:eastAsia="仿宋" w:cs="仿宋"/>
          <w:color w:val="auto"/>
          <w:sz w:val="28"/>
          <w:szCs w:val="28"/>
          <w:highlight w:val="none"/>
        </w:rPr>
      </w:pPr>
      <w:r>
        <w:rPr>
          <w:rFonts w:hint="eastAsia" w:ascii="仿宋" w:hAnsi="仿宋" w:eastAsia="仿宋" w:cs="仿宋"/>
          <w:b/>
          <w:bCs/>
          <w:color w:val="auto"/>
          <w:sz w:val="24"/>
          <w:szCs w:val="32"/>
          <w:highlight w:val="none"/>
        </w:rPr>
        <w:t>六、成果主要指标和规格</w:t>
      </w:r>
    </w:p>
    <w:p w14:paraId="06DD23BF">
      <w:pPr>
        <w:tabs>
          <w:tab w:val="left" w:pos="4680"/>
        </w:tabs>
        <w:spacing w:line="360" w:lineRule="auto"/>
        <w:ind w:firstLine="480"/>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（1）测绘基准</w:t>
      </w:r>
    </w:p>
    <w:p w14:paraId="70B089B0">
      <w:pPr>
        <w:tabs>
          <w:tab w:val="left" w:pos="4680"/>
        </w:tabs>
        <w:spacing w:line="360" w:lineRule="auto"/>
        <w:ind w:firstLine="480"/>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采用2000国家大地坐标系（CGCS2000）。</w:t>
      </w:r>
    </w:p>
    <w:p w14:paraId="182D620C">
      <w:pPr>
        <w:tabs>
          <w:tab w:val="left" w:pos="4680"/>
        </w:tabs>
        <w:spacing w:line="360" w:lineRule="auto"/>
        <w:ind w:firstLine="480"/>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（2）高程基准</w:t>
      </w:r>
    </w:p>
    <w:p w14:paraId="629DC352">
      <w:pPr>
        <w:tabs>
          <w:tab w:val="left" w:pos="4680"/>
        </w:tabs>
        <w:spacing w:line="360" w:lineRule="auto"/>
        <w:ind w:firstLine="480"/>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采用1985国家高程基准。</w:t>
      </w:r>
    </w:p>
    <w:p w14:paraId="2C644279">
      <w:pPr>
        <w:tabs>
          <w:tab w:val="left" w:pos="4680"/>
        </w:tabs>
        <w:spacing w:line="360" w:lineRule="auto"/>
        <w:ind w:firstLine="480"/>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（3）计量单位</w:t>
      </w:r>
    </w:p>
    <w:p w14:paraId="3EB13E9D">
      <w:pPr>
        <w:tabs>
          <w:tab w:val="left" w:pos="4680"/>
        </w:tabs>
        <w:spacing w:line="360" w:lineRule="auto"/>
        <w:ind w:firstLine="480"/>
        <w:rPr>
          <w:rFonts w:hint="eastAsia" w:ascii="仿宋" w:hAnsi="仿宋" w:eastAsia="仿宋" w:cs="仿宋"/>
          <w:bCs/>
          <w:color w:val="auto"/>
          <w:kern w:val="2"/>
          <w:sz w:val="24"/>
          <w:szCs w:val="32"/>
          <w:highlight w:val="none"/>
        </w:rPr>
      </w:pPr>
      <w:r>
        <w:rPr>
          <w:rFonts w:hint="eastAsia" w:ascii="仿宋" w:hAnsi="仿宋" w:eastAsia="仿宋" w:cs="仿宋"/>
          <w:color w:val="auto"/>
          <w:kern w:val="2"/>
          <w:sz w:val="24"/>
          <w:szCs w:val="24"/>
          <w:highlight w:val="none"/>
        </w:rPr>
        <w:t>长度单位采用米（m），保留1位小数；面积计算单位采用平方米（㎡），保留2位小数；面积统计汇总单位采用公顷（ha）和亩，保留2位小数。</w:t>
      </w:r>
    </w:p>
    <w:p w14:paraId="51F7AEF8">
      <w:pPr>
        <w:spacing w:line="360" w:lineRule="auto"/>
        <w:ind w:firstLine="482"/>
        <w:rPr>
          <w:rFonts w:hint="eastAsia" w:ascii="仿宋" w:hAnsi="仿宋" w:eastAsia="仿宋" w:cs="仿宋"/>
          <w:b/>
          <w:bCs/>
          <w:color w:val="auto"/>
          <w:sz w:val="24"/>
          <w:szCs w:val="32"/>
          <w:highlight w:val="none"/>
        </w:rPr>
      </w:pPr>
      <w:r>
        <w:rPr>
          <w:rFonts w:hint="eastAsia" w:ascii="仿宋" w:hAnsi="仿宋" w:eastAsia="仿宋" w:cs="仿宋"/>
          <w:b/>
          <w:bCs/>
          <w:color w:val="auto"/>
          <w:sz w:val="24"/>
          <w:szCs w:val="32"/>
          <w:highlight w:val="none"/>
        </w:rPr>
        <w:t>七、进度要求</w:t>
      </w:r>
    </w:p>
    <w:p w14:paraId="74C09E28">
      <w:pPr>
        <w:widowControl w:val="0"/>
        <w:spacing w:beforeAutospacing="0" w:afterAutospacing="0" w:line="480" w:lineRule="exact"/>
        <w:ind w:firstLine="480"/>
        <w:jc w:val="both"/>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bidi="ar-SA"/>
        </w:rPr>
        <w:t>以自然资源部、江苏省自然资源厅、宿迁市自然资源和规划局进度要求开展工作，按时报送合格成果，所有图斑均通过整改并完成销号后，将工作成果按要求移交采购人接收后服务截止。</w:t>
      </w:r>
    </w:p>
    <w:p w14:paraId="2833F22A">
      <w:pPr>
        <w:pStyle w:val="31"/>
        <w:spacing w:beforeAutospacing="0" w:afterAutospacing="0" w:line="480" w:lineRule="exact"/>
        <w:ind w:firstLine="480"/>
        <w:jc w:val="both"/>
        <w:rPr>
          <w:rFonts w:hint="eastAsia" w:ascii="仿宋" w:hAnsi="仿宋" w:eastAsia="仿宋" w:cs="仿宋"/>
          <w:b/>
          <w:bCs/>
          <w:color w:val="auto"/>
          <w:szCs w:val="32"/>
          <w:highlight w:val="none"/>
        </w:rPr>
      </w:pPr>
      <w:r>
        <w:rPr>
          <w:rFonts w:hint="eastAsia" w:ascii="仿宋" w:hAnsi="仿宋" w:eastAsia="仿宋" w:cs="仿宋"/>
          <w:b/>
          <w:bCs/>
          <w:color w:val="auto"/>
          <w:szCs w:val="32"/>
          <w:highlight w:val="none"/>
        </w:rPr>
        <w:t>八、成果要求</w:t>
      </w:r>
    </w:p>
    <w:p w14:paraId="5473206F">
      <w:pPr>
        <w:pStyle w:val="31"/>
        <w:spacing w:beforeAutospacing="0" w:afterAutospacing="0" w:line="480" w:lineRule="exact"/>
        <w:ind w:firstLine="480"/>
        <w:jc w:val="both"/>
        <w:rPr>
          <w:rFonts w:hint="eastAsia" w:ascii="仿宋" w:hAnsi="仿宋" w:eastAsia="仿宋" w:cs="仿宋"/>
          <w:color w:val="auto"/>
          <w:highlight w:val="none"/>
        </w:rPr>
      </w:pPr>
      <w:r>
        <w:rPr>
          <w:rFonts w:hint="eastAsia" w:ascii="仿宋" w:hAnsi="仿宋" w:eastAsia="仿宋" w:cs="仿宋"/>
          <w:color w:val="auto"/>
          <w:highlight w:val="none"/>
        </w:rPr>
        <w:t>（1）数据质量：所有数据真实、准确、完整，逻辑一致，无遗漏、无错误，通过上级主管部门核查。</w:t>
      </w:r>
    </w:p>
    <w:p w14:paraId="54AB7790">
      <w:pPr>
        <w:pStyle w:val="31"/>
        <w:spacing w:beforeAutospacing="0" w:afterAutospacing="0" w:line="480" w:lineRule="exact"/>
        <w:ind w:firstLine="480"/>
        <w:jc w:val="both"/>
        <w:rPr>
          <w:rFonts w:hint="eastAsia" w:ascii="仿宋" w:hAnsi="仿宋" w:eastAsia="仿宋" w:cs="仿宋"/>
          <w:color w:val="auto"/>
          <w:highlight w:val="none"/>
        </w:rPr>
      </w:pPr>
      <w:r>
        <w:rPr>
          <w:rFonts w:hint="eastAsia" w:ascii="仿宋" w:hAnsi="仿宋" w:eastAsia="仿宋" w:cs="仿宋"/>
          <w:color w:val="auto"/>
          <w:highlight w:val="none"/>
        </w:rPr>
        <w:t>（2）图件质量：底图、宗地图、现状图、套合图等图件清晰、规范、要素齐全，坐标精准，符合举证及归档要求。</w:t>
      </w:r>
    </w:p>
    <w:p w14:paraId="01DB2AFA">
      <w:pPr>
        <w:pStyle w:val="31"/>
        <w:spacing w:beforeAutospacing="0" w:afterAutospacing="0" w:line="480" w:lineRule="exact"/>
        <w:ind w:firstLine="480"/>
        <w:jc w:val="both"/>
        <w:rPr>
          <w:rFonts w:hint="eastAsia" w:ascii="仿宋" w:hAnsi="仿宋" w:eastAsia="仿宋" w:cs="仿宋"/>
          <w:color w:val="auto"/>
          <w:highlight w:val="none"/>
        </w:rPr>
      </w:pPr>
      <w:r>
        <w:rPr>
          <w:rFonts w:hint="eastAsia" w:ascii="仿宋" w:hAnsi="仿宋" w:eastAsia="仿宋" w:cs="仿宋"/>
          <w:color w:val="auto"/>
          <w:highlight w:val="none"/>
        </w:rPr>
        <w:t>（3）档案质量：“一斑一档” 资料齐全、分类清晰、装订规范，电子档案与纸质档案一致，可追溯、可复核。</w:t>
      </w:r>
    </w:p>
    <w:p w14:paraId="4EB5B370">
      <w:pPr>
        <w:pStyle w:val="31"/>
        <w:spacing w:beforeAutospacing="0" w:afterAutospacing="0" w:line="480" w:lineRule="exact"/>
        <w:ind w:firstLine="480"/>
        <w:jc w:val="both"/>
        <w:rPr>
          <w:rFonts w:hint="eastAsia" w:ascii="仿宋" w:hAnsi="仿宋" w:eastAsia="仿宋" w:cs="仿宋"/>
          <w:color w:val="auto"/>
          <w:highlight w:val="none"/>
        </w:rPr>
      </w:pPr>
      <w:r>
        <w:rPr>
          <w:rFonts w:hint="eastAsia" w:ascii="仿宋" w:hAnsi="仿宋" w:eastAsia="仿宋" w:cs="仿宋"/>
          <w:color w:val="auto"/>
          <w:highlight w:val="none"/>
        </w:rPr>
        <w:t>（4）服务质量：响应及时（接到采购人通知后 24 小时内到场），工作高效，整改举证一次性通过率≥95%，无重大质量问题、安全事故。</w:t>
      </w:r>
    </w:p>
    <w:p w14:paraId="67D06524">
      <w:pPr>
        <w:pStyle w:val="381"/>
        <w:spacing w:line="360" w:lineRule="auto"/>
        <w:ind w:firstLine="482"/>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32"/>
          <w:highlight w:val="none"/>
        </w:rPr>
        <w:t>九、</w:t>
      </w:r>
      <w:r>
        <w:rPr>
          <w:rFonts w:hint="eastAsia" w:ascii="仿宋" w:hAnsi="仿宋" w:eastAsia="仿宋" w:cs="仿宋"/>
          <w:b/>
          <w:bCs/>
          <w:color w:val="auto"/>
          <w:sz w:val="24"/>
          <w:szCs w:val="24"/>
          <w:highlight w:val="none"/>
        </w:rPr>
        <w:t>验收要求</w:t>
      </w:r>
    </w:p>
    <w:p w14:paraId="6DD4FEAD">
      <w:pPr>
        <w:pStyle w:val="381"/>
        <w:spacing w:line="360" w:lineRule="auto"/>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供应商提交的成果资料需符合相关规范、符合采购人有关要求，并符合自然资源部、江苏省自然资源厅、宿迁市自然资源和规划局要求，系统完成销号并归档移交视为验收合格。</w:t>
      </w:r>
    </w:p>
    <w:p w14:paraId="667D9D6C">
      <w:pPr>
        <w:pStyle w:val="381"/>
        <w:spacing w:line="360" w:lineRule="auto"/>
        <w:ind w:firstLine="480"/>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十、采购标的需实现的功能或者目标，以及为落实政府采购政策需满足的要求</w:t>
      </w:r>
      <w:r>
        <w:rPr>
          <w:rFonts w:hint="eastAsia" w:ascii="仿宋" w:hAnsi="仿宋" w:eastAsia="仿宋" w:cs="仿宋"/>
          <w:color w:val="auto"/>
          <w:sz w:val="24"/>
          <w:szCs w:val="24"/>
          <w:highlight w:val="none"/>
        </w:rPr>
        <w:t>；</w:t>
      </w:r>
    </w:p>
    <w:p w14:paraId="74A17F7E">
      <w:pPr>
        <w:pStyle w:val="381"/>
        <w:spacing w:line="360" w:lineRule="auto"/>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1.采购本国货物、工程和服务</w:t>
      </w:r>
    </w:p>
    <w:p w14:paraId="7A649637">
      <w:pPr>
        <w:pStyle w:val="381"/>
        <w:spacing w:line="360" w:lineRule="auto"/>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1.1政府采购应当采购本国货物、工程和服务，但有《中华人民共和国政府采购法》第十条规定情形的除外。</w:t>
      </w:r>
    </w:p>
    <w:p w14:paraId="0F1D6E7F">
      <w:pPr>
        <w:pStyle w:val="381"/>
        <w:spacing w:line="360" w:lineRule="auto"/>
        <w:ind w:firstLine="48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十一、其他要求</w:t>
      </w:r>
    </w:p>
    <w:p w14:paraId="2D1684D8">
      <w:pPr>
        <w:pStyle w:val="381"/>
        <w:spacing w:line="360" w:lineRule="auto"/>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1.为规范和促进本项目的正常实施和推进，供应商须针对本项目成立独立的项目组，安排足够内外业的专业技术人员参加本项目工作，并至少安排1名技术人员驻点；</w:t>
      </w:r>
    </w:p>
    <w:p w14:paraId="4BC0F4FA">
      <w:pPr>
        <w:pStyle w:val="381"/>
        <w:spacing w:line="360" w:lineRule="auto"/>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r>
        <w:rPr>
          <w:rFonts w:ascii="仿宋" w:hAnsi="仿宋" w:eastAsia="仿宋" w:cs="仿宋"/>
          <w:color w:val="auto"/>
          <w:sz w:val="24"/>
          <w:szCs w:val="24"/>
          <w:highlight w:val="none"/>
        </w:rPr>
        <w:t>根据部、省要求完成与国土变更调查相关的其他任务</w:t>
      </w:r>
      <w:r>
        <w:rPr>
          <w:rFonts w:hint="eastAsia" w:ascii="仿宋" w:hAnsi="仿宋" w:eastAsia="仿宋" w:cs="仿宋"/>
          <w:color w:val="auto"/>
          <w:sz w:val="24"/>
          <w:szCs w:val="24"/>
          <w:highlight w:val="none"/>
        </w:rPr>
        <w:t>；</w:t>
      </w:r>
    </w:p>
    <w:p w14:paraId="14D4D3ED">
      <w:pPr>
        <w:pStyle w:val="381"/>
        <w:spacing w:line="360" w:lineRule="auto"/>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根据磋商文件中的要求，编写项目实施方案，方案需包含开展工作底图制作、实地调查举证工作、城镇村庄内部土地利用现状变更调查、权属界线上图和补充调查、年度国土调查数据库更新与检查、数据汇总、变化信息提取、日常监测和集中更新、汇总建库分析、项目保障方案等各项内容。</w:t>
      </w:r>
    </w:p>
    <w:p w14:paraId="77457A7C">
      <w:pPr>
        <w:pStyle w:val="381"/>
        <w:spacing w:line="360" w:lineRule="auto"/>
        <w:ind w:firstLine="480"/>
        <w:rPr>
          <w:rFonts w:hint="eastAsia" w:ascii="仿宋" w:hAnsi="仿宋" w:eastAsia="仿宋" w:cs="仿宋"/>
          <w:color w:val="auto"/>
          <w:sz w:val="24"/>
          <w:szCs w:val="24"/>
          <w:highlight w:val="none"/>
        </w:rPr>
      </w:pPr>
    </w:p>
    <w:p w14:paraId="12B73DDC">
      <w:pPr>
        <w:pStyle w:val="381"/>
        <w:spacing w:line="360" w:lineRule="auto"/>
        <w:ind w:firstLine="480"/>
        <w:rPr>
          <w:rFonts w:hint="eastAsia" w:ascii="仿宋" w:hAnsi="仿宋" w:eastAsia="仿宋" w:cs="仿宋"/>
          <w:color w:val="auto"/>
          <w:sz w:val="24"/>
          <w:szCs w:val="24"/>
          <w:highlight w:val="none"/>
        </w:rPr>
      </w:pPr>
    </w:p>
    <w:p w14:paraId="2D903B71">
      <w:pPr>
        <w:rPr>
          <w:color w:val="auto"/>
          <w:highlight w:val="none"/>
        </w:rPr>
      </w:pPr>
    </w:p>
    <w:p w14:paraId="40DA5D0A">
      <w:pPr>
        <w:keepNext/>
        <w:spacing w:line="520" w:lineRule="exact"/>
        <w:jc w:val="center"/>
        <w:outlineLvl w:val="0"/>
        <w:rPr>
          <w:rFonts w:hint="eastAsia" w:ascii="仿宋" w:hAnsi="仿宋" w:eastAsia="仿宋" w:cs="仿宋"/>
          <w:bCs/>
          <w:color w:val="auto"/>
          <w:sz w:val="44"/>
          <w:szCs w:val="28"/>
          <w:highlight w:val="none"/>
        </w:rPr>
      </w:pPr>
      <w:r>
        <w:rPr>
          <w:rFonts w:hint="eastAsia" w:ascii="仿宋" w:hAnsi="仿宋" w:eastAsia="仿宋" w:cs="仿宋"/>
          <w:bCs/>
          <w:color w:val="auto"/>
          <w:sz w:val="44"/>
          <w:szCs w:val="28"/>
          <w:highlight w:val="none"/>
        </w:rPr>
        <w:br w:type="page" w:clear="all"/>
      </w:r>
      <w:bookmarkStart w:id="202" w:name="_Toc5975"/>
      <w:r>
        <w:rPr>
          <w:rStyle w:val="79"/>
          <w:rFonts w:hint="eastAsia" w:ascii="仿宋" w:hAnsi="仿宋" w:eastAsia="仿宋" w:cs="仿宋"/>
          <w:b/>
          <w:bCs/>
          <w:color w:val="auto"/>
          <w:highlight w:val="none"/>
        </w:rPr>
        <w:t>第五章  评审方法与评审标准</w:t>
      </w:r>
      <w:bookmarkEnd w:id="202"/>
    </w:p>
    <w:p w14:paraId="0DE4A18F">
      <w:pPr>
        <w:spacing w:line="520" w:lineRule="exact"/>
        <w:rPr>
          <w:rFonts w:hint="eastAsia" w:ascii="仿宋" w:hAnsi="仿宋" w:eastAsia="仿宋" w:cs="仿宋"/>
          <w:color w:val="auto"/>
          <w:szCs w:val="21"/>
          <w:highlight w:val="none"/>
        </w:rPr>
      </w:pPr>
    </w:p>
    <w:p w14:paraId="4C0443B7">
      <w:pPr>
        <w:spacing w:line="520" w:lineRule="exact"/>
        <w:ind w:firstLine="562"/>
        <w:jc w:val="left"/>
        <w:rPr>
          <w:rFonts w:hint="eastAsia" w:ascii="仿宋" w:hAnsi="仿宋" w:eastAsia="仿宋" w:cs="仿宋"/>
          <w:color w:val="auto"/>
          <w:sz w:val="24"/>
          <w:highlight w:val="none"/>
        </w:rPr>
      </w:pPr>
      <w:r>
        <w:rPr>
          <w:rFonts w:hint="eastAsia" w:ascii="仿宋" w:hAnsi="仿宋" w:eastAsia="仿宋" w:cs="仿宋"/>
          <w:b/>
          <w:color w:val="auto"/>
          <w:sz w:val="28"/>
          <w:highlight w:val="none"/>
        </w:rPr>
        <w:t>一、资格审查。</w:t>
      </w:r>
      <w:r>
        <w:rPr>
          <w:rFonts w:hint="eastAsia" w:ascii="仿宋" w:hAnsi="仿宋" w:eastAsia="仿宋" w:cs="仿宋"/>
          <w:color w:val="auto"/>
          <w:sz w:val="24"/>
          <w:highlight w:val="none"/>
        </w:rPr>
        <w:t>资格审查人员按照下列指标对各供应商的资格进行审查，未通过审查的为无效标，不参与评审。</w:t>
      </w:r>
    </w:p>
    <w:tbl>
      <w:tblPr>
        <w:tblStyle w:val="33"/>
        <w:tblW w:w="8876" w:type="dxa"/>
        <w:tblInd w:w="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4438"/>
        <w:gridCol w:w="4438"/>
      </w:tblGrid>
      <w:tr w14:paraId="09784B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438" w:type="dxa"/>
            <w:noWrap w:val="0"/>
            <w:vAlign w:val="center"/>
          </w:tcPr>
          <w:p w14:paraId="4770313C">
            <w:pPr>
              <w:spacing w:line="520" w:lineRule="exact"/>
              <w:jc w:val="center"/>
              <w:rPr>
                <w:rFonts w:hint="eastAsia" w:ascii="仿宋" w:hAnsi="仿宋" w:eastAsia="仿宋" w:cs="仿宋"/>
                <w:color w:val="auto"/>
                <w:highlight w:val="none"/>
              </w:rPr>
            </w:pPr>
            <w:r>
              <w:rPr>
                <w:rFonts w:hint="eastAsia" w:ascii="仿宋" w:hAnsi="仿宋" w:eastAsia="仿宋" w:cs="仿宋"/>
                <w:color w:val="auto"/>
                <w:highlight w:val="none"/>
              </w:rPr>
              <w:t>资格审查因素</w:t>
            </w:r>
          </w:p>
        </w:tc>
        <w:tc>
          <w:tcPr>
            <w:tcW w:w="4438" w:type="dxa"/>
            <w:noWrap w:val="0"/>
            <w:vAlign w:val="center"/>
          </w:tcPr>
          <w:p w14:paraId="562FA5FB">
            <w:pPr>
              <w:spacing w:line="520" w:lineRule="exact"/>
              <w:jc w:val="center"/>
              <w:rPr>
                <w:rFonts w:hint="eastAsia" w:ascii="仿宋" w:hAnsi="仿宋" w:eastAsia="仿宋" w:cs="仿宋"/>
                <w:color w:val="auto"/>
                <w:highlight w:val="none"/>
              </w:rPr>
            </w:pPr>
            <w:r>
              <w:rPr>
                <w:rFonts w:hint="eastAsia" w:ascii="仿宋" w:hAnsi="仿宋" w:eastAsia="仿宋" w:cs="仿宋"/>
                <w:color w:val="auto"/>
                <w:highlight w:val="none"/>
              </w:rPr>
              <w:t>审查标准</w:t>
            </w:r>
          </w:p>
        </w:tc>
      </w:tr>
      <w:tr w14:paraId="53033A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438" w:type="dxa"/>
            <w:noWrap w:val="0"/>
            <w:vAlign w:val="center"/>
          </w:tcPr>
          <w:p w14:paraId="2A1EC9E1">
            <w:pPr>
              <w:spacing w:line="520" w:lineRule="exact"/>
              <w:jc w:val="center"/>
              <w:rPr>
                <w:rFonts w:hint="eastAsia" w:ascii="仿宋" w:hAnsi="仿宋" w:eastAsia="仿宋" w:cs="仿宋"/>
                <w:color w:val="auto"/>
                <w:highlight w:val="none"/>
              </w:rPr>
            </w:pPr>
            <w:r>
              <w:rPr>
                <w:rFonts w:hint="eastAsia" w:ascii="仿宋" w:hAnsi="仿宋" w:eastAsia="仿宋" w:cs="仿宋"/>
                <w:color w:val="auto"/>
                <w:highlight w:val="none"/>
              </w:rPr>
              <w:t>响应声明及承诺函</w:t>
            </w:r>
          </w:p>
        </w:tc>
        <w:tc>
          <w:tcPr>
            <w:tcW w:w="4438" w:type="dxa"/>
            <w:noWrap w:val="0"/>
            <w:vAlign w:val="center"/>
          </w:tcPr>
          <w:p w14:paraId="6EDB7FFD">
            <w:pPr>
              <w:spacing w:line="520" w:lineRule="exact"/>
              <w:jc w:val="center"/>
              <w:rPr>
                <w:rFonts w:hint="eastAsia" w:ascii="仿宋" w:hAnsi="仿宋" w:eastAsia="仿宋" w:cs="仿宋"/>
                <w:color w:val="auto"/>
                <w:highlight w:val="none"/>
              </w:rPr>
            </w:pPr>
            <w:r>
              <w:rPr>
                <w:rFonts w:hint="eastAsia" w:ascii="仿宋" w:hAnsi="仿宋" w:eastAsia="仿宋" w:cs="仿宋"/>
                <w:color w:val="auto"/>
                <w:highlight w:val="none"/>
              </w:rPr>
              <w:t>符合磋商文件要求</w:t>
            </w:r>
          </w:p>
        </w:tc>
      </w:tr>
      <w:tr w14:paraId="1DA4B5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438" w:type="dxa"/>
            <w:noWrap w:val="0"/>
            <w:vAlign w:val="center"/>
          </w:tcPr>
          <w:p w14:paraId="7C6500CF">
            <w:pPr>
              <w:spacing w:line="520" w:lineRule="exact"/>
              <w:jc w:val="center"/>
              <w:rPr>
                <w:rFonts w:hint="eastAsia" w:ascii="仿宋" w:hAnsi="仿宋" w:eastAsia="仿宋" w:cs="仿宋"/>
                <w:color w:val="auto"/>
                <w:highlight w:val="none"/>
              </w:rPr>
            </w:pPr>
            <w:r>
              <w:rPr>
                <w:rFonts w:hint="eastAsia" w:ascii="仿宋" w:hAnsi="仿宋" w:eastAsia="仿宋" w:cs="仿宋"/>
                <w:color w:val="auto"/>
                <w:highlight w:val="none"/>
              </w:rPr>
              <w:t>信用信息</w:t>
            </w:r>
          </w:p>
        </w:tc>
        <w:tc>
          <w:tcPr>
            <w:tcW w:w="4438" w:type="dxa"/>
            <w:noWrap w:val="0"/>
            <w:vAlign w:val="center"/>
          </w:tcPr>
          <w:p w14:paraId="38BA9F83">
            <w:pPr>
              <w:spacing w:line="520" w:lineRule="exact"/>
              <w:jc w:val="center"/>
              <w:rPr>
                <w:rFonts w:hint="eastAsia" w:ascii="仿宋" w:hAnsi="仿宋" w:eastAsia="仿宋" w:cs="仿宋"/>
                <w:color w:val="auto"/>
                <w:highlight w:val="none"/>
              </w:rPr>
            </w:pPr>
            <w:r>
              <w:rPr>
                <w:rFonts w:hint="eastAsia" w:ascii="仿宋" w:hAnsi="仿宋" w:eastAsia="仿宋" w:cs="仿宋"/>
                <w:color w:val="auto"/>
                <w:highlight w:val="none"/>
              </w:rPr>
              <w:t>符合磋商文件要求</w:t>
            </w:r>
          </w:p>
        </w:tc>
      </w:tr>
      <w:tr w14:paraId="5663F3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438" w:type="dxa"/>
            <w:noWrap w:val="0"/>
            <w:vAlign w:val="center"/>
          </w:tcPr>
          <w:p w14:paraId="23BA1B70">
            <w:pPr>
              <w:spacing w:line="520" w:lineRule="exact"/>
              <w:jc w:val="center"/>
              <w:rPr>
                <w:rFonts w:hint="eastAsia" w:ascii="仿宋" w:hAnsi="仿宋" w:eastAsia="仿宋" w:cs="仿宋"/>
                <w:color w:val="auto"/>
                <w:highlight w:val="none"/>
              </w:rPr>
            </w:pPr>
            <w:r>
              <w:rPr>
                <w:rFonts w:hint="eastAsia" w:ascii="仿宋" w:hAnsi="仿宋" w:eastAsia="仿宋" w:cs="仿宋"/>
                <w:color w:val="auto"/>
                <w:highlight w:val="none"/>
              </w:rPr>
              <w:t>提供中小微企业声明函</w:t>
            </w:r>
          </w:p>
        </w:tc>
        <w:tc>
          <w:tcPr>
            <w:tcW w:w="4438" w:type="dxa"/>
            <w:noWrap w:val="0"/>
            <w:vAlign w:val="center"/>
          </w:tcPr>
          <w:p w14:paraId="01FE0EF3">
            <w:pPr>
              <w:spacing w:line="520" w:lineRule="exact"/>
              <w:jc w:val="center"/>
              <w:rPr>
                <w:rFonts w:hint="eastAsia" w:ascii="仿宋" w:hAnsi="仿宋" w:eastAsia="仿宋" w:cs="仿宋"/>
                <w:color w:val="auto"/>
                <w:highlight w:val="none"/>
              </w:rPr>
            </w:pPr>
            <w:r>
              <w:rPr>
                <w:rFonts w:hint="eastAsia" w:ascii="仿宋" w:hAnsi="仿宋" w:eastAsia="仿宋" w:cs="仿宋"/>
                <w:color w:val="auto"/>
                <w:highlight w:val="none"/>
              </w:rPr>
              <w:t>符合磋商文件要求</w:t>
            </w:r>
          </w:p>
        </w:tc>
      </w:tr>
      <w:tr w14:paraId="76EB9E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438" w:type="dxa"/>
            <w:noWrap w:val="0"/>
            <w:vAlign w:val="center"/>
          </w:tcPr>
          <w:p w14:paraId="61BA6294">
            <w:pPr>
              <w:spacing w:line="520" w:lineRule="exact"/>
              <w:jc w:val="center"/>
              <w:rPr>
                <w:rFonts w:hint="eastAsia" w:ascii="仿宋" w:hAnsi="仿宋" w:eastAsia="仿宋" w:cs="仿宋"/>
                <w:color w:val="auto"/>
                <w:highlight w:val="none"/>
              </w:rPr>
            </w:pPr>
            <w:r>
              <w:rPr>
                <w:rFonts w:hint="eastAsia" w:ascii="仿宋" w:hAnsi="仿宋" w:eastAsia="仿宋" w:cs="仿宋"/>
                <w:color w:val="auto"/>
                <w:highlight w:val="none"/>
              </w:rPr>
              <w:t>特定资格要求</w:t>
            </w:r>
          </w:p>
        </w:tc>
        <w:tc>
          <w:tcPr>
            <w:tcW w:w="4438" w:type="dxa"/>
            <w:noWrap w:val="0"/>
            <w:vAlign w:val="center"/>
          </w:tcPr>
          <w:p w14:paraId="4605A3DF">
            <w:pPr>
              <w:spacing w:line="520" w:lineRule="exact"/>
              <w:jc w:val="center"/>
              <w:rPr>
                <w:rFonts w:hint="eastAsia" w:ascii="仿宋" w:hAnsi="仿宋" w:eastAsia="仿宋" w:cs="仿宋"/>
                <w:color w:val="auto"/>
                <w:highlight w:val="none"/>
              </w:rPr>
            </w:pPr>
            <w:r>
              <w:rPr>
                <w:rFonts w:hint="eastAsia" w:ascii="仿宋" w:hAnsi="仿宋" w:eastAsia="仿宋" w:cs="仿宋"/>
                <w:color w:val="auto"/>
                <w:highlight w:val="none"/>
              </w:rPr>
              <w:t>符合磋商文件要求</w:t>
            </w:r>
          </w:p>
        </w:tc>
      </w:tr>
    </w:tbl>
    <w:p w14:paraId="57EF8CA7">
      <w:pPr>
        <w:spacing w:line="520" w:lineRule="exact"/>
        <w:ind w:firstLine="562"/>
        <w:jc w:val="left"/>
        <w:rPr>
          <w:rFonts w:hint="eastAsia" w:ascii="仿宋" w:hAnsi="仿宋" w:eastAsia="仿宋" w:cs="仿宋"/>
          <w:color w:val="auto"/>
          <w:sz w:val="24"/>
          <w:highlight w:val="none"/>
        </w:rPr>
      </w:pPr>
      <w:r>
        <w:rPr>
          <w:rFonts w:hint="eastAsia" w:ascii="仿宋" w:hAnsi="仿宋" w:eastAsia="仿宋" w:cs="仿宋"/>
          <w:b/>
          <w:color w:val="auto"/>
          <w:sz w:val="28"/>
          <w:highlight w:val="none"/>
        </w:rPr>
        <w:t>二、符合性审查。</w:t>
      </w:r>
      <w:r>
        <w:rPr>
          <w:rFonts w:hint="eastAsia" w:ascii="仿宋" w:hAnsi="仿宋" w:eastAsia="仿宋" w:cs="仿宋"/>
          <w:color w:val="auto"/>
          <w:sz w:val="24"/>
          <w:highlight w:val="none"/>
        </w:rPr>
        <w:t>磋商小组首先按照下列指标对各供应商进行初步评审，未通过评审的为无效标，不再参与评审。</w:t>
      </w:r>
    </w:p>
    <w:tbl>
      <w:tblPr>
        <w:tblStyle w:val="33"/>
        <w:tblW w:w="889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4453"/>
        <w:gridCol w:w="4439"/>
      </w:tblGrid>
      <w:tr w14:paraId="39A1FD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453" w:type="dxa"/>
            <w:noWrap w:val="0"/>
            <w:vAlign w:val="center"/>
          </w:tcPr>
          <w:p w14:paraId="4DA57732">
            <w:pPr>
              <w:spacing w:line="520" w:lineRule="exact"/>
              <w:jc w:val="center"/>
              <w:rPr>
                <w:rFonts w:hint="eastAsia" w:ascii="仿宋" w:hAnsi="仿宋" w:eastAsia="仿宋" w:cs="仿宋"/>
                <w:color w:val="auto"/>
                <w:highlight w:val="none"/>
              </w:rPr>
            </w:pPr>
            <w:r>
              <w:rPr>
                <w:rFonts w:hint="eastAsia" w:ascii="仿宋" w:hAnsi="仿宋" w:eastAsia="仿宋" w:cs="仿宋"/>
                <w:color w:val="auto"/>
                <w:highlight w:val="none"/>
              </w:rPr>
              <w:t>评审因素</w:t>
            </w:r>
          </w:p>
        </w:tc>
        <w:tc>
          <w:tcPr>
            <w:tcW w:w="4439" w:type="dxa"/>
            <w:noWrap w:val="0"/>
            <w:vAlign w:val="center"/>
          </w:tcPr>
          <w:p w14:paraId="76B017B5">
            <w:pPr>
              <w:spacing w:line="520" w:lineRule="exact"/>
              <w:jc w:val="center"/>
              <w:rPr>
                <w:rFonts w:hint="eastAsia" w:ascii="仿宋" w:hAnsi="仿宋" w:eastAsia="仿宋" w:cs="仿宋"/>
                <w:color w:val="auto"/>
                <w:highlight w:val="none"/>
              </w:rPr>
            </w:pPr>
            <w:r>
              <w:rPr>
                <w:rFonts w:hint="eastAsia" w:ascii="仿宋" w:hAnsi="仿宋" w:eastAsia="仿宋" w:cs="仿宋"/>
                <w:color w:val="auto"/>
                <w:highlight w:val="none"/>
              </w:rPr>
              <w:t>评审标准</w:t>
            </w:r>
          </w:p>
        </w:tc>
      </w:tr>
      <w:tr w14:paraId="0D8EBA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453" w:type="dxa"/>
            <w:noWrap w:val="0"/>
            <w:vAlign w:val="center"/>
          </w:tcPr>
          <w:p w14:paraId="23891A42">
            <w:pPr>
              <w:spacing w:line="520" w:lineRule="exact"/>
              <w:jc w:val="center"/>
              <w:rPr>
                <w:rFonts w:hint="eastAsia" w:ascii="仿宋" w:hAnsi="仿宋" w:eastAsia="仿宋" w:cs="仿宋"/>
                <w:color w:val="auto"/>
                <w:highlight w:val="none"/>
              </w:rPr>
            </w:pPr>
            <w:r>
              <w:rPr>
                <w:rFonts w:hint="eastAsia" w:ascii="仿宋" w:hAnsi="仿宋" w:eastAsia="仿宋" w:cs="仿宋"/>
                <w:color w:val="auto"/>
                <w:highlight w:val="none"/>
              </w:rPr>
              <w:t>法定代表人身份证明或授权委托书</w:t>
            </w:r>
          </w:p>
        </w:tc>
        <w:tc>
          <w:tcPr>
            <w:tcW w:w="4439" w:type="dxa"/>
            <w:noWrap w:val="0"/>
            <w:vAlign w:val="center"/>
          </w:tcPr>
          <w:p w14:paraId="072FC884">
            <w:pPr>
              <w:spacing w:line="520" w:lineRule="exact"/>
              <w:jc w:val="center"/>
              <w:rPr>
                <w:rFonts w:hint="eastAsia" w:ascii="仿宋" w:hAnsi="仿宋" w:eastAsia="仿宋" w:cs="仿宋"/>
                <w:color w:val="auto"/>
                <w:highlight w:val="none"/>
              </w:rPr>
            </w:pPr>
            <w:r>
              <w:rPr>
                <w:rFonts w:hint="eastAsia" w:ascii="仿宋" w:hAnsi="仿宋" w:eastAsia="仿宋" w:cs="仿宋"/>
                <w:color w:val="auto"/>
                <w:highlight w:val="none"/>
              </w:rPr>
              <w:t>符合磋商文件要求</w:t>
            </w:r>
          </w:p>
        </w:tc>
      </w:tr>
      <w:tr w14:paraId="121209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453" w:type="dxa"/>
            <w:noWrap w:val="0"/>
            <w:vAlign w:val="center"/>
          </w:tcPr>
          <w:p w14:paraId="6A139DD7">
            <w:pPr>
              <w:spacing w:line="520" w:lineRule="exact"/>
              <w:jc w:val="center"/>
              <w:rPr>
                <w:rFonts w:hint="eastAsia" w:ascii="仿宋" w:hAnsi="仿宋" w:eastAsia="仿宋" w:cs="仿宋"/>
                <w:color w:val="auto"/>
                <w:highlight w:val="none"/>
              </w:rPr>
            </w:pPr>
            <w:r>
              <w:rPr>
                <w:rFonts w:hint="eastAsia" w:ascii="仿宋" w:hAnsi="仿宋" w:eastAsia="仿宋" w:cs="仿宋"/>
                <w:color w:val="auto"/>
                <w:highlight w:val="none"/>
              </w:rPr>
              <w:t>其他</w:t>
            </w:r>
          </w:p>
        </w:tc>
        <w:tc>
          <w:tcPr>
            <w:tcW w:w="4439" w:type="dxa"/>
            <w:noWrap w:val="0"/>
            <w:vAlign w:val="center"/>
          </w:tcPr>
          <w:p w14:paraId="5D908544">
            <w:pPr>
              <w:spacing w:line="520" w:lineRule="exact"/>
              <w:jc w:val="center"/>
              <w:rPr>
                <w:rFonts w:hint="eastAsia" w:ascii="仿宋" w:hAnsi="仿宋" w:eastAsia="仿宋" w:cs="仿宋"/>
                <w:color w:val="auto"/>
                <w:highlight w:val="none"/>
              </w:rPr>
            </w:pPr>
            <w:r>
              <w:rPr>
                <w:rFonts w:hint="eastAsia" w:ascii="仿宋" w:hAnsi="仿宋" w:eastAsia="仿宋" w:cs="仿宋"/>
                <w:color w:val="auto"/>
                <w:highlight w:val="none"/>
              </w:rPr>
              <w:t>符合磋商文件要求</w:t>
            </w:r>
          </w:p>
        </w:tc>
      </w:tr>
    </w:tbl>
    <w:p w14:paraId="3140DBF8">
      <w:pPr>
        <w:spacing w:line="520" w:lineRule="exact"/>
        <w:ind w:firstLine="562"/>
        <w:rPr>
          <w:rFonts w:hint="eastAsia" w:ascii="仿宋" w:hAnsi="仿宋" w:eastAsia="仿宋" w:cs="仿宋"/>
          <w:b/>
          <w:color w:val="auto"/>
          <w:sz w:val="28"/>
          <w:highlight w:val="none"/>
        </w:rPr>
      </w:pPr>
      <w:r>
        <w:rPr>
          <w:rFonts w:hint="eastAsia" w:ascii="仿宋" w:hAnsi="仿宋" w:eastAsia="仿宋" w:cs="仿宋"/>
          <w:b/>
          <w:color w:val="auto"/>
          <w:sz w:val="28"/>
          <w:highlight w:val="none"/>
        </w:rPr>
        <w:t>三、评分办法—综合评分法</w:t>
      </w:r>
    </w:p>
    <w:p w14:paraId="05D767C0">
      <w:pPr>
        <w:spacing w:line="520" w:lineRule="exact"/>
        <w:ind w:firstLine="482"/>
        <w:jc w:val="left"/>
        <w:rPr>
          <w:rFonts w:hint="eastAsia" w:ascii="仿宋" w:hAnsi="仿宋" w:eastAsia="仿宋" w:cs="仿宋"/>
          <w:color w:val="auto"/>
          <w:sz w:val="24"/>
          <w:highlight w:val="none"/>
        </w:rPr>
      </w:pPr>
      <w:r>
        <w:rPr>
          <w:rFonts w:hint="eastAsia" w:ascii="仿宋" w:hAnsi="仿宋" w:eastAsia="仿宋" w:cs="仿宋"/>
          <w:b/>
          <w:color w:val="auto"/>
          <w:sz w:val="24"/>
          <w:highlight w:val="none"/>
        </w:rPr>
        <w:t>（一）评标办法：</w:t>
      </w:r>
      <w:r>
        <w:rPr>
          <w:rFonts w:hint="eastAsia" w:ascii="仿宋" w:hAnsi="仿宋" w:eastAsia="仿宋" w:cs="仿宋"/>
          <w:color w:val="auto"/>
          <w:sz w:val="24"/>
          <w:highlight w:val="none"/>
        </w:rPr>
        <w:t>本次评审采用综合评分法，磋商小组成员根据磋商文件规定进行独立评审，对需要共同认定的客观分存在争议的，应当按照少数服从多数的原则作出结论。持不同意见的磋商小组成员应当在评审报告上签署不同意见及理由，否则视为同意评审报告。评审过程中，不得去掉报价中的最高报价和最低报价。因落实政府采购政策进行价格调整的，以调整后的价格计算磋商基准价和最后磋商报价。本次评审按得分高低顺序推荐成交候选人。得分相同的，按报价从低到高顺序排列；得分且报价相同的，按技术指标优劣顺序排列。</w:t>
      </w:r>
    </w:p>
    <w:p w14:paraId="5E378B20">
      <w:pPr>
        <w:spacing w:line="520" w:lineRule="exact"/>
        <w:ind w:firstLine="48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磋商小组根据评审后供应商排序推荐3名成交候选人。响应文件满足磋商文件全部实质性要求，且评审后排序第一的供应商为第一成交候选人，依次类推。</w:t>
      </w:r>
    </w:p>
    <w:p w14:paraId="71F0A2F5">
      <w:pPr>
        <w:spacing w:line="520" w:lineRule="exact"/>
        <w:ind w:firstLine="48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综合评分保留至小数点后两位。 </w:t>
      </w:r>
    </w:p>
    <w:p w14:paraId="1901CB55">
      <w:pPr>
        <w:spacing w:line="520" w:lineRule="exact"/>
        <w:ind w:firstLine="482"/>
        <w:jc w:val="lef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（二）详细评审。</w:t>
      </w:r>
      <w:r>
        <w:rPr>
          <w:rFonts w:hint="eastAsia" w:ascii="仿宋" w:hAnsi="仿宋" w:eastAsia="仿宋" w:cs="仿宋"/>
          <w:color w:val="auto"/>
          <w:sz w:val="24"/>
          <w:highlight w:val="none"/>
        </w:rPr>
        <w:t>磋商小组按照竞争性磋商文件规定的评分标准，对各响应文件进行详细评审打分。磋商小组组长对各评审专家的打分情况进行复核无误后汇总。</w:t>
      </w:r>
    </w:p>
    <w:tbl>
      <w:tblPr>
        <w:tblStyle w:val="33"/>
        <w:tblW w:w="5090" w:type="pct"/>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top w:w="0" w:type="dxa"/>
          <w:left w:w="0" w:type="dxa"/>
          <w:bottom w:w="0" w:type="dxa"/>
          <w:right w:w="0" w:type="dxa"/>
        </w:tblCellMar>
      </w:tblPr>
      <w:tblGrid>
        <w:gridCol w:w="1266"/>
        <w:gridCol w:w="1274"/>
        <w:gridCol w:w="997"/>
        <w:gridCol w:w="4935"/>
      </w:tblGrid>
      <w:tr w14:paraId="228E6F47">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rPr>
          <w:trHeight w:val="335" w:hRule="atLeast"/>
        </w:trPr>
        <w:tc>
          <w:tcPr>
            <w:tcW w:w="1499" w:type="pct"/>
            <w:gridSpan w:val="2"/>
            <w:tcBorders>
              <w:top w:val="single" w:color="auto" w:sz="6" w:space="0"/>
              <w:left w:val="single" w:color="auto" w:sz="6" w:space="0"/>
              <w:bottom w:val="single" w:color="auto" w:sz="6" w:space="0"/>
              <w:right w:val="single" w:color="auto" w:sz="6" w:space="0"/>
            </w:tcBorders>
            <w:noWrap w:val="0"/>
            <w:vAlign w:val="center"/>
          </w:tcPr>
          <w:p w14:paraId="0FB8FA9C">
            <w:pPr>
              <w:jc w:val="center"/>
              <w:rPr>
                <w:rFonts w:hint="eastAsia" w:ascii="仿宋" w:hAnsi="仿宋" w:eastAsia="仿宋" w:cs="仿宋"/>
                <w:color w:val="auto"/>
                <w:kern w:val="2"/>
                <w:sz w:val="24"/>
                <w:szCs w:val="24"/>
                <w:highlight w:val="none"/>
              </w:rPr>
            </w:pPr>
            <w:bookmarkStart w:id="203" w:name="EB9fc9bd0651534134824972d053d71a11"/>
            <w:r>
              <w:rPr>
                <w:rFonts w:hint="eastAsia" w:ascii="仿宋" w:hAnsi="仿宋" w:eastAsia="仿宋" w:cs="仿宋"/>
                <w:color w:val="auto"/>
                <w:kern w:val="2"/>
                <w:sz w:val="24"/>
                <w:szCs w:val="24"/>
                <w:highlight w:val="none"/>
              </w:rPr>
              <w:t>评审因素</w:t>
            </w:r>
          </w:p>
        </w:tc>
        <w:tc>
          <w:tcPr>
            <w:tcW w:w="588" w:type="pct"/>
            <w:tcBorders>
              <w:top w:val="single" w:color="auto" w:sz="6" w:space="0"/>
              <w:left w:val="single" w:color="auto" w:sz="6" w:space="0"/>
              <w:bottom w:val="single" w:color="auto" w:sz="6" w:space="0"/>
              <w:right w:val="single" w:color="auto" w:sz="6" w:space="0"/>
            </w:tcBorders>
            <w:noWrap w:val="0"/>
            <w:vAlign w:val="center"/>
          </w:tcPr>
          <w:p w14:paraId="70AF0D33">
            <w:pPr>
              <w:jc w:val="center"/>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分数</w:t>
            </w:r>
          </w:p>
        </w:tc>
        <w:tc>
          <w:tcPr>
            <w:tcW w:w="2912" w:type="pct"/>
            <w:tcBorders>
              <w:top w:val="single" w:color="auto" w:sz="6" w:space="0"/>
              <w:left w:val="single" w:color="auto" w:sz="6" w:space="0"/>
              <w:bottom w:val="single" w:color="auto" w:sz="6" w:space="0"/>
              <w:right w:val="single" w:color="auto" w:sz="6" w:space="0"/>
            </w:tcBorders>
            <w:noWrap w:val="0"/>
            <w:vAlign w:val="center"/>
          </w:tcPr>
          <w:p w14:paraId="42FB9CDF">
            <w:pPr>
              <w:jc w:val="center"/>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评审标准</w:t>
            </w:r>
          </w:p>
        </w:tc>
      </w:tr>
      <w:tr w14:paraId="00D0C8A2">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rPr>
          <w:trHeight w:val="1457" w:hRule="atLeast"/>
        </w:trPr>
        <w:tc>
          <w:tcPr>
            <w:tcW w:w="747" w:type="pct"/>
            <w:tcBorders>
              <w:top w:val="single" w:color="auto" w:sz="6" w:space="0"/>
              <w:left w:val="single" w:color="auto" w:sz="6" w:space="0"/>
              <w:bottom w:val="single" w:color="auto" w:sz="6" w:space="0"/>
              <w:right w:val="single" w:color="auto" w:sz="6" w:space="0"/>
            </w:tcBorders>
            <w:noWrap w:val="0"/>
            <w:vAlign w:val="center"/>
          </w:tcPr>
          <w:p w14:paraId="7B9C7EAA">
            <w:pPr>
              <w:jc w:val="left"/>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报价分</w:t>
            </w:r>
          </w:p>
        </w:tc>
        <w:tc>
          <w:tcPr>
            <w:tcW w:w="752" w:type="pct"/>
            <w:tcBorders>
              <w:top w:val="single" w:color="auto" w:sz="6" w:space="0"/>
              <w:left w:val="single" w:color="auto" w:sz="6" w:space="0"/>
              <w:bottom w:val="single" w:color="auto" w:sz="6" w:space="0"/>
              <w:right w:val="single" w:color="auto" w:sz="6" w:space="0"/>
            </w:tcBorders>
            <w:noWrap w:val="0"/>
            <w:vAlign w:val="center"/>
          </w:tcPr>
          <w:p w14:paraId="353FB6BE">
            <w:pPr>
              <w:jc w:val="left"/>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投标报价</w:t>
            </w:r>
          </w:p>
        </w:tc>
        <w:tc>
          <w:tcPr>
            <w:tcW w:w="588" w:type="pct"/>
            <w:tcBorders>
              <w:top w:val="single" w:color="auto" w:sz="6" w:space="0"/>
              <w:left w:val="single" w:color="auto" w:sz="6" w:space="0"/>
              <w:bottom w:val="single" w:color="auto" w:sz="6" w:space="0"/>
              <w:right w:val="single" w:color="auto" w:sz="6" w:space="0"/>
            </w:tcBorders>
            <w:noWrap w:val="0"/>
            <w:vAlign w:val="center"/>
          </w:tcPr>
          <w:p w14:paraId="4EDB06DA">
            <w:pPr>
              <w:jc w:val="left"/>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15.00分</w:t>
            </w:r>
          </w:p>
        </w:tc>
        <w:tc>
          <w:tcPr>
            <w:tcW w:w="2912" w:type="pct"/>
            <w:tcBorders>
              <w:top w:val="single" w:color="auto" w:sz="6" w:space="0"/>
              <w:left w:val="single" w:color="auto" w:sz="6" w:space="0"/>
              <w:bottom w:val="single" w:color="auto" w:sz="6" w:space="0"/>
              <w:right w:val="single" w:color="auto" w:sz="6" w:space="0"/>
            </w:tcBorders>
            <w:noWrap w:val="0"/>
            <w:vAlign w:val="center"/>
          </w:tcPr>
          <w:p w14:paraId="187BD346">
            <w:pPr>
              <w:jc w:val="left"/>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采用低价优先法计算，即满足采购文件要求且投标价格最低的响应报价为评标基准价，其价格分为满分。其他供应商投标报价得分＝（评标基准价/投标报价）*15。</w:t>
            </w:r>
          </w:p>
        </w:tc>
      </w:tr>
      <w:tr w14:paraId="0D0E4947">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rPr>
          <w:trHeight w:val="2896" w:hRule="atLeast"/>
        </w:trPr>
        <w:tc>
          <w:tcPr>
            <w:tcW w:w="747" w:type="pct"/>
            <w:vMerge w:val="restart"/>
            <w:tcBorders>
              <w:top w:val="single" w:color="auto" w:sz="6" w:space="0"/>
              <w:left w:val="single" w:color="auto" w:sz="6" w:space="0"/>
              <w:right w:val="single" w:color="auto" w:sz="6" w:space="0"/>
            </w:tcBorders>
            <w:noWrap w:val="0"/>
            <w:vAlign w:val="center"/>
          </w:tcPr>
          <w:p w14:paraId="2E779E9C">
            <w:pPr>
              <w:jc w:val="left"/>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企业经营业绩、信誉</w:t>
            </w:r>
          </w:p>
        </w:tc>
        <w:tc>
          <w:tcPr>
            <w:tcW w:w="752" w:type="pct"/>
            <w:tcBorders>
              <w:top w:val="single" w:color="auto" w:sz="6" w:space="0"/>
              <w:left w:val="single" w:color="auto" w:sz="6" w:space="0"/>
              <w:bottom w:val="single" w:color="auto" w:sz="6" w:space="0"/>
              <w:right w:val="single" w:color="auto" w:sz="6" w:space="0"/>
            </w:tcBorders>
            <w:noWrap w:val="0"/>
            <w:vAlign w:val="center"/>
          </w:tcPr>
          <w:p w14:paraId="7FC4D1F4">
            <w:pPr>
              <w:jc w:val="left"/>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企业业绩</w:t>
            </w:r>
          </w:p>
        </w:tc>
        <w:tc>
          <w:tcPr>
            <w:tcW w:w="588" w:type="pct"/>
            <w:tcBorders>
              <w:top w:val="single" w:color="auto" w:sz="6" w:space="0"/>
              <w:left w:val="single" w:color="auto" w:sz="6" w:space="0"/>
              <w:bottom w:val="single" w:color="auto" w:sz="6" w:space="0"/>
              <w:right w:val="single" w:color="auto" w:sz="6" w:space="0"/>
            </w:tcBorders>
            <w:noWrap w:val="0"/>
            <w:vAlign w:val="center"/>
          </w:tcPr>
          <w:p w14:paraId="48E41CEF">
            <w:pPr>
              <w:jc w:val="left"/>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1</w:t>
            </w:r>
            <w:r>
              <w:rPr>
                <w:rFonts w:hint="eastAsia" w:ascii="仿宋" w:hAnsi="仿宋" w:eastAsia="仿宋" w:cs="仿宋"/>
                <w:color w:val="auto"/>
                <w:kern w:val="2"/>
                <w:sz w:val="24"/>
                <w:szCs w:val="24"/>
                <w:highlight w:val="none"/>
                <w:lang w:val="en-US" w:eastAsia="zh-CN"/>
              </w:rPr>
              <w:t>5</w:t>
            </w:r>
            <w:r>
              <w:rPr>
                <w:rFonts w:hint="eastAsia" w:ascii="仿宋" w:hAnsi="仿宋" w:eastAsia="仿宋" w:cs="仿宋"/>
                <w:color w:val="auto"/>
                <w:kern w:val="2"/>
                <w:sz w:val="24"/>
                <w:szCs w:val="24"/>
                <w:highlight w:val="none"/>
              </w:rPr>
              <w:t>.00分</w:t>
            </w:r>
          </w:p>
        </w:tc>
        <w:tc>
          <w:tcPr>
            <w:tcW w:w="2912" w:type="pct"/>
            <w:tcBorders>
              <w:top w:val="single" w:color="auto" w:sz="6" w:space="0"/>
              <w:left w:val="single" w:color="auto" w:sz="6" w:space="0"/>
              <w:bottom w:val="single" w:color="auto" w:sz="6" w:space="0"/>
              <w:right w:val="single" w:color="auto" w:sz="6" w:space="0"/>
            </w:tcBorders>
            <w:noWrap w:val="0"/>
            <w:vAlign w:val="center"/>
          </w:tcPr>
          <w:p w14:paraId="20F8E50D">
            <w:pPr>
              <w:jc w:val="left"/>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供应商自2023年1月1日以来（以合同签订日期为准），</w:t>
            </w:r>
            <w:r>
              <w:rPr>
                <w:rFonts w:hint="eastAsia" w:ascii="仿宋" w:hAnsi="仿宋" w:eastAsia="仿宋" w:cs="仿宋"/>
                <w:color w:val="auto"/>
                <w:kern w:val="2"/>
                <w:sz w:val="24"/>
                <w:szCs w:val="24"/>
              </w:rPr>
              <w:t>承担过</w:t>
            </w:r>
            <w:r>
              <w:rPr>
                <w:rFonts w:hint="eastAsia" w:ascii="仿宋" w:hAnsi="仿宋" w:eastAsia="仿宋" w:cs="仿宋"/>
                <w:color w:val="auto"/>
                <w:kern w:val="2"/>
                <w:sz w:val="24"/>
                <w:szCs w:val="24"/>
                <w:highlight w:val="none"/>
                <w:lang w:val="en-US" w:eastAsia="zh-CN"/>
              </w:rPr>
              <w:t>类似项目业绩</w:t>
            </w:r>
            <w:r>
              <w:rPr>
                <w:rFonts w:hint="eastAsia" w:ascii="仿宋" w:hAnsi="仿宋" w:eastAsia="仿宋" w:cs="仿宋"/>
                <w:color w:val="auto"/>
                <w:kern w:val="2"/>
                <w:sz w:val="24"/>
                <w:szCs w:val="24"/>
              </w:rPr>
              <w:t>的，每有一个得</w:t>
            </w:r>
            <w:r>
              <w:rPr>
                <w:rFonts w:hint="eastAsia" w:ascii="仿宋" w:hAnsi="仿宋" w:eastAsia="仿宋" w:cs="仿宋"/>
                <w:color w:val="auto"/>
                <w:kern w:val="2"/>
                <w:sz w:val="24"/>
                <w:szCs w:val="24"/>
                <w:lang w:val="en-US" w:eastAsia="zh-CN"/>
              </w:rPr>
              <w:t>3</w:t>
            </w:r>
            <w:r>
              <w:rPr>
                <w:rFonts w:hint="eastAsia" w:ascii="仿宋" w:hAnsi="仿宋" w:eastAsia="仿宋" w:cs="仿宋"/>
                <w:color w:val="auto"/>
                <w:kern w:val="2"/>
                <w:sz w:val="24"/>
                <w:szCs w:val="24"/>
              </w:rPr>
              <w:t>分，本项最高得1</w:t>
            </w:r>
            <w:r>
              <w:rPr>
                <w:rFonts w:hint="eastAsia" w:ascii="仿宋" w:hAnsi="仿宋" w:eastAsia="仿宋" w:cs="仿宋"/>
                <w:color w:val="auto"/>
                <w:kern w:val="2"/>
                <w:sz w:val="24"/>
                <w:szCs w:val="24"/>
                <w:lang w:val="en-US" w:eastAsia="zh-CN"/>
              </w:rPr>
              <w:t>5</w:t>
            </w:r>
            <w:r>
              <w:rPr>
                <w:rFonts w:hint="eastAsia" w:ascii="仿宋" w:hAnsi="仿宋" w:eastAsia="仿宋" w:cs="仿宋"/>
                <w:color w:val="auto"/>
                <w:kern w:val="2"/>
                <w:sz w:val="24"/>
                <w:szCs w:val="24"/>
              </w:rPr>
              <w:t>分。</w:t>
            </w:r>
          </w:p>
          <w:p w14:paraId="090EC574">
            <w:pPr>
              <w:jc w:val="left"/>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注：须提供项目合同及中标（成交）通知书电子件或扫描件并加盖供应商公章，合同内容须清晰可见；若合同或中标通知书无法体现服务内容的，供应商应提供相应补充证明材料予以明确。业绩材料要明确反映供应商名称、项目名称、项目内容等，否则不予计分。</w:t>
            </w:r>
          </w:p>
        </w:tc>
      </w:tr>
      <w:tr w14:paraId="28A147F8">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rPr>
          <w:trHeight w:val="1295" w:hRule="atLeast"/>
        </w:trPr>
        <w:tc>
          <w:tcPr>
            <w:tcW w:w="747" w:type="pct"/>
            <w:vMerge w:val="continue"/>
            <w:tcBorders>
              <w:left w:val="single" w:color="auto" w:sz="6" w:space="0"/>
              <w:bottom w:val="single" w:color="auto" w:sz="6" w:space="0"/>
              <w:right w:val="single" w:color="auto" w:sz="6" w:space="0"/>
            </w:tcBorders>
            <w:noWrap w:val="0"/>
            <w:vAlign w:val="center"/>
          </w:tcPr>
          <w:p w14:paraId="4B61F7CC">
            <w:pPr>
              <w:jc w:val="left"/>
              <w:rPr>
                <w:rFonts w:hint="eastAsia" w:ascii="仿宋" w:hAnsi="仿宋" w:eastAsia="仿宋" w:cs="仿宋"/>
                <w:color w:val="auto"/>
                <w:kern w:val="2"/>
                <w:sz w:val="24"/>
                <w:szCs w:val="24"/>
                <w:highlight w:val="none"/>
              </w:rPr>
            </w:pPr>
          </w:p>
        </w:tc>
        <w:tc>
          <w:tcPr>
            <w:tcW w:w="752" w:type="pct"/>
            <w:tcBorders>
              <w:top w:val="single" w:color="auto" w:sz="6" w:space="0"/>
              <w:left w:val="single" w:color="auto" w:sz="6" w:space="0"/>
              <w:bottom w:val="single" w:color="auto" w:sz="6" w:space="0"/>
              <w:right w:val="single" w:color="auto" w:sz="6" w:space="0"/>
            </w:tcBorders>
            <w:noWrap w:val="0"/>
            <w:vAlign w:val="center"/>
          </w:tcPr>
          <w:p w14:paraId="51EEF880">
            <w:pPr>
              <w:jc w:val="left"/>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企业荣誉</w:t>
            </w:r>
          </w:p>
        </w:tc>
        <w:tc>
          <w:tcPr>
            <w:tcW w:w="588" w:type="pct"/>
            <w:tcBorders>
              <w:top w:val="single" w:color="auto" w:sz="6" w:space="0"/>
              <w:left w:val="single" w:color="auto" w:sz="6" w:space="0"/>
              <w:bottom w:val="single" w:color="auto" w:sz="6" w:space="0"/>
              <w:right w:val="single" w:color="auto" w:sz="6" w:space="0"/>
            </w:tcBorders>
            <w:noWrap w:val="0"/>
            <w:vAlign w:val="center"/>
          </w:tcPr>
          <w:p w14:paraId="49BDB2D6">
            <w:pPr>
              <w:jc w:val="left"/>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lang w:val="en-US" w:eastAsia="zh-CN"/>
              </w:rPr>
              <w:t>9</w:t>
            </w:r>
            <w:r>
              <w:rPr>
                <w:rFonts w:hint="eastAsia" w:ascii="仿宋" w:hAnsi="仿宋" w:eastAsia="仿宋" w:cs="仿宋"/>
                <w:color w:val="auto"/>
                <w:kern w:val="2"/>
                <w:sz w:val="24"/>
                <w:szCs w:val="24"/>
                <w:highlight w:val="none"/>
              </w:rPr>
              <w:t>.00分</w:t>
            </w:r>
          </w:p>
        </w:tc>
        <w:tc>
          <w:tcPr>
            <w:tcW w:w="2912" w:type="pct"/>
            <w:tcBorders>
              <w:top w:val="single" w:color="auto" w:sz="6" w:space="0"/>
              <w:left w:val="single" w:color="auto" w:sz="6" w:space="0"/>
              <w:bottom w:val="single" w:color="auto" w:sz="6" w:space="0"/>
              <w:right w:val="single" w:color="auto" w:sz="6" w:space="0"/>
            </w:tcBorders>
            <w:noWrap w:val="0"/>
            <w:vAlign w:val="center"/>
          </w:tcPr>
          <w:p w14:paraId="4E4ADC0D">
            <w:pPr>
              <w:jc w:val="left"/>
              <w:rPr>
                <w:rFonts w:hint="eastAsia" w:ascii="仿宋" w:hAnsi="仿宋" w:eastAsia="仿宋" w:cs="仿宋"/>
                <w:color w:val="auto"/>
                <w:kern w:val="2"/>
                <w:sz w:val="24"/>
                <w:szCs w:val="24"/>
                <w:highlight w:val="none"/>
              </w:rPr>
            </w:pPr>
            <w:bookmarkStart w:id="204" w:name="OLE_LINK2"/>
            <w:r>
              <w:rPr>
                <w:rFonts w:hint="eastAsia" w:ascii="仿宋" w:hAnsi="仿宋" w:eastAsia="仿宋" w:cs="仿宋"/>
                <w:color w:val="auto"/>
                <w:kern w:val="2"/>
                <w:sz w:val="24"/>
                <w:szCs w:val="24"/>
                <w:highlight w:val="none"/>
              </w:rPr>
              <w:t>供应商承担过的测绘类项目获得过的奖项或荣誉的，每有一个得</w:t>
            </w:r>
            <w:r>
              <w:rPr>
                <w:rFonts w:hint="eastAsia" w:ascii="仿宋" w:hAnsi="仿宋" w:eastAsia="仿宋" w:cs="仿宋"/>
                <w:color w:val="auto"/>
                <w:kern w:val="2"/>
                <w:sz w:val="24"/>
                <w:szCs w:val="24"/>
                <w:highlight w:val="none"/>
                <w:lang w:val="en-US" w:eastAsia="zh-CN"/>
              </w:rPr>
              <w:t>3</w:t>
            </w:r>
            <w:r>
              <w:rPr>
                <w:rFonts w:hint="eastAsia" w:ascii="仿宋" w:hAnsi="仿宋" w:eastAsia="仿宋" w:cs="仿宋"/>
                <w:color w:val="auto"/>
                <w:kern w:val="2"/>
                <w:sz w:val="24"/>
                <w:szCs w:val="24"/>
                <w:highlight w:val="none"/>
              </w:rPr>
              <w:t>分，本项最高得</w:t>
            </w:r>
            <w:r>
              <w:rPr>
                <w:rFonts w:hint="eastAsia" w:ascii="仿宋" w:hAnsi="仿宋" w:eastAsia="仿宋" w:cs="仿宋"/>
                <w:color w:val="auto"/>
                <w:kern w:val="2"/>
                <w:sz w:val="24"/>
                <w:szCs w:val="24"/>
                <w:highlight w:val="none"/>
                <w:lang w:val="en-US" w:eastAsia="zh-CN"/>
              </w:rPr>
              <w:t>9</w:t>
            </w:r>
            <w:r>
              <w:rPr>
                <w:rFonts w:hint="eastAsia" w:ascii="仿宋" w:hAnsi="仿宋" w:eastAsia="仿宋" w:cs="仿宋"/>
                <w:color w:val="auto"/>
                <w:kern w:val="2"/>
                <w:sz w:val="24"/>
                <w:szCs w:val="24"/>
                <w:highlight w:val="none"/>
              </w:rPr>
              <w:t xml:space="preserve">分。 </w:t>
            </w:r>
            <w:bookmarkEnd w:id="204"/>
          </w:p>
          <w:p w14:paraId="0E2B2DFD">
            <w:pPr>
              <w:jc w:val="left"/>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注：供应商须提供相关对应证书材料扫描件或相关证明材料扫描件或电子件，否则不得分。</w:t>
            </w:r>
          </w:p>
        </w:tc>
      </w:tr>
      <w:tr w14:paraId="2E2902EC">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rPr>
          <w:trHeight w:val="1615" w:hRule="atLeast"/>
        </w:trPr>
        <w:tc>
          <w:tcPr>
            <w:tcW w:w="747" w:type="pct"/>
            <w:vMerge w:val="restart"/>
            <w:tcBorders>
              <w:top w:val="single" w:color="auto" w:sz="6" w:space="0"/>
              <w:left w:val="single" w:color="auto" w:sz="6" w:space="0"/>
              <w:right w:val="single" w:color="auto" w:sz="6" w:space="0"/>
            </w:tcBorders>
            <w:noWrap w:val="0"/>
            <w:vAlign w:val="center"/>
          </w:tcPr>
          <w:p w14:paraId="5D03A3AE">
            <w:pPr>
              <w:jc w:val="left"/>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项目实施方案</w:t>
            </w:r>
          </w:p>
        </w:tc>
        <w:tc>
          <w:tcPr>
            <w:tcW w:w="752" w:type="pct"/>
            <w:tcBorders>
              <w:top w:val="single" w:color="auto" w:sz="6" w:space="0"/>
              <w:left w:val="single" w:color="auto" w:sz="6" w:space="0"/>
              <w:bottom w:val="single" w:color="auto" w:sz="6" w:space="0"/>
              <w:right w:val="single" w:color="auto" w:sz="6" w:space="0"/>
            </w:tcBorders>
            <w:noWrap w:val="0"/>
            <w:vAlign w:val="center"/>
          </w:tcPr>
          <w:p w14:paraId="0C60CA2B">
            <w:pPr>
              <w:jc w:val="left"/>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内业预处理与底图制作</w:t>
            </w:r>
          </w:p>
        </w:tc>
        <w:tc>
          <w:tcPr>
            <w:tcW w:w="588" w:type="pct"/>
            <w:tcBorders>
              <w:top w:val="single" w:color="auto" w:sz="6" w:space="0"/>
              <w:left w:val="single" w:color="auto" w:sz="6" w:space="0"/>
              <w:bottom w:val="single" w:color="auto" w:sz="6" w:space="0"/>
              <w:right w:val="single" w:color="auto" w:sz="6" w:space="0"/>
            </w:tcBorders>
            <w:noWrap w:val="0"/>
            <w:vAlign w:val="center"/>
          </w:tcPr>
          <w:p w14:paraId="384654EA">
            <w:pPr>
              <w:jc w:val="left"/>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lang w:val="en-US" w:eastAsia="zh-CN"/>
              </w:rPr>
              <w:t>4</w:t>
            </w:r>
            <w:r>
              <w:rPr>
                <w:rFonts w:hint="eastAsia" w:ascii="仿宋" w:hAnsi="仿宋" w:eastAsia="仿宋" w:cs="仿宋"/>
                <w:color w:val="auto"/>
                <w:kern w:val="2"/>
                <w:sz w:val="24"/>
                <w:szCs w:val="24"/>
                <w:highlight w:val="none"/>
              </w:rPr>
              <w:t>.00分</w:t>
            </w:r>
          </w:p>
        </w:tc>
        <w:tc>
          <w:tcPr>
            <w:tcW w:w="2912" w:type="pct"/>
            <w:tcBorders>
              <w:top w:val="single" w:color="auto" w:sz="6" w:space="0"/>
              <w:left w:val="single" w:color="auto" w:sz="6" w:space="0"/>
              <w:bottom w:val="single" w:color="auto" w:sz="6" w:space="0"/>
              <w:right w:val="single" w:color="auto" w:sz="6" w:space="0"/>
            </w:tcBorders>
            <w:noWrap w:val="0"/>
            <w:vAlign w:val="center"/>
          </w:tcPr>
          <w:p w14:paraId="26ED00B4">
            <w:pPr>
              <w:jc w:val="left"/>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根据供应商提供的项目方案中关于“内业预处理与底图制作”内容。内容优于采购需求的，得</w:t>
            </w:r>
            <w:r>
              <w:rPr>
                <w:rFonts w:hint="eastAsia" w:ascii="仿宋" w:hAnsi="仿宋" w:eastAsia="仿宋" w:cs="仿宋"/>
                <w:color w:val="auto"/>
                <w:kern w:val="2"/>
                <w:sz w:val="24"/>
                <w:szCs w:val="24"/>
                <w:highlight w:val="none"/>
                <w:lang w:val="en-US" w:eastAsia="zh-CN"/>
              </w:rPr>
              <w:t>4</w:t>
            </w:r>
            <w:r>
              <w:rPr>
                <w:rFonts w:hint="eastAsia" w:ascii="仿宋" w:hAnsi="仿宋" w:eastAsia="仿宋" w:cs="仿宋"/>
                <w:color w:val="auto"/>
                <w:kern w:val="2"/>
                <w:sz w:val="24"/>
                <w:szCs w:val="24"/>
                <w:highlight w:val="none"/>
              </w:rPr>
              <w:t>分；内容满足采购需求的，得2分；内容虽欠缺，但基本满足采购需求的，得1分；其他情况不得分。</w:t>
            </w:r>
          </w:p>
        </w:tc>
      </w:tr>
      <w:tr w14:paraId="54529F8F">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rPr>
          <w:trHeight w:val="1615" w:hRule="atLeast"/>
        </w:trPr>
        <w:tc>
          <w:tcPr>
            <w:tcW w:w="747" w:type="pct"/>
            <w:vMerge w:val="continue"/>
            <w:tcBorders>
              <w:left w:val="single" w:color="auto" w:sz="6" w:space="0"/>
              <w:right w:val="single" w:color="auto" w:sz="6" w:space="0"/>
            </w:tcBorders>
            <w:noWrap w:val="0"/>
            <w:vAlign w:val="center"/>
          </w:tcPr>
          <w:p w14:paraId="7304E336">
            <w:pPr>
              <w:jc w:val="left"/>
              <w:rPr>
                <w:rFonts w:hint="eastAsia" w:ascii="仿宋" w:hAnsi="仿宋" w:eastAsia="仿宋" w:cs="仿宋"/>
                <w:color w:val="auto"/>
                <w:kern w:val="2"/>
                <w:sz w:val="24"/>
                <w:szCs w:val="24"/>
                <w:highlight w:val="none"/>
              </w:rPr>
            </w:pPr>
          </w:p>
        </w:tc>
        <w:tc>
          <w:tcPr>
            <w:tcW w:w="752" w:type="pct"/>
            <w:tcBorders>
              <w:top w:val="single" w:color="auto" w:sz="6" w:space="0"/>
              <w:left w:val="single" w:color="auto" w:sz="6" w:space="0"/>
              <w:bottom w:val="single" w:color="auto" w:sz="6" w:space="0"/>
              <w:right w:val="single" w:color="auto" w:sz="6" w:space="0"/>
            </w:tcBorders>
            <w:noWrap w:val="0"/>
            <w:vAlign w:val="center"/>
          </w:tcPr>
          <w:p w14:paraId="66669224">
            <w:pPr>
              <w:jc w:val="left"/>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外业实地核查与精准测绘</w:t>
            </w:r>
          </w:p>
        </w:tc>
        <w:tc>
          <w:tcPr>
            <w:tcW w:w="588" w:type="pct"/>
            <w:tcBorders>
              <w:top w:val="single" w:color="auto" w:sz="6" w:space="0"/>
              <w:left w:val="single" w:color="auto" w:sz="6" w:space="0"/>
              <w:bottom w:val="single" w:color="auto" w:sz="6" w:space="0"/>
              <w:right w:val="single" w:color="auto" w:sz="6" w:space="0"/>
            </w:tcBorders>
            <w:noWrap w:val="0"/>
            <w:vAlign w:val="center"/>
          </w:tcPr>
          <w:p w14:paraId="0377E12A">
            <w:pPr>
              <w:jc w:val="left"/>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lang w:val="en-US" w:eastAsia="zh-CN"/>
              </w:rPr>
              <w:t>4</w:t>
            </w:r>
            <w:r>
              <w:rPr>
                <w:rFonts w:hint="eastAsia" w:ascii="仿宋" w:hAnsi="仿宋" w:eastAsia="仿宋" w:cs="仿宋"/>
                <w:color w:val="auto"/>
                <w:kern w:val="2"/>
                <w:sz w:val="24"/>
                <w:szCs w:val="24"/>
                <w:highlight w:val="none"/>
              </w:rPr>
              <w:t>.00分</w:t>
            </w:r>
          </w:p>
        </w:tc>
        <w:tc>
          <w:tcPr>
            <w:tcW w:w="2912" w:type="pct"/>
            <w:tcBorders>
              <w:top w:val="single" w:color="auto" w:sz="6" w:space="0"/>
              <w:left w:val="single" w:color="auto" w:sz="6" w:space="0"/>
              <w:bottom w:val="single" w:color="auto" w:sz="6" w:space="0"/>
              <w:right w:val="single" w:color="auto" w:sz="6" w:space="0"/>
            </w:tcBorders>
            <w:noWrap w:val="0"/>
            <w:vAlign w:val="center"/>
          </w:tcPr>
          <w:p w14:paraId="06031D2F">
            <w:pPr>
              <w:jc w:val="left"/>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根据供应商提供的项目方案中关于“外业实地核查与精准测绘”内容。内容优于采购需求的，得</w:t>
            </w:r>
            <w:r>
              <w:rPr>
                <w:rFonts w:hint="eastAsia" w:ascii="仿宋" w:hAnsi="仿宋" w:eastAsia="仿宋" w:cs="仿宋"/>
                <w:color w:val="auto"/>
                <w:kern w:val="2"/>
                <w:sz w:val="24"/>
                <w:szCs w:val="24"/>
                <w:highlight w:val="none"/>
                <w:lang w:val="en-US" w:eastAsia="zh-CN"/>
              </w:rPr>
              <w:t>4</w:t>
            </w:r>
            <w:r>
              <w:rPr>
                <w:rFonts w:hint="eastAsia" w:ascii="仿宋" w:hAnsi="仿宋" w:eastAsia="仿宋" w:cs="仿宋"/>
                <w:color w:val="auto"/>
                <w:kern w:val="2"/>
                <w:sz w:val="24"/>
                <w:szCs w:val="24"/>
                <w:highlight w:val="none"/>
              </w:rPr>
              <w:t>分；内容满足采购需求的，得2分；内容虽欠缺，但基本满足采购需求的，得1分；其他情况不得分。</w:t>
            </w:r>
          </w:p>
        </w:tc>
      </w:tr>
      <w:tr w14:paraId="2196C207">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rPr>
          <w:trHeight w:val="1615" w:hRule="atLeast"/>
        </w:trPr>
        <w:tc>
          <w:tcPr>
            <w:tcW w:w="747" w:type="pct"/>
            <w:vMerge w:val="continue"/>
            <w:tcBorders>
              <w:left w:val="single" w:color="auto" w:sz="6" w:space="0"/>
              <w:right w:val="single" w:color="auto" w:sz="6" w:space="0"/>
            </w:tcBorders>
            <w:noWrap w:val="0"/>
            <w:vAlign w:val="center"/>
          </w:tcPr>
          <w:p w14:paraId="683F9BE6">
            <w:pPr>
              <w:jc w:val="left"/>
              <w:rPr>
                <w:rFonts w:hint="eastAsia" w:ascii="仿宋" w:hAnsi="仿宋" w:eastAsia="仿宋" w:cs="仿宋"/>
                <w:color w:val="auto"/>
                <w:kern w:val="2"/>
                <w:sz w:val="24"/>
                <w:szCs w:val="24"/>
                <w:highlight w:val="none"/>
              </w:rPr>
            </w:pPr>
          </w:p>
        </w:tc>
        <w:tc>
          <w:tcPr>
            <w:tcW w:w="752" w:type="pct"/>
            <w:tcBorders>
              <w:top w:val="single" w:color="auto" w:sz="6" w:space="0"/>
              <w:left w:val="single" w:color="auto" w:sz="6" w:space="0"/>
              <w:bottom w:val="single" w:color="auto" w:sz="6" w:space="0"/>
              <w:right w:val="single" w:color="auto" w:sz="6" w:space="0"/>
            </w:tcBorders>
            <w:noWrap w:val="0"/>
            <w:vAlign w:val="center"/>
          </w:tcPr>
          <w:p w14:paraId="15751212">
            <w:pPr>
              <w:jc w:val="left"/>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内业数据处理与研判分析</w:t>
            </w:r>
          </w:p>
        </w:tc>
        <w:tc>
          <w:tcPr>
            <w:tcW w:w="588" w:type="pct"/>
            <w:tcBorders>
              <w:top w:val="single" w:color="auto" w:sz="6" w:space="0"/>
              <w:left w:val="single" w:color="auto" w:sz="6" w:space="0"/>
              <w:bottom w:val="single" w:color="auto" w:sz="6" w:space="0"/>
              <w:right w:val="single" w:color="auto" w:sz="6" w:space="0"/>
            </w:tcBorders>
            <w:noWrap w:val="0"/>
            <w:vAlign w:val="center"/>
          </w:tcPr>
          <w:p w14:paraId="14264C9A">
            <w:pPr>
              <w:jc w:val="left"/>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lang w:val="en-US" w:eastAsia="zh-CN"/>
              </w:rPr>
              <w:t>4</w:t>
            </w:r>
            <w:r>
              <w:rPr>
                <w:rFonts w:hint="eastAsia" w:ascii="仿宋" w:hAnsi="仿宋" w:eastAsia="仿宋" w:cs="仿宋"/>
                <w:color w:val="auto"/>
                <w:kern w:val="2"/>
                <w:sz w:val="24"/>
                <w:szCs w:val="24"/>
                <w:highlight w:val="none"/>
              </w:rPr>
              <w:t>.00分</w:t>
            </w:r>
          </w:p>
        </w:tc>
        <w:tc>
          <w:tcPr>
            <w:tcW w:w="2912" w:type="pct"/>
            <w:tcBorders>
              <w:top w:val="single" w:color="auto" w:sz="6" w:space="0"/>
              <w:left w:val="single" w:color="auto" w:sz="6" w:space="0"/>
              <w:bottom w:val="single" w:color="auto" w:sz="6" w:space="0"/>
              <w:right w:val="single" w:color="auto" w:sz="6" w:space="0"/>
            </w:tcBorders>
            <w:noWrap w:val="0"/>
            <w:vAlign w:val="center"/>
          </w:tcPr>
          <w:p w14:paraId="3B3D4BED">
            <w:pPr>
              <w:jc w:val="left"/>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根据供应商提供的项目方案中关于“内业数据处理与研判分析”内容。内容优于采购需求的，得</w:t>
            </w:r>
            <w:r>
              <w:rPr>
                <w:rFonts w:hint="eastAsia" w:ascii="仿宋" w:hAnsi="仿宋" w:eastAsia="仿宋" w:cs="仿宋"/>
                <w:color w:val="auto"/>
                <w:kern w:val="2"/>
                <w:sz w:val="24"/>
                <w:szCs w:val="24"/>
                <w:highlight w:val="none"/>
                <w:lang w:val="en-US" w:eastAsia="zh-CN"/>
              </w:rPr>
              <w:t>4</w:t>
            </w:r>
            <w:r>
              <w:rPr>
                <w:rFonts w:hint="eastAsia" w:ascii="仿宋" w:hAnsi="仿宋" w:eastAsia="仿宋" w:cs="仿宋"/>
                <w:color w:val="auto"/>
                <w:kern w:val="2"/>
                <w:sz w:val="24"/>
                <w:szCs w:val="24"/>
                <w:highlight w:val="none"/>
              </w:rPr>
              <w:t>分；内容满足采购需求的，得2分；内容虽欠缺，但基本满足采购需求的，得1分；其他情况不得分。</w:t>
            </w:r>
          </w:p>
        </w:tc>
      </w:tr>
      <w:tr w14:paraId="48237CF4">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rPr>
          <w:trHeight w:val="1295" w:hRule="atLeast"/>
        </w:trPr>
        <w:tc>
          <w:tcPr>
            <w:tcW w:w="747" w:type="pct"/>
            <w:vMerge w:val="continue"/>
            <w:tcBorders>
              <w:left w:val="single" w:color="auto" w:sz="6" w:space="0"/>
              <w:right w:val="single" w:color="auto" w:sz="6" w:space="0"/>
            </w:tcBorders>
            <w:noWrap w:val="0"/>
            <w:vAlign w:val="center"/>
          </w:tcPr>
          <w:p w14:paraId="65EC2581">
            <w:pPr>
              <w:jc w:val="left"/>
              <w:rPr>
                <w:rFonts w:hint="eastAsia" w:ascii="仿宋" w:hAnsi="仿宋" w:eastAsia="仿宋" w:cs="仿宋"/>
                <w:color w:val="auto"/>
                <w:kern w:val="2"/>
                <w:sz w:val="24"/>
                <w:szCs w:val="24"/>
                <w:highlight w:val="none"/>
              </w:rPr>
            </w:pPr>
          </w:p>
        </w:tc>
        <w:tc>
          <w:tcPr>
            <w:tcW w:w="752" w:type="pct"/>
            <w:tcBorders>
              <w:top w:val="single" w:color="auto" w:sz="6" w:space="0"/>
              <w:left w:val="single" w:color="auto" w:sz="6" w:space="0"/>
              <w:bottom w:val="single" w:color="auto" w:sz="6" w:space="0"/>
              <w:right w:val="single" w:color="auto" w:sz="6" w:space="0"/>
            </w:tcBorders>
            <w:noWrap w:val="0"/>
            <w:vAlign w:val="center"/>
          </w:tcPr>
          <w:p w14:paraId="3D87EAE1">
            <w:pPr>
              <w:jc w:val="left"/>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整改跟踪与验收举证</w:t>
            </w:r>
          </w:p>
        </w:tc>
        <w:tc>
          <w:tcPr>
            <w:tcW w:w="588" w:type="pct"/>
            <w:tcBorders>
              <w:top w:val="single" w:color="auto" w:sz="6" w:space="0"/>
              <w:left w:val="single" w:color="auto" w:sz="6" w:space="0"/>
              <w:bottom w:val="single" w:color="auto" w:sz="6" w:space="0"/>
              <w:right w:val="single" w:color="auto" w:sz="6" w:space="0"/>
            </w:tcBorders>
            <w:noWrap w:val="0"/>
            <w:vAlign w:val="center"/>
          </w:tcPr>
          <w:p w14:paraId="1173F6E6">
            <w:pPr>
              <w:jc w:val="left"/>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lang w:val="en-US" w:eastAsia="zh-CN"/>
              </w:rPr>
              <w:t>4</w:t>
            </w:r>
            <w:r>
              <w:rPr>
                <w:rFonts w:hint="eastAsia" w:ascii="仿宋" w:hAnsi="仿宋" w:eastAsia="仿宋" w:cs="仿宋"/>
                <w:color w:val="auto"/>
                <w:kern w:val="2"/>
                <w:sz w:val="24"/>
                <w:szCs w:val="24"/>
                <w:highlight w:val="none"/>
              </w:rPr>
              <w:t>.00分</w:t>
            </w:r>
          </w:p>
        </w:tc>
        <w:tc>
          <w:tcPr>
            <w:tcW w:w="2912" w:type="pct"/>
            <w:tcBorders>
              <w:top w:val="single" w:color="auto" w:sz="6" w:space="0"/>
              <w:left w:val="single" w:color="auto" w:sz="6" w:space="0"/>
              <w:bottom w:val="single" w:color="auto" w:sz="6" w:space="0"/>
              <w:right w:val="single" w:color="auto" w:sz="6" w:space="0"/>
            </w:tcBorders>
            <w:noWrap w:val="0"/>
            <w:vAlign w:val="center"/>
          </w:tcPr>
          <w:p w14:paraId="66D028FB">
            <w:pPr>
              <w:jc w:val="left"/>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根据供应商提供的项目方案中关于“整改跟踪与验收举证”内容。内容优于采购需求的，得</w:t>
            </w:r>
            <w:r>
              <w:rPr>
                <w:rFonts w:hint="eastAsia" w:ascii="仿宋" w:hAnsi="仿宋" w:eastAsia="仿宋" w:cs="仿宋"/>
                <w:color w:val="auto"/>
                <w:kern w:val="2"/>
                <w:sz w:val="24"/>
                <w:szCs w:val="24"/>
                <w:highlight w:val="none"/>
                <w:lang w:val="en-US" w:eastAsia="zh-CN"/>
              </w:rPr>
              <w:t>4</w:t>
            </w:r>
            <w:r>
              <w:rPr>
                <w:rFonts w:hint="eastAsia" w:ascii="仿宋" w:hAnsi="仿宋" w:eastAsia="仿宋" w:cs="仿宋"/>
                <w:color w:val="auto"/>
                <w:kern w:val="2"/>
                <w:sz w:val="24"/>
                <w:szCs w:val="24"/>
                <w:highlight w:val="none"/>
              </w:rPr>
              <w:t>分；内容满足采购需求的，得2分；内容虽欠缺，但基本满足采购需求的，得1分；其他情况不得分。</w:t>
            </w:r>
          </w:p>
        </w:tc>
      </w:tr>
      <w:tr w14:paraId="62D3E6E5">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rPr>
          <w:trHeight w:val="1662" w:hRule="atLeast"/>
        </w:trPr>
        <w:tc>
          <w:tcPr>
            <w:tcW w:w="747" w:type="pct"/>
            <w:vMerge w:val="continue"/>
            <w:tcBorders>
              <w:left w:val="single" w:color="auto" w:sz="6" w:space="0"/>
              <w:right w:val="single" w:color="auto" w:sz="6" w:space="0"/>
            </w:tcBorders>
            <w:noWrap w:val="0"/>
            <w:vAlign w:val="center"/>
          </w:tcPr>
          <w:p w14:paraId="4F7E8EFE">
            <w:pPr>
              <w:jc w:val="left"/>
              <w:rPr>
                <w:rFonts w:hint="eastAsia" w:ascii="仿宋" w:hAnsi="仿宋" w:eastAsia="仿宋" w:cs="仿宋"/>
                <w:color w:val="auto"/>
                <w:kern w:val="2"/>
                <w:sz w:val="24"/>
                <w:szCs w:val="24"/>
                <w:highlight w:val="none"/>
              </w:rPr>
            </w:pPr>
          </w:p>
        </w:tc>
        <w:tc>
          <w:tcPr>
            <w:tcW w:w="752" w:type="pct"/>
            <w:tcBorders>
              <w:top w:val="single" w:color="auto" w:sz="6" w:space="0"/>
              <w:left w:val="single" w:color="auto" w:sz="6" w:space="0"/>
              <w:bottom w:val="single" w:color="auto" w:sz="6" w:space="0"/>
              <w:right w:val="single" w:color="auto" w:sz="6" w:space="0"/>
            </w:tcBorders>
            <w:noWrap w:val="0"/>
            <w:vAlign w:val="center"/>
          </w:tcPr>
          <w:p w14:paraId="55649F31">
            <w:pPr>
              <w:jc w:val="left"/>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rPr>
              <w:t>档案整理与成果编制</w:t>
            </w:r>
          </w:p>
        </w:tc>
        <w:tc>
          <w:tcPr>
            <w:tcW w:w="588" w:type="pct"/>
            <w:tcBorders>
              <w:top w:val="single" w:color="auto" w:sz="6" w:space="0"/>
              <w:left w:val="single" w:color="auto" w:sz="6" w:space="0"/>
              <w:bottom w:val="single" w:color="auto" w:sz="6" w:space="0"/>
              <w:right w:val="single" w:color="auto" w:sz="6" w:space="0"/>
            </w:tcBorders>
            <w:noWrap w:val="0"/>
            <w:vAlign w:val="center"/>
          </w:tcPr>
          <w:p w14:paraId="4B6B90A4">
            <w:pPr>
              <w:jc w:val="left"/>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rPr>
              <w:t>4</w:t>
            </w:r>
            <w:r>
              <w:rPr>
                <w:rFonts w:hint="eastAsia" w:ascii="仿宋" w:hAnsi="仿宋" w:eastAsia="仿宋" w:cs="仿宋"/>
                <w:color w:val="auto"/>
                <w:kern w:val="2"/>
                <w:sz w:val="24"/>
                <w:szCs w:val="24"/>
                <w:highlight w:val="none"/>
              </w:rPr>
              <w:t>.00</w:t>
            </w:r>
            <w:r>
              <w:rPr>
                <w:rFonts w:hint="eastAsia" w:ascii="仿宋" w:hAnsi="仿宋" w:eastAsia="仿宋" w:cs="仿宋"/>
                <w:color w:val="auto"/>
                <w:kern w:val="2"/>
                <w:sz w:val="24"/>
                <w:szCs w:val="24"/>
                <w:highlight w:val="none"/>
                <w:lang w:val="en-US" w:eastAsia="zh-CN"/>
              </w:rPr>
              <w:t xml:space="preserve"> </w:t>
            </w:r>
            <w:r>
              <w:rPr>
                <w:rFonts w:hint="eastAsia" w:ascii="仿宋" w:hAnsi="仿宋" w:eastAsia="仿宋" w:cs="仿宋"/>
                <w:color w:val="auto"/>
                <w:kern w:val="2"/>
                <w:sz w:val="24"/>
                <w:szCs w:val="24"/>
                <w:highlight w:val="none"/>
              </w:rPr>
              <w:t>分</w:t>
            </w:r>
          </w:p>
        </w:tc>
        <w:tc>
          <w:tcPr>
            <w:tcW w:w="2912" w:type="pct"/>
            <w:tcBorders>
              <w:top w:val="single" w:color="auto" w:sz="6" w:space="0"/>
              <w:left w:val="single" w:color="auto" w:sz="6" w:space="0"/>
              <w:bottom w:val="single" w:color="auto" w:sz="6" w:space="0"/>
              <w:right w:val="single" w:color="auto" w:sz="6" w:space="0"/>
            </w:tcBorders>
            <w:noWrap w:val="0"/>
            <w:vAlign w:val="center"/>
          </w:tcPr>
          <w:p w14:paraId="6766FC71">
            <w:pPr>
              <w:jc w:val="left"/>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rPr>
              <w:t>根据供应商提供的项目方案中关于“档案整理与成果编制”内容。内容优于采购需求的，得</w:t>
            </w:r>
            <w:r>
              <w:rPr>
                <w:rFonts w:hint="eastAsia" w:ascii="仿宋" w:hAnsi="仿宋" w:eastAsia="仿宋" w:cs="仿宋"/>
                <w:color w:val="auto"/>
                <w:kern w:val="2"/>
                <w:sz w:val="24"/>
                <w:szCs w:val="24"/>
                <w:highlight w:val="none"/>
                <w:lang w:val="en-US" w:eastAsia="zh-CN"/>
              </w:rPr>
              <w:t>4</w:t>
            </w:r>
            <w:r>
              <w:rPr>
                <w:rFonts w:hint="eastAsia" w:ascii="仿宋" w:hAnsi="仿宋" w:eastAsia="仿宋" w:cs="仿宋"/>
                <w:color w:val="auto"/>
                <w:kern w:val="2"/>
                <w:sz w:val="24"/>
                <w:szCs w:val="24"/>
                <w:highlight w:val="none"/>
              </w:rPr>
              <w:t>分；内容满足采购需求的，得2分；内容虽欠缺，但基本满足采购需求的，得1分；其他情况不得分。</w:t>
            </w:r>
          </w:p>
        </w:tc>
      </w:tr>
      <w:tr w14:paraId="6C652E50">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rPr>
          <w:trHeight w:val="3856" w:hRule="atLeast"/>
        </w:trPr>
        <w:tc>
          <w:tcPr>
            <w:tcW w:w="747" w:type="pct"/>
            <w:vMerge w:val="continue"/>
            <w:tcBorders>
              <w:left w:val="single" w:color="auto" w:sz="6" w:space="0"/>
              <w:right w:val="single" w:color="auto" w:sz="6" w:space="0"/>
            </w:tcBorders>
            <w:noWrap w:val="0"/>
            <w:vAlign w:val="center"/>
          </w:tcPr>
          <w:p w14:paraId="7F5D5020">
            <w:pPr>
              <w:jc w:val="left"/>
              <w:rPr>
                <w:rFonts w:hint="eastAsia" w:ascii="仿宋" w:hAnsi="仿宋" w:eastAsia="仿宋" w:cs="仿宋"/>
                <w:color w:val="auto"/>
                <w:kern w:val="2"/>
                <w:sz w:val="24"/>
                <w:szCs w:val="24"/>
                <w:highlight w:val="none"/>
              </w:rPr>
            </w:pPr>
          </w:p>
        </w:tc>
        <w:tc>
          <w:tcPr>
            <w:tcW w:w="752" w:type="pct"/>
            <w:tcBorders>
              <w:top w:val="single" w:color="auto" w:sz="6" w:space="0"/>
              <w:left w:val="single" w:color="auto" w:sz="6" w:space="0"/>
              <w:bottom w:val="single" w:color="auto" w:sz="6" w:space="0"/>
              <w:right w:val="single" w:color="auto" w:sz="6" w:space="0"/>
            </w:tcBorders>
            <w:noWrap w:val="0"/>
            <w:vAlign w:val="center"/>
          </w:tcPr>
          <w:p w14:paraId="0F482978">
            <w:pPr>
              <w:jc w:val="left"/>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rPr>
              <w:t>项目保障方案</w:t>
            </w:r>
          </w:p>
        </w:tc>
        <w:tc>
          <w:tcPr>
            <w:tcW w:w="588" w:type="pct"/>
            <w:tcBorders>
              <w:top w:val="single" w:color="auto" w:sz="6" w:space="0"/>
              <w:left w:val="single" w:color="auto" w:sz="6" w:space="0"/>
              <w:bottom w:val="single" w:color="auto" w:sz="6" w:space="0"/>
              <w:right w:val="single" w:color="auto" w:sz="6" w:space="0"/>
            </w:tcBorders>
            <w:noWrap w:val="0"/>
            <w:vAlign w:val="center"/>
          </w:tcPr>
          <w:p w14:paraId="007D0044">
            <w:pPr>
              <w:jc w:val="left"/>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rPr>
              <w:t>7.00分</w:t>
            </w:r>
          </w:p>
        </w:tc>
        <w:tc>
          <w:tcPr>
            <w:tcW w:w="2912" w:type="pct"/>
            <w:tcBorders>
              <w:top w:val="single" w:color="auto" w:sz="6" w:space="0"/>
              <w:left w:val="single" w:color="auto" w:sz="6" w:space="0"/>
              <w:bottom w:val="single" w:color="auto" w:sz="6" w:space="0"/>
              <w:right w:val="single" w:color="auto" w:sz="6" w:space="0"/>
            </w:tcBorders>
            <w:noWrap w:val="0"/>
            <w:vAlign w:val="center"/>
          </w:tcPr>
          <w:p w14:paraId="57ADB0DE">
            <w:pPr>
              <w:jc w:val="left"/>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 xml:space="preserve">供应商根据采购需求要求制定项目保障方案。 </w:t>
            </w:r>
          </w:p>
          <w:p w14:paraId="09760ACD">
            <w:pPr>
              <w:jc w:val="left"/>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1、对可能产生的质量问题分析归纳条理清楚，采取的质量保障措施具体、有效的得3分；分析归纳详细、质量保证措施完整的得2分；措施有欠缺，但经过优化可满足采购需求的得1分；其他情况不得分。</w:t>
            </w:r>
          </w:p>
          <w:p w14:paraId="7373A7EA">
            <w:pPr>
              <w:jc w:val="left"/>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rPr>
              <w:t>2、总体进度安排涵盖重要环节、管理措施得当、项目进度保证措施详实具体的得4分；总体进度安排完整、管理措施详细、各项进度保证措施缺失的得3分；有进度安排内容、但内容笼统、针对本项目制定未细致、但经过优化可实现进度要求的得2分；其他情况不得分。</w:t>
            </w:r>
          </w:p>
        </w:tc>
      </w:tr>
      <w:tr w14:paraId="37993A0C">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rPr>
          <w:trHeight w:val="1615" w:hRule="atLeast"/>
        </w:trPr>
        <w:tc>
          <w:tcPr>
            <w:tcW w:w="747" w:type="pct"/>
            <w:vMerge w:val="continue"/>
            <w:tcBorders>
              <w:left w:val="single" w:color="auto" w:sz="6" w:space="0"/>
              <w:right w:val="single" w:color="auto" w:sz="6" w:space="0"/>
            </w:tcBorders>
            <w:noWrap w:val="0"/>
            <w:vAlign w:val="center"/>
          </w:tcPr>
          <w:p w14:paraId="159389C6">
            <w:pPr>
              <w:jc w:val="left"/>
              <w:rPr>
                <w:rFonts w:hint="eastAsia" w:ascii="仿宋" w:hAnsi="仿宋" w:eastAsia="仿宋" w:cs="仿宋"/>
                <w:color w:val="auto"/>
                <w:kern w:val="2"/>
                <w:sz w:val="24"/>
                <w:szCs w:val="24"/>
                <w:highlight w:val="none"/>
              </w:rPr>
            </w:pPr>
          </w:p>
        </w:tc>
        <w:tc>
          <w:tcPr>
            <w:tcW w:w="752" w:type="pct"/>
            <w:tcBorders>
              <w:top w:val="single" w:color="auto" w:sz="6" w:space="0"/>
              <w:left w:val="single" w:color="auto" w:sz="6" w:space="0"/>
              <w:bottom w:val="single" w:color="auto" w:sz="6" w:space="0"/>
              <w:right w:val="single" w:color="auto" w:sz="6" w:space="0"/>
            </w:tcBorders>
            <w:noWrap w:val="0"/>
            <w:vAlign w:val="center"/>
          </w:tcPr>
          <w:p w14:paraId="03F6366C">
            <w:pPr>
              <w:jc w:val="left"/>
              <w:rPr>
                <w:rFonts w:hint="eastAsia" w:ascii="仿宋" w:hAnsi="仿宋" w:eastAsia="仿宋" w:cs="仿宋"/>
                <w:color w:val="auto"/>
                <w:kern w:val="2"/>
                <w:sz w:val="24"/>
                <w:szCs w:val="24"/>
                <w:highlight w:val="none"/>
              </w:rPr>
            </w:pPr>
            <w:bookmarkStart w:id="205" w:name="_Hlk231920133"/>
            <w:r>
              <w:rPr>
                <w:rFonts w:hint="eastAsia" w:ascii="仿宋" w:hAnsi="仿宋" w:eastAsia="仿宋" w:cs="仿宋"/>
                <w:color w:val="auto"/>
                <w:kern w:val="2"/>
                <w:sz w:val="24"/>
                <w:szCs w:val="24"/>
                <w:highlight w:val="none"/>
              </w:rPr>
              <w:t>后续服务方案</w:t>
            </w:r>
            <w:bookmarkEnd w:id="205"/>
          </w:p>
        </w:tc>
        <w:tc>
          <w:tcPr>
            <w:tcW w:w="588" w:type="pct"/>
            <w:tcBorders>
              <w:top w:val="single" w:color="auto" w:sz="6" w:space="0"/>
              <w:left w:val="single" w:color="auto" w:sz="6" w:space="0"/>
              <w:bottom w:val="single" w:color="auto" w:sz="6" w:space="0"/>
              <w:right w:val="single" w:color="auto" w:sz="6" w:space="0"/>
            </w:tcBorders>
            <w:noWrap w:val="0"/>
            <w:vAlign w:val="center"/>
          </w:tcPr>
          <w:p w14:paraId="3B49100B">
            <w:pPr>
              <w:jc w:val="left"/>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lang w:val="en-US" w:eastAsia="zh-CN"/>
              </w:rPr>
              <w:t>4</w:t>
            </w:r>
            <w:r>
              <w:rPr>
                <w:rFonts w:hint="eastAsia" w:ascii="仿宋" w:hAnsi="仿宋" w:eastAsia="仿宋" w:cs="仿宋"/>
                <w:color w:val="auto"/>
                <w:kern w:val="2"/>
                <w:sz w:val="24"/>
                <w:szCs w:val="24"/>
                <w:highlight w:val="none"/>
              </w:rPr>
              <w:t>.00分</w:t>
            </w:r>
          </w:p>
        </w:tc>
        <w:tc>
          <w:tcPr>
            <w:tcW w:w="2912" w:type="pct"/>
            <w:tcBorders>
              <w:top w:val="single" w:color="auto" w:sz="6" w:space="0"/>
              <w:left w:val="single" w:color="auto" w:sz="6" w:space="0"/>
              <w:bottom w:val="single" w:color="auto" w:sz="6" w:space="0"/>
              <w:right w:val="single" w:color="auto" w:sz="6" w:space="0"/>
            </w:tcBorders>
            <w:noWrap w:val="0"/>
            <w:vAlign w:val="center"/>
          </w:tcPr>
          <w:p w14:paraId="5CD0D93C">
            <w:pPr>
              <w:jc w:val="left"/>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供应商根据采购需求要求制定项目后续服务方案。后续服务方案全面，可靠，内容优于采购需求的，得</w:t>
            </w:r>
            <w:r>
              <w:rPr>
                <w:rFonts w:hint="eastAsia" w:ascii="仿宋" w:hAnsi="仿宋" w:eastAsia="仿宋" w:cs="仿宋"/>
                <w:color w:val="auto"/>
                <w:kern w:val="2"/>
                <w:sz w:val="24"/>
                <w:szCs w:val="24"/>
                <w:highlight w:val="none"/>
                <w:lang w:val="en-US" w:eastAsia="zh-CN"/>
              </w:rPr>
              <w:t>4</w:t>
            </w:r>
            <w:r>
              <w:rPr>
                <w:rFonts w:hint="eastAsia" w:ascii="仿宋" w:hAnsi="仿宋" w:eastAsia="仿宋" w:cs="仿宋"/>
                <w:color w:val="auto"/>
                <w:kern w:val="2"/>
                <w:sz w:val="24"/>
                <w:szCs w:val="24"/>
                <w:highlight w:val="none"/>
              </w:rPr>
              <w:t>分；内容满足采购需求的，得2分；内容虽欠缺，但基本满足采购需求的，得1分；其他情况不得分。</w:t>
            </w:r>
          </w:p>
        </w:tc>
      </w:tr>
      <w:tr w14:paraId="484092D3">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rPr>
          <w:trHeight w:val="3536" w:hRule="atLeast"/>
        </w:trPr>
        <w:tc>
          <w:tcPr>
            <w:tcW w:w="747" w:type="pct"/>
            <w:vMerge w:val="restart"/>
            <w:tcBorders>
              <w:top w:val="single" w:color="auto" w:sz="6" w:space="0"/>
              <w:left w:val="single" w:color="auto" w:sz="6" w:space="0"/>
              <w:right w:val="single" w:color="auto" w:sz="6" w:space="0"/>
            </w:tcBorders>
            <w:noWrap w:val="0"/>
            <w:vAlign w:val="center"/>
          </w:tcPr>
          <w:p w14:paraId="053BEE45">
            <w:pPr>
              <w:jc w:val="left"/>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项目组成员</w:t>
            </w:r>
          </w:p>
        </w:tc>
        <w:tc>
          <w:tcPr>
            <w:tcW w:w="752" w:type="pct"/>
            <w:tcBorders>
              <w:top w:val="single" w:color="auto" w:sz="6" w:space="0"/>
              <w:left w:val="single" w:color="auto" w:sz="6" w:space="0"/>
              <w:bottom w:val="single" w:color="auto" w:sz="6" w:space="0"/>
              <w:right w:val="single" w:color="auto" w:sz="6" w:space="0"/>
            </w:tcBorders>
            <w:noWrap w:val="0"/>
            <w:vAlign w:val="center"/>
          </w:tcPr>
          <w:p w14:paraId="73B34D3A">
            <w:pPr>
              <w:jc w:val="left"/>
              <w:rPr>
                <w:rFonts w:hint="eastAsia" w:ascii="仿宋" w:hAnsi="仿宋" w:eastAsia="仿宋" w:cs="仿宋"/>
                <w:color w:val="auto"/>
                <w:kern w:val="2"/>
                <w:sz w:val="24"/>
                <w:szCs w:val="24"/>
                <w:highlight w:val="none"/>
                <w:lang w:val="en-US" w:eastAsia="zh-CN"/>
              </w:rPr>
            </w:pPr>
            <w:r>
              <w:rPr>
                <w:rFonts w:hint="eastAsia" w:ascii="仿宋" w:hAnsi="仿宋" w:eastAsia="仿宋" w:cs="仿宋"/>
                <w:color w:val="auto"/>
                <w:kern w:val="2"/>
                <w:sz w:val="24"/>
                <w:szCs w:val="24"/>
                <w:highlight w:val="none"/>
              </w:rPr>
              <w:t>项目组负责人</w:t>
            </w:r>
          </w:p>
        </w:tc>
        <w:tc>
          <w:tcPr>
            <w:tcW w:w="588" w:type="pct"/>
            <w:tcBorders>
              <w:top w:val="single" w:color="auto" w:sz="6" w:space="0"/>
              <w:left w:val="single" w:color="auto" w:sz="6" w:space="0"/>
              <w:bottom w:val="single" w:color="auto" w:sz="6" w:space="0"/>
              <w:right w:val="single" w:color="auto" w:sz="6" w:space="0"/>
            </w:tcBorders>
            <w:noWrap w:val="0"/>
            <w:vAlign w:val="center"/>
          </w:tcPr>
          <w:p w14:paraId="03891326">
            <w:pPr>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lang w:val="en-US" w:eastAsia="zh-CN"/>
              </w:rPr>
              <w:t>6</w:t>
            </w:r>
            <w:r>
              <w:rPr>
                <w:rFonts w:hint="eastAsia" w:ascii="仿宋" w:hAnsi="仿宋" w:eastAsia="仿宋" w:cs="仿宋"/>
                <w:color w:val="auto"/>
                <w:kern w:val="2"/>
                <w:sz w:val="24"/>
                <w:szCs w:val="24"/>
                <w:highlight w:val="none"/>
              </w:rPr>
              <w:t>.00分</w:t>
            </w:r>
          </w:p>
        </w:tc>
        <w:tc>
          <w:tcPr>
            <w:tcW w:w="2912" w:type="pct"/>
            <w:tcBorders>
              <w:top w:val="single" w:color="auto" w:sz="6" w:space="0"/>
              <w:left w:val="single" w:color="auto" w:sz="6" w:space="0"/>
              <w:bottom w:val="single" w:color="auto" w:sz="6" w:space="0"/>
              <w:right w:val="single" w:color="auto" w:sz="6" w:space="0"/>
            </w:tcBorders>
            <w:noWrap w:val="0"/>
            <w:vAlign w:val="center"/>
          </w:tcPr>
          <w:p w14:paraId="491BF058">
            <w:pPr>
              <w:jc w:val="left"/>
              <w:rPr>
                <w:rFonts w:hint="eastAsia" w:ascii="仿宋" w:hAnsi="仿宋" w:eastAsia="仿宋" w:cs="仿宋"/>
                <w:kern w:val="2"/>
                <w:sz w:val="24"/>
                <w:szCs w:val="24"/>
              </w:rPr>
            </w:pPr>
            <w:r>
              <w:rPr>
                <w:rFonts w:hint="eastAsia" w:ascii="仿宋" w:hAnsi="仿宋" w:eastAsia="仿宋" w:cs="仿宋"/>
                <w:kern w:val="2"/>
                <w:sz w:val="24"/>
                <w:szCs w:val="24"/>
              </w:rPr>
              <w:t>1.供应商拟派遣的项目组负责人具有测绘类高级及以上职称4分；具备测绘类中级职称得2 分，最高得4分；</w:t>
            </w:r>
          </w:p>
          <w:p w14:paraId="20DECB33">
            <w:pPr>
              <w:jc w:val="left"/>
              <w:rPr>
                <w:rFonts w:hint="eastAsia" w:ascii="仿宋" w:hAnsi="仿宋" w:eastAsia="仿宋" w:cs="仿宋"/>
                <w:kern w:val="2"/>
                <w:sz w:val="24"/>
                <w:szCs w:val="24"/>
              </w:rPr>
            </w:pPr>
            <w:r>
              <w:rPr>
                <w:rFonts w:hint="eastAsia" w:ascii="仿宋" w:hAnsi="仿宋" w:eastAsia="仿宋" w:cs="仿宋"/>
                <w:kern w:val="2"/>
                <w:sz w:val="24"/>
                <w:szCs w:val="24"/>
              </w:rPr>
              <w:t>2.供应商拟派遣的项目组负责人具有注册测绘师证书的得2分。</w:t>
            </w:r>
          </w:p>
          <w:p w14:paraId="46ACC378">
            <w:pPr>
              <w:jc w:val="left"/>
              <w:rPr>
                <w:rFonts w:hint="eastAsia" w:ascii="仿宋" w:hAnsi="仿宋" w:eastAsia="仿宋" w:cs="仿宋"/>
                <w:color w:val="auto"/>
                <w:kern w:val="2"/>
                <w:sz w:val="24"/>
                <w:szCs w:val="24"/>
                <w:highlight w:val="none"/>
              </w:rPr>
            </w:pPr>
            <w:r>
              <w:rPr>
                <w:rFonts w:hint="eastAsia" w:ascii="仿宋" w:hAnsi="仿宋" w:eastAsia="仿宋" w:cs="仿宋"/>
                <w:kern w:val="2"/>
                <w:sz w:val="24"/>
                <w:szCs w:val="24"/>
              </w:rPr>
              <w:t>注：（1）须提供上述人员相应证书电子件或扫描件加盖公章及2026年1月以来任意1个月的社保缴纳证明材料（以社保主管部门出具的证明材料为准），不提供或提供不全不予计分；（2）专业以职称证书或职称评审表或毕业证书或注册证书为准。</w:t>
            </w:r>
          </w:p>
        </w:tc>
      </w:tr>
      <w:tr w14:paraId="2BEA0115">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rPr>
          <w:trHeight w:val="1935" w:hRule="atLeast"/>
        </w:trPr>
        <w:tc>
          <w:tcPr>
            <w:tcW w:w="747" w:type="pct"/>
            <w:vMerge w:val="continue"/>
            <w:tcBorders>
              <w:left w:val="single" w:color="auto" w:sz="6" w:space="0"/>
              <w:right w:val="single" w:color="auto" w:sz="6" w:space="0"/>
            </w:tcBorders>
            <w:noWrap w:val="0"/>
            <w:vAlign w:val="center"/>
          </w:tcPr>
          <w:p w14:paraId="56DC885B">
            <w:pPr>
              <w:jc w:val="left"/>
              <w:rPr>
                <w:rFonts w:hint="eastAsia" w:ascii="仿宋" w:hAnsi="仿宋" w:eastAsia="仿宋" w:cs="仿宋"/>
                <w:color w:val="auto"/>
                <w:kern w:val="2"/>
                <w:sz w:val="24"/>
                <w:szCs w:val="24"/>
                <w:highlight w:val="none"/>
              </w:rPr>
            </w:pPr>
          </w:p>
        </w:tc>
        <w:tc>
          <w:tcPr>
            <w:tcW w:w="752" w:type="pct"/>
            <w:tcBorders>
              <w:top w:val="single" w:color="auto" w:sz="6" w:space="0"/>
              <w:left w:val="single" w:color="auto" w:sz="6" w:space="0"/>
              <w:bottom w:val="single" w:color="auto" w:sz="6" w:space="0"/>
              <w:right w:val="single" w:color="auto" w:sz="6" w:space="0"/>
            </w:tcBorders>
            <w:noWrap w:val="0"/>
            <w:vAlign w:val="center"/>
          </w:tcPr>
          <w:p w14:paraId="16958E91">
            <w:pPr>
              <w:jc w:val="left"/>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项目组技术负责人（项目负责人不得兼任）</w:t>
            </w:r>
          </w:p>
        </w:tc>
        <w:tc>
          <w:tcPr>
            <w:tcW w:w="588" w:type="pct"/>
            <w:tcBorders>
              <w:top w:val="single" w:color="auto" w:sz="6" w:space="0"/>
              <w:left w:val="single" w:color="auto" w:sz="6" w:space="0"/>
              <w:bottom w:val="single" w:color="auto" w:sz="6" w:space="0"/>
              <w:right w:val="single" w:color="auto" w:sz="6" w:space="0"/>
            </w:tcBorders>
            <w:noWrap w:val="0"/>
            <w:vAlign w:val="center"/>
          </w:tcPr>
          <w:p w14:paraId="613C335F">
            <w:pPr>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lang w:val="en-US" w:eastAsia="zh-CN"/>
              </w:rPr>
              <w:t>6</w:t>
            </w:r>
            <w:r>
              <w:rPr>
                <w:rFonts w:hint="eastAsia" w:ascii="仿宋" w:hAnsi="仿宋" w:eastAsia="仿宋" w:cs="仿宋"/>
                <w:color w:val="auto"/>
                <w:kern w:val="2"/>
                <w:sz w:val="24"/>
                <w:szCs w:val="24"/>
                <w:highlight w:val="none"/>
              </w:rPr>
              <w:t>.00分</w:t>
            </w:r>
          </w:p>
        </w:tc>
        <w:tc>
          <w:tcPr>
            <w:tcW w:w="2912" w:type="pct"/>
            <w:tcBorders>
              <w:top w:val="single" w:color="auto" w:sz="6" w:space="0"/>
              <w:left w:val="single" w:color="auto" w:sz="6" w:space="0"/>
              <w:bottom w:val="single" w:color="auto" w:sz="6" w:space="0"/>
              <w:right w:val="single" w:color="auto" w:sz="6" w:space="0"/>
            </w:tcBorders>
            <w:noWrap w:val="0"/>
            <w:vAlign w:val="center"/>
          </w:tcPr>
          <w:p w14:paraId="45A25BA2">
            <w:pPr>
              <w:jc w:val="left"/>
              <w:rPr>
                <w:rFonts w:hint="eastAsia" w:ascii="仿宋" w:hAnsi="仿宋" w:eastAsia="仿宋" w:cs="仿宋"/>
                <w:kern w:val="2"/>
                <w:sz w:val="24"/>
                <w:szCs w:val="24"/>
                <w:highlight w:val="none"/>
              </w:rPr>
            </w:pPr>
            <w:r>
              <w:rPr>
                <w:rFonts w:hint="eastAsia" w:ascii="仿宋" w:hAnsi="仿宋" w:eastAsia="仿宋" w:cs="仿宋"/>
                <w:kern w:val="2"/>
                <w:sz w:val="24"/>
                <w:szCs w:val="24"/>
                <w:highlight w:val="none"/>
              </w:rPr>
              <w:t>1.供应商拟派遣的项目组技术负责人（项目负责人不得兼任）具有测绘类高级及以上职称得 4 分，具备测绘类中级职称得2分；最高得4 分；</w:t>
            </w:r>
          </w:p>
          <w:p w14:paraId="7C3DD0D3">
            <w:pPr>
              <w:jc w:val="left"/>
              <w:rPr>
                <w:rFonts w:hint="default" w:ascii="仿宋" w:hAnsi="仿宋" w:eastAsia="仿宋" w:cs="仿宋"/>
                <w:kern w:val="2"/>
                <w:sz w:val="24"/>
                <w:szCs w:val="24"/>
                <w:highlight w:val="none"/>
              </w:rPr>
            </w:pPr>
            <w:r>
              <w:rPr>
                <w:rFonts w:hint="eastAsia" w:ascii="仿宋" w:hAnsi="仿宋" w:eastAsia="仿宋" w:cs="仿宋"/>
                <w:kern w:val="2"/>
                <w:sz w:val="24"/>
                <w:szCs w:val="24"/>
                <w:highlight w:val="none"/>
              </w:rPr>
              <w:t>2.供应商拟派遣的项目组技术负责人（项目负责人不得兼任）具有地理信息保密培训合格证书的得2分。</w:t>
            </w:r>
          </w:p>
          <w:p w14:paraId="14D4FC31">
            <w:pPr>
              <w:jc w:val="left"/>
              <w:rPr>
                <w:rFonts w:hint="eastAsia" w:ascii="仿宋" w:hAnsi="仿宋" w:eastAsia="仿宋" w:cs="仿宋"/>
                <w:color w:val="auto"/>
                <w:kern w:val="2"/>
                <w:sz w:val="24"/>
                <w:szCs w:val="24"/>
                <w:highlight w:val="none"/>
              </w:rPr>
            </w:pPr>
            <w:r>
              <w:rPr>
                <w:rFonts w:hint="eastAsia" w:ascii="仿宋" w:hAnsi="仿宋" w:eastAsia="仿宋" w:cs="仿宋"/>
                <w:kern w:val="2"/>
                <w:sz w:val="24"/>
                <w:szCs w:val="24"/>
                <w:highlight w:val="none"/>
              </w:rPr>
              <w:t>注：（1）须提供上述人员相应证书电子件或扫描件加盖公章及2026年</w:t>
            </w:r>
            <w:r>
              <w:rPr>
                <w:rFonts w:hint="eastAsia" w:ascii="仿宋" w:hAnsi="仿宋" w:eastAsia="仿宋" w:cs="仿宋"/>
                <w:kern w:val="2"/>
                <w:sz w:val="24"/>
                <w:szCs w:val="24"/>
                <w:highlight w:val="none"/>
                <w:lang w:val="en-US" w:eastAsia="zh-CN"/>
              </w:rPr>
              <w:t>2</w:t>
            </w:r>
            <w:r>
              <w:rPr>
                <w:rFonts w:hint="eastAsia" w:ascii="仿宋" w:hAnsi="仿宋" w:eastAsia="仿宋" w:cs="仿宋"/>
                <w:kern w:val="2"/>
                <w:sz w:val="24"/>
                <w:szCs w:val="24"/>
                <w:highlight w:val="none"/>
              </w:rPr>
              <w:t>月以来任意1个月的社保缴纳证明材料（以社保主管部门出具的证明材料为准），不提供或提供不全不予计分；（2）专业以职称证书或职称评审表或毕业证书或注册证书为准。</w:t>
            </w:r>
          </w:p>
        </w:tc>
      </w:tr>
      <w:tr w14:paraId="65453B25">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rPr>
          <w:trHeight w:val="4207" w:hRule="atLeast"/>
        </w:trPr>
        <w:tc>
          <w:tcPr>
            <w:tcW w:w="747" w:type="pct"/>
            <w:tcBorders>
              <w:left w:val="single" w:color="auto" w:sz="6" w:space="0"/>
              <w:right w:val="single" w:color="auto" w:sz="6" w:space="0"/>
            </w:tcBorders>
            <w:noWrap w:val="0"/>
            <w:vAlign w:val="center"/>
          </w:tcPr>
          <w:p w14:paraId="38F67922">
            <w:pPr>
              <w:jc w:val="left"/>
              <w:rPr>
                <w:rFonts w:hint="eastAsia" w:ascii="仿宋" w:hAnsi="仿宋" w:eastAsia="仿宋" w:cs="仿宋"/>
                <w:color w:val="auto"/>
                <w:kern w:val="2"/>
                <w:sz w:val="24"/>
                <w:szCs w:val="24"/>
                <w:highlight w:val="none"/>
              </w:rPr>
            </w:pPr>
          </w:p>
        </w:tc>
        <w:tc>
          <w:tcPr>
            <w:tcW w:w="752" w:type="pct"/>
            <w:tcBorders>
              <w:top w:val="single" w:color="auto" w:sz="6" w:space="0"/>
              <w:left w:val="single" w:color="auto" w:sz="6" w:space="0"/>
              <w:bottom w:val="single" w:color="auto" w:sz="6" w:space="0"/>
              <w:right w:val="single" w:color="auto" w:sz="6" w:space="0"/>
            </w:tcBorders>
            <w:noWrap w:val="0"/>
            <w:vAlign w:val="center"/>
          </w:tcPr>
          <w:p w14:paraId="3CE79D9B">
            <w:pPr>
              <w:jc w:val="left"/>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 xml:space="preserve">项目组其他成员 </w:t>
            </w:r>
          </w:p>
        </w:tc>
        <w:tc>
          <w:tcPr>
            <w:tcW w:w="588" w:type="pct"/>
            <w:tcBorders>
              <w:top w:val="single" w:color="auto" w:sz="6" w:space="0"/>
              <w:left w:val="single" w:color="auto" w:sz="6" w:space="0"/>
              <w:bottom w:val="single" w:color="auto" w:sz="6" w:space="0"/>
              <w:right w:val="single" w:color="auto" w:sz="6" w:space="0"/>
            </w:tcBorders>
            <w:noWrap w:val="0"/>
            <w:vAlign w:val="center"/>
          </w:tcPr>
          <w:p w14:paraId="22BF37FA">
            <w:pPr>
              <w:rPr>
                <w:rFonts w:hint="eastAsia" w:ascii="仿宋" w:hAnsi="仿宋" w:eastAsia="仿宋" w:cs="仿宋"/>
                <w:color w:val="auto"/>
                <w:kern w:val="2"/>
                <w:sz w:val="24"/>
                <w:szCs w:val="24"/>
                <w:highlight w:val="none"/>
                <w:lang w:val="en-US" w:eastAsia="zh-CN"/>
              </w:rPr>
            </w:pPr>
            <w:r>
              <w:rPr>
                <w:rFonts w:hint="eastAsia" w:ascii="仿宋" w:hAnsi="仿宋" w:eastAsia="仿宋" w:cs="仿宋"/>
                <w:color w:val="auto"/>
                <w:kern w:val="2"/>
                <w:sz w:val="24"/>
                <w:szCs w:val="24"/>
                <w:highlight w:val="none"/>
                <w:lang w:val="en-US" w:eastAsia="zh-CN"/>
              </w:rPr>
              <w:t>18</w:t>
            </w:r>
            <w:r>
              <w:rPr>
                <w:rFonts w:hint="eastAsia" w:ascii="仿宋" w:hAnsi="仿宋" w:eastAsia="仿宋" w:cs="仿宋"/>
                <w:color w:val="auto"/>
                <w:kern w:val="2"/>
                <w:sz w:val="24"/>
                <w:szCs w:val="24"/>
                <w:highlight w:val="none"/>
              </w:rPr>
              <w:t>.00分</w:t>
            </w:r>
          </w:p>
        </w:tc>
        <w:tc>
          <w:tcPr>
            <w:tcW w:w="2912" w:type="pct"/>
            <w:tcBorders>
              <w:top w:val="single" w:color="auto" w:sz="6" w:space="0"/>
              <w:left w:val="single" w:color="auto" w:sz="6" w:space="0"/>
              <w:bottom w:val="single" w:color="auto" w:sz="6" w:space="0"/>
              <w:right w:val="single" w:color="auto" w:sz="6" w:space="0"/>
            </w:tcBorders>
            <w:noWrap w:val="0"/>
            <w:vAlign w:val="center"/>
          </w:tcPr>
          <w:p w14:paraId="1FC53F47">
            <w:pPr>
              <w:numPr>
                <w:ilvl w:val="0"/>
                <w:numId w:val="6"/>
              </w:numPr>
              <w:jc w:val="left"/>
              <w:rPr>
                <w:rFonts w:hint="eastAsia" w:ascii="仿宋" w:hAnsi="仿宋" w:eastAsia="仿宋" w:cs="仿宋"/>
                <w:kern w:val="2"/>
                <w:sz w:val="24"/>
                <w:szCs w:val="24"/>
                <w:highlight w:val="none"/>
              </w:rPr>
            </w:pPr>
            <w:r>
              <w:rPr>
                <w:rFonts w:hint="eastAsia" w:ascii="仿宋" w:hAnsi="仿宋" w:eastAsia="仿宋" w:cs="仿宋"/>
                <w:kern w:val="2"/>
                <w:sz w:val="24"/>
                <w:szCs w:val="24"/>
                <w:highlight w:val="none"/>
              </w:rPr>
              <w:t>供应商拟派遣的项目组其他人员（项目负责人、技术负责人除外）具有测绘类高级及以上职称的，每有一人得4分，具有测绘类中级职称的，每有一人2分；最高得12分；</w:t>
            </w:r>
          </w:p>
          <w:p w14:paraId="6BFBD2FA">
            <w:pPr>
              <w:numPr>
                <w:ilvl w:val="0"/>
                <w:numId w:val="6"/>
              </w:numPr>
              <w:jc w:val="left"/>
              <w:rPr>
                <w:rFonts w:hint="eastAsia" w:ascii="仿宋" w:hAnsi="仿宋" w:eastAsia="仿宋" w:cs="仿宋"/>
                <w:kern w:val="2"/>
                <w:sz w:val="24"/>
                <w:szCs w:val="24"/>
                <w:highlight w:val="none"/>
              </w:rPr>
            </w:pPr>
            <w:r>
              <w:rPr>
                <w:rFonts w:hint="eastAsia" w:ascii="仿宋" w:hAnsi="仿宋" w:eastAsia="仿宋" w:cs="仿宋"/>
                <w:kern w:val="2"/>
                <w:sz w:val="24"/>
                <w:szCs w:val="24"/>
                <w:highlight w:val="none"/>
              </w:rPr>
              <w:t>供应商拟派遣的项目组其他人员（项目负责人、技术负责人除外）具有注册测绘师证书的，每有一人2分；最高得6分。</w:t>
            </w:r>
          </w:p>
          <w:p w14:paraId="304049B5">
            <w:pPr>
              <w:jc w:val="left"/>
              <w:rPr>
                <w:rFonts w:hint="eastAsia" w:ascii="仿宋" w:hAnsi="仿宋" w:eastAsia="仿宋" w:cs="仿宋"/>
                <w:color w:val="auto"/>
                <w:kern w:val="2"/>
                <w:sz w:val="24"/>
                <w:szCs w:val="24"/>
                <w:highlight w:val="none"/>
              </w:rPr>
            </w:pPr>
            <w:r>
              <w:rPr>
                <w:rFonts w:hint="eastAsia" w:ascii="仿宋" w:hAnsi="仿宋" w:eastAsia="仿宋" w:cs="仿宋"/>
                <w:kern w:val="2"/>
                <w:sz w:val="24"/>
                <w:szCs w:val="24"/>
                <w:highlight w:val="none"/>
              </w:rPr>
              <w:t>注：（1）须提供上述人员相应证书电子件或扫描件加盖公章及2026年</w:t>
            </w:r>
            <w:r>
              <w:rPr>
                <w:rFonts w:hint="eastAsia" w:ascii="仿宋" w:hAnsi="仿宋" w:eastAsia="仿宋" w:cs="仿宋"/>
                <w:kern w:val="2"/>
                <w:sz w:val="24"/>
                <w:szCs w:val="24"/>
                <w:highlight w:val="none"/>
                <w:lang w:val="en-US" w:eastAsia="zh-CN"/>
              </w:rPr>
              <w:t>2</w:t>
            </w:r>
            <w:r>
              <w:rPr>
                <w:rFonts w:hint="eastAsia" w:ascii="仿宋" w:hAnsi="仿宋" w:eastAsia="仿宋" w:cs="仿宋"/>
                <w:kern w:val="2"/>
                <w:sz w:val="24"/>
                <w:szCs w:val="24"/>
                <w:highlight w:val="none"/>
              </w:rPr>
              <w:t>月以来任意1个月的社保缴纳证明材料（以社保主管部门出具的证明材料为准），不提供或提供不全不予计分；（2）专业以职称证书或职称评审表或毕业证书或注册证书为准。</w:t>
            </w:r>
          </w:p>
        </w:tc>
      </w:tr>
    </w:tbl>
    <w:p w14:paraId="181B19A6">
      <w:pPr>
        <w:adjustRightInd w:val="0"/>
        <w:snapToGrid w:val="0"/>
        <w:spacing w:line="360" w:lineRule="auto"/>
        <w:ind w:right="-10" w:firstLine="480" w:firstLineChars="200"/>
        <w:rPr>
          <w:rFonts w:hint="default" w:ascii="仿宋_GB2312" w:hAnsi="Times New Roman" w:eastAsia="仿宋_GB2312" w:cs="Times New Roman"/>
          <w:kern w:val="2"/>
          <w:sz w:val="24"/>
        </w:rPr>
      </w:pPr>
    </w:p>
    <w:p w14:paraId="67CDD013">
      <w:pPr>
        <w:spacing w:line="520" w:lineRule="exact"/>
        <w:rPr>
          <w:rFonts w:hint="eastAsia" w:ascii="仿宋" w:hAnsi="仿宋" w:eastAsia="仿宋" w:cs="仿宋"/>
          <w:b/>
          <w:color w:val="auto"/>
          <w:sz w:val="24"/>
          <w:szCs w:val="24"/>
          <w:highlight w:val="none"/>
        </w:rPr>
      </w:pPr>
      <w:r>
        <w:rPr>
          <w:rFonts w:hint="eastAsia" w:ascii="仿宋" w:hAnsi="仿宋" w:eastAsia="仿宋" w:cs="仿宋"/>
          <w:color w:val="auto"/>
          <w:sz w:val="20"/>
          <w:highlight w:val="none"/>
        </w:rPr>
        <w:t xml:space="preserve"> </w:t>
      </w:r>
      <w:bookmarkEnd w:id="203"/>
      <w:r>
        <w:rPr>
          <w:rFonts w:hint="eastAsia" w:ascii="仿宋" w:hAnsi="仿宋" w:eastAsia="仿宋" w:cs="仿宋"/>
          <w:b/>
          <w:color w:val="auto"/>
          <w:sz w:val="24"/>
          <w:highlight w:val="none"/>
        </w:rPr>
        <w:t>（三）评标结果。</w:t>
      </w:r>
      <w:r>
        <w:rPr>
          <w:rFonts w:hint="eastAsia" w:ascii="仿宋" w:hAnsi="仿宋" w:eastAsia="仿宋" w:cs="仿宋"/>
          <w:color w:val="auto"/>
          <w:sz w:val="24"/>
          <w:highlight w:val="none"/>
        </w:rPr>
        <w:t>磋商小组按照本办法规定推荐成交候选人，并形成评标报告。</w:t>
      </w:r>
    </w:p>
    <w:p w14:paraId="3A2A25DD">
      <w:pPr>
        <w:spacing w:line="52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（四）政府采购政策功能落实</w:t>
      </w:r>
    </w:p>
    <w:p w14:paraId="5A03D588">
      <w:pPr>
        <w:spacing w:line="520" w:lineRule="exact"/>
        <w:ind w:firstLine="241"/>
        <w:rPr>
          <w:rFonts w:hint="eastAsia" w:ascii="仿宋" w:hAnsi="仿宋" w:eastAsia="仿宋" w:cs="仿宋"/>
          <w:b/>
          <w:color w:val="auto"/>
          <w:sz w:val="24"/>
          <w:highlight w:val="none"/>
        </w:rPr>
      </w:pPr>
      <w:r>
        <w:rPr>
          <w:rFonts w:hint="eastAsia" w:ascii="仿宋" w:hAnsi="仿宋" w:eastAsia="仿宋" w:cs="仿宋"/>
          <w:b/>
          <w:bCs/>
          <w:color w:val="auto"/>
          <w:sz w:val="24"/>
          <w:highlight w:val="none"/>
        </w:rPr>
        <w:t>本项目落实的政府采购政策对应以下序号为</w:t>
      </w:r>
      <w:r>
        <w:rPr>
          <w:rFonts w:hint="eastAsia" w:ascii="仿宋" w:hAnsi="仿宋" w:eastAsia="仿宋" w:cs="仿宋"/>
          <w:b/>
          <w:bCs/>
          <w:color w:val="auto"/>
          <w:sz w:val="24"/>
          <w:highlight w:val="none"/>
          <w:u w:val="single"/>
        </w:rPr>
        <w:t xml:space="preserve"> 1、2 </w:t>
      </w:r>
    </w:p>
    <w:p w14:paraId="1E5B5649">
      <w:pPr>
        <w:spacing w:line="520" w:lineRule="exact"/>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1.采购本国货物、工程和服务</w:t>
      </w:r>
    </w:p>
    <w:p w14:paraId="37737E0F">
      <w:pPr>
        <w:spacing w:line="520" w:lineRule="exact"/>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号文）、《关于政府采购进口产品管理有关问题的通知》（财办库〔2008〕248号文）等相关规定。是否采购进口产品以采购需求中确定的为准。</w:t>
      </w:r>
    </w:p>
    <w:p w14:paraId="40DDC9C7">
      <w:pPr>
        <w:spacing w:line="520" w:lineRule="exact"/>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2.中小企业政策</w:t>
      </w:r>
    </w:p>
    <w:p w14:paraId="01A566B6">
      <w:pPr>
        <w:spacing w:line="520" w:lineRule="exact"/>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本项目按以下第</w:t>
      </w:r>
      <w:r>
        <w:rPr>
          <w:rFonts w:hint="eastAsia" w:ascii="仿宋" w:hAnsi="仿宋" w:eastAsia="仿宋" w:cs="仿宋"/>
          <w:b/>
          <w:bCs/>
          <w:color w:val="auto"/>
          <w:sz w:val="24"/>
          <w:highlight w:val="none"/>
          <w:u w:val="single"/>
        </w:rPr>
        <w:t xml:space="preserve"> （1）</w:t>
      </w:r>
      <w:r>
        <w:rPr>
          <w:rFonts w:hint="eastAsia" w:ascii="仿宋" w:hAnsi="仿宋" w:eastAsia="仿宋" w:cs="仿宋"/>
          <w:b/>
          <w:bCs/>
          <w:color w:val="auto"/>
          <w:sz w:val="24"/>
          <w:highlight w:val="none"/>
          <w:u w:val="single"/>
          <w:lang w:val="en-US" w:eastAsia="zh-CN"/>
        </w:rPr>
        <w:t xml:space="preserve"> </w:t>
      </w:r>
      <w:r>
        <w:rPr>
          <w:rFonts w:hint="eastAsia" w:ascii="仿宋" w:hAnsi="仿宋" w:eastAsia="仿宋" w:cs="仿宋"/>
          <w:color w:val="auto"/>
          <w:sz w:val="24"/>
          <w:highlight w:val="none"/>
        </w:rPr>
        <w:t>种政策确定本项目落实的中小企业政策：</w:t>
      </w:r>
    </w:p>
    <w:p w14:paraId="49400433">
      <w:pPr>
        <w:spacing w:line="520" w:lineRule="exact"/>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（1）本项目专门面向中小企业（含监狱企业、残疾人福利企业）采购。</w:t>
      </w:r>
    </w:p>
    <w:p w14:paraId="5815380C">
      <w:pPr>
        <w:spacing w:line="520" w:lineRule="exact"/>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（2）供应商提供的货物、工程或者服务符合下列情形的，对小微企业报价给予</w:t>
      </w:r>
      <w:r>
        <w:rPr>
          <w:rFonts w:hint="eastAsia" w:ascii="仿宋" w:hAnsi="仿宋" w:eastAsia="仿宋" w:cs="仿宋"/>
          <w:color w:val="auto"/>
          <w:sz w:val="24"/>
          <w:highlight w:val="none"/>
          <w:u w:val="single"/>
        </w:rPr>
        <w:t xml:space="preserve"> / </w:t>
      </w:r>
      <w:r>
        <w:rPr>
          <w:rFonts w:hint="eastAsia" w:ascii="仿宋" w:hAnsi="仿宋" w:eastAsia="仿宋" w:cs="仿宋"/>
          <w:color w:val="auto"/>
          <w:sz w:val="24"/>
          <w:highlight w:val="none"/>
        </w:rPr>
        <w:t>%（工程项目为</w:t>
      </w:r>
      <w:r>
        <w:rPr>
          <w:rFonts w:hint="eastAsia" w:ascii="仿宋" w:hAnsi="仿宋" w:eastAsia="仿宋" w:cs="仿宋"/>
          <w:color w:val="auto"/>
          <w:sz w:val="24"/>
          <w:highlight w:val="none"/>
          <w:u w:val="single"/>
        </w:rPr>
        <w:t xml:space="preserve"> / </w:t>
      </w:r>
      <w:r>
        <w:rPr>
          <w:rFonts w:hint="eastAsia" w:ascii="仿宋" w:hAnsi="仿宋" w:eastAsia="仿宋" w:cs="仿宋"/>
          <w:color w:val="auto"/>
          <w:sz w:val="24"/>
          <w:highlight w:val="none"/>
        </w:rPr>
        <w:t xml:space="preserve">%）的扣除，用扣除后的价格参加评审。    </w:t>
      </w:r>
    </w:p>
    <w:p w14:paraId="35DB9AE3">
      <w:pPr>
        <w:spacing w:line="520" w:lineRule="exact"/>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（一）在货物采购项目中，货物由中小企业制造，即货物由中小企业生产且使用该中小企业商号或者注册商标；</w:t>
      </w:r>
    </w:p>
    <w:p w14:paraId="574F8337">
      <w:pPr>
        <w:spacing w:line="520" w:lineRule="exact"/>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（二）在工程采购项目中，工程由中小企业承建，即工程施工单位为中小企业；</w:t>
      </w:r>
    </w:p>
    <w:p w14:paraId="5A30A043">
      <w:pPr>
        <w:spacing w:line="520" w:lineRule="exact"/>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（三）在服务采购项目中，服务由中小企业承接，即提供服务的人员为中小企业依照《中华人民共和国民法典》订立劳动合同的从业人员。</w:t>
      </w:r>
    </w:p>
    <w:p w14:paraId="599B7B0B">
      <w:pPr>
        <w:spacing w:line="520" w:lineRule="exact"/>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注：①参加投标的中小企业，应当按照《政府采购促进中小企业发展管理办法》（财库〔2020〕46号）规定，出具《中小企业声明函》，中小企业划型依据《关于印发中小企业划型标准规定的通知》（工信部联企业〔2011〕300 号）。</w:t>
      </w:r>
    </w:p>
    <w:p w14:paraId="1FEB1C28">
      <w:pPr>
        <w:spacing w:line="520" w:lineRule="exact"/>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响应文件中上传加盖出具单位公章的电子件）。</w:t>
      </w:r>
    </w:p>
    <w:p w14:paraId="56FA6F53">
      <w:pPr>
        <w:spacing w:line="520" w:lineRule="exact"/>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③参加投标的残疾人福利性单位，视同小型、微型企业。残疾人福利性单位应当按照《财政部 民政部 中国残疾人联合会关于促进残疾人就业政府采购政策的通知》（财库〔2017〕141号）的规定，提供《残疾人福利性单位声明函》。</w:t>
      </w:r>
    </w:p>
    <w:p w14:paraId="5AD2D711">
      <w:pPr>
        <w:spacing w:line="520" w:lineRule="exact"/>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5%（工程项目为2%）的扣除，用扣除后的价格参加评审。（是否接受联合体以“项目基本情况”相关内容为准，是否允许大中型企业向一家或者多家小微企业分包以“供应商须知”、“采购需求”相关内容为准。）</w:t>
      </w:r>
    </w:p>
    <w:p w14:paraId="6E948F9C">
      <w:pPr>
        <w:spacing w:line="520" w:lineRule="exact"/>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3.政府采购节能产品、环境标志产品</w:t>
      </w:r>
    </w:p>
    <w:p w14:paraId="36FC4498">
      <w:pPr>
        <w:spacing w:line="520" w:lineRule="exact"/>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1）采购人拟采购的产品属于品目清单范围的，采购人及其委托的采购代理机构将依据国家确定的认证机构出具的、处于有效期之内的节能产品、环境标志产品认证证书，对获得证书的产品实施政府优先采购或强制采购。供应商须按磋商文件要求提供相关产品认证证书。</w:t>
      </w:r>
    </w:p>
    <w:p w14:paraId="04CA188A">
      <w:pPr>
        <w:spacing w:line="520" w:lineRule="exact"/>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（2）采购人拟采购的产品属于政府强制采购的节能产品品目清单范围的，供应商须提供国家确定的认证机构出具的、处于有效期之内的节能产品认证证书的，否则无效标处理。</w:t>
      </w:r>
    </w:p>
    <w:p w14:paraId="3115E711">
      <w:pPr>
        <w:spacing w:line="520" w:lineRule="exact"/>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（3）采购人拟采购的产品属于优先采购的节能环保品目清单范围的，按以下条件优先采购：</w:t>
      </w:r>
    </w:p>
    <w:p w14:paraId="6E5D286D">
      <w:pPr>
        <w:spacing w:line="520" w:lineRule="exact"/>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采用综合评分法的项目，对提供有效节能环保证书的供应商加分。</w:t>
      </w:r>
    </w:p>
    <w:p w14:paraId="1390A374">
      <w:pPr>
        <w:spacing w:line="520" w:lineRule="exact"/>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4.商品包装、快递包装政府采购需求标准（试行）</w:t>
      </w:r>
    </w:p>
    <w:p w14:paraId="4728F458">
      <w:pPr>
        <w:spacing w:line="520" w:lineRule="exact"/>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为助力打好污染防治攻坚战，推广使用绿色包装，根据财政部印发的《商品包装政府采购需求标准（试行）》、《快递包装政府采购需求标准（试行）》，如本项目涉及商品包装和快递包装的，具体需求详见第四章采购需求。</w:t>
      </w:r>
    </w:p>
    <w:p w14:paraId="4A032325">
      <w:pPr>
        <w:spacing w:line="520" w:lineRule="exact"/>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5、绿色数据中心政府采购需求标准（试行）</w:t>
      </w:r>
    </w:p>
    <w:p w14:paraId="1AF37501">
      <w:pPr>
        <w:spacing w:line="520" w:lineRule="exact"/>
        <w:ind w:firstLine="480"/>
        <w:jc w:val="left"/>
        <w:rPr>
          <w:rFonts w:hint="eastAsia" w:ascii="仿宋" w:hAnsi="仿宋" w:eastAsia="仿宋" w:cs="仿宋"/>
          <w:color w:val="auto"/>
          <w:sz w:val="24"/>
          <w:szCs w:val="24"/>
          <w:highlight w:val="none"/>
        </w:rPr>
      </w:pPr>
      <w:r>
        <w:rPr>
          <w:rFonts w:hint="eastAsia" w:ascii="仿宋" w:hAnsi="仿宋" w:eastAsia="仿宋" w:cs="仿宋"/>
          <w:color w:val="auto"/>
          <w:sz w:val="24"/>
          <w:highlight w:val="none"/>
        </w:rPr>
        <w:t>为加快数据中心绿色转型，根据财政部 生态环境部 工业和信息化部关于印发《绿色数据中心政府采购需求标准（试行）》的通知），本项目如涉及绿色数据中心，具体需求详见第四章采购需求。</w:t>
      </w:r>
    </w:p>
    <w:p w14:paraId="3D80A450">
      <w:pPr>
        <w:spacing w:line="42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br w:type="page" w:clear="all"/>
      </w:r>
    </w:p>
    <w:p w14:paraId="709CAF57">
      <w:pPr>
        <w:keepNext/>
        <w:jc w:val="center"/>
        <w:outlineLvl w:val="0"/>
        <w:rPr>
          <w:rFonts w:hint="eastAsia" w:ascii="仿宋" w:hAnsi="仿宋" w:eastAsia="仿宋" w:cs="仿宋"/>
          <w:bCs/>
          <w:color w:val="auto"/>
          <w:sz w:val="44"/>
          <w:szCs w:val="28"/>
          <w:highlight w:val="none"/>
        </w:rPr>
      </w:pPr>
      <w:bookmarkStart w:id="206" w:name="_Toc28887"/>
      <w:r>
        <w:rPr>
          <w:rStyle w:val="79"/>
          <w:rFonts w:hint="eastAsia" w:ascii="仿宋" w:hAnsi="仿宋" w:eastAsia="仿宋" w:cs="仿宋"/>
          <w:b/>
          <w:bCs/>
          <w:color w:val="auto"/>
          <w:highlight w:val="none"/>
        </w:rPr>
        <w:t xml:space="preserve">第六章  </w:t>
      </w:r>
      <w:bookmarkEnd w:id="198"/>
      <w:bookmarkEnd w:id="199"/>
      <w:bookmarkEnd w:id="201"/>
      <w:r>
        <w:rPr>
          <w:rStyle w:val="79"/>
          <w:rFonts w:hint="eastAsia" w:ascii="仿宋" w:hAnsi="仿宋" w:eastAsia="仿宋" w:cs="仿宋"/>
          <w:b/>
          <w:bCs/>
          <w:color w:val="auto"/>
          <w:highlight w:val="none"/>
        </w:rPr>
        <w:t>响应文件格式</w:t>
      </w:r>
      <w:bookmarkEnd w:id="206"/>
      <w:r>
        <w:rPr>
          <w:rFonts w:hint="eastAsia" w:ascii="仿宋" w:hAnsi="仿宋" w:eastAsia="仿宋" w:cs="仿宋"/>
          <w:bCs/>
          <w:color w:val="auto"/>
          <w:sz w:val="44"/>
          <w:szCs w:val="28"/>
          <w:highlight w:val="none"/>
        </w:rPr>
        <w:t xml:space="preserve"> </w:t>
      </w:r>
    </w:p>
    <w:p w14:paraId="6E8766C5">
      <w:pPr>
        <w:jc w:val="center"/>
        <w:rPr>
          <w:rFonts w:hint="eastAsia" w:ascii="仿宋" w:hAnsi="仿宋" w:eastAsia="仿宋" w:cs="仿宋"/>
          <w:b/>
          <w:color w:val="auto"/>
          <w:sz w:val="72"/>
          <w:szCs w:val="21"/>
          <w:highlight w:val="none"/>
        </w:rPr>
      </w:pPr>
      <w:bookmarkStart w:id="207" w:name="_Hlt26955039"/>
      <w:bookmarkEnd w:id="207"/>
      <w:bookmarkStart w:id="208" w:name="_Hlt26671244"/>
      <w:bookmarkEnd w:id="208"/>
      <w:bookmarkStart w:id="209" w:name="_Toc120614282"/>
      <w:bookmarkStart w:id="210" w:name="_Toc49090576"/>
      <w:bookmarkStart w:id="211" w:name="_Toc26554094"/>
    </w:p>
    <w:p w14:paraId="621A4283">
      <w:pPr>
        <w:jc w:val="center"/>
        <w:rPr>
          <w:rFonts w:hint="eastAsia" w:ascii="仿宋" w:hAnsi="仿宋" w:eastAsia="仿宋" w:cs="仿宋"/>
          <w:b/>
          <w:color w:val="auto"/>
          <w:sz w:val="72"/>
          <w:szCs w:val="21"/>
          <w:highlight w:val="none"/>
        </w:rPr>
      </w:pPr>
      <w:r>
        <w:rPr>
          <w:rFonts w:hint="eastAsia" w:ascii="仿宋" w:hAnsi="仿宋" w:eastAsia="仿宋" w:cs="仿宋"/>
          <w:b/>
          <w:color w:val="auto"/>
          <w:sz w:val="72"/>
          <w:szCs w:val="21"/>
          <w:highlight w:val="none"/>
        </w:rPr>
        <w:t>响  应  文  件</w:t>
      </w:r>
    </w:p>
    <w:p w14:paraId="076FB6A7">
      <w:pPr>
        <w:jc w:val="center"/>
        <w:rPr>
          <w:rFonts w:hint="eastAsia" w:ascii="仿宋" w:hAnsi="仿宋" w:eastAsia="仿宋" w:cs="仿宋"/>
          <w:b/>
          <w:color w:val="auto"/>
          <w:sz w:val="72"/>
          <w:szCs w:val="21"/>
          <w:highlight w:val="none"/>
        </w:rPr>
      </w:pPr>
    </w:p>
    <w:p w14:paraId="5EA13221">
      <w:pPr>
        <w:jc w:val="center"/>
        <w:rPr>
          <w:rFonts w:hint="eastAsia" w:ascii="仿宋" w:hAnsi="仿宋" w:eastAsia="仿宋" w:cs="仿宋"/>
          <w:b/>
          <w:color w:val="auto"/>
          <w:sz w:val="72"/>
          <w:szCs w:val="21"/>
          <w:highlight w:val="none"/>
        </w:rPr>
      </w:pPr>
    </w:p>
    <w:p w14:paraId="1303AE0D">
      <w:pPr>
        <w:jc w:val="center"/>
        <w:rPr>
          <w:rFonts w:hint="eastAsia" w:ascii="仿宋" w:hAnsi="仿宋" w:eastAsia="仿宋" w:cs="仿宋"/>
          <w:b/>
          <w:color w:val="auto"/>
          <w:sz w:val="36"/>
          <w:szCs w:val="21"/>
          <w:highlight w:val="none"/>
        </w:rPr>
      </w:pPr>
    </w:p>
    <w:p w14:paraId="3E50315C">
      <w:pPr>
        <w:jc w:val="center"/>
        <w:rPr>
          <w:rFonts w:hint="eastAsia" w:ascii="仿宋" w:hAnsi="仿宋" w:eastAsia="仿宋" w:cs="仿宋"/>
          <w:b/>
          <w:color w:val="auto"/>
          <w:sz w:val="36"/>
          <w:szCs w:val="21"/>
          <w:highlight w:val="none"/>
        </w:rPr>
      </w:pPr>
    </w:p>
    <w:p w14:paraId="556B747B">
      <w:pPr>
        <w:jc w:val="center"/>
        <w:rPr>
          <w:rFonts w:hint="eastAsia" w:ascii="仿宋" w:hAnsi="仿宋" w:eastAsia="仿宋" w:cs="仿宋"/>
          <w:b/>
          <w:color w:val="auto"/>
          <w:sz w:val="36"/>
          <w:szCs w:val="21"/>
          <w:highlight w:val="none"/>
        </w:rPr>
      </w:pPr>
    </w:p>
    <w:p w14:paraId="581711B1">
      <w:pPr>
        <w:ind w:firstLine="1084"/>
        <w:rPr>
          <w:rFonts w:hint="eastAsia" w:ascii="仿宋" w:hAnsi="仿宋" w:eastAsia="仿宋" w:cs="仿宋"/>
          <w:b/>
          <w:color w:val="auto"/>
          <w:sz w:val="36"/>
          <w:highlight w:val="none"/>
        </w:rPr>
      </w:pPr>
      <w:r>
        <w:rPr>
          <w:rFonts w:hint="eastAsia" w:ascii="仿宋" w:hAnsi="仿宋" w:eastAsia="仿宋" w:cs="仿宋"/>
          <w:b/>
          <w:color w:val="auto"/>
          <w:sz w:val="36"/>
          <w:highlight w:val="none"/>
        </w:rPr>
        <w:t>项 目 名 称：</w:t>
      </w:r>
      <w:r>
        <w:rPr>
          <w:rFonts w:hint="eastAsia" w:ascii="仿宋" w:hAnsi="仿宋" w:eastAsia="仿宋" w:cs="仿宋"/>
          <w:b/>
          <w:color w:val="auto"/>
          <w:sz w:val="36"/>
          <w:highlight w:val="none"/>
          <w:u w:val="single"/>
        </w:rPr>
        <w:t xml:space="preserve">               </w:t>
      </w:r>
    </w:p>
    <w:p w14:paraId="1BDEEF87">
      <w:pPr>
        <w:ind w:firstLine="1084"/>
        <w:rPr>
          <w:rFonts w:hint="eastAsia" w:ascii="仿宋" w:hAnsi="仿宋" w:eastAsia="仿宋" w:cs="仿宋"/>
          <w:b/>
          <w:color w:val="auto"/>
          <w:sz w:val="36"/>
          <w:highlight w:val="none"/>
          <w:u w:val="single"/>
        </w:rPr>
      </w:pPr>
      <w:r>
        <w:rPr>
          <w:rFonts w:hint="eastAsia" w:ascii="仿宋" w:hAnsi="仿宋" w:eastAsia="仿宋" w:cs="仿宋"/>
          <w:b/>
          <w:color w:val="auto"/>
          <w:sz w:val="36"/>
          <w:highlight w:val="none"/>
        </w:rPr>
        <w:t>项 目 编 号：</w:t>
      </w:r>
      <w:r>
        <w:rPr>
          <w:rFonts w:hint="eastAsia" w:ascii="仿宋" w:hAnsi="仿宋" w:eastAsia="仿宋" w:cs="仿宋"/>
          <w:b/>
          <w:color w:val="auto"/>
          <w:sz w:val="36"/>
          <w:highlight w:val="none"/>
          <w:u w:val="single"/>
        </w:rPr>
        <w:t xml:space="preserve">               </w:t>
      </w:r>
    </w:p>
    <w:p w14:paraId="4D8BD5B3">
      <w:pPr>
        <w:rPr>
          <w:rFonts w:hint="eastAsia" w:ascii="仿宋" w:hAnsi="仿宋" w:eastAsia="仿宋" w:cs="仿宋"/>
          <w:b/>
          <w:color w:val="auto"/>
          <w:sz w:val="36"/>
          <w:highlight w:val="none"/>
          <w:u w:val="single"/>
        </w:rPr>
      </w:pPr>
      <w:r>
        <w:rPr>
          <w:rFonts w:hint="eastAsia" w:ascii="仿宋" w:hAnsi="仿宋" w:eastAsia="仿宋" w:cs="仿宋"/>
          <w:b/>
          <w:color w:val="auto"/>
          <w:sz w:val="36"/>
          <w:highlight w:val="none"/>
        </w:rPr>
        <w:t xml:space="preserve">      供应商名称 ：</w:t>
      </w:r>
      <w:r>
        <w:rPr>
          <w:rFonts w:hint="eastAsia" w:ascii="仿宋" w:hAnsi="仿宋" w:eastAsia="仿宋" w:cs="仿宋"/>
          <w:b/>
          <w:color w:val="auto"/>
          <w:sz w:val="36"/>
          <w:highlight w:val="none"/>
          <w:u w:val="single"/>
        </w:rPr>
        <w:t>（加盖CA电子公章）</w:t>
      </w:r>
    </w:p>
    <w:p w14:paraId="1BD31827">
      <w:pPr>
        <w:rPr>
          <w:rFonts w:hint="eastAsia" w:ascii="仿宋" w:hAnsi="仿宋" w:eastAsia="仿宋" w:cs="仿宋"/>
          <w:b/>
          <w:color w:val="auto"/>
          <w:sz w:val="36"/>
          <w:highlight w:val="none"/>
          <w:u w:val="single"/>
        </w:rPr>
      </w:pPr>
      <w:r>
        <w:rPr>
          <w:rFonts w:hint="eastAsia" w:ascii="仿宋" w:hAnsi="仿宋" w:eastAsia="仿宋" w:cs="仿宋"/>
          <w:b/>
          <w:color w:val="auto"/>
          <w:sz w:val="36"/>
          <w:highlight w:val="none"/>
        </w:rPr>
        <w:t xml:space="preserve">      日      期 ：</w:t>
      </w:r>
      <w:r>
        <w:rPr>
          <w:rFonts w:hint="eastAsia" w:ascii="仿宋" w:hAnsi="仿宋" w:eastAsia="仿宋" w:cs="仿宋"/>
          <w:b/>
          <w:color w:val="auto"/>
          <w:sz w:val="36"/>
          <w:highlight w:val="none"/>
          <w:u w:val="single"/>
        </w:rPr>
        <w:t xml:space="preserve">               </w:t>
      </w:r>
    </w:p>
    <w:p w14:paraId="36513304">
      <w:pPr>
        <w:jc w:val="center"/>
        <w:rPr>
          <w:rFonts w:hint="eastAsia" w:ascii="仿宋" w:hAnsi="仿宋" w:eastAsia="仿宋" w:cs="仿宋"/>
          <w:b/>
          <w:bCs/>
          <w:color w:val="auto"/>
          <w:sz w:val="32"/>
          <w:szCs w:val="32"/>
          <w:highlight w:val="none"/>
        </w:rPr>
      </w:pPr>
    </w:p>
    <w:p w14:paraId="1CB1E8F9">
      <w:pPr>
        <w:rPr>
          <w:rFonts w:hint="eastAsia" w:ascii="仿宋" w:hAnsi="仿宋" w:eastAsia="仿宋" w:cs="仿宋"/>
          <w:color w:val="auto"/>
          <w:szCs w:val="21"/>
          <w:highlight w:val="none"/>
        </w:rPr>
      </w:pPr>
    </w:p>
    <w:p w14:paraId="477704B5">
      <w:pPr>
        <w:ind w:firstLine="1084"/>
        <w:rPr>
          <w:rFonts w:hint="eastAsia" w:ascii="仿宋" w:hAnsi="仿宋" w:eastAsia="仿宋" w:cs="仿宋"/>
          <w:b/>
          <w:bCs/>
          <w:color w:val="auto"/>
          <w:sz w:val="32"/>
          <w:szCs w:val="32"/>
          <w:highlight w:val="none"/>
        </w:rPr>
      </w:pPr>
      <w:r>
        <w:rPr>
          <w:rFonts w:hint="eastAsia" w:ascii="仿宋" w:hAnsi="仿宋" w:eastAsia="仿宋" w:cs="仿宋"/>
          <w:b/>
          <w:color w:val="auto"/>
          <w:sz w:val="36"/>
          <w:szCs w:val="21"/>
          <w:highlight w:val="none"/>
          <w:u w:val="single"/>
        </w:rPr>
        <w:br w:type="page" w:clear="all"/>
      </w:r>
    </w:p>
    <w:p w14:paraId="476F99E9">
      <w:pPr>
        <w:spacing w:line="420" w:lineRule="exact"/>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响应文件目录</w:t>
      </w:r>
    </w:p>
    <w:p w14:paraId="6587DC6A">
      <w:pPr>
        <w:spacing w:line="420" w:lineRule="exact"/>
        <w:jc w:val="center"/>
        <w:rPr>
          <w:rFonts w:hint="eastAsia" w:ascii="仿宋" w:hAnsi="仿宋" w:eastAsia="仿宋" w:cs="仿宋"/>
          <w:b/>
          <w:bCs/>
          <w:color w:val="auto"/>
          <w:sz w:val="32"/>
          <w:szCs w:val="32"/>
          <w:highlight w:val="none"/>
        </w:rPr>
      </w:pPr>
    </w:p>
    <w:p w14:paraId="32CAA3EC">
      <w:pPr>
        <w:numPr>
          <w:ilvl w:val="0"/>
          <w:numId w:val="7"/>
        </w:numPr>
        <w:spacing w:line="420" w:lineRule="exact"/>
        <w:ind w:firstLine="480"/>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磋商申请及声明</w:t>
      </w:r>
    </w:p>
    <w:p w14:paraId="6D99033A">
      <w:pPr>
        <w:numPr>
          <w:ilvl w:val="0"/>
          <w:numId w:val="7"/>
        </w:numPr>
        <w:spacing w:line="420" w:lineRule="exact"/>
        <w:ind w:firstLine="480"/>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供应商基本信息</w:t>
      </w:r>
    </w:p>
    <w:p w14:paraId="5C56C0C6">
      <w:pPr>
        <w:numPr>
          <w:ilvl w:val="0"/>
          <w:numId w:val="7"/>
        </w:numPr>
        <w:spacing w:line="420" w:lineRule="exact"/>
        <w:ind w:firstLine="480"/>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特定资格要求的证明文件</w:t>
      </w:r>
    </w:p>
    <w:p w14:paraId="2D9E2857">
      <w:pPr>
        <w:numPr>
          <w:ilvl w:val="0"/>
          <w:numId w:val="7"/>
        </w:numPr>
        <w:spacing w:line="420" w:lineRule="exact"/>
        <w:ind w:firstLine="480"/>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法人授权书</w:t>
      </w:r>
    </w:p>
    <w:p w14:paraId="2BDC9772">
      <w:pPr>
        <w:spacing w:line="420" w:lineRule="exact"/>
        <w:ind w:firstLine="480"/>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五、中小（微）企业声明函或残疾人福利性单位声明函</w:t>
      </w:r>
    </w:p>
    <w:p w14:paraId="18BB840E">
      <w:pPr>
        <w:spacing w:line="420" w:lineRule="exact"/>
        <w:ind w:firstLine="480"/>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六、开标一览表</w:t>
      </w:r>
    </w:p>
    <w:p w14:paraId="7C252912">
      <w:pPr>
        <w:spacing w:line="420" w:lineRule="exact"/>
        <w:ind w:firstLine="480"/>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七、分项报价表</w:t>
      </w:r>
    </w:p>
    <w:p w14:paraId="41029ADE">
      <w:pPr>
        <w:spacing w:line="420" w:lineRule="exact"/>
        <w:ind w:firstLine="480"/>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八、技术要求响应及偏离表</w:t>
      </w:r>
    </w:p>
    <w:p w14:paraId="3F8AF420">
      <w:pPr>
        <w:spacing w:line="420" w:lineRule="exact"/>
        <w:ind w:firstLine="480"/>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九、项目组人员</w:t>
      </w:r>
    </w:p>
    <w:p w14:paraId="4797416D">
      <w:pPr>
        <w:spacing w:line="420" w:lineRule="exact"/>
        <w:ind w:firstLine="480"/>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十、企业业绩</w:t>
      </w:r>
    </w:p>
    <w:p w14:paraId="42B6C287">
      <w:pPr>
        <w:spacing w:line="420" w:lineRule="exact"/>
        <w:ind w:firstLine="480"/>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十一、项目实施方案</w:t>
      </w:r>
    </w:p>
    <w:p w14:paraId="58152796">
      <w:pPr>
        <w:spacing w:line="420" w:lineRule="exact"/>
        <w:ind w:firstLine="480"/>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十二、磋商所需其他材料</w:t>
      </w:r>
    </w:p>
    <w:p w14:paraId="16FC9DF0">
      <w:pPr>
        <w:spacing w:line="420" w:lineRule="exact"/>
        <w:ind w:firstLine="480"/>
        <w:rPr>
          <w:rFonts w:hint="eastAsia" w:ascii="仿宋" w:hAnsi="仿宋" w:eastAsia="仿宋" w:cs="仿宋"/>
          <w:color w:val="auto"/>
          <w:sz w:val="24"/>
          <w:szCs w:val="21"/>
          <w:highlight w:val="none"/>
        </w:rPr>
      </w:pPr>
    </w:p>
    <w:p w14:paraId="3EB9BC1E">
      <w:pPr>
        <w:spacing w:line="420" w:lineRule="exact"/>
        <w:ind w:firstLine="480"/>
        <w:rPr>
          <w:rFonts w:hint="eastAsia" w:ascii="仿宋" w:hAnsi="仿宋" w:eastAsia="仿宋" w:cs="仿宋"/>
          <w:color w:val="auto"/>
          <w:sz w:val="24"/>
          <w:szCs w:val="21"/>
          <w:highlight w:val="none"/>
        </w:rPr>
      </w:pPr>
    </w:p>
    <w:p w14:paraId="7968D2C8">
      <w:pPr>
        <w:spacing w:line="420" w:lineRule="exact"/>
        <w:ind w:firstLine="480"/>
        <w:rPr>
          <w:rFonts w:hint="eastAsia" w:ascii="仿宋" w:hAnsi="仿宋" w:eastAsia="仿宋" w:cs="仿宋"/>
          <w:color w:val="auto"/>
          <w:sz w:val="24"/>
          <w:szCs w:val="21"/>
          <w:highlight w:val="none"/>
        </w:rPr>
      </w:pPr>
    </w:p>
    <w:p w14:paraId="7EA5B106">
      <w:pPr>
        <w:spacing w:line="420" w:lineRule="exact"/>
        <w:ind w:firstLine="480"/>
        <w:rPr>
          <w:rFonts w:hint="eastAsia" w:ascii="仿宋" w:hAnsi="仿宋" w:eastAsia="仿宋" w:cs="仿宋"/>
          <w:color w:val="auto"/>
          <w:sz w:val="24"/>
          <w:szCs w:val="21"/>
          <w:highlight w:val="none"/>
        </w:rPr>
      </w:pPr>
    </w:p>
    <w:p w14:paraId="6FA8E972">
      <w:pPr>
        <w:spacing w:line="420" w:lineRule="exact"/>
        <w:ind w:firstLine="480"/>
        <w:rPr>
          <w:rFonts w:hint="eastAsia" w:ascii="仿宋" w:hAnsi="仿宋" w:eastAsia="仿宋" w:cs="仿宋"/>
          <w:color w:val="auto"/>
          <w:sz w:val="24"/>
          <w:szCs w:val="21"/>
          <w:highlight w:val="none"/>
        </w:rPr>
      </w:pPr>
    </w:p>
    <w:p w14:paraId="3ACDDDC9">
      <w:pPr>
        <w:spacing w:line="420" w:lineRule="exact"/>
        <w:ind w:firstLine="480"/>
        <w:rPr>
          <w:rFonts w:hint="eastAsia" w:ascii="仿宋" w:hAnsi="仿宋" w:eastAsia="仿宋" w:cs="仿宋"/>
          <w:color w:val="auto"/>
          <w:sz w:val="24"/>
          <w:szCs w:val="21"/>
          <w:highlight w:val="none"/>
        </w:rPr>
      </w:pPr>
    </w:p>
    <w:p w14:paraId="02F2F070">
      <w:pPr>
        <w:spacing w:line="420" w:lineRule="exact"/>
        <w:ind w:firstLine="480"/>
        <w:rPr>
          <w:rFonts w:hint="eastAsia" w:ascii="仿宋" w:hAnsi="仿宋" w:eastAsia="仿宋" w:cs="仿宋"/>
          <w:color w:val="auto"/>
          <w:sz w:val="24"/>
          <w:szCs w:val="21"/>
          <w:highlight w:val="none"/>
        </w:rPr>
      </w:pPr>
    </w:p>
    <w:p w14:paraId="7E1A8399">
      <w:pPr>
        <w:spacing w:line="420" w:lineRule="exact"/>
        <w:ind w:firstLine="480"/>
        <w:rPr>
          <w:rFonts w:hint="eastAsia" w:ascii="仿宋" w:hAnsi="仿宋" w:eastAsia="仿宋" w:cs="仿宋"/>
          <w:color w:val="auto"/>
          <w:sz w:val="24"/>
          <w:szCs w:val="21"/>
          <w:highlight w:val="none"/>
        </w:rPr>
      </w:pPr>
    </w:p>
    <w:p w14:paraId="5D6C29B7">
      <w:pPr>
        <w:spacing w:line="420" w:lineRule="exact"/>
        <w:ind w:firstLine="480"/>
        <w:rPr>
          <w:rFonts w:hint="eastAsia" w:ascii="仿宋" w:hAnsi="仿宋" w:eastAsia="仿宋" w:cs="仿宋"/>
          <w:color w:val="auto"/>
          <w:sz w:val="24"/>
          <w:szCs w:val="21"/>
          <w:highlight w:val="none"/>
        </w:rPr>
      </w:pPr>
    </w:p>
    <w:p w14:paraId="5CDBEEEA">
      <w:pPr>
        <w:spacing w:line="420" w:lineRule="exact"/>
        <w:ind w:firstLine="480"/>
        <w:rPr>
          <w:rFonts w:hint="eastAsia" w:ascii="仿宋" w:hAnsi="仿宋" w:eastAsia="仿宋" w:cs="仿宋"/>
          <w:color w:val="auto"/>
          <w:sz w:val="24"/>
          <w:szCs w:val="21"/>
          <w:highlight w:val="none"/>
        </w:rPr>
      </w:pPr>
    </w:p>
    <w:p w14:paraId="46027D1F">
      <w:pPr>
        <w:spacing w:line="420" w:lineRule="exact"/>
        <w:ind w:firstLine="480"/>
        <w:rPr>
          <w:rFonts w:hint="eastAsia" w:ascii="仿宋" w:hAnsi="仿宋" w:eastAsia="仿宋" w:cs="仿宋"/>
          <w:color w:val="auto"/>
          <w:sz w:val="24"/>
          <w:szCs w:val="21"/>
          <w:highlight w:val="none"/>
        </w:rPr>
      </w:pPr>
    </w:p>
    <w:p w14:paraId="37208F03">
      <w:pPr>
        <w:spacing w:line="420" w:lineRule="exact"/>
        <w:ind w:firstLine="480"/>
        <w:rPr>
          <w:rFonts w:hint="eastAsia" w:ascii="仿宋" w:hAnsi="仿宋" w:eastAsia="仿宋" w:cs="仿宋"/>
          <w:color w:val="auto"/>
          <w:sz w:val="24"/>
          <w:szCs w:val="21"/>
          <w:highlight w:val="none"/>
        </w:rPr>
      </w:pPr>
    </w:p>
    <w:p w14:paraId="4856E5C6">
      <w:pPr>
        <w:spacing w:line="420" w:lineRule="exact"/>
        <w:ind w:firstLine="480"/>
        <w:rPr>
          <w:rFonts w:hint="eastAsia" w:ascii="仿宋" w:hAnsi="仿宋" w:eastAsia="仿宋" w:cs="仿宋"/>
          <w:color w:val="auto"/>
          <w:sz w:val="24"/>
          <w:szCs w:val="21"/>
          <w:highlight w:val="none"/>
        </w:rPr>
      </w:pPr>
    </w:p>
    <w:p w14:paraId="4D0B8771">
      <w:pPr>
        <w:spacing w:line="420" w:lineRule="exact"/>
        <w:ind w:firstLine="480"/>
        <w:rPr>
          <w:rFonts w:hint="eastAsia" w:ascii="仿宋" w:hAnsi="仿宋" w:eastAsia="仿宋" w:cs="仿宋"/>
          <w:color w:val="auto"/>
          <w:sz w:val="24"/>
          <w:szCs w:val="21"/>
          <w:highlight w:val="none"/>
        </w:rPr>
      </w:pPr>
    </w:p>
    <w:p w14:paraId="184F8BD0">
      <w:pPr>
        <w:spacing w:line="420" w:lineRule="exact"/>
        <w:ind w:firstLine="480"/>
        <w:rPr>
          <w:rFonts w:hint="eastAsia" w:ascii="仿宋" w:hAnsi="仿宋" w:eastAsia="仿宋" w:cs="仿宋"/>
          <w:color w:val="auto"/>
          <w:sz w:val="24"/>
          <w:szCs w:val="21"/>
          <w:highlight w:val="none"/>
        </w:rPr>
      </w:pPr>
    </w:p>
    <w:p w14:paraId="1884AE4D">
      <w:pPr>
        <w:spacing w:line="420" w:lineRule="exact"/>
        <w:ind w:firstLine="480"/>
        <w:rPr>
          <w:rFonts w:hint="eastAsia" w:ascii="仿宋" w:hAnsi="仿宋" w:eastAsia="仿宋" w:cs="仿宋"/>
          <w:color w:val="auto"/>
          <w:sz w:val="24"/>
          <w:szCs w:val="21"/>
          <w:highlight w:val="none"/>
        </w:rPr>
      </w:pPr>
    </w:p>
    <w:p w14:paraId="23794219">
      <w:pPr>
        <w:spacing w:line="420" w:lineRule="exact"/>
        <w:ind w:firstLine="480"/>
        <w:rPr>
          <w:rFonts w:hint="eastAsia" w:ascii="仿宋" w:hAnsi="仿宋" w:eastAsia="仿宋" w:cs="仿宋"/>
          <w:color w:val="auto"/>
          <w:sz w:val="24"/>
          <w:szCs w:val="21"/>
          <w:highlight w:val="none"/>
        </w:rPr>
      </w:pPr>
    </w:p>
    <w:p w14:paraId="63ACEDF8">
      <w:pPr>
        <w:spacing w:line="420" w:lineRule="exact"/>
        <w:ind w:firstLine="480"/>
        <w:rPr>
          <w:rFonts w:hint="eastAsia" w:ascii="仿宋" w:hAnsi="仿宋" w:eastAsia="仿宋" w:cs="仿宋"/>
          <w:color w:val="auto"/>
          <w:sz w:val="24"/>
          <w:szCs w:val="21"/>
          <w:highlight w:val="none"/>
        </w:rPr>
      </w:pPr>
    </w:p>
    <w:p w14:paraId="12EC35A4">
      <w:pPr>
        <w:spacing w:line="420" w:lineRule="exact"/>
        <w:ind w:firstLine="480"/>
        <w:rPr>
          <w:rFonts w:hint="eastAsia" w:ascii="仿宋" w:hAnsi="仿宋" w:eastAsia="仿宋" w:cs="仿宋"/>
          <w:color w:val="auto"/>
          <w:sz w:val="24"/>
          <w:szCs w:val="21"/>
          <w:highlight w:val="none"/>
        </w:rPr>
      </w:pPr>
    </w:p>
    <w:p w14:paraId="0F720D2E">
      <w:pPr>
        <w:spacing w:line="420" w:lineRule="exact"/>
        <w:rPr>
          <w:rFonts w:hint="eastAsia" w:ascii="仿宋" w:hAnsi="仿宋" w:eastAsia="仿宋" w:cs="仿宋"/>
          <w:iCs/>
          <w:color w:val="auto"/>
          <w:sz w:val="32"/>
          <w:szCs w:val="32"/>
          <w:highlight w:val="none"/>
        </w:rPr>
      </w:pPr>
      <w:r>
        <w:rPr>
          <w:rFonts w:hint="eastAsia" w:ascii="仿宋" w:hAnsi="仿宋" w:eastAsia="仿宋" w:cs="仿宋"/>
          <w:iCs/>
          <w:color w:val="auto"/>
          <w:sz w:val="32"/>
          <w:szCs w:val="32"/>
          <w:highlight w:val="none"/>
        </w:rPr>
        <w:t>一、磋商申请及声明</w:t>
      </w:r>
    </w:p>
    <w:p w14:paraId="1CC8D2E9">
      <w:pPr>
        <w:pStyle w:val="344"/>
        <w:spacing w:line="420" w:lineRule="exact"/>
        <w:jc w:val="cente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响应声明及承诺函</w:t>
      </w:r>
    </w:p>
    <w:p w14:paraId="5E1C35E2">
      <w:pPr>
        <w:pStyle w:val="344"/>
        <w:spacing w:line="420" w:lineRule="exact"/>
        <w:jc w:val="lef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（采购单位名称）：</w:t>
      </w:r>
    </w:p>
    <w:p w14:paraId="572AE59F">
      <w:pPr>
        <w:pStyle w:val="344"/>
        <w:spacing w:line="420" w:lineRule="exact"/>
        <w:ind w:firstLine="48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根据已收到的项目编号为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eastAsia="zh-CN"/>
        </w:rPr>
        <w:t>JSZC-321302-WDGC-C2026-0005</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的</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eastAsia="zh-CN"/>
        </w:rPr>
        <w:t>宿城区农村乱占耕地建非住宅类房屋专项整治工作技术服务</w:t>
      </w:r>
      <w:r>
        <w:rPr>
          <w:rFonts w:hint="eastAsia" w:ascii="仿宋" w:hAnsi="仿宋" w:eastAsia="仿宋" w:cs="仿宋"/>
          <w:color w:val="auto"/>
          <w:sz w:val="24"/>
          <w:szCs w:val="24"/>
          <w:highlight w:val="none"/>
        </w:rPr>
        <w:t>的竞争性磋商文件，我单位在参加本项目竞争性磋商活动中，特做出如下承诺：</w:t>
      </w:r>
    </w:p>
    <w:p w14:paraId="798A325C">
      <w:pPr>
        <w:pStyle w:val="344"/>
        <w:spacing w:line="420" w:lineRule="exact"/>
        <w:ind w:firstLine="48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一、我方</w:t>
      </w:r>
      <w:r>
        <w:rPr>
          <w:rFonts w:hint="eastAsia" w:ascii="仿宋" w:hAnsi="仿宋" w:eastAsia="仿宋" w:cs="仿宋"/>
          <w:color w:val="auto"/>
          <w:sz w:val="24"/>
          <w:highlight w:val="none"/>
        </w:rPr>
        <w:t>具备《中华人民共和国政府采购法》第二十二条第一款规定的6项条件；</w:t>
      </w:r>
    </w:p>
    <w:p w14:paraId="1F0A7915">
      <w:pPr>
        <w:pStyle w:val="344"/>
        <w:spacing w:line="420" w:lineRule="exact"/>
        <w:ind w:firstLine="48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二、我方在参加政府采购活动前三年内（自本项目磋商时间之日起计算），在经营活动中没有重大违法记录（指因违法经营受到刑事处罚或者责令停产停业、吊销许可证或者执照、较大数额罚款等行政处罚）；</w:t>
      </w:r>
    </w:p>
    <w:p w14:paraId="1E999CFB">
      <w:pPr>
        <w:pStyle w:val="344"/>
        <w:spacing w:line="420" w:lineRule="exact"/>
        <w:ind w:firstLine="48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三、我方按磋商文件要求提交响应文件，响应磋商文件规定的响应有效期；</w:t>
      </w:r>
    </w:p>
    <w:p w14:paraId="15C4A621">
      <w:pPr>
        <w:pStyle w:val="344"/>
        <w:spacing w:line="420" w:lineRule="exact"/>
        <w:ind w:firstLine="48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四、如果我方的响应文件被接受，我方将按《中华人民共和国民法典（第三编合同） 》及其他有关法律、法规的规定，按期、按质、按量交付采购单位，全面做到履约守信；</w:t>
      </w:r>
    </w:p>
    <w:p w14:paraId="4AA770DC">
      <w:pPr>
        <w:pStyle w:val="344"/>
        <w:spacing w:line="420" w:lineRule="exact"/>
        <w:ind w:firstLine="48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五、我方若违背本声明及承诺约定，经查实，自愿接受采购人及相关主管部门相应的规定处理，并依法承担相应的法律责任；</w:t>
      </w:r>
    </w:p>
    <w:p w14:paraId="7EABF805">
      <w:pPr>
        <w:pStyle w:val="344"/>
        <w:spacing w:line="420" w:lineRule="exact"/>
        <w:ind w:firstLine="48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六、我方同意采购人、采购代理机构将本声明及承诺函上网公开。</w:t>
      </w:r>
    </w:p>
    <w:p w14:paraId="1E8AA2D1">
      <w:pPr>
        <w:pStyle w:val="344"/>
        <w:spacing w:line="420" w:lineRule="exact"/>
        <w:ind w:firstLine="480"/>
        <w:jc w:val="left"/>
        <w:rPr>
          <w:rFonts w:hint="eastAsia" w:ascii="仿宋" w:hAnsi="仿宋" w:eastAsia="仿宋" w:cs="仿宋"/>
          <w:color w:val="auto"/>
          <w:sz w:val="24"/>
          <w:szCs w:val="24"/>
          <w:highlight w:val="none"/>
        </w:rPr>
      </w:pPr>
    </w:p>
    <w:p w14:paraId="4D019082">
      <w:pPr>
        <w:pStyle w:val="344"/>
        <w:spacing w:line="420" w:lineRule="exact"/>
        <w:jc w:val="left"/>
        <w:rPr>
          <w:rFonts w:hint="eastAsia" w:ascii="仿宋" w:hAnsi="仿宋" w:eastAsia="仿宋" w:cs="仿宋"/>
          <w:color w:val="auto"/>
          <w:sz w:val="24"/>
          <w:szCs w:val="24"/>
          <w:highlight w:val="none"/>
        </w:rPr>
      </w:pPr>
    </w:p>
    <w:p w14:paraId="671E1718">
      <w:pPr>
        <w:pStyle w:val="344"/>
        <w:spacing w:line="420" w:lineRule="exact"/>
        <w:ind w:firstLine="48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供应商名称：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（加盖CA电子公章）</w:t>
      </w:r>
    </w:p>
    <w:p w14:paraId="59544820">
      <w:pPr>
        <w:spacing w:line="420" w:lineRule="exact"/>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日期：    年    月   日</w:t>
      </w:r>
    </w:p>
    <w:p w14:paraId="27B6C24B">
      <w:pPr>
        <w:spacing w:line="420" w:lineRule="exact"/>
        <w:ind w:firstLine="480"/>
        <w:rPr>
          <w:rFonts w:hint="eastAsia" w:ascii="仿宋" w:hAnsi="仿宋" w:eastAsia="仿宋" w:cs="仿宋"/>
          <w:color w:val="auto"/>
          <w:sz w:val="24"/>
          <w:szCs w:val="24"/>
          <w:highlight w:val="none"/>
        </w:rPr>
      </w:pPr>
    </w:p>
    <w:bookmarkEnd w:id="209"/>
    <w:bookmarkEnd w:id="210"/>
    <w:bookmarkEnd w:id="211"/>
    <w:p w14:paraId="11FF9A50">
      <w:pPr>
        <w:spacing w:line="420" w:lineRule="exact"/>
        <w:ind w:firstLine="480"/>
        <w:rPr>
          <w:rFonts w:hint="eastAsia" w:ascii="仿宋" w:hAnsi="仿宋" w:eastAsia="仿宋" w:cs="仿宋"/>
          <w:color w:val="auto"/>
          <w:sz w:val="24"/>
          <w:szCs w:val="24"/>
          <w:highlight w:val="none"/>
        </w:rPr>
      </w:pPr>
    </w:p>
    <w:p w14:paraId="4C7806D4">
      <w:pPr>
        <w:spacing w:line="420" w:lineRule="exact"/>
        <w:ind w:firstLine="480"/>
        <w:rPr>
          <w:rFonts w:hint="eastAsia" w:ascii="仿宋" w:hAnsi="仿宋" w:eastAsia="仿宋" w:cs="仿宋"/>
          <w:color w:val="auto"/>
          <w:sz w:val="24"/>
          <w:szCs w:val="24"/>
          <w:highlight w:val="none"/>
        </w:rPr>
      </w:pPr>
    </w:p>
    <w:p w14:paraId="07518B21">
      <w:pPr>
        <w:spacing w:line="420" w:lineRule="exact"/>
        <w:ind w:firstLine="480"/>
        <w:rPr>
          <w:rFonts w:hint="eastAsia" w:ascii="仿宋" w:hAnsi="仿宋" w:eastAsia="仿宋" w:cs="仿宋"/>
          <w:color w:val="auto"/>
          <w:sz w:val="24"/>
          <w:szCs w:val="24"/>
          <w:highlight w:val="none"/>
        </w:rPr>
      </w:pPr>
    </w:p>
    <w:p w14:paraId="7D407AF0">
      <w:pPr>
        <w:spacing w:line="420" w:lineRule="exact"/>
        <w:rPr>
          <w:rFonts w:hint="eastAsia" w:ascii="仿宋" w:hAnsi="仿宋" w:eastAsia="仿宋" w:cs="仿宋"/>
          <w:color w:val="auto"/>
          <w:sz w:val="24"/>
          <w:szCs w:val="24"/>
          <w:highlight w:val="none"/>
        </w:rPr>
      </w:pPr>
    </w:p>
    <w:p w14:paraId="08666AEA">
      <w:pPr>
        <w:spacing w:line="420" w:lineRule="exact"/>
        <w:rPr>
          <w:rFonts w:hint="eastAsia" w:ascii="仿宋" w:hAnsi="仿宋" w:eastAsia="仿宋" w:cs="仿宋"/>
          <w:color w:val="auto"/>
          <w:highlight w:val="none"/>
        </w:rPr>
      </w:pPr>
      <w:bookmarkStart w:id="212" w:name="_Toc27399"/>
      <w:bookmarkStart w:id="213" w:name="_Toc120614284"/>
      <w:r>
        <w:rPr>
          <w:rFonts w:hint="eastAsia" w:ascii="仿宋" w:hAnsi="仿宋" w:eastAsia="仿宋" w:cs="仿宋"/>
          <w:iCs/>
          <w:color w:val="auto"/>
          <w:sz w:val="32"/>
          <w:szCs w:val="32"/>
          <w:highlight w:val="none"/>
        </w:rPr>
        <w:br w:type="page" w:clear="all"/>
      </w:r>
      <w:r>
        <w:rPr>
          <w:rFonts w:hint="eastAsia" w:ascii="仿宋" w:hAnsi="仿宋" w:eastAsia="仿宋" w:cs="仿宋"/>
          <w:iCs/>
          <w:color w:val="auto"/>
          <w:sz w:val="32"/>
          <w:szCs w:val="32"/>
          <w:highlight w:val="none"/>
        </w:rPr>
        <w:t>二、供应商基本信息</w:t>
      </w:r>
      <w:bookmarkEnd w:id="212"/>
    </w:p>
    <w:p w14:paraId="7A4D41CB">
      <w:pPr>
        <w:pStyle w:val="360"/>
        <w:jc w:val="center"/>
        <w:rPr>
          <w:rFonts w:hint="eastAsia" w:ascii="仿宋" w:hAnsi="仿宋" w:eastAsia="仿宋" w:cs="仿宋"/>
          <w:color w:val="auto"/>
          <w:sz w:val="44"/>
          <w:szCs w:val="44"/>
          <w:highlight w:val="none"/>
        </w:rPr>
      </w:pPr>
      <w:r>
        <w:rPr>
          <w:rFonts w:hint="eastAsia" w:ascii="仿宋" w:hAnsi="仿宋" w:eastAsia="仿宋" w:cs="仿宋"/>
          <w:color w:val="auto"/>
          <w:sz w:val="44"/>
          <w:szCs w:val="44"/>
          <w:highlight w:val="none"/>
        </w:rPr>
        <w:t>供应商基本情况表</w:t>
      </w:r>
    </w:p>
    <w:tbl>
      <w:tblPr>
        <w:tblStyle w:val="33"/>
        <w:tblW w:w="852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6"/>
        <w:gridCol w:w="3118"/>
        <w:gridCol w:w="1276"/>
        <w:gridCol w:w="2604"/>
      </w:tblGrid>
      <w:tr w14:paraId="4D2EA6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26" w:type="dxa"/>
            <w:noWrap w:val="0"/>
            <w:vAlign w:val="center"/>
          </w:tcPr>
          <w:p w14:paraId="6EC81E0B">
            <w:pPr>
              <w:pStyle w:val="36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供应商名称</w:t>
            </w:r>
          </w:p>
        </w:tc>
        <w:tc>
          <w:tcPr>
            <w:tcW w:w="6998" w:type="dxa"/>
            <w:gridSpan w:val="3"/>
            <w:noWrap w:val="0"/>
            <w:vAlign w:val="center"/>
          </w:tcPr>
          <w:p w14:paraId="11A76498">
            <w:pPr>
              <w:pStyle w:val="360"/>
              <w:jc w:val="center"/>
              <w:rPr>
                <w:rFonts w:hint="eastAsia" w:ascii="仿宋" w:hAnsi="仿宋" w:eastAsia="仿宋" w:cs="仿宋"/>
                <w:color w:val="auto"/>
                <w:sz w:val="24"/>
                <w:szCs w:val="24"/>
                <w:highlight w:val="none"/>
              </w:rPr>
            </w:pPr>
          </w:p>
        </w:tc>
      </w:tr>
      <w:tr w14:paraId="44B124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26" w:type="dxa"/>
            <w:noWrap w:val="0"/>
            <w:vAlign w:val="center"/>
          </w:tcPr>
          <w:p w14:paraId="42C55C91">
            <w:pPr>
              <w:pStyle w:val="36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w:t>
            </w:r>
          </w:p>
        </w:tc>
        <w:tc>
          <w:tcPr>
            <w:tcW w:w="3118" w:type="dxa"/>
            <w:noWrap w:val="0"/>
            <w:vAlign w:val="center"/>
          </w:tcPr>
          <w:p w14:paraId="63E8CA64">
            <w:pPr>
              <w:pStyle w:val="360"/>
              <w:jc w:val="center"/>
              <w:rPr>
                <w:rFonts w:hint="eastAsia" w:ascii="仿宋" w:hAnsi="仿宋" w:eastAsia="仿宋" w:cs="仿宋"/>
                <w:color w:val="auto"/>
                <w:sz w:val="24"/>
                <w:szCs w:val="24"/>
                <w:highlight w:val="none"/>
              </w:rPr>
            </w:pPr>
          </w:p>
        </w:tc>
        <w:tc>
          <w:tcPr>
            <w:tcW w:w="1276" w:type="dxa"/>
            <w:noWrap w:val="0"/>
            <w:vAlign w:val="center"/>
          </w:tcPr>
          <w:p w14:paraId="4C6D9EF2">
            <w:pPr>
              <w:pStyle w:val="36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注册地区</w:t>
            </w:r>
          </w:p>
        </w:tc>
        <w:tc>
          <w:tcPr>
            <w:tcW w:w="2604" w:type="dxa"/>
            <w:noWrap w:val="0"/>
            <w:vAlign w:val="center"/>
          </w:tcPr>
          <w:p w14:paraId="43910843">
            <w:pPr>
              <w:pStyle w:val="360"/>
              <w:jc w:val="center"/>
              <w:rPr>
                <w:rFonts w:hint="eastAsia" w:ascii="仿宋" w:hAnsi="仿宋" w:eastAsia="仿宋" w:cs="仿宋"/>
                <w:color w:val="auto"/>
                <w:sz w:val="24"/>
                <w:szCs w:val="24"/>
                <w:highlight w:val="none"/>
              </w:rPr>
            </w:pPr>
          </w:p>
        </w:tc>
      </w:tr>
      <w:tr w14:paraId="455288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26" w:type="dxa"/>
            <w:noWrap w:val="0"/>
            <w:vAlign w:val="center"/>
          </w:tcPr>
          <w:p w14:paraId="35FECF7D">
            <w:pPr>
              <w:pStyle w:val="36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地址</w:t>
            </w:r>
          </w:p>
        </w:tc>
        <w:tc>
          <w:tcPr>
            <w:tcW w:w="3118" w:type="dxa"/>
            <w:noWrap w:val="0"/>
            <w:vAlign w:val="center"/>
          </w:tcPr>
          <w:p w14:paraId="70771F88">
            <w:pPr>
              <w:pStyle w:val="360"/>
              <w:jc w:val="center"/>
              <w:rPr>
                <w:rFonts w:hint="eastAsia" w:ascii="仿宋" w:hAnsi="仿宋" w:eastAsia="仿宋" w:cs="仿宋"/>
                <w:color w:val="auto"/>
                <w:sz w:val="24"/>
                <w:szCs w:val="24"/>
                <w:highlight w:val="none"/>
              </w:rPr>
            </w:pPr>
          </w:p>
        </w:tc>
        <w:tc>
          <w:tcPr>
            <w:tcW w:w="1276" w:type="dxa"/>
            <w:noWrap w:val="0"/>
            <w:vAlign w:val="center"/>
          </w:tcPr>
          <w:p w14:paraId="3B3F688F">
            <w:pPr>
              <w:pStyle w:val="36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邮政编码</w:t>
            </w:r>
          </w:p>
        </w:tc>
        <w:tc>
          <w:tcPr>
            <w:tcW w:w="2604" w:type="dxa"/>
            <w:noWrap w:val="0"/>
            <w:vAlign w:val="center"/>
          </w:tcPr>
          <w:p w14:paraId="485683B3">
            <w:pPr>
              <w:pStyle w:val="360"/>
              <w:jc w:val="center"/>
              <w:rPr>
                <w:rFonts w:hint="eastAsia" w:ascii="仿宋" w:hAnsi="仿宋" w:eastAsia="仿宋" w:cs="仿宋"/>
                <w:color w:val="auto"/>
                <w:sz w:val="24"/>
                <w:szCs w:val="24"/>
                <w:highlight w:val="none"/>
              </w:rPr>
            </w:pPr>
          </w:p>
        </w:tc>
      </w:tr>
      <w:tr w14:paraId="543ED1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26" w:type="dxa"/>
            <w:noWrap w:val="0"/>
            <w:vAlign w:val="center"/>
          </w:tcPr>
          <w:p w14:paraId="688C130C">
            <w:pPr>
              <w:pStyle w:val="36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成立时间</w:t>
            </w:r>
          </w:p>
        </w:tc>
        <w:tc>
          <w:tcPr>
            <w:tcW w:w="3118" w:type="dxa"/>
            <w:noWrap w:val="0"/>
            <w:vAlign w:val="center"/>
          </w:tcPr>
          <w:p w14:paraId="5587A518">
            <w:pPr>
              <w:pStyle w:val="360"/>
              <w:jc w:val="center"/>
              <w:rPr>
                <w:rFonts w:hint="eastAsia" w:ascii="仿宋" w:hAnsi="仿宋" w:eastAsia="仿宋" w:cs="仿宋"/>
                <w:color w:val="auto"/>
                <w:sz w:val="24"/>
                <w:szCs w:val="24"/>
                <w:highlight w:val="none"/>
              </w:rPr>
            </w:pPr>
          </w:p>
        </w:tc>
        <w:tc>
          <w:tcPr>
            <w:tcW w:w="1276" w:type="dxa"/>
            <w:noWrap w:val="0"/>
            <w:vAlign w:val="center"/>
          </w:tcPr>
          <w:p w14:paraId="1826A34E">
            <w:pPr>
              <w:pStyle w:val="36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单位性质</w:t>
            </w:r>
          </w:p>
        </w:tc>
        <w:tc>
          <w:tcPr>
            <w:tcW w:w="2604" w:type="dxa"/>
            <w:noWrap w:val="0"/>
            <w:vAlign w:val="center"/>
          </w:tcPr>
          <w:p w14:paraId="6092A402">
            <w:pPr>
              <w:pStyle w:val="360"/>
              <w:jc w:val="center"/>
              <w:rPr>
                <w:rFonts w:hint="eastAsia" w:ascii="仿宋" w:hAnsi="仿宋" w:eastAsia="仿宋" w:cs="仿宋"/>
                <w:color w:val="auto"/>
                <w:sz w:val="24"/>
                <w:szCs w:val="24"/>
                <w:highlight w:val="none"/>
              </w:rPr>
            </w:pPr>
          </w:p>
        </w:tc>
      </w:tr>
      <w:tr w14:paraId="09116B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26" w:type="dxa"/>
            <w:noWrap w:val="0"/>
            <w:vAlign w:val="center"/>
          </w:tcPr>
          <w:p w14:paraId="0C3DE4C3">
            <w:pPr>
              <w:pStyle w:val="36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注册号或社会信用代码</w:t>
            </w:r>
          </w:p>
        </w:tc>
        <w:tc>
          <w:tcPr>
            <w:tcW w:w="3118" w:type="dxa"/>
            <w:noWrap w:val="0"/>
            <w:vAlign w:val="center"/>
          </w:tcPr>
          <w:p w14:paraId="46485181">
            <w:pPr>
              <w:pStyle w:val="360"/>
              <w:jc w:val="center"/>
              <w:rPr>
                <w:rFonts w:hint="eastAsia" w:ascii="仿宋" w:hAnsi="仿宋" w:eastAsia="仿宋" w:cs="仿宋"/>
                <w:color w:val="auto"/>
                <w:sz w:val="24"/>
                <w:szCs w:val="24"/>
                <w:highlight w:val="none"/>
              </w:rPr>
            </w:pPr>
          </w:p>
        </w:tc>
        <w:tc>
          <w:tcPr>
            <w:tcW w:w="1276" w:type="dxa"/>
            <w:noWrap w:val="0"/>
            <w:vAlign w:val="center"/>
          </w:tcPr>
          <w:p w14:paraId="4A55083D">
            <w:pPr>
              <w:pStyle w:val="36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注册资本（万元）</w:t>
            </w:r>
          </w:p>
        </w:tc>
        <w:tc>
          <w:tcPr>
            <w:tcW w:w="2604" w:type="dxa"/>
            <w:noWrap w:val="0"/>
            <w:vAlign w:val="center"/>
          </w:tcPr>
          <w:p w14:paraId="07B6D9A4">
            <w:pPr>
              <w:pStyle w:val="360"/>
              <w:jc w:val="center"/>
              <w:rPr>
                <w:rFonts w:hint="eastAsia" w:ascii="仿宋" w:hAnsi="仿宋" w:eastAsia="仿宋" w:cs="仿宋"/>
                <w:color w:val="auto"/>
                <w:sz w:val="24"/>
                <w:szCs w:val="24"/>
                <w:highlight w:val="none"/>
              </w:rPr>
            </w:pPr>
          </w:p>
        </w:tc>
      </w:tr>
      <w:tr w14:paraId="6B39E9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26" w:type="dxa"/>
            <w:noWrap w:val="0"/>
            <w:vAlign w:val="center"/>
          </w:tcPr>
          <w:p w14:paraId="598B999A">
            <w:pPr>
              <w:pStyle w:val="36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供应商类别</w:t>
            </w:r>
          </w:p>
        </w:tc>
        <w:tc>
          <w:tcPr>
            <w:tcW w:w="6998" w:type="dxa"/>
            <w:gridSpan w:val="3"/>
            <w:noWrap w:val="0"/>
            <w:vAlign w:val="center"/>
          </w:tcPr>
          <w:p w14:paraId="608BD30D">
            <w:pPr>
              <w:pStyle w:val="360"/>
              <w:jc w:val="center"/>
              <w:rPr>
                <w:rFonts w:hint="eastAsia" w:ascii="仿宋" w:hAnsi="仿宋" w:eastAsia="仿宋" w:cs="仿宋"/>
                <w:color w:val="auto"/>
                <w:sz w:val="24"/>
                <w:szCs w:val="24"/>
                <w:highlight w:val="none"/>
              </w:rPr>
            </w:pPr>
          </w:p>
        </w:tc>
      </w:tr>
      <w:tr w14:paraId="028437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26" w:type="dxa"/>
            <w:noWrap w:val="0"/>
            <w:vAlign w:val="center"/>
          </w:tcPr>
          <w:p w14:paraId="58F912B7">
            <w:pPr>
              <w:pStyle w:val="36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开户银行</w:t>
            </w:r>
          </w:p>
        </w:tc>
        <w:tc>
          <w:tcPr>
            <w:tcW w:w="3118" w:type="dxa"/>
            <w:noWrap w:val="0"/>
            <w:vAlign w:val="center"/>
          </w:tcPr>
          <w:p w14:paraId="565A90C8">
            <w:pPr>
              <w:pStyle w:val="360"/>
              <w:jc w:val="center"/>
              <w:rPr>
                <w:rFonts w:hint="eastAsia" w:ascii="仿宋" w:hAnsi="仿宋" w:eastAsia="仿宋" w:cs="仿宋"/>
                <w:color w:val="auto"/>
                <w:sz w:val="24"/>
                <w:szCs w:val="24"/>
                <w:highlight w:val="none"/>
              </w:rPr>
            </w:pPr>
          </w:p>
        </w:tc>
        <w:tc>
          <w:tcPr>
            <w:tcW w:w="1276" w:type="dxa"/>
            <w:noWrap w:val="0"/>
            <w:vAlign w:val="center"/>
          </w:tcPr>
          <w:p w14:paraId="71176FB3">
            <w:pPr>
              <w:pStyle w:val="36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账号</w:t>
            </w:r>
          </w:p>
        </w:tc>
        <w:tc>
          <w:tcPr>
            <w:tcW w:w="2604" w:type="dxa"/>
            <w:noWrap w:val="0"/>
            <w:vAlign w:val="center"/>
          </w:tcPr>
          <w:p w14:paraId="47F8A6D2">
            <w:pPr>
              <w:pStyle w:val="360"/>
              <w:jc w:val="center"/>
              <w:rPr>
                <w:rFonts w:hint="eastAsia" w:ascii="仿宋" w:hAnsi="仿宋" w:eastAsia="仿宋" w:cs="仿宋"/>
                <w:color w:val="auto"/>
                <w:sz w:val="24"/>
                <w:szCs w:val="24"/>
                <w:highlight w:val="none"/>
              </w:rPr>
            </w:pPr>
          </w:p>
        </w:tc>
      </w:tr>
      <w:tr w14:paraId="19D5C9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26" w:type="dxa"/>
            <w:noWrap w:val="0"/>
            <w:vAlign w:val="center"/>
          </w:tcPr>
          <w:p w14:paraId="31108F0A">
            <w:pPr>
              <w:pStyle w:val="36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联系人</w:t>
            </w:r>
          </w:p>
        </w:tc>
        <w:tc>
          <w:tcPr>
            <w:tcW w:w="3118" w:type="dxa"/>
            <w:noWrap w:val="0"/>
            <w:vAlign w:val="center"/>
          </w:tcPr>
          <w:p w14:paraId="7DE6F345">
            <w:pPr>
              <w:pStyle w:val="360"/>
              <w:jc w:val="center"/>
              <w:rPr>
                <w:rFonts w:hint="eastAsia" w:ascii="仿宋" w:hAnsi="仿宋" w:eastAsia="仿宋" w:cs="仿宋"/>
                <w:color w:val="auto"/>
                <w:sz w:val="24"/>
                <w:szCs w:val="24"/>
                <w:highlight w:val="none"/>
              </w:rPr>
            </w:pPr>
          </w:p>
        </w:tc>
        <w:tc>
          <w:tcPr>
            <w:tcW w:w="1276" w:type="dxa"/>
            <w:noWrap w:val="0"/>
            <w:vAlign w:val="center"/>
          </w:tcPr>
          <w:p w14:paraId="45D4085B">
            <w:pPr>
              <w:pStyle w:val="36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联系电话</w:t>
            </w:r>
          </w:p>
        </w:tc>
        <w:tc>
          <w:tcPr>
            <w:tcW w:w="2604" w:type="dxa"/>
            <w:noWrap w:val="0"/>
            <w:vAlign w:val="center"/>
          </w:tcPr>
          <w:p w14:paraId="00A1C56B">
            <w:pPr>
              <w:pStyle w:val="360"/>
              <w:jc w:val="center"/>
              <w:rPr>
                <w:rFonts w:hint="eastAsia" w:ascii="仿宋" w:hAnsi="仿宋" w:eastAsia="仿宋" w:cs="仿宋"/>
                <w:color w:val="auto"/>
                <w:sz w:val="24"/>
                <w:szCs w:val="24"/>
                <w:highlight w:val="none"/>
              </w:rPr>
            </w:pPr>
          </w:p>
        </w:tc>
      </w:tr>
      <w:tr w14:paraId="2BE726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76" w:hRule="atLeast"/>
        </w:trPr>
        <w:tc>
          <w:tcPr>
            <w:tcW w:w="1526" w:type="dxa"/>
            <w:noWrap w:val="0"/>
            <w:vAlign w:val="center"/>
          </w:tcPr>
          <w:p w14:paraId="20552B1E">
            <w:pPr>
              <w:pStyle w:val="36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经营范围</w:t>
            </w:r>
          </w:p>
        </w:tc>
        <w:tc>
          <w:tcPr>
            <w:tcW w:w="6998" w:type="dxa"/>
            <w:gridSpan w:val="3"/>
            <w:noWrap w:val="0"/>
          </w:tcPr>
          <w:p w14:paraId="58CE8FED">
            <w:pPr>
              <w:pStyle w:val="360"/>
              <w:ind w:firstLine="1433"/>
              <w:rPr>
                <w:rFonts w:hint="eastAsia" w:ascii="仿宋" w:hAnsi="仿宋" w:eastAsia="仿宋" w:cs="仿宋"/>
                <w:color w:val="auto"/>
                <w:sz w:val="24"/>
                <w:szCs w:val="24"/>
                <w:highlight w:val="none"/>
              </w:rPr>
            </w:pPr>
          </w:p>
        </w:tc>
      </w:tr>
      <w:tr w14:paraId="2EFC87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trPr>
        <w:tc>
          <w:tcPr>
            <w:tcW w:w="1526" w:type="dxa"/>
            <w:noWrap w:val="0"/>
            <w:vAlign w:val="center"/>
          </w:tcPr>
          <w:p w14:paraId="0DFEA425">
            <w:pPr>
              <w:pStyle w:val="36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备注</w:t>
            </w:r>
          </w:p>
        </w:tc>
        <w:tc>
          <w:tcPr>
            <w:tcW w:w="6998" w:type="dxa"/>
            <w:gridSpan w:val="3"/>
            <w:noWrap w:val="0"/>
            <w:vAlign w:val="center"/>
          </w:tcPr>
          <w:p w14:paraId="7A31E618">
            <w:pPr>
              <w:pStyle w:val="36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无需提供营业执照等资料，填表即可</w:t>
            </w:r>
          </w:p>
        </w:tc>
      </w:tr>
    </w:tbl>
    <w:p w14:paraId="4E02CAA7">
      <w:pPr>
        <w:spacing w:line="360" w:lineRule="auto"/>
        <w:rPr>
          <w:rFonts w:hint="eastAsia" w:ascii="宋体" w:hAnsi="宋体" w:cs="宋体"/>
          <w:i/>
          <w:color w:val="auto"/>
          <w:sz w:val="32"/>
          <w:szCs w:val="32"/>
          <w:highlight w:val="none"/>
          <w:u w:val="single"/>
        </w:rPr>
      </w:pPr>
      <w:r>
        <w:rPr>
          <w:rFonts w:hint="eastAsia" w:ascii="仿宋" w:hAnsi="仿宋" w:eastAsia="仿宋" w:cs="仿宋"/>
          <w:iCs/>
          <w:color w:val="auto"/>
          <w:sz w:val="32"/>
          <w:szCs w:val="32"/>
          <w:highlight w:val="none"/>
        </w:rPr>
        <w:br w:type="page" w:clear="all"/>
      </w:r>
      <w:r>
        <w:rPr>
          <w:rFonts w:hint="eastAsia" w:ascii="仿宋" w:hAnsi="仿宋" w:eastAsia="仿宋" w:cs="仿宋"/>
          <w:iCs/>
          <w:color w:val="auto"/>
          <w:sz w:val="32"/>
          <w:szCs w:val="32"/>
          <w:highlight w:val="none"/>
        </w:rPr>
        <w:t>三、特定资格要求的证明文件</w:t>
      </w:r>
    </w:p>
    <w:p w14:paraId="28C381D9">
      <w:pPr>
        <w:spacing w:line="360" w:lineRule="auto"/>
        <w:rPr>
          <w:rFonts w:hint="eastAsia" w:ascii="宋体" w:hAnsi="宋体" w:cs="宋体"/>
          <w:bCs/>
          <w:color w:val="auto"/>
          <w:sz w:val="24"/>
          <w:highlight w:val="none"/>
        </w:rPr>
      </w:pPr>
      <w:r>
        <w:rPr>
          <w:rFonts w:hint="eastAsia" w:ascii="宋体" w:hAnsi="宋体" w:cs="宋体"/>
          <w:color w:val="auto"/>
          <w:sz w:val="24"/>
          <w:highlight w:val="none"/>
        </w:rPr>
        <w:t xml:space="preserve">    如果本项目申请人的特定资格要求中要求提供的，必须提供。</w:t>
      </w:r>
    </w:p>
    <w:p w14:paraId="2183329F">
      <w:pPr>
        <w:spacing w:line="360" w:lineRule="auto"/>
        <w:ind w:firstLine="480"/>
        <w:rPr>
          <w:color w:val="auto"/>
          <w:sz w:val="24"/>
          <w:szCs w:val="21"/>
          <w:highlight w:val="none"/>
        </w:rPr>
      </w:pPr>
    </w:p>
    <w:p w14:paraId="362550A6">
      <w:pPr>
        <w:spacing w:line="420" w:lineRule="exact"/>
        <w:rPr>
          <w:rFonts w:hint="eastAsia" w:ascii="仿宋" w:hAnsi="仿宋" w:eastAsia="仿宋" w:cs="仿宋"/>
          <w:iCs/>
          <w:color w:val="auto"/>
          <w:sz w:val="32"/>
          <w:szCs w:val="32"/>
          <w:highlight w:val="none"/>
        </w:rPr>
      </w:pPr>
    </w:p>
    <w:p w14:paraId="7A28DFD7">
      <w:pPr>
        <w:spacing w:line="420" w:lineRule="exact"/>
        <w:rPr>
          <w:rFonts w:hint="eastAsia" w:ascii="仿宋" w:hAnsi="仿宋" w:eastAsia="仿宋" w:cs="仿宋"/>
          <w:iCs/>
          <w:color w:val="auto"/>
          <w:sz w:val="32"/>
          <w:szCs w:val="32"/>
          <w:highlight w:val="none"/>
        </w:rPr>
      </w:pPr>
    </w:p>
    <w:p w14:paraId="5E0BCDCC">
      <w:pPr>
        <w:spacing w:line="420" w:lineRule="exact"/>
        <w:rPr>
          <w:rFonts w:hint="eastAsia" w:ascii="仿宋" w:hAnsi="仿宋" w:eastAsia="仿宋" w:cs="仿宋"/>
          <w:iCs/>
          <w:color w:val="auto"/>
          <w:sz w:val="32"/>
          <w:szCs w:val="32"/>
          <w:highlight w:val="none"/>
        </w:rPr>
      </w:pPr>
    </w:p>
    <w:p w14:paraId="62C33C3A">
      <w:pPr>
        <w:spacing w:line="420" w:lineRule="exact"/>
        <w:rPr>
          <w:rFonts w:hint="eastAsia" w:ascii="仿宋" w:hAnsi="仿宋" w:eastAsia="仿宋" w:cs="仿宋"/>
          <w:iCs/>
          <w:color w:val="auto"/>
          <w:sz w:val="32"/>
          <w:szCs w:val="32"/>
          <w:highlight w:val="none"/>
        </w:rPr>
      </w:pPr>
    </w:p>
    <w:p w14:paraId="323148E6">
      <w:pPr>
        <w:spacing w:line="420" w:lineRule="exact"/>
        <w:rPr>
          <w:rFonts w:hint="eastAsia" w:ascii="仿宋" w:hAnsi="仿宋" w:eastAsia="仿宋" w:cs="仿宋"/>
          <w:iCs/>
          <w:color w:val="auto"/>
          <w:sz w:val="32"/>
          <w:szCs w:val="32"/>
          <w:highlight w:val="none"/>
        </w:rPr>
      </w:pPr>
    </w:p>
    <w:p w14:paraId="4FC50F7F">
      <w:pPr>
        <w:spacing w:line="420" w:lineRule="exact"/>
        <w:rPr>
          <w:rFonts w:hint="eastAsia" w:ascii="仿宋" w:hAnsi="仿宋" w:eastAsia="仿宋" w:cs="仿宋"/>
          <w:iCs/>
          <w:color w:val="auto"/>
          <w:sz w:val="32"/>
          <w:szCs w:val="32"/>
          <w:highlight w:val="none"/>
        </w:rPr>
      </w:pPr>
    </w:p>
    <w:p w14:paraId="747F57BB">
      <w:pPr>
        <w:spacing w:line="420" w:lineRule="exact"/>
        <w:rPr>
          <w:rFonts w:hint="eastAsia" w:ascii="仿宋" w:hAnsi="仿宋" w:eastAsia="仿宋" w:cs="仿宋"/>
          <w:iCs/>
          <w:color w:val="auto"/>
          <w:sz w:val="32"/>
          <w:szCs w:val="32"/>
          <w:highlight w:val="none"/>
        </w:rPr>
      </w:pPr>
    </w:p>
    <w:p w14:paraId="23D26D5B">
      <w:pPr>
        <w:spacing w:line="420" w:lineRule="exact"/>
        <w:rPr>
          <w:rFonts w:hint="eastAsia" w:ascii="仿宋" w:hAnsi="仿宋" w:eastAsia="仿宋" w:cs="仿宋"/>
          <w:iCs/>
          <w:color w:val="auto"/>
          <w:sz w:val="32"/>
          <w:szCs w:val="32"/>
          <w:highlight w:val="none"/>
        </w:rPr>
      </w:pPr>
    </w:p>
    <w:p w14:paraId="4829D1C9">
      <w:pPr>
        <w:spacing w:line="420" w:lineRule="exact"/>
        <w:rPr>
          <w:rFonts w:hint="eastAsia" w:ascii="仿宋" w:hAnsi="仿宋" w:eastAsia="仿宋" w:cs="仿宋"/>
          <w:iCs/>
          <w:color w:val="auto"/>
          <w:sz w:val="32"/>
          <w:szCs w:val="32"/>
          <w:highlight w:val="none"/>
        </w:rPr>
      </w:pPr>
    </w:p>
    <w:p w14:paraId="37711B41">
      <w:pPr>
        <w:spacing w:line="420" w:lineRule="exact"/>
        <w:rPr>
          <w:rFonts w:hint="eastAsia" w:ascii="仿宋" w:hAnsi="仿宋" w:eastAsia="仿宋" w:cs="仿宋"/>
          <w:iCs/>
          <w:color w:val="auto"/>
          <w:sz w:val="32"/>
          <w:szCs w:val="32"/>
          <w:highlight w:val="none"/>
        </w:rPr>
      </w:pPr>
    </w:p>
    <w:p w14:paraId="4B8E0465">
      <w:pPr>
        <w:spacing w:line="420" w:lineRule="exact"/>
        <w:rPr>
          <w:rFonts w:hint="eastAsia" w:ascii="仿宋" w:hAnsi="仿宋" w:eastAsia="仿宋" w:cs="仿宋"/>
          <w:iCs/>
          <w:color w:val="auto"/>
          <w:sz w:val="32"/>
          <w:szCs w:val="32"/>
          <w:highlight w:val="none"/>
        </w:rPr>
      </w:pPr>
    </w:p>
    <w:p w14:paraId="5EDD8FF0">
      <w:pPr>
        <w:spacing w:line="420" w:lineRule="exact"/>
        <w:rPr>
          <w:rFonts w:hint="eastAsia" w:ascii="仿宋" w:hAnsi="仿宋" w:eastAsia="仿宋" w:cs="仿宋"/>
          <w:iCs/>
          <w:color w:val="auto"/>
          <w:sz w:val="32"/>
          <w:szCs w:val="32"/>
          <w:highlight w:val="none"/>
        </w:rPr>
      </w:pPr>
    </w:p>
    <w:p w14:paraId="2C3EFD6F">
      <w:pPr>
        <w:spacing w:line="420" w:lineRule="exact"/>
        <w:rPr>
          <w:rFonts w:hint="eastAsia" w:ascii="仿宋" w:hAnsi="仿宋" w:eastAsia="仿宋" w:cs="仿宋"/>
          <w:iCs/>
          <w:color w:val="auto"/>
          <w:sz w:val="32"/>
          <w:szCs w:val="32"/>
          <w:highlight w:val="none"/>
        </w:rPr>
      </w:pPr>
    </w:p>
    <w:p w14:paraId="0C8F07A4">
      <w:pPr>
        <w:spacing w:line="420" w:lineRule="exact"/>
        <w:rPr>
          <w:rFonts w:hint="eastAsia" w:ascii="仿宋" w:hAnsi="仿宋" w:eastAsia="仿宋" w:cs="仿宋"/>
          <w:iCs/>
          <w:color w:val="auto"/>
          <w:sz w:val="32"/>
          <w:szCs w:val="32"/>
          <w:highlight w:val="none"/>
        </w:rPr>
      </w:pPr>
    </w:p>
    <w:p w14:paraId="40551388">
      <w:pPr>
        <w:spacing w:line="420" w:lineRule="exact"/>
        <w:rPr>
          <w:rFonts w:hint="eastAsia" w:ascii="仿宋" w:hAnsi="仿宋" w:eastAsia="仿宋" w:cs="仿宋"/>
          <w:iCs/>
          <w:color w:val="auto"/>
          <w:sz w:val="32"/>
          <w:szCs w:val="32"/>
          <w:highlight w:val="none"/>
        </w:rPr>
      </w:pPr>
    </w:p>
    <w:p w14:paraId="0CC77E92">
      <w:pPr>
        <w:spacing w:line="420" w:lineRule="exact"/>
        <w:rPr>
          <w:rFonts w:hint="eastAsia" w:ascii="仿宋" w:hAnsi="仿宋" w:eastAsia="仿宋" w:cs="仿宋"/>
          <w:iCs/>
          <w:color w:val="auto"/>
          <w:sz w:val="32"/>
          <w:szCs w:val="32"/>
          <w:highlight w:val="none"/>
        </w:rPr>
      </w:pPr>
    </w:p>
    <w:p w14:paraId="4C3B3986">
      <w:pPr>
        <w:spacing w:line="420" w:lineRule="exact"/>
        <w:rPr>
          <w:rFonts w:hint="eastAsia" w:ascii="仿宋" w:hAnsi="仿宋" w:eastAsia="仿宋" w:cs="仿宋"/>
          <w:iCs/>
          <w:color w:val="auto"/>
          <w:sz w:val="32"/>
          <w:szCs w:val="32"/>
          <w:highlight w:val="none"/>
        </w:rPr>
      </w:pPr>
    </w:p>
    <w:p w14:paraId="6C5F6C9B">
      <w:pPr>
        <w:spacing w:line="420" w:lineRule="exact"/>
        <w:rPr>
          <w:rFonts w:hint="eastAsia" w:ascii="仿宋" w:hAnsi="仿宋" w:eastAsia="仿宋" w:cs="仿宋"/>
          <w:iCs/>
          <w:color w:val="auto"/>
          <w:sz w:val="32"/>
          <w:szCs w:val="32"/>
          <w:highlight w:val="none"/>
        </w:rPr>
      </w:pPr>
    </w:p>
    <w:p w14:paraId="45BFD85B">
      <w:pPr>
        <w:spacing w:line="420" w:lineRule="exact"/>
        <w:rPr>
          <w:rFonts w:hint="eastAsia" w:ascii="仿宋" w:hAnsi="仿宋" w:eastAsia="仿宋" w:cs="仿宋"/>
          <w:iCs/>
          <w:color w:val="auto"/>
          <w:sz w:val="32"/>
          <w:szCs w:val="32"/>
          <w:highlight w:val="none"/>
        </w:rPr>
      </w:pPr>
    </w:p>
    <w:p w14:paraId="560989BF">
      <w:pPr>
        <w:spacing w:line="420" w:lineRule="exact"/>
        <w:rPr>
          <w:rFonts w:hint="eastAsia" w:ascii="仿宋" w:hAnsi="仿宋" w:eastAsia="仿宋" w:cs="仿宋"/>
          <w:iCs/>
          <w:color w:val="auto"/>
          <w:sz w:val="32"/>
          <w:szCs w:val="32"/>
          <w:highlight w:val="none"/>
        </w:rPr>
      </w:pPr>
    </w:p>
    <w:p w14:paraId="56BF7807">
      <w:pPr>
        <w:spacing w:line="420" w:lineRule="exact"/>
        <w:rPr>
          <w:rFonts w:hint="eastAsia" w:ascii="仿宋" w:hAnsi="仿宋" w:eastAsia="仿宋" w:cs="仿宋"/>
          <w:iCs/>
          <w:color w:val="auto"/>
          <w:sz w:val="32"/>
          <w:szCs w:val="32"/>
          <w:highlight w:val="none"/>
        </w:rPr>
      </w:pPr>
    </w:p>
    <w:p w14:paraId="049AD94F">
      <w:pPr>
        <w:spacing w:line="420" w:lineRule="exact"/>
        <w:rPr>
          <w:rFonts w:hint="eastAsia" w:ascii="仿宋" w:hAnsi="仿宋" w:eastAsia="仿宋" w:cs="仿宋"/>
          <w:iCs/>
          <w:color w:val="auto"/>
          <w:sz w:val="32"/>
          <w:szCs w:val="32"/>
          <w:highlight w:val="none"/>
        </w:rPr>
      </w:pPr>
    </w:p>
    <w:p w14:paraId="7985353D">
      <w:pPr>
        <w:spacing w:line="420" w:lineRule="exact"/>
        <w:rPr>
          <w:rFonts w:hint="eastAsia" w:ascii="仿宋" w:hAnsi="仿宋" w:eastAsia="仿宋" w:cs="仿宋"/>
          <w:iCs/>
          <w:color w:val="auto"/>
          <w:sz w:val="32"/>
          <w:szCs w:val="32"/>
          <w:highlight w:val="none"/>
        </w:rPr>
      </w:pPr>
    </w:p>
    <w:p w14:paraId="5107EF3E">
      <w:pPr>
        <w:spacing w:line="420" w:lineRule="exact"/>
        <w:rPr>
          <w:rFonts w:hint="eastAsia" w:ascii="仿宋" w:hAnsi="仿宋" w:eastAsia="仿宋" w:cs="仿宋"/>
          <w:iCs/>
          <w:color w:val="auto"/>
          <w:sz w:val="32"/>
          <w:szCs w:val="32"/>
          <w:highlight w:val="none"/>
        </w:rPr>
      </w:pPr>
    </w:p>
    <w:p w14:paraId="2925C79D">
      <w:pPr>
        <w:spacing w:line="420" w:lineRule="exact"/>
        <w:rPr>
          <w:rFonts w:hint="eastAsia" w:ascii="仿宋" w:hAnsi="仿宋" w:eastAsia="仿宋" w:cs="仿宋"/>
          <w:iCs/>
          <w:color w:val="auto"/>
          <w:sz w:val="32"/>
          <w:szCs w:val="32"/>
          <w:highlight w:val="none"/>
        </w:rPr>
      </w:pPr>
    </w:p>
    <w:p w14:paraId="0DEB2E16">
      <w:pPr>
        <w:spacing w:line="420" w:lineRule="exact"/>
        <w:rPr>
          <w:rFonts w:hint="eastAsia" w:ascii="仿宋" w:hAnsi="仿宋" w:eastAsia="仿宋" w:cs="仿宋"/>
          <w:iCs/>
          <w:color w:val="auto"/>
          <w:sz w:val="32"/>
          <w:szCs w:val="32"/>
          <w:highlight w:val="none"/>
        </w:rPr>
      </w:pPr>
    </w:p>
    <w:p w14:paraId="008CF309">
      <w:pPr>
        <w:spacing w:line="420" w:lineRule="exact"/>
        <w:rPr>
          <w:rFonts w:hint="eastAsia" w:ascii="仿宋" w:hAnsi="仿宋" w:eastAsia="仿宋" w:cs="仿宋"/>
          <w:iCs/>
          <w:color w:val="auto"/>
          <w:sz w:val="32"/>
          <w:szCs w:val="32"/>
          <w:highlight w:val="none"/>
        </w:rPr>
      </w:pPr>
    </w:p>
    <w:p w14:paraId="5E091E55">
      <w:pPr>
        <w:spacing w:line="420" w:lineRule="exact"/>
        <w:rPr>
          <w:rFonts w:hint="eastAsia" w:ascii="仿宋" w:hAnsi="仿宋" w:eastAsia="仿宋" w:cs="仿宋"/>
          <w:iCs/>
          <w:color w:val="auto"/>
          <w:sz w:val="32"/>
          <w:szCs w:val="32"/>
          <w:highlight w:val="none"/>
        </w:rPr>
      </w:pPr>
    </w:p>
    <w:p w14:paraId="6ACBBE3F">
      <w:pPr>
        <w:spacing w:line="420" w:lineRule="exact"/>
        <w:rPr>
          <w:rFonts w:hint="eastAsia" w:ascii="仿宋" w:hAnsi="仿宋" w:eastAsia="仿宋" w:cs="仿宋"/>
          <w:iCs/>
          <w:color w:val="auto"/>
          <w:sz w:val="32"/>
          <w:szCs w:val="32"/>
          <w:highlight w:val="none"/>
        </w:rPr>
      </w:pPr>
    </w:p>
    <w:p w14:paraId="0D50E94F">
      <w:pPr>
        <w:spacing w:line="420" w:lineRule="exact"/>
        <w:rPr>
          <w:rFonts w:hint="eastAsia" w:ascii="仿宋" w:hAnsi="仿宋" w:eastAsia="仿宋" w:cs="仿宋"/>
          <w:iCs/>
          <w:color w:val="auto"/>
          <w:sz w:val="32"/>
          <w:szCs w:val="32"/>
          <w:highlight w:val="none"/>
        </w:rPr>
      </w:pPr>
      <w:r>
        <w:rPr>
          <w:rFonts w:hint="eastAsia" w:ascii="仿宋" w:hAnsi="仿宋" w:eastAsia="仿宋" w:cs="仿宋"/>
          <w:iCs/>
          <w:color w:val="auto"/>
          <w:sz w:val="32"/>
          <w:szCs w:val="32"/>
          <w:highlight w:val="none"/>
        </w:rPr>
        <w:t>四、法人授权书</w:t>
      </w:r>
    </w:p>
    <w:p w14:paraId="5643FF74">
      <w:pPr>
        <w:tabs>
          <w:tab w:val="left" w:pos="360"/>
        </w:tabs>
        <w:spacing w:line="420" w:lineRule="exact"/>
        <w:ind w:firstLine="480"/>
        <w:rPr>
          <w:rFonts w:hint="eastAsia" w:ascii="仿宋" w:hAnsi="仿宋" w:eastAsia="仿宋" w:cs="仿宋"/>
          <w:color w:val="auto"/>
          <w:sz w:val="24"/>
          <w:szCs w:val="24"/>
          <w:highlight w:val="none"/>
        </w:rPr>
      </w:pPr>
    </w:p>
    <w:p w14:paraId="6A3134F3">
      <w:pPr>
        <w:tabs>
          <w:tab w:val="left" w:pos="360"/>
        </w:tabs>
        <w:spacing w:line="420" w:lineRule="exact"/>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本授权书声明：____________（供应商名称）授权________________（被授权人的姓名）为我方就</w:t>
      </w:r>
      <w:r>
        <w:rPr>
          <w:rFonts w:hint="eastAsia" w:ascii="仿宋" w:hAnsi="仿宋" w:eastAsia="仿宋" w:cs="仿宋"/>
          <w:color w:val="auto"/>
          <w:sz w:val="24"/>
          <w:szCs w:val="24"/>
          <w:highlight w:val="none"/>
          <w:u w:val="single"/>
          <w:lang w:eastAsia="zh-CN"/>
        </w:rPr>
        <w:t>JSZC-321302-WDGC-C2026-0005</w:t>
      </w:r>
      <w:r>
        <w:rPr>
          <w:rFonts w:hint="eastAsia" w:ascii="仿宋" w:hAnsi="仿宋" w:eastAsia="仿宋" w:cs="仿宋"/>
          <w:color w:val="auto"/>
          <w:sz w:val="24"/>
          <w:szCs w:val="24"/>
          <w:highlight w:val="none"/>
        </w:rPr>
        <w:t>的</w:t>
      </w:r>
      <w:r>
        <w:rPr>
          <w:rFonts w:hint="eastAsia" w:ascii="仿宋" w:hAnsi="仿宋" w:eastAsia="仿宋" w:cs="仿宋"/>
          <w:color w:val="auto"/>
          <w:sz w:val="24"/>
          <w:szCs w:val="24"/>
          <w:highlight w:val="none"/>
          <w:u w:val="single"/>
          <w:lang w:eastAsia="zh-CN"/>
        </w:rPr>
        <w:t>宿城区农村乱占耕地建非住宅类房屋专项整治工作技术服务</w:t>
      </w:r>
      <w:r>
        <w:rPr>
          <w:rFonts w:hint="eastAsia" w:ascii="仿宋" w:hAnsi="仿宋" w:eastAsia="仿宋" w:cs="仿宋"/>
          <w:color w:val="auto"/>
          <w:sz w:val="24"/>
          <w:szCs w:val="24"/>
          <w:highlight w:val="none"/>
        </w:rPr>
        <w:t>采购活动的合法代理人，以本单位名义全权处理一切与该项目采购有关的事务。</w:t>
      </w:r>
    </w:p>
    <w:p w14:paraId="65C637F9">
      <w:pPr>
        <w:tabs>
          <w:tab w:val="left" w:pos="360"/>
        </w:tabs>
        <w:spacing w:line="420" w:lineRule="exact"/>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本授权书于______年____月____日起生效，特此声明。</w:t>
      </w:r>
    </w:p>
    <w:p w14:paraId="73B82D2A">
      <w:pPr>
        <w:tabs>
          <w:tab w:val="left" w:pos="360"/>
        </w:tabs>
        <w:spacing w:line="42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          被授权人身份证号码：</w:t>
      </w:r>
      <w:r>
        <w:rPr>
          <w:rFonts w:hint="eastAsia" w:ascii="仿宋" w:hAnsi="仿宋" w:eastAsia="仿宋" w:cs="仿宋"/>
          <w:color w:val="auto"/>
          <w:sz w:val="24"/>
          <w:szCs w:val="24"/>
          <w:highlight w:val="none"/>
          <w:u w:val="single"/>
        </w:rPr>
        <w:t xml:space="preserve">                            </w:t>
      </w:r>
    </w:p>
    <w:p w14:paraId="4F0D638B">
      <w:pPr>
        <w:tabs>
          <w:tab w:val="left" w:pos="360"/>
        </w:tabs>
        <w:spacing w:line="42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          被授权人联系电话：（手机）</w:t>
      </w:r>
      <w:r>
        <w:rPr>
          <w:rFonts w:hint="eastAsia" w:ascii="仿宋" w:hAnsi="仿宋" w:eastAsia="仿宋" w:cs="仿宋"/>
          <w:color w:val="auto"/>
          <w:sz w:val="24"/>
          <w:szCs w:val="24"/>
          <w:highlight w:val="none"/>
          <w:u w:val="single"/>
        </w:rPr>
        <w:t xml:space="preserve">                      </w:t>
      </w:r>
    </w:p>
    <w:p w14:paraId="08B3FDF8">
      <w:pPr>
        <w:tabs>
          <w:tab w:val="left" w:pos="360"/>
        </w:tabs>
        <w:spacing w:line="420" w:lineRule="exact"/>
        <w:ind w:firstLine="1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授权单位名称：</w:t>
      </w:r>
      <w:r>
        <w:rPr>
          <w:rFonts w:hint="eastAsia" w:ascii="仿宋" w:hAnsi="仿宋" w:eastAsia="仿宋" w:cs="仿宋"/>
          <w:color w:val="auto"/>
          <w:sz w:val="24"/>
          <w:szCs w:val="24"/>
          <w:highlight w:val="none"/>
          <w:u w:val="single"/>
        </w:rPr>
        <w:t>（加盖CA电子公章）</w:t>
      </w:r>
    </w:p>
    <w:p w14:paraId="1BA89D4F">
      <w:pPr>
        <w:tabs>
          <w:tab w:val="left" w:pos="360"/>
        </w:tabs>
        <w:spacing w:line="420" w:lineRule="exact"/>
        <w:ind w:firstLine="48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      单位地址：</w:t>
      </w:r>
      <w:r>
        <w:rPr>
          <w:rFonts w:hint="eastAsia" w:ascii="仿宋" w:hAnsi="仿宋" w:eastAsia="仿宋" w:cs="仿宋"/>
          <w:color w:val="auto"/>
          <w:sz w:val="24"/>
          <w:szCs w:val="24"/>
          <w:highlight w:val="none"/>
          <w:u w:val="single"/>
        </w:rPr>
        <w:t xml:space="preserve">                                      </w:t>
      </w:r>
    </w:p>
    <w:p w14:paraId="2A198463">
      <w:pPr>
        <w:tabs>
          <w:tab w:val="left" w:pos="360"/>
        </w:tabs>
        <w:spacing w:line="420" w:lineRule="exact"/>
        <w:ind w:firstLine="48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      日期：</w:t>
      </w:r>
      <w:bookmarkStart w:id="214" w:name="_格式3__银行出具的资信证明"/>
      <w:bookmarkEnd w:id="214"/>
      <w:bookmarkStart w:id="215" w:name="_Hlt26671380"/>
      <w:bookmarkEnd w:id="215"/>
      <w:bookmarkStart w:id="216" w:name="_Hlt26955070"/>
      <w:bookmarkEnd w:id="216"/>
      <w:r>
        <w:rPr>
          <w:rFonts w:hint="eastAsia" w:ascii="仿宋" w:hAnsi="仿宋" w:eastAsia="仿宋" w:cs="仿宋"/>
          <w:color w:val="auto"/>
          <w:sz w:val="24"/>
          <w:szCs w:val="24"/>
          <w:highlight w:val="none"/>
          <w:u w:val="single"/>
        </w:rPr>
        <w:t xml:space="preserve">                                         </w:t>
      </w:r>
    </w:p>
    <w:p w14:paraId="176EFA7B">
      <w:pPr>
        <w:spacing w:line="420" w:lineRule="exact"/>
        <w:rPr>
          <w:rFonts w:hint="eastAsia" w:ascii="仿宋" w:hAnsi="仿宋" w:eastAsia="仿宋" w:cs="仿宋"/>
          <w:bCs/>
          <w:color w:val="auto"/>
          <w:sz w:val="24"/>
          <w:szCs w:val="21"/>
          <w:highlight w:val="none"/>
        </w:rPr>
      </w:pPr>
    </w:p>
    <w:p w14:paraId="4D87098F">
      <w:pPr>
        <w:tabs>
          <w:tab w:val="left" w:pos="360"/>
        </w:tabs>
        <w:spacing w:line="420" w:lineRule="exact"/>
        <w:ind w:firstLine="480"/>
        <w:rPr>
          <w:rFonts w:hint="eastAsia" w:ascii="仿宋" w:hAnsi="仿宋" w:eastAsia="仿宋" w:cs="仿宋"/>
          <w:color w:val="auto"/>
          <w:sz w:val="24"/>
          <w:szCs w:val="24"/>
          <w:highlight w:val="none"/>
          <w:u w:val="single"/>
        </w:rPr>
      </w:pPr>
    </w:p>
    <w:p w14:paraId="05766D03">
      <w:pPr>
        <w:tabs>
          <w:tab w:val="left" w:pos="360"/>
        </w:tabs>
        <w:spacing w:line="420" w:lineRule="exact"/>
        <w:ind w:firstLine="480"/>
        <w:rPr>
          <w:rFonts w:hint="eastAsia" w:ascii="仿宋" w:hAnsi="仿宋" w:eastAsia="仿宋" w:cs="仿宋"/>
          <w:color w:val="auto"/>
          <w:sz w:val="24"/>
          <w:szCs w:val="24"/>
          <w:highlight w:val="none"/>
        </w:rPr>
      </w:pPr>
    </w:p>
    <w:p w14:paraId="703AD3C2">
      <w:pPr>
        <w:spacing w:line="420" w:lineRule="exact"/>
        <w:ind w:firstLine="420"/>
        <w:rPr>
          <w:rFonts w:hint="eastAsia" w:ascii="仿宋" w:hAnsi="仿宋" w:eastAsia="仿宋" w:cs="仿宋"/>
          <w:i/>
          <w:color w:val="auto"/>
          <w:sz w:val="24"/>
          <w:szCs w:val="24"/>
          <w:highlight w:val="none"/>
          <w:u w:val="single"/>
        </w:rPr>
      </w:pPr>
    </w:p>
    <w:p w14:paraId="3EDA083E">
      <w:pPr>
        <w:spacing w:line="420" w:lineRule="exact"/>
        <w:rPr>
          <w:rFonts w:hint="eastAsia" w:ascii="仿宋" w:hAnsi="仿宋" w:eastAsia="仿宋" w:cs="仿宋"/>
          <w:color w:val="auto"/>
          <w:szCs w:val="21"/>
          <w:highlight w:val="none"/>
        </w:rPr>
      </w:pPr>
    </w:p>
    <w:p w14:paraId="1D23FBCD">
      <w:pPr>
        <w:spacing w:line="420" w:lineRule="exact"/>
        <w:rPr>
          <w:rFonts w:hint="eastAsia" w:ascii="仿宋" w:hAnsi="仿宋" w:eastAsia="仿宋" w:cs="仿宋"/>
          <w:iCs/>
          <w:color w:val="auto"/>
          <w:sz w:val="32"/>
          <w:szCs w:val="32"/>
          <w:highlight w:val="none"/>
        </w:rPr>
      </w:pPr>
      <w:r>
        <w:rPr>
          <w:rFonts w:hint="eastAsia" w:ascii="仿宋" w:hAnsi="仿宋" w:eastAsia="仿宋" w:cs="仿宋"/>
          <w:b/>
          <w:color w:val="auto"/>
          <w:sz w:val="24"/>
          <w:szCs w:val="44"/>
          <w:highlight w:val="none"/>
        </w:rPr>
        <w:br w:type="page" w:clear="all"/>
      </w:r>
      <w:r>
        <w:rPr>
          <w:rFonts w:hint="eastAsia" w:ascii="仿宋" w:hAnsi="仿宋" w:eastAsia="仿宋" w:cs="仿宋"/>
          <w:iCs/>
          <w:color w:val="auto"/>
          <w:sz w:val="32"/>
          <w:szCs w:val="32"/>
          <w:highlight w:val="none"/>
        </w:rPr>
        <w:t>五、中小（微）企业声明函（服务）或残疾人福利性单位声明函</w:t>
      </w:r>
    </w:p>
    <w:p w14:paraId="687E9A0F">
      <w:pPr>
        <w:spacing w:line="420" w:lineRule="exact"/>
        <w:ind w:firstLine="480"/>
        <w:jc w:val="center"/>
        <w:rPr>
          <w:rFonts w:hint="eastAsia" w:ascii="仿宋" w:hAnsi="仿宋" w:eastAsia="仿宋" w:cs="仿宋"/>
          <w:iCs/>
          <w:color w:val="auto"/>
          <w:sz w:val="32"/>
          <w:szCs w:val="32"/>
          <w:highlight w:val="none"/>
        </w:rPr>
      </w:pPr>
    </w:p>
    <w:p w14:paraId="52395601">
      <w:pPr>
        <w:spacing w:line="420" w:lineRule="exact"/>
        <w:ind w:firstLine="482"/>
        <w:jc w:val="center"/>
        <w:rPr>
          <w:rFonts w:hint="eastAsia" w:ascii="仿宋" w:hAnsi="仿宋" w:eastAsia="仿宋" w:cs="仿宋"/>
          <w:b/>
          <w:bCs/>
          <w:color w:val="auto"/>
          <w:sz w:val="24"/>
          <w:szCs w:val="24"/>
          <w:highlight w:val="none"/>
        </w:rPr>
      </w:pPr>
      <w:r>
        <w:rPr>
          <w:rFonts w:hint="eastAsia" w:ascii="仿宋" w:hAnsi="仿宋" w:eastAsia="仿宋" w:cs="仿宋"/>
          <w:b/>
          <w:bCs/>
          <w:iCs/>
          <w:color w:val="auto"/>
          <w:sz w:val="32"/>
          <w:szCs w:val="32"/>
          <w:highlight w:val="none"/>
        </w:rPr>
        <w:t>中小（微）企业声明函（服务）</w:t>
      </w:r>
    </w:p>
    <w:p w14:paraId="66C5D0C1">
      <w:pPr>
        <w:spacing w:line="420" w:lineRule="exact"/>
        <w:ind w:firstLine="36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本公司（联合体）郑重声明，根据《政府采购促进中小企业发展管理办法》（财库[2020]46号)的规定，本公司（联合体）参加</w:t>
      </w:r>
      <w:r>
        <w:rPr>
          <w:rFonts w:hint="eastAsia" w:ascii="仿宋" w:hAnsi="仿宋" w:eastAsia="仿宋" w:cs="仿宋"/>
          <w:color w:val="auto"/>
          <w:sz w:val="24"/>
          <w:szCs w:val="24"/>
          <w:highlight w:val="none"/>
          <w:u w:val="single"/>
        </w:rPr>
        <w:t>宿迁市自然资源和规划局宿城分局</w:t>
      </w:r>
      <w:r>
        <w:rPr>
          <w:rFonts w:hint="eastAsia" w:ascii="仿宋" w:hAnsi="仿宋" w:eastAsia="仿宋" w:cs="仿宋"/>
          <w:color w:val="auto"/>
          <w:sz w:val="24"/>
          <w:szCs w:val="24"/>
          <w:highlight w:val="none"/>
        </w:rPr>
        <w:t>采购编号为</w:t>
      </w:r>
      <w:r>
        <w:rPr>
          <w:rFonts w:hint="eastAsia" w:ascii="仿宋" w:hAnsi="仿宋" w:eastAsia="仿宋" w:cs="仿宋"/>
          <w:color w:val="auto"/>
          <w:sz w:val="24"/>
          <w:szCs w:val="24"/>
          <w:highlight w:val="none"/>
          <w:u w:val="single"/>
          <w:lang w:eastAsia="zh-CN"/>
        </w:rPr>
        <w:t>JSZC-321302-WDGC-C2026-0005</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u w:val="single"/>
          <w:lang w:eastAsia="zh-CN"/>
        </w:rPr>
        <w:t>宿城区农村乱占耕地建非住宅类房屋专项整治工作技术服务</w:t>
      </w:r>
      <w:r>
        <w:rPr>
          <w:rFonts w:hint="eastAsia" w:ascii="仿宋" w:hAnsi="仿宋" w:eastAsia="仿宋" w:cs="仿宋"/>
          <w:color w:val="auto"/>
          <w:sz w:val="24"/>
          <w:szCs w:val="24"/>
          <w:highlight w:val="none"/>
          <w:u w:val="single"/>
        </w:rPr>
        <w:t>（分包号：</w:t>
      </w:r>
      <w:r>
        <w:rPr>
          <w:rFonts w:hint="eastAsia" w:ascii="仿宋" w:hAnsi="仿宋" w:eastAsia="仿宋" w:cs="仿宋"/>
          <w:color w:val="auto"/>
          <w:sz w:val="24"/>
          <w:szCs w:val="24"/>
          <w:highlight w:val="none"/>
          <w:u w:val="single"/>
          <w:lang w:eastAsia="zh-CN"/>
        </w:rPr>
        <w:t>JSZC-321302-WDGC-C2026-0005</w:t>
      </w:r>
      <w:r>
        <w:rPr>
          <w:rFonts w:hint="eastAsia" w:ascii="仿宋" w:hAnsi="仿宋" w:eastAsia="仿宋" w:cs="仿宋"/>
          <w:color w:val="auto"/>
          <w:sz w:val="24"/>
          <w:szCs w:val="24"/>
          <w:highlight w:val="none"/>
          <w:u w:val="single"/>
        </w:rPr>
        <w:t>）</w:t>
      </w:r>
      <w:r>
        <w:rPr>
          <w:rFonts w:hint="eastAsia" w:ascii="仿宋" w:hAnsi="仿宋" w:eastAsia="仿宋" w:cs="仿宋"/>
          <w:color w:val="auto"/>
          <w:sz w:val="24"/>
          <w:szCs w:val="24"/>
          <w:highlight w:val="none"/>
        </w:rPr>
        <w:t>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p>
    <w:p w14:paraId="51A606E6">
      <w:pPr>
        <w:spacing w:line="420" w:lineRule="exact"/>
        <w:ind w:firstLine="360"/>
        <w:rPr>
          <w:rFonts w:hint="eastAsia" w:ascii="仿宋" w:hAnsi="仿宋" w:eastAsia="仿宋" w:cs="仿宋"/>
          <w:i/>
          <w:color w:val="auto"/>
          <w:sz w:val="24"/>
          <w:szCs w:val="24"/>
          <w:highlight w:val="none"/>
          <w:u w:val="singl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u w:val="single"/>
        </w:rPr>
        <w:t>（标的名称）</w:t>
      </w:r>
      <w:r>
        <w:rPr>
          <w:rFonts w:hint="eastAsia" w:ascii="仿宋" w:hAnsi="仿宋" w:eastAsia="仿宋" w:cs="仿宋"/>
          <w:i/>
          <w:color w:val="auto"/>
          <w:sz w:val="24"/>
          <w:szCs w:val="24"/>
          <w:highlight w:val="none"/>
        </w:rPr>
        <w:t>，</w:t>
      </w:r>
      <w:r>
        <w:rPr>
          <w:rFonts w:hint="eastAsia" w:ascii="仿宋" w:hAnsi="仿宋" w:eastAsia="仿宋" w:cs="仿宋"/>
          <w:color w:val="auto"/>
          <w:sz w:val="24"/>
          <w:szCs w:val="24"/>
          <w:highlight w:val="none"/>
        </w:rPr>
        <w:t>属于</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行业；承接企业为</w:t>
      </w:r>
      <w:r>
        <w:rPr>
          <w:rFonts w:hint="eastAsia" w:ascii="仿宋" w:hAnsi="仿宋" w:eastAsia="仿宋" w:cs="仿宋"/>
          <w:color w:val="auto"/>
          <w:sz w:val="24"/>
          <w:szCs w:val="24"/>
          <w:highlight w:val="none"/>
          <w:u w:val="single"/>
        </w:rPr>
        <w:t>（企业名称）</w:t>
      </w:r>
      <w:r>
        <w:rPr>
          <w:rFonts w:hint="eastAsia" w:ascii="仿宋" w:hAnsi="仿宋" w:eastAsia="仿宋" w:cs="仿宋"/>
          <w:color w:val="auto"/>
          <w:sz w:val="24"/>
          <w:szCs w:val="24"/>
          <w:highlight w:val="none"/>
        </w:rPr>
        <w:t>，从业人员</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人，营业收入为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万元，资产总额为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万元</w:t>
      </w:r>
      <w:r>
        <w:rPr>
          <w:rFonts w:hint="eastAsia" w:ascii="仿宋" w:hAnsi="仿宋" w:eastAsia="仿宋" w:cs="仿宋"/>
          <w:color w:val="auto"/>
          <w:sz w:val="24"/>
          <w:szCs w:val="24"/>
          <w:highlight w:val="none"/>
          <w:vertAlign w:val="superscript"/>
        </w:rPr>
        <w:t>1</w:t>
      </w:r>
      <w:r>
        <w:rPr>
          <w:rFonts w:hint="eastAsia" w:ascii="仿宋" w:hAnsi="仿宋" w:eastAsia="仿宋" w:cs="仿宋"/>
          <w:color w:val="auto"/>
          <w:sz w:val="24"/>
          <w:szCs w:val="24"/>
          <w:highlight w:val="none"/>
        </w:rPr>
        <w:t>，属于</w:t>
      </w:r>
      <w:r>
        <w:rPr>
          <w:rFonts w:hint="eastAsia" w:ascii="仿宋" w:hAnsi="仿宋" w:eastAsia="仿宋" w:cs="仿宋"/>
          <w:color w:val="auto"/>
          <w:sz w:val="24"/>
          <w:szCs w:val="24"/>
          <w:highlight w:val="none"/>
          <w:u w:val="single"/>
        </w:rPr>
        <w:t>（小型企业、微型企业）</w:t>
      </w:r>
      <w:r>
        <w:rPr>
          <w:rFonts w:hint="eastAsia" w:ascii="仿宋" w:hAnsi="仿宋" w:eastAsia="仿宋" w:cs="仿宋"/>
          <w:color w:val="auto"/>
          <w:sz w:val="24"/>
          <w:szCs w:val="24"/>
          <w:highlight w:val="none"/>
        </w:rPr>
        <w:t>；</w:t>
      </w:r>
    </w:p>
    <w:p w14:paraId="36E89591">
      <w:pPr>
        <w:spacing w:line="420" w:lineRule="exact"/>
        <w:ind w:firstLine="360"/>
        <w:rPr>
          <w:rFonts w:hint="eastAsia" w:ascii="仿宋" w:hAnsi="仿宋" w:eastAsia="仿宋" w:cs="仿宋"/>
          <w:i/>
          <w:color w:val="auto"/>
          <w:sz w:val="24"/>
          <w:szCs w:val="24"/>
          <w:highlight w:val="none"/>
          <w:u w:val="single"/>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u w:val="single"/>
        </w:rPr>
        <w:t>（标的名称）</w:t>
      </w:r>
      <w:r>
        <w:rPr>
          <w:rFonts w:hint="eastAsia" w:ascii="仿宋" w:hAnsi="仿宋" w:eastAsia="仿宋" w:cs="仿宋"/>
          <w:i/>
          <w:color w:val="auto"/>
          <w:sz w:val="24"/>
          <w:szCs w:val="24"/>
          <w:highlight w:val="none"/>
        </w:rPr>
        <w:t>，</w:t>
      </w:r>
      <w:r>
        <w:rPr>
          <w:rFonts w:hint="eastAsia" w:ascii="仿宋" w:hAnsi="仿宋" w:eastAsia="仿宋" w:cs="仿宋"/>
          <w:color w:val="auto"/>
          <w:sz w:val="24"/>
          <w:szCs w:val="24"/>
          <w:highlight w:val="none"/>
        </w:rPr>
        <w:t>属于</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行业；承接企业为</w:t>
      </w:r>
      <w:r>
        <w:rPr>
          <w:rFonts w:hint="eastAsia" w:ascii="仿宋" w:hAnsi="仿宋" w:eastAsia="仿宋" w:cs="仿宋"/>
          <w:color w:val="auto"/>
          <w:sz w:val="24"/>
          <w:szCs w:val="24"/>
          <w:highlight w:val="none"/>
          <w:u w:val="single"/>
        </w:rPr>
        <w:t>（企业名称）</w:t>
      </w:r>
      <w:r>
        <w:rPr>
          <w:rFonts w:hint="eastAsia" w:ascii="仿宋" w:hAnsi="仿宋" w:eastAsia="仿宋" w:cs="仿宋"/>
          <w:color w:val="auto"/>
          <w:sz w:val="24"/>
          <w:szCs w:val="24"/>
          <w:highlight w:val="none"/>
        </w:rPr>
        <w:t>，从业人员</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人，营业收入为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万元，资产总额为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万元</w:t>
      </w:r>
      <w:r>
        <w:rPr>
          <w:rFonts w:hint="eastAsia" w:ascii="仿宋" w:hAnsi="仿宋" w:eastAsia="仿宋" w:cs="仿宋"/>
          <w:color w:val="auto"/>
          <w:sz w:val="24"/>
          <w:szCs w:val="24"/>
          <w:highlight w:val="none"/>
          <w:vertAlign w:val="superscript"/>
        </w:rPr>
        <w:t>1</w:t>
      </w:r>
      <w:r>
        <w:rPr>
          <w:rFonts w:hint="eastAsia" w:ascii="仿宋" w:hAnsi="仿宋" w:eastAsia="仿宋" w:cs="仿宋"/>
          <w:color w:val="auto"/>
          <w:sz w:val="24"/>
          <w:szCs w:val="24"/>
          <w:highlight w:val="none"/>
        </w:rPr>
        <w:t>，属于</w:t>
      </w:r>
      <w:r>
        <w:rPr>
          <w:rFonts w:hint="eastAsia" w:ascii="仿宋" w:hAnsi="仿宋" w:eastAsia="仿宋" w:cs="仿宋"/>
          <w:color w:val="auto"/>
          <w:sz w:val="24"/>
          <w:szCs w:val="24"/>
          <w:highlight w:val="none"/>
          <w:u w:val="single"/>
        </w:rPr>
        <w:t>（小型企业、微型企业）</w:t>
      </w:r>
      <w:r>
        <w:rPr>
          <w:rFonts w:hint="eastAsia" w:ascii="仿宋" w:hAnsi="仿宋" w:eastAsia="仿宋" w:cs="仿宋"/>
          <w:color w:val="auto"/>
          <w:sz w:val="24"/>
          <w:szCs w:val="24"/>
          <w:highlight w:val="none"/>
        </w:rPr>
        <w:t>；</w:t>
      </w:r>
    </w:p>
    <w:p w14:paraId="7E28BFA1">
      <w:pPr>
        <w:spacing w:line="420" w:lineRule="exact"/>
        <w:ind w:firstLine="36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p>
    <w:p w14:paraId="00303482">
      <w:pPr>
        <w:spacing w:line="420" w:lineRule="exact"/>
        <w:ind w:firstLine="36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以上企业，不属于大企业的分支机构，不存在控股股东为大企业的情形，也不存在与大企业的负责人为同一人的情形。</w:t>
      </w:r>
    </w:p>
    <w:p w14:paraId="7E764D51">
      <w:pPr>
        <w:spacing w:line="420" w:lineRule="exact"/>
        <w:ind w:firstLine="36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本企业对上述声明内容的真实性负责。如有虚假，将依法承担相应责任。</w:t>
      </w:r>
    </w:p>
    <w:p w14:paraId="777F144E">
      <w:pPr>
        <w:spacing w:line="420" w:lineRule="exact"/>
        <w:ind w:right="720"/>
        <w:rPr>
          <w:rFonts w:hint="eastAsia" w:ascii="仿宋" w:hAnsi="仿宋" w:eastAsia="仿宋" w:cs="仿宋"/>
          <w:color w:val="auto"/>
          <w:sz w:val="24"/>
          <w:szCs w:val="24"/>
          <w:highlight w:val="none"/>
        </w:rPr>
      </w:pPr>
    </w:p>
    <w:p w14:paraId="2AC9C82C">
      <w:pPr>
        <w:spacing w:line="420" w:lineRule="exact"/>
        <w:ind w:right="180" w:firstLine="360"/>
        <w:jc w:val="righ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企业名称（加盖CA电子公章）：</w:t>
      </w:r>
    </w:p>
    <w:p w14:paraId="65D15C09">
      <w:pPr>
        <w:spacing w:line="420" w:lineRule="exact"/>
        <w:ind w:right="480" w:firstLine="54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日  期：</w:t>
      </w:r>
    </w:p>
    <w:p w14:paraId="44C4440E">
      <w:pPr>
        <w:spacing w:line="420" w:lineRule="exact"/>
        <w:ind w:firstLine="480"/>
        <w:rPr>
          <w:rFonts w:hint="eastAsia" w:ascii="仿宋" w:hAnsi="仿宋" w:eastAsia="仿宋" w:cs="仿宋"/>
          <w:color w:val="auto"/>
          <w:sz w:val="24"/>
          <w:szCs w:val="24"/>
          <w:highlight w:val="none"/>
        </w:rPr>
      </w:pPr>
    </w:p>
    <w:p w14:paraId="682EC991">
      <w:pPr>
        <w:spacing w:line="420" w:lineRule="exact"/>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备注1：从业人员、营业收入、资产总额填报上一年度数据，无上一年度数据的新成立企业可不填报。</w:t>
      </w:r>
    </w:p>
    <w:p w14:paraId="3F5469C2">
      <w:pPr>
        <w:spacing w:line="420" w:lineRule="exact"/>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备注2：供应商如不提供此声明函，价格将不做相应扣除。</w:t>
      </w:r>
    </w:p>
    <w:p w14:paraId="27719899">
      <w:pPr>
        <w:spacing w:line="420" w:lineRule="exact"/>
        <w:jc w:val="cente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br w:type="page" w:clear="all"/>
      </w:r>
    </w:p>
    <w:p w14:paraId="6235DDEB">
      <w:pPr>
        <w:spacing w:line="420" w:lineRule="exact"/>
        <w:jc w:val="cente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残疾人福利性单位声明函</w:t>
      </w:r>
    </w:p>
    <w:p w14:paraId="0BB40C53">
      <w:pPr>
        <w:spacing w:line="420" w:lineRule="exact"/>
        <w:ind w:firstLine="480"/>
        <w:rPr>
          <w:rFonts w:hint="eastAsia" w:ascii="仿宋" w:hAnsi="仿宋" w:eastAsia="仿宋" w:cs="仿宋"/>
          <w:color w:val="auto"/>
          <w:sz w:val="24"/>
          <w:szCs w:val="21"/>
          <w:highlight w:val="none"/>
        </w:rPr>
      </w:pPr>
    </w:p>
    <w:p w14:paraId="05299E27">
      <w:pPr>
        <w:spacing w:line="420" w:lineRule="exact"/>
        <w:ind w:firstLine="480"/>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本单位郑重声明，根据《财政部 民政部 中国残疾人联合会关于促进残疾人就业政府采购政策的通知》（财库〔2017〕 141号）的规定，本单位为符合条件的残疾人福利性单位，且本单位参加______单位的采购文件编号为</w:t>
      </w:r>
      <w:r>
        <w:rPr>
          <w:rFonts w:hint="eastAsia" w:ascii="仿宋" w:hAnsi="仿宋" w:eastAsia="仿宋" w:cs="仿宋"/>
          <w:color w:val="auto"/>
          <w:sz w:val="24"/>
          <w:szCs w:val="21"/>
          <w:highlight w:val="none"/>
          <w:u w:val="single"/>
          <w:lang w:eastAsia="zh-CN"/>
        </w:rPr>
        <w:t>JSZC-321302-WDGC-C2026-0005</w:t>
      </w:r>
      <w:r>
        <w:rPr>
          <w:rFonts w:hint="eastAsia" w:ascii="仿宋" w:hAnsi="仿宋" w:eastAsia="仿宋" w:cs="仿宋"/>
          <w:color w:val="auto"/>
          <w:sz w:val="24"/>
          <w:szCs w:val="21"/>
          <w:highlight w:val="none"/>
        </w:rPr>
        <w:t>的</w:t>
      </w:r>
      <w:r>
        <w:rPr>
          <w:rFonts w:hint="eastAsia" w:ascii="仿宋" w:hAnsi="仿宋" w:eastAsia="仿宋" w:cs="仿宋"/>
          <w:color w:val="auto"/>
          <w:sz w:val="24"/>
          <w:szCs w:val="24"/>
          <w:highlight w:val="none"/>
          <w:u w:val="single"/>
          <w:lang w:eastAsia="zh-CN"/>
        </w:rPr>
        <w:t>宿城区农村乱占耕地建非住宅类房屋专项整治工作技术服务</w:t>
      </w:r>
      <w:r>
        <w:rPr>
          <w:rFonts w:hint="eastAsia" w:ascii="仿宋" w:hAnsi="仿宋" w:eastAsia="仿宋" w:cs="仿宋"/>
          <w:color w:val="auto"/>
          <w:sz w:val="24"/>
          <w:szCs w:val="21"/>
          <w:highlight w:val="none"/>
        </w:rPr>
        <w:t>（分包号：</w:t>
      </w:r>
      <w:r>
        <w:rPr>
          <w:rFonts w:hint="eastAsia" w:ascii="仿宋" w:hAnsi="仿宋" w:eastAsia="仿宋" w:cs="仿宋"/>
          <w:color w:val="auto"/>
          <w:sz w:val="24"/>
          <w:szCs w:val="21"/>
          <w:highlight w:val="none"/>
          <w:lang w:eastAsia="zh-CN"/>
        </w:rPr>
        <w:t>JSZC-321302-WDGC-C2026-0005</w:t>
      </w:r>
      <w:r>
        <w:rPr>
          <w:rFonts w:hint="eastAsia" w:ascii="仿宋" w:hAnsi="仿宋" w:eastAsia="仿宋" w:cs="仿宋"/>
          <w:color w:val="auto"/>
          <w:sz w:val="24"/>
          <w:szCs w:val="21"/>
          <w:highlight w:val="none"/>
        </w:rPr>
        <w:t>）采购活动提供本单位制造的货物，或者提供其他残疾人福利性单位制造的货物（不包括使用非残疾人福利性单位注册商标的货物）。</w:t>
      </w:r>
    </w:p>
    <w:p w14:paraId="5F8F9F0A">
      <w:pPr>
        <w:spacing w:line="420" w:lineRule="exact"/>
        <w:ind w:firstLine="480"/>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本单位对上述声明的真实性负责。如有虚假，将依法承担相应责任。</w:t>
      </w:r>
    </w:p>
    <w:p w14:paraId="254F6345">
      <w:pPr>
        <w:spacing w:line="420" w:lineRule="exact"/>
        <w:ind w:firstLine="480"/>
        <w:rPr>
          <w:rFonts w:hint="eastAsia" w:ascii="仿宋" w:hAnsi="仿宋" w:eastAsia="仿宋" w:cs="仿宋"/>
          <w:color w:val="auto"/>
          <w:sz w:val="24"/>
          <w:szCs w:val="21"/>
          <w:highlight w:val="none"/>
        </w:rPr>
      </w:pPr>
    </w:p>
    <w:p w14:paraId="2AFC43F4">
      <w:pPr>
        <w:spacing w:line="420" w:lineRule="exact"/>
        <w:ind w:firstLine="480"/>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（备注：1、供应商如不提供此声明函，价格将不做相应扣除。2、成交供应商为残疾人福利单位的，此声明函将随成交结果同时公告，接受社会监督）</w:t>
      </w:r>
    </w:p>
    <w:p w14:paraId="4A5BB675">
      <w:pPr>
        <w:spacing w:line="420" w:lineRule="exact"/>
        <w:ind w:firstLine="624"/>
        <w:rPr>
          <w:rFonts w:hint="eastAsia" w:ascii="仿宋" w:hAnsi="仿宋" w:eastAsia="仿宋" w:cs="仿宋"/>
          <w:color w:val="auto"/>
          <w:spacing w:val="6"/>
          <w:sz w:val="30"/>
          <w:szCs w:val="30"/>
          <w:highlight w:val="none"/>
        </w:rPr>
      </w:pPr>
    </w:p>
    <w:p w14:paraId="0B3A6692">
      <w:pPr>
        <w:tabs>
          <w:tab w:val="left" w:pos="4860"/>
        </w:tabs>
        <w:spacing w:line="420" w:lineRule="exact"/>
        <w:ind w:firstLine="624"/>
        <w:jc w:val="center"/>
        <w:rPr>
          <w:rFonts w:hint="eastAsia" w:ascii="仿宋" w:hAnsi="仿宋" w:eastAsia="仿宋" w:cs="仿宋"/>
          <w:color w:val="auto"/>
          <w:sz w:val="24"/>
          <w:szCs w:val="21"/>
          <w:highlight w:val="none"/>
        </w:rPr>
      </w:pPr>
      <w:r>
        <w:rPr>
          <w:rFonts w:hint="eastAsia" w:ascii="仿宋" w:hAnsi="仿宋" w:eastAsia="仿宋" w:cs="仿宋"/>
          <w:color w:val="auto"/>
          <w:spacing w:val="6"/>
          <w:sz w:val="30"/>
          <w:szCs w:val="30"/>
          <w:highlight w:val="none"/>
        </w:rPr>
        <w:t xml:space="preserve">             </w:t>
      </w:r>
      <w:r>
        <w:rPr>
          <w:rFonts w:hint="eastAsia" w:ascii="仿宋" w:hAnsi="仿宋" w:eastAsia="仿宋" w:cs="仿宋"/>
          <w:color w:val="auto"/>
          <w:sz w:val="24"/>
          <w:szCs w:val="21"/>
          <w:highlight w:val="none"/>
        </w:rPr>
        <w:t xml:space="preserve">          供应商全称（加盖CA电子公章）：</w:t>
      </w:r>
    </w:p>
    <w:p w14:paraId="74EF5688">
      <w:pPr>
        <w:tabs>
          <w:tab w:val="left" w:pos="4860"/>
        </w:tabs>
        <w:spacing w:line="420" w:lineRule="exact"/>
        <w:ind w:firstLine="480"/>
        <w:jc w:val="center"/>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        日  期：</w:t>
      </w:r>
    </w:p>
    <w:p w14:paraId="1E41133F">
      <w:pPr>
        <w:spacing w:line="420" w:lineRule="exact"/>
        <w:jc w:val="center"/>
        <w:rPr>
          <w:rFonts w:hint="eastAsia" w:ascii="仿宋" w:hAnsi="仿宋" w:eastAsia="仿宋" w:cs="仿宋"/>
          <w:b/>
          <w:color w:val="auto"/>
          <w:sz w:val="32"/>
          <w:szCs w:val="32"/>
          <w:highlight w:val="none"/>
        </w:rPr>
      </w:pPr>
    </w:p>
    <w:p w14:paraId="00BD63B6">
      <w:pPr>
        <w:spacing w:line="42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br w:type="page" w:clear="all"/>
      </w:r>
      <w:r>
        <w:rPr>
          <w:rFonts w:hint="eastAsia" w:ascii="仿宋" w:hAnsi="仿宋" w:eastAsia="仿宋" w:cs="仿宋"/>
          <w:b/>
          <w:color w:val="auto"/>
          <w:sz w:val="32"/>
          <w:szCs w:val="32"/>
          <w:highlight w:val="none"/>
        </w:rPr>
        <w:t>六</w:t>
      </w:r>
      <w:r>
        <w:rPr>
          <w:rFonts w:hint="eastAsia" w:ascii="仿宋" w:hAnsi="仿宋" w:eastAsia="仿宋" w:cs="仿宋"/>
          <w:iCs/>
          <w:color w:val="auto"/>
          <w:sz w:val="32"/>
          <w:szCs w:val="32"/>
          <w:highlight w:val="none"/>
        </w:rPr>
        <w:t>、开标一览表</w:t>
      </w:r>
    </w:p>
    <w:p w14:paraId="311C5087">
      <w:pPr>
        <w:spacing w:line="420" w:lineRule="exact"/>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供应商全称（加盖CA电子签章）：</w:t>
      </w:r>
    </w:p>
    <w:p w14:paraId="1B581CDB">
      <w:pPr>
        <w:spacing w:line="420" w:lineRule="exact"/>
        <w:ind w:firstLine="48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项目名称：</w:t>
      </w:r>
      <w:r>
        <w:rPr>
          <w:rFonts w:hint="eastAsia" w:ascii="仿宋" w:hAnsi="仿宋" w:eastAsia="仿宋" w:cs="仿宋"/>
          <w:color w:val="auto"/>
          <w:sz w:val="24"/>
          <w:szCs w:val="24"/>
          <w:highlight w:val="none"/>
          <w:lang w:eastAsia="zh-CN"/>
        </w:rPr>
        <w:t>宿城区农村乱占耕地建非住宅类房屋专项整治工作技术服务</w:t>
      </w:r>
    </w:p>
    <w:p w14:paraId="751B22D5">
      <w:pPr>
        <w:spacing w:line="420" w:lineRule="exact"/>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招标编号：</w:t>
      </w:r>
      <w:r>
        <w:rPr>
          <w:rFonts w:hint="eastAsia" w:ascii="仿宋" w:hAnsi="仿宋" w:eastAsia="仿宋" w:cs="仿宋"/>
          <w:color w:val="auto"/>
          <w:sz w:val="24"/>
          <w:szCs w:val="24"/>
          <w:highlight w:val="none"/>
          <w:lang w:eastAsia="zh-CN"/>
        </w:rPr>
        <w:t>JSZC-321302-WDGC-C2026-0005</w:t>
      </w:r>
      <w:r>
        <w:rPr>
          <w:rFonts w:hint="eastAsia" w:ascii="仿宋" w:hAnsi="仿宋" w:eastAsia="仿宋" w:cs="仿宋"/>
          <w:color w:val="auto"/>
          <w:sz w:val="24"/>
          <w:szCs w:val="24"/>
          <w:highlight w:val="none"/>
        </w:rPr>
        <w:t xml:space="preserve">                          </w:t>
      </w:r>
    </w:p>
    <w:p w14:paraId="2DCCD61E">
      <w:pPr>
        <w:spacing w:line="420" w:lineRule="exact"/>
        <w:ind w:firstLine="48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分包号：</w:t>
      </w:r>
      <w:r>
        <w:rPr>
          <w:rFonts w:hint="eastAsia" w:ascii="仿宋" w:hAnsi="仿宋" w:eastAsia="仿宋" w:cs="仿宋"/>
          <w:color w:val="auto"/>
          <w:sz w:val="24"/>
          <w:szCs w:val="24"/>
          <w:highlight w:val="none"/>
          <w:lang w:eastAsia="zh-CN"/>
        </w:rPr>
        <w:t>JSZC-321302-WDGC-C2026-0005</w:t>
      </w:r>
    </w:p>
    <w:tbl>
      <w:tblPr>
        <w:tblStyle w:val="3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206"/>
      </w:tblGrid>
      <w:tr w14:paraId="0FA8E9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5" w:hRule="atLeast"/>
        </w:trPr>
        <w:tc>
          <w:tcPr>
            <w:tcW w:w="8206" w:type="dxa"/>
            <w:noWrap w:val="0"/>
            <w:vAlign w:val="center"/>
          </w:tcPr>
          <w:p w14:paraId="3E638D5B">
            <w:pPr>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投标总报价</w:t>
            </w:r>
          </w:p>
        </w:tc>
      </w:tr>
      <w:tr w14:paraId="4C430F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12" w:hRule="atLeast"/>
        </w:trPr>
        <w:tc>
          <w:tcPr>
            <w:tcW w:w="8206" w:type="dxa"/>
            <w:noWrap w:val="0"/>
            <w:vAlign w:val="center"/>
          </w:tcPr>
          <w:p w14:paraId="06B16327">
            <w:pPr>
              <w:pStyle w:val="313"/>
              <w:spacing w:before="0" w:after="0" w:line="420" w:lineRule="exact"/>
              <w:ind w:firstLine="0"/>
              <w:rPr>
                <w:rFonts w:hint="eastAsia" w:ascii="仿宋" w:hAnsi="仿宋" w:eastAsia="仿宋" w:cs="仿宋"/>
                <w:color w:val="auto"/>
                <w:szCs w:val="21"/>
                <w:highlight w:val="none"/>
              </w:rPr>
            </w:pPr>
            <w:r>
              <w:rPr>
                <w:rFonts w:hint="eastAsia" w:ascii="仿宋" w:hAnsi="仿宋" w:eastAsia="仿宋" w:cs="仿宋"/>
                <w:color w:val="auto"/>
                <w:highlight w:val="none"/>
                <w:lang w:val="en-US" w:eastAsia="zh-CN"/>
              </w:rPr>
              <w:t>大</w:t>
            </w:r>
            <w:r>
              <w:rPr>
                <w:rFonts w:hint="eastAsia" w:ascii="仿宋" w:hAnsi="仿宋" w:eastAsia="仿宋" w:cs="仿宋"/>
                <w:color w:val="auto"/>
                <w:highlight w:val="none"/>
              </w:rPr>
              <w:t>写：                             （人民币：元）</w:t>
            </w:r>
          </w:p>
        </w:tc>
      </w:tr>
    </w:tbl>
    <w:p w14:paraId="45D28526">
      <w:pPr>
        <w:spacing w:line="420" w:lineRule="exact"/>
        <w:rPr>
          <w:rFonts w:hint="eastAsia" w:ascii="仿宋" w:hAnsi="仿宋" w:eastAsia="仿宋" w:cs="仿宋"/>
          <w:color w:val="auto"/>
          <w:sz w:val="24"/>
          <w:szCs w:val="24"/>
          <w:highlight w:val="none"/>
        </w:rPr>
      </w:pPr>
    </w:p>
    <w:p w14:paraId="6A1551F9">
      <w:pPr>
        <w:spacing w:line="420" w:lineRule="exact"/>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日期：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日</w:t>
      </w:r>
    </w:p>
    <w:p w14:paraId="4A668F38">
      <w:pPr>
        <w:spacing w:line="420" w:lineRule="exact"/>
        <w:jc w:val="center"/>
        <w:rPr>
          <w:rFonts w:hint="eastAsia" w:ascii="仿宋" w:hAnsi="仿宋" w:eastAsia="仿宋" w:cs="仿宋"/>
          <w:b/>
          <w:color w:val="auto"/>
          <w:sz w:val="32"/>
          <w:szCs w:val="32"/>
          <w:highlight w:val="none"/>
        </w:rPr>
      </w:pPr>
    </w:p>
    <w:p w14:paraId="60381AF5">
      <w:pPr>
        <w:spacing w:line="420" w:lineRule="exact"/>
        <w:jc w:val="center"/>
        <w:rPr>
          <w:rFonts w:hint="eastAsia" w:ascii="仿宋" w:hAnsi="仿宋" w:eastAsia="仿宋" w:cs="仿宋"/>
          <w:b/>
          <w:color w:val="auto"/>
          <w:sz w:val="32"/>
          <w:szCs w:val="32"/>
          <w:highlight w:val="none"/>
        </w:rPr>
      </w:pPr>
    </w:p>
    <w:p w14:paraId="53C63827">
      <w:pPr>
        <w:spacing w:line="420" w:lineRule="exact"/>
        <w:jc w:val="center"/>
        <w:rPr>
          <w:rFonts w:hint="eastAsia" w:ascii="仿宋" w:hAnsi="仿宋" w:eastAsia="仿宋" w:cs="仿宋"/>
          <w:b/>
          <w:color w:val="auto"/>
          <w:sz w:val="32"/>
          <w:szCs w:val="32"/>
          <w:highlight w:val="none"/>
        </w:rPr>
      </w:pPr>
    </w:p>
    <w:p w14:paraId="46B61873">
      <w:pPr>
        <w:spacing w:line="420" w:lineRule="exact"/>
        <w:jc w:val="center"/>
        <w:rPr>
          <w:rFonts w:hint="eastAsia" w:ascii="仿宋" w:hAnsi="仿宋" w:eastAsia="仿宋" w:cs="仿宋"/>
          <w:b/>
          <w:color w:val="auto"/>
          <w:sz w:val="32"/>
          <w:szCs w:val="32"/>
          <w:highlight w:val="none"/>
        </w:rPr>
      </w:pPr>
    </w:p>
    <w:p w14:paraId="3B095725">
      <w:pPr>
        <w:spacing w:line="420" w:lineRule="exact"/>
        <w:jc w:val="center"/>
        <w:rPr>
          <w:rFonts w:hint="eastAsia" w:ascii="仿宋" w:hAnsi="仿宋" w:eastAsia="仿宋" w:cs="仿宋"/>
          <w:b/>
          <w:color w:val="auto"/>
          <w:sz w:val="32"/>
          <w:szCs w:val="32"/>
          <w:highlight w:val="none"/>
        </w:rPr>
      </w:pPr>
    </w:p>
    <w:p w14:paraId="627E75F8">
      <w:pPr>
        <w:spacing w:line="420" w:lineRule="exact"/>
        <w:jc w:val="center"/>
        <w:rPr>
          <w:rFonts w:hint="eastAsia" w:ascii="仿宋" w:hAnsi="仿宋" w:eastAsia="仿宋" w:cs="仿宋"/>
          <w:b/>
          <w:color w:val="auto"/>
          <w:sz w:val="32"/>
          <w:szCs w:val="32"/>
          <w:highlight w:val="none"/>
        </w:rPr>
      </w:pPr>
    </w:p>
    <w:p w14:paraId="4C8D2539">
      <w:pPr>
        <w:spacing w:line="420" w:lineRule="exact"/>
        <w:jc w:val="center"/>
        <w:rPr>
          <w:rFonts w:hint="eastAsia" w:ascii="仿宋" w:hAnsi="仿宋" w:eastAsia="仿宋" w:cs="仿宋"/>
          <w:b/>
          <w:color w:val="auto"/>
          <w:sz w:val="32"/>
          <w:szCs w:val="32"/>
          <w:highlight w:val="none"/>
        </w:rPr>
      </w:pPr>
    </w:p>
    <w:p w14:paraId="2EAD4C53">
      <w:pPr>
        <w:spacing w:line="420" w:lineRule="exact"/>
        <w:jc w:val="center"/>
        <w:rPr>
          <w:rFonts w:hint="eastAsia" w:ascii="仿宋" w:hAnsi="仿宋" w:eastAsia="仿宋" w:cs="仿宋"/>
          <w:b/>
          <w:color w:val="auto"/>
          <w:sz w:val="32"/>
          <w:szCs w:val="32"/>
          <w:highlight w:val="none"/>
        </w:rPr>
      </w:pPr>
    </w:p>
    <w:p w14:paraId="041BAB37">
      <w:pPr>
        <w:spacing w:line="420" w:lineRule="exact"/>
        <w:jc w:val="center"/>
        <w:rPr>
          <w:rFonts w:hint="eastAsia" w:ascii="仿宋" w:hAnsi="仿宋" w:eastAsia="仿宋" w:cs="仿宋"/>
          <w:b/>
          <w:color w:val="auto"/>
          <w:sz w:val="32"/>
          <w:szCs w:val="32"/>
          <w:highlight w:val="none"/>
        </w:rPr>
      </w:pPr>
    </w:p>
    <w:p w14:paraId="2CE9A413">
      <w:pPr>
        <w:spacing w:line="420" w:lineRule="exact"/>
        <w:jc w:val="center"/>
        <w:rPr>
          <w:rFonts w:hint="eastAsia" w:ascii="仿宋" w:hAnsi="仿宋" w:eastAsia="仿宋" w:cs="仿宋"/>
          <w:b/>
          <w:color w:val="auto"/>
          <w:sz w:val="32"/>
          <w:szCs w:val="32"/>
          <w:highlight w:val="none"/>
        </w:rPr>
      </w:pPr>
    </w:p>
    <w:p w14:paraId="094A3BEB">
      <w:pPr>
        <w:spacing w:line="420" w:lineRule="exact"/>
        <w:jc w:val="center"/>
        <w:rPr>
          <w:rFonts w:hint="eastAsia" w:ascii="仿宋" w:hAnsi="仿宋" w:eastAsia="仿宋" w:cs="仿宋"/>
          <w:b/>
          <w:color w:val="auto"/>
          <w:sz w:val="32"/>
          <w:szCs w:val="32"/>
          <w:highlight w:val="none"/>
        </w:rPr>
      </w:pPr>
    </w:p>
    <w:p w14:paraId="31DD1296">
      <w:pPr>
        <w:spacing w:line="420" w:lineRule="exact"/>
        <w:rPr>
          <w:rFonts w:hint="eastAsia" w:ascii="仿宋" w:hAnsi="仿宋" w:eastAsia="仿宋" w:cs="仿宋"/>
          <w:color w:val="auto"/>
          <w:sz w:val="24"/>
          <w:szCs w:val="24"/>
          <w:highlight w:val="none"/>
        </w:rPr>
      </w:pPr>
    </w:p>
    <w:p w14:paraId="650446B8">
      <w:pPr>
        <w:spacing w:line="42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br w:type="page" w:clear="all"/>
      </w:r>
      <w:r>
        <w:rPr>
          <w:rFonts w:hint="eastAsia" w:ascii="仿宋" w:hAnsi="仿宋" w:eastAsia="仿宋" w:cs="仿宋"/>
          <w:b/>
          <w:color w:val="auto"/>
          <w:sz w:val="32"/>
          <w:szCs w:val="32"/>
          <w:highlight w:val="none"/>
        </w:rPr>
        <w:t>七</w:t>
      </w:r>
      <w:r>
        <w:rPr>
          <w:rFonts w:hint="eastAsia" w:ascii="仿宋" w:hAnsi="仿宋" w:eastAsia="仿宋" w:cs="仿宋"/>
          <w:iCs/>
          <w:color w:val="auto"/>
          <w:sz w:val="32"/>
          <w:szCs w:val="32"/>
          <w:highlight w:val="none"/>
        </w:rPr>
        <w:t>、分项报价表（分包号：</w:t>
      </w:r>
      <w:r>
        <w:rPr>
          <w:rFonts w:hint="eastAsia" w:ascii="仿宋" w:hAnsi="仿宋" w:eastAsia="仿宋" w:cs="仿宋"/>
          <w:iCs/>
          <w:color w:val="auto"/>
          <w:sz w:val="32"/>
          <w:szCs w:val="32"/>
          <w:highlight w:val="none"/>
          <w:lang w:eastAsia="zh-CN"/>
        </w:rPr>
        <w:t>JSZC-321302-WDGC-C2026-0005</w:t>
      </w:r>
      <w:r>
        <w:rPr>
          <w:rFonts w:hint="eastAsia" w:ascii="仿宋" w:hAnsi="仿宋" w:eastAsia="仿宋" w:cs="仿宋"/>
          <w:iCs/>
          <w:color w:val="auto"/>
          <w:sz w:val="32"/>
          <w:szCs w:val="32"/>
          <w:highlight w:val="none"/>
        </w:rPr>
        <w:t>）（服务类）</w:t>
      </w:r>
    </w:p>
    <w:tbl>
      <w:tblPr>
        <w:tblStyle w:val="33"/>
        <w:tblW w:w="905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48"/>
        <w:gridCol w:w="1274"/>
        <w:gridCol w:w="1288"/>
        <w:gridCol w:w="924"/>
        <w:gridCol w:w="1203"/>
        <w:gridCol w:w="1618"/>
        <w:gridCol w:w="1798"/>
      </w:tblGrid>
      <w:tr w14:paraId="71B1DB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44" w:hRule="atLeast"/>
        </w:trPr>
        <w:tc>
          <w:tcPr>
            <w:tcW w:w="948" w:type="dxa"/>
            <w:vMerge w:val="restart"/>
            <w:noWrap w:val="0"/>
            <w:vAlign w:val="center"/>
          </w:tcPr>
          <w:p w14:paraId="33C87AAF">
            <w:pPr>
              <w:spacing w:line="42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序号</w:t>
            </w:r>
          </w:p>
        </w:tc>
        <w:tc>
          <w:tcPr>
            <w:tcW w:w="1274" w:type="dxa"/>
            <w:noWrap w:val="0"/>
            <w:vAlign w:val="center"/>
          </w:tcPr>
          <w:p w14:paraId="0059BD14">
            <w:pPr>
              <w:spacing w:line="42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1288" w:type="dxa"/>
            <w:noWrap w:val="0"/>
            <w:vAlign w:val="center"/>
          </w:tcPr>
          <w:p w14:paraId="46FB43CF">
            <w:pPr>
              <w:spacing w:line="42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p>
        </w:tc>
        <w:tc>
          <w:tcPr>
            <w:tcW w:w="924" w:type="dxa"/>
            <w:noWrap w:val="0"/>
            <w:vAlign w:val="center"/>
          </w:tcPr>
          <w:p w14:paraId="10A8861E">
            <w:pPr>
              <w:spacing w:line="42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p>
        </w:tc>
        <w:tc>
          <w:tcPr>
            <w:tcW w:w="1203" w:type="dxa"/>
            <w:noWrap w:val="0"/>
            <w:vAlign w:val="center"/>
          </w:tcPr>
          <w:p w14:paraId="14B33D06">
            <w:pPr>
              <w:spacing w:line="42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w:t>
            </w:r>
          </w:p>
        </w:tc>
        <w:tc>
          <w:tcPr>
            <w:tcW w:w="1618" w:type="dxa"/>
            <w:noWrap w:val="0"/>
            <w:vAlign w:val="center"/>
          </w:tcPr>
          <w:p w14:paraId="6C41B038">
            <w:pPr>
              <w:spacing w:line="42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w:t>
            </w:r>
          </w:p>
        </w:tc>
        <w:tc>
          <w:tcPr>
            <w:tcW w:w="1798" w:type="dxa"/>
            <w:noWrap w:val="0"/>
            <w:vAlign w:val="center"/>
          </w:tcPr>
          <w:p w14:paraId="627AAEC7">
            <w:pPr>
              <w:spacing w:line="42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w:t>
            </w:r>
          </w:p>
        </w:tc>
      </w:tr>
      <w:tr w14:paraId="68F3EF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trHeight w:val="294" w:hRule="atLeast"/>
        </w:trPr>
        <w:tc>
          <w:tcPr>
            <w:tcW w:w="948" w:type="dxa"/>
            <w:vMerge w:val="continue"/>
            <w:noWrap w:val="0"/>
            <w:vAlign w:val="center"/>
          </w:tcPr>
          <w:p w14:paraId="36948DC0">
            <w:pPr>
              <w:spacing w:line="420" w:lineRule="exact"/>
              <w:jc w:val="center"/>
              <w:rPr>
                <w:rFonts w:hint="eastAsia" w:ascii="仿宋" w:hAnsi="仿宋" w:eastAsia="仿宋" w:cs="仿宋"/>
                <w:color w:val="auto"/>
                <w:sz w:val="24"/>
                <w:szCs w:val="24"/>
                <w:highlight w:val="none"/>
              </w:rPr>
            </w:pPr>
          </w:p>
        </w:tc>
        <w:tc>
          <w:tcPr>
            <w:tcW w:w="1274" w:type="dxa"/>
            <w:noWrap w:val="0"/>
            <w:vAlign w:val="center"/>
          </w:tcPr>
          <w:p w14:paraId="2199E0C2">
            <w:pPr>
              <w:spacing w:line="42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分项服务名称</w:t>
            </w:r>
          </w:p>
        </w:tc>
        <w:tc>
          <w:tcPr>
            <w:tcW w:w="1288" w:type="dxa"/>
            <w:noWrap w:val="0"/>
            <w:vAlign w:val="center"/>
          </w:tcPr>
          <w:p w14:paraId="5B0BF68F">
            <w:pPr>
              <w:spacing w:line="42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交付期</w:t>
            </w:r>
          </w:p>
        </w:tc>
        <w:tc>
          <w:tcPr>
            <w:tcW w:w="924" w:type="dxa"/>
            <w:noWrap w:val="0"/>
            <w:vAlign w:val="center"/>
          </w:tcPr>
          <w:p w14:paraId="464EEC3B">
            <w:pPr>
              <w:spacing w:line="42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分项单位</w:t>
            </w:r>
          </w:p>
        </w:tc>
        <w:tc>
          <w:tcPr>
            <w:tcW w:w="1203" w:type="dxa"/>
            <w:noWrap w:val="0"/>
            <w:vAlign w:val="center"/>
          </w:tcPr>
          <w:p w14:paraId="4765EBDC">
            <w:pPr>
              <w:spacing w:line="42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数量</w:t>
            </w:r>
          </w:p>
        </w:tc>
        <w:tc>
          <w:tcPr>
            <w:tcW w:w="1618" w:type="dxa"/>
            <w:noWrap w:val="0"/>
            <w:vAlign w:val="center"/>
          </w:tcPr>
          <w:p w14:paraId="6342086C">
            <w:pPr>
              <w:spacing w:line="42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分项</w:t>
            </w:r>
          </w:p>
          <w:p w14:paraId="1704B82C">
            <w:pPr>
              <w:spacing w:line="42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单价</w:t>
            </w:r>
          </w:p>
        </w:tc>
        <w:tc>
          <w:tcPr>
            <w:tcW w:w="1798" w:type="dxa"/>
            <w:noWrap w:val="0"/>
            <w:vAlign w:val="center"/>
          </w:tcPr>
          <w:p w14:paraId="741AE542">
            <w:pPr>
              <w:spacing w:line="42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分项</w:t>
            </w:r>
          </w:p>
          <w:p w14:paraId="5D6C9969">
            <w:pPr>
              <w:spacing w:line="42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总价</w:t>
            </w:r>
          </w:p>
        </w:tc>
      </w:tr>
      <w:tr w14:paraId="07E0DA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4" w:hRule="atLeast"/>
        </w:trPr>
        <w:tc>
          <w:tcPr>
            <w:tcW w:w="948" w:type="dxa"/>
            <w:noWrap w:val="0"/>
            <w:vAlign w:val="center"/>
          </w:tcPr>
          <w:p w14:paraId="4D9F80C8">
            <w:pPr>
              <w:spacing w:line="42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1274" w:type="dxa"/>
            <w:noWrap w:val="0"/>
            <w:vAlign w:val="center"/>
          </w:tcPr>
          <w:p w14:paraId="18D25269">
            <w:pPr>
              <w:spacing w:line="420" w:lineRule="exact"/>
              <w:jc w:val="center"/>
              <w:rPr>
                <w:rFonts w:hint="eastAsia" w:ascii="仿宋" w:hAnsi="仿宋" w:eastAsia="仿宋" w:cs="仿宋"/>
                <w:color w:val="auto"/>
                <w:sz w:val="24"/>
                <w:szCs w:val="24"/>
                <w:highlight w:val="none"/>
              </w:rPr>
            </w:pPr>
          </w:p>
        </w:tc>
        <w:tc>
          <w:tcPr>
            <w:tcW w:w="1288" w:type="dxa"/>
            <w:noWrap w:val="0"/>
            <w:vAlign w:val="center"/>
          </w:tcPr>
          <w:p w14:paraId="42808520">
            <w:pPr>
              <w:spacing w:line="420" w:lineRule="exact"/>
              <w:jc w:val="center"/>
              <w:rPr>
                <w:rFonts w:hint="eastAsia" w:ascii="仿宋" w:hAnsi="仿宋" w:eastAsia="仿宋" w:cs="仿宋"/>
                <w:color w:val="auto"/>
                <w:sz w:val="24"/>
                <w:szCs w:val="24"/>
                <w:highlight w:val="none"/>
              </w:rPr>
            </w:pPr>
          </w:p>
        </w:tc>
        <w:tc>
          <w:tcPr>
            <w:tcW w:w="924" w:type="dxa"/>
            <w:noWrap w:val="0"/>
            <w:vAlign w:val="center"/>
          </w:tcPr>
          <w:p w14:paraId="731D86EF">
            <w:pPr>
              <w:spacing w:line="420" w:lineRule="exact"/>
              <w:jc w:val="center"/>
              <w:rPr>
                <w:rFonts w:hint="eastAsia" w:ascii="仿宋" w:hAnsi="仿宋" w:eastAsia="仿宋" w:cs="仿宋"/>
                <w:color w:val="auto"/>
                <w:sz w:val="24"/>
                <w:szCs w:val="24"/>
                <w:highlight w:val="none"/>
              </w:rPr>
            </w:pPr>
          </w:p>
        </w:tc>
        <w:tc>
          <w:tcPr>
            <w:tcW w:w="1203" w:type="dxa"/>
            <w:noWrap w:val="0"/>
            <w:vAlign w:val="center"/>
          </w:tcPr>
          <w:p w14:paraId="3D1B1F60">
            <w:pPr>
              <w:spacing w:line="420" w:lineRule="exact"/>
              <w:jc w:val="center"/>
              <w:rPr>
                <w:rFonts w:hint="eastAsia" w:ascii="仿宋" w:hAnsi="仿宋" w:eastAsia="仿宋" w:cs="仿宋"/>
                <w:color w:val="auto"/>
                <w:sz w:val="24"/>
                <w:szCs w:val="24"/>
                <w:highlight w:val="none"/>
              </w:rPr>
            </w:pPr>
          </w:p>
        </w:tc>
        <w:tc>
          <w:tcPr>
            <w:tcW w:w="1618" w:type="dxa"/>
            <w:noWrap w:val="0"/>
            <w:vAlign w:val="center"/>
          </w:tcPr>
          <w:p w14:paraId="7ED5C15D">
            <w:pPr>
              <w:spacing w:line="420" w:lineRule="exact"/>
              <w:jc w:val="center"/>
              <w:rPr>
                <w:rFonts w:hint="eastAsia" w:ascii="仿宋" w:hAnsi="仿宋" w:eastAsia="仿宋" w:cs="仿宋"/>
                <w:color w:val="auto"/>
                <w:sz w:val="24"/>
                <w:szCs w:val="24"/>
                <w:highlight w:val="none"/>
              </w:rPr>
            </w:pPr>
          </w:p>
        </w:tc>
        <w:tc>
          <w:tcPr>
            <w:tcW w:w="1798" w:type="dxa"/>
            <w:noWrap w:val="0"/>
            <w:vAlign w:val="center"/>
          </w:tcPr>
          <w:p w14:paraId="22B6DA59">
            <w:pPr>
              <w:spacing w:line="420" w:lineRule="exact"/>
              <w:jc w:val="center"/>
              <w:rPr>
                <w:rFonts w:hint="eastAsia" w:ascii="仿宋" w:hAnsi="仿宋" w:eastAsia="仿宋" w:cs="仿宋"/>
                <w:color w:val="auto"/>
                <w:sz w:val="24"/>
                <w:szCs w:val="24"/>
                <w:highlight w:val="none"/>
              </w:rPr>
            </w:pPr>
          </w:p>
        </w:tc>
      </w:tr>
      <w:tr w14:paraId="2EF02B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4" w:hRule="atLeast"/>
        </w:trPr>
        <w:tc>
          <w:tcPr>
            <w:tcW w:w="948" w:type="dxa"/>
            <w:noWrap w:val="0"/>
            <w:vAlign w:val="center"/>
          </w:tcPr>
          <w:p w14:paraId="3CE1A884">
            <w:pPr>
              <w:spacing w:line="42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p>
        </w:tc>
        <w:tc>
          <w:tcPr>
            <w:tcW w:w="1274" w:type="dxa"/>
            <w:noWrap w:val="0"/>
            <w:vAlign w:val="center"/>
          </w:tcPr>
          <w:p w14:paraId="5B0DFEAD">
            <w:pPr>
              <w:spacing w:line="420" w:lineRule="exact"/>
              <w:jc w:val="center"/>
              <w:rPr>
                <w:rFonts w:hint="eastAsia" w:ascii="仿宋" w:hAnsi="仿宋" w:eastAsia="仿宋" w:cs="仿宋"/>
                <w:color w:val="auto"/>
                <w:sz w:val="24"/>
                <w:szCs w:val="24"/>
                <w:highlight w:val="none"/>
              </w:rPr>
            </w:pPr>
          </w:p>
        </w:tc>
        <w:tc>
          <w:tcPr>
            <w:tcW w:w="1288" w:type="dxa"/>
            <w:noWrap w:val="0"/>
            <w:vAlign w:val="center"/>
          </w:tcPr>
          <w:p w14:paraId="50D56740">
            <w:pPr>
              <w:spacing w:line="420" w:lineRule="exact"/>
              <w:jc w:val="center"/>
              <w:rPr>
                <w:rFonts w:hint="eastAsia" w:ascii="仿宋" w:hAnsi="仿宋" w:eastAsia="仿宋" w:cs="仿宋"/>
                <w:color w:val="auto"/>
                <w:sz w:val="24"/>
                <w:szCs w:val="24"/>
                <w:highlight w:val="none"/>
              </w:rPr>
            </w:pPr>
          </w:p>
        </w:tc>
        <w:tc>
          <w:tcPr>
            <w:tcW w:w="924" w:type="dxa"/>
            <w:noWrap w:val="0"/>
            <w:vAlign w:val="center"/>
          </w:tcPr>
          <w:p w14:paraId="7CF28719">
            <w:pPr>
              <w:spacing w:line="420" w:lineRule="exact"/>
              <w:jc w:val="center"/>
              <w:rPr>
                <w:rFonts w:hint="eastAsia" w:ascii="仿宋" w:hAnsi="仿宋" w:eastAsia="仿宋" w:cs="仿宋"/>
                <w:color w:val="auto"/>
                <w:sz w:val="24"/>
                <w:szCs w:val="24"/>
                <w:highlight w:val="none"/>
              </w:rPr>
            </w:pPr>
          </w:p>
        </w:tc>
        <w:tc>
          <w:tcPr>
            <w:tcW w:w="1203" w:type="dxa"/>
            <w:noWrap w:val="0"/>
            <w:vAlign w:val="center"/>
          </w:tcPr>
          <w:p w14:paraId="4880F53D">
            <w:pPr>
              <w:spacing w:line="420" w:lineRule="exact"/>
              <w:jc w:val="center"/>
              <w:rPr>
                <w:rFonts w:hint="eastAsia" w:ascii="仿宋" w:hAnsi="仿宋" w:eastAsia="仿宋" w:cs="仿宋"/>
                <w:color w:val="auto"/>
                <w:sz w:val="24"/>
                <w:szCs w:val="24"/>
                <w:highlight w:val="none"/>
              </w:rPr>
            </w:pPr>
          </w:p>
        </w:tc>
        <w:tc>
          <w:tcPr>
            <w:tcW w:w="1618" w:type="dxa"/>
            <w:noWrap w:val="0"/>
            <w:vAlign w:val="center"/>
          </w:tcPr>
          <w:p w14:paraId="600C76AF">
            <w:pPr>
              <w:spacing w:line="420" w:lineRule="exact"/>
              <w:jc w:val="center"/>
              <w:rPr>
                <w:rFonts w:hint="eastAsia" w:ascii="仿宋" w:hAnsi="仿宋" w:eastAsia="仿宋" w:cs="仿宋"/>
                <w:color w:val="auto"/>
                <w:sz w:val="24"/>
                <w:szCs w:val="24"/>
                <w:highlight w:val="none"/>
              </w:rPr>
            </w:pPr>
          </w:p>
        </w:tc>
        <w:tc>
          <w:tcPr>
            <w:tcW w:w="1798" w:type="dxa"/>
            <w:noWrap w:val="0"/>
            <w:vAlign w:val="center"/>
          </w:tcPr>
          <w:p w14:paraId="1D45D16C">
            <w:pPr>
              <w:spacing w:line="420" w:lineRule="exact"/>
              <w:jc w:val="center"/>
              <w:rPr>
                <w:rFonts w:hint="eastAsia" w:ascii="仿宋" w:hAnsi="仿宋" w:eastAsia="仿宋" w:cs="仿宋"/>
                <w:color w:val="auto"/>
                <w:sz w:val="24"/>
                <w:szCs w:val="24"/>
                <w:highlight w:val="none"/>
              </w:rPr>
            </w:pPr>
          </w:p>
        </w:tc>
      </w:tr>
      <w:tr w14:paraId="586EEF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trHeight w:val="654" w:hRule="atLeast"/>
        </w:trPr>
        <w:tc>
          <w:tcPr>
            <w:tcW w:w="948" w:type="dxa"/>
            <w:noWrap w:val="0"/>
            <w:vAlign w:val="center"/>
          </w:tcPr>
          <w:p w14:paraId="48B98093">
            <w:pPr>
              <w:spacing w:line="42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p>
        </w:tc>
        <w:tc>
          <w:tcPr>
            <w:tcW w:w="1274" w:type="dxa"/>
            <w:noWrap w:val="0"/>
            <w:vAlign w:val="center"/>
          </w:tcPr>
          <w:p w14:paraId="660DF54E">
            <w:pPr>
              <w:spacing w:line="420" w:lineRule="exact"/>
              <w:jc w:val="center"/>
              <w:rPr>
                <w:rFonts w:hint="eastAsia" w:ascii="仿宋" w:hAnsi="仿宋" w:eastAsia="仿宋" w:cs="仿宋"/>
                <w:color w:val="auto"/>
                <w:sz w:val="24"/>
                <w:szCs w:val="24"/>
                <w:highlight w:val="none"/>
              </w:rPr>
            </w:pPr>
          </w:p>
        </w:tc>
        <w:tc>
          <w:tcPr>
            <w:tcW w:w="1288" w:type="dxa"/>
            <w:noWrap w:val="0"/>
            <w:vAlign w:val="center"/>
          </w:tcPr>
          <w:p w14:paraId="4A66C9AD">
            <w:pPr>
              <w:spacing w:line="420" w:lineRule="exact"/>
              <w:jc w:val="center"/>
              <w:rPr>
                <w:rFonts w:hint="eastAsia" w:ascii="仿宋" w:hAnsi="仿宋" w:eastAsia="仿宋" w:cs="仿宋"/>
                <w:color w:val="auto"/>
                <w:sz w:val="24"/>
                <w:szCs w:val="24"/>
                <w:highlight w:val="none"/>
              </w:rPr>
            </w:pPr>
          </w:p>
        </w:tc>
        <w:tc>
          <w:tcPr>
            <w:tcW w:w="924" w:type="dxa"/>
            <w:noWrap w:val="0"/>
            <w:vAlign w:val="center"/>
          </w:tcPr>
          <w:p w14:paraId="3C630E02">
            <w:pPr>
              <w:spacing w:line="420" w:lineRule="exact"/>
              <w:jc w:val="center"/>
              <w:rPr>
                <w:rFonts w:hint="eastAsia" w:ascii="仿宋" w:hAnsi="仿宋" w:eastAsia="仿宋" w:cs="仿宋"/>
                <w:color w:val="auto"/>
                <w:sz w:val="24"/>
                <w:szCs w:val="24"/>
                <w:highlight w:val="none"/>
              </w:rPr>
            </w:pPr>
          </w:p>
        </w:tc>
        <w:tc>
          <w:tcPr>
            <w:tcW w:w="1203" w:type="dxa"/>
            <w:noWrap w:val="0"/>
            <w:vAlign w:val="center"/>
          </w:tcPr>
          <w:p w14:paraId="4271ECBB">
            <w:pPr>
              <w:spacing w:line="420" w:lineRule="exact"/>
              <w:jc w:val="center"/>
              <w:rPr>
                <w:rFonts w:hint="eastAsia" w:ascii="仿宋" w:hAnsi="仿宋" w:eastAsia="仿宋" w:cs="仿宋"/>
                <w:color w:val="auto"/>
                <w:sz w:val="24"/>
                <w:szCs w:val="24"/>
                <w:highlight w:val="none"/>
              </w:rPr>
            </w:pPr>
          </w:p>
        </w:tc>
        <w:tc>
          <w:tcPr>
            <w:tcW w:w="1618" w:type="dxa"/>
            <w:noWrap w:val="0"/>
            <w:vAlign w:val="center"/>
          </w:tcPr>
          <w:p w14:paraId="5D15D730">
            <w:pPr>
              <w:spacing w:line="420" w:lineRule="exact"/>
              <w:jc w:val="center"/>
              <w:rPr>
                <w:rFonts w:hint="eastAsia" w:ascii="仿宋" w:hAnsi="仿宋" w:eastAsia="仿宋" w:cs="仿宋"/>
                <w:color w:val="auto"/>
                <w:sz w:val="24"/>
                <w:szCs w:val="24"/>
                <w:highlight w:val="none"/>
              </w:rPr>
            </w:pPr>
          </w:p>
        </w:tc>
        <w:tc>
          <w:tcPr>
            <w:tcW w:w="1798" w:type="dxa"/>
            <w:noWrap w:val="0"/>
            <w:vAlign w:val="center"/>
          </w:tcPr>
          <w:p w14:paraId="51C50F7E">
            <w:pPr>
              <w:spacing w:line="420" w:lineRule="exact"/>
              <w:jc w:val="center"/>
              <w:rPr>
                <w:rFonts w:hint="eastAsia" w:ascii="仿宋" w:hAnsi="仿宋" w:eastAsia="仿宋" w:cs="仿宋"/>
                <w:color w:val="auto"/>
                <w:sz w:val="24"/>
                <w:szCs w:val="24"/>
                <w:highlight w:val="none"/>
              </w:rPr>
            </w:pPr>
          </w:p>
        </w:tc>
      </w:tr>
      <w:tr w14:paraId="263278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4" w:hRule="atLeast"/>
        </w:trPr>
        <w:tc>
          <w:tcPr>
            <w:tcW w:w="948" w:type="dxa"/>
            <w:noWrap w:val="0"/>
            <w:vAlign w:val="center"/>
          </w:tcPr>
          <w:p w14:paraId="01F4EAD3">
            <w:pPr>
              <w:spacing w:line="42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p>
        </w:tc>
        <w:tc>
          <w:tcPr>
            <w:tcW w:w="1274" w:type="dxa"/>
            <w:noWrap w:val="0"/>
            <w:vAlign w:val="center"/>
          </w:tcPr>
          <w:p w14:paraId="32161FDB">
            <w:pPr>
              <w:spacing w:line="42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p>
        </w:tc>
        <w:tc>
          <w:tcPr>
            <w:tcW w:w="1288" w:type="dxa"/>
            <w:noWrap w:val="0"/>
            <w:vAlign w:val="center"/>
          </w:tcPr>
          <w:p w14:paraId="022C6BD5">
            <w:pPr>
              <w:spacing w:line="420" w:lineRule="exact"/>
              <w:jc w:val="center"/>
              <w:rPr>
                <w:rFonts w:hint="eastAsia" w:ascii="仿宋" w:hAnsi="仿宋" w:eastAsia="仿宋" w:cs="仿宋"/>
                <w:color w:val="auto"/>
                <w:sz w:val="24"/>
                <w:szCs w:val="24"/>
                <w:highlight w:val="none"/>
              </w:rPr>
            </w:pPr>
          </w:p>
        </w:tc>
        <w:tc>
          <w:tcPr>
            <w:tcW w:w="924" w:type="dxa"/>
            <w:noWrap w:val="0"/>
            <w:vAlign w:val="center"/>
          </w:tcPr>
          <w:p w14:paraId="56C0ED03">
            <w:pPr>
              <w:spacing w:line="420" w:lineRule="exact"/>
              <w:jc w:val="center"/>
              <w:rPr>
                <w:rFonts w:hint="eastAsia" w:ascii="仿宋" w:hAnsi="仿宋" w:eastAsia="仿宋" w:cs="仿宋"/>
                <w:color w:val="auto"/>
                <w:sz w:val="24"/>
                <w:szCs w:val="24"/>
                <w:highlight w:val="none"/>
              </w:rPr>
            </w:pPr>
          </w:p>
        </w:tc>
        <w:tc>
          <w:tcPr>
            <w:tcW w:w="1203" w:type="dxa"/>
            <w:noWrap w:val="0"/>
            <w:vAlign w:val="center"/>
          </w:tcPr>
          <w:p w14:paraId="769BB4B0">
            <w:pPr>
              <w:spacing w:line="420" w:lineRule="exact"/>
              <w:jc w:val="center"/>
              <w:rPr>
                <w:rFonts w:hint="eastAsia" w:ascii="仿宋" w:hAnsi="仿宋" w:eastAsia="仿宋" w:cs="仿宋"/>
                <w:color w:val="auto"/>
                <w:sz w:val="24"/>
                <w:szCs w:val="24"/>
                <w:highlight w:val="none"/>
              </w:rPr>
            </w:pPr>
          </w:p>
        </w:tc>
        <w:tc>
          <w:tcPr>
            <w:tcW w:w="1618" w:type="dxa"/>
            <w:noWrap w:val="0"/>
            <w:vAlign w:val="center"/>
          </w:tcPr>
          <w:p w14:paraId="1BA08743">
            <w:pPr>
              <w:spacing w:line="420" w:lineRule="exact"/>
              <w:jc w:val="center"/>
              <w:rPr>
                <w:rFonts w:hint="eastAsia" w:ascii="仿宋" w:hAnsi="仿宋" w:eastAsia="仿宋" w:cs="仿宋"/>
                <w:color w:val="auto"/>
                <w:sz w:val="24"/>
                <w:szCs w:val="24"/>
                <w:highlight w:val="none"/>
              </w:rPr>
            </w:pPr>
          </w:p>
        </w:tc>
        <w:tc>
          <w:tcPr>
            <w:tcW w:w="1798" w:type="dxa"/>
            <w:noWrap w:val="0"/>
            <w:vAlign w:val="center"/>
          </w:tcPr>
          <w:p w14:paraId="5489A892">
            <w:pPr>
              <w:spacing w:line="420" w:lineRule="exact"/>
              <w:jc w:val="center"/>
              <w:rPr>
                <w:rFonts w:hint="eastAsia" w:ascii="仿宋" w:hAnsi="仿宋" w:eastAsia="仿宋" w:cs="仿宋"/>
                <w:color w:val="auto"/>
                <w:sz w:val="24"/>
                <w:szCs w:val="24"/>
                <w:highlight w:val="none"/>
              </w:rPr>
            </w:pPr>
          </w:p>
        </w:tc>
      </w:tr>
      <w:tr w14:paraId="33ACC0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87" w:hRule="atLeast"/>
        </w:trPr>
        <w:tc>
          <w:tcPr>
            <w:tcW w:w="7255" w:type="dxa"/>
            <w:gridSpan w:val="6"/>
            <w:noWrap w:val="0"/>
            <w:vAlign w:val="center"/>
          </w:tcPr>
          <w:p w14:paraId="48AF8506">
            <w:pPr>
              <w:spacing w:line="42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总报价（人民币：元）</w:t>
            </w:r>
          </w:p>
        </w:tc>
        <w:tc>
          <w:tcPr>
            <w:tcW w:w="1798" w:type="dxa"/>
            <w:noWrap w:val="0"/>
          </w:tcPr>
          <w:p w14:paraId="786C5749">
            <w:pPr>
              <w:spacing w:line="420" w:lineRule="exact"/>
              <w:rPr>
                <w:rFonts w:hint="eastAsia" w:ascii="仿宋" w:hAnsi="仿宋" w:eastAsia="仿宋" w:cs="仿宋"/>
                <w:color w:val="auto"/>
                <w:sz w:val="24"/>
                <w:szCs w:val="24"/>
                <w:highlight w:val="none"/>
              </w:rPr>
            </w:pPr>
          </w:p>
        </w:tc>
      </w:tr>
    </w:tbl>
    <w:p w14:paraId="63FABAD5">
      <w:pPr>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备注：磋商报价采用总承包方式，供应商的“总报价”应包括采购人需求的服务本身、人工费、服务费、税金等完成本项目所涉及到的一切相关费用。</w:t>
      </w:r>
    </w:p>
    <w:p w14:paraId="3A6272B0">
      <w:pPr>
        <w:spacing w:line="420" w:lineRule="exact"/>
        <w:rPr>
          <w:rFonts w:hint="eastAsia" w:ascii="仿宋" w:hAnsi="仿宋" w:eastAsia="仿宋" w:cs="仿宋"/>
          <w:color w:val="auto"/>
          <w:sz w:val="24"/>
          <w:szCs w:val="24"/>
          <w:highlight w:val="none"/>
        </w:rPr>
      </w:pPr>
    </w:p>
    <w:p w14:paraId="0DCF8E46">
      <w:pPr>
        <w:spacing w:line="42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br w:type="page" w:clear="all"/>
      </w:r>
      <w:r>
        <w:rPr>
          <w:rFonts w:hint="eastAsia" w:ascii="仿宋" w:hAnsi="仿宋" w:eastAsia="仿宋" w:cs="仿宋"/>
          <w:iCs/>
          <w:color w:val="auto"/>
          <w:sz w:val="32"/>
          <w:szCs w:val="32"/>
          <w:highlight w:val="none"/>
        </w:rPr>
        <w:t>八、技术要求响应及偏离表（分包号：</w:t>
      </w:r>
      <w:r>
        <w:rPr>
          <w:rFonts w:hint="eastAsia" w:ascii="仿宋" w:hAnsi="仿宋" w:eastAsia="仿宋" w:cs="仿宋"/>
          <w:iCs/>
          <w:color w:val="auto"/>
          <w:sz w:val="32"/>
          <w:szCs w:val="32"/>
          <w:highlight w:val="none"/>
          <w:lang w:eastAsia="zh-CN"/>
        </w:rPr>
        <w:t>JSZC-321302-WDGC-C2026-0005</w:t>
      </w:r>
      <w:r>
        <w:rPr>
          <w:rFonts w:hint="eastAsia" w:ascii="仿宋" w:hAnsi="仿宋" w:eastAsia="仿宋" w:cs="仿宋"/>
          <w:iCs/>
          <w:color w:val="auto"/>
          <w:sz w:val="32"/>
          <w:szCs w:val="32"/>
          <w:highlight w:val="none"/>
        </w:rPr>
        <w:t>）</w:t>
      </w:r>
      <w:bookmarkEnd w:id="213"/>
    </w:p>
    <w:tbl>
      <w:tblPr>
        <w:tblStyle w:val="3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45"/>
        <w:gridCol w:w="3291"/>
        <w:gridCol w:w="2852"/>
        <w:gridCol w:w="1308"/>
        <w:gridCol w:w="1173"/>
      </w:tblGrid>
      <w:tr w14:paraId="4204FB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45" w:type="dxa"/>
            <w:noWrap w:val="0"/>
            <w:vAlign w:val="center"/>
          </w:tcPr>
          <w:p w14:paraId="5493011E">
            <w:pPr>
              <w:spacing w:line="420" w:lineRule="exact"/>
              <w:jc w:val="center"/>
              <w:rPr>
                <w:rFonts w:hint="eastAsia" w:ascii="仿宋" w:hAnsi="仿宋" w:eastAsia="仿宋" w:cs="仿宋"/>
                <w:color w:val="auto"/>
                <w:sz w:val="24"/>
                <w:szCs w:val="24"/>
                <w:highlight w:val="none"/>
              </w:rPr>
            </w:pPr>
            <w:bookmarkStart w:id="217" w:name="_Hlt26955064"/>
            <w:bookmarkEnd w:id="217"/>
            <w:bookmarkStart w:id="218" w:name="_Hlt26671372"/>
            <w:bookmarkEnd w:id="218"/>
            <w:bookmarkStart w:id="219" w:name="_Hlt24879081"/>
            <w:bookmarkEnd w:id="219"/>
            <w:bookmarkStart w:id="220" w:name="_Hlt26955056"/>
            <w:bookmarkEnd w:id="220"/>
            <w:bookmarkStart w:id="221" w:name="_Hlt26580838"/>
            <w:bookmarkEnd w:id="221"/>
            <w:bookmarkStart w:id="222" w:name="_Hlt26609391"/>
            <w:bookmarkEnd w:id="222"/>
            <w:bookmarkStart w:id="223" w:name="_Hlt26782999"/>
            <w:bookmarkEnd w:id="223"/>
            <w:bookmarkStart w:id="224" w:name="_Hlt26955054"/>
            <w:bookmarkEnd w:id="224"/>
            <w:bookmarkStart w:id="225" w:name="_Hlt26671343"/>
            <w:bookmarkEnd w:id="225"/>
            <w:r>
              <w:rPr>
                <w:rFonts w:hint="eastAsia" w:ascii="仿宋" w:hAnsi="仿宋" w:eastAsia="仿宋" w:cs="仿宋"/>
                <w:color w:val="auto"/>
                <w:sz w:val="24"/>
                <w:szCs w:val="24"/>
                <w:highlight w:val="none"/>
              </w:rPr>
              <w:t>序号</w:t>
            </w:r>
          </w:p>
        </w:tc>
        <w:tc>
          <w:tcPr>
            <w:tcW w:w="3291" w:type="dxa"/>
            <w:noWrap w:val="0"/>
            <w:vAlign w:val="center"/>
          </w:tcPr>
          <w:p w14:paraId="6EE21CC3">
            <w:pPr>
              <w:pStyle w:val="288"/>
              <w:spacing w:before="0" w:beforeAutospacing="0" w:after="0" w:afterAutospacing="0" w:line="420" w:lineRule="exact"/>
              <w:jc w:val="center"/>
              <w:rPr>
                <w:rFonts w:hint="eastAsia" w:ascii="仿宋" w:hAnsi="仿宋" w:eastAsia="仿宋" w:cs="仿宋"/>
                <w:color w:val="auto"/>
                <w:highlight w:val="none"/>
              </w:rPr>
            </w:pPr>
            <w:r>
              <w:rPr>
                <w:rFonts w:hint="eastAsia" w:ascii="仿宋" w:hAnsi="仿宋" w:eastAsia="仿宋" w:cs="仿宋"/>
                <w:color w:val="auto"/>
                <w:highlight w:val="none"/>
              </w:rPr>
              <w:t>磋商文件“第四章 采购需求”所列内容</w:t>
            </w:r>
          </w:p>
        </w:tc>
        <w:tc>
          <w:tcPr>
            <w:tcW w:w="2852" w:type="dxa"/>
            <w:noWrap w:val="0"/>
            <w:vAlign w:val="center"/>
          </w:tcPr>
          <w:p w14:paraId="134ADE15">
            <w:pPr>
              <w:pStyle w:val="288"/>
              <w:spacing w:before="0" w:beforeAutospacing="0" w:after="0" w:afterAutospacing="0" w:line="420" w:lineRule="exact"/>
              <w:jc w:val="center"/>
              <w:rPr>
                <w:rFonts w:hint="eastAsia" w:ascii="仿宋" w:hAnsi="仿宋" w:eastAsia="仿宋" w:cs="仿宋"/>
                <w:color w:val="auto"/>
                <w:highlight w:val="none"/>
              </w:rPr>
            </w:pPr>
            <w:r>
              <w:rPr>
                <w:rFonts w:hint="eastAsia" w:ascii="仿宋" w:hAnsi="仿宋" w:eastAsia="仿宋" w:cs="仿宋"/>
                <w:color w:val="auto"/>
                <w:highlight w:val="none"/>
              </w:rPr>
              <w:t>响应情况（填报“响应或完全响应”）</w:t>
            </w:r>
          </w:p>
        </w:tc>
        <w:tc>
          <w:tcPr>
            <w:tcW w:w="1308" w:type="dxa"/>
            <w:noWrap w:val="0"/>
            <w:vAlign w:val="center"/>
          </w:tcPr>
          <w:p w14:paraId="2553BEAA">
            <w:pPr>
              <w:pStyle w:val="288"/>
              <w:spacing w:before="0" w:beforeAutospacing="0" w:after="0" w:afterAutospacing="0" w:line="420" w:lineRule="exact"/>
              <w:jc w:val="center"/>
              <w:rPr>
                <w:rFonts w:hint="eastAsia" w:ascii="仿宋" w:hAnsi="仿宋" w:eastAsia="仿宋" w:cs="仿宋"/>
                <w:color w:val="auto"/>
                <w:highlight w:val="none"/>
              </w:rPr>
            </w:pPr>
            <w:r>
              <w:rPr>
                <w:rFonts w:hint="eastAsia" w:ascii="仿宋" w:hAnsi="仿宋" w:eastAsia="仿宋" w:cs="仿宋"/>
                <w:color w:val="auto"/>
                <w:highlight w:val="none"/>
              </w:rPr>
              <w:t>偏离（填报“正偏离、符合或负偏离”）</w:t>
            </w:r>
          </w:p>
        </w:tc>
        <w:tc>
          <w:tcPr>
            <w:tcW w:w="1173" w:type="dxa"/>
            <w:noWrap w:val="0"/>
            <w:vAlign w:val="center"/>
          </w:tcPr>
          <w:p w14:paraId="7DC1ED58">
            <w:pPr>
              <w:spacing w:line="42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证明</w:t>
            </w:r>
          </w:p>
          <w:p w14:paraId="29ABEA7C">
            <w:pPr>
              <w:spacing w:line="42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材料</w:t>
            </w:r>
          </w:p>
        </w:tc>
      </w:tr>
      <w:tr w14:paraId="2A32C6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tcPr>
          <w:p w14:paraId="3F33A078">
            <w:pPr>
              <w:spacing w:line="420" w:lineRule="exact"/>
              <w:jc w:val="center"/>
              <w:rPr>
                <w:rFonts w:hint="eastAsia" w:ascii="仿宋" w:hAnsi="仿宋" w:eastAsia="仿宋" w:cs="仿宋"/>
                <w:color w:val="auto"/>
                <w:sz w:val="24"/>
                <w:szCs w:val="24"/>
                <w:highlight w:val="none"/>
              </w:rPr>
            </w:pPr>
          </w:p>
        </w:tc>
        <w:tc>
          <w:tcPr>
            <w:tcW w:w="3291" w:type="dxa"/>
            <w:noWrap w:val="0"/>
          </w:tcPr>
          <w:p w14:paraId="14442269">
            <w:pPr>
              <w:spacing w:line="420" w:lineRule="exact"/>
              <w:jc w:val="center"/>
              <w:rPr>
                <w:rFonts w:hint="eastAsia" w:ascii="仿宋" w:hAnsi="仿宋" w:eastAsia="仿宋" w:cs="仿宋"/>
                <w:color w:val="auto"/>
                <w:sz w:val="24"/>
                <w:szCs w:val="24"/>
                <w:highlight w:val="none"/>
              </w:rPr>
            </w:pPr>
          </w:p>
        </w:tc>
        <w:tc>
          <w:tcPr>
            <w:tcW w:w="2852" w:type="dxa"/>
            <w:noWrap w:val="0"/>
          </w:tcPr>
          <w:p w14:paraId="51F8F0C1">
            <w:pPr>
              <w:spacing w:line="420" w:lineRule="exact"/>
              <w:jc w:val="center"/>
              <w:rPr>
                <w:rFonts w:hint="eastAsia" w:ascii="仿宋" w:hAnsi="仿宋" w:eastAsia="仿宋" w:cs="仿宋"/>
                <w:color w:val="auto"/>
                <w:sz w:val="24"/>
                <w:szCs w:val="24"/>
                <w:highlight w:val="none"/>
              </w:rPr>
            </w:pPr>
          </w:p>
        </w:tc>
        <w:tc>
          <w:tcPr>
            <w:tcW w:w="1308" w:type="dxa"/>
            <w:noWrap w:val="0"/>
          </w:tcPr>
          <w:p w14:paraId="7DA01F5D">
            <w:pPr>
              <w:spacing w:line="420" w:lineRule="exact"/>
              <w:jc w:val="center"/>
              <w:rPr>
                <w:rFonts w:hint="eastAsia" w:ascii="仿宋" w:hAnsi="仿宋" w:eastAsia="仿宋" w:cs="仿宋"/>
                <w:color w:val="auto"/>
                <w:sz w:val="24"/>
                <w:szCs w:val="24"/>
                <w:highlight w:val="none"/>
              </w:rPr>
            </w:pPr>
          </w:p>
        </w:tc>
        <w:tc>
          <w:tcPr>
            <w:tcW w:w="1173" w:type="dxa"/>
            <w:noWrap w:val="0"/>
          </w:tcPr>
          <w:p w14:paraId="1AF73503">
            <w:pPr>
              <w:spacing w:line="420" w:lineRule="exact"/>
              <w:jc w:val="center"/>
              <w:rPr>
                <w:rFonts w:hint="eastAsia" w:ascii="仿宋" w:hAnsi="仿宋" w:eastAsia="仿宋" w:cs="仿宋"/>
                <w:color w:val="auto"/>
                <w:sz w:val="24"/>
                <w:szCs w:val="24"/>
                <w:highlight w:val="none"/>
              </w:rPr>
            </w:pPr>
          </w:p>
        </w:tc>
      </w:tr>
      <w:tr w14:paraId="6BB816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tcPr>
          <w:p w14:paraId="66806AE8">
            <w:pPr>
              <w:spacing w:line="420" w:lineRule="exact"/>
              <w:jc w:val="center"/>
              <w:rPr>
                <w:rFonts w:hint="eastAsia" w:ascii="仿宋" w:hAnsi="仿宋" w:eastAsia="仿宋" w:cs="仿宋"/>
                <w:color w:val="auto"/>
                <w:sz w:val="24"/>
                <w:szCs w:val="24"/>
                <w:highlight w:val="none"/>
              </w:rPr>
            </w:pPr>
          </w:p>
        </w:tc>
        <w:tc>
          <w:tcPr>
            <w:tcW w:w="3291" w:type="dxa"/>
            <w:noWrap w:val="0"/>
          </w:tcPr>
          <w:p w14:paraId="41CD2F18">
            <w:pPr>
              <w:spacing w:line="420" w:lineRule="exact"/>
              <w:jc w:val="center"/>
              <w:rPr>
                <w:rFonts w:hint="eastAsia" w:ascii="仿宋" w:hAnsi="仿宋" w:eastAsia="仿宋" w:cs="仿宋"/>
                <w:color w:val="auto"/>
                <w:sz w:val="24"/>
                <w:szCs w:val="24"/>
                <w:highlight w:val="none"/>
              </w:rPr>
            </w:pPr>
          </w:p>
        </w:tc>
        <w:tc>
          <w:tcPr>
            <w:tcW w:w="2852" w:type="dxa"/>
            <w:noWrap w:val="0"/>
          </w:tcPr>
          <w:p w14:paraId="09161BEA">
            <w:pPr>
              <w:spacing w:line="420" w:lineRule="exact"/>
              <w:jc w:val="center"/>
              <w:rPr>
                <w:rFonts w:hint="eastAsia" w:ascii="仿宋" w:hAnsi="仿宋" w:eastAsia="仿宋" w:cs="仿宋"/>
                <w:color w:val="auto"/>
                <w:sz w:val="24"/>
                <w:szCs w:val="24"/>
                <w:highlight w:val="none"/>
              </w:rPr>
            </w:pPr>
          </w:p>
        </w:tc>
        <w:tc>
          <w:tcPr>
            <w:tcW w:w="1308" w:type="dxa"/>
            <w:noWrap w:val="0"/>
          </w:tcPr>
          <w:p w14:paraId="76963ACA">
            <w:pPr>
              <w:spacing w:line="420" w:lineRule="exact"/>
              <w:jc w:val="center"/>
              <w:rPr>
                <w:rFonts w:hint="eastAsia" w:ascii="仿宋" w:hAnsi="仿宋" w:eastAsia="仿宋" w:cs="仿宋"/>
                <w:color w:val="auto"/>
                <w:sz w:val="24"/>
                <w:szCs w:val="24"/>
                <w:highlight w:val="none"/>
              </w:rPr>
            </w:pPr>
          </w:p>
        </w:tc>
        <w:tc>
          <w:tcPr>
            <w:tcW w:w="1173" w:type="dxa"/>
            <w:noWrap w:val="0"/>
          </w:tcPr>
          <w:p w14:paraId="4EFFC1DD">
            <w:pPr>
              <w:spacing w:line="420" w:lineRule="exact"/>
              <w:jc w:val="center"/>
              <w:rPr>
                <w:rFonts w:hint="eastAsia" w:ascii="仿宋" w:hAnsi="仿宋" w:eastAsia="仿宋" w:cs="仿宋"/>
                <w:color w:val="auto"/>
                <w:sz w:val="24"/>
                <w:szCs w:val="24"/>
                <w:highlight w:val="none"/>
              </w:rPr>
            </w:pPr>
          </w:p>
        </w:tc>
      </w:tr>
      <w:tr w14:paraId="0D88BF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tcPr>
          <w:p w14:paraId="3DF82E46">
            <w:pPr>
              <w:spacing w:line="420" w:lineRule="exact"/>
              <w:jc w:val="center"/>
              <w:rPr>
                <w:rFonts w:hint="eastAsia" w:ascii="仿宋" w:hAnsi="仿宋" w:eastAsia="仿宋" w:cs="仿宋"/>
                <w:color w:val="auto"/>
                <w:sz w:val="24"/>
                <w:szCs w:val="24"/>
                <w:highlight w:val="none"/>
              </w:rPr>
            </w:pPr>
          </w:p>
        </w:tc>
        <w:tc>
          <w:tcPr>
            <w:tcW w:w="3291" w:type="dxa"/>
            <w:noWrap w:val="0"/>
          </w:tcPr>
          <w:p w14:paraId="4A2B39F4">
            <w:pPr>
              <w:spacing w:line="420" w:lineRule="exact"/>
              <w:jc w:val="center"/>
              <w:rPr>
                <w:rFonts w:hint="eastAsia" w:ascii="仿宋" w:hAnsi="仿宋" w:eastAsia="仿宋" w:cs="仿宋"/>
                <w:color w:val="auto"/>
                <w:sz w:val="24"/>
                <w:szCs w:val="24"/>
                <w:highlight w:val="none"/>
              </w:rPr>
            </w:pPr>
          </w:p>
        </w:tc>
        <w:tc>
          <w:tcPr>
            <w:tcW w:w="2852" w:type="dxa"/>
            <w:noWrap w:val="0"/>
          </w:tcPr>
          <w:p w14:paraId="17B86D51">
            <w:pPr>
              <w:spacing w:line="420" w:lineRule="exact"/>
              <w:jc w:val="center"/>
              <w:rPr>
                <w:rFonts w:hint="eastAsia" w:ascii="仿宋" w:hAnsi="仿宋" w:eastAsia="仿宋" w:cs="仿宋"/>
                <w:color w:val="auto"/>
                <w:sz w:val="24"/>
                <w:szCs w:val="24"/>
                <w:highlight w:val="none"/>
              </w:rPr>
            </w:pPr>
          </w:p>
        </w:tc>
        <w:tc>
          <w:tcPr>
            <w:tcW w:w="1308" w:type="dxa"/>
            <w:noWrap w:val="0"/>
          </w:tcPr>
          <w:p w14:paraId="0A0897D3">
            <w:pPr>
              <w:spacing w:line="420" w:lineRule="exact"/>
              <w:jc w:val="center"/>
              <w:rPr>
                <w:rFonts w:hint="eastAsia" w:ascii="仿宋" w:hAnsi="仿宋" w:eastAsia="仿宋" w:cs="仿宋"/>
                <w:color w:val="auto"/>
                <w:sz w:val="24"/>
                <w:szCs w:val="24"/>
                <w:highlight w:val="none"/>
              </w:rPr>
            </w:pPr>
          </w:p>
        </w:tc>
        <w:tc>
          <w:tcPr>
            <w:tcW w:w="1173" w:type="dxa"/>
            <w:noWrap w:val="0"/>
          </w:tcPr>
          <w:p w14:paraId="7F0F1139">
            <w:pPr>
              <w:spacing w:line="420" w:lineRule="exact"/>
              <w:jc w:val="center"/>
              <w:rPr>
                <w:rFonts w:hint="eastAsia" w:ascii="仿宋" w:hAnsi="仿宋" w:eastAsia="仿宋" w:cs="仿宋"/>
                <w:color w:val="auto"/>
                <w:sz w:val="24"/>
                <w:szCs w:val="24"/>
                <w:highlight w:val="none"/>
              </w:rPr>
            </w:pPr>
          </w:p>
        </w:tc>
      </w:tr>
      <w:tr w14:paraId="61562A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tcPr>
          <w:p w14:paraId="3F035078">
            <w:pPr>
              <w:spacing w:line="420" w:lineRule="exact"/>
              <w:jc w:val="center"/>
              <w:rPr>
                <w:rFonts w:hint="eastAsia" w:ascii="仿宋" w:hAnsi="仿宋" w:eastAsia="仿宋" w:cs="仿宋"/>
                <w:color w:val="auto"/>
                <w:sz w:val="24"/>
                <w:szCs w:val="24"/>
                <w:highlight w:val="none"/>
              </w:rPr>
            </w:pPr>
          </w:p>
        </w:tc>
        <w:tc>
          <w:tcPr>
            <w:tcW w:w="3291" w:type="dxa"/>
            <w:noWrap w:val="0"/>
          </w:tcPr>
          <w:p w14:paraId="08431F36">
            <w:pPr>
              <w:spacing w:line="420" w:lineRule="exact"/>
              <w:jc w:val="center"/>
              <w:rPr>
                <w:rFonts w:hint="eastAsia" w:ascii="仿宋" w:hAnsi="仿宋" w:eastAsia="仿宋" w:cs="仿宋"/>
                <w:color w:val="auto"/>
                <w:sz w:val="24"/>
                <w:szCs w:val="24"/>
                <w:highlight w:val="none"/>
              </w:rPr>
            </w:pPr>
          </w:p>
        </w:tc>
        <w:tc>
          <w:tcPr>
            <w:tcW w:w="2852" w:type="dxa"/>
            <w:noWrap w:val="0"/>
          </w:tcPr>
          <w:p w14:paraId="72F2E17D">
            <w:pPr>
              <w:spacing w:line="420" w:lineRule="exact"/>
              <w:jc w:val="center"/>
              <w:rPr>
                <w:rFonts w:hint="eastAsia" w:ascii="仿宋" w:hAnsi="仿宋" w:eastAsia="仿宋" w:cs="仿宋"/>
                <w:color w:val="auto"/>
                <w:sz w:val="24"/>
                <w:szCs w:val="24"/>
                <w:highlight w:val="none"/>
              </w:rPr>
            </w:pPr>
          </w:p>
        </w:tc>
        <w:tc>
          <w:tcPr>
            <w:tcW w:w="1308" w:type="dxa"/>
            <w:noWrap w:val="0"/>
          </w:tcPr>
          <w:p w14:paraId="1D703505">
            <w:pPr>
              <w:spacing w:line="420" w:lineRule="exact"/>
              <w:jc w:val="center"/>
              <w:rPr>
                <w:rFonts w:hint="eastAsia" w:ascii="仿宋" w:hAnsi="仿宋" w:eastAsia="仿宋" w:cs="仿宋"/>
                <w:color w:val="auto"/>
                <w:sz w:val="24"/>
                <w:szCs w:val="24"/>
                <w:highlight w:val="none"/>
              </w:rPr>
            </w:pPr>
          </w:p>
        </w:tc>
        <w:tc>
          <w:tcPr>
            <w:tcW w:w="1173" w:type="dxa"/>
            <w:noWrap w:val="0"/>
          </w:tcPr>
          <w:p w14:paraId="3A237B19">
            <w:pPr>
              <w:spacing w:line="420" w:lineRule="exact"/>
              <w:jc w:val="center"/>
              <w:rPr>
                <w:rFonts w:hint="eastAsia" w:ascii="仿宋" w:hAnsi="仿宋" w:eastAsia="仿宋" w:cs="仿宋"/>
                <w:color w:val="auto"/>
                <w:sz w:val="24"/>
                <w:szCs w:val="24"/>
                <w:highlight w:val="none"/>
              </w:rPr>
            </w:pPr>
          </w:p>
        </w:tc>
      </w:tr>
      <w:tr w14:paraId="79C779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tcPr>
          <w:p w14:paraId="3B29A1A8">
            <w:pPr>
              <w:spacing w:line="420" w:lineRule="exact"/>
              <w:jc w:val="center"/>
              <w:rPr>
                <w:rFonts w:hint="eastAsia" w:ascii="仿宋" w:hAnsi="仿宋" w:eastAsia="仿宋" w:cs="仿宋"/>
                <w:color w:val="auto"/>
                <w:sz w:val="24"/>
                <w:szCs w:val="24"/>
                <w:highlight w:val="none"/>
              </w:rPr>
            </w:pPr>
          </w:p>
        </w:tc>
        <w:tc>
          <w:tcPr>
            <w:tcW w:w="3291" w:type="dxa"/>
            <w:noWrap w:val="0"/>
          </w:tcPr>
          <w:p w14:paraId="1A61BAA5">
            <w:pPr>
              <w:spacing w:line="420" w:lineRule="exact"/>
              <w:jc w:val="center"/>
              <w:rPr>
                <w:rFonts w:hint="eastAsia" w:ascii="仿宋" w:hAnsi="仿宋" w:eastAsia="仿宋" w:cs="仿宋"/>
                <w:color w:val="auto"/>
                <w:sz w:val="24"/>
                <w:szCs w:val="24"/>
                <w:highlight w:val="none"/>
              </w:rPr>
            </w:pPr>
          </w:p>
        </w:tc>
        <w:tc>
          <w:tcPr>
            <w:tcW w:w="2852" w:type="dxa"/>
            <w:noWrap w:val="0"/>
          </w:tcPr>
          <w:p w14:paraId="11D7AD78">
            <w:pPr>
              <w:spacing w:line="420" w:lineRule="exact"/>
              <w:jc w:val="center"/>
              <w:rPr>
                <w:rFonts w:hint="eastAsia" w:ascii="仿宋" w:hAnsi="仿宋" w:eastAsia="仿宋" w:cs="仿宋"/>
                <w:color w:val="auto"/>
                <w:sz w:val="24"/>
                <w:szCs w:val="24"/>
                <w:highlight w:val="none"/>
              </w:rPr>
            </w:pPr>
          </w:p>
        </w:tc>
        <w:tc>
          <w:tcPr>
            <w:tcW w:w="1308" w:type="dxa"/>
            <w:noWrap w:val="0"/>
          </w:tcPr>
          <w:p w14:paraId="283C9700">
            <w:pPr>
              <w:spacing w:line="420" w:lineRule="exact"/>
              <w:jc w:val="center"/>
              <w:rPr>
                <w:rFonts w:hint="eastAsia" w:ascii="仿宋" w:hAnsi="仿宋" w:eastAsia="仿宋" w:cs="仿宋"/>
                <w:color w:val="auto"/>
                <w:sz w:val="24"/>
                <w:szCs w:val="24"/>
                <w:highlight w:val="none"/>
              </w:rPr>
            </w:pPr>
          </w:p>
        </w:tc>
        <w:tc>
          <w:tcPr>
            <w:tcW w:w="1173" w:type="dxa"/>
            <w:noWrap w:val="0"/>
          </w:tcPr>
          <w:p w14:paraId="02DFAB82">
            <w:pPr>
              <w:spacing w:line="420" w:lineRule="exact"/>
              <w:jc w:val="center"/>
              <w:rPr>
                <w:rFonts w:hint="eastAsia" w:ascii="仿宋" w:hAnsi="仿宋" w:eastAsia="仿宋" w:cs="仿宋"/>
                <w:color w:val="auto"/>
                <w:sz w:val="24"/>
                <w:szCs w:val="24"/>
                <w:highlight w:val="none"/>
              </w:rPr>
            </w:pPr>
          </w:p>
        </w:tc>
      </w:tr>
      <w:tr w14:paraId="7B542E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tcPr>
          <w:p w14:paraId="40F5C29E">
            <w:pPr>
              <w:spacing w:line="420" w:lineRule="exact"/>
              <w:jc w:val="center"/>
              <w:rPr>
                <w:rFonts w:hint="eastAsia" w:ascii="仿宋" w:hAnsi="仿宋" w:eastAsia="仿宋" w:cs="仿宋"/>
                <w:color w:val="auto"/>
                <w:sz w:val="24"/>
                <w:szCs w:val="24"/>
                <w:highlight w:val="none"/>
              </w:rPr>
            </w:pPr>
          </w:p>
        </w:tc>
        <w:tc>
          <w:tcPr>
            <w:tcW w:w="3291" w:type="dxa"/>
            <w:noWrap w:val="0"/>
          </w:tcPr>
          <w:p w14:paraId="44470AFF">
            <w:pPr>
              <w:spacing w:line="420" w:lineRule="exact"/>
              <w:jc w:val="center"/>
              <w:rPr>
                <w:rFonts w:hint="eastAsia" w:ascii="仿宋" w:hAnsi="仿宋" w:eastAsia="仿宋" w:cs="仿宋"/>
                <w:color w:val="auto"/>
                <w:sz w:val="24"/>
                <w:szCs w:val="24"/>
                <w:highlight w:val="none"/>
              </w:rPr>
            </w:pPr>
          </w:p>
        </w:tc>
        <w:tc>
          <w:tcPr>
            <w:tcW w:w="2852" w:type="dxa"/>
            <w:noWrap w:val="0"/>
          </w:tcPr>
          <w:p w14:paraId="7CE15D1A">
            <w:pPr>
              <w:spacing w:line="420" w:lineRule="exact"/>
              <w:jc w:val="center"/>
              <w:rPr>
                <w:rFonts w:hint="eastAsia" w:ascii="仿宋" w:hAnsi="仿宋" w:eastAsia="仿宋" w:cs="仿宋"/>
                <w:color w:val="auto"/>
                <w:sz w:val="24"/>
                <w:szCs w:val="24"/>
                <w:highlight w:val="none"/>
              </w:rPr>
            </w:pPr>
          </w:p>
        </w:tc>
        <w:tc>
          <w:tcPr>
            <w:tcW w:w="1308" w:type="dxa"/>
            <w:noWrap w:val="0"/>
          </w:tcPr>
          <w:p w14:paraId="43E7743A">
            <w:pPr>
              <w:spacing w:line="420" w:lineRule="exact"/>
              <w:jc w:val="center"/>
              <w:rPr>
                <w:rFonts w:hint="eastAsia" w:ascii="仿宋" w:hAnsi="仿宋" w:eastAsia="仿宋" w:cs="仿宋"/>
                <w:color w:val="auto"/>
                <w:sz w:val="24"/>
                <w:szCs w:val="24"/>
                <w:highlight w:val="none"/>
              </w:rPr>
            </w:pPr>
          </w:p>
        </w:tc>
        <w:tc>
          <w:tcPr>
            <w:tcW w:w="1173" w:type="dxa"/>
            <w:noWrap w:val="0"/>
          </w:tcPr>
          <w:p w14:paraId="1BD072DC">
            <w:pPr>
              <w:spacing w:line="420" w:lineRule="exact"/>
              <w:jc w:val="center"/>
              <w:rPr>
                <w:rFonts w:hint="eastAsia" w:ascii="仿宋" w:hAnsi="仿宋" w:eastAsia="仿宋" w:cs="仿宋"/>
                <w:color w:val="auto"/>
                <w:sz w:val="24"/>
                <w:szCs w:val="24"/>
                <w:highlight w:val="none"/>
              </w:rPr>
            </w:pPr>
          </w:p>
        </w:tc>
      </w:tr>
      <w:tr w14:paraId="52243A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tcPr>
          <w:p w14:paraId="309CD56E">
            <w:pPr>
              <w:spacing w:line="420" w:lineRule="exact"/>
              <w:jc w:val="center"/>
              <w:rPr>
                <w:rFonts w:hint="eastAsia" w:ascii="仿宋" w:hAnsi="仿宋" w:eastAsia="仿宋" w:cs="仿宋"/>
                <w:color w:val="auto"/>
                <w:sz w:val="24"/>
                <w:szCs w:val="24"/>
                <w:highlight w:val="none"/>
              </w:rPr>
            </w:pPr>
          </w:p>
        </w:tc>
        <w:tc>
          <w:tcPr>
            <w:tcW w:w="3291" w:type="dxa"/>
            <w:noWrap w:val="0"/>
          </w:tcPr>
          <w:p w14:paraId="035B50EC">
            <w:pPr>
              <w:spacing w:line="420" w:lineRule="exact"/>
              <w:jc w:val="center"/>
              <w:rPr>
                <w:rFonts w:hint="eastAsia" w:ascii="仿宋" w:hAnsi="仿宋" w:eastAsia="仿宋" w:cs="仿宋"/>
                <w:color w:val="auto"/>
                <w:sz w:val="24"/>
                <w:szCs w:val="24"/>
                <w:highlight w:val="none"/>
              </w:rPr>
            </w:pPr>
          </w:p>
        </w:tc>
        <w:tc>
          <w:tcPr>
            <w:tcW w:w="2852" w:type="dxa"/>
            <w:noWrap w:val="0"/>
          </w:tcPr>
          <w:p w14:paraId="0C70AC3A">
            <w:pPr>
              <w:spacing w:line="420" w:lineRule="exact"/>
              <w:jc w:val="center"/>
              <w:rPr>
                <w:rFonts w:hint="eastAsia" w:ascii="仿宋" w:hAnsi="仿宋" w:eastAsia="仿宋" w:cs="仿宋"/>
                <w:color w:val="auto"/>
                <w:sz w:val="24"/>
                <w:szCs w:val="24"/>
                <w:highlight w:val="none"/>
              </w:rPr>
            </w:pPr>
          </w:p>
        </w:tc>
        <w:tc>
          <w:tcPr>
            <w:tcW w:w="1308" w:type="dxa"/>
            <w:noWrap w:val="0"/>
          </w:tcPr>
          <w:p w14:paraId="474CF3BD">
            <w:pPr>
              <w:spacing w:line="420" w:lineRule="exact"/>
              <w:jc w:val="center"/>
              <w:rPr>
                <w:rFonts w:hint="eastAsia" w:ascii="仿宋" w:hAnsi="仿宋" w:eastAsia="仿宋" w:cs="仿宋"/>
                <w:color w:val="auto"/>
                <w:sz w:val="24"/>
                <w:szCs w:val="24"/>
                <w:highlight w:val="none"/>
              </w:rPr>
            </w:pPr>
          </w:p>
        </w:tc>
        <w:tc>
          <w:tcPr>
            <w:tcW w:w="1173" w:type="dxa"/>
            <w:noWrap w:val="0"/>
          </w:tcPr>
          <w:p w14:paraId="5FB3DFC2">
            <w:pPr>
              <w:spacing w:line="420" w:lineRule="exact"/>
              <w:jc w:val="center"/>
              <w:rPr>
                <w:rFonts w:hint="eastAsia" w:ascii="仿宋" w:hAnsi="仿宋" w:eastAsia="仿宋" w:cs="仿宋"/>
                <w:color w:val="auto"/>
                <w:sz w:val="24"/>
                <w:szCs w:val="24"/>
                <w:highlight w:val="none"/>
              </w:rPr>
            </w:pPr>
          </w:p>
        </w:tc>
      </w:tr>
      <w:tr w14:paraId="365CD5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tcPr>
          <w:p w14:paraId="08E135E7">
            <w:pPr>
              <w:spacing w:line="420" w:lineRule="exact"/>
              <w:jc w:val="center"/>
              <w:rPr>
                <w:rFonts w:hint="eastAsia" w:ascii="仿宋" w:hAnsi="仿宋" w:eastAsia="仿宋" w:cs="仿宋"/>
                <w:color w:val="auto"/>
                <w:sz w:val="24"/>
                <w:szCs w:val="24"/>
                <w:highlight w:val="none"/>
              </w:rPr>
            </w:pPr>
          </w:p>
        </w:tc>
        <w:tc>
          <w:tcPr>
            <w:tcW w:w="3291" w:type="dxa"/>
            <w:noWrap w:val="0"/>
          </w:tcPr>
          <w:p w14:paraId="6ED01C0B">
            <w:pPr>
              <w:spacing w:line="42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p>
        </w:tc>
        <w:tc>
          <w:tcPr>
            <w:tcW w:w="2852" w:type="dxa"/>
            <w:noWrap w:val="0"/>
          </w:tcPr>
          <w:p w14:paraId="09626450">
            <w:pPr>
              <w:spacing w:line="420" w:lineRule="exact"/>
              <w:jc w:val="center"/>
              <w:rPr>
                <w:rFonts w:hint="eastAsia" w:ascii="仿宋" w:hAnsi="仿宋" w:eastAsia="仿宋" w:cs="仿宋"/>
                <w:color w:val="auto"/>
                <w:sz w:val="24"/>
                <w:szCs w:val="24"/>
                <w:highlight w:val="none"/>
              </w:rPr>
            </w:pPr>
          </w:p>
        </w:tc>
        <w:tc>
          <w:tcPr>
            <w:tcW w:w="1308" w:type="dxa"/>
            <w:noWrap w:val="0"/>
          </w:tcPr>
          <w:p w14:paraId="1E37BFDF">
            <w:pPr>
              <w:spacing w:line="420" w:lineRule="exact"/>
              <w:jc w:val="center"/>
              <w:rPr>
                <w:rFonts w:hint="eastAsia" w:ascii="仿宋" w:hAnsi="仿宋" w:eastAsia="仿宋" w:cs="仿宋"/>
                <w:color w:val="auto"/>
                <w:sz w:val="24"/>
                <w:szCs w:val="24"/>
                <w:highlight w:val="none"/>
              </w:rPr>
            </w:pPr>
          </w:p>
        </w:tc>
        <w:tc>
          <w:tcPr>
            <w:tcW w:w="1173" w:type="dxa"/>
            <w:noWrap w:val="0"/>
          </w:tcPr>
          <w:p w14:paraId="5A3E1CD2">
            <w:pPr>
              <w:spacing w:line="420" w:lineRule="exact"/>
              <w:jc w:val="center"/>
              <w:rPr>
                <w:rFonts w:hint="eastAsia" w:ascii="仿宋" w:hAnsi="仿宋" w:eastAsia="仿宋" w:cs="仿宋"/>
                <w:color w:val="auto"/>
                <w:sz w:val="24"/>
                <w:szCs w:val="24"/>
                <w:highlight w:val="none"/>
              </w:rPr>
            </w:pPr>
          </w:p>
        </w:tc>
      </w:tr>
    </w:tbl>
    <w:p w14:paraId="7153F7B1">
      <w:pPr>
        <w:spacing w:line="42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1.供应商必须对</w:t>
      </w:r>
      <w:r>
        <w:rPr>
          <w:rFonts w:hint="eastAsia" w:ascii="仿宋" w:hAnsi="仿宋" w:eastAsia="仿宋" w:cs="仿宋"/>
          <w:color w:val="auto"/>
          <w:sz w:val="24"/>
          <w:szCs w:val="24"/>
          <w:highlight w:val="none"/>
        </w:rPr>
        <w:t>磋商文件“第四章 采购需求”所列内容</w:t>
      </w:r>
      <w:r>
        <w:rPr>
          <w:rFonts w:hint="eastAsia" w:ascii="仿宋" w:hAnsi="仿宋" w:eastAsia="仿宋" w:cs="仿宋"/>
          <w:color w:val="auto"/>
          <w:sz w:val="24"/>
          <w:highlight w:val="none"/>
        </w:rPr>
        <w:t>做出明确响应，否则作无效响应处理。</w:t>
      </w:r>
    </w:p>
    <w:p w14:paraId="5B7A2F6D">
      <w:pPr>
        <w:spacing w:line="42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2.如果采购文件要求提供证明材料，供应商必须将证明材料列于该表之下。</w:t>
      </w:r>
    </w:p>
    <w:p w14:paraId="662C0C47">
      <w:pPr>
        <w:spacing w:line="42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3.供应商未对实质性要求作出明确响应的，或未按采购文件要求提供证明材料的，该分包作无效响应处理。</w:t>
      </w:r>
    </w:p>
    <w:p w14:paraId="25C0D3CA">
      <w:pPr>
        <w:spacing w:line="42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4.行数不够，可自行添加。</w:t>
      </w:r>
      <w:bookmarkEnd w:id="191"/>
      <w:bookmarkEnd w:id="192"/>
    </w:p>
    <w:p w14:paraId="420A3824">
      <w:pPr>
        <w:spacing w:line="420" w:lineRule="exact"/>
        <w:rPr>
          <w:rFonts w:hint="eastAsia" w:ascii="仿宋" w:hAnsi="仿宋" w:eastAsia="仿宋" w:cs="仿宋"/>
          <w:color w:val="auto"/>
          <w:sz w:val="24"/>
          <w:szCs w:val="21"/>
          <w:highlight w:val="none"/>
        </w:rPr>
      </w:pPr>
    </w:p>
    <w:p w14:paraId="47FAD98D">
      <w:pPr>
        <w:spacing w:line="420" w:lineRule="exact"/>
        <w:rPr>
          <w:rFonts w:hint="eastAsia" w:ascii="仿宋" w:hAnsi="仿宋" w:eastAsia="仿宋" w:cs="仿宋"/>
          <w:color w:val="auto"/>
          <w:sz w:val="30"/>
          <w:szCs w:val="21"/>
          <w:highlight w:val="none"/>
        </w:rPr>
      </w:pPr>
    </w:p>
    <w:p w14:paraId="77243152">
      <w:pPr>
        <w:spacing w:line="420" w:lineRule="exact"/>
        <w:rPr>
          <w:rFonts w:hint="eastAsia" w:ascii="仿宋" w:hAnsi="仿宋" w:eastAsia="仿宋" w:cs="仿宋"/>
          <w:color w:val="auto"/>
          <w:sz w:val="24"/>
          <w:szCs w:val="21"/>
          <w:highlight w:val="none"/>
        </w:rPr>
      </w:pPr>
      <w:bookmarkStart w:id="226" w:name="_Toc462564146"/>
      <w:bookmarkEnd w:id="226"/>
      <w:bookmarkStart w:id="227" w:name="_Hlt26609389"/>
      <w:bookmarkEnd w:id="227"/>
      <w:bookmarkStart w:id="228" w:name="_Hlt26955066"/>
      <w:bookmarkEnd w:id="228"/>
      <w:bookmarkStart w:id="229" w:name="_Hlt26671374"/>
      <w:bookmarkEnd w:id="229"/>
    </w:p>
    <w:p w14:paraId="3B5542BC">
      <w:pPr>
        <w:spacing w:line="420" w:lineRule="exact"/>
        <w:rPr>
          <w:rFonts w:hint="eastAsia" w:ascii="仿宋" w:hAnsi="仿宋" w:eastAsia="仿宋" w:cs="仿宋"/>
          <w:color w:val="auto"/>
          <w:highlight w:val="none"/>
        </w:rPr>
      </w:pPr>
      <w:bookmarkStart w:id="230" w:name="_格式2__法定代表人授权书"/>
      <w:bookmarkEnd w:id="230"/>
      <w:r>
        <w:rPr>
          <w:rFonts w:hint="eastAsia" w:ascii="仿宋" w:hAnsi="仿宋" w:eastAsia="仿宋" w:cs="仿宋"/>
          <w:b/>
          <w:color w:val="auto"/>
          <w:sz w:val="32"/>
          <w:szCs w:val="32"/>
          <w:highlight w:val="none"/>
        </w:rPr>
        <w:br w:type="page" w:clear="all"/>
      </w:r>
      <w:r>
        <w:rPr>
          <w:rFonts w:hint="eastAsia" w:ascii="仿宋" w:hAnsi="仿宋" w:eastAsia="仿宋" w:cs="仿宋"/>
          <w:iCs/>
          <w:color w:val="auto"/>
          <w:sz w:val="32"/>
          <w:szCs w:val="32"/>
          <w:highlight w:val="none"/>
        </w:rPr>
        <w:t>九、项目组人员</w:t>
      </w:r>
    </w:p>
    <w:p w14:paraId="115D1B0A">
      <w:pPr>
        <w:pStyle w:val="288"/>
        <w:spacing w:line="420" w:lineRule="exact"/>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项目组成员</w:t>
      </w:r>
    </w:p>
    <w:tbl>
      <w:tblPr>
        <w:tblStyle w:val="33"/>
        <w:tblpPr w:leftFromText="180" w:rightFromText="180" w:vertAnchor="text" w:horzAnchor="margin" w:tblpXSpec="center" w:tblpY="7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9"/>
        <w:gridCol w:w="1843"/>
        <w:gridCol w:w="992"/>
        <w:gridCol w:w="1984"/>
        <w:gridCol w:w="1702"/>
        <w:gridCol w:w="962"/>
      </w:tblGrid>
      <w:tr w14:paraId="06E1B1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6" w:hRule="atLeast"/>
        </w:trPr>
        <w:tc>
          <w:tcPr>
            <w:tcW w:w="959" w:type="dxa"/>
            <w:noWrap w:val="0"/>
            <w:vAlign w:val="center"/>
          </w:tcPr>
          <w:p w14:paraId="5DB2D5CC">
            <w:pPr>
              <w:pStyle w:val="353"/>
              <w:widowControl/>
              <w:spacing w:beforeAutospacing="1" w:line="42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姓名</w:t>
            </w:r>
          </w:p>
        </w:tc>
        <w:tc>
          <w:tcPr>
            <w:tcW w:w="1843" w:type="dxa"/>
            <w:noWrap w:val="0"/>
            <w:vAlign w:val="center"/>
          </w:tcPr>
          <w:p w14:paraId="3B9073D9">
            <w:pPr>
              <w:pStyle w:val="353"/>
              <w:widowControl/>
              <w:spacing w:beforeAutospacing="1" w:line="42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职务</w:t>
            </w:r>
          </w:p>
        </w:tc>
        <w:tc>
          <w:tcPr>
            <w:tcW w:w="992" w:type="dxa"/>
            <w:noWrap w:val="0"/>
            <w:vAlign w:val="center"/>
          </w:tcPr>
          <w:p w14:paraId="1091E965">
            <w:pPr>
              <w:pStyle w:val="353"/>
              <w:widowControl/>
              <w:spacing w:beforeAutospacing="1" w:line="42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学历</w:t>
            </w:r>
          </w:p>
        </w:tc>
        <w:tc>
          <w:tcPr>
            <w:tcW w:w="1984" w:type="dxa"/>
            <w:noWrap w:val="0"/>
            <w:vAlign w:val="center"/>
          </w:tcPr>
          <w:p w14:paraId="59DAA0B4">
            <w:pPr>
              <w:pStyle w:val="353"/>
              <w:widowControl/>
              <w:spacing w:beforeAutospacing="1" w:line="420" w:lineRule="exact"/>
              <w:ind w:firstLine="28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身份证号</w:t>
            </w:r>
          </w:p>
        </w:tc>
        <w:tc>
          <w:tcPr>
            <w:tcW w:w="1702" w:type="dxa"/>
            <w:noWrap w:val="0"/>
            <w:vAlign w:val="center"/>
          </w:tcPr>
          <w:p w14:paraId="37754987">
            <w:pPr>
              <w:pStyle w:val="353"/>
              <w:widowControl/>
              <w:spacing w:beforeAutospacing="1" w:line="42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相关证书</w:t>
            </w:r>
          </w:p>
        </w:tc>
        <w:tc>
          <w:tcPr>
            <w:tcW w:w="962" w:type="dxa"/>
            <w:noWrap w:val="0"/>
            <w:vAlign w:val="center"/>
          </w:tcPr>
          <w:p w14:paraId="402627D8">
            <w:pPr>
              <w:pStyle w:val="353"/>
              <w:widowControl/>
              <w:spacing w:beforeAutospacing="1" w:line="4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备注</w:t>
            </w:r>
          </w:p>
        </w:tc>
      </w:tr>
      <w:tr w14:paraId="79CC87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14:paraId="38D192AC">
            <w:pPr>
              <w:pStyle w:val="353"/>
              <w:widowControl/>
              <w:spacing w:line="420" w:lineRule="exact"/>
              <w:ind w:firstLine="560"/>
              <w:jc w:val="center"/>
              <w:rPr>
                <w:rFonts w:hint="eastAsia" w:ascii="仿宋" w:hAnsi="仿宋" w:eastAsia="仿宋" w:cs="仿宋"/>
                <w:color w:val="auto"/>
                <w:sz w:val="28"/>
                <w:szCs w:val="28"/>
                <w:highlight w:val="none"/>
              </w:rPr>
            </w:pPr>
          </w:p>
        </w:tc>
        <w:tc>
          <w:tcPr>
            <w:tcW w:w="1843" w:type="dxa"/>
            <w:noWrap w:val="0"/>
            <w:vAlign w:val="center"/>
          </w:tcPr>
          <w:p w14:paraId="5657335E">
            <w:pPr>
              <w:pStyle w:val="288"/>
              <w:spacing w:line="420" w:lineRule="exact"/>
              <w:jc w:val="center"/>
              <w:rPr>
                <w:rFonts w:hint="eastAsia" w:ascii="仿宋" w:hAnsi="仿宋" w:eastAsia="仿宋" w:cs="仿宋"/>
                <w:color w:val="auto"/>
                <w:sz w:val="20"/>
                <w:szCs w:val="20"/>
                <w:highlight w:val="none"/>
              </w:rPr>
            </w:pPr>
            <w:r>
              <w:rPr>
                <w:rFonts w:hint="eastAsia" w:ascii="仿宋" w:hAnsi="仿宋" w:eastAsia="仿宋" w:cs="仿宋"/>
                <w:color w:val="auto"/>
                <w:sz w:val="28"/>
                <w:szCs w:val="28"/>
                <w:highlight w:val="none"/>
              </w:rPr>
              <w:t>项目经理</w:t>
            </w:r>
          </w:p>
        </w:tc>
        <w:tc>
          <w:tcPr>
            <w:tcW w:w="992" w:type="dxa"/>
            <w:noWrap w:val="0"/>
            <w:vAlign w:val="center"/>
          </w:tcPr>
          <w:p w14:paraId="11E95587">
            <w:pPr>
              <w:pStyle w:val="353"/>
              <w:widowControl/>
              <w:spacing w:line="420" w:lineRule="exact"/>
              <w:ind w:firstLine="560"/>
              <w:jc w:val="center"/>
              <w:rPr>
                <w:rFonts w:hint="eastAsia" w:ascii="仿宋" w:hAnsi="仿宋" w:eastAsia="仿宋" w:cs="仿宋"/>
                <w:color w:val="auto"/>
                <w:sz w:val="28"/>
                <w:szCs w:val="28"/>
                <w:highlight w:val="none"/>
              </w:rPr>
            </w:pPr>
          </w:p>
        </w:tc>
        <w:tc>
          <w:tcPr>
            <w:tcW w:w="1984" w:type="dxa"/>
            <w:noWrap w:val="0"/>
            <w:vAlign w:val="center"/>
          </w:tcPr>
          <w:p w14:paraId="2B1DB9CF">
            <w:pPr>
              <w:pStyle w:val="353"/>
              <w:widowControl/>
              <w:spacing w:line="420" w:lineRule="exact"/>
              <w:ind w:firstLine="560"/>
              <w:jc w:val="center"/>
              <w:rPr>
                <w:rFonts w:hint="eastAsia" w:ascii="仿宋" w:hAnsi="仿宋" w:eastAsia="仿宋" w:cs="仿宋"/>
                <w:color w:val="auto"/>
                <w:sz w:val="28"/>
                <w:szCs w:val="28"/>
                <w:highlight w:val="none"/>
              </w:rPr>
            </w:pPr>
          </w:p>
        </w:tc>
        <w:tc>
          <w:tcPr>
            <w:tcW w:w="1702" w:type="dxa"/>
            <w:noWrap w:val="0"/>
            <w:vAlign w:val="center"/>
          </w:tcPr>
          <w:p w14:paraId="539DD421">
            <w:pPr>
              <w:pStyle w:val="353"/>
              <w:widowControl/>
              <w:spacing w:line="420" w:lineRule="exact"/>
              <w:ind w:firstLine="560"/>
              <w:jc w:val="center"/>
              <w:rPr>
                <w:rFonts w:hint="eastAsia" w:ascii="仿宋" w:hAnsi="仿宋" w:eastAsia="仿宋" w:cs="仿宋"/>
                <w:color w:val="auto"/>
                <w:sz w:val="28"/>
                <w:szCs w:val="28"/>
                <w:highlight w:val="none"/>
              </w:rPr>
            </w:pPr>
          </w:p>
        </w:tc>
        <w:tc>
          <w:tcPr>
            <w:tcW w:w="962" w:type="dxa"/>
            <w:noWrap w:val="0"/>
            <w:vAlign w:val="center"/>
          </w:tcPr>
          <w:p w14:paraId="251746A8">
            <w:pPr>
              <w:pStyle w:val="353"/>
              <w:widowControl/>
              <w:spacing w:line="420" w:lineRule="exact"/>
              <w:ind w:firstLine="560"/>
              <w:jc w:val="center"/>
              <w:rPr>
                <w:rFonts w:hint="eastAsia" w:ascii="仿宋" w:hAnsi="仿宋" w:eastAsia="仿宋" w:cs="仿宋"/>
                <w:color w:val="auto"/>
                <w:sz w:val="28"/>
                <w:szCs w:val="28"/>
                <w:highlight w:val="none"/>
              </w:rPr>
            </w:pPr>
          </w:p>
        </w:tc>
      </w:tr>
      <w:tr w14:paraId="2CA2AC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14:paraId="7E2030A5">
            <w:pPr>
              <w:pStyle w:val="353"/>
              <w:widowControl/>
              <w:spacing w:line="420" w:lineRule="exact"/>
              <w:ind w:firstLine="560"/>
              <w:jc w:val="center"/>
              <w:rPr>
                <w:rFonts w:hint="eastAsia" w:ascii="仿宋" w:hAnsi="仿宋" w:eastAsia="仿宋" w:cs="仿宋"/>
                <w:color w:val="auto"/>
                <w:sz w:val="28"/>
                <w:szCs w:val="28"/>
                <w:highlight w:val="none"/>
              </w:rPr>
            </w:pPr>
          </w:p>
        </w:tc>
        <w:tc>
          <w:tcPr>
            <w:tcW w:w="1843" w:type="dxa"/>
            <w:noWrap w:val="0"/>
            <w:vAlign w:val="center"/>
          </w:tcPr>
          <w:p w14:paraId="7B046A77">
            <w:pPr>
              <w:pStyle w:val="288"/>
              <w:spacing w:line="42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w:t>
            </w:r>
          </w:p>
        </w:tc>
        <w:tc>
          <w:tcPr>
            <w:tcW w:w="992" w:type="dxa"/>
            <w:noWrap w:val="0"/>
            <w:vAlign w:val="center"/>
          </w:tcPr>
          <w:p w14:paraId="44EAE9BF">
            <w:pPr>
              <w:pStyle w:val="353"/>
              <w:widowControl/>
              <w:spacing w:line="420" w:lineRule="exact"/>
              <w:ind w:firstLine="560"/>
              <w:jc w:val="center"/>
              <w:rPr>
                <w:rFonts w:hint="eastAsia" w:ascii="仿宋" w:hAnsi="仿宋" w:eastAsia="仿宋" w:cs="仿宋"/>
                <w:color w:val="auto"/>
                <w:sz w:val="28"/>
                <w:szCs w:val="28"/>
                <w:highlight w:val="none"/>
              </w:rPr>
            </w:pPr>
          </w:p>
        </w:tc>
        <w:tc>
          <w:tcPr>
            <w:tcW w:w="1984" w:type="dxa"/>
            <w:noWrap w:val="0"/>
            <w:vAlign w:val="center"/>
          </w:tcPr>
          <w:p w14:paraId="245C506C">
            <w:pPr>
              <w:pStyle w:val="353"/>
              <w:widowControl/>
              <w:spacing w:line="420" w:lineRule="exact"/>
              <w:ind w:firstLine="560"/>
              <w:jc w:val="center"/>
              <w:rPr>
                <w:rFonts w:hint="eastAsia" w:ascii="仿宋" w:hAnsi="仿宋" w:eastAsia="仿宋" w:cs="仿宋"/>
                <w:color w:val="auto"/>
                <w:sz w:val="28"/>
                <w:szCs w:val="28"/>
                <w:highlight w:val="none"/>
              </w:rPr>
            </w:pPr>
          </w:p>
        </w:tc>
        <w:tc>
          <w:tcPr>
            <w:tcW w:w="1702" w:type="dxa"/>
            <w:noWrap w:val="0"/>
            <w:vAlign w:val="center"/>
          </w:tcPr>
          <w:p w14:paraId="609E5ED3">
            <w:pPr>
              <w:pStyle w:val="353"/>
              <w:widowControl/>
              <w:spacing w:line="420" w:lineRule="exact"/>
              <w:ind w:firstLine="560"/>
              <w:jc w:val="center"/>
              <w:rPr>
                <w:rFonts w:hint="eastAsia" w:ascii="仿宋" w:hAnsi="仿宋" w:eastAsia="仿宋" w:cs="仿宋"/>
                <w:color w:val="auto"/>
                <w:sz w:val="28"/>
                <w:szCs w:val="28"/>
                <w:highlight w:val="none"/>
              </w:rPr>
            </w:pPr>
          </w:p>
        </w:tc>
        <w:tc>
          <w:tcPr>
            <w:tcW w:w="962" w:type="dxa"/>
            <w:noWrap w:val="0"/>
            <w:vAlign w:val="center"/>
          </w:tcPr>
          <w:p w14:paraId="73AB8BEB">
            <w:pPr>
              <w:pStyle w:val="353"/>
              <w:widowControl/>
              <w:spacing w:line="420" w:lineRule="exact"/>
              <w:ind w:firstLine="560"/>
              <w:jc w:val="center"/>
              <w:rPr>
                <w:rFonts w:hint="eastAsia" w:ascii="仿宋" w:hAnsi="仿宋" w:eastAsia="仿宋" w:cs="仿宋"/>
                <w:color w:val="auto"/>
                <w:sz w:val="28"/>
                <w:szCs w:val="28"/>
                <w:highlight w:val="none"/>
              </w:rPr>
            </w:pPr>
          </w:p>
        </w:tc>
      </w:tr>
      <w:tr w14:paraId="784AA5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14:paraId="10E52B9A">
            <w:pPr>
              <w:pStyle w:val="353"/>
              <w:widowControl/>
              <w:spacing w:line="420" w:lineRule="exact"/>
              <w:ind w:firstLine="560"/>
              <w:jc w:val="center"/>
              <w:rPr>
                <w:rFonts w:hint="eastAsia" w:ascii="仿宋" w:hAnsi="仿宋" w:eastAsia="仿宋" w:cs="仿宋"/>
                <w:color w:val="auto"/>
                <w:sz w:val="28"/>
                <w:szCs w:val="28"/>
                <w:highlight w:val="none"/>
              </w:rPr>
            </w:pPr>
          </w:p>
        </w:tc>
        <w:tc>
          <w:tcPr>
            <w:tcW w:w="1843" w:type="dxa"/>
            <w:noWrap w:val="0"/>
            <w:vAlign w:val="center"/>
          </w:tcPr>
          <w:p w14:paraId="55BD5119">
            <w:pPr>
              <w:pStyle w:val="288"/>
              <w:spacing w:line="420" w:lineRule="exact"/>
              <w:ind w:firstLine="28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w:t>
            </w:r>
          </w:p>
        </w:tc>
        <w:tc>
          <w:tcPr>
            <w:tcW w:w="992" w:type="dxa"/>
            <w:noWrap w:val="0"/>
            <w:vAlign w:val="center"/>
          </w:tcPr>
          <w:p w14:paraId="70F41984">
            <w:pPr>
              <w:pStyle w:val="353"/>
              <w:widowControl/>
              <w:spacing w:line="420" w:lineRule="exact"/>
              <w:ind w:firstLine="560"/>
              <w:jc w:val="center"/>
              <w:rPr>
                <w:rFonts w:hint="eastAsia" w:ascii="仿宋" w:hAnsi="仿宋" w:eastAsia="仿宋" w:cs="仿宋"/>
                <w:color w:val="auto"/>
                <w:sz w:val="28"/>
                <w:szCs w:val="28"/>
                <w:highlight w:val="none"/>
              </w:rPr>
            </w:pPr>
          </w:p>
        </w:tc>
        <w:tc>
          <w:tcPr>
            <w:tcW w:w="1984" w:type="dxa"/>
            <w:noWrap w:val="0"/>
            <w:vAlign w:val="center"/>
          </w:tcPr>
          <w:p w14:paraId="05B8FAE8">
            <w:pPr>
              <w:pStyle w:val="353"/>
              <w:widowControl/>
              <w:spacing w:line="420" w:lineRule="exact"/>
              <w:ind w:firstLine="560"/>
              <w:jc w:val="center"/>
              <w:rPr>
                <w:rFonts w:hint="eastAsia" w:ascii="仿宋" w:hAnsi="仿宋" w:eastAsia="仿宋" w:cs="仿宋"/>
                <w:color w:val="auto"/>
                <w:sz w:val="28"/>
                <w:szCs w:val="28"/>
                <w:highlight w:val="none"/>
              </w:rPr>
            </w:pPr>
          </w:p>
        </w:tc>
        <w:tc>
          <w:tcPr>
            <w:tcW w:w="1702" w:type="dxa"/>
            <w:noWrap w:val="0"/>
            <w:vAlign w:val="center"/>
          </w:tcPr>
          <w:p w14:paraId="14E11A01">
            <w:pPr>
              <w:pStyle w:val="353"/>
              <w:widowControl/>
              <w:spacing w:line="420" w:lineRule="exact"/>
              <w:ind w:firstLine="560"/>
              <w:jc w:val="center"/>
              <w:rPr>
                <w:rFonts w:hint="eastAsia" w:ascii="仿宋" w:hAnsi="仿宋" w:eastAsia="仿宋" w:cs="仿宋"/>
                <w:color w:val="auto"/>
                <w:sz w:val="28"/>
                <w:szCs w:val="28"/>
                <w:highlight w:val="none"/>
              </w:rPr>
            </w:pPr>
          </w:p>
        </w:tc>
        <w:tc>
          <w:tcPr>
            <w:tcW w:w="962" w:type="dxa"/>
            <w:noWrap w:val="0"/>
            <w:vAlign w:val="center"/>
          </w:tcPr>
          <w:p w14:paraId="78C88D6D">
            <w:pPr>
              <w:pStyle w:val="353"/>
              <w:widowControl/>
              <w:spacing w:line="420" w:lineRule="exact"/>
              <w:ind w:firstLine="560"/>
              <w:jc w:val="center"/>
              <w:rPr>
                <w:rFonts w:hint="eastAsia" w:ascii="仿宋" w:hAnsi="仿宋" w:eastAsia="仿宋" w:cs="仿宋"/>
                <w:color w:val="auto"/>
                <w:sz w:val="28"/>
                <w:szCs w:val="28"/>
                <w:highlight w:val="none"/>
              </w:rPr>
            </w:pPr>
          </w:p>
        </w:tc>
      </w:tr>
      <w:tr w14:paraId="12BF6F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14:paraId="5DED7665">
            <w:pPr>
              <w:pStyle w:val="353"/>
              <w:widowControl/>
              <w:spacing w:line="420" w:lineRule="exact"/>
              <w:ind w:firstLine="560"/>
              <w:jc w:val="center"/>
              <w:rPr>
                <w:rFonts w:hint="eastAsia" w:ascii="仿宋" w:hAnsi="仿宋" w:eastAsia="仿宋" w:cs="仿宋"/>
                <w:color w:val="auto"/>
                <w:sz w:val="28"/>
                <w:szCs w:val="28"/>
                <w:highlight w:val="none"/>
              </w:rPr>
            </w:pPr>
          </w:p>
        </w:tc>
        <w:tc>
          <w:tcPr>
            <w:tcW w:w="1843" w:type="dxa"/>
            <w:noWrap w:val="0"/>
            <w:vAlign w:val="center"/>
          </w:tcPr>
          <w:p w14:paraId="6AF89570">
            <w:pPr>
              <w:pStyle w:val="288"/>
              <w:spacing w:line="420" w:lineRule="exact"/>
              <w:rPr>
                <w:rFonts w:hint="eastAsia" w:ascii="仿宋" w:hAnsi="仿宋" w:eastAsia="仿宋" w:cs="仿宋"/>
                <w:color w:val="auto"/>
                <w:sz w:val="28"/>
                <w:szCs w:val="28"/>
                <w:highlight w:val="none"/>
              </w:rPr>
            </w:pPr>
          </w:p>
        </w:tc>
        <w:tc>
          <w:tcPr>
            <w:tcW w:w="992" w:type="dxa"/>
            <w:noWrap w:val="0"/>
            <w:vAlign w:val="center"/>
          </w:tcPr>
          <w:p w14:paraId="11D0F700">
            <w:pPr>
              <w:pStyle w:val="353"/>
              <w:widowControl/>
              <w:spacing w:line="420" w:lineRule="exact"/>
              <w:ind w:firstLine="560"/>
              <w:jc w:val="center"/>
              <w:rPr>
                <w:rFonts w:hint="eastAsia" w:ascii="仿宋" w:hAnsi="仿宋" w:eastAsia="仿宋" w:cs="仿宋"/>
                <w:color w:val="auto"/>
                <w:sz w:val="28"/>
                <w:szCs w:val="28"/>
                <w:highlight w:val="none"/>
              </w:rPr>
            </w:pPr>
          </w:p>
        </w:tc>
        <w:tc>
          <w:tcPr>
            <w:tcW w:w="1984" w:type="dxa"/>
            <w:noWrap w:val="0"/>
            <w:vAlign w:val="center"/>
          </w:tcPr>
          <w:p w14:paraId="080440D9">
            <w:pPr>
              <w:pStyle w:val="353"/>
              <w:widowControl/>
              <w:spacing w:line="420" w:lineRule="exact"/>
              <w:ind w:firstLine="560"/>
              <w:jc w:val="center"/>
              <w:rPr>
                <w:rFonts w:hint="eastAsia" w:ascii="仿宋" w:hAnsi="仿宋" w:eastAsia="仿宋" w:cs="仿宋"/>
                <w:color w:val="auto"/>
                <w:sz w:val="28"/>
                <w:szCs w:val="28"/>
                <w:highlight w:val="none"/>
              </w:rPr>
            </w:pPr>
          </w:p>
        </w:tc>
        <w:tc>
          <w:tcPr>
            <w:tcW w:w="1702" w:type="dxa"/>
            <w:noWrap w:val="0"/>
            <w:vAlign w:val="center"/>
          </w:tcPr>
          <w:p w14:paraId="0AE50026">
            <w:pPr>
              <w:pStyle w:val="353"/>
              <w:widowControl/>
              <w:spacing w:line="420" w:lineRule="exact"/>
              <w:ind w:firstLine="560"/>
              <w:jc w:val="center"/>
              <w:rPr>
                <w:rFonts w:hint="eastAsia" w:ascii="仿宋" w:hAnsi="仿宋" w:eastAsia="仿宋" w:cs="仿宋"/>
                <w:color w:val="auto"/>
                <w:sz w:val="28"/>
                <w:szCs w:val="28"/>
                <w:highlight w:val="none"/>
              </w:rPr>
            </w:pPr>
          </w:p>
        </w:tc>
        <w:tc>
          <w:tcPr>
            <w:tcW w:w="962" w:type="dxa"/>
            <w:noWrap w:val="0"/>
            <w:vAlign w:val="center"/>
          </w:tcPr>
          <w:p w14:paraId="746BE305">
            <w:pPr>
              <w:pStyle w:val="353"/>
              <w:widowControl/>
              <w:spacing w:line="420" w:lineRule="exact"/>
              <w:ind w:firstLine="560"/>
              <w:jc w:val="center"/>
              <w:rPr>
                <w:rFonts w:hint="eastAsia" w:ascii="仿宋" w:hAnsi="仿宋" w:eastAsia="仿宋" w:cs="仿宋"/>
                <w:color w:val="auto"/>
                <w:sz w:val="28"/>
                <w:szCs w:val="28"/>
                <w:highlight w:val="none"/>
              </w:rPr>
            </w:pPr>
          </w:p>
        </w:tc>
      </w:tr>
      <w:tr w14:paraId="153B20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14:paraId="5030188F">
            <w:pPr>
              <w:pStyle w:val="353"/>
              <w:widowControl/>
              <w:spacing w:line="420" w:lineRule="exact"/>
              <w:ind w:firstLine="560"/>
              <w:jc w:val="center"/>
              <w:rPr>
                <w:rFonts w:hint="eastAsia" w:ascii="仿宋" w:hAnsi="仿宋" w:eastAsia="仿宋" w:cs="仿宋"/>
                <w:color w:val="auto"/>
                <w:sz w:val="28"/>
                <w:szCs w:val="28"/>
                <w:highlight w:val="none"/>
              </w:rPr>
            </w:pPr>
          </w:p>
        </w:tc>
        <w:tc>
          <w:tcPr>
            <w:tcW w:w="1843" w:type="dxa"/>
            <w:noWrap w:val="0"/>
            <w:vAlign w:val="center"/>
          </w:tcPr>
          <w:p w14:paraId="17DD0BEA">
            <w:pPr>
              <w:pStyle w:val="288"/>
              <w:spacing w:line="420" w:lineRule="exact"/>
              <w:rPr>
                <w:rFonts w:hint="eastAsia" w:ascii="仿宋" w:hAnsi="仿宋" w:eastAsia="仿宋" w:cs="仿宋"/>
                <w:color w:val="auto"/>
                <w:sz w:val="28"/>
                <w:szCs w:val="28"/>
                <w:highlight w:val="none"/>
              </w:rPr>
            </w:pPr>
          </w:p>
        </w:tc>
        <w:tc>
          <w:tcPr>
            <w:tcW w:w="992" w:type="dxa"/>
            <w:noWrap w:val="0"/>
            <w:vAlign w:val="center"/>
          </w:tcPr>
          <w:p w14:paraId="3FDC119B">
            <w:pPr>
              <w:pStyle w:val="353"/>
              <w:widowControl/>
              <w:spacing w:line="420" w:lineRule="exact"/>
              <w:ind w:firstLine="560"/>
              <w:jc w:val="center"/>
              <w:rPr>
                <w:rFonts w:hint="eastAsia" w:ascii="仿宋" w:hAnsi="仿宋" w:eastAsia="仿宋" w:cs="仿宋"/>
                <w:color w:val="auto"/>
                <w:sz w:val="28"/>
                <w:szCs w:val="28"/>
                <w:highlight w:val="none"/>
              </w:rPr>
            </w:pPr>
          </w:p>
        </w:tc>
        <w:tc>
          <w:tcPr>
            <w:tcW w:w="1984" w:type="dxa"/>
            <w:noWrap w:val="0"/>
            <w:vAlign w:val="center"/>
          </w:tcPr>
          <w:p w14:paraId="788BF610">
            <w:pPr>
              <w:pStyle w:val="353"/>
              <w:widowControl/>
              <w:spacing w:line="420" w:lineRule="exact"/>
              <w:ind w:firstLine="560"/>
              <w:jc w:val="center"/>
              <w:rPr>
                <w:rFonts w:hint="eastAsia" w:ascii="仿宋" w:hAnsi="仿宋" w:eastAsia="仿宋" w:cs="仿宋"/>
                <w:color w:val="auto"/>
                <w:sz w:val="28"/>
                <w:szCs w:val="28"/>
                <w:highlight w:val="none"/>
              </w:rPr>
            </w:pPr>
          </w:p>
        </w:tc>
        <w:tc>
          <w:tcPr>
            <w:tcW w:w="1702" w:type="dxa"/>
            <w:noWrap w:val="0"/>
            <w:vAlign w:val="center"/>
          </w:tcPr>
          <w:p w14:paraId="3AE91961">
            <w:pPr>
              <w:pStyle w:val="353"/>
              <w:widowControl/>
              <w:spacing w:line="420" w:lineRule="exact"/>
              <w:ind w:firstLine="560"/>
              <w:jc w:val="center"/>
              <w:rPr>
                <w:rFonts w:hint="eastAsia" w:ascii="仿宋" w:hAnsi="仿宋" w:eastAsia="仿宋" w:cs="仿宋"/>
                <w:color w:val="auto"/>
                <w:sz w:val="28"/>
                <w:szCs w:val="28"/>
                <w:highlight w:val="none"/>
              </w:rPr>
            </w:pPr>
          </w:p>
        </w:tc>
        <w:tc>
          <w:tcPr>
            <w:tcW w:w="962" w:type="dxa"/>
            <w:noWrap w:val="0"/>
            <w:vAlign w:val="center"/>
          </w:tcPr>
          <w:p w14:paraId="2C3DBD48">
            <w:pPr>
              <w:pStyle w:val="353"/>
              <w:widowControl/>
              <w:spacing w:line="420" w:lineRule="exact"/>
              <w:ind w:firstLine="560"/>
              <w:jc w:val="center"/>
              <w:rPr>
                <w:rFonts w:hint="eastAsia" w:ascii="仿宋" w:hAnsi="仿宋" w:eastAsia="仿宋" w:cs="仿宋"/>
                <w:color w:val="auto"/>
                <w:sz w:val="28"/>
                <w:szCs w:val="28"/>
                <w:highlight w:val="none"/>
              </w:rPr>
            </w:pPr>
          </w:p>
        </w:tc>
      </w:tr>
      <w:tr w14:paraId="6A2C3A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14:paraId="42BED009">
            <w:pPr>
              <w:pStyle w:val="353"/>
              <w:widowControl/>
              <w:spacing w:line="420" w:lineRule="exact"/>
              <w:ind w:firstLine="560"/>
              <w:jc w:val="center"/>
              <w:rPr>
                <w:rFonts w:hint="eastAsia" w:ascii="仿宋" w:hAnsi="仿宋" w:eastAsia="仿宋" w:cs="仿宋"/>
                <w:color w:val="auto"/>
                <w:sz w:val="28"/>
                <w:szCs w:val="28"/>
                <w:highlight w:val="none"/>
              </w:rPr>
            </w:pPr>
          </w:p>
        </w:tc>
        <w:tc>
          <w:tcPr>
            <w:tcW w:w="1843" w:type="dxa"/>
            <w:noWrap w:val="0"/>
            <w:vAlign w:val="center"/>
          </w:tcPr>
          <w:p w14:paraId="2DA9CA15">
            <w:pPr>
              <w:pStyle w:val="353"/>
              <w:widowControl/>
              <w:spacing w:line="420" w:lineRule="exact"/>
              <w:ind w:firstLine="560"/>
              <w:jc w:val="center"/>
              <w:rPr>
                <w:rFonts w:hint="eastAsia" w:ascii="仿宋" w:hAnsi="仿宋" w:eastAsia="仿宋" w:cs="仿宋"/>
                <w:color w:val="auto"/>
                <w:sz w:val="28"/>
                <w:szCs w:val="28"/>
                <w:highlight w:val="none"/>
              </w:rPr>
            </w:pPr>
          </w:p>
        </w:tc>
        <w:tc>
          <w:tcPr>
            <w:tcW w:w="992" w:type="dxa"/>
            <w:noWrap w:val="0"/>
            <w:vAlign w:val="center"/>
          </w:tcPr>
          <w:p w14:paraId="51B0E738">
            <w:pPr>
              <w:pStyle w:val="353"/>
              <w:widowControl/>
              <w:spacing w:line="420" w:lineRule="exact"/>
              <w:ind w:firstLine="560"/>
              <w:jc w:val="center"/>
              <w:rPr>
                <w:rFonts w:hint="eastAsia" w:ascii="仿宋" w:hAnsi="仿宋" w:eastAsia="仿宋" w:cs="仿宋"/>
                <w:color w:val="auto"/>
                <w:sz w:val="28"/>
                <w:szCs w:val="28"/>
                <w:highlight w:val="none"/>
              </w:rPr>
            </w:pPr>
          </w:p>
        </w:tc>
        <w:tc>
          <w:tcPr>
            <w:tcW w:w="1984" w:type="dxa"/>
            <w:noWrap w:val="0"/>
            <w:vAlign w:val="center"/>
          </w:tcPr>
          <w:p w14:paraId="151C29B1">
            <w:pPr>
              <w:pStyle w:val="353"/>
              <w:widowControl/>
              <w:spacing w:line="420" w:lineRule="exact"/>
              <w:ind w:firstLine="560"/>
              <w:jc w:val="center"/>
              <w:rPr>
                <w:rFonts w:hint="eastAsia" w:ascii="仿宋" w:hAnsi="仿宋" w:eastAsia="仿宋" w:cs="仿宋"/>
                <w:color w:val="auto"/>
                <w:sz w:val="28"/>
                <w:szCs w:val="28"/>
                <w:highlight w:val="none"/>
              </w:rPr>
            </w:pPr>
          </w:p>
        </w:tc>
        <w:tc>
          <w:tcPr>
            <w:tcW w:w="1702" w:type="dxa"/>
            <w:noWrap w:val="0"/>
            <w:vAlign w:val="center"/>
          </w:tcPr>
          <w:p w14:paraId="6FDDDE78">
            <w:pPr>
              <w:pStyle w:val="353"/>
              <w:widowControl/>
              <w:spacing w:line="420" w:lineRule="exact"/>
              <w:ind w:firstLine="560"/>
              <w:jc w:val="center"/>
              <w:rPr>
                <w:rFonts w:hint="eastAsia" w:ascii="仿宋" w:hAnsi="仿宋" w:eastAsia="仿宋" w:cs="仿宋"/>
                <w:color w:val="auto"/>
                <w:sz w:val="28"/>
                <w:szCs w:val="28"/>
                <w:highlight w:val="none"/>
              </w:rPr>
            </w:pPr>
          </w:p>
        </w:tc>
        <w:tc>
          <w:tcPr>
            <w:tcW w:w="962" w:type="dxa"/>
            <w:noWrap w:val="0"/>
            <w:vAlign w:val="center"/>
          </w:tcPr>
          <w:p w14:paraId="74229046">
            <w:pPr>
              <w:pStyle w:val="353"/>
              <w:widowControl/>
              <w:spacing w:line="420" w:lineRule="exact"/>
              <w:ind w:firstLine="560"/>
              <w:jc w:val="center"/>
              <w:rPr>
                <w:rFonts w:hint="eastAsia" w:ascii="仿宋" w:hAnsi="仿宋" w:eastAsia="仿宋" w:cs="仿宋"/>
                <w:color w:val="auto"/>
                <w:sz w:val="28"/>
                <w:szCs w:val="28"/>
                <w:highlight w:val="none"/>
              </w:rPr>
            </w:pPr>
          </w:p>
        </w:tc>
      </w:tr>
      <w:tr w14:paraId="48B4D4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14:paraId="3C24C721">
            <w:pPr>
              <w:pStyle w:val="353"/>
              <w:widowControl/>
              <w:spacing w:line="420" w:lineRule="exact"/>
              <w:ind w:firstLine="560"/>
              <w:jc w:val="center"/>
              <w:rPr>
                <w:rFonts w:hint="eastAsia" w:ascii="仿宋" w:hAnsi="仿宋" w:eastAsia="仿宋" w:cs="仿宋"/>
                <w:color w:val="auto"/>
                <w:sz w:val="28"/>
                <w:szCs w:val="28"/>
                <w:highlight w:val="none"/>
              </w:rPr>
            </w:pPr>
          </w:p>
        </w:tc>
        <w:tc>
          <w:tcPr>
            <w:tcW w:w="1843" w:type="dxa"/>
            <w:noWrap w:val="0"/>
            <w:vAlign w:val="center"/>
          </w:tcPr>
          <w:p w14:paraId="786EF5DD">
            <w:pPr>
              <w:pStyle w:val="353"/>
              <w:widowControl/>
              <w:spacing w:line="420" w:lineRule="exact"/>
              <w:ind w:firstLine="560"/>
              <w:jc w:val="center"/>
              <w:rPr>
                <w:rFonts w:hint="eastAsia" w:ascii="仿宋" w:hAnsi="仿宋" w:eastAsia="仿宋" w:cs="仿宋"/>
                <w:color w:val="auto"/>
                <w:sz w:val="28"/>
                <w:szCs w:val="28"/>
                <w:highlight w:val="none"/>
              </w:rPr>
            </w:pPr>
          </w:p>
        </w:tc>
        <w:tc>
          <w:tcPr>
            <w:tcW w:w="992" w:type="dxa"/>
            <w:noWrap w:val="0"/>
            <w:vAlign w:val="center"/>
          </w:tcPr>
          <w:p w14:paraId="393EE9E1">
            <w:pPr>
              <w:pStyle w:val="353"/>
              <w:widowControl/>
              <w:spacing w:line="420" w:lineRule="exact"/>
              <w:ind w:firstLine="560"/>
              <w:jc w:val="center"/>
              <w:rPr>
                <w:rFonts w:hint="eastAsia" w:ascii="仿宋" w:hAnsi="仿宋" w:eastAsia="仿宋" w:cs="仿宋"/>
                <w:color w:val="auto"/>
                <w:sz w:val="28"/>
                <w:szCs w:val="28"/>
                <w:highlight w:val="none"/>
              </w:rPr>
            </w:pPr>
          </w:p>
        </w:tc>
        <w:tc>
          <w:tcPr>
            <w:tcW w:w="1984" w:type="dxa"/>
            <w:noWrap w:val="0"/>
            <w:vAlign w:val="center"/>
          </w:tcPr>
          <w:p w14:paraId="69E7BCC1">
            <w:pPr>
              <w:pStyle w:val="353"/>
              <w:widowControl/>
              <w:spacing w:line="420" w:lineRule="exact"/>
              <w:ind w:firstLine="560"/>
              <w:jc w:val="center"/>
              <w:rPr>
                <w:rFonts w:hint="eastAsia" w:ascii="仿宋" w:hAnsi="仿宋" w:eastAsia="仿宋" w:cs="仿宋"/>
                <w:color w:val="auto"/>
                <w:sz w:val="28"/>
                <w:szCs w:val="28"/>
                <w:highlight w:val="none"/>
              </w:rPr>
            </w:pPr>
          </w:p>
        </w:tc>
        <w:tc>
          <w:tcPr>
            <w:tcW w:w="1702" w:type="dxa"/>
            <w:noWrap w:val="0"/>
            <w:vAlign w:val="center"/>
          </w:tcPr>
          <w:p w14:paraId="7252AA39">
            <w:pPr>
              <w:pStyle w:val="353"/>
              <w:widowControl/>
              <w:spacing w:line="420" w:lineRule="exact"/>
              <w:ind w:firstLine="560"/>
              <w:jc w:val="center"/>
              <w:rPr>
                <w:rFonts w:hint="eastAsia" w:ascii="仿宋" w:hAnsi="仿宋" w:eastAsia="仿宋" w:cs="仿宋"/>
                <w:color w:val="auto"/>
                <w:sz w:val="28"/>
                <w:szCs w:val="28"/>
                <w:highlight w:val="none"/>
              </w:rPr>
            </w:pPr>
          </w:p>
        </w:tc>
        <w:tc>
          <w:tcPr>
            <w:tcW w:w="962" w:type="dxa"/>
            <w:noWrap w:val="0"/>
            <w:vAlign w:val="center"/>
          </w:tcPr>
          <w:p w14:paraId="36500DC2">
            <w:pPr>
              <w:pStyle w:val="353"/>
              <w:widowControl/>
              <w:spacing w:line="420" w:lineRule="exact"/>
              <w:ind w:firstLine="560"/>
              <w:jc w:val="center"/>
              <w:rPr>
                <w:rFonts w:hint="eastAsia" w:ascii="仿宋" w:hAnsi="仿宋" w:eastAsia="仿宋" w:cs="仿宋"/>
                <w:color w:val="auto"/>
                <w:sz w:val="28"/>
                <w:szCs w:val="28"/>
                <w:highlight w:val="none"/>
              </w:rPr>
            </w:pPr>
          </w:p>
        </w:tc>
      </w:tr>
      <w:tr w14:paraId="66B340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14:paraId="2C23C2C0">
            <w:pPr>
              <w:pStyle w:val="353"/>
              <w:widowControl/>
              <w:spacing w:line="420" w:lineRule="exact"/>
              <w:ind w:firstLine="560"/>
              <w:jc w:val="center"/>
              <w:rPr>
                <w:rFonts w:hint="eastAsia" w:ascii="仿宋" w:hAnsi="仿宋" w:eastAsia="仿宋" w:cs="仿宋"/>
                <w:color w:val="auto"/>
                <w:sz w:val="28"/>
                <w:szCs w:val="28"/>
                <w:highlight w:val="none"/>
              </w:rPr>
            </w:pPr>
          </w:p>
        </w:tc>
        <w:tc>
          <w:tcPr>
            <w:tcW w:w="1843" w:type="dxa"/>
            <w:noWrap w:val="0"/>
            <w:vAlign w:val="center"/>
          </w:tcPr>
          <w:p w14:paraId="5357F6E9">
            <w:pPr>
              <w:pStyle w:val="353"/>
              <w:widowControl/>
              <w:spacing w:line="420" w:lineRule="exact"/>
              <w:ind w:firstLine="560"/>
              <w:jc w:val="center"/>
              <w:rPr>
                <w:rFonts w:hint="eastAsia" w:ascii="仿宋" w:hAnsi="仿宋" w:eastAsia="仿宋" w:cs="仿宋"/>
                <w:color w:val="auto"/>
                <w:sz w:val="28"/>
                <w:szCs w:val="28"/>
                <w:highlight w:val="none"/>
              </w:rPr>
            </w:pPr>
          </w:p>
        </w:tc>
        <w:tc>
          <w:tcPr>
            <w:tcW w:w="992" w:type="dxa"/>
            <w:noWrap w:val="0"/>
            <w:vAlign w:val="center"/>
          </w:tcPr>
          <w:p w14:paraId="4364D07E">
            <w:pPr>
              <w:pStyle w:val="353"/>
              <w:widowControl/>
              <w:spacing w:line="420" w:lineRule="exact"/>
              <w:ind w:firstLine="560"/>
              <w:jc w:val="center"/>
              <w:rPr>
                <w:rFonts w:hint="eastAsia" w:ascii="仿宋" w:hAnsi="仿宋" w:eastAsia="仿宋" w:cs="仿宋"/>
                <w:color w:val="auto"/>
                <w:sz w:val="28"/>
                <w:szCs w:val="28"/>
                <w:highlight w:val="none"/>
              </w:rPr>
            </w:pPr>
          </w:p>
        </w:tc>
        <w:tc>
          <w:tcPr>
            <w:tcW w:w="1984" w:type="dxa"/>
            <w:noWrap w:val="0"/>
            <w:vAlign w:val="center"/>
          </w:tcPr>
          <w:p w14:paraId="236234AA">
            <w:pPr>
              <w:pStyle w:val="353"/>
              <w:widowControl/>
              <w:spacing w:line="420" w:lineRule="exact"/>
              <w:ind w:firstLine="560"/>
              <w:jc w:val="center"/>
              <w:rPr>
                <w:rFonts w:hint="eastAsia" w:ascii="仿宋" w:hAnsi="仿宋" w:eastAsia="仿宋" w:cs="仿宋"/>
                <w:color w:val="auto"/>
                <w:sz w:val="28"/>
                <w:szCs w:val="28"/>
                <w:highlight w:val="none"/>
              </w:rPr>
            </w:pPr>
          </w:p>
        </w:tc>
        <w:tc>
          <w:tcPr>
            <w:tcW w:w="1702" w:type="dxa"/>
            <w:noWrap w:val="0"/>
            <w:vAlign w:val="center"/>
          </w:tcPr>
          <w:p w14:paraId="2D0E79C8">
            <w:pPr>
              <w:pStyle w:val="353"/>
              <w:widowControl/>
              <w:spacing w:line="420" w:lineRule="exact"/>
              <w:ind w:firstLine="560"/>
              <w:jc w:val="center"/>
              <w:rPr>
                <w:rFonts w:hint="eastAsia" w:ascii="仿宋" w:hAnsi="仿宋" w:eastAsia="仿宋" w:cs="仿宋"/>
                <w:color w:val="auto"/>
                <w:sz w:val="28"/>
                <w:szCs w:val="28"/>
                <w:highlight w:val="none"/>
              </w:rPr>
            </w:pPr>
          </w:p>
        </w:tc>
        <w:tc>
          <w:tcPr>
            <w:tcW w:w="962" w:type="dxa"/>
            <w:noWrap w:val="0"/>
            <w:vAlign w:val="center"/>
          </w:tcPr>
          <w:p w14:paraId="641F41D6">
            <w:pPr>
              <w:pStyle w:val="353"/>
              <w:widowControl/>
              <w:spacing w:line="420" w:lineRule="exact"/>
              <w:ind w:firstLine="560"/>
              <w:jc w:val="center"/>
              <w:rPr>
                <w:rFonts w:hint="eastAsia" w:ascii="仿宋" w:hAnsi="仿宋" w:eastAsia="仿宋" w:cs="仿宋"/>
                <w:color w:val="auto"/>
                <w:sz w:val="28"/>
                <w:szCs w:val="28"/>
                <w:highlight w:val="none"/>
              </w:rPr>
            </w:pPr>
          </w:p>
        </w:tc>
      </w:tr>
      <w:tr w14:paraId="704F2C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14:paraId="24FA7184">
            <w:pPr>
              <w:pStyle w:val="353"/>
              <w:widowControl/>
              <w:spacing w:line="420" w:lineRule="exact"/>
              <w:ind w:firstLine="560"/>
              <w:jc w:val="center"/>
              <w:rPr>
                <w:rFonts w:hint="eastAsia" w:ascii="仿宋" w:hAnsi="仿宋" w:eastAsia="仿宋" w:cs="仿宋"/>
                <w:color w:val="auto"/>
                <w:sz w:val="28"/>
                <w:szCs w:val="28"/>
                <w:highlight w:val="none"/>
              </w:rPr>
            </w:pPr>
          </w:p>
        </w:tc>
        <w:tc>
          <w:tcPr>
            <w:tcW w:w="1843" w:type="dxa"/>
            <w:noWrap w:val="0"/>
            <w:vAlign w:val="center"/>
          </w:tcPr>
          <w:p w14:paraId="2829F7E8">
            <w:pPr>
              <w:pStyle w:val="353"/>
              <w:widowControl/>
              <w:spacing w:line="420" w:lineRule="exact"/>
              <w:ind w:firstLine="560"/>
              <w:jc w:val="center"/>
              <w:rPr>
                <w:rFonts w:hint="eastAsia" w:ascii="仿宋" w:hAnsi="仿宋" w:eastAsia="仿宋" w:cs="仿宋"/>
                <w:color w:val="auto"/>
                <w:sz w:val="28"/>
                <w:szCs w:val="28"/>
                <w:highlight w:val="none"/>
              </w:rPr>
            </w:pPr>
          </w:p>
        </w:tc>
        <w:tc>
          <w:tcPr>
            <w:tcW w:w="992" w:type="dxa"/>
            <w:noWrap w:val="0"/>
            <w:vAlign w:val="center"/>
          </w:tcPr>
          <w:p w14:paraId="1064FEEE">
            <w:pPr>
              <w:pStyle w:val="353"/>
              <w:widowControl/>
              <w:spacing w:line="420" w:lineRule="exact"/>
              <w:ind w:firstLine="560"/>
              <w:jc w:val="center"/>
              <w:rPr>
                <w:rFonts w:hint="eastAsia" w:ascii="仿宋" w:hAnsi="仿宋" w:eastAsia="仿宋" w:cs="仿宋"/>
                <w:color w:val="auto"/>
                <w:sz w:val="28"/>
                <w:szCs w:val="28"/>
                <w:highlight w:val="none"/>
              </w:rPr>
            </w:pPr>
          </w:p>
        </w:tc>
        <w:tc>
          <w:tcPr>
            <w:tcW w:w="1984" w:type="dxa"/>
            <w:noWrap w:val="0"/>
            <w:vAlign w:val="center"/>
          </w:tcPr>
          <w:p w14:paraId="449949CE">
            <w:pPr>
              <w:pStyle w:val="353"/>
              <w:widowControl/>
              <w:spacing w:line="420" w:lineRule="exact"/>
              <w:ind w:firstLine="560"/>
              <w:jc w:val="center"/>
              <w:rPr>
                <w:rFonts w:hint="eastAsia" w:ascii="仿宋" w:hAnsi="仿宋" w:eastAsia="仿宋" w:cs="仿宋"/>
                <w:color w:val="auto"/>
                <w:sz w:val="28"/>
                <w:szCs w:val="28"/>
                <w:highlight w:val="none"/>
              </w:rPr>
            </w:pPr>
          </w:p>
        </w:tc>
        <w:tc>
          <w:tcPr>
            <w:tcW w:w="1702" w:type="dxa"/>
            <w:noWrap w:val="0"/>
            <w:vAlign w:val="center"/>
          </w:tcPr>
          <w:p w14:paraId="073E5AB2">
            <w:pPr>
              <w:pStyle w:val="353"/>
              <w:widowControl/>
              <w:spacing w:line="420" w:lineRule="exact"/>
              <w:ind w:firstLine="560"/>
              <w:jc w:val="center"/>
              <w:rPr>
                <w:rFonts w:hint="eastAsia" w:ascii="仿宋" w:hAnsi="仿宋" w:eastAsia="仿宋" w:cs="仿宋"/>
                <w:color w:val="auto"/>
                <w:sz w:val="28"/>
                <w:szCs w:val="28"/>
                <w:highlight w:val="none"/>
              </w:rPr>
            </w:pPr>
          </w:p>
        </w:tc>
        <w:tc>
          <w:tcPr>
            <w:tcW w:w="962" w:type="dxa"/>
            <w:noWrap w:val="0"/>
            <w:vAlign w:val="center"/>
          </w:tcPr>
          <w:p w14:paraId="22287450">
            <w:pPr>
              <w:pStyle w:val="353"/>
              <w:widowControl/>
              <w:spacing w:line="420" w:lineRule="exact"/>
              <w:ind w:firstLine="560"/>
              <w:jc w:val="center"/>
              <w:rPr>
                <w:rFonts w:hint="eastAsia" w:ascii="仿宋" w:hAnsi="仿宋" w:eastAsia="仿宋" w:cs="仿宋"/>
                <w:color w:val="auto"/>
                <w:sz w:val="28"/>
                <w:szCs w:val="28"/>
                <w:highlight w:val="none"/>
              </w:rPr>
            </w:pPr>
          </w:p>
        </w:tc>
      </w:tr>
      <w:tr w14:paraId="17EF68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14:paraId="482936A7">
            <w:pPr>
              <w:pStyle w:val="353"/>
              <w:widowControl/>
              <w:spacing w:line="420" w:lineRule="exact"/>
              <w:ind w:firstLine="560"/>
              <w:jc w:val="center"/>
              <w:rPr>
                <w:rFonts w:hint="eastAsia" w:ascii="仿宋" w:hAnsi="仿宋" w:eastAsia="仿宋" w:cs="仿宋"/>
                <w:color w:val="auto"/>
                <w:sz w:val="28"/>
                <w:szCs w:val="28"/>
                <w:highlight w:val="none"/>
              </w:rPr>
            </w:pPr>
          </w:p>
        </w:tc>
        <w:tc>
          <w:tcPr>
            <w:tcW w:w="1843" w:type="dxa"/>
            <w:noWrap w:val="0"/>
            <w:vAlign w:val="center"/>
          </w:tcPr>
          <w:p w14:paraId="7210F327">
            <w:pPr>
              <w:pStyle w:val="353"/>
              <w:widowControl/>
              <w:spacing w:line="420" w:lineRule="exact"/>
              <w:ind w:firstLine="560"/>
              <w:jc w:val="center"/>
              <w:rPr>
                <w:rFonts w:hint="eastAsia" w:ascii="仿宋" w:hAnsi="仿宋" w:eastAsia="仿宋" w:cs="仿宋"/>
                <w:color w:val="auto"/>
                <w:sz w:val="28"/>
                <w:szCs w:val="28"/>
                <w:highlight w:val="none"/>
              </w:rPr>
            </w:pPr>
          </w:p>
        </w:tc>
        <w:tc>
          <w:tcPr>
            <w:tcW w:w="992" w:type="dxa"/>
            <w:noWrap w:val="0"/>
            <w:vAlign w:val="center"/>
          </w:tcPr>
          <w:p w14:paraId="36E9B407">
            <w:pPr>
              <w:pStyle w:val="353"/>
              <w:widowControl/>
              <w:spacing w:line="420" w:lineRule="exact"/>
              <w:ind w:firstLine="560"/>
              <w:jc w:val="center"/>
              <w:rPr>
                <w:rFonts w:hint="eastAsia" w:ascii="仿宋" w:hAnsi="仿宋" w:eastAsia="仿宋" w:cs="仿宋"/>
                <w:color w:val="auto"/>
                <w:sz w:val="28"/>
                <w:szCs w:val="28"/>
                <w:highlight w:val="none"/>
              </w:rPr>
            </w:pPr>
          </w:p>
        </w:tc>
        <w:tc>
          <w:tcPr>
            <w:tcW w:w="1984" w:type="dxa"/>
            <w:noWrap w:val="0"/>
            <w:vAlign w:val="center"/>
          </w:tcPr>
          <w:p w14:paraId="7AC0BD11">
            <w:pPr>
              <w:pStyle w:val="353"/>
              <w:widowControl/>
              <w:spacing w:line="420" w:lineRule="exact"/>
              <w:ind w:firstLine="560"/>
              <w:jc w:val="center"/>
              <w:rPr>
                <w:rFonts w:hint="eastAsia" w:ascii="仿宋" w:hAnsi="仿宋" w:eastAsia="仿宋" w:cs="仿宋"/>
                <w:color w:val="auto"/>
                <w:sz w:val="28"/>
                <w:szCs w:val="28"/>
                <w:highlight w:val="none"/>
              </w:rPr>
            </w:pPr>
          </w:p>
        </w:tc>
        <w:tc>
          <w:tcPr>
            <w:tcW w:w="1702" w:type="dxa"/>
            <w:noWrap w:val="0"/>
            <w:vAlign w:val="center"/>
          </w:tcPr>
          <w:p w14:paraId="5F3B0FF2">
            <w:pPr>
              <w:pStyle w:val="353"/>
              <w:widowControl/>
              <w:spacing w:line="420" w:lineRule="exact"/>
              <w:ind w:firstLine="560"/>
              <w:jc w:val="center"/>
              <w:rPr>
                <w:rFonts w:hint="eastAsia" w:ascii="仿宋" w:hAnsi="仿宋" w:eastAsia="仿宋" w:cs="仿宋"/>
                <w:color w:val="auto"/>
                <w:sz w:val="28"/>
                <w:szCs w:val="28"/>
                <w:highlight w:val="none"/>
              </w:rPr>
            </w:pPr>
          </w:p>
        </w:tc>
        <w:tc>
          <w:tcPr>
            <w:tcW w:w="962" w:type="dxa"/>
            <w:noWrap w:val="0"/>
            <w:vAlign w:val="center"/>
          </w:tcPr>
          <w:p w14:paraId="669A2037">
            <w:pPr>
              <w:pStyle w:val="353"/>
              <w:widowControl/>
              <w:spacing w:line="420" w:lineRule="exact"/>
              <w:ind w:firstLine="560"/>
              <w:jc w:val="center"/>
              <w:rPr>
                <w:rFonts w:hint="eastAsia" w:ascii="仿宋" w:hAnsi="仿宋" w:eastAsia="仿宋" w:cs="仿宋"/>
                <w:color w:val="auto"/>
                <w:sz w:val="28"/>
                <w:szCs w:val="28"/>
                <w:highlight w:val="none"/>
              </w:rPr>
            </w:pPr>
          </w:p>
        </w:tc>
      </w:tr>
    </w:tbl>
    <w:p w14:paraId="3252AF85">
      <w:pPr>
        <w:pStyle w:val="288"/>
        <w:spacing w:line="420" w:lineRule="exact"/>
        <w:ind w:firstLine="398"/>
        <w:rPr>
          <w:rFonts w:hint="eastAsia" w:ascii="仿宋" w:hAnsi="仿宋" w:eastAsia="仿宋" w:cs="仿宋"/>
          <w:color w:val="auto"/>
          <w:highlight w:val="none"/>
        </w:rPr>
      </w:pPr>
      <w:r>
        <w:rPr>
          <w:rFonts w:hint="eastAsia" w:ascii="仿宋" w:hAnsi="仿宋" w:eastAsia="仿宋" w:cs="仿宋"/>
          <w:b/>
          <w:color w:val="auto"/>
          <w:highlight w:val="none"/>
        </w:rPr>
        <w:t>注：如供应商成交，项目组成员必须按本表承诺人员操作，不得随意更换。按磋商文件要求附相关人员证书。</w:t>
      </w:r>
    </w:p>
    <w:p w14:paraId="4C41B64E">
      <w:pPr>
        <w:pStyle w:val="288"/>
        <w:spacing w:line="420" w:lineRule="exact"/>
        <w:ind w:firstLine="280"/>
        <w:rPr>
          <w:rFonts w:hint="eastAsia" w:ascii="仿宋" w:hAnsi="仿宋" w:eastAsia="仿宋" w:cs="仿宋"/>
          <w:color w:val="auto"/>
          <w:highlight w:val="none"/>
        </w:rPr>
      </w:pPr>
    </w:p>
    <w:p w14:paraId="56DB333A">
      <w:pPr>
        <w:spacing w:line="420" w:lineRule="exact"/>
        <w:rPr>
          <w:rFonts w:hint="eastAsia" w:ascii="仿宋" w:hAnsi="仿宋" w:eastAsia="仿宋" w:cs="仿宋"/>
          <w:color w:val="auto"/>
          <w:highlight w:val="none"/>
        </w:rPr>
      </w:pPr>
      <w:r>
        <w:rPr>
          <w:rFonts w:hint="eastAsia" w:ascii="仿宋" w:hAnsi="仿宋" w:eastAsia="仿宋" w:cs="仿宋"/>
          <w:color w:val="auto"/>
          <w:highlight w:val="none"/>
        </w:rPr>
        <w:br w:type="page" w:clear="all"/>
      </w:r>
      <w:bookmarkStart w:id="231" w:name="_Toc11176"/>
      <w:r>
        <w:rPr>
          <w:rFonts w:hint="eastAsia" w:ascii="仿宋" w:hAnsi="仿宋" w:eastAsia="仿宋" w:cs="仿宋"/>
          <w:iCs/>
          <w:color w:val="auto"/>
          <w:sz w:val="32"/>
          <w:szCs w:val="32"/>
          <w:highlight w:val="none"/>
        </w:rPr>
        <w:t>十、</w:t>
      </w:r>
      <w:bookmarkEnd w:id="231"/>
      <w:r>
        <w:rPr>
          <w:rFonts w:hint="eastAsia" w:ascii="仿宋" w:hAnsi="仿宋" w:eastAsia="仿宋" w:cs="仿宋"/>
          <w:iCs/>
          <w:color w:val="auto"/>
          <w:sz w:val="32"/>
          <w:szCs w:val="32"/>
          <w:highlight w:val="none"/>
        </w:rPr>
        <w:t>企业业绩</w:t>
      </w:r>
    </w:p>
    <w:p w14:paraId="0B02A49C">
      <w:pPr>
        <w:pStyle w:val="355"/>
        <w:spacing w:line="420" w:lineRule="exact"/>
        <w:jc w:val="cente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供应商承担类似项目业绩一览表</w:t>
      </w:r>
    </w:p>
    <w:tbl>
      <w:tblPr>
        <w:tblStyle w:val="33"/>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29"/>
        <w:gridCol w:w="3827"/>
        <w:gridCol w:w="2433"/>
        <w:gridCol w:w="1395"/>
      </w:tblGrid>
      <w:tr w14:paraId="7F4AFF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229" w:type="dxa"/>
            <w:noWrap w:val="0"/>
          </w:tcPr>
          <w:p w14:paraId="643DCCB7">
            <w:pPr>
              <w:pStyle w:val="356"/>
              <w:spacing w:line="42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序号</w:t>
            </w:r>
          </w:p>
        </w:tc>
        <w:tc>
          <w:tcPr>
            <w:tcW w:w="3827" w:type="dxa"/>
            <w:noWrap w:val="0"/>
            <w:vAlign w:val="center"/>
          </w:tcPr>
          <w:p w14:paraId="473A9397">
            <w:pPr>
              <w:pStyle w:val="356"/>
              <w:spacing w:line="42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项目名称</w:t>
            </w:r>
          </w:p>
        </w:tc>
        <w:tc>
          <w:tcPr>
            <w:tcW w:w="2433" w:type="dxa"/>
            <w:noWrap w:val="0"/>
            <w:vAlign w:val="center"/>
          </w:tcPr>
          <w:p w14:paraId="1B836956">
            <w:pPr>
              <w:pStyle w:val="356"/>
              <w:spacing w:line="42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采购单位</w:t>
            </w:r>
          </w:p>
        </w:tc>
        <w:tc>
          <w:tcPr>
            <w:tcW w:w="1395" w:type="dxa"/>
            <w:noWrap w:val="0"/>
            <w:vAlign w:val="center"/>
          </w:tcPr>
          <w:p w14:paraId="19F945AC">
            <w:pPr>
              <w:pStyle w:val="356"/>
              <w:spacing w:line="42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合同金额</w:t>
            </w:r>
          </w:p>
        </w:tc>
      </w:tr>
      <w:tr w14:paraId="630195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1229" w:type="dxa"/>
            <w:noWrap w:val="0"/>
          </w:tcPr>
          <w:p w14:paraId="4C31DD0F">
            <w:pPr>
              <w:pStyle w:val="356"/>
              <w:spacing w:line="420" w:lineRule="exact"/>
              <w:jc w:val="center"/>
              <w:rPr>
                <w:rFonts w:hint="eastAsia" w:ascii="仿宋" w:hAnsi="仿宋" w:eastAsia="仿宋" w:cs="仿宋"/>
                <w:color w:val="auto"/>
                <w:sz w:val="28"/>
                <w:highlight w:val="none"/>
              </w:rPr>
            </w:pPr>
          </w:p>
        </w:tc>
        <w:tc>
          <w:tcPr>
            <w:tcW w:w="3827" w:type="dxa"/>
            <w:noWrap w:val="0"/>
            <w:vAlign w:val="center"/>
          </w:tcPr>
          <w:p w14:paraId="3E76247C">
            <w:pPr>
              <w:pStyle w:val="356"/>
              <w:spacing w:line="420" w:lineRule="exact"/>
              <w:jc w:val="center"/>
              <w:rPr>
                <w:rFonts w:hint="eastAsia" w:ascii="仿宋" w:hAnsi="仿宋" w:eastAsia="仿宋" w:cs="仿宋"/>
                <w:color w:val="auto"/>
                <w:sz w:val="28"/>
                <w:highlight w:val="none"/>
              </w:rPr>
            </w:pPr>
          </w:p>
        </w:tc>
        <w:tc>
          <w:tcPr>
            <w:tcW w:w="2433" w:type="dxa"/>
            <w:noWrap w:val="0"/>
            <w:vAlign w:val="center"/>
          </w:tcPr>
          <w:p w14:paraId="22DF2516">
            <w:pPr>
              <w:pStyle w:val="356"/>
              <w:spacing w:line="420" w:lineRule="exact"/>
              <w:jc w:val="center"/>
              <w:rPr>
                <w:rFonts w:hint="eastAsia" w:ascii="仿宋" w:hAnsi="仿宋" w:eastAsia="仿宋" w:cs="仿宋"/>
                <w:color w:val="auto"/>
                <w:sz w:val="28"/>
                <w:highlight w:val="none"/>
              </w:rPr>
            </w:pPr>
          </w:p>
        </w:tc>
        <w:tc>
          <w:tcPr>
            <w:tcW w:w="1395" w:type="dxa"/>
            <w:noWrap w:val="0"/>
            <w:vAlign w:val="center"/>
          </w:tcPr>
          <w:p w14:paraId="779DFB7D">
            <w:pPr>
              <w:pStyle w:val="356"/>
              <w:spacing w:line="420" w:lineRule="exact"/>
              <w:jc w:val="center"/>
              <w:rPr>
                <w:rFonts w:hint="eastAsia" w:ascii="仿宋" w:hAnsi="仿宋" w:eastAsia="仿宋" w:cs="仿宋"/>
                <w:color w:val="auto"/>
                <w:sz w:val="28"/>
                <w:highlight w:val="none"/>
              </w:rPr>
            </w:pPr>
          </w:p>
        </w:tc>
      </w:tr>
      <w:tr w14:paraId="5C1755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1229" w:type="dxa"/>
            <w:noWrap w:val="0"/>
          </w:tcPr>
          <w:p w14:paraId="4A154330">
            <w:pPr>
              <w:pStyle w:val="356"/>
              <w:spacing w:line="420" w:lineRule="exact"/>
              <w:jc w:val="center"/>
              <w:rPr>
                <w:rFonts w:hint="eastAsia" w:ascii="仿宋" w:hAnsi="仿宋" w:eastAsia="仿宋" w:cs="仿宋"/>
                <w:color w:val="auto"/>
                <w:sz w:val="28"/>
                <w:highlight w:val="none"/>
              </w:rPr>
            </w:pPr>
          </w:p>
        </w:tc>
        <w:tc>
          <w:tcPr>
            <w:tcW w:w="3827" w:type="dxa"/>
            <w:noWrap w:val="0"/>
            <w:vAlign w:val="center"/>
          </w:tcPr>
          <w:p w14:paraId="00B1B189">
            <w:pPr>
              <w:pStyle w:val="356"/>
              <w:spacing w:line="420" w:lineRule="exact"/>
              <w:jc w:val="center"/>
              <w:rPr>
                <w:rFonts w:hint="eastAsia" w:ascii="仿宋" w:hAnsi="仿宋" w:eastAsia="仿宋" w:cs="仿宋"/>
                <w:color w:val="auto"/>
                <w:sz w:val="28"/>
                <w:highlight w:val="none"/>
              </w:rPr>
            </w:pPr>
          </w:p>
        </w:tc>
        <w:tc>
          <w:tcPr>
            <w:tcW w:w="2433" w:type="dxa"/>
            <w:noWrap w:val="0"/>
            <w:vAlign w:val="center"/>
          </w:tcPr>
          <w:p w14:paraId="3876E1D8">
            <w:pPr>
              <w:pStyle w:val="356"/>
              <w:spacing w:line="420" w:lineRule="exact"/>
              <w:jc w:val="center"/>
              <w:rPr>
                <w:rFonts w:hint="eastAsia" w:ascii="仿宋" w:hAnsi="仿宋" w:eastAsia="仿宋" w:cs="仿宋"/>
                <w:color w:val="auto"/>
                <w:sz w:val="28"/>
                <w:highlight w:val="none"/>
              </w:rPr>
            </w:pPr>
          </w:p>
        </w:tc>
        <w:tc>
          <w:tcPr>
            <w:tcW w:w="1395" w:type="dxa"/>
            <w:noWrap w:val="0"/>
            <w:vAlign w:val="center"/>
          </w:tcPr>
          <w:p w14:paraId="6B838560">
            <w:pPr>
              <w:pStyle w:val="356"/>
              <w:spacing w:line="420" w:lineRule="exact"/>
              <w:jc w:val="center"/>
              <w:rPr>
                <w:rFonts w:hint="eastAsia" w:ascii="仿宋" w:hAnsi="仿宋" w:eastAsia="仿宋" w:cs="仿宋"/>
                <w:color w:val="auto"/>
                <w:sz w:val="28"/>
                <w:highlight w:val="none"/>
              </w:rPr>
            </w:pPr>
          </w:p>
        </w:tc>
      </w:tr>
      <w:tr w14:paraId="7CD79B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1229" w:type="dxa"/>
            <w:noWrap w:val="0"/>
          </w:tcPr>
          <w:p w14:paraId="3E45FECC">
            <w:pPr>
              <w:pStyle w:val="356"/>
              <w:spacing w:line="420" w:lineRule="exact"/>
              <w:jc w:val="center"/>
              <w:rPr>
                <w:rFonts w:hint="eastAsia" w:ascii="仿宋" w:hAnsi="仿宋" w:eastAsia="仿宋" w:cs="仿宋"/>
                <w:color w:val="auto"/>
                <w:sz w:val="28"/>
                <w:highlight w:val="none"/>
              </w:rPr>
            </w:pPr>
          </w:p>
        </w:tc>
        <w:tc>
          <w:tcPr>
            <w:tcW w:w="3827" w:type="dxa"/>
            <w:noWrap w:val="0"/>
            <w:vAlign w:val="center"/>
          </w:tcPr>
          <w:p w14:paraId="5B7DA33B">
            <w:pPr>
              <w:pStyle w:val="356"/>
              <w:spacing w:line="420" w:lineRule="exact"/>
              <w:jc w:val="center"/>
              <w:rPr>
                <w:rFonts w:hint="eastAsia" w:ascii="仿宋" w:hAnsi="仿宋" w:eastAsia="仿宋" w:cs="仿宋"/>
                <w:color w:val="auto"/>
                <w:sz w:val="28"/>
                <w:highlight w:val="none"/>
              </w:rPr>
            </w:pPr>
          </w:p>
        </w:tc>
        <w:tc>
          <w:tcPr>
            <w:tcW w:w="2433" w:type="dxa"/>
            <w:noWrap w:val="0"/>
            <w:vAlign w:val="center"/>
          </w:tcPr>
          <w:p w14:paraId="386FBA42">
            <w:pPr>
              <w:pStyle w:val="356"/>
              <w:spacing w:line="420" w:lineRule="exact"/>
              <w:jc w:val="center"/>
              <w:rPr>
                <w:rFonts w:hint="eastAsia" w:ascii="仿宋" w:hAnsi="仿宋" w:eastAsia="仿宋" w:cs="仿宋"/>
                <w:color w:val="auto"/>
                <w:sz w:val="28"/>
                <w:highlight w:val="none"/>
              </w:rPr>
            </w:pPr>
          </w:p>
        </w:tc>
        <w:tc>
          <w:tcPr>
            <w:tcW w:w="1395" w:type="dxa"/>
            <w:noWrap w:val="0"/>
            <w:vAlign w:val="center"/>
          </w:tcPr>
          <w:p w14:paraId="46A1B99B">
            <w:pPr>
              <w:pStyle w:val="356"/>
              <w:spacing w:line="420" w:lineRule="exact"/>
              <w:jc w:val="center"/>
              <w:rPr>
                <w:rFonts w:hint="eastAsia" w:ascii="仿宋" w:hAnsi="仿宋" w:eastAsia="仿宋" w:cs="仿宋"/>
                <w:color w:val="auto"/>
                <w:sz w:val="28"/>
                <w:highlight w:val="none"/>
              </w:rPr>
            </w:pPr>
          </w:p>
        </w:tc>
      </w:tr>
      <w:tr w14:paraId="6A26E1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25" w:hRule="atLeast"/>
          <w:jc w:val="center"/>
        </w:trPr>
        <w:tc>
          <w:tcPr>
            <w:tcW w:w="1229" w:type="dxa"/>
            <w:noWrap w:val="0"/>
          </w:tcPr>
          <w:p w14:paraId="50A60630">
            <w:pPr>
              <w:pStyle w:val="356"/>
              <w:spacing w:line="420" w:lineRule="exact"/>
              <w:jc w:val="center"/>
              <w:rPr>
                <w:rFonts w:hint="eastAsia" w:ascii="仿宋" w:hAnsi="仿宋" w:eastAsia="仿宋" w:cs="仿宋"/>
                <w:color w:val="auto"/>
                <w:sz w:val="28"/>
                <w:highlight w:val="none"/>
              </w:rPr>
            </w:pPr>
          </w:p>
        </w:tc>
        <w:tc>
          <w:tcPr>
            <w:tcW w:w="3827" w:type="dxa"/>
            <w:noWrap w:val="0"/>
            <w:vAlign w:val="center"/>
          </w:tcPr>
          <w:p w14:paraId="295578F6">
            <w:pPr>
              <w:pStyle w:val="356"/>
              <w:spacing w:line="420" w:lineRule="exact"/>
              <w:jc w:val="center"/>
              <w:rPr>
                <w:rFonts w:hint="eastAsia" w:ascii="仿宋" w:hAnsi="仿宋" w:eastAsia="仿宋" w:cs="仿宋"/>
                <w:color w:val="auto"/>
                <w:sz w:val="28"/>
                <w:highlight w:val="none"/>
              </w:rPr>
            </w:pPr>
          </w:p>
        </w:tc>
        <w:tc>
          <w:tcPr>
            <w:tcW w:w="2433" w:type="dxa"/>
            <w:noWrap w:val="0"/>
            <w:vAlign w:val="center"/>
          </w:tcPr>
          <w:p w14:paraId="48287B5E">
            <w:pPr>
              <w:pStyle w:val="356"/>
              <w:spacing w:line="420" w:lineRule="exact"/>
              <w:jc w:val="center"/>
              <w:rPr>
                <w:rFonts w:hint="eastAsia" w:ascii="仿宋" w:hAnsi="仿宋" w:eastAsia="仿宋" w:cs="仿宋"/>
                <w:color w:val="auto"/>
                <w:sz w:val="28"/>
                <w:highlight w:val="none"/>
              </w:rPr>
            </w:pPr>
          </w:p>
        </w:tc>
        <w:tc>
          <w:tcPr>
            <w:tcW w:w="1395" w:type="dxa"/>
            <w:noWrap w:val="0"/>
            <w:vAlign w:val="center"/>
          </w:tcPr>
          <w:p w14:paraId="59864F10">
            <w:pPr>
              <w:pStyle w:val="356"/>
              <w:spacing w:line="420" w:lineRule="exact"/>
              <w:jc w:val="center"/>
              <w:rPr>
                <w:rFonts w:hint="eastAsia" w:ascii="仿宋" w:hAnsi="仿宋" w:eastAsia="仿宋" w:cs="仿宋"/>
                <w:color w:val="auto"/>
                <w:sz w:val="28"/>
                <w:highlight w:val="none"/>
              </w:rPr>
            </w:pPr>
          </w:p>
        </w:tc>
      </w:tr>
    </w:tbl>
    <w:p w14:paraId="1F11DF48">
      <w:pPr>
        <w:pStyle w:val="355"/>
        <w:spacing w:line="420" w:lineRule="exact"/>
        <w:rPr>
          <w:rFonts w:hint="eastAsia" w:ascii="仿宋" w:hAnsi="仿宋" w:eastAsia="仿宋" w:cs="仿宋"/>
          <w:color w:val="auto"/>
          <w:highlight w:val="none"/>
        </w:rPr>
      </w:pPr>
      <w:r>
        <w:rPr>
          <w:rFonts w:hint="eastAsia" w:ascii="仿宋" w:hAnsi="仿宋" w:eastAsia="仿宋" w:cs="仿宋"/>
          <w:b/>
          <w:color w:val="auto"/>
          <w:sz w:val="24"/>
          <w:highlight w:val="none"/>
        </w:rPr>
        <w:t>注：请填写此表，并按要求上传业绩资料电子件。</w:t>
      </w:r>
    </w:p>
    <w:p w14:paraId="067BAD4F">
      <w:pPr>
        <w:spacing w:line="420" w:lineRule="exact"/>
        <w:rPr>
          <w:rFonts w:hint="eastAsia" w:ascii="仿宋" w:hAnsi="仿宋" w:eastAsia="仿宋" w:cs="仿宋"/>
          <w:iCs/>
          <w:color w:val="auto"/>
          <w:sz w:val="32"/>
          <w:szCs w:val="32"/>
          <w:highlight w:val="none"/>
        </w:rPr>
      </w:pPr>
      <w:r>
        <w:rPr>
          <w:rFonts w:hint="eastAsia" w:ascii="仿宋" w:hAnsi="仿宋" w:eastAsia="仿宋" w:cs="仿宋"/>
          <w:b/>
          <w:color w:val="auto"/>
          <w:sz w:val="32"/>
          <w:szCs w:val="32"/>
          <w:highlight w:val="none"/>
        </w:rPr>
        <w:br w:type="page" w:clear="all"/>
      </w:r>
      <w:bookmarkStart w:id="232" w:name="_Toc28140"/>
      <w:r>
        <w:rPr>
          <w:rFonts w:hint="eastAsia" w:ascii="仿宋" w:hAnsi="仿宋" w:eastAsia="仿宋" w:cs="仿宋"/>
          <w:iCs/>
          <w:color w:val="auto"/>
          <w:sz w:val="32"/>
          <w:szCs w:val="32"/>
          <w:highlight w:val="none"/>
        </w:rPr>
        <w:t>十一、</w:t>
      </w:r>
      <w:bookmarkEnd w:id="232"/>
      <w:r>
        <w:rPr>
          <w:rFonts w:hint="eastAsia" w:ascii="仿宋" w:hAnsi="仿宋" w:eastAsia="仿宋" w:cs="仿宋"/>
          <w:iCs/>
          <w:color w:val="auto"/>
          <w:sz w:val="32"/>
          <w:szCs w:val="32"/>
          <w:highlight w:val="none"/>
        </w:rPr>
        <w:t>项目实施方案</w:t>
      </w:r>
    </w:p>
    <w:p w14:paraId="587AF0DA">
      <w:pPr>
        <w:spacing w:line="420" w:lineRule="exact"/>
        <w:rPr>
          <w:rFonts w:hint="eastAsia" w:ascii="仿宋" w:hAnsi="仿宋" w:eastAsia="仿宋" w:cs="仿宋"/>
          <w:iCs/>
          <w:color w:val="auto"/>
          <w:sz w:val="32"/>
          <w:szCs w:val="32"/>
          <w:highlight w:val="none"/>
        </w:rPr>
      </w:pPr>
      <w:r>
        <w:rPr>
          <w:rFonts w:hint="eastAsia" w:ascii="仿宋" w:hAnsi="仿宋" w:eastAsia="仿宋" w:cs="仿宋"/>
          <w:b/>
          <w:bCs/>
          <w:color w:val="auto"/>
          <w:sz w:val="32"/>
          <w:szCs w:val="32"/>
          <w:highlight w:val="none"/>
        </w:rPr>
        <w:br w:type="page" w:clear="all"/>
      </w:r>
      <w:r>
        <w:rPr>
          <w:rFonts w:hint="eastAsia" w:ascii="仿宋" w:hAnsi="仿宋" w:eastAsia="仿宋" w:cs="仿宋"/>
          <w:iCs/>
          <w:color w:val="auto"/>
          <w:sz w:val="32"/>
          <w:szCs w:val="32"/>
          <w:highlight w:val="none"/>
        </w:rPr>
        <w:t>十二、磋商所需其他材料</w:t>
      </w:r>
    </w:p>
    <w:p w14:paraId="3C0FBB57">
      <w:pPr>
        <w:pStyle w:val="351"/>
        <w:spacing w:line="4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请在此文档中增加磋商所需其他相关内容（包括资格要求、评分办法、采购需求中涉及的证件证明及其它供应商认为有必要提供的资料），如没有请将此空文档上传。</w:t>
      </w:r>
    </w:p>
    <w:p w14:paraId="2C622D80">
      <w:pPr>
        <w:spacing w:line="42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br w:type="page" w:clear="all"/>
      </w:r>
      <w:r>
        <w:rPr>
          <w:rFonts w:hint="eastAsia" w:ascii="仿宋" w:hAnsi="仿宋" w:eastAsia="仿宋" w:cs="仿宋"/>
          <w:b/>
          <w:bCs/>
          <w:color w:val="auto"/>
          <w:sz w:val="32"/>
          <w:szCs w:val="32"/>
          <w:highlight w:val="none"/>
        </w:rPr>
        <w:t>质疑函范本</w:t>
      </w:r>
    </w:p>
    <w:p w14:paraId="0DFAA4B1">
      <w:pPr>
        <w:spacing w:before="290" w:line="42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一、质疑供应商基本信息</w:t>
      </w:r>
    </w:p>
    <w:p w14:paraId="1AA8C1DF">
      <w:pPr>
        <w:spacing w:line="42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质疑供应商：</w:t>
      </w:r>
      <w:r>
        <w:rPr>
          <w:rFonts w:hint="eastAsia" w:ascii="仿宋" w:hAnsi="仿宋" w:eastAsia="仿宋" w:cs="仿宋"/>
          <w:color w:val="auto"/>
          <w:sz w:val="24"/>
          <w:szCs w:val="24"/>
          <w:highlight w:val="none"/>
          <w:u w:val="single"/>
        </w:rPr>
        <w:t xml:space="preserve">                                                              </w:t>
      </w:r>
    </w:p>
    <w:p w14:paraId="112336AD">
      <w:pPr>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地址：</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邮编：</w:t>
      </w:r>
      <w:r>
        <w:rPr>
          <w:rFonts w:hint="eastAsia" w:ascii="仿宋" w:hAnsi="仿宋" w:eastAsia="仿宋" w:cs="仿宋"/>
          <w:color w:val="auto"/>
          <w:sz w:val="24"/>
          <w:szCs w:val="24"/>
          <w:highlight w:val="none"/>
          <w:u w:val="single"/>
        </w:rPr>
        <w:t xml:space="preserve">                                    </w:t>
      </w:r>
    </w:p>
    <w:p w14:paraId="6FE89382">
      <w:pPr>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联系人：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联系电话：</w:t>
      </w:r>
      <w:r>
        <w:rPr>
          <w:rFonts w:hint="eastAsia" w:ascii="仿宋" w:hAnsi="仿宋" w:eastAsia="仿宋" w:cs="仿宋"/>
          <w:color w:val="auto"/>
          <w:sz w:val="24"/>
          <w:szCs w:val="24"/>
          <w:highlight w:val="none"/>
          <w:u w:val="single"/>
        </w:rPr>
        <w:t xml:space="preserve">                                       </w:t>
      </w:r>
    </w:p>
    <w:p w14:paraId="48131301">
      <w:pPr>
        <w:spacing w:line="42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授权代表：</w:t>
      </w:r>
      <w:r>
        <w:rPr>
          <w:rFonts w:hint="eastAsia" w:ascii="仿宋" w:hAnsi="仿宋" w:eastAsia="仿宋" w:cs="仿宋"/>
          <w:color w:val="auto"/>
          <w:sz w:val="24"/>
          <w:szCs w:val="24"/>
          <w:highlight w:val="none"/>
          <w:u w:val="single"/>
        </w:rPr>
        <w:t xml:space="preserve">                                                                 </w:t>
      </w:r>
    </w:p>
    <w:p w14:paraId="25820039">
      <w:pPr>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联系电话：</w:t>
      </w:r>
      <w:r>
        <w:rPr>
          <w:rFonts w:hint="eastAsia" w:ascii="仿宋" w:hAnsi="仿宋" w:eastAsia="仿宋" w:cs="仿宋"/>
          <w:color w:val="auto"/>
          <w:sz w:val="24"/>
          <w:szCs w:val="24"/>
          <w:highlight w:val="none"/>
          <w:u w:val="single"/>
        </w:rPr>
        <w:t xml:space="preserve">                                                                </w:t>
      </w:r>
    </w:p>
    <w:p w14:paraId="7F42DD9D">
      <w:pPr>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地址：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邮编：</w:t>
      </w:r>
      <w:r>
        <w:rPr>
          <w:rFonts w:hint="eastAsia" w:ascii="仿宋" w:hAnsi="仿宋" w:eastAsia="仿宋" w:cs="仿宋"/>
          <w:color w:val="auto"/>
          <w:sz w:val="24"/>
          <w:szCs w:val="24"/>
          <w:highlight w:val="none"/>
          <w:u w:val="single"/>
        </w:rPr>
        <w:t xml:space="preserve">                                     </w:t>
      </w:r>
    </w:p>
    <w:p w14:paraId="0C5DFB2F">
      <w:pPr>
        <w:spacing w:line="42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二、质疑项目基本情况</w:t>
      </w:r>
    </w:p>
    <w:p w14:paraId="37B5AEF7">
      <w:pPr>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质疑项目的名称：</w:t>
      </w:r>
      <w:r>
        <w:rPr>
          <w:rFonts w:hint="eastAsia" w:ascii="仿宋" w:hAnsi="仿宋" w:eastAsia="仿宋" w:cs="仿宋"/>
          <w:color w:val="auto"/>
          <w:sz w:val="24"/>
          <w:szCs w:val="24"/>
          <w:highlight w:val="none"/>
          <w:u w:val="single"/>
        </w:rPr>
        <w:t xml:space="preserve">                                                          </w:t>
      </w:r>
    </w:p>
    <w:p w14:paraId="7CE4A8E6">
      <w:pPr>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质疑项目的编号：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包号：</w:t>
      </w:r>
      <w:r>
        <w:rPr>
          <w:rFonts w:hint="eastAsia" w:ascii="仿宋" w:hAnsi="仿宋" w:eastAsia="仿宋" w:cs="仿宋"/>
          <w:color w:val="auto"/>
          <w:sz w:val="24"/>
          <w:szCs w:val="24"/>
          <w:highlight w:val="none"/>
          <w:u w:val="single"/>
        </w:rPr>
        <w:t xml:space="preserve">                           </w:t>
      </w:r>
    </w:p>
    <w:p w14:paraId="29EF7FD5">
      <w:pPr>
        <w:spacing w:line="42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采购人名称：</w:t>
      </w:r>
      <w:r>
        <w:rPr>
          <w:rFonts w:hint="eastAsia" w:ascii="仿宋" w:hAnsi="仿宋" w:eastAsia="仿宋" w:cs="仿宋"/>
          <w:color w:val="auto"/>
          <w:sz w:val="24"/>
          <w:szCs w:val="24"/>
          <w:highlight w:val="none"/>
          <w:u w:val="single"/>
        </w:rPr>
        <w:t xml:space="preserve">                                                              </w:t>
      </w:r>
    </w:p>
    <w:p w14:paraId="7FC4EC4C">
      <w:pPr>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采购文件获取日期：</w:t>
      </w:r>
      <w:r>
        <w:rPr>
          <w:rFonts w:hint="eastAsia" w:ascii="仿宋" w:hAnsi="仿宋" w:eastAsia="仿宋" w:cs="仿宋"/>
          <w:color w:val="auto"/>
          <w:sz w:val="24"/>
          <w:szCs w:val="24"/>
          <w:highlight w:val="none"/>
          <w:u w:val="single"/>
        </w:rPr>
        <w:t xml:space="preserve">                                                        </w:t>
      </w:r>
    </w:p>
    <w:p w14:paraId="2DEADB3C">
      <w:pPr>
        <w:spacing w:line="42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三、质疑事项具体内容</w:t>
      </w:r>
    </w:p>
    <w:p w14:paraId="7F817C95">
      <w:pPr>
        <w:spacing w:line="42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质疑事项1：</w:t>
      </w:r>
      <w:r>
        <w:rPr>
          <w:rFonts w:hint="eastAsia" w:ascii="仿宋" w:hAnsi="仿宋" w:eastAsia="仿宋" w:cs="仿宋"/>
          <w:color w:val="auto"/>
          <w:sz w:val="24"/>
          <w:szCs w:val="24"/>
          <w:highlight w:val="none"/>
          <w:u w:val="single"/>
        </w:rPr>
        <w:t xml:space="preserve">                                                              </w:t>
      </w:r>
    </w:p>
    <w:p w14:paraId="65323643">
      <w:pPr>
        <w:spacing w:line="42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事实依据：</w:t>
      </w:r>
      <w:r>
        <w:rPr>
          <w:rFonts w:hint="eastAsia" w:ascii="仿宋" w:hAnsi="仿宋" w:eastAsia="仿宋" w:cs="仿宋"/>
          <w:color w:val="auto"/>
          <w:sz w:val="24"/>
          <w:szCs w:val="24"/>
          <w:highlight w:val="none"/>
          <w:u w:val="single"/>
        </w:rPr>
        <w:t xml:space="preserve">                                                                </w:t>
      </w:r>
    </w:p>
    <w:p w14:paraId="7B3498E0">
      <w:pPr>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                                                                           </w:t>
      </w:r>
    </w:p>
    <w:p w14:paraId="188512A9">
      <w:pPr>
        <w:spacing w:line="42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法律依据：</w:t>
      </w:r>
      <w:r>
        <w:rPr>
          <w:rFonts w:hint="eastAsia" w:ascii="仿宋" w:hAnsi="仿宋" w:eastAsia="仿宋" w:cs="仿宋"/>
          <w:color w:val="auto"/>
          <w:sz w:val="24"/>
          <w:szCs w:val="24"/>
          <w:highlight w:val="none"/>
          <w:u w:val="single"/>
        </w:rPr>
        <w:t xml:space="preserve">                                                                 </w:t>
      </w:r>
    </w:p>
    <w:p w14:paraId="2F5C50CB">
      <w:pPr>
        <w:spacing w:line="42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                                                                           </w:t>
      </w:r>
    </w:p>
    <w:p w14:paraId="0BD0F293">
      <w:pPr>
        <w:spacing w:line="42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质疑事项2</w:t>
      </w:r>
    </w:p>
    <w:p w14:paraId="4CE1F48E">
      <w:pPr>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p>
    <w:p w14:paraId="2FD18457">
      <w:pPr>
        <w:spacing w:line="42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四、与质疑事项相关的质疑请求</w:t>
      </w:r>
    </w:p>
    <w:p w14:paraId="57AFD22C">
      <w:pPr>
        <w:spacing w:line="42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请求：</w:t>
      </w:r>
      <w:r>
        <w:rPr>
          <w:rFonts w:hint="eastAsia" w:ascii="仿宋" w:hAnsi="仿宋" w:eastAsia="仿宋" w:cs="仿宋"/>
          <w:color w:val="auto"/>
          <w:sz w:val="24"/>
          <w:szCs w:val="24"/>
          <w:highlight w:val="none"/>
          <w:u w:val="single"/>
        </w:rPr>
        <w:t xml:space="preserve">                                                                     </w:t>
      </w:r>
    </w:p>
    <w:p w14:paraId="3A804607">
      <w:pPr>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签字（签章）：                   公章：                      </w:t>
      </w:r>
    </w:p>
    <w:p w14:paraId="6E170A1F">
      <w:pPr>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日期：    </w:t>
      </w:r>
    </w:p>
    <w:p w14:paraId="066BE841">
      <w:pPr>
        <w:spacing w:line="42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质疑函制作说明：</w:t>
      </w:r>
    </w:p>
    <w:p w14:paraId="7E9C491F">
      <w:pPr>
        <w:widowControl/>
        <w:spacing w:line="420" w:lineRule="exact"/>
        <w:ind w:firstLine="48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1.供应商提出质疑时，应提交质疑函和必要的证明材料。</w:t>
      </w:r>
    </w:p>
    <w:p w14:paraId="2F258332">
      <w:pPr>
        <w:widowControl/>
        <w:spacing w:line="420" w:lineRule="exact"/>
        <w:ind w:firstLine="48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60419E54">
      <w:pPr>
        <w:widowControl/>
        <w:spacing w:line="420" w:lineRule="exact"/>
        <w:ind w:firstLine="48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3.质疑供应商若对项目的某一分包进行质疑，质疑函中应列明具体分包号。</w:t>
      </w:r>
    </w:p>
    <w:p w14:paraId="3D29652A">
      <w:pPr>
        <w:widowControl/>
        <w:spacing w:line="420" w:lineRule="exact"/>
        <w:ind w:firstLine="48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4.质疑函的质疑事项应具体、明确，并有必要的事实依据和法律依据。</w:t>
      </w:r>
    </w:p>
    <w:p w14:paraId="0600FEE5">
      <w:pPr>
        <w:widowControl/>
        <w:spacing w:line="420" w:lineRule="exact"/>
        <w:ind w:firstLine="48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5.质疑函的质疑请求应与质疑事项相关。</w:t>
      </w:r>
    </w:p>
    <w:p w14:paraId="1B1D51E7">
      <w:pPr>
        <w:widowControl/>
        <w:spacing w:line="420" w:lineRule="exact"/>
        <w:ind w:firstLine="48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6.质疑供应商为自然人的，质疑函应由本人签字；质疑供应商为法人或者其他组织的，质疑函应由法定代表人、主要负责人，或者其授权代表签字或者盖章，并加盖公章。</w:t>
      </w:r>
    </w:p>
    <w:p w14:paraId="73F70C1E">
      <w:pPr>
        <w:spacing w:line="420" w:lineRule="exact"/>
        <w:ind w:firstLine="420"/>
        <w:rPr>
          <w:rFonts w:hint="eastAsia" w:ascii="仿宋" w:hAnsi="仿宋" w:eastAsia="仿宋" w:cs="仿宋"/>
          <w:color w:val="auto"/>
          <w:sz w:val="24"/>
          <w:szCs w:val="24"/>
          <w:highlight w:val="none"/>
        </w:rPr>
      </w:pPr>
    </w:p>
    <w:p w14:paraId="368C41FE">
      <w:pPr>
        <w:spacing w:line="420" w:lineRule="exact"/>
        <w:ind w:firstLine="420"/>
        <w:rPr>
          <w:rFonts w:hint="eastAsia" w:ascii="仿宋" w:hAnsi="仿宋" w:eastAsia="仿宋" w:cs="仿宋"/>
          <w:color w:val="auto"/>
          <w:sz w:val="24"/>
          <w:szCs w:val="24"/>
          <w:highlight w:val="none"/>
        </w:rPr>
      </w:pPr>
    </w:p>
    <w:sectPr>
      <w:footerReference r:id="rId4" w:type="first"/>
      <w:footerReference r:id="rId3" w:type="default"/>
      <w:pgSz w:w="11906" w:h="16838"/>
      <w:pgMar w:top="1440" w:right="1800" w:bottom="1440" w:left="1800" w:header="851" w:footer="907" w:gutter="0"/>
      <w:pgNumType w:start="1"/>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2010609060101010101"/>
    <w:charset w:val="00"/>
    <w:family w:val="auto"/>
    <w:pitch w:val="default"/>
    <w:sig w:usb0="00000000" w:usb1="00000000" w:usb2="00000000" w:usb3="00000000" w:csb0="00000000"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幼圆">
    <w:altName w:val="Yu Gothic UI"/>
    <w:panose1 w:val="02010509060101010101"/>
    <w:charset w:val="00"/>
    <w:family w:val="auto"/>
    <w:pitch w:val="default"/>
    <w:sig w:usb0="00000000" w:usb1="00000000" w:usb2="00000000" w:usb3="00000000" w:csb0="00000000" w:csb1="00000000"/>
  </w:font>
  <w:font w:name="Yu Gothic UI">
    <w:panose1 w:val="020B0500000000000000"/>
    <w:charset w:val="80"/>
    <w:family w:val="auto"/>
    <w:pitch w:val="default"/>
    <w:sig w:usb0="E00002FF" w:usb1="2AC7FDFF" w:usb2="00000016" w:usb3="00000000" w:csb0="2002009F" w:csb1="00000000"/>
  </w:font>
  <w:font w:name="Tahoma">
    <w:panose1 w:val="020B0604030504040204"/>
    <w:charset w:val="00"/>
    <w:family w:val="auto"/>
    <w:pitch w:val="default"/>
    <w:sig w:usb0="E1002EFF" w:usb1="C000605B" w:usb2="00000029" w:usb3="00000000" w:csb0="200101FF" w:csb1="20280000"/>
  </w:font>
  <w:font w:name="Arial Unicode MS">
    <w:altName w:val="Arial"/>
    <w:panose1 w:val="020B0604020202020204"/>
    <w:charset w:val="00"/>
    <w:family w:val="auto"/>
    <w:pitch w:val="default"/>
    <w:sig w:usb0="00000000" w:usb1="00000000" w:usb2="00000000" w:usb3="00000000" w:csb0="00000000" w:csb1="00000000"/>
  </w:font>
  <w:font w:name="方正黑体_GBK">
    <w:altName w:val="微软雅黑"/>
    <w:panose1 w:val="02010600010101010101"/>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Verdana">
    <w:panose1 w:val="020B0604030504040204"/>
    <w:charset w:val="00"/>
    <w:family w:val="auto"/>
    <w:pitch w:val="default"/>
    <w:sig w:usb0="A00006FF" w:usb1="4000205B" w:usb2="00000010" w:usb3="00000000" w:csb0="2000019F" w:csb1="00000000"/>
  </w:font>
  <w:font w:name="方正小标宋_GBK">
    <w:altName w:val="微软雅黑"/>
    <w:panose1 w:val="020B0503020202020204"/>
    <w:charset w:val="00"/>
    <w:family w:val="auto"/>
    <w:pitch w:val="default"/>
    <w:sig w:usb0="00000000" w:usb1="00000000" w:usb2="00000000" w:usb3="00000000" w:csb0="00000000" w:csb1="00000000"/>
  </w:font>
  <w:font w:name="Calibri Light">
    <w:panose1 w:val="020F0302020204030204"/>
    <w:charset w:val="00"/>
    <w:family w:val="auto"/>
    <w:pitch w:val="default"/>
    <w:sig w:usb0="E4002EFF" w:usb1="C000247B" w:usb2="00000009" w:usb3="00000000" w:csb0="200001FF" w:csb1="00000000"/>
  </w:font>
  <w:font w:name="KSOFE44F9426">
    <w:panose1 w:val="02010609060101010101"/>
    <w:charset w:val="86"/>
    <w:family w:val="auto"/>
    <w:pitch w:val="default"/>
    <w:sig w:usb0="00000001" w:usb1="00000000" w:usb2="00000000" w:usb3="00000000" w:csb0="00040001" w:csb1="00000000"/>
  </w:font>
  <w:font w:name="KSOF8080F95D">
    <w:panose1 w:val="020B0503020204020204"/>
    <w:charset w:val="86"/>
    <w:family w:val="auto"/>
    <w:pitch w:val="default"/>
    <w:sig w:usb0="00000001" w:usb1="00000000" w:usb2="00000000" w:usb3="00000000" w:csb0="00040001" w:csb1="00000000"/>
  </w:font>
  <w:font w:name="KSOFEC83043A">
    <w:panose1 w:val="020B0503020204020204"/>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5A5B55">
    <w:pPr>
      <w:pStyle w:val="273"/>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txbx>
                      <w:txbxContent>
                        <w:p w14:paraId="1E08D5D1">
                          <w:pPr>
                            <w:pStyle w:val="21"/>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CzSVju0AAAAAUBAAAPAAAAAAAAAAEAIAAAACIAAABkcnMvZG93bnJldi54&#10;bWxQSwECFAAUAAAACACHTuJAbfyT5TsCAABxBAAADgAAAAAAAAABACAAAAAfAQAAZHJzL2Uyb0Rv&#10;Yy54bWxQSwUGAAAAAAYABgBZAQAAzAUAAAAA&#10;">
              <v:fill on="f" focussize="0,0"/>
              <v:stroke on="f" weight="0.5pt"/>
              <v:imagedata o:title=""/>
              <o:lock v:ext="edit" aspectratio="f"/>
              <v:textbox inset="0mm,0mm,0mm,0mm" style="mso-fit-shape-to-text:t;">
                <w:txbxContent>
                  <w:p w14:paraId="1E08D5D1">
                    <w:pPr>
                      <w:pStyle w:val="21"/>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FC2218">
    <w:pPr>
      <w:pStyle w:val="273"/>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txbx>
                      <w:txbxContent>
                        <w:p w14:paraId="10D0CCBB">
                          <w:pPr>
                            <w:pStyle w:val="21"/>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Ik5yjo8AgAAcQQAAA4AAAAAAAAAAQAgAAAAHwEAAGRycy9lMm9E&#10;b2MueG1sUEsFBgAAAAAGAAYAWQEAAM0FAAAAAA==&#10;">
              <v:fill on="f" focussize="0,0"/>
              <v:stroke on="f" weight="0.5pt"/>
              <v:imagedata o:title=""/>
              <o:lock v:ext="edit" aspectratio="f"/>
              <v:textbox inset="0mm,0mm,0mm,0mm" style="mso-fit-shape-to-text:t;">
                <w:txbxContent>
                  <w:p w14:paraId="10D0CCBB">
                    <w:pPr>
                      <w:pStyle w:val="21"/>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36C7AC5"/>
    <w:multiLevelType w:val="multilevel"/>
    <w:tmpl w:val="936C7AC5"/>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CF092B84"/>
    <w:multiLevelType w:val="multilevel"/>
    <w:tmpl w:val="CF092B84"/>
    <w:lvl w:ilvl="0" w:tentative="0">
      <w:start w:val="1"/>
      <w:numFmt w:val="upperLetter"/>
      <w:pStyle w:val="315"/>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0053208E"/>
    <w:multiLevelType w:val="multilevel"/>
    <w:tmpl w:val="0053208E"/>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233"/>
      <w:suff w:val="nothing"/>
      <w:lvlText w:val=""/>
      <w:lvlJc w:val="left"/>
      <w:pPr>
        <w:ind w:left="0" w:firstLine="0"/>
      </w:pPr>
      <w:rPr>
        <w:rFonts w:hint="eastAsia"/>
      </w:rPr>
    </w:lvl>
    <w:lvl w:ilvl="6" w:tentative="0">
      <w:start w:val="1"/>
      <w:numFmt w:val="decimal"/>
      <w:pStyle w:val="234"/>
      <w:suff w:val="nothing"/>
      <w:lvlText w:val=""/>
      <w:lvlJc w:val="left"/>
      <w:pPr>
        <w:ind w:left="0" w:firstLine="0"/>
      </w:pPr>
      <w:rPr>
        <w:rFonts w:hint="eastAsia"/>
      </w:rPr>
    </w:lvl>
    <w:lvl w:ilvl="7" w:tentative="0">
      <w:start w:val="1"/>
      <w:numFmt w:val="decimal"/>
      <w:pStyle w:val="235"/>
      <w:suff w:val="nothing"/>
      <w:lvlText w:val=""/>
      <w:lvlJc w:val="left"/>
      <w:pPr>
        <w:ind w:left="0" w:firstLine="0"/>
      </w:pPr>
      <w:rPr>
        <w:rFonts w:hint="eastAsia"/>
      </w:rPr>
    </w:lvl>
    <w:lvl w:ilvl="8" w:tentative="0">
      <w:start w:val="1"/>
      <w:numFmt w:val="decimal"/>
      <w:pStyle w:val="236"/>
      <w:suff w:val="nothing"/>
      <w:lvlText w:val=""/>
      <w:lvlJc w:val="left"/>
      <w:pPr>
        <w:ind w:left="0" w:firstLine="0"/>
      </w:pPr>
      <w:rPr>
        <w:rFonts w:hint="eastAsia"/>
      </w:rPr>
    </w:lvl>
  </w:abstractNum>
  <w:abstractNum w:abstractNumId="3">
    <w:nsid w:val="01FFD7BA"/>
    <w:multiLevelType w:val="multilevel"/>
    <w:tmpl w:val="01FFD7BA"/>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0EF22922"/>
    <w:multiLevelType w:val="multilevel"/>
    <w:tmpl w:val="0EF22922"/>
    <w:lvl w:ilvl="0" w:tentative="0">
      <w:start w:val="3"/>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59ADCABA"/>
    <w:multiLevelType w:val="multilevel"/>
    <w:tmpl w:val="59ADCABA"/>
    <w:lvl w:ilvl="0" w:tentative="0">
      <w:start w:val="1"/>
      <w:numFmt w:val="decimal"/>
      <w:pStyle w:val="322"/>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6">
    <w:nsid w:val="7C738BF7"/>
    <w:multiLevelType w:val="multilevel"/>
    <w:tmpl w:val="7C738BF7"/>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5"/>
  </w:num>
  <w:num w:numId="4">
    <w:abstractNumId w:val="4"/>
  </w:num>
  <w:num w:numId="5">
    <w:abstractNumId w:val="3"/>
  </w:num>
  <w:num w:numId="6">
    <w:abstractNumId w:val="0"/>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documentProtection w:enforcement="0"/>
  <w:defaultTabStop w:val="420"/>
  <w:characterSpacingControl w:val="doNotCompress"/>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8572956"/>
    <w:rsid w:val="0C440B6E"/>
    <w:rsid w:val="0DEF2C07"/>
    <w:rsid w:val="0F7678CD"/>
    <w:rsid w:val="109C599C"/>
    <w:rsid w:val="12541D09"/>
    <w:rsid w:val="153A0924"/>
    <w:rsid w:val="17970792"/>
    <w:rsid w:val="18F94677"/>
    <w:rsid w:val="199D3E9B"/>
    <w:rsid w:val="1A7867B1"/>
    <w:rsid w:val="1B3A5AA4"/>
    <w:rsid w:val="1E5D3CF4"/>
    <w:rsid w:val="219C4B33"/>
    <w:rsid w:val="22163203"/>
    <w:rsid w:val="226F3FF6"/>
    <w:rsid w:val="25570920"/>
    <w:rsid w:val="3082703A"/>
    <w:rsid w:val="367244CE"/>
    <w:rsid w:val="39562097"/>
    <w:rsid w:val="3B5C4C42"/>
    <w:rsid w:val="3B911071"/>
    <w:rsid w:val="3F222679"/>
    <w:rsid w:val="482864F6"/>
    <w:rsid w:val="4EB424DB"/>
    <w:rsid w:val="4F026EBD"/>
    <w:rsid w:val="4F5336EF"/>
    <w:rsid w:val="4F712E54"/>
    <w:rsid w:val="575D00E8"/>
    <w:rsid w:val="5A421A14"/>
    <w:rsid w:val="5C4D65C9"/>
    <w:rsid w:val="5DA53212"/>
    <w:rsid w:val="5FF53085"/>
    <w:rsid w:val="602C1457"/>
    <w:rsid w:val="62214605"/>
    <w:rsid w:val="62BC31A0"/>
    <w:rsid w:val="68350112"/>
    <w:rsid w:val="68684D3C"/>
    <w:rsid w:val="6CA667D5"/>
    <w:rsid w:val="6D3A3181"/>
    <w:rsid w:val="6ED94877"/>
    <w:rsid w:val="704975A7"/>
    <w:rsid w:val="7B013CCF"/>
    <w:rsid w:val="7BA179A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nhideWhenUsed="0"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nhideWhenUsed="0" w:uiPriority="0" w:semiHidden="0"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imes New Roman" w:hAnsi="Times New Roman" w:eastAsia="宋体" w:cs="Times New Roman"/>
      <w:sz w:val="21"/>
      <w:szCs w:val="22"/>
      <w:lang w:val="en-US" w:eastAsia="zh-CN" w:bidi="ar-SA"/>
    </w:rPr>
  </w:style>
  <w:style w:type="paragraph" w:styleId="2">
    <w:name w:val="heading 1"/>
    <w:basedOn w:val="1"/>
    <w:next w:val="1"/>
    <w:link w:val="79"/>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80"/>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81"/>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82"/>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83"/>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84"/>
    <w:unhideWhenUsed/>
    <w:qFormat/>
    <w:uiPriority w:val="9"/>
    <w:pPr>
      <w:keepNext/>
      <w:keepLines/>
      <w:spacing w:before="320" w:after="200"/>
      <w:outlineLvl w:val="5"/>
    </w:pPr>
    <w:rPr>
      <w:rFonts w:ascii="Arial" w:hAnsi="Arial" w:eastAsia="Arial" w:cs="Arial"/>
      <w:b/>
      <w:bCs/>
      <w:sz w:val="22"/>
    </w:rPr>
  </w:style>
  <w:style w:type="paragraph" w:styleId="8">
    <w:name w:val="heading 7"/>
    <w:basedOn w:val="1"/>
    <w:next w:val="1"/>
    <w:link w:val="85"/>
    <w:unhideWhenUsed/>
    <w:qFormat/>
    <w:uiPriority w:val="9"/>
    <w:pPr>
      <w:keepNext/>
      <w:keepLines/>
      <w:spacing w:before="320" w:after="200"/>
      <w:outlineLvl w:val="6"/>
    </w:pPr>
    <w:rPr>
      <w:rFonts w:ascii="Arial" w:hAnsi="Arial" w:eastAsia="Arial" w:cs="Arial"/>
      <w:b/>
      <w:bCs/>
      <w:i/>
      <w:iCs/>
      <w:sz w:val="22"/>
    </w:rPr>
  </w:style>
  <w:style w:type="paragraph" w:styleId="9">
    <w:name w:val="heading 8"/>
    <w:basedOn w:val="1"/>
    <w:next w:val="1"/>
    <w:link w:val="86"/>
    <w:unhideWhenUsed/>
    <w:qFormat/>
    <w:uiPriority w:val="9"/>
    <w:pPr>
      <w:keepNext/>
      <w:keepLines/>
      <w:spacing w:before="320" w:after="200"/>
      <w:outlineLvl w:val="7"/>
    </w:pPr>
    <w:rPr>
      <w:rFonts w:ascii="Arial" w:hAnsi="Arial" w:eastAsia="Arial" w:cs="Arial"/>
      <w:i/>
      <w:iCs/>
      <w:sz w:val="22"/>
    </w:rPr>
  </w:style>
  <w:style w:type="paragraph" w:styleId="10">
    <w:name w:val="heading 9"/>
    <w:basedOn w:val="1"/>
    <w:next w:val="1"/>
    <w:link w:val="87"/>
    <w:unhideWhenUsed/>
    <w:qFormat/>
    <w:uiPriority w:val="9"/>
    <w:pPr>
      <w:keepNext/>
      <w:keepLines/>
      <w:spacing w:before="320" w:after="200"/>
      <w:outlineLvl w:val="8"/>
    </w:pPr>
    <w:rPr>
      <w:rFonts w:ascii="Arial" w:hAnsi="Arial" w:eastAsia="Arial" w:cs="Arial"/>
      <w:i/>
      <w:iCs/>
      <w:szCs w:val="21"/>
    </w:rPr>
  </w:style>
  <w:style w:type="character" w:default="1" w:styleId="35">
    <w:name w:val="Default Paragraph Font"/>
    <w:semiHidden/>
    <w:unhideWhenUsed/>
    <w:qFormat/>
    <w:uiPriority w:val="1"/>
  </w:style>
  <w:style w:type="table" w:default="1" w:styleId="33">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annotation text"/>
    <w:basedOn w:val="1"/>
    <w:qFormat/>
    <w:uiPriority w:val="99"/>
    <w:pPr>
      <w:jc w:val="left"/>
    </w:pPr>
    <w:rPr>
      <w:szCs w:val="20"/>
    </w:rPr>
  </w:style>
  <w:style w:type="paragraph" w:styleId="14">
    <w:name w:val="Body Text"/>
    <w:basedOn w:val="1"/>
    <w:next w:val="1"/>
    <w:qFormat/>
    <w:uiPriority w:val="0"/>
    <w:pPr>
      <w:spacing w:line="60" w:lineRule="auto"/>
    </w:pPr>
    <w:rPr>
      <w:rFonts w:ascii="仿宋_GB2312" w:eastAsia="仿宋_GB2312"/>
      <w:sz w:val="32"/>
    </w:rPr>
  </w:style>
  <w:style w:type="paragraph" w:styleId="15">
    <w:name w:val="Body Text Indent"/>
    <w:basedOn w:val="1"/>
    <w:next w:val="16"/>
    <w:qFormat/>
    <w:uiPriority w:val="0"/>
    <w:pPr>
      <w:spacing w:line="570" w:lineRule="exact"/>
      <w:ind w:firstLine="616"/>
    </w:pPr>
    <w:rPr>
      <w:spacing w:val="-6"/>
    </w:rPr>
  </w:style>
  <w:style w:type="paragraph" w:styleId="16">
    <w:name w:val="Balloon Text"/>
    <w:basedOn w:val="1"/>
    <w:qFormat/>
    <w:uiPriority w:val="0"/>
    <w:rPr>
      <w:sz w:val="18"/>
      <w:szCs w:val="18"/>
    </w:rPr>
  </w:style>
  <w:style w:type="paragraph" w:styleId="17">
    <w:name w:val="toc 5"/>
    <w:basedOn w:val="1"/>
    <w:next w:val="1"/>
    <w:unhideWhenUsed/>
    <w:qFormat/>
    <w:uiPriority w:val="39"/>
    <w:pPr>
      <w:spacing w:after="57"/>
      <w:ind w:left="1134"/>
    </w:pPr>
  </w:style>
  <w:style w:type="paragraph" w:styleId="18">
    <w:name w:val="toc 3"/>
    <w:basedOn w:val="1"/>
    <w:next w:val="1"/>
    <w:unhideWhenUsed/>
    <w:qFormat/>
    <w:uiPriority w:val="39"/>
    <w:pPr>
      <w:spacing w:after="57"/>
      <w:ind w:left="567"/>
    </w:pPr>
  </w:style>
  <w:style w:type="paragraph" w:styleId="19">
    <w:name w:val="toc 8"/>
    <w:basedOn w:val="1"/>
    <w:next w:val="1"/>
    <w:unhideWhenUsed/>
    <w:qFormat/>
    <w:uiPriority w:val="39"/>
    <w:pPr>
      <w:spacing w:after="57"/>
      <w:ind w:left="1984"/>
    </w:pPr>
  </w:style>
  <w:style w:type="paragraph" w:styleId="20">
    <w:name w:val="endnote text"/>
    <w:basedOn w:val="1"/>
    <w:link w:val="225"/>
    <w:semiHidden/>
    <w:unhideWhenUsed/>
    <w:qFormat/>
    <w:uiPriority w:val="99"/>
    <w:rPr>
      <w:sz w:val="20"/>
    </w:rPr>
  </w:style>
  <w:style w:type="paragraph" w:styleId="21">
    <w:name w:val="footer"/>
    <w:basedOn w:val="1"/>
    <w:link w:val="98"/>
    <w:unhideWhenUsed/>
    <w:qFormat/>
    <w:uiPriority w:val="99"/>
    <w:pPr>
      <w:tabs>
        <w:tab w:val="center" w:pos="7143"/>
        <w:tab w:val="right" w:pos="14287"/>
      </w:tabs>
    </w:pPr>
  </w:style>
  <w:style w:type="paragraph" w:styleId="22">
    <w:name w:val="header"/>
    <w:basedOn w:val="1"/>
    <w:link w:val="96"/>
    <w:unhideWhenUsed/>
    <w:qFormat/>
    <w:uiPriority w:val="99"/>
    <w:pPr>
      <w:tabs>
        <w:tab w:val="center" w:pos="7143"/>
        <w:tab w:val="right" w:pos="14287"/>
      </w:tabs>
    </w:pPr>
  </w:style>
  <w:style w:type="paragraph" w:styleId="23">
    <w:name w:val="toc 1"/>
    <w:basedOn w:val="1"/>
    <w:next w:val="1"/>
    <w:unhideWhenUsed/>
    <w:qFormat/>
    <w:uiPriority w:val="39"/>
    <w:pPr>
      <w:spacing w:after="57"/>
    </w:pPr>
  </w:style>
  <w:style w:type="paragraph" w:styleId="24">
    <w:name w:val="toc 4"/>
    <w:basedOn w:val="1"/>
    <w:next w:val="1"/>
    <w:unhideWhenUsed/>
    <w:qFormat/>
    <w:uiPriority w:val="39"/>
    <w:pPr>
      <w:spacing w:after="57"/>
      <w:ind w:left="850"/>
    </w:pPr>
  </w:style>
  <w:style w:type="paragraph" w:styleId="25">
    <w:name w:val="Subtitle"/>
    <w:basedOn w:val="1"/>
    <w:next w:val="1"/>
    <w:link w:val="91"/>
    <w:qFormat/>
    <w:uiPriority w:val="11"/>
    <w:pPr>
      <w:spacing w:before="200" w:after="200"/>
    </w:pPr>
    <w:rPr>
      <w:sz w:val="24"/>
      <w:szCs w:val="24"/>
    </w:rPr>
  </w:style>
  <w:style w:type="paragraph" w:styleId="26">
    <w:name w:val="footnote text"/>
    <w:basedOn w:val="1"/>
    <w:link w:val="224"/>
    <w:semiHidden/>
    <w:unhideWhenUsed/>
    <w:qFormat/>
    <w:uiPriority w:val="99"/>
    <w:pPr>
      <w:spacing w:after="40"/>
    </w:pPr>
    <w:rPr>
      <w:sz w:val="18"/>
    </w:rPr>
  </w:style>
  <w:style w:type="paragraph" w:styleId="27">
    <w:name w:val="toc 6"/>
    <w:basedOn w:val="1"/>
    <w:next w:val="1"/>
    <w:unhideWhenUsed/>
    <w:qFormat/>
    <w:uiPriority w:val="39"/>
    <w:pPr>
      <w:spacing w:after="57"/>
      <w:ind w:left="1417"/>
    </w:pPr>
  </w:style>
  <w:style w:type="paragraph" w:styleId="28">
    <w:name w:val="table of figures"/>
    <w:basedOn w:val="1"/>
    <w:next w:val="1"/>
    <w:unhideWhenUsed/>
    <w:qFormat/>
    <w:uiPriority w:val="99"/>
  </w:style>
  <w:style w:type="paragraph" w:styleId="29">
    <w:name w:val="toc 2"/>
    <w:basedOn w:val="1"/>
    <w:next w:val="1"/>
    <w:unhideWhenUsed/>
    <w:qFormat/>
    <w:uiPriority w:val="39"/>
    <w:pPr>
      <w:spacing w:after="57"/>
      <w:ind w:left="283"/>
    </w:pPr>
  </w:style>
  <w:style w:type="paragraph" w:styleId="30">
    <w:name w:val="toc 9"/>
    <w:basedOn w:val="1"/>
    <w:next w:val="1"/>
    <w:unhideWhenUsed/>
    <w:qFormat/>
    <w:uiPriority w:val="39"/>
    <w:pPr>
      <w:spacing w:after="57"/>
      <w:ind w:left="2268"/>
    </w:pPr>
  </w:style>
  <w:style w:type="paragraph" w:styleId="31">
    <w:name w:val="Normal (Web)"/>
    <w:basedOn w:val="1"/>
    <w:unhideWhenUsed/>
    <w:qFormat/>
    <w:uiPriority w:val="99"/>
    <w:pPr>
      <w:spacing w:beforeAutospacing="1" w:afterAutospacing="1"/>
      <w:jc w:val="left"/>
    </w:pPr>
    <w:rPr>
      <w:sz w:val="24"/>
      <w:szCs w:val="24"/>
    </w:rPr>
  </w:style>
  <w:style w:type="paragraph" w:styleId="32">
    <w:name w:val="Title"/>
    <w:basedOn w:val="1"/>
    <w:next w:val="15"/>
    <w:link w:val="90"/>
    <w:qFormat/>
    <w:uiPriority w:val="10"/>
    <w:pPr>
      <w:spacing w:before="300" w:after="200"/>
      <w:contextualSpacing/>
    </w:pPr>
    <w:rPr>
      <w:sz w:val="48"/>
      <w:szCs w:val="48"/>
    </w:rPr>
  </w:style>
  <w:style w:type="table" w:styleId="34">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6">
    <w:name w:val="endnote reference"/>
    <w:semiHidden/>
    <w:unhideWhenUsed/>
    <w:qFormat/>
    <w:uiPriority w:val="99"/>
    <w:rPr>
      <w:vertAlign w:val="superscript"/>
    </w:rPr>
  </w:style>
  <w:style w:type="character" w:styleId="37">
    <w:name w:val="Hyperlink"/>
    <w:unhideWhenUsed/>
    <w:qFormat/>
    <w:uiPriority w:val="99"/>
    <w:rPr>
      <w:color w:val="0000FF" w:themeColor="hyperlink"/>
      <w:u w:val="single"/>
      <w14:textFill>
        <w14:solidFill>
          <w14:schemeClr w14:val="hlink"/>
        </w14:solidFill>
      </w14:textFill>
    </w:rPr>
  </w:style>
  <w:style w:type="character" w:styleId="38">
    <w:name w:val="annotation reference"/>
    <w:qFormat/>
    <w:uiPriority w:val="0"/>
    <w:rPr>
      <w:sz w:val="21"/>
    </w:rPr>
  </w:style>
  <w:style w:type="character" w:styleId="39">
    <w:name w:val="footnote reference"/>
    <w:unhideWhenUsed/>
    <w:qFormat/>
    <w:uiPriority w:val="99"/>
    <w:rPr>
      <w:vertAlign w:val="superscript"/>
    </w:rPr>
  </w:style>
  <w:style w:type="character" w:customStyle="1" w:styleId="40">
    <w:name w:val="Heading 1 Char"/>
    <w:basedOn w:val="35"/>
    <w:qFormat/>
    <w:uiPriority w:val="9"/>
    <w:rPr>
      <w:rFonts w:ascii="Arial" w:hAnsi="Arial" w:eastAsia="Arial" w:cs="Arial"/>
      <w:sz w:val="40"/>
      <w:szCs w:val="40"/>
    </w:rPr>
  </w:style>
  <w:style w:type="character" w:customStyle="1" w:styleId="41">
    <w:name w:val="Heading 2 Char"/>
    <w:basedOn w:val="35"/>
    <w:qFormat/>
    <w:uiPriority w:val="9"/>
    <w:rPr>
      <w:rFonts w:ascii="Arial" w:hAnsi="Arial" w:eastAsia="Arial" w:cs="Arial"/>
      <w:sz w:val="34"/>
    </w:rPr>
  </w:style>
  <w:style w:type="character" w:customStyle="1" w:styleId="42">
    <w:name w:val="Heading 3 Char"/>
    <w:basedOn w:val="35"/>
    <w:qFormat/>
    <w:uiPriority w:val="9"/>
    <w:rPr>
      <w:rFonts w:ascii="Arial" w:hAnsi="Arial" w:eastAsia="Arial" w:cs="Arial"/>
      <w:sz w:val="30"/>
      <w:szCs w:val="30"/>
    </w:rPr>
  </w:style>
  <w:style w:type="character" w:customStyle="1" w:styleId="43">
    <w:name w:val="Heading 4 Char"/>
    <w:basedOn w:val="35"/>
    <w:qFormat/>
    <w:uiPriority w:val="9"/>
    <w:rPr>
      <w:rFonts w:ascii="Arial" w:hAnsi="Arial" w:eastAsia="Arial" w:cs="Arial"/>
      <w:b/>
      <w:bCs/>
      <w:sz w:val="26"/>
      <w:szCs w:val="26"/>
    </w:rPr>
  </w:style>
  <w:style w:type="character" w:customStyle="1" w:styleId="44">
    <w:name w:val="Heading 5 Char"/>
    <w:basedOn w:val="35"/>
    <w:qFormat/>
    <w:uiPriority w:val="9"/>
    <w:rPr>
      <w:rFonts w:ascii="Arial" w:hAnsi="Arial" w:eastAsia="Arial" w:cs="Arial"/>
      <w:b/>
      <w:bCs/>
      <w:sz w:val="24"/>
      <w:szCs w:val="24"/>
    </w:rPr>
  </w:style>
  <w:style w:type="character" w:customStyle="1" w:styleId="45">
    <w:name w:val="Heading 6 Char"/>
    <w:basedOn w:val="35"/>
    <w:qFormat/>
    <w:uiPriority w:val="9"/>
    <w:rPr>
      <w:rFonts w:ascii="Arial" w:hAnsi="Arial" w:eastAsia="Arial" w:cs="Arial"/>
      <w:b/>
      <w:bCs/>
      <w:sz w:val="22"/>
      <w:szCs w:val="22"/>
    </w:rPr>
  </w:style>
  <w:style w:type="character" w:customStyle="1" w:styleId="46">
    <w:name w:val="Heading 7 Char"/>
    <w:basedOn w:val="35"/>
    <w:qFormat/>
    <w:uiPriority w:val="9"/>
    <w:rPr>
      <w:rFonts w:ascii="Arial" w:hAnsi="Arial" w:eastAsia="Arial" w:cs="Arial"/>
      <w:b/>
      <w:bCs/>
      <w:i/>
      <w:iCs/>
      <w:sz w:val="22"/>
      <w:szCs w:val="22"/>
    </w:rPr>
  </w:style>
  <w:style w:type="character" w:customStyle="1" w:styleId="47">
    <w:name w:val="Heading 8 Char"/>
    <w:basedOn w:val="35"/>
    <w:qFormat/>
    <w:uiPriority w:val="9"/>
    <w:rPr>
      <w:rFonts w:ascii="Arial" w:hAnsi="Arial" w:eastAsia="Arial" w:cs="Arial"/>
      <w:i/>
      <w:iCs/>
      <w:sz w:val="22"/>
      <w:szCs w:val="22"/>
    </w:rPr>
  </w:style>
  <w:style w:type="character" w:customStyle="1" w:styleId="48">
    <w:name w:val="Heading 9 Char"/>
    <w:basedOn w:val="35"/>
    <w:qFormat/>
    <w:uiPriority w:val="9"/>
    <w:rPr>
      <w:rFonts w:ascii="Arial" w:hAnsi="Arial" w:eastAsia="Arial" w:cs="Arial"/>
      <w:i/>
      <w:iCs/>
      <w:sz w:val="21"/>
      <w:szCs w:val="21"/>
    </w:rPr>
  </w:style>
  <w:style w:type="character" w:customStyle="1" w:styleId="49">
    <w:name w:val="Title Char"/>
    <w:basedOn w:val="35"/>
    <w:qFormat/>
    <w:uiPriority w:val="10"/>
    <w:rPr>
      <w:sz w:val="48"/>
      <w:szCs w:val="48"/>
    </w:rPr>
  </w:style>
  <w:style w:type="character" w:customStyle="1" w:styleId="50">
    <w:name w:val="Subtitle Char"/>
    <w:basedOn w:val="35"/>
    <w:qFormat/>
    <w:uiPriority w:val="11"/>
    <w:rPr>
      <w:sz w:val="24"/>
      <w:szCs w:val="24"/>
    </w:rPr>
  </w:style>
  <w:style w:type="character" w:customStyle="1" w:styleId="51">
    <w:name w:val="Quote Char"/>
    <w:qFormat/>
    <w:uiPriority w:val="29"/>
    <w:rPr>
      <w:i/>
    </w:rPr>
  </w:style>
  <w:style w:type="character" w:customStyle="1" w:styleId="52">
    <w:name w:val="Intense Quote Char"/>
    <w:qFormat/>
    <w:uiPriority w:val="30"/>
    <w:rPr>
      <w:i/>
    </w:rPr>
  </w:style>
  <w:style w:type="character" w:customStyle="1" w:styleId="53">
    <w:name w:val="Header Char"/>
    <w:basedOn w:val="35"/>
    <w:qFormat/>
    <w:uiPriority w:val="99"/>
  </w:style>
  <w:style w:type="character" w:customStyle="1" w:styleId="54">
    <w:name w:val="Caption Char"/>
    <w:qFormat/>
    <w:uiPriority w:val="99"/>
  </w:style>
  <w:style w:type="table" w:customStyle="1" w:styleId="55">
    <w:name w:val="Plain Table 1"/>
    <w:basedOn w:val="33"/>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6">
    <w:name w:val="Plain Table 2"/>
    <w:basedOn w:val="33"/>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7">
    <w:name w:val="Plain Table 3"/>
    <w:basedOn w:val="3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8">
    <w:name w:val="Plain Table 4"/>
    <w:basedOn w:val="33"/>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9">
    <w:name w:val="Plain Table 5"/>
    <w:basedOn w:val="33"/>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0">
    <w:name w:val="Grid Table 1 Light"/>
    <w:basedOn w:val="33"/>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1">
    <w:name w:val="Grid Table 2"/>
    <w:basedOn w:val="3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2">
    <w:name w:val="Grid Table 3"/>
    <w:basedOn w:val="3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3">
    <w:name w:val="Grid Table 4"/>
    <w:basedOn w:val="33"/>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4">
    <w:name w:val="Grid Table 5 Dark"/>
    <w:basedOn w:val="3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65">
    <w:name w:val="Grid Table 6 Colorful"/>
    <w:basedOn w:val="33"/>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66">
    <w:name w:val="Grid Table 7 Colorful"/>
    <w:basedOn w:val="33"/>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67">
    <w:name w:val="List Table 1 Light"/>
    <w:basedOn w:val="33"/>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68">
    <w:name w:val="List Table 2"/>
    <w:basedOn w:val="33"/>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69">
    <w:name w:val="List Table 3"/>
    <w:basedOn w:val="3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70">
    <w:name w:val="List Table 4"/>
    <w:basedOn w:val="3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1">
    <w:name w:val="List Table 5 Dark"/>
    <w:basedOn w:val="33"/>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72">
    <w:name w:val="List Table 6 Colorful"/>
    <w:basedOn w:val="33"/>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73">
    <w:name w:val="List Table 7 Colorful"/>
    <w:basedOn w:val="33"/>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74">
    <w:name w:val="Footnote Text Char"/>
    <w:qFormat/>
    <w:uiPriority w:val="99"/>
    <w:rPr>
      <w:sz w:val="18"/>
    </w:rPr>
  </w:style>
  <w:style w:type="character" w:customStyle="1" w:styleId="75">
    <w:name w:val="Endnote Text Char"/>
    <w:qFormat/>
    <w:uiPriority w:val="99"/>
    <w:rPr>
      <w:sz w:val="20"/>
    </w:rPr>
  </w:style>
  <w:style w:type="paragraph" w:customStyle="1" w:styleId="76">
    <w:name w:val="TOC Heading"/>
    <w:unhideWhenUsed/>
    <w:qFormat/>
    <w:uiPriority w:val="39"/>
    <w:rPr>
      <w:rFonts w:hint="default" w:ascii="Times New Roman" w:hAnsi="Times New Roman" w:eastAsia="宋体" w:cs="Times New Roman"/>
    </w:rPr>
  </w:style>
  <w:style w:type="paragraph" w:customStyle="1" w:styleId="77">
    <w:name w:val="正文首行缩进1"/>
    <w:basedOn w:val="78"/>
    <w:qFormat/>
    <w:uiPriority w:val="0"/>
    <w:pPr>
      <w:spacing w:line="360" w:lineRule="auto"/>
      <w:ind w:firstLine="200"/>
    </w:pPr>
    <w:rPr>
      <w:rFonts w:ascii="仿宋_GB2312" w:hAnsi="Times New Roman" w:eastAsia="仿宋_GB2312"/>
      <w:sz w:val="30"/>
      <w:szCs w:val="30"/>
    </w:rPr>
  </w:style>
  <w:style w:type="paragraph" w:customStyle="1" w:styleId="78">
    <w:name w:val="正文文本1"/>
    <w:basedOn w:val="1"/>
    <w:next w:val="1"/>
    <w:qFormat/>
    <w:uiPriority w:val="0"/>
    <w:rPr>
      <w:rFonts w:ascii="楷体_GB2312" w:hAnsi="Arial" w:eastAsia="楷体_GB2312"/>
      <w:sz w:val="28"/>
      <w:szCs w:val="28"/>
    </w:rPr>
  </w:style>
  <w:style w:type="character" w:customStyle="1" w:styleId="79">
    <w:name w:val="标题 1 字符"/>
    <w:link w:val="2"/>
    <w:qFormat/>
    <w:uiPriority w:val="9"/>
    <w:rPr>
      <w:rFonts w:ascii="Arial" w:hAnsi="Arial" w:eastAsia="Arial" w:cs="Arial"/>
      <w:sz w:val="40"/>
      <w:szCs w:val="40"/>
    </w:rPr>
  </w:style>
  <w:style w:type="character" w:customStyle="1" w:styleId="80">
    <w:name w:val="标题 2 字符1"/>
    <w:link w:val="3"/>
    <w:qFormat/>
    <w:uiPriority w:val="9"/>
    <w:rPr>
      <w:rFonts w:ascii="Arial" w:hAnsi="Arial" w:eastAsia="Arial" w:cs="Arial"/>
      <w:sz w:val="34"/>
    </w:rPr>
  </w:style>
  <w:style w:type="character" w:customStyle="1" w:styleId="81">
    <w:name w:val="标题 3 字符"/>
    <w:link w:val="4"/>
    <w:qFormat/>
    <w:uiPriority w:val="9"/>
    <w:rPr>
      <w:rFonts w:ascii="Arial" w:hAnsi="Arial" w:eastAsia="Arial" w:cs="Arial"/>
      <w:sz w:val="30"/>
      <w:szCs w:val="30"/>
    </w:rPr>
  </w:style>
  <w:style w:type="character" w:customStyle="1" w:styleId="82">
    <w:name w:val="标题 4 字符1"/>
    <w:link w:val="5"/>
    <w:qFormat/>
    <w:uiPriority w:val="9"/>
    <w:rPr>
      <w:rFonts w:ascii="Arial" w:hAnsi="Arial" w:eastAsia="Arial" w:cs="Arial"/>
      <w:b/>
      <w:bCs/>
      <w:sz w:val="26"/>
      <w:szCs w:val="26"/>
    </w:rPr>
  </w:style>
  <w:style w:type="character" w:customStyle="1" w:styleId="83">
    <w:name w:val="标题 5 字符"/>
    <w:link w:val="6"/>
    <w:qFormat/>
    <w:uiPriority w:val="9"/>
    <w:rPr>
      <w:rFonts w:ascii="Arial" w:hAnsi="Arial" w:eastAsia="Arial" w:cs="Arial"/>
      <w:b/>
      <w:bCs/>
      <w:sz w:val="24"/>
      <w:szCs w:val="24"/>
    </w:rPr>
  </w:style>
  <w:style w:type="character" w:customStyle="1" w:styleId="84">
    <w:name w:val="标题 6 字符"/>
    <w:link w:val="7"/>
    <w:qFormat/>
    <w:uiPriority w:val="9"/>
    <w:rPr>
      <w:rFonts w:ascii="Arial" w:hAnsi="Arial" w:eastAsia="Arial" w:cs="Arial"/>
      <w:b/>
      <w:bCs/>
      <w:sz w:val="22"/>
      <w:szCs w:val="22"/>
    </w:rPr>
  </w:style>
  <w:style w:type="character" w:customStyle="1" w:styleId="85">
    <w:name w:val="标题 7 字符"/>
    <w:link w:val="8"/>
    <w:qFormat/>
    <w:uiPriority w:val="9"/>
    <w:rPr>
      <w:rFonts w:ascii="Arial" w:hAnsi="Arial" w:eastAsia="Arial" w:cs="Arial"/>
      <w:b/>
      <w:bCs/>
      <w:i/>
      <w:iCs/>
      <w:sz w:val="22"/>
      <w:szCs w:val="22"/>
    </w:rPr>
  </w:style>
  <w:style w:type="character" w:customStyle="1" w:styleId="86">
    <w:name w:val="标题 8 字符"/>
    <w:link w:val="9"/>
    <w:qFormat/>
    <w:uiPriority w:val="9"/>
    <w:rPr>
      <w:rFonts w:ascii="Arial" w:hAnsi="Arial" w:eastAsia="Arial" w:cs="Arial"/>
      <w:i/>
      <w:iCs/>
      <w:sz w:val="22"/>
      <w:szCs w:val="22"/>
    </w:rPr>
  </w:style>
  <w:style w:type="character" w:customStyle="1" w:styleId="87">
    <w:name w:val="标题 9 字符"/>
    <w:link w:val="10"/>
    <w:qFormat/>
    <w:uiPriority w:val="9"/>
    <w:rPr>
      <w:rFonts w:ascii="Arial" w:hAnsi="Arial" w:eastAsia="Arial" w:cs="Arial"/>
      <w:i/>
      <w:iCs/>
      <w:sz w:val="21"/>
      <w:szCs w:val="21"/>
    </w:rPr>
  </w:style>
  <w:style w:type="paragraph" w:styleId="88">
    <w:name w:val="List Paragraph"/>
    <w:basedOn w:val="1"/>
    <w:qFormat/>
    <w:uiPriority w:val="34"/>
    <w:pPr>
      <w:ind w:left="720"/>
      <w:contextualSpacing/>
    </w:pPr>
  </w:style>
  <w:style w:type="paragraph" w:styleId="89">
    <w:name w:val="No Spacing"/>
    <w:qFormat/>
    <w:uiPriority w:val="1"/>
    <w:rPr>
      <w:rFonts w:hint="default" w:ascii="Times New Roman" w:hAnsi="Times New Roman" w:eastAsia="宋体" w:cs="Times New Roman"/>
      <w:lang w:val="en-US" w:eastAsia="zh-CN" w:bidi="ar-SA"/>
    </w:rPr>
  </w:style>
  <w:style w:type="character" w:customStyle="1" w:styleId="90">
    <w:name w:val="标题 字符"/>
    <w:link w:val="32"/>
    <w:qFormat/>
    <w:uiPriority w:val="10"/>
    <w:rPr>
      <w:sz w:val="48"/>
      <w:szCs w:val="48"/>
    </w:rPr>
  </w:style>
  <w:style w:type="character" w:customStyle="1" w:styleId="91">
    <w:name w:val="副标题 字符"/>
    <w:link w:val="25"/>
    <w:qFormat/>
    <w:uiPriority w:val="11"/>
    <w:rPr>
      <w:sz w:val="24"/>
      <w:szCs w:val="24"/>
    </w:rPr>
  </w:style>
  <w:style w:type="paragraph" w:styleId="92">
    <w:name w:val="Quote"/>
    <w:basedOn w:val="1"/>
    <w:next w:val="1"/>
    <w:link w:val="93"/>
    <w:qFormat/>
    <w:uiPriority w:val="29"/>
    <w:pPr>
      <w:ind w:left="720" w:right="720"/>
    </w:pPr>
    <w:rPr>
      <w:i/>
    </w:rPr>
  </w:style>
  <w:style w:type="character" w:customStyle="1" w:styleId="93">
    <w:name w:val="引用 字符"/>
    <w:link w:val="92"/>
    <w:qFormat/>
    <w:uiPriority w:val="29"/>
    <w:rPr>
      <w:i/>
    </w:rPr>
  </w:style>
  <w:style w:type="paragraph" w:styleId="94">
    <w:name w:val="Intense Quote"/>
    <w:basedOn w:val="1"/>
    <w:next w:val="1"/>
    <w:link w:val="95"/>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95">
    <w:name w:val="明显引用 字符"/>
    <w:link w:val="94"/>
    <w:qFormat/>
    <w:uiPriority w:val="30"/>
    <w:rPr>
      <w:i/>
    </w:rPr>
  </w:style>
  <w:style w:type="character" w:customStyle="1" w:styleId="96">
    <w:name w:val="页眉 字符"/>
    <w:link w:val="22"/>
    <w:qFormat/>
    <w:uiPriority w:val="99"/>
  </w:style>
  <w:style w:type="character" w:customStyle="1" w:styleId="97">
    <w:name w:val="Footer Char"/>
    <w:qFormat/>
    <w:uiPriority w:val="99"/>
  </w:style>
  <w:style w:type="character" w:customStyle="1" w:styleId="98">
    <w:name w:val="页脚 字符"/>
    <w:link w:val="21"/>
    <w:qFormat/>
    <w:uiPriority w:val="99"/>
  </w:style>
  <w:style w:type="table" w:customStyle="1" w:styleId="99">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100">
    <w:name w:val="无格式表格 1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101">
    <w:name w:val="无格式表格 2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102">
    <w:name w:val="无格式表格 31"/>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3">
    <w:name w:val="无格式表格 4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4">
    <w:name w:val="无格式表格 5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5">
    <w:name w:val="网格表 1 浅色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06">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07">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08">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09">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10">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11">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12">
    <w:name w:val="网格表 2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3">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14">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5">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6">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7">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8">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9">
    <w:name w:val="网格表 3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0">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21">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2">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3">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4">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5">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6">
    <w:name w:val="网格表 4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7">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28">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9">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30">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31">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2">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3">
    <w:name w:val="网格表 5 深色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34">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35">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36">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37">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38">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39">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40">
    <w:name w:val="网格表 6 彩色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41">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42">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3">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44">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45">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46">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47">
    <w:name w:val="网格表 7 彩色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48">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49">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0">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51">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2">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53">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54">
    <w:name w:val="清单表 1 浅色1"/>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55">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56">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57">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58">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59">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60">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61">
    <w:name w:val="清单表 2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62">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63">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64">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65">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66">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67">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68">
    <w:name w:val="清单表 3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69">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70">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71">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72">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73">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74">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75">
    <w:name w:val="清单表 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76">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77">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78">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79">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80">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81">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82">
    <w:name w:val="清单表 5 深色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83">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84">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85">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86">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87">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88">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89">
    <w:name w:val="清单表 6 彩色1"/>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90">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91">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92">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93">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94">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95">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96">
    <w:name w:val="清单表 7 彩色1"/>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97">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98">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99">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00">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01">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02">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03">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4">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05">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06">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07">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08">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09">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10">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11">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12">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13">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14">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15">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16">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17">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18">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19">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20">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21">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22">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23">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24">
    <w:name w:val="脚注文本 字符"/>
    <w:link w:val="26"/>
    <w:qFormat/>
    <w:uiPriority w:val="99"/>
    <w:rPr>
      <w:sz w:val="18"/>
    </w:rPr>
  </w:style>
  <w:style w:type="character" w:customStyle="1" w:styleId="225">
    <w:name w:val="尾注文本 字符"/>
    <w:link w:val="20"/>
    <w:qFormat/>
    <w:uiPriority w:val="99"/>
    <w:rPr>
      <w:sz w:val="20"/>
    </w:rPr>
  </w:style>
  <w:style w:type="paragraph" w:customStyle="1" w:styleId="226">
    <w:name w:val="TOC 标题1"/>
    <w:unhideWhenUsed/>
    <w:qFormat/>
    <w:uiPriority w:val="39"/>
    <w:rPr>
      <w:rFonts w:hint="default" w:ascii="Times New Roman" w:hAnsi="Times New Roman" w:eastAsia="宋体" w:cs="Times New Roman"/>
      <w:lang w:val="en-US" w:eastAsia="zh-CN" w:bidi="ar-SA"/>
    </w:rPr>
  </w:style>
  <w:style w:type="paragraph" w:customStyle="1" w:styleId="227">
    <w:name w:val="标题 11"/>
    <w:basedOn w:val="1"/>
    <w:next w:val="1"/>
    <w:link w:val="239"/>
    <w:qFormat/>
    <w:uiPriority w:val="0"/>
    <w:pPr>
      <w:keepNext/>
      <w:jc w:val="center"/>
      <w:outlineLvl w:val="0"/>
    </w:pPr>
    <w:rPr>
      <w:rFonts w:ascii="楷体_GB2312" w:eastAsia="楷体_GB2312"/>
      <w:sz w:val="28"/>
      <w:szCs w:val="28"/>
    </w:rPr>
  </w:style>
  <w:style w:type="paragraph" w:customStyle="1" w:styleId="228">
    <w:name w:val="标题 211"/>
    <w:basedOn w:val="1"/>
    <w:next w:val="229"/>
    <w:link w:val="240"/>
    <w:qFormat/>
    <w:uiPriority w:val="0"/>
    <w:pPr>
      <w:keepNext/>
      <w:keepLines/>
      <w:spacing w:before="260" w:after="260" w:line="416" w:lineRule="auto"/>
      <w:jc w:val="center"/>
      <w:outlineLvl w:val="1"/>
    </w:pPr>
    <w:rPr>
      <w:rFonts w:ascii="Arial" w:hAnsi="Arial" w:eastAsia="幼圆"/>
      <w:b/>
      <w:bCs/>
      <w:sz w:val="44"/>
      <w:szCs w:val="44"/>
    </w:rPr>
  </w:style>
  <w:style w:type="paragraph" w:customStyle="1" w:styleId="229">
    <w:name w:val="正文缩进1"/>
    <w:basedOn w:val="1"/>
    <w:link w:val="241"/>
    <w:qFormat/>
    <w:uiPriority w:val="0"/>
    <w:pPr>
      <w:ind w:firstLine="420"/>
    </w:pPr>
    <w:rPr>
      <w:sz w:val="20"/>
      <w:szCs w:val="21"/>
    </w:rPr>
  </w:style>
  <w:style w:type="paragraph" w:customStyle="1" w:styleId="230">
    <w:name w:val="标题 31"/>
    <w:basedOn w:val="1"/>
    <w:next w:val="229"/>
    <w:link w:val="242"/>
    <w:qFormat/>
    <w:uiPriority w:val="0"/>
    <w:pPr>
      <w:keepNext/>
      <w:keepLines/>
      <w:spacing w:before="260" w:after="260" w:line="416" w:lineRule="auto"/>
      <w:outlineLvl w:val="2"/>
    </w:pPr>
    <w:rPr>
      <w:b/>
      <w:bCs/>
      <w:sz w:val="32"/>
      <w:szCs w:val="32"/>
    </w:rPr>
  </w:style>
  <w:style w:type="paragraph" w:customStyle="1" w:styleId="231">
    <w:name w:val="标题 41"/>
    <w:basedOn w:val="1"/>
    <w:next w:val="229"/>
    <w:link w:val="243"/>
    <w:qFormat/>
    <w:uiPriority w:val="0"/>
    <w:pPr>
      <w:keepNext/>
      <w:keepLines/>
      <w:spacing w:before="280" w:after="290" w:line="376" w:lineRule="auto"/>
      <w:outlineLvl w:val="3"/>
    </w:pPr>
    <w:rPr>
      <w:rFonts w:ascii="Arial" w:hAnsi="Arial" w:eastAsia="黑体"/>
      <w:b/>
      <w:bCs/>
      <w:sz w:val="28"/>
      <w:szCs w:val="28"/>
    </w:rPr>
  </w:style>
  <w:style w:type="paragraph" w:customStyle="1" w:styleId="232">
    <w:name w:val="标题 51"/>
    <w:basedOn w:val="1"/>
    <w:next w:val="229"/>
    <w:link w:val="244"/>
    <w:qFormat/>
    <w:uiPriority w:val="0"/>
    <w:pPr>
      <w:keepNext/>
      <w:outlineLvl w:val="4"/>
    </w:pPr>
    <w:rPr>
      <w:rFonts w:ascii="宋体"/>
      <w:color w:val="000000"/>
      <w:sz w:val="28"/>
      <w:szCs w:val="28"/>
    </w:rPr>
  </w:style>
  <w:style w:type="paragraph" w:customStyle="1" w:styleId="233">
    <w:name w:val="标题 61"/>
    <w:basedOn w:val="1"/>
    <w:next w:val="1"/>
    <w:link w:val="245"/>
    <w:qFormat/>
    <w:uiPriority w:val="0"/>
    <w:pPr>
      <w:keepNext/>
      <w:keepLines/>
      <w:numPr>
        <w:ilvl w:val="5"/>
        <w:numId w:val="1"/>
      </w:numPr>
      <w:spacing w:before="240" w:after="64" w:line="320" w:lineRule="auto"/>
      <w:outlineLvl w:val="5"/>
    </w:pPr>
    <w:rPr>
      <w:rFonts w:ascii="Arial" w:hAnsi="Arial" w:eastAsia="黑体"/>
      <w:b/>
      <w:bCs/>
      <w:sz w:val="24"/>
      <w:szCs w:val="24"/>
    </w:rPr>
  </w:style>
  <w:style w:type="paragraph" w:customStyle="1" w:styleId="234">
    <w:name w:val="标题 71"/>
    <w:basedOn w:val="1"/>
    <w:next w:val="1"/>
    <w:link w:val="246"/>
    <w:qFormat/>
    <w:uiPriority w:val="0"/>
    <w:pPr>
      <w:keepNext/>
      <w:keepLines/>
      <w:numPr>
        <w:ilvl w:val="6"/>
        <w:numId w:val="1"/>
      </w:numPr>
      <w:spacing w:before="240" w:after="64" w:line="320" w:lineRule="auto"/>
      <w:outlineLvl w:val="6"/>
    </w:pPr>
    <w:rPr>
      <w:b/>
      <w:bCs/>
      <w:sz w:val="24"/>
      <w:szCs w:val="24"/>
    </w:rPr>
  </w:style>
  <w:style w:type="paragraph" w:customStyle="1" w:styleId="235">
    <w:name w:val="标题 81"/>
    <w:basedOn w:val="1"/>
    <w:next w:val="1"/>
    <w:link w:val="247"/>
    <w:qFormat/>
    <w:uiPriority w:val="0"/>
    <w:pPr>
      <w:keepNext/>
      <w:keepLines/>
      <w:numPr>
        <w:ilvl w:val="7"/>
        <w:numId w:val="1"/>
      </w:numPr>
      <w:spacing w:before="240" w:after="64" w:line="320" w:lineRule="auto"/>
      <w:outlineLvl w:val="7"/>
    </w:pPr>
    <w:rPr>
      <w:rFonts w:ascii="Arial" w:hAnsi="Arial" w:eastAsia="黑体"/>
      <w:sz w:val="24"/>
      <w:szCs w:val="24"/>
    </w:rPr>
  </w:style>
  <w:style w:type="paragraph" w:customStyle="1" w:styleId="236">
    <w:name w:val="标题 91"/>
    <w:basedOn w:val="1"/>
    <w:next w:val="1"/>
    <w:link w:val="248"/>
    <w:qFormat/>
    <w:uiPriority w:val="0"/>
    <w:pPr>
      <w:keepNext/>
      <w:keepLines/>
      <w:numPr>
        <w:ilvl w:val="8"/>
        <w:numId w:val="1"/>
      </w:numPr>
      <w:spacing w:before="240" w:after="64" w:line="320" w:lineRule="auto"/>
      <w:outlineLvl w:val="8"/>
    </w:pPr>
    <w:rPr>
      <w:rFonts w:ascii="Arial" w:hAnsi="Arial" w:eastAsia="黑体"/>
      <w:sz w:val="20"/>
      <w:szCs w:val="21"/>
    </w:rPr>
  </w:style>
  <w:style w:type="character" w:customStyle="1" w:styleId="237">
    <w:name w:val="默认段落字体1"/>
    <w:unhideWhenUsed/>
    <w:qFormat/>
    <w:uiPriority w:val="1"/>
  </w:style>
  <w:style w:type="table" w:customStyle="1" w:styleId="238">
    <w:name w:val="普通表格1"/>
    <w:unhideWhenUsed/>
    <w:qFormat/>
    <w:uiPriority w:val="99"/>
    <w:tblPr>
      <w:tblCellMar>
        <w:top w:w="0" w:type="dxa"/>
        <w:left w:w="0" w:type="dxa"/>
        <w:bottom w:w="0" w:type="dxa"/>
        <w:right w:w="0" w:type="dxa"/>
      </w:tblCellMar>
    </w:tblPr>
  </w:style>
  <w:style w:type="character" w:customStyle="1" w:styleId="239">
    <w:name w:val="标题 1 Char"/>
    <w:link w:val="227"/>
    <w:qFormat/>
    <w:uiPriority w:val="0"/>
    <w:rPr>
      <w:rFonts w:ascii="楷体_GB2312" w:hAnsi="Times New Roman" w:eastAsia="楷体_GB2312" w:cs="Times New Roman"/>
      <w:sz w:val="28"/>
      <w:szCs w:val="28"/>
    </w:rPr>
  </w:style>
  <w:style w:type="character" w:customStyle="1" w:styleId="240">
    <w:name w:val="标题 2 Char"/>
    <w:link w:val="228"/>
    <w:qFormat/>
    <w:uiPriority w:val="0"/>
    <w:rPr>
      <w:rFonts w:ascii="Arial" w:hAnsi="Arial" w:eastAsia="幼圆" w:cs="Arial"/>
      <w:b/>
      <w:bCs/>
      <w:sz w:val="44"/>
      <w:szCs w:val="44"/>
    </w:rPr>
  </w:style>
  <w:style w:type="character" w:customStyle="1" w:styleId="241">
    <w:name w:val="正文缩进 Char"/>
    <w:link w:val="229"/>
    <w:qFormat/>
    <w:uiPriority w:val="0"/>
    <w:rPr>
      <w:szCs w:val="21"/>
    </w:rPr>
  </w:style>
  <w:style w:type="character" w:customStyle="1" w:styleId="242">
    <w:name w:val="标题 3 Char"/>
    <w:link w:val="230"/>
    <w:qFormat/>
    <w:uiPriority w:val="0"/>
    <w:rPr>
      <w:rFonts w:ascii="Times New Roman" w:hAnsi="Times New Roman" w:eastAsia="宋体" w:cs="Times New Roman"/>
      <w:b/>
      <w:bCs/>
      <w:sz w:val="32"/>
      <w:szCs w:val="32"/>
    </w:rPr>
  </w:style>
  <w:style w:type="character" w:customStyle="1" w:styleId="243">
    <w:name w:val="标题 4 Char"/>
    <w:link w:val="231"/>
    <w:qFormat/>
    <w:uiPriority w:val="0"/>
    <w:rPr>
      <w:rFonts w:ascii="Arial" w:hAnsi="Arial" w:eastAsia="黑体" w:cs="Arial"/>
      <w:b/>
      <w:bCs/>
      <w:sz w:val="28"/>
      <w:szCs w:val="28"/>
    </w:rPr>
  </w:style>
  <w:style w:type="character" w:customStyle="1" w:styleId="244">
    <w:name w:val="标题 5 Char"/>
    <w:link w:val="232"/>
    <w:qFormat/>
    <w:uiPriority w:val="0"/>
    <w:rPr>
      <w:rFonts w:ascii="宋体" w:hAnsi="Times New Roman" w:eastAsia="宋体" w:cs="Times New Roman"/>
      <w:color w:val="000000"/>
      <w:sz w:val="28"/>
      <w:szCs w:val="28"/>
    </w:rPr>
  </w:style>
  <w:style w:type="character" w:customStyle="1" w:styleId="245">
    <w:name w:val="标题 6 Char"/>
    <w:link w:val="233"/>
    <w:qFormat/>
    <w:uiPriority w:val="0"/>
    <w:rPr>
      <w:rFonts w:ascii="Arial" w:hAnsi="Arial" w:eastAsia="黑体" w:cs="Times New Roman"/>
      <w:b/>
      <w:bCs/>
      <w:sz w:val="24"/>
      <w:szCs w:val="24"/>
    </w:rPr>
  </w:style>
  <w:style w:type="character" w:customStyle="1" w:styleId="246">
    <w:name w:val="标题 7 Char"/>
    <w:link w:val="234"/>
    <w:qFormat/>
    <w:uiPriority w:val="0"/>
    <w:rPr>
      <w:rFonts w:ascii="Times New Roman" w:hAnsi="Times New Roman" w:eastAsia="宋体" w:cs="Times New Roman"/>
      <w:b/>
      <w:bCs/>
      <w:sz w:val="24"/>
      <w:szCs w:val="24"/>
    </w:rPr>
  </w:style>
  <w:style w:type="character" w:customStyle="1" w:styleId="247">
    <w:name w:val="标题 8 Char"/>
    <w:link w:val="235"/>
    <w:qFormat/>
    <w:uiPriority w:val="0"/>
    <w:rPr>
      <w:rFonts w:ascii="Arial" w:hAnsi="Arial" w:eastAsia="黑体" w:cs="Times New Roman"/>
      <w:sz w:val="24"/>
      <w:szCs w:val="24"/>
    </w:rPr>
  </w:style>
  <w:style w:type="character" w:customStyle="1" w:styleId="248">
    <w:name w:val="标题 9 Char"/>
    <w:link w:val="236"/>
    <w:qFormat/>
    <w:uiPriority w:val="0"/>
    <w:rPr>
      <w:rFonts w:ascii="Arial" w:hAnsi="Arial" w:eastAsia="黑体" w:cs="Times New Roman"/>
      <w:szCs w:val="21"/>
    </w:rPr>
  </w:style>
  <w:style w:type="paragraph" w:customStyle="1" w:styleId="249">
    <w:name w:val="列表 31"/>
    <w:basedOn w:val="1"/>
    <w:qFormat/>
    <w:uiPriority w:val="0"/>
    <w:pPr>
      <w:ind w:left="100" w:hanging="200"/>
    </w:pPr>
    <w:rPr>
      <w:szCs w:val="21"/>
    </w:rPr>
  </w:style>
  <w:style w:type="paragraph" w:customStyle="1" w:styleId="250">
    <w:name w:val="目录 71"/>
    <w:basedOn w:val="1"/>
    <w:next w:val="1"/>
    <w:semiHidden/>
    <w:qFormat/>
    <w:uiPriority w:val="0"/>
    <w:pPr>
      <w:ind w:left="1260"/>
      <w:jc w:val="left"/>
    </w:pPr>
    <w:rPr>
      <w:szCs w:val="21"/>
    </w:rPr>
  </w:style>
  <w:style w:type="paragraph" w:customStyle="1" w:styleId="251">
    <w:name w:val="文档结构图1"/>
    <w:basedOn w:val="1"/>
    <w:link w:val="252"/>
    <w:semiHidden/>
    <w:qFormat/>
    <w:uiPriority w:val="0"/>
    <w:pPr>
      <w:shd w:val="clear" w:color="auto" w:fill="000080"/>
    </w:pPr>
    <w:rPr>
      <w:sz w:val="20"/>
      <w:szCs w:val="21"/>
    </w:rPr>
  </w:style>
  <w:style w:type="character" w:customStyle="1" w:styleId="252">
    <w:name w:val="文档结构图 Char"/>
    <w:link w:val="251"/>
    <w:semiHidden/>
    <w:qFormat/>
    <w:uiPriority w:val="0"/>
    <w:rPr>
      <w:rFonts w:ascii="Times New Roman" w:hAnsi="Times New Roman" w:eastAsia="宋体" w:cs="Times New Roman"/>
      <w:szCs w:val="21"/>
      <w:shd w:val="clear" w:color="auto" w:fill="000080"/>
    </w:rPr>
  </w:style>
  <w:style w:type="paragraph" w:customStyle="1" w:styleId="253">
    <w:name w:val="批注文字11"/>
    <w:basedOn w:val="1"/>
    <w:link w:val="254"/>
    <w:unhideWhenUsed/>
    <w:qFormat/>
    <w:uiPriority w:val="99"/>
    <w:pPr>
      <w:jc w:val="left"/>
    </w:pPr>
  </w:style>
  <w:style w:type="character" w:customStyle="1" w:styleId="254">
    <w:name w:val="批注文字 Char"/>
    <w:link w:val="253"/>
    <w:semiHidden/>
    <w:qFormat/>
    <w:uiPriority w:val="99"/>
  </w:style>
  <w:style w:type="paragraph" w:customStyle="1" w:styleId="255">
    <w:name w:val="正文文本 31"/>
    <w:basedOn w:val="1"/>
    <w:link w:val="256"/>
    <w:qFormat/>
    <w:uiPriority w:val="0"/>
    <w:rPr>
      <w:rFonts w:ascii="仿宋_GB2312" w:hAnsi="Arial" w:eastAsia="仿宋_GB2312"/>
      <w:sz w:val="32"/>
      <w:szCs w:val="32"/>
    </w:rPr>
  </w:style>
  <w:style w:type="character" w:customStyle="1" w:styleId="256">
    <w:name w:val="正文文本 3 Char"/>
    <w:link w:val="255"/>
    <w:qFormat/>
    <w:uiPriority w:val="0"/>
    <w:rPr>
      <w:rFonts w:ascii="仿宋_GB2312" w:hAnsi="Arial" w:eastAsia="仿宋_GB2312" w:cs="Times New Roman"/>
      <w:sz w:val="32"/>
      <w:szCs w:val="32"/>
    </w:rPr>
  </w:style>
  <w:style w:type="paragraph" w:customStyle="1" w:styleId="257">
    <w:name w:val="正文文本2"/>
    <w:basedOn w:val="1"/>
    <w:next w:val="1"/>
    <w:link w:val="258"/>
    <w:qFormat/>
    <w:uiPriority w:val="0"/>
    <w:rPr>
      <w:rFonts w:ascii="楷体_GB2312" w:hAnsi="Arial" w:eastAsia="楷体_GB2312"/>
      <w:sz w:val="28"/>
      <w:szCs w:val="28"/>
    </w:rPr>
  </w:style>
  <w:style w:type="character" w:customStyle="1" w:styleId="258">
    <w:name w:val="正文文本 Char"/>
    <w:link w:val="257"/>
    <w:qFormat/>
    <w:uiPriority w:val="0"/>
    <w:rPr>
      <w:rFonts w:ascii="楷体_GB2312" w:hAnsi="Arial" w:eastAsia="楷体_GB2312" w:cs="Times New Roman"/>
      <w:sz w:val="28"/>
      <w:szCs w:val="28"/>
    </w:rPr>
  </w:style>
  <w:style w:type="paragraph" w:customStyle="1" w:styleId="259">
    <w:name w:val="正文文本缩进1"/>
    <w:basedOn w:val="1"/>
    <w:link w:val="260"/>
    <w:unhideWhenUsed/>
    <w:qFormat/>
    <w:uiPriority w:val="99"/>
    <w:pPr>
      <w:spacing w:after="120"/>
      <w:ind w:left="420"/>
    </w:pPr>
  </w:style>
  <w:style w:type="character" w:customStyle="1" w:styleId="260">
    <w:name w:val="正文文本缩进 Char"/>
    <w:link w:val="259"/>
    <w:semiHidden/>
    <w:qFormat/>
    <w:uiPriority w:val="99"/>
  </w:style>
  <w:style w:type="paragraph" w:customStyle="1" w:styleId="261">
    <w:name w:val="列表 21"/>
    <w:basedOn w:val="1"/>
    <w:qFormat/>
    <w:uiPriority w:val="0"/>
    <w:pPr>
      <w:ind w:left="100" w:hanging="200"/>
    </w:pPr>
    <w:rPr>
      <w:szCs w:val="21"/>
    </w:rPr>
  </w:style>
  <w:style w:type="paragraph" w:customStyle="1" w:styleId="262">
    <w:name w:val="目录 51"/>
    <w:basedOn w:val="1"/>
    <w:next w:val="1"/>
    <w:semiHidden/>
    <w:qFormat/>
    <w:uiPriority w:val="0"/>
    <w:pPr>
      <w:ind w:left="840"/>
      <w:jc w:val="left"/>
    </w:pPr>
    <w:rPr>
      <w:szCs w:val="21"/>
    </w:rPr>
  </w:style>
  <w:style w:type="paragraph" w:customStyle="1" w:styleId="263">
    <w:name w:val="目录 31"/>
    <w:basedOn w:val="1"/>
    <w:next w:val="1"/>
    <w:semiHidden/>
    <w:qFormat/>
    <w:uiPriority w:val="0"/>
    <w:pPr>
      <w:ind w:left="420"/>
      <w:jc w:val="left"/>
    </w:pPr>
    <w:rPr>
      <w:i/>
      <w:iCs/>
      <w:szCs w:val="24"/>
    </w:rPr>
  </w:style>
  <w:style w:type="paragraph" w:customStyle="1" w:styleId="264">
    <w:name w:val="纯文本1"/>
    <w:basedOn w:val="1"/>
    <w:link w:val="265"/>
    <w:qFormat/>
    <w:uiPriority w:val="0"/>
    <w:rPr>
      <w:rFonts w:ascii="宋体" w:hAnsi="Courier New"/>
      <w:sz w:val="20"/>
      <w:szCs w:val="21"/>
    </w:rPr>
  </w:style>
  <w:style w:type="character" w:customStyle="1" w:styleId="265">
    <w:name w:val="纯文本 Char"/>
    <w:link w:val="264"/>
    <w:qFormat/>
    <w:uiPriority w:val="0"/>
    <w:rPr>
      <w:rFonts w:ascii="宋体" w:hAnsi="Courier New" w:eastAsia="宋体" w:cs="Courier New"/>
      <w:szCs w:val="21"/>
    </w:rPr>
  </w:style>
  <w:style w:type="paragraph" w:customStyle="1" w:styleId="266">
    <w:name w:val="目录 81"/>
    <w:basedOn w:val="1"/>
    <w:next w:val="1"/>
    <w:semiHidden/>
    <w:qFormat/>
    <w:uiPriority w:val="0"/>
    <w:pPr>
      <w:ind w:left="1470"/>
      <w:jc w:val="left"/>
    </w:pPr>
    <w:rPr>
      <w:szCs w:val="21"/>
    </w:rPr>
  </w:style>
  <w:style w:type="paragraph" w:customStyle="1" w:styleId="267">
    <w:name w:val="日期1"/>
    <w:basedOn w:val="1"/>
    <w:next w:val="1"/>
    <w:link w:val="268"/>
    <w:qFormat/>
    <w:uiPriority w:val="0"/>
    <w:rPr>
      <w:sz w:val="24"/>
      <w:szCs w:val="24"/>
    </w:rPr>
  </w:style>
  <w:style w:type="character" w:customStyle="1" w:styleId="268">
    <w:name w:val="日期 Char"/>
    <w:link w:val="267"/>
    <w:qFormat/>
    <w:uiPriority w:val="0"/>
    <w:rPr>
      <w:rFonts w:ascii="Times New Roman" w:hAnsi="Times New Roman" w:eastAsia="宋体" w:cs="Times New Roman"/>
      <w:sz w:val="24"/>
      <w:szCs w:val="24"/>
    </w:rPr>
  </w:style>
  <w:style w:type="paragraph" w:customStyle="1" w:styleId="269">
    <w:name w:val="正文文本缩进 21"/>
    <w:basedOn w:val="1"/>
    <w:link w:val="270"/>
    <w:qFormat/>
    <w:uiPriority w:val="0"/>
    <w:pPr>
      <w:ind w:left="630" w:firstLine="645"/>
    </w:pPr>
    <w:rPr>
      <w:rFonts w:ascii="Arial" w:hAnsi="Arial" w:eastAsia="仿宋_GB2312"/>
      <w:sz w:val="32"/>
      <w:szCs w:val="32"/>
    </w:rPr>
  </w:style>
  <w:style w:type="character" w:customStyle="1" w:styleId="270">
    <w:name w:val="正文文本缩进 2 Char"/>
    <w:link w:val="269"/>
    <w:qFormat/>
    <w:uiPriority w:val="0"/>
    <w:rPr>
      <w:rFonts w:ascii="Arial" w:hAnsi="Arial" w:eastAsia="仿宋_GB2312" w:cs="Arial"/>
      <w:sz w:val="32"/>
      <w:szCs w:val="32"/>
    </w:rPr>
  </w:style>
  <w:style w:type="paragraph" w:customStyle="1" w:styleId="271">
    <w:name w:val="批注框文本1"/>
    <w:basedOn w:val="1"/>
    <w:link w:val="272"/>
    <w:semiHidden/>
    <w:qFormat/>
    <w:uiPriority w:val="0"/>
    <w:rPr>
      <w:sz w:val="18"/>
      <w:szCs w:val="18"/>
    </w:rPr>
  </w:style>
  <w:style w:type="character" w:customStyle="1" w:styleId="272">
    <w:name w:val="批注框文本 Char"/>
    <w:link w:val="271"/>
    <w:semiHidden/>
    <w:qFormat/>
    <w:uiPriority w:val="0"/>
    <w:rPr>
      <w:rFonts w:ascii="Times New Roman" w:hAnsi="Times New Roman" w:eastAsia="宋体" w:cs="Times New Roman"/>
      <w:sz w:val="18"/>
      <w:szCs w:val="18"/>
    </w:rPr>
  </w:style>
  <w:style w:type="paragraph" w:customStyle="1" w:styleId="273">
    <w:name w:val="页脚1"/>
    <w:basedOn w:val="1"/>
    <w:link w:val="274"/>
    <w:qFormat/>
    <w:uiPriority w:val="0"/>
    <w:pPr>
      <w:tabs>
        <w:tab w:val="center" w:pos="4153"/>
        <w:tab w:val="right" w:pos="8306"/>
      </w:tabs>
      <w:jc w:val="left"/>
    </w:pPr>
    <w:rPr>
      <w:sz w:val="18"/>
      <w:szCs w:val="18"/>
    </w:rPr>
  </w:style>
  <w:style w:type="character" w:customStyle="1" w:styleId="274">
    <w:name w:val="页脚 Char"/>
    <w:link w:val="273"/>
    <w:qFormat/>
    <w:uiPriority w:val="0"/>
    <w:rPr>
      <w:rFonts w:ascii="Times New Roman" w:hAnsi="Times New Roman" w:eastAsia="宋体" w:cs="Times New Roman"/>
      <w:sz w:val="18"/>
      <w:szCs w:val="18"/>
    </w:rPr>
  </w:style>
  <w:style w:type="paragraph" w:customStyle="1" w:styleId="275">
    <w:name w:val="页眉1"/>
    <w:basedOn w:val="1"/>
    <w:link w:val="276"/>
    <w:qFormat/>
    <w:uiPriority w:val="0"/>
    <w:pPr>
      <w:pBdr>
        <w:bottom w:val="single" w:color="000000" w:sz="6" w:space="1"/>
      </w:pBdr>
      <w:tabs>
        <w:tab w:val="center" w:pos="4153"/>
        <w:tab w:val="right" w:pos="8306"/>
      </w:tabs>
      <w:jc w:val="center"/>
    </w:pPr>
    <w:rPr>
      <w:sz w:val="18"/>
      <w:szCs w:val="18"/>
    </w:rPr>
  </w:style>
  <w:style w:type="character" w:customStyle="1" w:styleId="276">
    <w:name w:val="页眉 Char"/>
    <w:link w:val="275"/>
    <w:qFormat/>
    <w:uiPriority w:val="0"/>
    <w:rPr>
      <w:rFonts w:ascii="Times New Roman" w:hAnsi="Times New Roman" w:eastAsia="宋体" w:cs="Times New Roman"/>
      <w:sz w:val="18"/>
      <w:szCs w:val="18"/>
    </w:rPr>
  </w:style>
  <w:style w:type="paragraph" w:customStyle="1" w:styleId="277">
    <w:name w:val="目录 11"/>
    <w:basedOn w:val="1"/>
    <w:next w:val="1"/>
    <w:semiHidden/>
    <w:qFormat/>
    <w:uiPriority w:val="0"/>
    <w:pPr>
      <w:tabs>
        <w:tab w:val="right" w:leader="dot" w:pos="8720"/>
      </w:tabs>
      <w:spacing w:before="120" w:after="120" w:line="400" w:lineRule="exact"/>
      <w:jc w:val="left"/>
    </w:pPr>
    <w:rPr>
      <w:rFonts w:ascii="宋体" w:hAnsi="宋体"/>
      <w:caps/>
      <w:sz w:val="24"/>
      <w:szCs w:val="24"/>
    </w:rPr>
  </w:style>
  <w:style w:type="paragraph" w:customStyle="1" w:styleId="278">
    <w:name w:val="目录 41"/>
    <w:basedOn w:val="1"/>
    <w:next w:val="1"/>
    <w:semiHidden/>
    <w:qFormat/>
    <w:uiPriority w:val="0"/>
    <w:pPr>
      <w:ind w:left="630"/>
      <w:jc w:val="left"/>
    </w:pPr>
    <w:rPr>
      <w:szCs w:val="21"/>
    </w:rPr>
  </w:style>
  <w:style w:type="paragraph" w:customStyle="1" w:styleId="279">
    <w:name w:val="列表1"/>
    <w:basedOn w:val="1"/>
    <w:qFormat/>
    <w:uiPriority w:val="0"/>
    <w:pPr>
      <w:ind w:left="200" w:hanging="200"/>
    </w:pPr>
    <w:rPr>
      <w:szCs w:val="21"/>
    </w:rPr>
  </w:style>
  <w:style w:type="paragraph" w:customStyle="1" w:styleId="280">
    <w:name w:val="目录 61"/>
    <w:basedOn w:val="1"/>
    <w:next w:val="1"/>
    <w:semiHidden/>
    <w:qFormat/>
    <w:uiPriority w:val="0"/>
    <w:pPr>
      <w:ind w:left="1050"/>
      <w:jc w:val="left"/>
    </w:pPr>
    <w:rPr>
      <w:szCs w:val="21"/>
    </w:rPr>
  </w:style>
  <w:style w:type="paragraph" w:customStyle="1" w:styleId="281">
    <w:name w:val="正文文本缩进 31"/>
    <w:basedOn w:val="1"/>
    <w:link w:val="282"/>
    <w:qFormat/>
    <w:uiPriority w:val="0"/>
    <w:pPr>
      <w:ind w:left="645" w:firstLine="645"/>
    </w:pPr>
    <w:rPr>
      <w:rFonts w:ascii="Arial" w:hAnsi="Arial" w:eastAsia="仿宋_GB2312"/>
      <w:color w:val="FFFF00"/>
      <w:sz w:val="32"/>
      <w:szCs w:val="32"/>
    </w:rPr>
  </w:style>
  <w:style w:type="character" w:customStyle="1" w:styleId="282">
    <w:name w:val="正文文本缩进 3 Char"/>
    <w:link w:val="281"/>
    <w:qFormat/>
    <w:uiPriority w:val="0"/>
    <w:rPr>
      <w:rFonts w:ascii="Arial" w:hAnsi="Arial" w:eastAsia="仿宋_GB2312" w:cs="Arial"/>
      <w:color w:val="FFFF00"/>
      <w:sz w:val="32"/>
      <w:szCs w:val="32"/>
    </w:rPr>
  </w:style>
  <w:style w:type="paragraph" w:customStyle="1" w:styleId="283">
    <w:name w:val="图表目录1"/>
    <w:basedOn w:val="1"/>
    <w:next w:val="1"/>
    <w:semiHidden/>
    <w:qFormat/>
    <w:uiPriority w:val="0"/>
    <w:pPr>
      <w:ind w:left="840" w:hanging="420"/>
    </w:pPr>
    <w:rPr>
      <w:szCs w:val="21"/>
    </w:rPr>
  </w:style>
  <w:style w:type="paragraph" w:customStyle="1" w:styleId="284">
    <w:name w:val="目录 21"/>
    <w:basedOn w:val="1"/>
    <w:next w:val="1"/>
    <w:semiHidden/>
    <w:qFormat/>
    <w:uiPriority w:val="0"/>
    <w:pPr>
      <w:ind w:left="210"/>
      <w:jc w:val="left"/>
    </w:pPr>
    <w:rPr>
      <w:smallCaps/>
      <w:szCs w:val="24"/>
    </w:rPr>
  </w:style>
  <w:style w:type="paragraph" w:customStyle="1" w:styleId="285">
    <w:name w:val="目录 91"/>
    <w:basedOn w:val="1"/>
    <w:next w:val="1"/>
    <w:semiHidden/>
    <w:qFormat/>
    <w:uiPriority w:val="0"/>
    <w:pPr>
      <w:ind w:left="1680"/>
      <w:jc w:val="left"/>
    </w:pPr>
    <w:rPr>
      <w:szCs w:val="21"/>
    </w:rPr>
  </w:style>
  <w:style w:type="paragraph" w:customStyle="1" w:styleId="286">
    <w:name w:val="正文文本 21"/>
    <w:basedOn w:val="1"/>
    <w:link w:val="287"/>
    <w:qFormat/>
    <w:uiPriority w:val="0"/>
    <w:pPr>
      <w:widowControl/>
      <w:jc w:val="center"/>
    </w:pPr>
    <w:rPr>
      <w:rFonts w:ascii="楷体_GB2312" w:eastAsia="楷体_GB2312"/>
      <w:sz w:val="28"/>
      <w:szCs w:val="28"/>
    </w:rPr>
  </w:style>
  <w:style w:type="character" w:customStyle="1" w:styleId="287">
    <w:name w:val="正文文本 2 Char"/>
    <w:link w:val="286"/>
    <w:qFormat/>
    <w:uiPriority w:val="0"/>
    <w:rPr>
      <w:rFonts w:ascii="楷体_GB2312" w:hAnsi="Times New Roman" w:eastAsia="楷体_GB2312" w:cs="Times New Roman"/>
      <w:sz w:val="28"/>
      <w:szCs w:val="28"/>
    </w:rPr>
  </w:style>
  <w:style w:type="paragraph" w:customStyle="1" w:styleId="288">
    <w:name w:val="普通(网站)1"/>
    <w:basedOn w:val="1"/>
    <w:qFormat/>
    <w:uiPriority w:val="99"/>
    <w:pPr>
      <w:widowControl/>
      <w:spacing w:before="100" w:beforeAutospacing="1" w:after="100" w:afterAutospacing="1"/>
      <w:jc w:val="left"/>
    </w:pPr>
    <w:rPr>
      <w:rFonts w:ascii="宋体" w:hAnsi="宋体" w:cs="宋体"/>
      <w:sz w:val="24"/>
      <w:szCs w:val="24"/>
    </w:rPr>
  </w:style>
  <w:style w:type="paragraph" w:customStyle="1" w:styleId="289">
    <w:name w:val="索引 11"/>
    <w:basedOn w:val="1"/>
    <w:next w:val="1"/>
    <w:semiHidden/>
    <w:qFormat/>
    <w:uiPriority w:val="0"/>
    <w:pPr>
      <w:spacing w:line="240" w:lineRule="atLeast"/>
    </w:pPr>
    <w:rPr>
      <w:b/>
      <w:bCs/>
      <w:szCs w:val="21"/>
    </w:rPr>
  </w:style>
  <w:style w:type="paragraph" w:customStyle="1" w:styleId="290">
    <w:name w:val="批注主题1"/>
    <w:basedOn w:val="253"/>
    <w:next w:val="253"/>
    <w:link w:val="291"/>
    <w:semiHidden/>
    <w:qFormat/>
    <w:uiPriority w:val="0"/>
    <w:rPr>
      <w:b/>
      <w:bCs/>
      <w:sz w:val="20"/>
      <w:szCs w:val="21"/>
    </w:rPr>
  </w:style>
  <w:style w:type="character" w:customStyle="1" w:styleId="291">
    <w:name w:val="批注主题 Char"/>
    <w:link w:val="290"/>
    <w:semiHidden/>
    <w:qFormat/>
    <w:uiPriority w:val="0"/>
    <w:rPr>
      <w:rFonts w:ascii="Times New Roman" w:hAnsi="Times New Roman" w:eastAsia="宋体" w:cs="Times New Roman"/>
      <w:b/>
      <w:bCs/>
      <w:szCs w:val="21"/>
    </w:rPr>
  </w:style>
  <w:style w:type="paragraph" w:customStyle="1" w:styleId="292">
    <w:name w:val="正文首行缩进2"/>
    <w:basedOn w:val="1"/>
    <w:link w:val="293"/>
    <w:qFormat/>
    <w:uiPriority w:val="0"/>
    <w:pPr>
      <w:spacing w:line="360" w:lineRule="auto"/>
      <w:ind w:firstLine="200"/>
    </w:pPr>
    <w:rPr>
      <w:rFonts w:ascii="仿宋_GB2312" w:eastAsia="仿宋_GB2312"/>
      <w:sz w:val="30"/>
      <w:szCs w:val="30"/>
    </w:rPr>
  </w:style>
  <w:style w:type="character" w:customStyle="1" w:styleId="293">
    <w:name w:val="正文首行缩进 Char"/>
    <w:link w:val="292"/>
    <w:qFormat/>
    <w:uiPriority w:val="0"/>
    <w:rPr>
      <w:rFonts w:ascii="仿宋_GB2312" w:hAnsi="Times New Roman" w:eastAsia="仿宋_GB2312" w:cs="Times New Roman"/>
      <w:sz w:val="30"/>
      <w:szCs w:val="30"/>
    </w:rPr>
  </w:style>
  <w:style w:type="paragraph" w:customStyle="1" w:styleId="294">
    <w:name w:val="正文首行缩进 21"/>
    <w:basedOn w:val="259"/>
    <w:link w:val="295"/>
    <w:qFormat/>
    <w:uiPriority w:val="0"/>
    <w:pPr>
      <w:spacing w:after="0" w:line="360" w:lineRule="auto"/>
      <w:ind w:left="0" w:firstLine="420"/>
    </w:pPr>
    <w:rPr>
      <w:rFonts w:ascii="宋体" w:hAnsi="宋体"/>
      <w:sz w:val="20"/>
      <w:szCs w:val="20"/>
    </w:rPr>
  </w:style>
  <w:style w:type="character" w:customStyle="1" w:styleId="295">
    <w:name w:val="正文首行缩进 2 Char"/>
    <w:link w:val="294"/>
    <w:qFormat/>
    <w:uiPriority w:val="0"/>
    <w:rPr>
      <w:rFonts w:ascii="宋体" w:hAnsi="宋体" w:eastAsia="宋体" w:cs="Times New Roman"/>
      <w:szCs w:val="20"/>
    </w:rPr>
  </w:style>
  <w:style w:type="table" w:customStyle="1" w:styleId="296">
    <w:name w:val="网格型1"/>
    <w:basedOn w:val="238"/>
    <w:qFormat/>
    <w:uiPriority w:val="0"/>
    <w:pPr>
      <w:widowControl w:val="0"/>
      <w:jc w:val="both"/>
    </w:pPr>
  </w:style>
  <w:style w:type="character" w:customStyle="1" w:styleId="297">
    <w:name w:val="要点1"/>
    <w:qFormat/>
    <w:uiPriority w:val="0"/>
    <w:rPr>
      <w:b/>
      <w:bCs/>
    </w:rPr>
  </w:style>
  <w:style w:type="character" w:customStyle="1" w:styleId="298">
    <w:name w:val="页码1"/>
    <w:qFormat/>
    <w:uiPriority w:val="0"/>
  </w:style>
  <w:style w:type="character" w:customStyle="1" w:styleId="299">
    <w:name w:val="已访问的超链接1"/>
    <w:qFormat/>
    <w:uiPriority w:val="0"/>
    <w:rPr>
      <w:color w:val="800080"/>
      <w:u w:val="single"/>
    </w:rPr>
  </w:style>
  <w:style w:type="character" w:customStyle="1" w:styleId="300">
    <w:name w:val="超链接1"/>
    <w:qFormat/>
    <w:uiPriority w:val="0"/>
    <w:rPr>
      <w:color w:val="0000FF"/>
      <w:u w:val="single"/>
    </w:rPr>
  </w:style>
  <w:style w:type="character" w:customStyle="1" w:styleId="301">
    <w:name w:val="批注引用1"/>
    <w:semiHidden/>
    <w:qFormat/>
    <w:uiPriority w:val="0"/>
    <w:rPr>
      <w:sz w:val="21"/>
      <w:szCs w:val="21"/>
    </w:rPr>
  </w:style>
  <w:style w:type="paragraph" w:customStyle="1" w:styleId="302">
    <w:name w:val="Default"/>
    <w:qFormat/>
    <w:uiPriority w:val="0"/>
    <w:pPr>
      <w:widowControl w:val="0"/>
    </w:pPr>
    <w:rPr>
      <w:rFonts w:hint="default" w:ascii="宋体" w:hAnsi="Times New Roman" w:eastAsia="宋体" w:cs="宋体"/>
      <w:color w:val="000000"/>
      <w:sz w:val="24"/>
      <w:szCs w:val="24"/>
      <w:lang w:val="en-US" w:eastAsia="zh-CN" w:bidi="ar-SA"/>
    </w:rPr>
  </w:style>
  <w:style w:type="character" w:customStyle="1" w:styleId="303">
    <w:name w:val="font5 Char"/>
    <w:qFormat/>
    <w:uiPriority w:val="0"/>
    <w:rPr>
      <w:rFonts w:ascii="宋体" w:hAnsi="宋体" w:eastAsia="宋体"/>
      <w:sz w:val="28"/>
      <w:szCs w:val="28"/>
      <w:lang w:val="en-US" w:eastAsia="zh-CN" w:bidi="ar-SA"/>
    </w:rPr>
  </w:style>
  <w:style w:type="character" w:customStyle="1" w:styleId="304">
    <w:name w:val="二级目录 Char"/>
    <w:link w:val="305"/>
    <w:qFormat/>
    <w:uiPriority w:val="0"/>
    <w:rPr>
      <w:b/>
      <w:sz w:val="30"/>
      <w:szCs w:val="28"/>
    </w:rPr>
  </w:style>
  <w:style w:type="paragraph" w:customStyle="1" w:styleId="305">
    <w:name w:val="二级目录"/>
    <w:next w:val="1"/>
    <w:link w:val="304"/>
    <w:qFormat/>
    <w:uiPriority w:val="0"/>
    <w:pPr>
      <w:tabs>
        <w:tab w:val="left" w:pos="907"/>
        <w:tab w:val="left" w:pos="1145"/>
      </w:tabs>
      <w:ind w:left="907" w:hanging="907"/>
      <w:outlineLvl w:val="1"/>
    </w:pPr>
    <w:rPr>
      <w:rFonts w:hint="default" w:ascii="Times New Roman" w:hAnsi="Times New Roman" w:eastAsia="宋体" w:cs="Times New Roman"/>
      <w:b/>
      <w:sz w:val="30"/>
      <w:szCs w:val="28"/>
      <w:lang w:val="en-US" w:eastAsia="zh-CN" w:bidi="ar-SA"/>
    </w:rPr>
  </w:style>
  <w:style w:type="character" w:customStyle="1" w:styleId="306">
    <w:name w:val="列出段落 Char"/>
    <w:link w:val="307"/>
    <w:qFormat/>
    <w:uiPriority w:val="0"/>
    <w:rPr>
      <w:rFonts w:ascii="Calibri" w:hAnsi="Calibri"/>
      <w:sz w:val="24"/>
      <w:szCs w:val="24"/>
      <w:lang w:eastAsia="en-US" w:bidi="en-US"/>
    </w:rPr>
  </w:style>
  <w:style w:type="paragraph" w:customStyle="1" w:styleId="307">
    <w:name w:val="列出段落1"/>
    <w:basedOn w:val="1"/>
    <w:link w:val="306"/>
    <w:qFormat/>
    <w:uiPriority w:val="0"/>
    <w:pPr>
      <w:widowControl/>
      <w:ind w:left="720"/>
      <w:contextualSpacing/>
      <w:jc w:val="left"/>
    </w:pPr>
    <w:rPr>
      <w:rFonts w:ascii="Calibri" w:hAnsi="Calibri"/>
      <w:sz w:val="24"/>
      <w:szCs w:val="24"/>
      <w:lang w:eastAsia="en-US" w:bidi="en-US"/>
    </w:rPr>
  </w:style>
  <w:style w:type="paragraph" w:customStyle="1" w:styleId="308">
    <w:name w:val="Body Text(ch)"/>
    <w:basedOn w:val="1"/>
    <w:next w:val="257"/>
    <w:qFormat/>
    <w:uiPriority w:val="0"/>
    <w:pPr>
      <w:spacing w:after="120"/>
    </w:pPr>
    <w:rPr>
      <w:rFonts w:ascii="宋体" w:hAnsi="Arial"/>
      <w:bCs/>
      <w:iCs/>
      <w:szCs w:val="24"/>
    </w:rPr>
  </w:style>
  <w:style w:type="paragraph" w:customStyle="1" w:styleId="309">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310">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311">
    <w:name w:val="Char"/>
    <w:basedOn w:val="1"/>
    <w:qFormat/>
    <w:uiPriority w:val="0"/>
    <w:pPr>
      <w:tabs>
        <w:tab w:val="left" w:pos="360"/>
      </w:tabs>
      <w:ind w:firstLine="200"/>
    </w:pPr>
    <w:rPr>
      <w:sz w:val="28"/>
      <w:szCs w:val="30"/>
    </w:rPr>
  </w:style>
  <w:style w:type="paragraph" w:customStyle="1" w:styleId="312">
    <w:name w:val="Char1"/>
    <w:basedOn w:val="251"/>
    <w:qFormat/>
    <w:uiPriority w:val="0"/>
    <w:rPr>
      <w:rFonts w:ascii="Tahoma" w:hAnsi="Tahoma"/>
      <w:sz w:val="24"/>
      <w:szCs w:val="24"/>
    </w:rPr>
  </w:style>
  <w:style w:type="paragraph" w:customStyle="1" w:styleId="313">
    <w:name w:val="普通正文"/>
    <w:basedOn w:val="1"/>
    <w:qFormat/>
    <w:uiPriority w:val="0"/>
    <w:pPr>
      <w:spacing w:before="120" w:after="120" w:line="360" w:lineRule="auto"/>
      <w:ind w:firstLine="480"/>
      <w:jc w:val="left"/>
    </w:pPr>
    <w:rPr>
      <w:rFonts w:ascii="Arial" w:hAnsi="Arial"/>
      <w:sz w:val="24"/>
      <w:szCs w:val="24"/>
    </w:rPr>
  </w:style>
  <w:style w:type="paragraph" w:customStyle="1" w:styleId="314">
    <w:name w:val="table_lines"/>
    <w:basedOn w:val="1"/>
    <w:qFormat/>
    <w:uiPriority w:val="0"/>
    <w:pPr>
      <w:widowControl/>
      <w:jc w:val="left"/>
    </w:pPr>
    <w:rPr>
      <w:sz w:val="20"/>
      <w:szCs w:val="20"/>
      <w:lang w:val="de-DE" w:eastAsia="de-DE"/>
    </w:rPr>
  </w:style>
  <w:style w:type="paragraph" w:customStyle="1" w:styleId="315">
    <w:name w:val="附录1"/>
    <w:qFormat/>
    <w:uiPriority w:val="0"/>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customStyle="1" w:styleId="316">
    <w:name w:val="font7"/>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317">
    <w:name w:val="Char Char Char Char"/>
    <w:basedOn w:val="251"/>
    <w:qFormat/>
    <w:uiPriority w:val="0"/>
    <w:pPr>
      <w:spacing w:line="360" w:lineRule="auto"/>
    </w:pPr>
    <w:rPr>
      <w:rFonts w:ascii="Tahoma" w:hAnsi="Tahoma"/>
      <w:sz w:val="24"/>
      <w:szCs w:val="24"/>
    </w:rPr>
  </w:style>
  <w:style w:type="paragraph" w:customStyle="1" w:styleId="318">
    <w:name w:val="列出段落2"/>
    <w:basedOn w:val="1"/>
    <w:qFormat/>
    <w:uiPriority w:val="0"/>
    <w:pPr>
      <w:widowControl/>
      <w:ind w:left="720"/>
      <w:contextualSpacing/>
      <w:jc w:val="left"/>
    </w:pPr>
    <w:rPr>
      <w:rFonts w:ascii="Calibri" w:hAnsi="Calibri"/>
      <w:sz w:val="24"/>
      <w:szCs w:val="24"/>
      <w:lang w:eastAsia="en-US" w:bidi="en-US"/>
    </w:rPr>
  </w:style>
  <w:style w:type="paragraph" w:customStyle="1" w:styleId="319">
    <w:name w:val="4"/>
    <w:basedOn w:val="1"/>
    <w:next w:val="281"/>
    <w:qFormat/>
    <w:uiPriority w:val="0"/>
    <w:pPr>
      <w:spacing w:line="360" w:lineRule="auto"/>
      <w:ind w:firstLine="420"/>
    </w:pPr>
    <w:rPr>
      <w:color w:val="FF0000"/>
      <w:sz w:val="24"/>
      <w:szCs w:val="24"/>
    </w:rPr>
  </w:style>
  <w:style w:type="paragraph" w:customStyle="1" w:styleId="320">
    <w:name w:val="普通 (Web)"/>
    <w:basedOn w:val="1"/>
    <w:qFormat/>
    <w:uiPriority w:val="0"/>
    <w:pPr>
      <w:widowControl/>
      <w:spacing w:before="100" w:beforeAutospacing="1" w:after="100" w:afterAutospacing="1"/>
      <w:jc w:val="left"/>
    </w:pPr>
    <w:rPr>
      <w:rFonts w:ascii="宋体" w:hAnsi="宋体"/>
      <w:sz w:val="24"/>
      <w:szCs w:val="24"/>
    </w:rPr>
  </w:style>
  <w:style w:type="paragraph" w:customStyle="1" w:styleId="321">
    <w:name w:val="Char Char Char Char Char Char Char Char Char Char"/>
    <w:basedOn w:val="1"/>
    <w:qFormat/>
    <w:uiPriority w:val="0"/>
    <w:pPr>
      <w:spacing w:line="360" w:lineRule="auto"/>
    </w:pPr>
    <w:rPr>
      <w:sz w:val="24"/>
      <w:szCs w:val="20"/>
    </w:rPr>
  </w:style>
  <w:style w:type="paragraph" w:customStyle="1" w:styleId="322">
    <w:name w:val="样式1"/>
    <w:basedOn w:val="1"/>
    <w:qFormat/>
    <w:uiPriority w:val="0"/>
    <w:pPr>
      <w:numPr>
        <w:ilvl w:val="0"/>
        <w:numId w:val="3"/>
      </w:numPr>
    </w:pPr>
    <w:rPr>
      <w:rFonts w:ascii="宋体" w:hAnsi="宋体"/>
      <w:szCs w:val="21"/>
    </w:rPr>
  </w:style>
  <w:style w:type="paragraph" w:customStyle="1" w:styleId="323">
    <w:name w:val="font6"/>
    <w:basedOn w:val="1"/>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324">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325">
    <w:name w:val="图标"/>
    <w:basedOn w:val="1"/>
    <w:next w:val="1"/>
    <w:qFormat/>
    <w:uiPriority w:val="0"/>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326">
    <w:name w:val="标题3"/>
    <w:basedOn w:val="1"/>
    <w:next w:val="1"/>
    <w:qFormat/>
    <w:uiPriority w:val="0"/>
    <w:pPr>
      <w:spacing w:line="590" w:lineRule="atLeast"/>
      <w:ind w:firstLine="624"/>
    </w:pPr>
    <w:rPr>
      <w:rFonts w:ascii="方正黑体_GBK" w:eastAsia="方正黑体_GBK"/>
      <w:sz w:val="32"/>
      <w:szCs w:val="32"/>
    </w:rPr>
  </w:style>
  <w:style w:type="paragraph" w:customStyle="1" w:styleId="327">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328">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329">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330">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331">
    <w:name w:val="Char 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332">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333">
    <w:name w:val="Char Char Char Char1"/>
    <w:basedOn w:val="251"/>
    <w:qFormat/>
    <w:uiPriority w:val="0"/>
    <w:pPr>
      <w:spacing w:line="360" w:lineRule="auto"/>
    </w:pPr>
    <w:rPr>
      <w:rFonts w:ascii="Tahoma" w:hAnsi="Tahoma"/>
      <w:sz w:val="24"/>
      <w:szCs w:val="24"/>
    </w:rPr>
  </w:style>
  <w:style w:type="paragraph" w:customStyle="1" w:styleId="334">
    <w:name w:val="table_1stline"/>
    <w:basedOn w:val="1"/>
    <w:qFormat/>
    <w:uiPriority w:val="0"/>
    <w:pPr>
      <w:widowControl/>
      <w:spacing w:before="120"/>
      <w:jc w:val="left"/>
    </w:pPr>
    <w:rPr>
      <w:bCs/>
      <w:sz w:val="20"/>
      <w:szCs w:val="20"/>
      <w:lang w:val="de-DE" w:eastAsia="de-DE"/>
    </w:rPr>
  </w:style>
  <w:style w:type="paragraph" w:customStyle="1" w:styleId="335">
    <w:name w:val="font5"/>
    <w:basedOn w:val="1"/>
    <w:qFormat/>
    <w:uiPriority w:val="0"/>
    <w:pPr>
      <w:widowControl/>
      <w:spacing w:before="100" w:beforeAutospacing="1" w:after="100" w:afterAutospacing="1"/>
      <w:jc w:val="left"/>
    </w:pPr>
    <w:rPr>
      <w:rFonts w:hint="eastAsia" w:ascii="宋体" w:hAnsi="宋体"/>
      <w:sz w:val="28"/>
      <w:szCs w:val="28"/>
    </w:rPr>
  </w:style>
  <w:style w:type="paragraph" w:customStyle="1" w:styleId="336">
    <w:name w:val="标题1"/>
    <w:basedOn w:val="1"/>
    <w:next w:val="1"/>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337">
    <w:name w:val="修订1"/>
    <w:semiHidden/>
    <w:qFormat/>
    <w:uiPriority w:val="99"/>
    <w:rPr>
      <w:rFonts w:hint="default" w:ascii="Times New Roman" w:hAnsi="Times New Roman" w:eastAsia="宋体" w:cs="Times New Roman"/>
      <w:sz w:val="21"/>
      <w:szCs w:val="21"/>
      <w:lang w:val="en-US" w:eastAsia="zh-CN" w:bidi="ar-SA"/>
    </w:rPr>
  </w:style>
  <w:style w:type="paragraph" w:customStyle="1" w:styleId="338">
    <w:name w:val="无间隔1"/>
    <w:qFormat/>
    <w:uiPriority w:val="99"/>
    <w:pPr>
      <w:widowControl w:val="0"/>
      <w:jc w:val="both"/>
    </w:pPr>
    <w:rPr>
      <w:rFonts w:hint="default" w:ascii="Times New Roman" w:hAnsi="Times New Roman" w:eastAsia="宋体" w:cs="Times New Roman"/>
      <w:sz w:val="21"/>
      <w:szCs w:val="21"/>
      <w:lang w:val="en-US" w:eastAsia="zh-CN" w:bidi="ar-SA"/>
    </w:rPr>
  </w:style>
  <w:style w:type="paragraph" w:customStyle="1" w:styleId="339">
    <w:name w:val="标题 21"/>
    <w:basedOn w:val="1"/>
    <w:next w:val="1"/>
    <w:link w:val="340"/>
    <w:qFormat/>
    <w:uiPriority w:val="0"/>
    <w:pPr>
      <w:keepNext/>
      <w:keepLines/>
      <w:spacing w:before="260" w:after="260" w:line="413" w:lineRule="auto"/>
      <w:outlineLvl w:val="1"/>
    </w:pPr>
    <w:rPr>
      <w:rFonts w:ascii="Arial" w:hAnsi="Arial" w:eastAsia="黑体"/>
      <w:b/>
      <w:sz w:val="32"/>
      <w:szCs w:val="20"/>
    </w:rPr>
  </w:style>
  <w:style w:type="character" w:customStyle="1" w:styleId="340">
    <w:name w:val="标题 2 字符"/>
    <w:link w:val="339"/>
    <w:qFormat/>
    <w:uiPriority w:val="0"/>
    <w:rPr>
      <w:rFonts w:ascii="Arial" w:hAnsi="Arial" w:eastAsia="黑体"/>
      <w:b/>
      <w:sz w:val="32"/>
    </w:rPr>
  </w:style>
  <w:style w:type="paragraph" w:customStyle="1" w:styleId="341">
    <w:name w:val="批注文字1"/>
    <w:basedOn w:val="1"/>
    <w:link w:val="342"/>
    <w:qFormat/>
    <w:uiPriority w:val="99"/>
    <w:pPr>
      <w:jc w:val="left"/>
    </w:pPr>
    <w:rPr>
      <w:szCs w:val="20"/>
    </w:rPr>
  </w:style>
  <w:style w:type="character" w:customStyle="1" w:styleId="342">
    <w:name w:val="批注文字 字符"/>
    <w:link w:val="341"/>
    <w:qFormat/>
    <w:uiPriority w:val="99"/>
    <w:rPr>
      <w:sz w:val="21"/>
    </w:rPr>
  </w:style>
  <w:style w:type="paragraph" w:customStyle="1" w:styleId="343">
    <w:name w:val="Normal_0_1"/>
    <w:qFormat/>
    <w:uiPriority w:val="0"/>
    <w:rPr>
      <w:rFonts w:hint="default" w:ascii="黑体" w:hAnsi="黑体" w:eastAsia="黑体" w:cs="Times New Roman"/>
      <w:b/>
      <w:sz w:val="32"/>
      <w:szCs w:val="24"/>
      <w:lang w:val="en-US" w:eastAsia="zh-CN" w:bidi="ar-SA"/>
    </w:rPr>
  </w:style>
  <w:style w:type="paragraph" w:customStyle="1" w:styleId="344">
    <w:name w:val="Normal_1_1"/>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345">
    <w:name w:val="正文_16"/>
    <w:basedOn w:val="346"/>
    <w:next w:val="1"/>
    <w:qFormat/>
    <w:uiPriority w:val="0"/>
  </w:style>
  <w:style w:type="paragraph" w:customStyle="1" w:styleId="346">
    <w:name w:val="正文_17"/>
    <w:next w:val="347"/>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347">
    <w:name w:val="正文文本_1"/>
    <w:basedOn w:val="346"/>
    <w:next w:val="346"/>
    <w:qFormat/>
    <w:uiPriority w:val="0"/>
    <w:pPr>
      <w:spacing w:line="60" w:lineRule="auto"/>
    </w:pPr>
    <w:rPr>
      <w:rFonts w:ascii="仿宋_GB2312" w:hAnsi="Calibri" w:eastAsia="仿宋_GB2312"/>
      <w:sz w:val="32"/>
    </w:rPr>
  </w:style>
  <w:style w:type="paragraph" w:customStyle="1" w:styleId="348">
    <w:name w:val="正文空2字"/>
    <w:basedOn w:val="1"/>
    <w:qFormat/>
    <w:uiPriority w:val="99"/>
    <w:pPr>
      <w:spacing w:line="560" w:lineRule="exact"/>
      <w:ind w:firstLine="640"/>
      <w:jc w:val="left"/>
    </w:pPr>
    <w:rPr>
      <w:rFonts w:ascii="仿宋_GB2312" w:hAnsi="仿宋_GB2312" w:eastAsia="仿宋_GB2312" w:cs="仿宋_GB2312"/>
      <w:sz w:val="32"/>
      <w:szCs w:val="32"/>
      <w:lang w:val="zh-TW"/>
    </w:rPr>
  </w:style>
  <w:style w:type="character" w:customStyle="1" w:styleId="349">
    <w:name w:val="标题 4 字符"/>
    <w:qFormat/>
    <w:uiPriority w:val="0"/>
    <w:rPr>
      <w:rFonts w:ascii="Arial" w:hAnsi="Arial" w:eastAsia="黑体" w:cs="Arial"/>
      <w:b/>
      <w:bCs/>
      <w:sz w:val="28"/>
      <w:szCs w:val="28"/>
    </w:rPr>
  </w:style>
  <w:style w:type="paragraph" w:customStyle="1" w:styleId="350">
    <w:name w:val="Normal_20"/>
    <w:qFormat/>
    <w:uiPriority w:val="0"/>
    <w:rPr>
      <w:rFonts w:hint="default" w:ascii="黑体" w:hAnsi="黑体" w:eastAsia="黑体" w:cs="黑体"/>
      <w:b/>
      <w:sz w:val="32"/>
      <w:szCs w:val="24"/>
      <w:lang w:val="en-US" w:eastAsia="zh-CN" w:bidi="ar-SA"/>
    </w:rPr>
  </w:style>
  <w:style w:type="paragraph" w:customStyle="1" w:styleId="351">
    <w:name w:val="正文_15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52">
    <w:name w:val="Normal_18_0"/>
    <w:qFormat/>
    <w:uiPriority w:val="0"/>
    <w:rPr>
      <w:rFonts w:hint="default" w:ascii="黑体" w:hAnsi="黑体" w:eastAsia="黑体" w:cs="黑体"/>
      <w:b/>
      <w:sz w:val="32"/>
      <w:szCs w:val="24"/>
      <w:lang w:val="en-US" w:eastAsia="zh-CN" w:bidi="ar-SA"/>
    </w:rPr>
  </w:style>
  <w:style w:type="paragraph" w:customStyle="1" w:styleId="353">
    <w:name w:val="正文_12_0_0_0_0"/>
    <w:basedOn w:val="1"/>
    <w:qFormat/>
    <w:uiPriority w:val="0"/>
    <w:rPr>
      <w:szCs w:val="24"/>
    </w:rPr>
  </w:style>
  <w:style w:type="paragraph" w:customStyle="1" w:styleId="354">
    <w:name w:val="正文_12_0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55">
    <w:name w:val="正文_14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56">
    <w:name w:val="正文_14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57">
    <w:name w:val="正文1_0"/>
    <w:qFormat/>
    <w:uiPriority w:val="0"/>
    <w:pPr>
      <w:widowControl w:val="0"/>
      <w:jc w:val="both"/>
    </w:pPr>
    <w:rPr>
      <w:rFonts w:hint="default" w:ascii="Times New Roman" w:hAnsi="Times New Roman" w:eastAsia="宋体" w:cs="Times New Roman"/>
      <w:szCs w:val="24"/>
      <w:lang w:val="en-US" w:eastAsia="zh-CN" w:bidi="ar-SA"/>
    </w:rPr>
  </w:style>
  <w:style w:type="paragraph" w:customStyle="1" w:styleId="358">
    <w:name w:val="正文_16_0_0"/>
    <w:next w:val="357"/>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59">
    <w:name w:val="Normal_3_0"/>
    <w:qFormat/>
    <w:uiPriority w:val="0"/>
    <w:rPr>
      <w:rFonts w:hint="default" w:ascii="黑体" w:hAnsi="黑体" w:eastAsia="黑体" w:cs="Times New Roman"/>
      <w:b/>
      <w:sz w:val="32"/>
      <w:szCs w:val="24"/>
      <w:lang w:val="en-US" w:eastAsia="zh-CN" w:bidi="ar-SA"/>
    </w:rPr>
  </w:style>
  <w:style w:type="paragraph" w:customStyle="1" w:styleId="360">
    <w:name w:val="Normal_4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61">
    <w:name w:val="正文_2_0_0_0_0_0"/>
    <w:next w:val="362"/>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62">
    <w:name w:val="列表接续 2_0_0_0_0"/>
    <w:basedOn w:val="363"/>
    <w:next w:val="361"/>
    <w:qFormat/>
    <w:uiPriority w:val="0"/>
    <w:pPr>
      <w:spacing w:after="120"/>
      <w:ind w:left="840"/>
    </w:pPr>
  </w:style>
  <w:style w:type="paragraph" w:customStyle="1" w:styleId="363">
    <w:name w:val="正文_14_0_0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64">
    <w:name w:val="正文_2_0_0_0_0_0_0"/>
    <w:next w:val="365"/>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65">
    <w:name w:val="列表接续 2_0_0_0_0_0"/>
    <w:basedOn w:val="366"/>
    <w:next w:val="364"/>
    <w:qFormat/>
    <w:uiPriority w:val="0"/>
    <w:pPr>
      <w:spacing w:after="120"/>
      <w:ind w:left="840"/>
    </w:pPr>
  </w:style>
  <w:style w:type="paragraph" w:customStyle="1" w:styleId="366">
    <w:name w:val="正文_14_0_0_0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67">
    <w:name w:val="正文_18_0"/>
    <w:next w:val="368"/>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68">
    <w:name w:val="段_1_0"/>
    <w:next w:val="367"/>
    <w:qFormat/>
    <w:uiPriority w:val="0"/>
    <w:pPr>
      <w:tabs>
        <w:tab w:val="center" w:pos="4201"/>
        <w:tab w:val="right" w:leader="dot" w:pos="9298"/>
      </w:tabs>
      <w:ind w:firstLine="420"/>
      <w:jc w:val="both"/>
    </w:pPr>
    <w:rPr>
      <w:rFonts w:hint="default" w:ascii="Calibri Light" w:hAnsi="Wingdings" w:eastAsia="宋体" w:cs="Times New Roman"/>
      <w:sz w:val="21"/>
      <w:lang w:val="en-US" w:eastAsia="zh-CN" w:bidi="ar-SA"/>
    </w:rPr>
  </w:style>
  <w:style w:type="paragraph" w:customStyle="1" w:styleId="369">
    <w:name w:val="正文_1_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70">
    <w:name w:val="正文_6_0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71">
    <w:name w:val="正文_1_1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72">
    <w:name w:val="Normal_11_0"/>
    <w:qFormat/>
    <w:uiPriority w:val="0"/>
    <w:pPr>
      <w:widowControl w:val="0"/>
      <w:jc w:val="both"/>
    </w:pPr>
    <w:rPr>
      <w:rFonts w:hint="default" w:ascii="Calibri" w:hAnsi="Calibri" w:eastAsia="宋体" w:cs="Times New Roman"/>
      <w:sz w:val="21"/>
      <w:szCs w:val="22"/>
      <w:lang w:val="en-US" w:eastAsia="zh-CN" w:bidi="ar-SA"/>
    </w:rPr>
  </w:style>
  <w:style w:type="character" w:customStyle="1" w:styleId="373">
    <w:name w:val="NormalCharacter1"/>
    <w:semiHidden/>
    <w:qFormat/>
    <w:uiPriority w:val="0"/>
    <w:rPr>
      <w:rFonts w:ascii="Calibri" w:hAnsi="Calibri" w:eastAsia="宋体" w:cs="Times New Roman"/>
      <w:sz w:val="21"/>
      <w:szCs w:val="24"/>
      <w:lang w:val="en-US" w:eastAsia="zh-CN" w:bidi="ar-SA"/>
    </w:rPr>
  </w:style>
  <w:style w:type="paragraph" w:customStyle="1" w:styleId="374">
    <w:name w:val="正文_2"/>
    <w:basedOn w:val="345"/>
    <w:qFormat/>
    <w:uiPriority w:val="0"/>
    <w:rPr>
      <w:rFonts w:cs="宋体"/>
      <w:szCs w:val="21"/>
    </w:rPr>
  </w:style>
  <w:style w:type="paragraph" w:customStyle="1" w:styleId="375">
    <w:name w:val="正文文本_0"/>
    <w:basedOn w:val="374"/>
    <w:next w:val="374"/>
    <w:qFormat/>
    <w:uiPriority w:val="0"/>
    <w:pPr>
      <w:spacing w:line="60" w:lineRule="auto"/>
    </w:pPr>
    <w:rPr>
      <w:rFonts w:ascii="仿宋_GB2312" w:eastAsia="仿宋_GB2312"/>
      <w:sz w:val="32"/>
    </w:rPr>
  </w:style>
  <w:style w:type="paragraph" w:customStyle="1" w:styleId="376">
    <w:name w:val="普通(网站)_1"/>
    <w:basedOn w:val="346"/>
    <w:unhideWhenUsed/>
    <w:qFormat/>
    <w:uiPriority w:val="99"/>
    <w:pPr>
      <w:widowControl/>
      <w:spacing w:before="100" w:beforeAutospacing="1" w:after="100" w:afterAutospacing="1"/>
      <w:jc w:val="left"/>
    </w:pPr>
    <w:rPr>
      <w:rFonts w:ascii="宋体" w:hAnsi="Calibri" w:cs="宋体"/>
      <w:sz w:val="24"/>
      <w:szCs w:val="24"/>
    </w:rPr>
  </w:style>
  <w:style w:type="paragraph" w:customStyle="1" w:styleId="377">
    <w:name w:val="正文_2_0"/>
    <w:basedOn w:val="346"/>
    <w:next w:val="1"/>
    <w:qFormat/>
    <w:uiPriority w:val="0"/>
    <w:rPr>
      <w:rFonts w:ascii="Calibri" w:hAnsi="Calibri" w:cs="宋体"/>
      <w:szCs w:val="21"/>
    </w:rPr>
  </w:style>
  <w:style w:type="character" w:customStyle="1" w:styleId="378">
    <w:name w:val="10"/>
    <w:qFormat/>
    <w:uiPriority w:val="0"/>
    <w:rPr>
      <w:rFonts w:ascii="Times New Roman" w:hAnsi="Times New Roman"/>
    </w:rPr>
  </w:style>
  <w:style w:type="character" w:customStyle="1" w:styleId="379">
    <w:name w:val="16_0"/>
    <w:qFormat/>
    <w:uiPriority w:val="0"/>
    <w:rPr>
      <w:rFonts w:ascii="Calibri" w:hAnsi="Calibri" w:eastAsia="宋体" w:cs="Times New Roman"/>
      <w:sz w:val="21"/>
      <w:szCs w:val="21"/>
    </w:rPr>
  </w:style>
  <w:style w:type="paragraph" w:customStyle="1" w:styleId="380">
    <w:name w:val="普通(网站)_0"/>
    <w:basedOn w:val="345"/>
    <w:unhideWhenUsed/>
    <w:qFormat/>
    <w:uiPriority w:val="99"/>
    <w:pPr>
      <w:widowControl/>
      <w:spacing w:before="100" w:beforeAutospacing="1" w:after="100" w:afterAutospacing="1"/>
      <w:jc w:val="left"/>
    </w:pPr>
    <w:rPr>
      <w:rFonts w:ascii="宋体" w:hAnsi="Calibri" w:cs="宋体"/>
      <w:sz w:val="24"/>
      <w:szCs w:val="24"/>
    </w:rPr>
  </w:style>
  <w:style w:type="paragraph" w:customStyle="1" w:styleId="381">
    <w:name w:val="正文_3_0"/>
    <w:basedOn w:val="374"/>
    <w:qFormat/>
    <w:uiPriority w:val="0"/>
    <w:rPr>
      <w:szCs w:val="22"/>
    </w:rPr>
  </w:style>
  <w:style w:type="paragraph" w:customStyle="1" w:styleId="382">
    <w:name w:val="列出段落_0"/>
    <w:basedOn w:val="346"/>
    <w:qFormat/>
    <w:uiPriority w:val="99"/>
    <w:pPr>
      <w:ind w:firstLine="420"/>
    </w:pPr>
    <w:rPr>
      <w:rFonts w:ascii="Calibri" w:hAnsi="Calibri" w:cs="宋体"/>
      <w:szCs w:val="21"/>
    </w:rPr>
  </w:style>
  <w:style w:type="paragraph" w:customStyle="1" w:styleId="383">
    <w:name w:val="Body Text_0_1"/>
    <w:basedOn w:val="1"/>
    <w:qFormat/>
    <w:uiPriority w:val="1"/>
    <w:pPr>
      <w:jc w:val="left"/>
    </w:pPr>
    <w:rPr>
      <w:rFonts w:ascii="宋体" w:hAnsi="宋体" w:eastAsia="Times New Roman"/>
      <w:sz w:val="24"/>
      <w:szCs w:val="24"/>
    </w:rPr>
  </w:style>
  <w:style w:type="paragraph" w:customStyle="1" w:styleId="384">
    <w:name w:val="Normal_19_1"/>
    <w:next w:val="1"/>
    <w:qFormat/>
    <w:uiPriority w:val="0"/>
    <w:rPr>
      <w:rFonts w:hint="default" w:ascii="Times New Roman" w:hAnsi="Times New Roman" w:eastAsia="Times New Roman" w:cs="Times New Roman"/>
      <w:sz w:val="24"/>
      <w:szCs w:val="24"/>
      <w:lang w:val="en-US" w:eastAsia="zh-CN" w:bidi="ar-SA"/>
    </w:rPr>
  </w:style>
  <w:style w:type="paragraph" w:customStyle="1" w:styleId="385">
    <w:name w:val="正文1"/>
    <w:qFormat/>
    <w:uiPriority w:val="0"/>
    <w:rPr>
      <w:rFonts w:hint="default" w:ascii="Tahoma" w:hAnsi="Tahoma" w:eastAsia="微软雅黑" w:cs="Times New Roman"/>
      <w:lang w:val="en-US" w:eastAsia="zh-CN" w:bidi="ar-SA"/>
    </w:rPr>
  </w:style>
  <w:style w:type="paragraph" w:customStyle="1" w:styleId="386">
    <w:name w:val="正文_12_0_0"/>
    <w:qFormat/>
    <w:uiPriority w:val="0"/>
    <w:pPr>
      <w:widowControl w:val="0"/>
      <w:jc w:val="both"/>
    </w:pPr>
    <w:rPr>
      <w:rFonts w:hint="default" w:ascii="Times New Roman" w:hAnsi="Times New Roman" w:eastAsia="宋体" w:cs="Times New Roman"/>
      <w:sz w:val="21"/>
      <w:szCs w:val="24"/>
      <w:lang w:val="en-US" w:eastAsia="zh-CN" w:bidi="ar-SA"/>
    </w:rPr>
  </w:style>
  <w:style w:type="character" w:customStyle="1" w:styleId="387">
    <w:name w:val="font21"/>
    <w:basedOn w:val="35"/>
    <w:qFormat/>
    <w:uiPriority w:val="0"/>
    <w:rPr>
      <w:rFonts w:hint="eastAsia" w:ascii="仿宋" w:hAnsi="仿宋" w:eastAsia="仿宋" w:cs="仿宋"/>
      <w:color w:val="000000"/>
      <w:sz w:val="24"/>
      <w:szCs w:val="24"/>
      <w:u w:val="single"/>
    </w:rPr>
  </w:style>
  <w:style w:type="character" w:customStyle="1" w:styleId="388">
    <w:name w:val="font11"/>
    <w:basedOn w:val="35"/>
    <w:qFormat/>
    <w:uiPriority w:val="0"/>
    <w:rPr>
      <w:rFonts w:hint="eastAsia" w:ascii="仿宋" w:hAnsi="仿宋" w:eastAsia="仿宋" w:cs="仿宋"/>
      <w:color w:val="000000"/>
      <w:sz w:val="24"/>
      <w:szCs w:val="24"/>
      <w:u w:val="none"/>
    </w:rPr>
  </w:style>
  <w:style w:type="paragraph" w:customStyle="1" w:styleId="389">
    <w:name w:val="WPSOffice手动目录 1"/>
    <w:qFormat/>
    <w:uiPriority w:val="0"/>
    <w:rPr>
      <w:rFonts w:hint="default" w:ascii="Times New Roman" w:hAnsi="Times New Roman" w:eastAsia="宋体" w:cs="Times New Roman"/>
      <w:lang w:val="en-US" w:eastAsia="zh-CN" w:bidi="ar-SA"/>
    </w:rPr>
  </w:style>
  <w:style w:type="character" w:customStyle="1" w:styleId="390">
    <w:name w:val="NormalCharacter"/>
    <w:semiHidden/>
    <w:qFormat/>
    <w:uiPriority w:val="0"/>
    <w:rPr>
      <w:rFonts w:ascii="Calibri" w:hAnsi="Calibri" w:eastAsia="宋体" w:cs="Times New Roman"/>
      <w:sz w:val="21"/>
      <w:szCs w:val="24"/>
      <w:lang w:val="en-US" w:eastAsia="zh-CN" w:bidi="ar-SA"/>
    </w:rPr>
  </w:style>
  <w:style w:type="paragraph" w:customStyle="1" w:styleId="391">
    <w:name w:val="Body Text_0"/>
    <w:basedOn w:val="392"/>
    <w:qFormat/>
    <w:uiPriority w:val="1"/>
    <w:pPr>
      <w:widowControl w:val="0"/>
    </w:pPr>
    <w:rPr>
      <w:rFonts w:ascii="宋体" w:hAnsi="宋体" w:cs="宋体"/>
    </w:rPr>
  </w:style>
  <w:style w:type="paragraph" w:customStyle="1" w:styleId="392">
    <w:name w:val="Normal_19"/>
    <w:next w:val="350"/>
    <w:qFormat/>
    <w:uiPriority w:val="0"/>
    <w:rPr>
      <w:rFonts w:hint="default" w:ascii="Times New Roman" w:hAnsi="Times New Roman" w:eastAsia="Times New Roman" w:cs="Times New Roman"/>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reviewItem>
      <errorID>b02b6138-d94d-475a-b57b-f04dc1479742</errorID>
      <errorWord>2026年07月23日</errorWord>
      <group>L1_Knowledge</group>
      <groupName>知识性问题</groupName>
      <ability>L2_Time</ability>
      <abilityName>日期时间</abilityName>
      <candidateList>
        <item>2026年7月23日</item>
      </candidateList>
      <explain>根据日常书写习惯，月份一般会省略前导零。</explain>
      <paraID> 691B9EF</paraID>
      <start>0</start>
      <end>11</end>
      <status>unmodified</status>
      <modifiedWord/>
      <trackRevisions>false</trackRevisions>
    </reviewItem>
    <reviewItem>
      <errorID>029f8a2b-f10d-4ca5-8fae-3e5bc440b483</errorID>
      <errorWord>中共中央办公厅国务院办公厅</errorWord>
      <group>L1_Political</group>
      <groupName>政治性问题</groupName>
      <ability>L2_Keyword</ability>
      <abilityName>固定表述</abilityName>
      <candidateList>
        <item>中共中央办公厅、国务院办公厅</item>
      </candidateList>
      <explain>注意检查当前固定表述标点是否使用规范。</explain>
      <paraID>69CC50E3</paraID>
      <start>14</start>
      <end>27</end>
      <status>unmodified</status>
      <modifiedWord/>
      <trackRevisions>false</trackRevisions>
    </reviewItem>
    <reviewItem>
      <errorID>f11ecdac-6a4f-426e-af4a-a4bea4d64a02</errorID>
      <errorWord>&lt;</errorWord>
      <group>L1_Format</group>
      <groupName>格式问题</groupName>
      <ability>L2_HalfPunc_CN</ability>
      <abilityName>全半角检查</abilityName>
      <candidateList>
        <item>〈</item>
      </candidateList>
      <explain>文本全半角错误。</explain>
      <paraID>69CC50E3</paraID>
      <start>31</start>
      <end>32</end>
      <status>unmodified</status>
      <modifiedWord/>
      <trackRevisions>false</trackRevisions>
    </reviewItem>
    <reviewItem>
      <errorID>5421a594-4d14-40ff-bbd9-fa51d80ccbda</errorID>
      <errorWord>&gt;的通知》</errorWord>
      <group>L1_Punc</group>
      <groupName>标点问题</groupName>
      <ability>L2_Punc_CN</ability>
      <abilityName>标点符号检查</abilityName>
      <candidateList>
        <item>〉的通知》</item>
      </candidateList>
      <explain/>
      <paraID>69CC50E3</paraID>
      <start>51</start>
      <end>56</end>
      <status>unmodified</status>
      <modifiedWord/>
      <trackRevisions>false</trackRevisions>
    </reviewItem>
    <reviewItem>
      <errorID>851b99da-0dda-4fbc-a0f2-88f17c4edab5</errorID>
      <errorWord>《农村乱占耕地建非住宅类房屋整治销号工作指引》（试行）</errorWord>
      <group>L1_Knowledge</group>
      <groupName>知识性问题</groupName>
      <ability>L2_Knowledge</ability>
      <abilityName>其他知识</abilityName>
      <candidateList>
        <item>《农村乱占耕地建非住宅类房屋整治销号工作指引（试行）》</item>
      </candidateList>
      <explain>疑似政策文件、法律法规名称等书写不规范，请注意检查。</explain>
      <paraID>69CC50E3</paraID>
      <start>70</start>
      <end>97</end>
      <status>unmodified</status>
      <modifiedWord/>
      <trackRevisions>false</trackRevisions>
    </reviewItem>
    <reviewItem>
      <errorID>44e17f6f-c32c-4caa-bbf8-542366b2f1a2</errorID>
      <errorWord>/）</errorWord>
      <group>L1_Punc</group>
      <groupName>标点问题</groupName>
      <ability>L2_Punc_CN</ability>
      <abilityName>标点符号检查</abilityName>
      <candidateList>
        <item>）</item>
      </candidateList>
      <explain/>
      <paraID>526BD54D</paraID>
      <start>57</start>
      <end>59</end>
      <status>unmodified</status>
      <modifiedWord/>
      <trackRevisions>false</trackRevisions>
    </reviewItem>
    <reviewItem>
      <errorID>e7cd522f-bde0-401c-a716-34851eeef8f1</errorID>
      <errorWord>“.</errorWord>
      <group>L1_Punc</group>
      <groupName>标点问题</groupName>
      <ability>L2_Punc_CN</ability>
      <abilityName>标点符号检查</abilityName>
      <candidateList>
        <item>“</item>
      </candidateList>
      <explain/>
      <paraID>526BD54D</paraID>
      <start>132</start>
      <end>134</end>
      <status>unmodified</status>
      <modifiedWord/>
      <trackRevisions>false</trackRevisions>
    </reviewItem>
    <reviewItem>
      <errorID>7638187e-387b-46d6-9734-955f7a596758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5E5E76F4</paraID>
      <start>0</start>
      <end>2</end>
      <status>unmodified</status>
      <modifiedWord/>
      <trackRevisions>false</trackRevisions>
    </reviewItem>
    <reviewItem>
      <errorID>17de9d2a-17a7-4e79-9fc9-5cc341af765b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7197C154</paraID>
      <start>0</start>
      <end>2</end>
      <status>unmodified</status>
      <modifiedWord/>
      <trackRevisions>false</trackRevisions>
    </reviewItem>
    <reviewItem>
      <errorID>9be90cc8-bb98-4968-83ae-72e7abb312ff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1F9133F6</paraID>
      <start>0</start>
      <end>2</end>
      <status>unmodified</status>
      <modifiedWord/>
      <trackRevisions>false</trackRevisions>
    </reviewItem>
    <reviewItem>
      <errorID>49cdce86-77ec-4dd3-b773-34cb75529ede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6C1ABE2A</paraID>
      <start>0</start>
      <end>2</end>
      <status>unmodified</status>
      <modifiedWord/>
      <trackRevisions>false</trackRevisions>
    </reviewItem>
    <reviewItem>
      <errorID>4bd4dd09-5123-428a-80a4-c1c0313af394</errorID>
      <errorWord>国家发改委</errorWord>
      <group>L1_Knowledge</group>
      <groupName>知识性问题</groupName>
      <ability>L2_Knowledge</ability>
      <abilityName>其他知识</abilityName>
      <candidateList>
        <item>国家发展改革委</item>
      </candidateList>
      <explain/>
      <paraID>481AFD28</paraID>
      <start>25</start>
      <end>30</end>
      <status>unmodified</status>
      <modifiedWord/>
      <trackRevisions>false</trackRevisions>
    </reviewItem>
    <reviewItem>
      <errorID>63bf90d0-1ed6-4fc2-8337-d6f235fb6773</errorID>
      <errorWord>[2002]1980号</errorWord>
      <group>L1_Knowledge</group>
      <groupName>知识性问题</groupName>
      <ability>L2_Knowledge</ability>
      <abilityName>其他知识</abilityName>
      <candidateList>
        <item>〔2002〕1980号</item>
      </candidateList>
      <explain>发文字号格式错误。</explain>
      <paraID>481AFD28</paraID>
      <start>48</start>
      <end>59</end>
      <status>unmodified</status>
      <modifiedWord/>
      <trackRevisions>false</trackRevisions>
    </reviewItem>
    <reviewItem>
      <errorID>9c1eb043-dd57-45bc-b550-dd5533438467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22FF73FE</paraID>
      <start>0</start>
      <end>2</end>
      <status>unmodified</status>
      <modifiedWord/>
      <trackRevisions>false</trackRevisions>
    </reviewItem>
    <reviewItem>
      <errorID>651e11b9-903f-45df-8647-fd4e2e3ce448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1073473A</paraID>
      <start>0</start>
      <end>2</end>
      <status>unmodified</status>
      <modifiedWord/>
      <trackRevisions>false</trackRevisions>
    </reviewItem>
    <reviewItem>
      <errorID>a2dcb3d8-615c-4a63-84a4-725c1460eb18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2F001292</paraID>
      <start>0</start>
      <end>2</end>
      <status>unmodified</status>
      <modifiedWord/>
      <trackRevisions>false</trackRevisions>
    </reviewItem>
    <reviewItem>
      <errorID>24646e33-2590-4444-85c1-8b12d5b18a61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3AC7BA1D</paraID>
      <start>0</start>
      <end>2</end>
      <status>unmodified</status>
      <modifiedWord/>
      <trackRevisions>false</trackRevisions>
    </reviewItem>
    <reviewItem>
      <errorID>9fa9af18-942d-43c4-8a95-02d8f65fa7ef</errorID>
      <errorWord>间</errorWord>
      <group>L1_Word</group>
      <groupName>字词问题</groupName>
      <ability>L2_Typo</ability>
      <abilityName>字词错误</abilityName>
      <candidateList>
        <item>间之</item>
      </candidateList>
      <explain/>
      <paraID>52A0ACC0</paraID>
      <start>13</start>
      <end>14</end>
      <status>unmodified</status>
      <modifiedWord/>
      <trackRevisions>false</trackRevisions>
    </reviewItem>
    <reviewItem>
      <errorID>8325024c-1b99-4c84-b4b4-59ee29fd4e1e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4A6C95B3</paraID>
      <start>0</start>
      <end>2</end>
      <status>unmodified</status>
      <modifiedWord/>
      <trackRevisions>false</trackRevisions>
    </reviewItem>
    <reviewItem>
      <errorID>ee78fbbc-dafd-4d1a-97b2-71cf63057cd9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5FDC7E1C</paraID>
      <start>0</start>
      <end>3</end>
      <status>unmodified</status>
      <modifiedWord/>
      <trackRevisions>false</trackRevisions>
    </reviewItem>
    <reviewItem>
      <errorID>08264dbd-ffce-4a57-bb9a-4996964fa87b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1DEBEBD9</paraID>
      <start>0</start>
      <end>3</end>
      <status>unmodified</status>
      <modifiedWord/>
      <trackRevisions>false</trackRevisions>
    </reviewItem>
    <reviewItem>
      <errorID>58306075-a05c-4e38-9377-a11d765bd50a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56CC9F18</paraID>
      <start>0</start>
      <end>3</end>
      <status>unmodified</status>
      <modifiedWord/>
      <trackRevisions>false</trackRevisions>
    </reviewItem>
    <reviewItem>
      <errorID>357b77c0-5584-49d9-88df-f968ee97e78d</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 847753A</paraID>
      <start>98</start>
      <end>101</end>
      <status>unmodified</status>
      <modifiedWord/>
      <trackRevisions>false</trackRevisions>
    </reviewItem>
    <reviewItem>
      <errorID>f9519c62-75ac-4363-a5ab-ff8b1a5f9e74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FB7992D</paraID>
      <start>0</start>
      <end>3</end>
      <status>unmodified</status>
      <modifiedWord/>
      <trackRevisions>false</trackRevisions>
    </reviewItem>
    <reviewItem>
      <errorID>843baac1-71ee-4fa4-ab22-9eb86708fc9c</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630D8015</paraID>
      <start>0</start>
      <end>3</end>
      <status>unmodified</status>
      <modifiedWord/>
      <trackRevisions>false</trackRevisions>
    </reviewItem>
    <reviewItem>
      <errorID>223fbc75-1bb8-4274-8570-a55b3eb01856</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6211B702</paraID>
      <start>0</start>
      <end>3</end>
      <status>unmodified</status>
      <modifiedWord/>
      <trackRevisions>false</trackRevisions>
    </reviewItem>
    <reviewItem>
      <errorID>22e80892-ef34-4521-a784-a544ad875854</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63061134</paraID>
      <start>0</start>
      <end>3</end>
      <status>unmodified</status>
      <modifiedWord/>
      <trackRevisions>false</trackRevisions>
    </reviewItem>
    <reviewItem>
      <errorID>55192cf1-3207-46f1-a360-ef0654572d01</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2DF8A05E</paraID>
      <start>0</start>
      <end>3</end>
      <status>unmodified</status>
      <modifiedWord/>
      <trackRevisions>false</trackRevisions>
    </reviewItem>
    <reviewItem>
      <errorID>33023c72-6f4e-4c3c-a565-312d2c0695a3</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3A5BB6D3</paraID>
      <start>0</start>
      <end>3</end>
      <status>unmodified</status>
      <modifiedWord/>
      <trackRevisions>false</trackRevisions>
    </reviewItem>
    <reviewItem>
      <errorID>98e72b76-ffa6-4910-afc7-a465caab4751</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FD8D82C</paraID>
      <start>0</start>
      <end>3</end>
      <status>unmodified</status>
      <modifiedWord/>
      <trackRevisions>false</trackRevisions>
    </reviewItem>
    <reviewItem>
      <errorID>320bab02-f23b-46a3-b762-5f014652e6a4</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278C8BCA</paraID>
      <start>0</start>
      <end>3</end>
      <status>unmodified</status>
      <modifiedWord/>
      <trackRevisions>false</trackRevisions>
    </reviewItem>
    <reviewItem>
      <errorID>f237c42d-d6aa-4ae7-8789-66bc90ea2ccd</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4C5ACC8D</paraID>
      <start>0</start>
      <end>3</end>
      <status>unmodified</status>
      <modifiedWord/>
      <trackRevisions>false</trackRevisions>
    </reviewItem>
    <reviewItem>
      <errorID>f4f19372-f2c0-496e-b387-cd7923842d08</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4779BE1D</paraID>
      <start>0</start>
      <end>3</end>
      <status>unmodified</status>
      <modifiedWord/>
      <trackRevisions>false</trackRevisions>
    </reviewItem>
    <reviewItem>
      <errorID>3aef0c55-fa6d-4924-94fa-d175770452b2</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9A2D393</paraID>
      <start>0</start>
      <end>3</end>
      <status>unmodified</status>
      <modifiedWord/>
      <trackRevisions>false</trackRevisions>
    </reviewItem>
    <reviewItem>
      <errorID>6c650ab0-c91c-4704-b850-5526a9f7cfb0</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CEE7806</paraID>
      <start>0</start>
      <end>3</end>
      <status>unmodified</status>
      <modifiedWord/>
      <trackRevisions>false</trackRevisions>
    </reviewItem>
    <reviewItem>
      <errorID>585e656a-7836-47a7-8774-e09a75723564</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661F995</paraID>
      <start>0</start>
      <end>3</end>
      <status>unmodified</status>
      <modifiedWord/>
      <trackRevisions>false</trackRevisions>
    </reviewItem>
    <reviewItem>
      <errorID>908ca4bc-b9fd-4cd7-a5f2-47c27029c21d</errorID>
      <errorWord>做出</errorWord>
      <group>L1_Word</group>
      <groupName>字词问题</groupName>
      <ability>L2_Typo</ability>
      <abilityName>字词错误</abilityName>
      <candidateList>
        <item>作出</item>
      </candidateList>
      <explain/>
      <paraID>16234750</paraID>
      <start>29</start>
      <end>31</end>
      <status>unmodified</status>
      <modifiedWord/>
      <trackRevisions>false</trackRevisions>
    </reviewItem>
    <reviewItem>
      <errorID>26e6dd6e-9110-424d-a22b-0d6fd89ad1da</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503E6AA9</paraID>
      <start>0</start>
      <end>3</end>
      <status>unmodified</status>
      <modifiedWord/>
      <trackRevisions>false</trackRevisions>
    </reviewItem>
    <reviewItem>
      <errorID>8f150092-1991-46b5-8029-ff80cf12401b</errorID>
      <errorWord>国家发改委</errorWord>
      <group>L1_Knowledge</group>
      <groupName>知识性问题</groupName>
      <ability>L2_Knowledge</ability>
      <abilityName>其他知识</abilityName>
      <candidateList>
        <item>国家发展改革委</item>
      </candidateList>
      <explain/>
      <paraID>4A5158BD</paraID>
      <start>18</start>
      <end>23</end>
      <status>unmodified</status>
      <modifiedWord/>
      <trackRevisions>false</trackRevisions>
    </reviewItem>
    <reviewItem>
      <errorID>13c98291-32a3-4990-8efb-48459680a344</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4A5158BD</paraID>
      <start>41</start>
      <end>44</end>
      <status>unmodified</status>
      <modifiedWord/>
      <trackRevisions>false</trackRevisions>
    </reviewItem>
    <reviewItem>
      <errorID>e4b50d05-cf6a-48e4-bd69-ed4cbe8c8968</errorID>
      <errorWord>保持通讯畅通</errorWord>
      <group>L1_Word</group>
      <groupName>字词问题</groupName>
      <ability>L2_Typo</ability>
      <abilityName>字词错误</abilityName>
      <candidateList>
        <item>保持通信畅通</item>
      </candidateList>
      <explain/>
      <paraID>603E452F</paraID>
      <start>17</start>
      <end>23</end>
      <status>unmodified</status>
      <modifiedWord/>
      <trackRevisions>false</trackRevisions>
    </reviewItem>
    <reviewItem>
      <errorID>f7014b53-e873-4d9e-b5c3-62e015048a38</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22EB40A9</paraID>
      <start>0</start>
      <end>3</end>
      <status>unmodified</status>
      <modifiedWord/>
      <trackRevisions>false</trackRevisions>
    </reviewItem>
    <reviewItem>
      <errorID>0cec78e1-dbc5-4080-ae06-88f3b827e1a0</errorID>
      <errorWord>[2015]124号</errorWord>
      <group>L1_Knowledge</group>
      <groupName>知识性问题</groupName>
      <ability>L2_Knowledge</ability>
      <abilityName>其他知识</abilityName>
      <candidateList>
        <item>〔2015〕124号</item>
      </candidateList>
      <explain>发文字号格式错误。</explain>
      <paraID>6BCFB481</paraID>
      <start>87</start>
      <end>97</end>
      <status>unmodified</status>
      <modifiedWord/>
      <trackRevisions>false</trackRevisions>
    </reviewItem>
    <reviewItem>
      <errorID>d74c9cdc-fcef-4dad-8a5c-de121dbc41c4</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2EF673A0</paraID>
      <start>0</start>
      <end>3</end>
      <status>unmodified</status>
      <modifiedWord/>
      <trackRevisions>false</trackRevisions>
    </reviewItem>
    <reviewItem>
      <errorID>963c567a-5b30-44d2-aba9-356da04dc00d</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1276A49</paraID>
      <start>0</start>
      <end>3</end>
      <status>unmodified</status>
      <modifiedWord/>
      <trackRevisions>false</trackRevisions>
    </reviewItem>
    <reviewItem>
      <errorID>f8f7c214-e5ea-42d3-9c3c-42f4c9209d36</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3D2C1AF2</paraID>
      <start>0</start>
      <end>3</end>
      <status>unmodified</status>
      <modifiedWord/>
      <trackRevisions>false</trackRevisions>
    </reviewItem>
    <reviewItem>
      <errorID>a1f50d9d-8dee-41c2-923c-595955e092f2</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63FA9326</paraID>
      <start>0</start>
      <end>3</end>
      <status>unmodified</status>
      <modifiedWord/>
      <trackRevisions>false</trackRevisions>
    </reviewItem>
    <reviewItem>
      <errorID>2a41eb9f-0107-4dac-a12d-0f68aa5ac093</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7591F775</paraID>
      <start>0</start>
      <end>3</end>
      <status>unmodified</status>
      <modifiedWord/>
      <trackRevisions>false</trackRevisions>
    </reviewItem>
    <reviewItem>
      <errorID>c71b7815-d7b7-4bc7-a0af-d4d17ec9b293</errorID>
      <errorWord>&lt;</errorWord>
      <group>L1_Format</group>
      <groupName>格式问题</groupName>
      <ability>L2_HalfPunc_CN</ability>
      <abilityName>全半角检查</abilityName>
      <candidateList>
        <item>〈</item>
      </candidateList>
      <explain>文本全半角错误。</explain>
      <paraID>42207032</paraID>
      <start>28</start>
      <end>29</end>
      <status>unmodified</status>
      <modifiedWord/>
      <trackRevisions>false</trackRevisions>
    </reviewItem>
    <reviewItem>
      <errorID>babb1a77-4765-4758-a40d-9e911f7828ef</errorID>
      <errorWord>&gt;的通知》</errorWord>
      <group>L1_Punc</group>
      <groupName>标点问题</groupName>
      <ability>L2_Punc_CN</ability>
      <abilityName>标点符号检查</abilityName>
      <candidateList>
        <item>〉的通知》</item>
      </candidateList>
      <explain/>
      <paraID>42207032</paraID>
      <start>52</start>
      <end>57</end>
      <status>unmodified</status>
      <modifiedWord/>
      <trackRevisions>false</trackRevisions>
    </reviewItem>
    <reviewItem>
      <errorID>2c430fdf-30f5-436f-a597-25dd7fd433b4</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3CA978E0</paraID>
      <start>0</start>
      <end>3</end>
      <status>unmodified</status>
      <modifiedWord/>
      <trackRevisions>false</trackRevisions>
    </reviewItem>
    <reviewItem>
      <errorID>f0d4c13a-1057-411a-9e14-38764772fd59</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44451A29</paraID>
      <start>0</start>
      <end>3</end>
      <status>unmodified</status>
      <modifiedWord/>
      <trackRevisions>false</trackRevisions>
    </reviewItem>
    <reviewItem>
      <errorID>440155e1-8a1e-4bef-b20a-4c6f8c64cdaf</errorID>
      <errorWord>签定</errorWord>
      <group>L1_Word</group>
      <groupName>字词问题</groupName>
      <ability>L2_Typo</ability>
      <abilityName>字词错误</abilityName>
      <candidateList>
        <item>签订</item>
      </candidateList>
      <explain/>
      <paraID>3084C00B</paraID>
      <start>6</start>
      <end>8</end>
      <status>unmodified</status>
      <modifiedWord/>
      <trackRevisions>false</trackRevisions>
    </reviewItem>
    <reviewItem>
      <errorID>79ebf78f-c879-4cb9-b20e-155462c615de</errorID>
      <errorWord>《民法典》</errorWord>
      <group>L1_Word</group>
      <groupName>字词问题</groupName>
      <ability>L2_Typo</ability>
      <abilityName>字词错误</abilityName>
      <candidateList>
        <item>《中华人民共和国民法典》</item>
      </candidateList>
      <explain/>
      <paraID>1EB0643F</paraID>
      <start>24</start>
      <end>29</end>
      <status>unmodified</status>
      <modifiedWord/>
      <trackRevisions>false</trackRevisions>
    </reviewItem>
    <reviewItem>
      <errorID>e4c08cce-6215-41ad-a000-73f16a1ee88b</errorID>
      <errorWord>，</errorWord>
      <group>L1_Word</group>
      <groupName>字词问题</groupName>
      <ability>L2_Typo</ability>
      <abilityName>字词错误</abilityName>
      <candidateList>
        <item>，支</item>
      </candidateList>
      <explain/>
      <paraID>2F3620F3</paraID>
      <start>58</start>
      <end>59</end>
      <status>unmodified</status>
      <modifiedWord/>
      <trackRevisions>false</trackRevisions>
    </reviewItem>
    <reviewItem>
      <errorID>f2c08e56-285e-4446-b69b-f5c68104d050</errorID>
      <errorWord>土地管理法</errorWord>
      <group>L1_Knowledge</group>
      <groupName>知识性问题</groupName>
      <ability>L2_Knowledge</ability>
      <abilityName>其他知识</abilityName>
      <candidateList>
        <item>中华人民共和国土地管理法</item>
      </candidateList>
      <explain>当前法律法规名称使用简称，请注意是否应当使用全称。</explain>
      <paraID>3856C740</paraID>
      <start>10</start>
      <end>15</end>
      <status>unmodified</status>
      <modifiedWord/>
      <trackRevisions>false</trackRevisions>
    </reviewItem>
    <reviewItem>
      <errorID>b4cdf26c-ff6c-445d-b862-af69b5648ac0</errorID>
      <errorWord>详实</errorWord>
      <group>L1_Word</group>
      <groupName>字词问题</groupName>
      <ability>L2_Typo</ability>
      <abilityName>字词错误</abilityName>
      <candidateList>
        <item>翔实</item>
      </candidateList>
      <explain/>
      <paraID>176EC24F</paraID>
      <start>93</start>
      <end>95</end>
      <status>unmodified</status>
      <modifiedWord/>
      <trackRevisions>false</trackRevisions>
    </reviewItem>
    <reviewItem>
      <errorID>19208a1f-4a96-4f25-ba59-69c81a509d46</errorID>
      <errorWord>中共中央办公厅国务院办公厅</errorWord>
      <group>L1_Political</group>
      <groupName>政治性问题</groupName>
      <ability>L2_Keyword</ability>
      <abilityName>固定表述</abilityName>
      <candidateList>
        <item>中共中央办公厅、国务院办公厅</item>
      </candidateList>
      <explain>注意检查当前固定表述标点是否使用规范。</explain>
      <paraID>386F9483</paraID>
      <start>4</start>
      <end>17</end>
      <status>unmodified</status>
      <modifiedWord/>
      <trackRevisions>false</trackRevisions>
    </reviewItem>
    <reviewItem>
      <errorID>2723dc06-b034-4e62-b9db-b6bd0298b830</errorID>
      <errorWord>&lt;</errorWord>
      <group>L1_Format</group>
      <groupName>格式问题</groupName>
      <ability>L2_HalfPunc_CN</ability>
      <abilityName>全半角检查</abilityName>
      <candidateList>
        <item>〈</item>
      </candidateList>
      <explain>文本全半角错误。</explain>
      <paraID>386F9483</paraID>
      <start>21</start>
      <end>22</end>
      <status>unmodified</status>
      <modifiedWord/>
      <trackRevisions>false</trackRevisions>
    </reviewItem>
    <reviewItem>
      <errorID>fc263a63-acef-48f3-a34e-8fb8e99d6993</errorID>
      <errorWord>&gt;的通知》</errorWord>
      <group>L1_Punc</group>
      <groupName>标点问题</groupName>
      <ability>L2_Punc_CN</ability>
      <abilityName>标点符号检查</abilityName>
      <candidateList>
        <item>〉的通知》</item>
      </candidateList>
      <explain/>
      <paraID>386F9483</paraID>
      <start>41</start>
      <end>46</end>
      <status>unmodified</status>
      <modifiedWord/>
      <trackRevisions>false</trackRevisions>
    </reviewItem>
    <reviewItem>
      <errorID>78e23990-31af-4aac-b209-c49af79538c2</errorID>
      <errorWord>(</errorWord>
      <group>L1_Format</group>
      <groupName>格式问题</groupName>
      <ability>L2_HalfPunc_CN</ability>
      <abilityName>全半角检查</abilityName>
      <candidateList>
        <item>（</item>
      </candidateList>
      <explain>文本全半角错误。</explain>
      <paraID>6A791AE3</paraID>
      <start>16</start>
      <end>17</end>
      <status>unmodified</status>
      <modifiedWord/>
      <trackRevisions>false</trackRevisions>
    </reviewItem>
    <reviewItem>
      <errorID>dc2756db-4e9c-40c2-951c-de385e20a2f9</errorID>
      <errorWord>)</errorWord>
      <group>L1_Format</group>
      <groupName>格式问题</groupName>
      <ability>L2_HalfPunc_CN</ability>
      <abilityName>全半角检查</abilityName>
      <candidateList>
        <item>）</item>
      </candidateList>
      <explain>文本全半角错误。</explain>
      <paraID>6A791AE3</paraID>
      <start>32</start>
      <end>33</end>
      <status>unmodified</status>
      <modifiedWord/>
      <trackRevisions>false</trackRevisions>
    </reviewItem>
    <reviewItem>
      <errorID>3cb50bb5-87a2-4e45-ad7b-38f4c4057762</errorID>
      <errorWord>国家</errorWord>
      <group>L1_Word</group>
      <groupName>字词问题</groupName>
      <ability>L2_Typo</ability>
      <abilityName>字词错误</abilityName>
      <candidateList>
        <item>国际</item>
      </candidateList>
      <explain/>
      <paraID> 9DDFF67</paraID>
      <start>6</start>
      <end>8</end>
      <status>unmodified</status>
      <modifiedWord/>
      <trackRevisions>false</trackRevisions>
    </reviewItem>
    <reviewItem>
      <errorID>febff413-a71e-4aad-b8f0-55b6dffda364</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2C0720A5</paraID>
      <start>65</start>
      <end>66</end>
      <status>unmodified</status>
      <modifiedWord/>
      <trackRevisions>false</trackRevisions>
    </reviewItem>
    <reviewItem>
      <errorID>70702123-d284-49da-a886-4c16d513bd2b</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2C0720A5</paraID>
      <start>73</start>
      <end>74</end>
      <status>unmodified</status>
      <modifiedWord/>
      <trackRevisions>false</trackRevisions>
    </reviewItem>
    <reviewItem>
      <errorID>0954b59c-9a43-4ec1-a253-dc9cf0bd11a7</errorID>
      <errorWord>国家</errorWord>
      <group>L1_Word</group>
      <groupName>字词问题</groupName>
      <ability>L2_Typo</ability>
      <abilityName>字词错误</abilityName>
      <candidateList>
        <item>国际</item>
      </candidateList>
      <explain/>
      <paraID>359547BC</paraID>
      <start>6</start>
      <end>8</end>
      <status>unmodified</status>
      <modifiedWord/>
      <trackRevisions>false</trackRevisions>
    </reviewItem>
    <reviewItem>
      <errorID>a6704cc8-9df2-452d-aa3a-5e6a6bb82215</errorID>
      <errorWord>《民法典》</errorWord>
      <group>L1_Word</group>
      <groupName>字词问题</groupName>
      <ability>L2_Typo</ability>
      <abilityName>字词错误</abilityName>
      <candidateList>
        <item>《中华人民共和国民法典》</item>
      </candidateList>
      <explain/>
      <paraID>54381025</paraID>
      <start>12</start>
      <end>17</end>
      <status>unmodified</status>
      <modifiedWord/>
      <trackRevisions>false</trackRevisions>
    </reviewItem>
    <reviewItem>
      <errorID>34611ac2-453f-4543-a5f0-fd535f39698d</errorID>
      <errorWord>《政府采购法》</errorWord>
      <group>L1_Word</group>
      <groupName>字词问题</groupName>
      <ability>L2_Typo</ability>
      <abilityName>字词错误</abilityName>
      <candidateList>
        <item>《中华人民共和国政府采购法》</item>
      </candidateList>
      <explain/>
      <paraID>54381025</paraID>
      <start>18</start>
      <end>25</end>
      <status>unmodified</status>
      <modifiedWord/>
      <trackRevisions>false</trackRevisions>
    </reviewItem>
    <reviewItem>
      <errorID>3789a338-63b9-4541-8f40-0fc722779fa6</errorID>
      <errorWord>中共中央办公厅国务院办公厅</errorWord>
      <group>L1_Political</group>
      <groupName>政治性问题</groupName>
      <ability>L2_Keyword</ability>
      <abilityName>固定表述</abilityName>
      <candidateList>
        <item>中共中央办公厅、国务院办公厅</item>
      </candidateList>
      <explain>注意检查当前固定表述标点是否使用规范。</explain>
      <paraID> C116357</paraID>
      <start>3</start>
      <end>16</end>
      <status>unmodified</status>
      <modifiedWord/>
      <trackRevisions>false</trackRevisions>
    </reviewItem>
    <reviewItem>
      <errorID>02a3d067-c43c-4a06-854c-aec58d629bad</errorID>
      <errorWord>&lt;</errorWord>
      <group>L1_Format</group>
      <groupName>格式问题</groupName>
      <ability>L2_HalfPunc_CN</ability>
      <abilityName>全半角检查</abilityName>
      <candidateList>
        <item>〈</item>
      </candidateList>
      <explain>文本全半角错误。</explain>
      <paraID> C116357</paraID>
      <start>20</start>
      <end>21</end>
      <status>unmodified</status>
      <modifiedWord/>
      <trackRevisions>false</trackRevisions>
    </reviewItem>
    <reviewItem>
      <errorID>3ab6a8a1-3841-415b-bf35-00c16f320a26</errorID>
      <errorWord>&gt;的通知》</errorWord>
      <group>L1_Punc</group>
      <groupName>标点问题</groupName>
      <ability>L2_Punc_CN</ability>
      <abilityName>标点符号检查</abilityName>
      <candidateList>
        <item>〉的通知》</item>
      </candidateList>
      <explain/>
      <paraID> C116357</paraID>
      <start>40</start>
      <end>45</end>
      <status>unmodified</status>
      <modifiedWord/>
      <trackRevisions>false</trackRevisions>
    </reviewItem>
    <reviewItem>
      <errorID>48946188-c14a-4f37-bbf2-c713f5473a5b</errorID>
      <errorWord>《农村乱占耕地建非住宅类房屋整治销号工作指引》（试行）</errorWord>
      <group>L1_Knowledge</group>
      <groupName>知识性问题</groupName>
      <ability>L2_Knowledge</ability>
      <abilityName>其他知识</abilityName>
      <candidateList>
        <item>《农村乱占耕地建非住宅类房屋整治销号工作指引（试行）》</item>
      </candidateList>
      <explain>疑似政策文件、法律法规名称等书写不规范，请注意检查。</explain>
      <paraID> C116357</paraID>
      <start>59</start>
      <end>86</end>
      <status>unmodified</status>
      <modifiedWord/>
      <trackRevisions>false</trackRevisions>
    </reviewItem>
    <reviewItem>
      <errorID>9c83cd50-9d1e-40b3-9cc4-da88cfc8bcbd</errorID>
      <errorWord>，</errorWord>
      <group>L1_Word</group>
      <groupName>字词问题</groupName>
      <ability>L2_Typo</ability>
      <abilityName>字词错误</abilityName>
      <candidateList>
        <item>，支</item>
      </candidateList>
      <explain/>
      <paraID>3F312234</paraID>
      <start>58</start>
      <end>59</end>
      <status>unmodified</status>
      <modifiedWord/>
      <trackRevisions>false</trackRevisions>
    </reviewItem>
    <reviewItem>
      <errorID>364909cc-9620-40fb-b6a5-bab397bb0759</errorID>
      <errorWord>土地管理法</errorWord>
      <group>L1_Knowledge</group>
      <groupName>知识性问题</groupName>
      <ability>L2_Knowledge</ability>
      <abilityName>其他知识</abilityName>
      <candidateList>
        <item>中华人民共和国土地管理法</item>
      </candidateList>
      <explain>当前法律法规名称使用简称，请注意是否应当使用全称。</explain>
      <paraID>3981660A</paraID>
      <start>10</start>
      <end>15</end>
      <status>unmodified</status>
      <modifiedWord/>
      <trackRevisions>false</trackRevisions>
    </reviewItem>
    <reviewItem>
      <errorID>aa98397f-d9fc-4908-9a1a-76e143ce6fa5</errorID>
      <errorWord>详实</errorWord>
      <group>L1_Word</group>
      <groupName>字词问题</groupName>
      <ability>L2_Typo</ability>
      <abilityName>字词错误</abilityName>
      <candidateList>
        <item>翔实</item>
      </candidateList>
      <explain/>
      <paraID>70ED1BE0</paraID>
      <start>93</start>
      <end>95</end>
      <status>unmodified</status>
      <modifiedWord/>
      <trackRevisions>false</trackRevisions>
    </reviewItem>
    <reviewItem>
      <errorID>661a1318-9aab-4bd9-be30-df653c1f644e</errorID>
      <errorWord>中共中央办公厅国务院办公厅</errorWord>
      <group>L1_Political</group>
      <groupName>政治性问题</groupName>
      <ability>L2_Keyword</ability>
      <abilityName>固定表述</abilityName>
      <candidateList>
        <item>中共中央办公厅、国务院办公厅</item>
      </candidateList>
      <explain>注意检查当前固定表述标点是否使用规范。</explain>
      <paraID>363A4D6F</paraID>
      <start>4</start>
      <end>17</end>
      <status>unmodified</status>
      <modifiedWord/>
      <trackRevisions>false</trackRevisions>
    </reviewItem>
    <reviewItem>
      <errorID>a6da7109-99bf-451c-95c4-468abac4bb16</errorID>
      <errorWord>&lt;</errorWord>
      <group>L1_Format</group>
      <groupName>格式问题</groupName>
      <ability>L2_HalfPunc_CN</ability>
      <abilityName>全半角检查</abilityName>
      <candidateList>
        <item>〈</item>
      </candidateList>
      <explain>文本全半角错误。</explain>
      <paraID>363A4D6F</paraID>
      <start>21</start>
      <end>22</end>
      <status>unmodified</status>
      <modifiedWord/>
      <trackRevisions>false</trackRevisions>
    </reviewItem>
    <reviewItem>
      <errorID>f7677cab-b272-496b-8907-d8b5f7a15369</errorID>
      <errorWord>&gt;的通知》</errorWord>
      <group>L1_Punc</group>
      <groupName>标点问题</groupName>
      <ability>L2_Punc_CN</ability>
      <abilityName>标点符号检查</abilityName>
      <candidateList>
        <item>〉的通知》</item>
      </candidateList>
      <explain/>
      <paraID>363A4D6F</paraID>
      <start>41</start>
      <end>46</end>
      <status>unmodified</status>
      <modifiedWord/>
      <trackRevisions>false</trackRevisions>
    </reviewItem>
    <reviewItem>
      <errorID>01bb43e9-13d6-4d9f-8d17-e72e29faad1b</errorID>
      <errorWord>(</errorWord>
      <group>L1_Format</group>
      <groupName>格式问题</groupName>
      <ability>L2_HalfPunc_CN</ability>
      <abilityName>全半角检查</abilityName>
      <candidateList>
        <item>（</item>
      </candidateList>
      <explain>文本全半角错误。</explain>
      <paraID>4D8F08C5</paraID>
      <start>16</start>
      <end>17</end>
      <status>unmodified</status>
      <modifiedWord/>
      <trackRevisions>false</trackRevisions>
    </reviewItem>
    <reviewItem>
      <errorID>130de7ea-c049-417c-8321-b6c9cc272dcc</errorID>
      <errorWord>)</errorWord>
      <group>L1_Format</group>
      <groupName>格式问题</groupName>
      <ability>L2_HalfPunc_CN</ability>
      <abilityName>全半角检查</abilityName>
      <candidateList>
        <item>）</item>
      </candidateList>
      <explain>文本全半角错误。</explain>
      <paraID>4D8F08C5</paraID>
      <start>32</start>
      <end>33</end>
      <status>unmodified</status>
      <modifiedWord/>
      <trackRevisions>false</trackRevisions>
    </reviewItem>
    <reviewItem>
      <errorID>5557796e-4498-4574-9936-6604db8902f7</errorID>
      <errorWord>国家</errorWord>
      <group>L1_Word</group>
      <groupName>字词问题</groupName>
      <ability>L2_Typo</ability>
      <abilityName>字词错误</abilityName>
      <candidateList>
        <item>国际</item>
      </candidateList>
      <explain/>
      <paraID>530973FD</paraID>
      <start>6</start>
      <end>8</end>
      <status>unmodified</status>
      <modifiedWord/>
      <trackRevisions>false</trackRevisions>
    </reviewItem>
    <reviewItem>
      <errorID>1fe63ac3-0120-49c9-8709-0e0337a43f63</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5D7FCE9D</paraID>
      <start>65</start>
      <end>66</end>
      <status>unmodified</status>
      <modifiedWord/>
      <trackRevisions>false</trackRevisions>
    </reviewItem>
    <reviewItem>
      <errorID>afe94787-3915-4add-8b3b-7cd22d784608</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5D7FCE9D</paraID>
      <start>73</start>
      <end>74</end>
      <status>unmodified</status>
      <modifiedWord/>
      <trackRevisions>false</trackRevisions>
    </reviewItem>
    <reviewItem>
      <errorID>2519bee6-9fd6-4c92-b3e1-d0bdfe1766eb</errorID>
      <errorWord>国家</errorWord>
      <group>L1_Word</group>
      <groupName>字词问题</groupName>
      <ability>L2_Typo</ability>
      <abilityName>字词错误</abilityName>
      <candidateList>
        <item>国际</item>
      </candidateList>
      <explain/>
      <paraID>70B089B0</paraID>
      <start>6</start>
      <end>8</end>
      <status>unmodified</status>
      <modifiedWord/>
      <trackRevisions>false</trackRevisions>
    </reviewItem>
    <reviewItem>
      <errorID>e82abb0a-0534-4c30-b033-1dd4e4c64beb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9760ACD</paraID>
      <start>0</start>
      <end>2</end>
      <status>unmodified</status>
      <modifiedWord/>
      <trackRevisions>false</trackRevisions>
    </reviewItem>
    <reviewItem>
      <errorID>6b1ce9f3-7587-4c3e-a7ce-5d21b65ca35d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7373A7EA</paraID>
      <start>0</start>
      <end>2</end>
      <status>unmodified</status>
      <modifiedWord/>
      <trackRevisions>false</trackRevisions>
    </reviewItem>
    <reviewItem>
      <errorID>8eafb8ef-eaa4-44c6-a58a-055779276e65</errorID>
      <errorWord>详实</errorWord>
      <group>L1_Word</group>
      <groupName>字词问题</groupName>
      <ability>L2_Typo</ability>
      <abilityName>字词错误</abilityName>
      <candidateList>
        <item>翔实</item>
      </candidateList>
      <explain>存在发音相同字词的误用。</explain>
      <paraID>7373A7EA</paraID>
      <start>30</start>
      <end>32</end>
      <status>unmodified</status>
      <modifiedWord/>
      <trackRevisions>false</trackRevisions>
    </reviewItem>
    <reviewItem>
      <errorID>31fcb2cf-5145-4964-a545-e5dcc5f3f39e</errorID>
      <errorWord>（</errorWord>
      <group>L1_Word</group>
      <groupName>字词问题</groupName>
      <ability>L2_Typo</ability>
      <abilityName>字词错误</abilityName>
      <candidateList>
        <item>（在</item>
      </candidateList>
      <explain/>
      <paraID>1FEB1C28</paraID>
      <start>119</start>
      <end>120</end>
      <status>unmodified</status>
      <modifiedWord/>
      <trackRevisions>false</trackRevisions>
    </reviewItem>
    <reviewItem>
      <errorID>18e2a5f0-e3fd-4d91-99fb-431d4873146a</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5AD2D711</paraID>
      <start>179</start>
      <end>182</end>
      <status>unmodified</status>
      <modifiedWord/>
      <trackRevisions>false</trackRevisions>
    </reviewItem>
    <reviewItem>
      <errorID>c833882e-7d32-4387-b9b2-c13bdd63a1de</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4728F458</paraID>
      <start>47</start>
      <end>50</end>
      <status>unmodified</status>
      <modifiedWord/>
      <trackRevisions>false</trackRevisions>
    </reviewItem>
    <reviewItem>
      <errorID>626f7a11-1ed3-4a6a-952d-44e11659dfbc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4A032325</paraID>
      <start>0</start>
      <end>2</end>
      <status>unmodified</status>
      <modifiedWord/>
      <trackRevisions>false</trackRevisions>
    </reviewItem>
    <reviewItem>
      <errorID>3cc6eefa-a94f-45ed-9dc0-c699665694cc</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1AF37501</paraID>
      <start>58</start>
      <end>59</end>
      <status>unmodified</status>
      <modifiedWord/>
      <trackRevisions>false</trackRevisions>
    </reviewItem>
    <reviewItem>
      <errorID>acd1dd82-f116-42fd-828e-33e6f03b834f</errorID>
      <errorWord>[2020]46号</errorWord>
      <group>L1_Knowledge</group>
      <groupName>知识性问题</groupName>
      <ability>L2_Knowledge</ability>
      <abilityName>其他知识</abilityName>
      <candidateList>
        <item>〔2020〕46号</item>
      </candidateList>
      <explain>发文字号格式错误。</explain>
      <paraID>66C5D0C1</paraID>
      <start>36</start>
      <end>45</end>
      <status>unmodified</status>
      <modifiedWord/>
      <trackRevisions>false</trackRevisions>
    </reviewItem>
    <reviewItem>
      <errorID>d99439b2-795d-4374-bd25-792efcc10eda</errorID>
      <errorWord>)</errorWord>
      <group>L1_Format</group>
      <groupName>格式问题</groupName>
      <ability>L2_HalfPunc_CN</ability>
      <abilityName>全半角检查</abilityName>
      <candidateList>
        <item>）</item>
      </candidateList>
      <explain>文本全半角错误。</explain>
      <paraID>66C5D0C1</paraID>
      <start>45</start>
      <end>46</end>
      <status>unmodified</status>
      <modifiedWord/>
      <trackRevisions>false</trackRevisions>
    </reviewItem>
    <reviewItem>
      <errorID>0a769ab3-8046-426a-8d52-c01686c91cfd</errorID>
      <errorWord>[2011]300号</errorWord>
      <group>L1_Knowledge</group>
      <groupName>知识性问题</groupName>
      <ability>L2_Knowledge</ability>
      <abilityName>其他知识</abilityName>
      <candidateList>
        <item>〔2011〕300号</item>
      </candidateList>
      <explain>发文字号格式错误。</explain>
      <paraID>66C5D0C1</paraID>
      <start>246</start>
      <end>256</end>
      <status>unmodified</status>
      <modifiedWord/>
      <trackRevisions>false</trackRevisions>
    </reviewItem>
    <reviewItem>
      <errorID>cbba2da5-80f8-4d10-8c08-11ed4baaab88</errorID>
      <errorWord>〔2017〕 141号</errorWord>
      <group>L1_Knowledge</group>
      <groupName>知识性问题</groupName>
      <ability>L2_Knowledge</ability>
      <abilityName>其他知识</abilityName>
      <candidateList>
        <item>〔2017〕141号</item>
      </candidateList>
      <explain>发文字号格式错误。</explain>
      <paraID> 5299E27</paraID>
      <start>49</start>
      <end>60</end>
      <status>unmodified</status>
      <modifiedWord/>
      <trackRevisions>false</trackRevisions>
    </reviewItem>
    <reviewItem>
      <errorID>379402db-0686-434f-94c0-e1bc5b2b4a54</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63FABAD5</paraID>
      <start>55</start>
      <end>58</end>
      <status>unmodified</status>
      <modifiedWord/>
      <trackRevisions>false</trackRevisions>
    </reviewItem>
    <reviewItem>
      <errorID>3609d5ca-d1e2-4fe7-9f13-e857cd6ddbd7</errorID>
      <errorWord>......</errorWord>
      <group>L1_Punc</group>
      <groupName>标点问题</groupName>
      <ability>L2_Punc_CN</ability>
      <abilityName>标点符号检查</abilityName>
      <candidateList>
        <item>……</item>
      </candidateList>
      <explain/>
      <paraID>7B046A77</paraID>
      <start>0</start>
      <end>6</end>
      <status>unmodified</status>
      <modifiedWord/>
      <trackRevisions>false</trackRevisions>
    </reviewItem>
    <reviewItem>
      <errorID>780b6658-c483-4daa-ae27-323aa2289264</errorID>
      <errorWord>......</errorWord>
      <group>L1_Punc</group>
      <groupName>标点问题</groupName>
      <ability>L2_Punc_CN</ability>
      <abilityName>标点符号检查</abilityName>
      <candidateList>
        <item>……</item>
      </candidateList>
      <explain/>
      <paraID>55BD5119</paraID>
      <start>0</start>
      <end>6</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034ff1e-565f-440f-bddd-2be1aa7ddae0}">
  <ds:schemaRefs/>
</ds:datastoreItem>
</file>

<file path=docProps/app.xml><?xml version="1.0" encoding="utf-8"?>
<Properties xmlns="http://schemas.openxmlformats.org/officeDocument/2006/extended-properties" xmlns:vt="http://schemas.openxmlformats.org/officeDocument/2006/docPropsVTypes">
  <Template>Normal</Template>
  <Company>Micro</Company>
  <Pages>61</Pages>
  <Words>18030</Words>
  <Characters>19457</Characters>
  <TotalTime>0</TotalTime>
  <ScaleCrop>false</ScaleCrop>
  <LinksUpToDate>false</LinksUpToDate>
  <CharactersWithSpaces>19913</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2024-04-18T09:56:00Z</dcterms:created>
  <dc:creator>Adminis</dc:creator>
  <cp:lastModifiedBy>怺忄亘の薆</cp:lastModifiedBy>
  <dcterms:modified xsi:type="dcterms:W3CDTF">2026-08-12T03:43:35Z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A08D32B9606941B98A6F80C6B240B9B0_13</vt:lpwstr>
  </property>
  <property fmtid="{D5CDD505-2E9C-101B-9397-08002B2CF9AE}" pid="4" name="KSOTemplateDocerSaveRecord">
    <vt:lpwstr>eyJoZGlkIjoiMTkwMTk0MjU0NTRlZWQzZDNiMjJjODI4MzJkYzY4NGMiLCJ1c2VySWQiOiIyNzU2NzUyMzcifQ==</vt:lpwstr>
  </property>
</Properties>
</file>