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spacing w:before="240" w:after="240"/>
        <w:pBdr>
          <w:top w:val="none" w:color="000000" w:sz="4" w:space="0"/>
          <w:left w:val="none" w:color="000000" w:sz="4" w:space="0"/>
          <w:bottom w:val="none" w:color="000000" w:sz="4" w:space="0"/>
          <w:right w:val="none" w:color="000000" w:sz="4" w:space="0"/>
        </w:pBdr>
      </w:pPr>
      <w:r>
        <w:t xml:space="preserve"> </w:t>
      </w:r>
      <w:r>
        <w:rPr>
          <w:rFonts w:ascii="SimHei" w:hAnsi="SimHei" w:eastAsia="SimHei" w:cs="SimHei"/>
          <w:b/>
          <w:color w:val="000000"/>
          <w:sz w:val="84"/>
        </w:rPr>
        <w:t xml:space="preserve"> </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84"/>
        </w:rPr>
        <w:t xml:space="preserve">招　标　文　件</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项目名称：宿迁大道</w:t>
      </w:r>
      <w:r>
        <w:rPr>
          <w:rFonts w:ascii="Times New Roman" w:hAnsi="Times New Roman" w:eastAsia="Times New Roman" w:cs="Times New Roman"/>
          <w:b/>
          <w:color w:val="000000"/>
          <w:sz w:val="28"/>
        </w:rPr>
        <w:t xml:space="preserve">(</w:t>
      </w:r>
      <w:r>
        <w:rPr>
          <w:rFonts w:ascii="SimSun" w:hAnsi="SimSun" w:eastAsia="SimSun" w:cs="SimSun"/>
          <w:b/>
          <w:color w:val="000000"/>
          <w:sz w:val="28"/>
        </w:rPr>
        <w:t xml:space="preserve">迎宾大道至杨舍路</w:t>
      </w:r>
      <w:r>
        <w:rPr>
          <w:rFonts w:ascii="Times New Roman" w:hAnsi="Times New Roman" w:eastAsia="Times New Roman" w:cs="Times New Roman"/>
          <w:b/>
          <w:color w:val="000000"/>
          <w:sz w:val="28"/>
        </w:rPr>
        <w:t xml:space="preserve">) </w:t>
      </w:r>
      <w:r>
        <w:rPr>
          <w:rFonts w:ascii="SimSun" w:hAnsi="SimSun" w:eastAsia="SimSun" w:cs="SimSun"/>
          <w:b/>
          <w:color w:val="000000"/>
          <w:sz w:val="28"/>
        </w:rPr>
        <w:t xml:space="preserve">快速化改造工程监控采购项目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项目编号：</w:t>
      </w:r>
      <w:r>
        <w:rPr>
          <w:rFonts w:ascii="Times New Roman" w:hAnsi="Times New Roman" w:eastAsia="Times New Roman" w:cs="Times New Roman"/>
          <w:b/>
          <w:color w:val="000000"/>
          <w:sz w:val="28"/>
        </w:rPr>
        <w:t xml:space="preserve">JSZC-321300-TYJT-G2026-0013</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（货物类项目，非专门面向中小企业）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675"/>
        <w:gridCol w:w="4752"/>
      </w:tblGrid>
      <w:tr>
        <w:trPr>
          <w:trHeight w:val="586"/>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vMerge w:val="restart"/>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45"/>
                <w:sz w:val="32"/>
              </w:rPr>
              <w:t xml:space="preserve">采 </w:t>
            </w:r>
            <w:r>
              <w:rPr>
                <w:rFonts w:ascii="Times New Roman" w:hAnsi="Times New Roman" w:eastAsia="Times New Roman" w:cs="Times New Roman"/>
                <w:b/>
                <w:color w:val="000000"/>
                <w:spacing w:val="45"/>
                <w:sz w:val="32"/>
              </w:rPr>
              <w:t xml:space="preserve"> </w:t>
            </w:r>
            <w:r>
              <w:rPr>
                <w:rFonts w:ascii="SimSun" w:hAnsi="SimSun" w:eastAsia="SimSun" w:cs="SimSun"/>
                <w:b/>
                <w:color w:val="000000"/>
                <w:spacing w:val="45"/>
                <w:sz w:val="32"/>
              </w:rPr>
              <w:t xml:space="preserve">购 人</w:t>
            </w:r>
            <w:r>
              <w:rPr>
                <w:rFonts w:ascii="SimSun" w:hAnsi="SimSun" w:eastAsia="SimSun" w:cs="SimSun"/>
                <w:b/>
                <w:color w:val="000000"/>
                <w:spacing w:val="1"/>
                <w:sz w:val="32"/>
              </w:rPr>
              <w:t xml:space="preserve">：</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宿迁市公路事业发展中心</w:t>
            </w:r>
            <w:r/>
          </w:p>
        </w:tc>
      </w:tr>
      <w:tr>
        <w:trPr>
          <w:trHeight w:val="586"/>
        </w:trPr>
        <w:tc>
          <w:tcPr>
            <w:vMerge w:val="continue"/>
            <w:textDirection w:val="lrTb"/>
            <w:noWrap w:val="false"/>
          </w:tcPr>
          <w:p>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宿迁市楚润数据集团有限公司</w:t>
            </w:r>
            <w:r/>
          </w:p>
        </w:tc>
      </w:tr>
      <w:tr>
        <w:trPr>
          <w:trHeight w:val="617"/>
        </w:trPr>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2675"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w:t>
            </w:r>
            <w:r/>
          </w:p>
        </w:tc>
        <w:tc>
          <w:tcPr>
            <w:tcBorders>
              <w:top w:val="none" w:color="000000" w:sz="4" w:space="0"/>
              <w:left w:val="none" w:color="000000" w:sz="4" w:space="0"/>
              <w:bottom w:val="none" w:color="000000" w:sz="4" w:space="0"/>
              <w:right w:val="none" w:color="000000" w:sz="4" w:space="0"/>
            </w:tcBorders>
            <w:tcMar>
              <w:left w:w="108" w:type="dxa"/>
              <w:top w:w="0" w:type="dxa"/>
              <w:right w:w="108" w:type="dxa"/>
              <w:bottom w:w="0" w:type="dxa"/>
            </w:tcMar>
            <w:tcW w:w="4752" w:type="dxa"/>
            <w:vAlign w:val="center"/>
            <w:textDirection w:val="lrTb"/>
            <w:noWrap w:val="false"/>
          </w:tcPr>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江苏天园项目管理集团有限公司</w:t>
            </w:r>
            <w:r/>
          </w:p>
        </w:tc>
      </w:tr>
    </w:tbl>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120" w:after="12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7</w:t>
      </w:r>
      <w:r>
        <w:rPr>
          <w:rFonts w:ascii="SimSun" w:hAnsi="SimSun" w:eastAsia="SimSun" w:cs="SimSun"/>
          <w:b/>
          <w:color w:val="000000"/>
          <w:sz w:val="32"/>
        </w:rPr>
        <w:t xml:space="preserve">月</w:t>
      </w:r>
      <w:r>
        <w:rPr>
          <w:rFonts w:ascii="Times New Roman" w:hAnsi="Times New Roman" w:eastAsia="Times New Roman" w:cs="Times New Roman"/>
          <w:b/>
          <w:color w:val="000000"/>
          <w:sz w:val="32"/>
        </w:rPr>
        <w:t xml:space="preserve">20</w:t>
      </w:r>
      <w:r>
        <w:rPr>
          <w:rFonts w:ascii="SimSun" w:hAnsi="SimSun" w:eastAsia="SimSun" w:cs="SimSun"/>
          <w:b/>
          <w:color w:val="000000"/>
          <w:sz w:val="32"/>
        </w:rPr>
        <w:t xml:space="preserve">日</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Hei" w:hAnsi="SimHei" w:eastAsia="SimHei" w:cs="SimHei"/>
          <w:b/>
          <w:color w:val="000000"/>
          <w:sz w:val="44"/>
        </w:rPr>
        <w:t xml:space="preserve">总目录</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投标邀请……………………………………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投标人须知…………………………………  </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合同文本……………………………………</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采购需求……………………………………</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评标方法与评标标准………………………</w:t>
      </w:r>
      <w:r/>
    </w:p>
    <w:p>
      <w:pPr>
        <w:numPr>
          <w:ilvl w:val="0"/>
          <w:numId w:val="1"/>
        </w:numPr>
        <w:jc w:val="both"/>
        <w:spacing w:before="0" w:after="0" w:line="113" w:lineRule="atLeast"/>
        <w:tabs>
          <w:tab w:val="left" w:pos="1440" w:leader="none"/>
        </w:tabs>
        <w:pBdr>
          <w:top w:val="none" w:color="000000" w:sz="4" w:space="0"/>
          <w:left w:val="none" w:color="000000" w:sz="4" w:space="0"/>
          <w:bottom w:val="none" w:color="000000" w:sz="4" w:space="0"/>
          <w:right w:val="none" w:color="000000" w:sz="4" w:space="0"/>
        </w:pBdr>
      </w:pPr>
      <w:r>
        <w:rPr>
          <w:rFonts w:ascii="SimHei" w:hAnsi="SimHei" w:eastAsia="SimHei" w:cs="SimHei"/>
          <w:color w:val="000000"/>
          <w:sz w:val="36"/>
        </w:rPr>
        <w:t xml:space="preserve">投标文件格式………………………………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第一章投标邀请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受</w:t>
      </w:r>
      <w:r>
        <w:rPr>
          <w:rFonts w:ascii="SimSun" w:hAnsi="SimSun" w:eastAsia="SimSun" w:cs="SimSun"/>
          <w:color w:val="000000"/>
          <w:sz w:val="24"/>
          <w:u w:val="single"/>
        </w:rPr>
        <w:t xml:space="preserve">宿迁市公路事业发展中心、宿迁市楚润数据集团有限公司</w:t>
      </w:r>
      <w:r>
        <w:rPr>
          <w:rFonts w:ascii="SimSun" w:hAnsi="SimSun" w:eastAsia="SimSun" w:cs="SimSun"/>
          <w:color w:val="000000"/>
          <w:sz w:val="24"/>
        </w:rPr>
        <w:t xml:space="preserve">的委托，</w:t>
      </w:r>
      <w:r>
        <w:rPr>
          <w:rFonts w:ascii="SimSun" w:hAnsi="SimSun" w:eastAsia="SimSun" w:cs="SimSun"/>
          <w:color w:val="000000"/>
          <w:sz w:val="24"/>
          <w:u w:val="single"/>
        </w:rPr>
        <w:t xml:space="preserve">江苏天园项目管理集团有限公司</w:t>
      </w:r>
      <w:r>
        <w:rPr>
          <w:rFonts w:ascii="SimSun" w:hAnsi="SimSun" w:eastAsia="SimSun" w:cs="SimSun"/>
          <w:color w:val="000000"/>
          <w:sz w:val="24"/>
        </w:rPr>
        <w:t xml:space="preserve">就</w:t>
      </w:r>
      <w:r>
        <w:rPr>
          <w:rFonts w:ascii="SimSun" w:hAnsi="SimSun" w:eastAsia="SimSun" w:cs="SimSun"/>
          <w:color w:val="000000"/>
          <w:sz w:val="24"/>
          <w:u w:val="single"/>
        </w:rPr>
        <w:t xml:space="preserve">宿迁大道</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迎宾大道至杨舍路</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快速化改造工程监控采购项目</w:t>
      </w:r>
      <w:r>
        <w:rPr>
          <w:rFonts w:ascii="Times New Roman" w:hAnsi="Times New Roman" w:eastAsia="Times New Roman" w:cs="Times New Roman"/>
          <w:color w:val="000000"/>
          <w:sz w:val="24"/>
          <w:u w:val="single"/>
        </w:rPr>
        <w:t xml:space="preserve">(JSZC-321300-TYJT-G2026-0013)</w:t>
      </w:r>
      <w:r>
        <w:rPr>
          <w:rFonts w:ascii="SimSun" w:hAnsi="SimSun" w:eastAsia="SimSun" w:cs="SimSun"/>
          <w:color w:val="000000"/>
          <w:sz w:val="24"/>
        </w:rPr>
        <w:t xml:space="preserve">项目进行公开招标采购，欢迎符合条件的投标人投标。</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rPr>
        <w:t xml:space="preserve">项目概况</w:t>
      </w:r>
      <w:r/>
    </w:p>
    <w:p>
      <w:pPr>
        <w:ind w:left="0" w:right="0" w:firstLine="480"/>
        <w:jc w:val="both"/>
        <w:spacing w:before="0" w:after="0" w:line="559" w:lineRule="atLeast"/>
        <w:pBdr>
          <w:top w:val="single" w:color="000000" w:sz="4" w:space="0"/>
          <w:left w:val="single" w:color="000000" w:sz="4" w:space="0"/>
          <w:bottom w:val="single" w:color="000000" w:sz="4" w:space="0"/>
          <w:right w:val="single" w:color="000000" w:sz="4" w:space="0"/>
        </w:pBdr>
      </w:pPr>
      <w:r>
        <w:rPr>
          <w:rFonts w:ascii="SimSun" w:hAnsi="SimSun" w:eastAsia="SimSun" w:cs="SimSun"/>
          <w:color w:val="000000"/>
          <w:sz w:val="24"/>
          <w:u w:val="single"/>
        </w:rPr>
        <w:t xml:space="preserve"> 宿迁大道</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迎宾大道至杨舍路</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u w:val="single"/>
        </w:rPr>
        <w:t xml:space="preserve">快速化改造工程监控采购项目</w:t>
      </w:r>
      <w:r>
        <w:rPr>
          <w:rFonts w:ascii="SimSun" w:hAnsi="SimSun" w:eastAsia="SimSun" w:cs="SimSun"/>
          <w:color w:val="000000"/>
          <w:sz w:val="24"/>
        </w:rPr>
        <w:t xml:space="preserve"> 招标项目的潜在投标人可在</w:t>
      </w:r>
      <w:r>
        <w:rPr>
          <w:rFonts w:ascii="SimSun" w:hAnsi="SimSun" w:eastAsia="SimSun" w:cs="SimSun"/>
          <w:color w:val="000000"/>
          <w:sz w:val="24"/>
          <w:u w:val="single"/>
        </w:rPr>
        <w:t xml:space="preserve">“宿迁市政府采购网”自行免费下载</w:t>
      </w:r>
      <w:r>
        <w:rPr>
          <w:rFonts w:ascii="SimSun" w:hAnsi="SimSun" w:eastAsia="SimSun" w:cs="SimSun"/>
          <w:color w:val="000000"/>
          <w:sz w:val="24"/>
        </w:rPr>
        <w:t xml:space="preserve">招标文件，并于</w:t>
      </w:r>
      <w:r>
        <w:rPr>
          <w:rFonts w:ascii="Times New Roman" w:hAnsi="Times New Roman" w:eastAsia="Times New Roman" w:cs="Times New Roman"/>
          <w:color w:val="000000"/>
          <w:sz w:val="24"/>
          <w:u w:val="single"/>
        </w:rPr>
        <w:t xml:space="preserve"> 2026</w:t>
      </w:r>
      <w:r>
        <w:rPr>
          <w:rFonts w:ascii="SimSun" w:hAnsi="SimSun" w:eastAsia="SimSun" w:cs="SimSun"/>
          <w:color w:val="000000"/>
          <w:sz w:val="24"/>
          <w:u w:val="single"/>
        </w:rPr>
        <w:t xml:space="preserve">年</w:t>
      </w:r>
      <w:r>
        <w:rPr>
          <w:rFonts w:ascii="Times New Roman" w:hAnsi="Times New Roman" w:eastAsia="Times New Roman" w:cs="Times New Roman"/>
          <w:color w:val="000000"/>
          <w:sz w:val="24"/>
          <w:u w:val="single"/>
        </w:rPr>
        <w:t xml:space="preserve">8</w:t>
      </w:r>
      <w:r>
        <w:rPr>
          <w:rFonts w:ascii="SimSun" w:hAnsi="SimSun" w:eastAsia="SimSun" w:cs="SimSun"/>
          <w:color w:val="000000"/>
          <w:sz w:val="24"/>
          <w:u w:val="single"/>
        </w:rPr>
        <w:t xml:space="preserve">月</w:t>
      </w:r>
      <w:r>
        <w:rPr>
          <w:rFonts w:ascii="Times New Roman" w:hAnsi="Times New Roman" w:eastAsia="Times New Roman" w:cs="Times New Roman"/>
          <w:color w:val="000000"/>
          <w:sz w:val="24"/>
          <w:u w:val="single"/>
        </w:rPr>
        <w:t xml:space="preserve">11</w:t>
      </w:r>
      <w:r>
        <w:rPr>
          <w:rFonts w:ascii="SimSun" w:hAnsi="SimSun" w:eastAsia="SimSun" w:cs="SimSun"/>
          <w:color w:val="000000"/>
          <w:sz w:val="24"/>
          <w:u w:val="single"/>
        </w:rPr>
        <w:t xml:space="preserve">日</w:t>
      </w:r>
      <w:r>
        <w:rPr>
          <w:rFonts w:ascii="Times New Roman" w:hAnsi="Times New Roman" w:eastAsia="Times New Roman" w:cs="Times New Roman"/>
          <w:color w:val="000000"/>
          <w:sz w:val="24"/>
          <w:u w:val="single"/>
        </w:rPr>
        <w:t xml:space="preserve">9</w:t>
      </w:r>
      <w:r>
        <w:rPr>
          <w:rFonts w:ascii="SimSun" w:hAnsi="SimSun" w:eastAsia="SimSun" w:cs="SimSun"/>
          <w:color w:val="000000"/>
          <w:sz w:val="24"/>
          <w:u w:val="single"/>
        </w:rPr>
        <w:t xml:space="preserve">点</w:t>
      </w:r>
      <w:r>
        <w:rPr>
          <w:rFonts w:ascii="Times New Roman" w:hAnsi="Times New Roman" w:eastAsia="Times New Roman" w:cs="Times New Roman"/>
          <w:color w:val="000000"/>
          <w:sz w:val="24"/>
          <w:u w:val="single"/>
        </w:rPr>
        <w:t xml:space="preserve">30</w:t>
      </w:r>
      <w:r>
        <w:rPr>
          <w:rFonts w:ascii="SimSun" w:hAnsi="SimSun" w:eastAsia="SimSun" w:cs="SimSun"/>
          <w:color w:val="000000"/>
          <w:sz w:val="24"/>
          <w:u w:val="single"/>
        </w:rPr>
        <w:t xml:space="preserve">分（</w:t>
      </w:r>
      <w:r>
        <w:rPr>
          <w:rFonts w:ascii="SimSun" w:hAnsi="SimSun" w:eastAsia="SimSun" w:cs="SimSun"/>
          <w:color w:val="000000"/>
          <w:sz w:val="24"/>
        </w:rPr>
        <w:t xml:space="preserve">北京时间）前递交投标文件。</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一、项目基本情况</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项目编号：</w:t>
      </w:r>
      <w:r>
        <w:rPr>
          <w:rFonts w:ascii="Times New Roman" w:hAnsi="Times New Roman" w:eastAsia="Times New Roman" w:cs="Times New Roman"/>
          <w:color w:val="000000"/>
          <w:sz w:val="24"/>
          <w:u w:val="single"/>
        </w:rPr>
        <w:t xml:space="preserve">JSZC-321300-TYJT-G2026-0013</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项目名称：宿迁大道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迎宾大道至杨舍路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快速化改造工程监控采购项目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预算金额：</w:t>
      </w:r>
      <w:r>
        <w:rPr>
          <w:rFonts w:ascii="Times New Roman" w:hAnsi="Times New Roman" w:eastAsia="Times New Roman" w:cs="Times New Roman"/>
          <w:color w:val="000000"/>
          <w:sz w:val="24"/>
        </w:rPr>
        <w:t xml:space="preserve">1862.01</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本项目设定最高限价，其中分包一最高限价为</w:t>
      </w:r>
      <w:r>
        <w:rPr>
          <w:rFonts w:ascii="Times New Roman" w:hAnsi="Times New Roman" w:eastAsia="Times New Roman" w:cs="Times New Roman"/>
          <w:color w:val="000000"/>
          <w:sz w:val="24"/>
        </w:rPr>
        <w:t xml:space="preserve">459.36</w:t>
      </w:r>
      <w:r>
        <w:rPr>
          <w:rFonts w:ascii="SimSun" w:hAnsi="SimSun" w:eastAsia="SimSun" w:cs="SimSun"/>
          <w:color w:val="000000"/>
          <w:sz w:val="24"/>
        </w:rPr>
        <w:t xml:space="preserve">万元，分包二最高限价为</w:t>
      </w:r>
      <w:r>
        <w:rPr>
          <w:rFonts w:ascii="Times New Roman" w:hAnsi="Times New Roman" w:eastAsia="Times New Roman" w:cs="Times New Roman"/>
          <w:color w:val="000000"/>
          <w:sz w:val="24"/>
        </w:rPr>
        <w:t xml:space="preserve">596.42</w:t>
      </w:r>
      <w:r>
        <w:rPr>
          <w:rFonts w:ascii="SimSun" w:hAnsi="SimSun" w:eastAsia="SimSun" w:cs="SimSun"/>
          <w:color w:val="000000"/>
          <w:sz w:val="24"/>
        </w:rPr>
        <w:t xml:space="preserve">万元，分包三最高限价为</w:t>
      </w:r>
      <w:r>
        <w:rPr>
          <w:rFonts w:ascii="Times New Roman" w:hAnsi="Times New Roman" w:eastAsia="Times New Roman" w:cs="Times New Roman"/>
          <w:color w:val="000000"/>
          <w:sz w:val="24"/>
        </w:rPr>
        <w:t xml:space="preserve">463.43</w:t>
      </w:r>
      <w:r>
        <w:rPr>
          <w:rFonts w:ascii="SimSun" w:hAnsi="SimSun" w:eastAsia="SimSun" w:cs="SimSun"/>
          <w:color w:val="000000"/>
          <w:sz w:val="24"/>
        </w:rPr>
        <w:t xml:space="preserve">万元，分包四最高限价为</w:t>
      </w:r>
      <w:r>
        <w:rPr>
          <w:rFonts w:ascii="Times New Roman" w:hAnsi="Times New Roman" w:eastAsia="Times New Roman" w:cs="Times New Roman"/>
          <w:color w:val="000000"/>
          <w:sz w:val="24"/>
        </w:rPr>
        <w:t xml:space="preserve">342.80</w:t>
      </w:r>
      <w:r>
        <w:rPr>
          <w:rFonts w:ascii="SimSun" w:hAnsi="SimSun" w:eastAsia="SimSun" w:cs="SimSun"/>
          <w:color w:val="000000"/>
          <w:sz w:val="24"/>
        </w:rPr>
        <w:t xml:space="preserve">万元。</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采购需求（简介）：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分包一：位于宿迁大道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迎宾大道至杨舍路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快速化改造工程监控配套项目</w:t>
      </w:r>
      <w:r>
        <w:rPr>
          <w:rFonts w:ascii="Times New Roman" w:hAnsi="Times New Roman" w:eastAsia="Times New Roman" w:cs="Times New Roman"/>
          <w:color w:val="000000"/>
          <w:sz w:val="24"/>
        </w:rPr>
        <w:t xml:space="preserve">SQDD-JK1</w:t>
      </w:r>
      <w:r>
        <w:rPr>
          <w:rFonts w:ascii="SimSun" w:hAnsi="SimSun" w:eastAsia="SimSun" w:cs="SimSun"/>
          <w:color w:val="000000"/>
          <w:sz w:val="24"/>
        </w:rPr>
        <w:t xml:space="preserve">位置，主要包含摄像机、雷达、控制主机、匝道控制设备等；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分包二：位于宿迁大道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迎宾大道至杨舍路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快速化改造工程监控配套项目</w:t>
      </w:r>
      <w:r>
        <w:rPr>
          <w:rFonts w:ascii="Times New Roman" w:hAnsi="Times New Roman" w:eastAsia="Times New Roman" w:cs="Times New Roman"/>
          <w:color w:val="000000"/>
          <w:sz w:val="24"/>
        </w:rPr>
        <w:t xml:space="preserve">SQDD-JK2</w:t>
      </w:r>
      <w:r>
        <w:rPr>
          <w:rFonts w:ascii="SimSun" w:hAnsi="SimSun" w:eastAsia="SimSun" w:cs="SimSun"/>
          <w:color w:val="000000"/>
          <w:sz w:val="24"/>
        </w:rPr>
        <w:t xml:space="preserve">位置，主要包含摄像机、雷达、控制主机、匝道控制设备等；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分包三：位于宿迁大道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迎宾大道至杨舍路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快速化改造工程监控配套项目</w:t>
      </w:r>
      <w:r>
        <w:rPr>
          <w:rFonts w:ascii="Times New Roman" w:hAnsi="Times New Roman" w:eastAsia="Times New Roman" w:cs="Times New Roman"/>
          <w:color w:val="000000"/>
          <w:sz w:val="24"/>
        </w:rPr>
        <w:t xml:space="preserve">SQDD-JK3</w:t>
      </w:r>
      <w:r>
        <w:rPr>
          <w:rFonts w:ascii="SimSun" w:hAnsi="SimSun" w:eastAsia="SimSun" w:cs="SimSun"/>
          <w:color w:val="000000"/>
          <w:sz w:val="24"/>
        </w:rPr>
        <w:t xml:space="preserve">位置，主要包含摄像机、雷达、控制主机、匝道控制设备等；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分包四：主要包含存储设备、交换机等。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具体内容详见采购需求。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本项目共分</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个分包。</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各投标人可就上述分包中</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个分包投标，但各投标人只能在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个分包上中标。如某投标人在多个分包上均排名第一时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按分包一、二、三、四顺序定标。已按上述规定被推荐为第一中标候选人的，参与其它分包评标但不参与推荐中标候选人的排序。</w:t>
      </w:r>
      <w:r>
        <w:rPr>
          <w:rFonts w:ascii="Times New Roman" w:hAnsi="Times New Roman" w:eastAsia="Times New Roman" w:cs="Times New Roman"/>
          <w:color w:val="000000"/>
          <w:sz w:val="24"/>
        </w:rPr>
        <w:t xml:space="preserve">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合同履行期限：</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日历天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二、申请人的资格要求：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（一）通用资格要求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具备《中华人民共和国政府采购法》第二十二条第一款规定的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项条件（按要求提供投标函）。</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）查询，不存在被列入失信被执行人、重大税收违法案件当事人名单、政府采购严重失信行为记录名单及其他不符合《中华人民共和国政府采购法》第二十二条规定条件的信用记录情形（无需提供证明材料）。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落实政府采购政策需满足的资格要求：无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（二）本项目的特定资格要求：无</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三、获取招标文件</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时间：招标公告发布之日起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方式：投标人应在招标文件提供的时间内，通过“苏采云”系统（网址： </w:t>
      </w:r>
      <w:r>
        <w:rPr>
          <w:rFonts w:ascii="Times New Roman" w:hAnsi="Times New Roman" w:eastAsia="Times New Roman" w:cs="Times New Roman"/>
          <w:color w:val="000000"/>
          <w:sz w:val="24"/>
        </w:rPr>
        <w:t xml:space="preserve">http://jszfcg.jsczt.cn/</w:t>
      </w:r>
      <w:r>
        <w:rPr>
          <w:rFonts w:ascii="SimSun" w:hAnsi="SimSun" w:eastAsia="SimSun" w:cs="SimSun"/>
          <w:color w:val="000000"/>
          <w:sz w:val="24"/>
        </w:rPr>
        <w:t xml:space="preserve">），使用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锁登录系统后，找到本项目获取招标文件（后缀名为“</w:t>
      </w:r>
      <w:r>
        <w:rPr>
          <w:rFonts w:ascii="Times New Roman" w:hAnsi="Times New Roman" w:eastAsia="Times New Roman" w:cs="Times New Roman"/>
          <w:color w:val="000000"/>
          <w:sz w:val="24"/>
        </w:rPr>
        <w:t xml:space="preserve">.kedt</w:t>
      </w:r>
      <w:r>
        <w:rPr>
          <w:rFonts w:ascii="SimSun" w:hAnsi="SimSun" w:eastAsia="SimSun" w:cs="SimSun"/>
          <w:color w:val="000000"/>
          <w:sz w:val="24"/>
        </w:rPr>
        <w:t xml:space="preserve">”）。</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四、提交投标文件截止时间、开标时间和地点</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提交投标文件截止时间、开标时间：</w:t>
      </w:r>
      <w:r>
        <w:rPr>
          <w:rFonts w:ascii="Times New Roman" w:hAnsi="Times New Roman" w:eastAsia="Times New Roman" w:cs="Times New Roman"/>
          <w:color w:val="000000"/>
          <w:sz w:val="24"/>
        </w:rPr>
        <w:t xml:space="preserve">2026</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日</w:t>
      </w:r>
      <w:r>
        <w:rPr>
          <w:rFonts w:ascii="Times New Roman" w:hAnsi="Times New Roman" w:eastAsia="Times New Roman" w:cs="Times New Roman"/>
          <w:color w:val="000000"/>
          <w:sz w:val="24"/>
        </w:rPr>
        <w:t xml:space="preserve">09</w:t>
      </w:r>
      <w:r>
        <w:rPr>
          <w:rFonts w:ascii="SimSun" w:hAnsi="SimSun" w:eastAsia="SimSun" w:cs="SimSun"/>
          <w:color w:val="000000"/>
          <w:sz w:val="24"/>
        </w:rPr>
        <w:t xml:space="preserve">点</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分（北京时间）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地点：“苏采云”政府采购交易系统网上开标大厅。</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五、公告期限</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招标公告及招标文件公告期限为自本公告发布之日起</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六、其他补充事宜</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招标公告发布媒体：江苏政府采购网、宿迁市政府采购网等。</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”数字证书办理：“苏采云”系统目前仅支持“苏采云”系统下的意源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。省内各地区办理的“苏采云”系统下的意源</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全省通用。宿迁地区</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数字证书办理联系方式：</w:t>
      </w:r>
      <w:r>
        <w:rPr>
          <w:rFonts w:ascii="Times New Roman" w:hAnsi="Times New Roman" w:eastAsia="Times New Roman" w:cs="Times New Roman"/>
          <w:color w:val="000000"/>
          <w:sz w:val="24"/>
        </w:rPr>
        <w:t xml:space="preserve">18351098172</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宿迁地区“苏采云”系统技术支持客服电话：</w:t>
      </w:r>
      <w:r>
        <w:rPr>
          <w:rFonts w:ascii="Times New Roman" w:hAnsi="Times New Roman" w:eastAsia="Times New Roman" w:cs="Times New Roman"/>
          <w:color w:val="000000"/>
          <w:sz w:val="24"/>
        </w:rPr>
        <w:t xml:space="preserve">0527-84363067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0519-86722806</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质疑渠道：投标人登录“苏采云”系统“项目质疑申请”模块向采购人提出，质疑处理联系方式详见“采购人信息”；财政部门投诉受理电话：</w:t>
      </w:r>
      <w:r>
        <w:rPr>
          <w:rFonts w:ascii="Times New Roman" w:hAnsi="Times New Roman" w:eastAsia="Times New Roman" w:cs="Times New Roman"/>
          <w:color w:val="000000"/>
          <w:sz w:val="24"/>
        </w:rPr>
        <w:t xml:space="preserve">0527-84363063</w:t>
      </w:r>
      <w:r>
        <w:rPr>
          <w:rFonts w:ascii="SimSun" w:hAnsi="SimSun" w:eastAsia="SimSun" w:cs="SimSun"/>
          <w:color w:val="000000"/>
          <w:sz w:val="24"/>
        </w:rPr>
        <w:t xml:space="preserve">。 </w:t>
      </w:r>
      <w:r/>
    </w:p>
    <w:p>
      <w:pPr>
        <w:pStyle w:val="642"/>
        <w:ind w:left="0" w:right="0" w:firstLine="498"/>
        <w:jc w:val="both"/>
        <w:spacing w:before="145" w:after="145"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七、本次招标联系方式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1.采购人信息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名称：宿迁市公路事业发展中心、宿迁市楚润数据集团有限公司</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地址：宿迁市洪泽湖路151号、宿迁市发展大道7号</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人：程瑞、荣先生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联系方式：0527-84357580、0527-80522809       </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2.采购代理机构信息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名称：江苏天园项目管理集团有限公司</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　址：宿迁市宿城区迅驰路23号（天园大厦）二楼</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 系 人：臧浩 </w:t>
      </w:r>
      <w:r/>
    </w:p>
    <w:p>
      <w:pPr>
        <w:ind w:left="0" w:right="0" w:firstLine="480"/>
        <w:jc w:val="both"/>
        <w:spacing w:before="0" w:after="0" w:line="559" w:lineRule="atLeast"/>
        <w:tabs>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联系方式：15896340397</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84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pStyle w:val="640"/>
        <w:ind w:left="0" w:right="0" w:firstLine="2429"/>
        <w:jc w:val="both"/>
        <w:spacing w:before="260" w:after="260" w:line="761"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第二章投标人须知</w:t>
      </w:r>
      <w:r/>
    </w:p>
    <w:p>
      <w:pPr>
        <w:pStyle w:val="642"/>
        <w:ind w:left="0" w:right="0" w:firstLine="49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一、总则</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w:t>
      </w:r>
      <w:r>
        <w:rPr>
          <w:rFonts w:ascii="SimHei" w:hAnsi="SimHei" w:eastAsia="SimHei" w:cs="SimHei"/>
          <w:color w:val="000000"/>
          <w:sz w:val="28"/>
        </w:rPr>
        <w:t xml:space="preserve">、招标方式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本次招标采取公开招标方式，本招标文件仅适用于招标公告中所述项目。</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w:t>
      </w:r>
      <w:r>
        <w:rPr>
          <w:rFonts w:ascii="SimHei" w:hAnsi="SimHei" w:eastAsia="SimHei" w:cs="SimHei"/>
          <w:color w:val="000000"/>
          <w:sz w:val="28"/>
        </w:rPr>
        <w:t xml:space="preserve">、合格的投标人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满足招标公告中投标人的资格要求的规定。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满足本文件实质性要求和条件的规定。</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3</w:t>
      </w:r>
      <w:r>
        <w:rPr>
          <w:rFonts w:ascii="SimHei" w:hAnsi="SimHei" w:eastAsia="SimHei" w:cs="SimHei"/>
          <w:color w:val="000000"/>
          <w:sz w:val="28"/>
        </w:rPr>
        <w:t xml:space="preserve">、适用法律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 </w:t>
      </w:r>
      <w:r>
        <w:rPr>
          <w:rFonts w:ascii="SimSun" w:hAnsi="SimSun" w:eastAsia="SimSun" w:cs="SimSun"/>
          <w:color w:val="000000"/>
          <w:sz w:val="24"/>
        </w:rPr>
        <w:t xml:space="preserve">本次招标及由此产生的合同受中华人民共和国有关的法律法规制约和保护。</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4</w:t>
      </w:r>
      <w:r>
        <w:rPr>
          <w:rFonts w:ascii="SimHei" w:hAnsi="SimHei" w:eastAsia="SimHei" w:cs="SimHei"/>
          <w:color w:val="000000"/>
          <w:sz w:val="28"/>
        </w:rPr>
        <w:t xml:space="preserve">、投标费用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 </w:t>
      </w:r>
      <w:r>
        <w:rPr>
          <w:rFonts w:ascii="SimSun" w:hAnsi="SimSun" w:eastAsia="SimSun" w:cs="SimSun"/>
          <w:color w:val="000000"/>
          <w:sz w:val="24"/>
        </w:rPr>
        <w:t xml:space="preserve">投标人应自行承担所有与参加投标有关的费用。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w:t>
      </w:r>
      <w:r>
        <w:rPr>
          <w:rFonts w:ascii="SimSun" w:hAnsi="SimSun" w:eastAsia="SimSun" w:cs="SimSun"/>
          <w:color w:val="000000"/>
          <w:sz w:val="24"/>
        </w:rPr>
        <w:t xml:space="preserve">代理费用收取方式及标准：按以下第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 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4.2.1</w:t>
      </w:r>
      <w:r>
        <w:rPr>
          <w:rFonts w:ascii="SimSun" w:hAnsi="SimSun" w:eastAsia="SimSun" w:cs="SimSun"/>
          <w:color w:val="000000"/>
          <w:sz w:val="24"/>
        </w:rPr>
        <w:t xml:space="preserve">无需支付；</w:t>
      </w:r>
      <w:r/>
    </w:p>
    <w:p>
      <w:pPr>
        <w:ind w:left="0" w:right="0" w:firstLine="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4.2.2</w:t>
      </w:r>
      <w:r>
        <w:rPr>
          <w:rFonts w:ascii="SimSun" w:hAnsi="SimSun" w:eastAsia="SimSun" w:cs="SimSun"/>
          <w:color w:val="000000"/>
          <w:sz w:val="24"/>
        </w:rPr>
        <w:t xml:space="preserve">中标人支付，具体方式及标准为：参照苏招协</w:t>
      </w:r>
      <w:r>
        <w:rPr>
          <w:rFonts w:ascii="Times New Roman" w:hAnsi="Times New Roman" w:eastAsia="Times New Roman" w:cs="Times New Roman"/>
          <w:color w:val="000000"/>
          <w:sz w:val="24"/>
        </w:rPr>
        <w:t xml:space="preserve">[2022]002</w:t>
      </w:r>
      <w:r>
        <w:rPr>
          <w:rFonts w:ascii="SimSun" w:hAnsi="SimSun" w:eastAsia="SimSun" w:cs="SimSun"/>
          <w:color w:val="000000"/>
          <w:sz w:val="24"/>
        </w:rPr>
        <w:t xml:space="preserve">号文件规定标准计取，可通过转账、支票或数字人民币等方式。</w:t>
      </w:r>
      <w:r/>
    </w:p>
    <w:p>
      <w:pPr>
        <w:pStyle w:val="644"/>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5</w:t>
      </w:r>
      <w:r>
        <w:rPr>
          <w:rFonts w:ascii="SimHei" w:hAnsi="SimHei" w:eastAsia="SimHei" w:cs="SimHei"/>
          <w:b/>
          <w:color w:val="000000"/>
          <w:sz w:val="30"/>
        </w:rPr>
        <w:t xml:space="preserve">、</w:t>
      </w:r>
      <w:r>
        <w:rPr>
          <w:rFonts w:ascii="SimHei" w:hAnsi="SimHei" w:eastAsia="SimHei" w:cs="SimHei"/>
          <w:color w:val="000000"/>
          <w:sz w:val="28"/>
        </w:rPr>
        <w:t xml:space="preserve">招标文件的约束力</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w:t>
      </w:r>
      <w:r>
        <w:rPr>
          <w:rFonts w:ascii="SimSun" w:hAnsi="SimSun" w:eastAsia="SimSun" w:cs="SimSun"/>
          <w:color w:val="000000"/>
          <w:sz w:val="24"/>
        </w:rPr>
        <w:t xml:space="preserve"> 投标人一旦参加本项目采购活动，即被认为接受了本招标文件的规定和约束。</w:t>
      </w:r>
      <w:r/>
    </w:p>
    <w:p>
      <w:pPr>
        <w:pStyle w:val="642"/>
        <w:ind w:left="0" w:right="0" w:firstLine="321"/>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二、招标文件</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6</w:t>
      </w:r>
      <w:r>
        <w:rPr>
          <w:rFonts w:ascii="SimHei" w:hAnsi="SimHei" w:eastAsia="SimHei" w:cs="SimHei"/>
          <w:color w:val="000000"/>
          <w:sz w:val="28"/>
        </w:rPr>
        <w:t xml:space="preserve">、招标文件构成</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6.1</w:t>
      </w:r>
      <w:r>
        <w:rPr>
          <w:rFonts w:ascii="SimSun" w:hAnsi="SimSun" w:eastAsia="SimSun" w:cs="SimSun"/>
          <w:color w:val="000000"/>
          <w:sz w:val="24"/>
        </w:rPr>
        <w:t xml:space="preserve"> 招标文件由以下部分组成：</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）投标邀请</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）投标人须知</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）合同文本</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）采购需求</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）评标方法与评标标准</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）投标文件格式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请仔细检查招标文件是否齐全，如有缺漏请立即与采购代理机构联系解决。</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w:t>
      </w:r>
      <w:r>
        <w:rPr>
          <w:rFonts w:ascii="SimSun" w:hAnsi="SimSun" w:eastAsia="SimSun" w:cs="SimSun"/>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644"/>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7</w:t>
      </w:r>
      <w:r>
        <w:rPr>
          <w:rFonts w:ascii="SimHei" w:hAnsi="SimHei" w:eastAsia="SimHei" w:cs="SimHei"/>
          <w:color w:val="000000"/>
          <w:sz w:val="28"/>
        </w:rPr>
        <w:t xml:space="preserve">、招标文件的澄清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 任何要求对招标文件进行澄清的投标人，应在投标截止期</w:t>
      </w:r>
      <w:r>
        <w:rPr>
          <w:rFonts w:ascii="SimSun" w:hAnsi="SimSun" w:eastAsia="SimSun" w:cs="SimSun"/>
          <w:b/>
          <w:color w:val="000000"/>
          <w:sz w:val="24"/>
        </w:rPr>
        <w:t xml:space="preserve">十日</w:t>
      </w:r>
      <w:r>
        <w:rPr>
          <w:rFonts w:ascii="SimSun" w:hAnsi="SimSun" w:eastAsia="SimSun" w:cs="SimSun"/>
          <w:color w:val="000000"/>
          <w:sz w:val="24"/>
        </w:rPr>
        <w:t xml:space="preserve">前按招标公告中的通讯地址，以书面形式通知采购代理机构。</w:t>
      </w:r>
      <w:r/>
    </w:p>
    <w:p>
      <w:pPr>
        <w:pStyle w:val="644"/>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8</w:t>
      </w:r>
      <w:r>
        <w:rPr>
          <w:rFonts w:ascii="SimHei" w:hAnsi="SimHei" w:eastAsia="SimHei" w:cs="SimHei"/>
          <w:color w:val="000000"/>
          <w:sz w:val="28"/>
        </w:rPr>
        <w:t xml:space="preserve">、招标文件的修改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采购代理机构可以以更正公告的形式，对已发出的招标文件进行必要的澄清或者修改。澄清或者修改的内容可能影响投标文件编制的，更正公告应在投标截止时间至少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日前发出；不足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日的，采购代理机构应当顺延提交投标文件的截止时间。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 在投标截止时间前，采购代理机构可以对招标文件进行修改。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 采购代理机构有权按照法定的要求推迟投标截止日期和开标日期。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招标文件的修改将在将在原公告媒体上发布更正公告，补充文件将作为招标文件的组成部分，并对投标人具有约束力，发布的更正公告视同为以书面形式通知所有获取招标文件的潜在投标人。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投标人应及时登录“苏采云”系统获取澄清答疑文件（修改后招标文件），如因投标人原因未能及时下载澄清和修改后的招标文件，由此造成的相关责任，由投标人承担。 </w:t>
      </w:r>
      <w:r/>
    </w:p>
    <w:p>
      <w:pPr>
        <w:pStyle w:val="642"/>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三、投标文件的编制</w:t>
      </w:r>
      <w:r/>
    </w:p>
    <w:p>
      <w:pPr>
        <w:pStyle w:val="644"/>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9</w:t>
      </w:r>
      <w:r>
        <w:rPr>
          <w:rFonts w:ascii="SimHei" w:hAnsi="SimHei" w:eastAsia="SimHei" w:cs="SimHei"/>
          <w:color w:val="000000"/>
          <w:sz w:val="28"/>
        </w:rPr>
        <w:t xml:space="preserve">、投标文件的语言及度量衡单位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 投标人提交的投标文件以及投标人与采购代理机构就有关投标的所有来往通知、函件和文件均应使用</w:t>
      </w:r>
      <w:r>
        <w:rPr>
          <w:rFonts w:ascii="SimSun" w:hAnsi="SimSun" w:eastAsia="SimSun" w:cs="SimSun"/>
          <w:b/>
          <w:color w:val="000000"/>
          <w:sz w:val="24"/>
        </w:rPr>
        <w:t xml:space="preserve">简体中文</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9.2</w:t>
      </w:r>
      <w:r>
        <w:rPr>
          <w:rFonts w:ascii="SimSun" w:hAnsi="SimSun" w:eastAsia="SimSun" w:cs="SimSun"/>
          <w:color w:val="000000"/>
          <w:sz w:val="24"/>
        </w:rPr>
        <w:t xml:space="preserve"> 除技术性能另有规定外，投标文件所使用的度量衡单位，均须采用国家法定计量单位。</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10</w:t>
      </w:r>
      <w:r>
        <w:rPr>
          <w:rFonts w:ascii="SimHei" w:hAnsi="SimHei" w:eastAsia="SimHei" w:cs="SimHei"/>
          <w:color w:val="000000"/>
          <w:sz w:val="28"/>
        </w:rPr>
        <w:t xml:space="preserve">、投标文件构成</w:t>
      </w:r>
      <w:r/>
    </w:p>
    <w:p>
      <w:pPr>
        <w:ind w:left="0" w:right="0" w:firstLine="480"/>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w:t>
      </w:r>
      <w:r>
        <w:rPr>
          <w:rFonts w:ascii="SimSun" w:hAnsi="SimSun" w:eastAsia="SimSun" w:cs="SimSun"/>
          <w:color w:val="000000"/>
          <w:sz w:val="24"/>
        </w:rPr>
        <w:t xml:space="preserve">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各投标人在编制投标文件时请按照招标文件第六章规定的格式进行，混乱的编排导致投标文件被误读或评委会查找不到有效文件是投标人的风险。</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w:t>
      </w:r>
      <w:r>
        <w:rPr>
          <w:rFonts w:ascii="SimSun" w:hAnsi="SimSun" w:eastAsia="SimSun" w:cs="SimSun"/>
          <w:color w:val="000000"/>
          <w:sz w:val="24"/>
        </w:rPr>
        <w:t xml:space="preserve"> 投标人编写的投标文件应包括资格证明文件、符合性证明文件、投标分项报价表、响应及偏离表、其他证明文件、投标函、开标一览表等部分。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w:t>
      </w:r>
      <w:r>
        <w:rPr>
          <w:rFonts w:ascii="SimSun" w:hAnsi="SimSun" w:eastAsia="SimSun" w:cs="SimSun"/>
          <w:color w:val="000000"/>
          <w:sz w:val="24"/>
        </w:rPr>
        <w:t xml:space="preserve">投标文件须加盖电子签章之处，应按要求加盖投标人数字证书的电子签章。其他需要盖章但未明确要求电子签章的，投标人可按要求加盖公章后上传材料电子件或直接加盖电子签章。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w:t>
      </w:r>
      <w:r>
        <w:rPr>
          <w:rFonts w:ascii="SimSun" w:hAnsi="SimSun" w:eastAsia="SimSun" w:cs="SimSun"/>
          <w:color w:val="000000"/>
          <w:sz w:val="24"/>
        </w:rPr>
        <w:t xml:space="preserve">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因“苏采云”系统导致解密失败的除外</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 </w:t>
      </w:r>
      <w:r>
        <w:rPr>
          <w:rFonts w:ascii="SimSun" w:hAnsi="SimSun" w:eastAsia="SimSun" w:cs="SimSun"/>
          <w:color w:val="000000"/>
          <w:sz w:val="24"/>
        </w:rPr>
        <w:t xml:space="preserve">如标书制作工具中格式和内容与“宿迁市政府采购网”发布的招标文件不一致，请以“宿迁市政府采购网”发布的招标文件为准。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10.6</w:t>
      </w:r>
      <w:r>
        <w:rPr>
          <w:rFonts w:ascii="SimSun" w:hAnsi="SimSun" w:eastAsia="SimSun" w:cs="SimSun"/>
          <w:color w:val="000000"/>
          <w:sz w:val="24"/>
        </w:rPr>
        <w:t xml:space="preserve">中标后按相关要求提供与电子投标文件一致的纸质打印投标文件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份。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）投标文件构成资料为非中文时应提供中文译版；（</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）招标文件要求提供证书证件等原件电子件的，投标人提供的电子件应是对证书证件等原件通过扫描、拍照等方式进行数字化的可被“苏采云”系统识别的数字文件，否则评委会可以视其未提供。（</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）无论何种原因，即使投标人开标时携带了证书证明资料的原件，但电子投标文件中未包含相关资料电子件的，评委会可以视同其未提供。</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11</w:t>
      </w:r>
      <w:r>
        <w:rPr>
          <w:rFonts w:ascii="SimHei" w:hAnsi="SimHei" w:eastAsia="SimHei" w:cs="SimHei"/>
          <w:color w:val="000000"/>
          <w:sz w:val="28"/>
        </w:rPr>
        <w:t xml:space="preserve">、证明投标人及投标标的符合招标文件规定的文件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投标人应按照法律、法规、规章和规范性文件以及招标文件要求提交证明文件，证明其及投标标的符合招标文件规定。</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rPr>
          <w:rFonts w:ascii="SimSun" w:hAnsi="SimSun" w:eastAsia="SimSun" w:cs="SimSun"/>
          <w:color w:val="000000"/>
          <w:sz w:val="24"/>
        </w:rPr>
        <w:t xml:space="preserve">招标文件对证明文件无明确形式要求的，证明文件可以以文字资料、图纸和数据等形式提交。</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12</w:t>
      </w:r>
      <w:r>
        <w:rPr>
          <w:rFonts w:ascii="SimHei" w:hAnsi="SimHei" w:eastAsia="SimHei" w:cs="SimHei"/>
          <w:color w:val="000000"/>
          <w:sz w:val="28"/>
        </w:rPr>
        <w:t xml:space="preserve">、投标分项报价表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w:t>
      </w:r>
      <w:r>
        <w:rPr>
          <w:rFonts w:ascii="SimSun" w:hAnsi="SimSun" w:eastAsia="SimSun" w:cs="SimSun"/>
          <w:color w:val="000000"/>
          <w:sz w:val="24"/>
        </w:rPr>
        <w:t xml:space="preserve"> 投标人应按照招标文件规定格式填报投标分项报价表。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w:t>
      </w:r>
      <w:r>
        <w:rPr>
          <w:rFonts w:ascii="SimSun" w:hAnsi="SimSun" w:eastAsia="SimSun" w:cs="SimSun"/>
          <w:color w:val="000000"/>
          <w:sz w:val="24"/>
        </w:rPr>
        <w:t xml:space="preserve">投标货币。投标文件中的单价和总价无特殊规定的采用人民币报价，以元为单位标注。招标文件中另有规定的按规定执行。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本项目不接受备选的投标方案或有选择的报价，只允许有一个报价。投标报价内容包括：货物本身、硬件附带相关软件、标准附件、备品备件、专用工具、包装、运输、装卸、总承包单位配合费用、保险、税金、货到就位以及安装、调试、培训、保修、验收等完成本项目所涉及到的一切相关费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合同价款包含供应商提供合同约定的货物及供应商提供合同中服务所支出的所有费用，包含但不限于设备厂验的所有费用（产生的差旅费、交通费等）、系统对接所产生的费用、相关平台对接所产生的费用、配合费、搬迁费、人工费、辅材费等，采购人在上述合同价款之外不再向供应商支付其他任何费用，表中价格均为含税价。</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8"/>
        </w:rPr>
        <w:t xml:space="preserve">13</w:t>
      </w:r>
      <w:r>
        <w:rPr>
          <w:rFonts w:ascii="SimHei" w:hAnsi="SimHei" w:eastAsia="SimHei" w:cs="SimHei"/>
          <w:color w:val="000000"/>
          <w:sz w:val="28"/>
        </w:rPr>
        <w:t xml:space="preserve">、技术要求响应及偏离表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13.1 投标人需对招标文件中的技术要求逐项作出响应或偏离，并说明原因。</w:t>
      </w:r>
      <w:r/>
    </w:p>
    <w:p>
      <w:pPr>
        <w:ind w:left="0" w:right="0" w:firstLine="480"/>
        <w:jc w:val="both"/>
        <w:spacing w:before="0" w:after="0" w:line="559" w:lineRule="atLeast"/>
        <w:tabs>
          <w:tab w:val="left" w:pos="1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13.2 投标人可在投标文件中提供认为需要的其他技术文件或说明。</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14</w:t>
      </w:r>
      <w:r>
        <w:rPr>
          <w:rFonts w:ascii="SimHei" w:hAnsi="SimHei" w:eastAsia="SimHei" w:cs="SimHei"/>
          <w:color w:val="000000"/>
          <w:sz w:val="28"/>
        </w:rPr>
        <w:t xml:space="preserve">、服务承诺、培训计划、人员安排及其他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14.1 </w:t>
      </w:r>
      <w:r>
        <w:rPr>
          <w:rFonts w:ascii="SimSun" w:hAnsi="SimSun" w:eastAsia="SimSun" w:cs="SimSun"/>
          <w:color w:val="000000"/>
          <w:sz w:val="24"/>
        </w:rPr>
        <w:t xml:space="preserve">投标人需根据招标文件要求提供有关售后服务的管理制度，售后服务机构的分布情况，售后服务人员的数量、素质、技术水平及售后服务的反应能力等。</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14.2 </w:t>
      </w:r>
      <w:r>
        <w:rPr>
          <w:rFonts w:ascii="SimSun" w:hAnsi="SimSun" w:eastAsia="SimSun" w:cs="SimSun"/>
          <w:color w:val="000000"/>
          <w:sz w:val="24"/>
        </w:rPr>
        <w:t xml:space="preserve">投标人需根据招标文件要求提供培训计划。</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14.3 </w:t>
      </w:r>
      <w:r>
        <w:rPr>
          <w:rFonts w:ascii="SimSun" w:hAnsi="SimSun" w:eastAsia="SimSun" w:cs="SimSun"/>
          <w:color w:val="000000"/>
          <w:sz w:val="24"/>
        </w:rPr>
        <w:t xml:space="preserve">投标人需根据招标文件要求提供所投标的的主要组成部分、功能设计、实现思路及关键技术等。</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15</w:t>
      </w:r>
      <w:r>
        <w:rPr>
          <w:rFonts w:ascii="SimHei" w:hAnsi="SimHei" w:eastAsia="SimHei" w:cs="SimHei"/>
          <w:color w:val="000000"/>
          <w:sz w:val="28"/>
        </w:rPr>
        <w:t xml:space="preserve">、投标声明及承诺函和开标一览表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w:t>
      </w:r>
      <w:r>
        <w:rPr>
          <w:rFonts w:ascii="SimSun" w:hAnsi="SimSun" w:eastAsia="SimSun" w:cs="SimSun"/>
          <w:color w:val="000000"/>
          <w:sz w:val="24"/>
        </w:rPr>
        <w:t xml:space="preserve"> 投标人应按照招标文件中提供的格式完整、正确填写投标声明及承诺函、开标一览表。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w:t>
      </w:r>
      <w:r>
        <w:rPr>
          <w:rFonts w:ascii="SimSun" w:hAnsi="SimSun" w:eastAsia="SimSun" w:cs="SimSun"/>
          <w:color w:val="000000"/>
          <w:sz w:val="24"/>
        </w:rPr>
        <w:t xml:space="preserve"> 对于采用货币报价的项目，开标一览表中的投标总报价应与投标分项报价表中的投标总报价一致，如不一致，不作为无效投标处理，但评标时按开标一览表中价格为准</w:t>
      </w:r>
      <w:r>
        <w:rPr>
          <w:rFonts w:ascii="SimSun" w:hAnsi="SimSun" w:eastAsia="SimSun" w:cs="SimSun"/>
          <w:b/>
          <w:color w:val="000000"/>
          <w:sz w:val="24"/>
        </w:rPr>
        <w:t xml:space="preserve">。</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16</w:t>
      </w:r>
      <w:r>
        <w:rPr>
          <w:rFonts w:ascii="SimHei" w:hAnsi="SimHei" w:eastAsia="SimHei" w:cs="SimHei"/>
          <w:color w:val="000000"/>
          <w:sz w:val="28"/>
        </w:rPr>
        <w:t xml:space="preserve">、投标有效期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 投标有效期为开标之日后</w:t>
      </w:r>
      <w:r>
        <w:rPr>
          <w:rFonts w:ascii="SimSun" w:hAnsi="SimSun" w:eastAsia="SimSun" w:cs="SimSun"/>
          <w:b/>
          <w:color w:val="000000"/>
          <w:sz w:val="24"/>
          <w:u w:val="single"/>
        </w:rPr>
        <w:t xml:space="preserve">六十（</w:t>
      </w:r>
      <w:r>
        <w:rPr>
          <w:rFonts w:ascii="Times New Roman" w:hAnsi="Times New Roman" w:eastAsia="Times New Roman" w:cs="Times New Roman"/>
          <w:b/>
          <w:color w:val="000000"/>
          <w:sz w:val="24"/>
          <w:u w:val="single"/>
        </w:rPr>
        <w:t xml:space="preserve">60</w:t>
      </w:r>
      <w:r>
        <w:rPr>
          <w:rFonts w:ascii="SimSun" w:hAnsi="SimSun" w:eastAsia="SimSun" w:cs="SimSun"/>
          <w:b/>
          <w:color w:val="000000"/>
          <w:sz w:val="24"/>
          <w:u w:val="single"/>
        </w:rPr>
        <w:t xml:space="preserve">）天</w:t>
      </w:r>
      <w:r>
        <w:rPr>
          <w:rFonts w:ascii="SimSun" w:hAnsi="SimSun" w:eastAsia="SimSun" w:cs="SimSun"/>
          <w:color w:val="000000"/>
          <w:sz w:val="24"/>
        </w:rPr>
        <w:t xml:space="preserve">。投标有效期比规定短的将被视为未实质性响应招标文件而予以拒绝。</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17</w:t>
      </w:r>
      <w:r>
        <w:rPr>
          <w:rFonts w:ascii="SimHei" w:hAnsi="SimHei" w:eastAsia="SimHei" w:cs="SimHei"/>
          <w:color w:val="000000"/>
          <w:sz w:val="28"/>
        </w:rPr>
        <w:t xml:space="preserve">、投标有效期的延长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w:t>
      </w:r>
      <w:r>
        <w:rPr>
          <w:rFonts w:ascii="SimSun" w:hAnsi="SimSun" w:eastAsia="SimSun" w:cs="SimSun"/>
          <w:color w:val="000000"/>
          <w:sz w:val="24"/>
        </w:rPr>
        <w:t xml:space="preserve">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w:t>
      </w:r>
      <w:r>
        <w:rPr>
          <w:rFonts w:ascii="SimSun" w:hAnsi="SimSun" w:eastAsia="SimSun" w:cs="SimSun"/>
          <w:color w:val="000000"/>
          <w:sz w:val="24"/>
        </w:rPr>
        <w:t xml:space="preserve">中标人的投标文件作为项目合同的附件，其有效期至中标人全部合同义务履行完毕为止。 </w:t>
      </w:r>
      <w:r/>
    </w:p>
    <w:p>
      <w:pPr>
        <w:pStyle w:val="642"/>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四、投标文件的递交</w:t>
      </w:r>
      <w:r/>
    </w:p>
    <w:p>
      <w:pPr>
        <w:pStyle w:val="644"/>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18</w:t>
      </w:r>
      <w:r>
        <w:rPr>
          <w:rFonts w:ascii="SimHei" w:hAnsi="SimHei" w:eastAsia="SimHei" w:cs="SimHei"/>
          <w:color w:val="000000"/>
          <w:sz w:val="28"/>
        </w:rPr>
        <w:t xml:space="preserve">、投标文件的递交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18.1</w:t>
      </w:r>
      <w:r>
        <w:rPr>
          <w:rFonts w:ascii="SimSun" w:hAnsi="SimSun" w:eastAsia="SimSun" w:cs="SimSun"/>
          <w:color w:val="000000"/>
          <w:sz w:val="24"/>
        </w:rPr>
        <w:t xml:space="preserve">投标人应当按照《操作手册》规定，在投标截止时间前制作并上传电子投标文件。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18.2</w:t>
      </w:r>
      <w:r>
        <w:rPr>
          <w:rFonts w:ascii="SimSun" w:hAnsi="SimSun" w:eastAsia="SimSun" w:cs="SimSun"/>
          <w:color w:val="000000"/>
          <w:sz w:val="24"/>
        </w:rPr>
        <w:t xml:space="preserve">投标人通过“苏采云”系统不见面开标大厅在线参与开标活动。（具体操作详见《“苏采云”系统投标人操作手册》，网址链接</w:t>
      </w:r>
      <w:r>
        <w:rPr>
          <w:rFonts w:ascii="Times New Roman" w:hAnsi="Times New Roman" w:eastAsia="Times New Roman" w:cs="Times New Roman"/>
          <w:color w:val="000000"/>
          <w:sz w:val="22"/>
        </w:rPr>
        <w:t xml:space="preserve">http://www.ccgp-jiangsu.gov.cn//webfile/jiangsu/202311/1699268553318052447.pdf</w:t>
      </w:r>
      <w:r>
        <w:rPr>
          <w:rFonts w:ascii="SimSun" w:hAnsi="SimSun" w:eastAsia="SimSun" w:cs="SimSun"/>
          <w:color w:val="000000"/>
          <w:sz w:val="22"/>
        </w:rPr>
        <w:t xml:space="preserve">）</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19</w:t>
      </w:r>
      <w:r>
        <w:rPr>
          <w:rFonts w:ascii="SimHei" w:hAnsi="SimHei" w:eastAsia="SimHei" w:cs="SimHei"/>
          <w:b/>
          <w:color w:val="000000"/>
          <w:sz w:val="28"/>
        </w:rPr>
        <w:t xml:space="preserve">、投标截止时间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19.1 </w:t>
      </w:r>
      <w:r>
        <w:rPr>
          <w:rFonts w:ascii="SimSun" w:hAnsi="SimSun" w:eastAsia="SimSun" w:cs="SimSun"/>
          <w:color w:val="000000"/>
          <w:sz w:val="24"/>
        </w:rPr>
        <w:t xml:space="preserve">投标人上传电子投标文件的时间不得迟于招标公告中规定的投标截止时间。</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19.2</w:t>
      </w:r>
      <w:r>
        <w:rPr>
          <w:rFonts w:ascii="SimSun" w:hAnsi="SimSun" w:eastAsia="SimSun" w:cs="SimSun"/>
          <w:color w:val="000000"/>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20</w:t>
      </w:r>
      <w:r>
        <w:rPr>
          <w:rFonts w:ascii="SimHei" w:hAnsi="SimHei" w:eastAsia="SimHei" w:cs="SimHei"/>
          <w:color w:val="000000"/>
          <w:sz w:val="28"/>
        </w:rPr>
        <w:t xml:space="preserve">、投标文件的拒收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20.1</w:t>
      </w:r>
      <w:r>
        <w:rPr>
          <w:rFonts w:ascii="SimSun" w:hAnsi="SimSun" w:eastAsia="SimSun" w:cs="SimSun"/>
          <w:color w:val="000000"/>
          <w:sz w:val="24"/>
        </w:rPr>
        <w:t xml:space="preserve">采购代理机构拒绝接收在其规定的投标截止时间后上传的任何投标文件。</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21</w:t>
      </w:r>
      <w:r>
        <w:rPr>
          <w:rFonts w:ascii="SimHei" w:hAnsi="SimHei" w:eastAsia="SimHei" w:cs="SimHei"/>
          <w:color w:val="000000"/>
          <w:sz w:val="28"/>
        </w:rPr>
        <w:t xml:space="preserve">、投标文件的撤回和修改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 </w:t>
      </w:r>
      <w:r>
        <w:rPr>
          <w:rFonts w:ascii="SimSun" w:hAnsi="SimSun" w:eastAsia="SimSun" w:cs="SimSun"/>
          <w:color w:val="000000"/>
          <w:sz w:val="24"/>
        </w:rPr>
        <w:t xml:space="preserve">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21.1.1 </w:t>
      </w:r>
      <w:r>
        <w:rPr>
          <w:rFonts w:ascii="SimSun" w:hAnsi="SimSun" w:eastAsia="SimSun" w:cs="SimSun"/>
          <w:color w:val="000000"/>
          <w:sz w:val="24"/>
        </w:rPr>
        <w:t xml:space="preserve">电子投标文件的撤回</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投标人可在投标截止时间前，撤回其电子投标文件，具体操作方法见《操作手册》。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21.1.2</w:t>
      </w:r>
      <w:r>
        <w:rPr>
          <w:rFonts w:ascii="SimSun" w:hAnsi="SimSun" w:eastAsia="SimSun" w:cs="SimSun"/>
          <w:color w:val="000000"/>
          <w:sz w:val="24"/>
        </w:rPr>
        <w:t xml:space="preserve"> 投标人撤回电子投标文件，则认为其不再参与本项目投标活动。</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 </w:t>
      </w:r>
      <w:r>
        <w:rPr>
          <w:rFonts w:ascii="SimSun" w:hAnsi="SimSun" w:eastAsia="SimSun" w:cs="SimSun"/>
          <w:color w:val="000000"/>
          <w:sz w:val="24"/>
        </w:rPr>
        <w:t xml:space="preserve">投标文件的修改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21.2.1</w:t>
      </w:r>
      <w:r>
        <w:rPr>
          <w:rFonts w:ascii="SimSun" w:hAnsi="SimSun" w:eastAsia="SimSun" w:cs="SimSun"/>
          <w:color w:val="000000"/>
          <w:sz w:val="24"/>
        </w:rPr>
        <w:t xml:space="preserve">投标人可在投标截止时间前，对其电子投标文件进行修改，具体操作方法见《操作手册》。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21.2.2</w:t>
      </w:r>
      <w:r>
        <w:rPr>
          <w:rFonts w:ascii="SimSun" w:hAnsi="SimSun" w:eastAsia="SimSun" w:cs="SimSun"/>
          <w:color w:val="000000"/>
          <w:sz w:val="24"/>
        </w:rPr>
        <w:t xml:space="preserve"> 在投标截止时间之后，投标人不得对其电子投标文件作任何修改。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21.3</w:t>
      </w:r>
      <w:r>
        <w:rPr>
          <w:rFonts w:ascii="SimSun" w:hAnsi="SimSun" w:eastAsia="SimSun" w:cs="SimSun"/>
          <w:color w:val="000000"/>
          <w:sz w:val="24"/>
        </w:rPr>
        <w:t xml:space="preserve"> 在投标截止时间至招标文件中规定的投标有效期满之间的这段时间内，投标人不得撤回其投标。</w:t>
      </w:r>
      <w:r/>
    </w:p>
    <w:p>
      <w:pPr>
        <w:pStyle w:val="642"/>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五、开标与评标</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22</w:t>
      </w:r>
      <w:r>
        <w:rPr>
          <w:rFonts w:ascii="SimHei" w:hAnsi="SimHei" w:eastAsia="SimHei" w:cs="SimHei"/>
          <w:color w:val="000000"/>
          <w:sz w:val="28"/>
        </w:rPr>
        <w:t xml:space="preserve">、开标</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22.1</w:t>
      </w:r>
      <w:r>
        <w:rPr>
          <w:rFonts w:ascii="SimSun" w:hAnsi="SimSun" w:eastAsia="SimSun" w:cs="SimSun"/>
          <w:color w:val="000000"/>
          <w:sz w:val="24"/>
        </w:rPr>
        <w:t xml:space="preserve"> 采购代理机构将在招标公告中规定的时间和地点组织公开开标。投标人应当按照《“苏采云”系统供应商操作手册》规定，参加开标活动和在“苏采云”系统规定的时间内对投标文件进行解密。</w:t>
      </w:r>
      <w:r/>
    </w:p>
    <w:p>
      <w:pPr>
        <w:ind w:left="0" w:right="0" w:firstLine="42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22.2</w:t>
      </w:r>
      <w:r>
        <w:rPr>
          <w:rFonts w:ascii="SimSun" w:hAnsi="SimSun" w:eastAsia="SimSun" w:cs="SimSun"/>
          <w:color w:val="000000"/>
          <w:sz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22.3</w:t>
      </w:r>
      <w:r>
        <w:rPr>
          <w:rFonts w:ascii="SimSun" w:hAnsi="SimSun" w:eastAsia="SimSun" w:cs="SimSun"/>
          <w:color w:val="000000"/>
          <w:sz w:val="24"/>
        </w:rPr>
        <w:t xml:space="preserve">投标人在开标过程中涉及到的投标文件解密、开标结果确认等工作，应按照《操作手册》规定执行。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22.4</w:t>
      </w:r>
      <w:r>
        <w:rPr>
          <w:rFonts w:ascii="SimSun" w:hAnsi="SimSun" w:eastAsia="SimSun" w:cs="SimSun"/>
          <w:color w:val="000000"/>
          <w:sz w:val="24"/>
        </w:rPr>
        <w:t xml:space="preserve">投标人如果对开标过程和开标记录有疑义，应当根据《操作手册》规定提出，如 “苏采云”系统中《开标记录表》宣布后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分钟内未提出的，视同认可开标结果。</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23</w:t>
      </w:r>
      <w:r>
        <w:rPr>
          <w:rFonts w:ascii="SimHei" w:hAnsi="SimHei" w:eastAsia="SimHei" w:cs="SimHei"/>
          <w:color w:val="000000"/>
          <w:sz w:val="28"/>
        </w:rPr>
        <w:t xml:space="preserve">、评标委员会</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23.1</w:t>
      </w:r>
      <w:r>
        <w:rPr>
          <w:rFonts w:ascii="SimSun" w:hAnsi="SimSun" w:eastAsia="SimSun" w:cs="SimSun"/>
          <w:b/>
          <w:color w:val="000000"/>
          <w:sz w:val="24"/>
        </w:rPr>
        <w:t xml:space="preserve"> </w:t>
      </w:r>
      <w:r>
        <w:rPr>
          <w:rFonts w:ascii="SimSun" w:hAnsi="SimSun" w:eastAsia="SimSun" w:cs="SimSun"/>
          <w:color w:val="000000"/>
          <w:sz w:val="24"/>
        </w:rPr>
        <w:t xml:space="preserve">开标后，采购代理机构将立即组织评标委员会（以下简称评委会）进行评标。</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23.2 </w:t>
      </w:r>
      <w:r>
        <w:rPr>
          <w:rFonts w:ascii="SimSun" w:hAnsi="SimSun" w:eastAsia="SimSun" w:cs="SimSun"/>
          <w:color w:val="000000"/>
          <w:sz w:val="24"/>
        </w:rPr>
        <w:t xml:space="preserve">评委会由采购人代表和有关技术、经济等方面的专家组成，且人员构成符合政府采购有关规定。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23.3</w:t>
      </w:r>
      <w:r>
        <w:rPr>
          <w:rFonts w:ascii="SimSun" w:hAnsi="SimSun" w:eastAsia="SimSun" w:cs="SimSun"/>
          <w:color w:val="000000"/>
          <w:sz w:val="24"/>
        </w:rPr>
        <w:t xml:space="preserve">评委会独立工作，负责评审所有投标文件并确定中标候选人。</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24</w:t>
      </w:r>
      <w:r>
        <w:rPr>
          <w:rFonts w:ascii="SimHei" w:hAnsi="SimHei" w:eastAsia="SimHei" w:cs="SimHei"/>
          <w:color w:val="000000"/>
          <w:sz w:val="28"/>
        </w:rPr>
        <w:t xml:space="preserve">、评标过程的保密与公正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24.1</w:t>
      </w:r>
      <w:r>
        <w:rPr>
          <w:rFonts w:ascii="SimSun" w:hAnsi="SimSun" w:eastAsia="SimSun" w:cs="SimSun"/>
          <w:color w:val="000000"/>
          <w:sz w:val="24"/>
        </w:rPr>
        <w:t xml:space="preserve">凡是与审查、澄清、评价和比较投标的有关资料以及授标建议等，采购人、评委、采购代理机构均不得向投标人或与评标无关的其他人员透露。</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24.2</w:t>
      </w:r>
      <w:r>
        <w:rPr>
          <w:rFonts w:ascii="SimSun" w:hAnsi="SimSun" w:eastAsia="SimSun" w:cs="SimSun"/>
          <w:color w:val="000000"/>
          <w:sz w:val="24"/>
        </w:rPr>
        <w:t xml:space="preserve">在评标过程中，投标人不得以任何行为影响评标过程，否则其投标文件将被作为无效投标文件。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24.3</w:t>
      </w:r>
      <w:r>
        <w:rPr>
          <w:rFonts w:ascii="SimSun" w:hAnsi="SimSun" w:eastAsia="SimSun" w:cs="SimSun"/>
          <w:color w:val="000000"/>
          <w:sz w:val="24"/>
        </w:rPr>
        <w:t xml:space="preserve"> 采购代理机构和评委会不向未中标的投标人解释未中标原因，也不公布评标过程中的相关细节。</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24.4 </w:t>
      </w:r>
      <w:r>
        <w:rPr>
          <w:rFonts w:ascii="SimSun" w:hAnsi="SimSun" w:eastAsia="SimSun" w:cs="SimSun"/>
          <w:color w:val="000000"/>
          <w:sz w:val="24"/>
        </w:rPr>
        <w:t xml:space="preserve">采用综合评分法的项目，未中标的投标人可于中标结果公告期限届满之日起通过“苏采云”系统查看自己的评审得分及排序情况。</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25</w:t>
      </w:r>
      <w:r>
        <w:rPr>
          <w:rFonts w:ascii="SimHei" w:hAnsi="SimHei" w:eastAsia="SimHei" w:cs="SimHei"/>
          <w:color w:val="000000"/>
          <w:sz w:val="28"/>
        </w:rPr>
        <w:t xml:space="preserve">、投标文件的澄清</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25.1</w:t>
      </w:r>
      <w:r>
        <w:rPr>
          <w:rFonts w:ascii="SimSun" w:hAnsi="SimSun" w:eastAsia="SimSun" w:cs="SimSun"/>
          <w:color w:val="000000"/>
          <w:sz w:val="24"/>
        </w:rPr>
        <w:t xml:space="preserve">评标期间，评委会对投标文件中含义不明确、同类问题表述不一致或者有明显文字和计算错误的内容</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，有权要求投标人作出必要的澄清、说明或者补正。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投标人的澄清、说明或者补正不得超出投标文件的范围或者改变投标文件的实质性内容。</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评委会并非对每个投标人都做澄清要求。</w:t>
      </w:r>
      <w:r/>
    </w:p>
    <w:p>
      <w:pPr>
        <w:ind w:left="0" w:right="0" w:firstLine="422"/>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25.2</w:t>
      </w:r>
      <w:r>
        <w:rPr>
          <w:rFonts w:ascii="SimSun" w:hAnsi="SimSun" w:eastAsia="SimSun" w:cs="SimSun"/>
          <w:color w:val="000000"/>
          <w:sz w:val="24"/>
        </w:rPr>
        <w:t xml:space="preserve">需要投标人进行澄清、说明和补正的，本项目投标人的澄清、说明或者补正采用线上澄清，评委会将通过“苏采云”系统向投标人发出“澄清要求函”，接到“澄清要求函”的投标人应当按照要求在规定时间内通过“苏采云”系统中提交“澄清响应函”并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电子公章。澄清、说明和补正的内容作为投标文件的补充部分，具体操作方式见《操作手册》。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25.3 </w:t>
      </w:r>
      <w:r>
        <w:rPr>
          <w:rFonts w:ascii="SimSun" w:hAnsi="SimSun" w:eastAsia="SimSun" w:cs="SimSun"/>
          <w:color w:val="000000"/>
          <w:sz w:val="24"/>
        </w:rPr>
        <w:t xml:space="preserve">接到评委会澄清、说明和补正要求的投标人如未按规定做出澄清、说明和补正，其风险由投标人自行承担。</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26</w:t>
      </w:r>
      <w:r>
        <w:rPr>
          <w:rFonts w:ascii="SimHei" w:hAnsi="SimHei" w:eastAsia="SimHei" w:cs="SimHei"/>
          <w:color w:val="000000"/>
          <w:sz w:val="28"/>
        </w:rPr>
        <w:t xml:space="preserve">、对投标文件的初审</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rPr>
          <w:rFonts w:ascii="SimSun" w:hAnsi="SimSun" w:eastAsia="SimSun" w:cs="SimSun"/>
          <w:color w:val="000000"/>
          <w:sz w:val="24"/>
        </w:rPr>
        <w:t xml:space="preserve">投标文件初审分为资格审查和符合性审查。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26.1.1 </w:t>
      </w:r>
      <w:r>
        <w:rPr>
          <w:rFonts w:ascii="SimSun" w:hAnsi="SimSun" w:eastAsia="SimSun" w:cs="SimSun"/>
          <w:color w:val="000000"/>
          <w:sz w:val="24"/>
        </w:rPr>
        <w:t xml:space="preserve">资格审查：依据法律法规和招标文件的规定，由采购人或其委托的代理机构对投标文件中的资格证明文件进行审查，以确定投标人是否具备投标资格。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采购人在进行资格性审查的同时，将在“信用中国”网站（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）查询投标人的信用记录，以确定投标人是否具备投标资格</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查询结果留存并归档。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接受联合体的项目，两个以上的自然人、法人或者其他组织组成一个联合体，以一个投标人的身份共同参加政府采购活动的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联合体成员存在不良信用记录的，视同联合体存在不良应用记录。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26.1.2 </w:t>
      </w:r>
      <w:r>
        <w:rPr>
          <w:rFonts w:ascii="SimSun" w:hAnsi="SimSun" w:eastAsia="SimSun" w:cs="SimSun"/>
          <w:color w:val="000000"/>
          <w:sz w:val="24"/>
        </w:rPr>
        <w:t xml:space="preserve">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26.1.3</w:t>
      </w:r>
      <w:r>
        <w:rPr>
          <w:rFonts w:ascii="SimSun" w:hAnsi="SimSun" w:eastAsia="SimSun" w:cs="SimSun"/>
          <w:color w:val="000000"/>
          <w:sz w:val="24"/>
        </w:rPr>
        <w:t xml:space="preserve">对各投标人符合性审查过程中，对初步被认定为无效投标者，由评委会组长或采购人代表将集体意见通过“苏采云”系统中告知未通过符合性审查的原因，评标结束后，将不再告知未通过符合性审查的原因。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26.2</w:t>
      </w:r>
      <w:r>
        <w:rPr>
          <w:rFonts w:ascii="SimSun" w:hAnsi="SimSun" w:eastAsia="SimSun" w:cs="SimSun"/>
          <w:color w:val="000000"/>
          <w:sz w:val="24"/>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26.4</w:t>
      </w:r>
      <w:r>
        <w:rPr>
          <w:rFonts w:ascii="SimSun" w:hAnsi="SimSun" w:eastAsia="SimSun" w:cs="SimSun"/>
          <w:color w:val="000000"/>
          <w:sz w:val="24"/>
        </w:rPr>
        <w:t xml:space="preserve">评委会将对确定为实质性响应的投标进行进一步审核，确定其是否有计算上或累加上的算术错误，修正错误的原则如下：</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）投标文件中开标一览表内容与投标文件中相应内容不一致的，以开标一览表为准。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）大写金额和小写金额不一致的，以大写金额为准。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）单价金额小数点或者百分比有明显错位的，以开标一览表的总价为准，并修改单价。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）总价金额与按单价汇总金额不一致的，以单价金额计算结果为准。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同时出现两种以上错误的，按照前款规定的顺序修正。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26.5</w:t>
      </w:r>
      <w:r>
        <w:rPr>
          <w:rFonts w:ascii="SimSun" w:hAnsi="SimSun" w:eastAsia="SimSun" w:cs="SimSun"/>
          <w:color w:val="000000"/>
          <w:sz w:val="24"/>
        </w:rPr>
        <w:t xml:space="preserve">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评标过程中，不得去掉报价中的最高报价和最低报价。</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w:t>
      </w:r>
      <w:r>
        <w:rPr>
          <w:rFonts w:ascii="SimSun" w:hAnsi="SimSun" w:eastAsia="SimSun" w:cs="SimSun"/>
          <w:color w:val="000000"/>
          <w:sz w:val="24"/>
        </w:rPr>
        <w:t xml:space="preserve">异常低价投标审查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26.6.1</w:t>
      </w:r>
      <w:r>
        <w:rPr>
          <w:rFonts w:ascii="SimSun" w:hAnsi="SimSun" w:eastAsia="SimSun" w:cs="SimSun"/>
          <w:color w:val="000000"/>
          <w:sz w:val="24"/>
        </w:rPr>
        <w:t xml:space="preserve">评标过程中出现下列情形之一的，评标委员会应当启动异常低价投标审查程序：</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）投标报价低于全部通过符合性审查供应商投标报价平均值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全部通过符合性审查供应商投标报价平均值×</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）投标报价低于通过符合性审查的次低报价供应商投标报价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通过符合性审查的次低报价供应商投标报价×</w:t>
      </w:r>
      <w:r>
        <w:rPr>
          <w:rFonts w:ascii="Times New Roman" w:hAnsi="Times New Roman" w:eastAsia="Times New Roman" w:cs="Times New Roman"/>
          <w:color w:val="000000"/>
          <w:sz w:val="24"/>
        </w:rPr>
        <w:t xml:space="preserve">50%</w:t>
      </w:r>
      <w:r>
        <w:rPr>
          <w:rFonts w:ascii="SimSun" w:hAnsi="SimSun" w:eastAsia="SimSun" w:cs="SimSun"/>
          <w:color w:val="000000"/>
          <w:sz w:val="24"/>
        </w:rPr>
        <w:t xml:space="preserve">；</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）投标报价低于采购项目最高限价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的，即投标报价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45%</w:t>
      </w:r>
      <w:r>
        <w:rPr>
          <w:rFonts w:ascii="SimSun" w:hAnsi="SimSun" w:eastAsia="SimSun" w:cs="SimSun"/>
          <w:color w:val="000000"/>
          <w:sz w:val="24"/>
        </w:rPr>
        <w:t xml:space="preserve">；</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）评标委员会基于专业判断，认为供应商报价过低，有可能影响产品质量或者不能诚信履约的其他情形。</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26.6.2</w:t>
      </w:r>
      <w:r>
        <w:rPr>
          <w:rFonts w:ascii="SimSun" w:hAnsi="SimSun" w:eastAsia="SimSun" w:cs="SimSun"/>
          <w:color w:val="000000"/>
          <w:sz w:val="24"/>
        </w:rPr>
        <w:t xml:space="preserve">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评标委员会应当要求相关投标人在“苏采云”系统中合理的时间内对投标（响应）价格作出解释，提供项目具体成本测算等与报价合理性相关的书面说明电子件及必要的证明材料电子件，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项情形，供应商已随投标（响应）文件一并提交相关书面说明电子件及必要的证明材料电子件的，评审现场可不再重复提交。</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供应商不能提供书面说明电子件、证明材料电子件，或者提供的书面说明电子件、证明材料电子件不能证明其报价合理性的，评审委员会应当将其作为无效投标（响应）处理。异常低价投标（响应）审查的启动原因、审查意见和审查结果应当在评审报告中记录，并随供应商提供的相关书面说明电子件及证明材料电子件，以及评审委员会有关互联网浏览、查询历史一并归档。</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26.7</w:t>
      </w: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26.8</w:t>
      </w:r>
      <w:r>
        <w:rPr>
          <w:rFonts w:ascii="SimSun" w:hAnsi="SimSun" w:eastAsia="SimSun" w:cs="SimSun"/>
          <w:color w:val="000000"/>
          <w:sz w:val="24"/>
        </w:rPr>
        <w:t xml:space="preserve">投标人在开、评标全过程中应</w:t>
      </w:r>
      <w:r>
        <w:rPr>
          <w:rFonts w:ascii="FangSong" w:hAnsi="FangSong" w:eastAsia="FangSong" w:cs="FangSong"/>
          <w:color w:val="000000"/>
          <w:sz w:val="24"/>
        </w:rPr>
        <w:t xml:space="preserve">随时保持系统在线</w:t>
      </w:r>
      <w:r>
        <w:rPr>
          <w:rFonts w:ascii="SimSun" w:hAnsi="SimSun" w:eastAsia="SimSun" w:cs="SimSun"/>
          <w:color w:val="000000"/>
          <w:sz w:val="24"/>
        </w:rPr>
        <w:t xml:space="preserve">，及时在“苏采云”系统查阅、答复相关信息。</w:t>
      </w:r>
      <w:r/>
    </w:p>
    <w:p>
      <w:pPr>
        <w:pStyle w:val="644"/>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27</w:t>
      </w:r>
      <w:r>
        <w:rPr>
          <w:rFonts w:ascii="SimHei" w:hAnsi="SimHei" w:eastAsia="SimHei" w:cs="SimHei"/>
          <w:color w:val="000000"/>
          <w:sz w:val="28"/>
        </w:rPr>
        <w:t xml:space="preserve">、无效投标条款和废标条款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w:t>
      </w:r>
      <w:r>
        <w:rPr>
          <w:rFonts w:ascii="SimSun" w:hAnsi="SimSun" w:eastAsia="SimSun" w:cs="SimSun"/>
          <w:color w:val="000000"/>
          <w:sz w:val="24"/>
        </w:rPr>
        <w:t xml:space="preserve">无效投标条款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 </w:t>
      </w:r>
      <w:r>
        <w:rPr>
          <w:rFonts w:ascii="SimSun" w:hAnsi="SimSun" w:eastAsia="SimSun" w:cs="SimSun"/>
          <w:color w:val="000000"/>
          <w:sz w:val="24"/>
        </w:rPr>
        <w:t xml:space="preserve">投标人在“苏采云”系统规定的时间内未成功解密电子投标文件的。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27.1.2 </w:t>
      </w:r>
      <w:r>
        <w:rPr>
          <w:rFonts w:ascii="SimSun" w:hAnsi="SimSun" w:eastAsia="SimSun" w:cs="SimSun"/>
          <w:color w:val="000000"/>
          <w:sz w:val="24"/>
        </w:rPr>
        <w:t xml:space="preserve">投标人未按照招标文件要求上传电子投标文件的。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27.1.3</w:t>
      </w:r>
      <w:r>
        <w:rPr>
          <w:rFonts w:ascii="SimSun" w:hAnsi="SimSun" w:eastAsia="SimSun" w:cs="SimSun"/>
          <w:color w:val="000000"/>
          <w:sz w:val="24"/>
        </w:rPr>
        <w:t xml:space="preserve">同一投标人提交两个（含两个）以上不同的投标报价的。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27.1.4</w:t>
      </w:r>
      <w:r>
        <w:rPr>
          <w:rFonts w:ascii="SimSun" w:hAnsi="SimSun" w:eastAsia="SimSun" w:cs="SimSun"/>
          <w:color w:val="000000"/>
          <w:sz w:val="24"/>
        </w:rPr>
        <w:t xml:space="preserve">投标人不具备招标文件中规定资格要求的。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27.1.5</w:t>
      </w:r>
      <w:r>
        <w:rPr>
          <w:rFonts w:ascii="SimSun" w:hAnsi="SimSun" w:eastAsia="SimSun" w:cs="SimSun"/>
          <w:color w:val="000000"/>
          <w:sz w:val="24"/>
        </w:rPr>
        <w:t xml:space="preserve">投标人的报价超过了采购预算或最高限价的。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27.1.6</w:t>
      </w:r>
      <w:r>
        <w:rPr>
          <w:rFonts w:ascii="SimSun" w:hAnsi="SimSun" w:eastAsia="SimSun" w:cs="SimSun"/>
          <w:color w:val="000000"/>
          <w:sz w:val="24"/>
        </w:rPr>
        <w:t xml:space="preserve">未通过符合性审查的。</w:t>
      </w:r>
      <w:r/>
    </w:p>
    <w:p>
      <w:pPr>
        <w:ind w:left="0" w:right="0" w:firstLine="36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27.1.7</w:t>
      </w:r>
      <w:r>
        <w:rPr>
          <w:rFonts w:ascii="SimSun" w:hAnsi="SimSun" w:eastAsia="SimSun" w:cs="SimSun"/>
          <w:color w:val="000000"/>
          <w:sz w:val="24"/>
        </w:rPr>
        <w:t xml:space="preserve">不符合招标文件中规定的实质性要求和条件的（★内容为实质性要求和条件）。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27.1.8 </w:t>
      </w:r>
      <w:r>
        <w:rPr>
          <w:rFonts w:ascii="SimSun" w:hAnsi="SimSun" w:eastAsia="SimSun" w:cs="SimSun"/>
          <w:color w:val="000000"/>
          <w:sz w:val="24"/>
        </w:rPr>
        <w:t xml:space="preserve">投标人被 “信用中国”网站（</w:t>
      </w:r>
      <w:r>
        <w:rPr>
          <w:rFonts w:ascii="Times New Roman" w:hAnsi="Times New Roman" w:eastAsia="Times New Roman" w:cs="Times New Roman"/>
          <w:color w:val="000000"/>
          <w:sz w:val="24"/>
        </w:rPr>
        <w:t xml:space="preserve">www.creditchina.gov.cn</w:t>
      </w:r>
      <w:r>
        <w:rPr>
          <w:rFonts w:ascii="SimSun" w:hAnsi="SimSun" w:eastAsia="SimSun" w:cs="SimSun"/>
          <w:color w:val="000000"/>
          <w:sz w:val="24"/>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27.1.9 </w:t>
      </w:r>
      <w:r>
        <w:rPr>
          <w:rFonts w:ascii="SimSun" w:hAnsi="SimSun" w:eastAsia="SimSun" w:cs="SimSun"/>
          <w:color w:val="000000"/>
          <w:sz w:val="24"/>
        </w:rPr>
        <w:t xml:space="preserve">投标文件含有采购人不能接受的附加条件的。</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27.1.10</w:t>
      </w:r>
      <w:r>
        <w:rPr>
          <w:rFonts w:ascii="SimSun" w:hAnsi="SimSun" w:eastAsia="SimSun" w:cs="SimSun"/>
          <w:color w:val="000000"/>
          <w:sz w:val="24"/>
        </w:rPr>
        <w:t xml:space="preserve">评委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委会应当将其作为无效投标处理。</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27.1.11</w:t>
      </w:r>
      <w:r>
        <w:rPr>
          <w:rFonts w:ascii="SimSun" w:hAnsi="SimSun" w:eastAsia="SimSun" w:cs="SimSun"/>
          <w:color w:val="000000"/>
          <w:sz w:val="24"/>
        </w:rPr>
        <w:t xml:space="preserve">本项目采购产品被财政部、国家发改委、生态环境部等列入“节能产品品目清单”、“环境标志产品品目清单”强制采购范围，而投标人所投产品不在强制采购范围内的。（所投产品如属于政府强制采购节能产品品目清单范围内，投标文件中必须提供国家确定的认证机构出具的、处于有效期之内的该节能产品认证证书图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27.1.12</w:t>
      </w:r>
      <w:r>
        <w:rPr>
          <w:rFonts w:ascii="SimSun" w:hAnsi="SimSun" w:eastAsia="SimSun" w:cs="SimSun"/>
          <w:color w:val="000000"/>
          <w:sz w:val="24"/>
        </w:rPr>
        <w:t xml:space="preserve"> 投标文件未按照招标文件要求加盖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27.1.13</w:t>
      </w:r>
      <w:r>
        <w:rPr>
          <w:rFonts w:ascii="SimSun" w:hAnsi="SimSun" w:eastAsia="SimSun" w:cs="SimSun"/>
          <w:color w:val="000000"/>
          <w:sz w:val="24"/>
        </w:rPr>
        <w:t xml:space="preserve">其他法律、法规及本招标文件规定的属无效投标的。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w:t>
      </w:r>
      <w:r>
        <w:rPr>
          <w:rFonts w:ascii="SimSun" w:hAnsi="SimSun" w:eastAsia="SimSun" w:cs="SimSun"/>
          <w:color w:val="000000"/>
          <w:sz w:val="24"/>
        </w:rPr>
        <w:t xml:space="preserve">废标条款</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27.2.1</w:t>
      </w:r>
      <w:r>
        <w:rPr>
          <w:rFonts w:ascii="SimSun" w:hAnsi="SimSun" w:eastAsia="SimSun" w:cs="SimSun"/>
          <w:color w:val="000000"/>
          <w:sz w:val="24"/>
        </w:rPr>
        <w:t xml:space="preserve">符合专业条件的投标人或者对招标文件作实质响应的投标人不足三家的。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27.2.2</w:t>
      </w:r>
      <w:r>
        <w:rPr>
          <w:rFonts w:ascii="SimSun" w:hAnsi="SimSun" w:eastAsia="SimSun" w:cs="SimSun"/>
          <w:color w:val="000000"/>
          <w:sz w:val="24"/>
        </w:rPr>
        <w:t xml:space="preserve">出现影响采购公正的违法、违规行为的。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27.2.3</w:t>
      </w:r>
      <w:r>
        <w:rPr>
          <w:rFonts w:ascii="SimSun" w:hAnsi="SimSun" w:eastAsia="SimSun" w:cs="SimSun"/>
          <w:color w:val="000000"/>
          <w:sz w:val="24"/>
        </w:rPr>
        <w:t xml:space="preserve">因重大变故，采购任务取消的。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27.2.4</w:t>
      </w:r>
      <w:r>
        <w:rPr>
          <w:rFonts w:ascii="SimSun" w:hAnsi="SimSun" w:eastAsia="SimSun" w:cs="SimSun"/>
          <w:color w:val="000000"/>
          <w:sz w:val="24"/>
        </w:rPr>
        <w:t xml:space="preserve">评委会认定招标文件存在歧义、重大缺陷导致评审工作无法进行。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27.2.5 </w:t>
      </w:r>
      <w:r>
        <w:rPr>
          <w:rFonts w:ascii="SimSun" w:hAnsi="SimSun" w:eastAsia="SimSun" w:cs="SimSun"/>
          <w:color w:val="000000"/>
          <w:sz w:val="24"/>
        </w:rPr>
        <w:t xml:space="preserve">因“苏采云”系统系统故障原因造成开标不成功的。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 </w:t>
      </w:r>
      <w:r>
        <w:rPr>
          <w:rFonts w:ascii="SimSun" w:hAnsi="SimSun" w:eastAsia="SimSun" w:cs="SimSun"/>
          <w:color w:val="000000"/>
          <w:sz w:val="24"/>
        </w:rPr>
        <w:t xml:space="preserve">投标截止时间结束后参加投标的投标人不足三家的处理：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27.3.1</w:t>
      </w:r>
      <w:r>
        <w:rPr>
          <w:rFonts w:ascii="SimSun" w:hAnsi="SimSun" w:eastAsia="SimSun" w:cs="SimSun"/>
          <w:color w:val="000000"/>
          <w:sz w:val="24"/>
        </w:rPr>
        <w:t xml:space="preserve">如出现投标截止时间结束后参加投标的投标人或者在评标期间对招标文件做出实质响应的投标人不足三家情况，按政府采购相关规定执行。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本项目为苏采云系统电子标。因系统原因评标委员会仅可通过苏采云系统向被废标供应商发送被废标的“告知函”，后续将不再向被废标供应商发放纸质版无效标通知书。</w:t>
      </w:r>
      <w:r/>
    </w:p>
    <w:p>
      <w:pPr>
        <w:pStyle w:val="642"/>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六、定标</w:t>
      </w:r>
      <w:r/>
    </w:p>
    <w:p>
      <w:pPr>
        <w:pStyle w:val="644"/>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28</w:t>
      </w:r>
      <w:r>
        <w:rPr>
          <w:rFonts w:ascii="SimHei" w:hAnsi="SimHei" w:eastAsia="SimHei" w:cs="SimHei"/>
          <w:b/>
          <w:color w:val="000000"/>
          <w:sz w:val="30"/>
        </w:rPr>
        <w:t xml:space="preserve">、确定中标单位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28.1</w:t>
      </w:r>
      <w:r>
        <w:rPr>
          <w:rFonts w:ascii="SimSun" w:hAnsi="SimSun" w:eastAsia="SimSun" w:cs="SimSun"/>
          <w:color w:val="000000"/>
          <w:sz w:val="24"/>
        </w:rPr>
        <w:t xml:space="preserve">中标候选人的选取原则和数量见招标文件第五章规定。 </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28.2 </w:t>
      </w:r>
      <w:r>
        <w:rPr>
          <w:rFonts w:ascii="SimSun" w:hAnsi="SimSun" w:eastAsia="SimSun" w:cs="SimSun"/>
          <w:color w:val="000000"/>
          <w:sz w:val="24"/>
        </w:rPr>
        <w:t xml:space="preserve">按以下第</w:t>
      </w:r>
      <w:r>
        <w:rPr>
          <w:rFonts w:ascii="SimSun" w:hAnsi="SimSun" w:eastAsia="SimSun" w:cs="SimSun"/>
          <w:color w:val="000000"/>
          <w:sz w:val="24"/>
          <w:u w:val="single"/>
        </w:rPr>
        <w:t xml:space="preserve">（</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w:t>
      </w:r>
      <w:r>
        <w:rPr>
          <w:rFonts w:ascii="SimSun" w:hAnsi="SimSun" w:eastAsia="SimSun" w:cs="SimSun"/>
          <w:color w:val="000000"/>
          <w:sz w:val="24"/>
        </w:rPr>
        <w:t xml:space="preserve">种方式确定中标人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）评委会直接确定排名第一的中标候选人为中标人；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）采购人在评委会推荐的中标候选人中按顺序确定中标人。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按第</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种方式确定中标人的，采购代理机构自评审结束之日起两个工作日内将评审报告送交采购人，采购人自收到评审报告之日起五个工作日内在评审报告推荐的中标候选人中按顺序确定中标人。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28.3 </w:t>
      </w:r>
      <w:r>
        <w:rPr>
          <w:rFonts w:ascii="SimSun" w:hAnsi="SimSun" w:eastAsia="SimSun" w:cs="SimSun"/>
          <w:color w:val="000000"/>
          <w:sz w:val="24"/>
        </w:rPr>
        <w:t xml:space="preserve">采购代理机构将在“宿迁市政府采购网”发布中标公告，公告期限为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28.4  </w:t>
      </w:r>
      <w:r>
        <w:rPr>
          <w:rFonts w:ascii="SimSun" w:hAnsi="SimSun" w:eastAsia="SimSun" w:cs="SimSun"/>
          <w:color w:val="000000"/>
          <w:sz w:val="24"/>
        </w:rPr>
        <w:t xml:space="preserve">若有充分证据证明，中标人出现下列情况之一的，一经查实，将被取消中标资格：</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28.4.1</w:t>
      </w:r>
      <w:r>
        <w:rPr>
          <w:rFonts w:ascii="SimSun" w:hAnsi="SimSun" w:eastAsia="SimSun" w:cs="SimSun"/>
          <w:color w:val="000000"/>
          <w:sz w:val="24"/>
        </w:rPr>
        <w:t xml:space="preserve">提供虚假材料谋取中标的。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28.4.2</w:t>
      </w:r>
      <w:r>
        <w:rPr>
          <w:rFonts w:ascii="SimSun" w:hAnsi="SimSun" w:eastAsia="SimSun" w:cs="SimSun"/>
          <w:color w:val="000000"/>
          <w:sz w:val="24"/>
        </w:rPr>
        <w:t xml:space="preserve">向采购人、采购代理机构行贿或者提供其他不正当利益的。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28.4.3</w:t>
      </w:r>
      <w:r>
        <w:rPr>
          <w:rFonts w:ascii="SimSun" w:hAnsi="SimSun" w:eastAsia="SimSun" w:cs="SimSun"/>
          <w:color w:val="000000"/>
          <w:sz w:val="24"/>
        </w:rPr>
        <w:t xml:space="preserve">属于本文件规定的无效条件，但在评标过程中又未被评委会发现的。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28.4.4</w:t>
      </w:r>
      <w:r>
        <w:rPr>
          <w:rFonts w:ascii="SimSun" w:hAnsi="SimSun" w:eastAsia="SimSun" w:cs="SimSun"/>
          <w:color w:val="000000"/>
          <w:sz w:val="24"/>
        </w:rPr>
        <w:t xml:space="preserve">与采购人或者其他投标人恶意串通的。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28.4.5</w:t>
      </w:r>
      <w:r>
        <w:rPr>
          <w:rFonts w:ascii="SimSun" w:hAnsi="SimSun" w:eastAsia="SimSun" w:cs="SimSun"/>
          <w:color w:val="000000"/>
          <w:sz w:val="24"/>
        </w:rPr>
        <w:t xml:space="preserve">采取不正当手段诋毁、排挤其他投标人的。</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 </w:t>
      </w:r>
      <w:r>
        <w:rPr>
          <w:rFonts w:ascii="SimSun" w:hAnsi="SimSun" w:eastAsia="SimSun" w:cs="SimSun"/>
          <w:color w:val="000000"/>
          <w:sz w:val="24"/>
        </w:rPr>
        <w:t xml:space="preserve">有下列情形之一的，视为投标人串通投标，投标无效：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28.5.1</w:t>
      </w:r>
      <w:r>
        <w:rPr>
          <w:rFonts w:ascii="SimSun" w:hAnsi="SimSun" w:eastAsia="SimSun" w:cs="SimSun"/>
          <w:color w:val="000000"/>
          <w:sz w:val="24"/>
        </w:rPr>
        <w:t xml:space="preserve">不同投标人的投标文件由同一单位或者个人编制。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28.5.2</w:t>
      </w:r>
      <w:r>
        <w:rPr>
          <w:rFonts w:ascii="SimSun" w:hAnsi="SimSun" w:eastAsia="SimSun" w:cs="SimSun"/>
          <w:color w:val="000000"/>
          <w:sz w:val="24"/>
        </w:rPr>
        <w:t xml:space="preserve">不同投标人委托同一单位或者个人办理投标事宜。</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28.5.3 </w:t>
      </w:r>
      <w:r>
        <w:rPr>
          <w:rFonts w:ascii="SimSun" w:hAnsi="SimSun" w:eastAsia="SimSun" w:cs="SimSun"/>
          <w:color w:val="000000"/>
          <w:sz w:val="24"/>
        </w:rPr>
        <w:t xml:space="preserve">不同投标人的投标文件载明的项目管理成员或者联系人员为同一人。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28.5.4</w:t>
      </w:r>
      <w:r>
        <w:rPr>
          <w:rFonts w:ascii="SimSun" w:hAnsi="SimSun" w:eastAsia="SimSun" w:cs="SimSun"/>
          <w:color w:val="000000"/>
          <w:sz w:val="24"/>
        </w:rPr>
        <w:t xml:space="preserve">不同投标人的投标文件异常一致或者投标报价呈规律性差异。</w:t>
      </w:r>
      <w:r/>
    </w:p>
    <w:p>
      <w:pPr>
        <w:pStyle w:val="644"/>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29</w:t>
      </w:r>
      <w:r>
        <w:rPr>
          <w:rFonts w:ascii="SimHei" w:hAnsi="SimHei" w:eastAsia="SimHei" w:cs="SimHei"/>
          <w:b/>
          <w:color w:val="000000"/>
          <w:sz w:val="30"/>
        </w:rPr>
        <w:t xml:space="preserve">、质疑处理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29.1 </w:t>
      </w:r>
      <w:r>
        <w:rPr>
          <w:rFonts w:ascii="SimSun" w:hAnsi="SimSun" w:eastAsia="SimSun" w:cs="SimSun"/>
          <w:color w:val="000000"/>
          <w:sz w:val="24"/>
        </w:rPr>
        <w:t xml:space="preserve">提出质疑的投标人应当是参与所质疑项目采购活动的投标人。潜在投标人依法获取其可质疑的采购文件的，可以对采购文件提出质疑。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w:t>
      </w:r>
      <w:r>
        <w:rPr>
          <w:rFonts w:ascii="SimSun" w:hAnsi="SimSun" w:eastAsia="SimSun" w:cs="SimSun"/>
          <w:color w:val="000000"/>
          <w:sz w:val="24"/>
        </w:rPr>
        <w:t xml:space="preserve">投标人认为采购文件、采购过程和采购结果使自己的权益受到损害的，可以在知道或应知其权益受到损害之日起七个工作日内，以书面形式根据下述</w:t>
      </w:r>
      <w:r>
        <w:rPr>
          <w:rFonts w:ascii="Times New Roman" w:hAnsi="Times New Roman" w:eastAsia="Times New Roman" w:cs="Times New Roman"/>
          <w:color w:val="000000"/>
          <w:sz w:val="24"/>
        </w:rPr>
        <w:t xml:space="preserve">29.4</w:t>
      </w:r>
      <w:r>
        <w:rPr>
          <w:rFonts w:ascii="SimSun" w:hAnsi="SimSun" w:eastAsia="SimSun" w:cs="SimSun"/>
          <w:color w:val="000000"/>
          <w:sz w:val="24"/>
        </w:rPr>
        <w:t xml:space="preserve">条款的规定向采购代理机构或采购人提出质疑。上述应知其权益受到损害之日，是指：</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29.2.1</w:t>
      </w:r>
      <w:r>
        <w:rPr>
          <w:rFonts w:ascii="SimSun" w:hAnsi="SimSun" w:eastAsia="SimSun" w:cs="SimSun"/>
          <w:color w:val="000000"/>
          <w:sz w:val="24"/>
        </w:rPr>
        <w:t xml:space="preserve">对可以质疑的采购文件提出质疑的，为收到采购文件之日或者采购文件公告期限届满之日；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29.2.2</w:t>
      </w:r>
      <w:r>
        <w:rPr>
          <w:rFonts w:ascii="SimSun" w:hAnsi="SimSun" w:eastAsia="SimSun" w:cs="SimSun"/>
          <w:color w:val="000000"/>
          <w:sz w:val="24"/>
        </w:rPr>
        <w:t xml:space="preserve">对采购过程提出质疑的，为各采购程序环节结束之日；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29.2.3</w:t>
      </w:r>
      <w:r>
        <w:rPr>
          <w:rFonts w:ascii="SimSun" w:hAnsi="SimSun" w:eastAsia="SimSun" w:cs="SimSun"/>
          <w:color w:val="000000"/>
          <w:sz w:val="24"/>
        </w:rPr>
        <w:t xml:space="preserve">对中标或者成交结果提出质疑的，为中标或者成交结果公告期限届满之日。</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29.3</w:t>
      </w:r>
      <w:r>
        <w:rPr>
          <w:rFonts w:ascii="SimSun" w:hAnsi="SimSun" w:eastAsia="SimSun" w:cs="SimSun"/>
          <w:color w:val="000000"/>
          <w:sz w:val="24"/>
        </w:rPr>
        <w:t xml:space="preserve">质疑函必须按照本招标文件中《质疑函范本》要求的格式和内容进行填写。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29.4 </w:t>
      </w:r>
      <w:r>
        <w:rPr>
          <w:rFonts w:ascii="SimSun" w:hAnsi="SimSun" w:eastAsia="SimSun" w:cs="SimSun"/>
          <w:color w:val="000000"/>
          <w:sz w:val="24"/>
        </w:rPr>
        <w:t xml:space="preserve">投标人应以书面形式向招标人或者其委托的采购代理机构提出质疑。质疑超出采购机构代理范围的，投标人应当向招标人提出。</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接收质疑函的方式：现场接收或邮寄接收。</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联系电话、通讯地址详见采购公告。</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 </w:t>
      </w:r>
      <w:r>
        <w:rPr>
          <w:rFonts w:ascii="SimSun" w:hAnsi="SimSun" w:eastAsia="SimSun" w:cs="SimSun"/>
          <w:color w:val="000000"/>
          <w:sz w:val="24"/>
        </w:rPr>
        <w:t xml:space="preserve">以下情形的质疑不予受理</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29.5.1 </w:t>
      </w:r>
      <w:r>
        <w:rPr>
          <w:rFonts w:ascii="SimSun" w:hAnsi="SimSun" w:eastAsia="SimSun" w:cs="SimSun"/>
          <w:color w:val="000000"/>
          <w:sz w:val="24"/>
        </w:rPr>
        <w:t xml:space="preserve">内容不符合《政府采购质疑和投诉办法》第十二条规定的质疑。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29.5.2 </w:t>
      </w:r>
      <w:r>
        <w:rPr>
          <w:rFonts w:ascii="SimSun" w:hAnsi="SimSun" w:eastAsia="SimSun" w:cs="SimSun"/>
          <w:color w:val="000000"/>
          <w:sz w:val="24"/>
        </w:rPr>
        <w:t xml:space="preserve">超出政府采购法定期限的质疑。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29.5.3 </w:t>
      </w:r>
      <w:r>
        <w:rPr>
          <w:rFonts w:ascii="SimSun" w:hAnsi="SimSun" w:eastAsia="SimSun" w:cs="SimSun"/>
          <w:color w:val="000000"/>
          <w:sz w:val="24"/>
        </w:rPr>
        <w:t xml:space="preserve">以传真、电子邮件等方式递交的非原件形式的质疑。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29.5.4 </w:t>
      </w:r>
      <w:r>
        <w:rPr>
          <w:rFonts w:ascii="SimSun" w:hAnsi="SimSun" w:eastAsia="SimSun" w:cs="SimSun"/>
          <w:color w:val="000000"/>
          <w:sz w:val="24"/>
        </w:rPr>
        <w:t xml:space="preserve">未参加投标活动的投标人或在投标活动中自身权益未受到损害的投标人所提出的质疑。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29.5.5</w:t>
      </w:r>
      <w:r>
        <w:rPr>
          <w:rFonts w:ascii="SimSun" w:hAnsi="SimSun" w:eastAsia="SimSun" w:cs="SimSun"/>
          <w:color w:val="000000"/>
          <w:sz w:val="24"/>
        </w:rPr>
        <w:t xml:space="preserve">投标人组成联合体参加投标，联合体中任何一方或多方未按要求签字、盖章、加盖公章的质疑。</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29.6  </w:t>
      </w:r>
      <w:r>
        <w:rPr>
          <w:rFonts w:ascii="SimSun" w:hAnsi="SimSun" w:eastAsia="SimSun" w:cs="SimSun"/>
          <w:color w:val="000000"/>
          <w:sz w:val="24"/>
        </w:rPr>
        <w:t xml:space="preserve">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29.7  </w:t>
      </w:r>
      <w:r>
        <w:rPr>
          <w:rFonts w:ascii="SimSun" w:hAnsi="SimSun" w:eastAsia="SimSun" w:cs="SimSun"/>
          <w:color w:val="000000"/>
          <w:sz w:val="24"/>
        </w:rPr>
        <w:t xml:space="preserve">质疑供应商对采购人、采购代理机构的答复不满意，或者采购人、采购代理机构未在规定时间内作出答复的，可以在答复期满后</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个工作日内向同级财政部门提起投诉。</w:t>
      </w:r>
      <w:r/>
    </w:p>
    <w:p>
      <w:pPr>
        <w:pStyle w:val="644"/>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30</w:t>
      </w:r>
      <w:r>
        <w:rPr>
          <w:rFonts w:ascii="SimHei" w:hAnsi="SimHei" w:eastAsia="SimHei" w:cs="SimHei"/>
          <w:b/>
          <w:color w:val="000000"/>
          <w:sz w:val="30"/>
        </w:rPr>
        <w:t xml:space="preserve">、中标通知书</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30.l</w:t>
      </w:r>
      <w:r>
        <w:rPr>
          <w:rFonts w:ascii="SimSun" w:hAnsi="SimSun" w:eastAsia="SimSun" w:cs="SimSun"/>
          <w:b/>
          <w:color w:val="000000"/>
          <w:sz w:val="24"/>
        </w:rPr>
        <w:t xml:space="preserve"> </w:t>
      </w:r>
      <w:r>
        <w:rPr>
          <w:rFonts w:ascii="SimSun" w:hAnsi="SimSun" w:eastAsia="SimSun" w:cs="SimSun"/>
          <w:color w:val="000000"/>
          <w:sz w:val="24"/>
        </w:rPr>
        <w:t xml:space="preserve">中标结果确定后，代理机构将向中标人发出中标通知书。请中标人使用</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数字证书登录“苏采云系统”及时下载中标通知书。中标供应商可自行下载打印《中标通知书》，《中标通知书》将作为授予合同资格的唯一合法依据。</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中标通知书将是合同的一个组成部分。对采购人和中标人均具有法律效力。中标通知书发出后，采购人改变中标结果的，或者中标人放弃中标项目的，应当依法承担法律责任。</w:t>
      </w:r>
      <w:r/>
    </w:p>
    <w:p>
      <w:pPr>
        <w:pStyle w:val="642"/>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七、授予合同</w:t>
      </w:r>
      <w:r/>
    </w:p>
    <w:p>
      <w:pPr>
        <w:pStyle w:val="644"/>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31. </w:t>
      </w:r>
      <w:r>
        <w:rPr>
          <w:rFonts w:ascii="SimHei" w:hAnsi="SimHei" w:eastAsia="SimHei" w:cs="SimHei"/>
          <w:b/>
          <w:color w:val="000000"/>
          <w:sz w:val="30"/>
        </w:rPr>
        <w:t xml:space="preserve">签订合同</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31.l</w:t>
      </w:r>
      <w:r>
        <w:rPr>
          <w:rFonts w:ascii="SimSun" w:hAnsi="SimSun" w:eastAsia="SimSun" w:cs="SimSun"/>
          <w:color w:val="000000"/>
          <w:sz w:val="24"/>
        </w:rPr>
        <w:t xml:space="preserve">中标人应当在中标通知书发出之日起</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日内，按照招标文件确定的事项与采购人签订政府采购合同。并在签订之日起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个工作日内将政府采购合同在指定的媒体上公告，但政府采购合同中涉及国家秘密、商业秘密的内容除外。</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31.2</w:t>
      </w:r>
      <w:r>
        <w:rPr>
          <w:rFonts w:ascii="SimSun" w:hAnsi="SimSun" w:eastAsia="SimSun" w:cs="SimSun"/>
          <w:b/>
          <w:color w:val="000000"/>
          <w:sz w:val="24"/>
        </w:rPr>
        <w:t xml:space="preserve"> </w:t>
      </w:r>
      <w:r>
        <w:rPr>
          <w:rFonts w:ascii="SimSun" w:hAnsi="SimSun" w:eastAsia="SimSun" w:cs="SimSun"/>
          <w:color w:val="000000"/>
          <w:sz w:val="24"/>
        </w:rPr>
        <w:t xml:space="preserve">招标文件、中标人的投标文件及招标过程中有关澄清、承诺文件均应作为合同附件。</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本项目的非主体、非关键性工作是否允许分包按以下第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种方式确定：</w:t>
      </w:r>
      <w:r/>
    </w:p>
    <w:p>
      <w:pPr>
        <w:ind w:left="0" w:right="0" w:firstLine="7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允许分包，允许大中型企业向一家或者多家小微企业分包，分包具体内容、金额或比例：</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不允许分包。未经采购人同意，中标人也不得采用分包形式履行合同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否则采购人有权终止合同。转包或分包造成采购人损失的，中标人应承担相应赔偿责任。</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31.4</w:t>
      </w:r>
      <w:r>
        <w:rPr>
          <w:rFonts w:ascii="SimSun" w:hAnsi="SimSun" w:eastAsia="SimSun" w:cs="SimSun"/>
          <w:color w:val="000000"/>
          <w:sz w:val="24"/>
        </w:rPr>
        <w:t xml:space="preserve">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2  </w:t>
      </w:r>
      <w:r>
        <w:rPr>
          <w:rFonts w:ascii="SimSun" w:hAnsi="SimSun" w:eastAsia="SimSun" w:cs="SimSun"/>
          <w:color w:val="000000"/>
          <w:sz w:val="24"/>
        </w:rPr>
        <w:t xml:space="preserve">种方式确定履约保证收取方式。</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不收取履约保证金。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履约保证金应在采购合同签订前提交，履约保证金的金额：按采购合同总价的</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除银行电汇、网上银行、数字人民币外，成交供应商还可选用银行保函、担保公司的保证担保或保险公司的保证保险等多种形式向采购人缴纳，支持和鼓励成交供应商自愿使用履约保函（保险）代替缴纳履约保证金，成交供应商如使用江苏政府采购电子履约保函（保险）的，可按采购合同总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（履约保证金原提交金额的</w:t>
      </w: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折）提交。办理流程、偿付等内容见江苏省政府采购网“保险保函”模块。</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履约保证金退还时间：采购单位收到投标人退付申请后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履约保证金不予退还情形：除不可抗力外，投标人不履行与采购人订立的采购合同的，履约保证金不予退还，给采购人造成的损失超过履约保证金数额的，还应当对超过部分予以赔偿；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％后的利率支付超期资金占用费，但因投标人自身原因导致无法及时退还的除外。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本项目支持和鼓励供应商使用江苏政府采购电子履约保函（保险）代替缴纳履约保证金。关于办理流程、偿付等内容详见江苏省政府采购网《关于在全省政府采购领域推行电子履约保函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60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0"/>
        </w:rPr>
        <w:t xml:space="preserve">32、货物（包含与货物相关的服务）的追加</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pStyle w:val="644"/>
        <w:ind w:left="0" w:right="0" w:firstLine="60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33</w:t>
      </w:r>
      <w:r>
        <w:rPr>
          <w:rFonts w:ascii="SimHei" w:hAnsi="SimHei" w:eastAsia="SimHei" w:cs="SimHei"/>
          <w:b/>
          <w:color w:val="000000"/>
          <w:sz w:val="30"/>
        </w:rPr>
        <w:t xml:space="preserve">、政府采购履约资金扶持政策</w:t>
      </w:r>
      <w:r/>
    </w:p>
    <w:p>
      <w:pPr>
        <w:ind w:left="0" w:right="0" w:firstLine="42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33.1</w:t>
      </w:r>
      <w:r>
        <w:rPr>
          <w:rFonts w:ascii="SimSun" w:hAnsi="SimSun" w:eastAsia="SimSun" w:cs="SimSun"/>
          <w:color w:val="000000"/>
          <w:sz w:val="24"/>
        </w:rPr>
        <w:t xml:space="preserve">根据江苏省财政厅 中国人民银行南京分行《关于深入推进政府采购线上合同信用融资工作的通知》（苏财购〔</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644"/>
        <w:ind w:left="0" w:right="0" w:firstLine="60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0"/>
        </w:rPr>
        <w:t xml:space="preserve">34</w:t>
      </w:r>
      <w:r>
        <w:rPr>
          <w:rFonts w:ascii="SimHei" w:hAnsi="SimHei" w:eastAsia="SimHei" w:cs="SimHei"/>
          <w:b/>
          <w:color w:val="000000"/>
          <w:sz w:val="30"/>
        </w:rPr>
        <w:t xml:space="preserve">、验收及付款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34.1</w:t>
      </w:r>
      <w:r>
        <w:rPr>
          <w:rFonts w:ascii="SimSun" w:hAnsi="SimSun" w:eastAsia="SimSun" w:cs="SimSun"/>
          <w:color w:val="000000"/>
          <w:sz w:val="24"/>
        </w:rPr>
        <w:t xml:space="preserve">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34.2</w:t>
      </w:r>
      <w:r>
        <w:rPr>
          <w:rFonts w:ascii="SimSun" w:hAnsi="SimSun" w:eastAsia="SimSun" w:cs="SimSun"/>
          <w:color w:val="000000"/>
          <w:sz w:val="24"/>
        </w:rPr>
        <w:t xml:space="preserve">采购人可以邀请参加本项目的其他投标人或者第三方机构参与验收。参与验收的投标人或者第三方机构的意见作为验收书的参考资料一并存档。</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34.3</w:t>
      </w:r>
      <w:r>
        <w:rPr>
          <w:rFonts w:ascii="SimSun" w:hAnsi="SimSun" w:eastAsia="SimSun" w:cs="SimSun"/>
          <w:color w:val="000000"/>
          <w:sz w:val="24"/>
        </w:rPr>
        <w:t xml:space="preserve">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34.4</w:t>
      </w:r>
      <w:r>
        <w:rPr>
          <w:rFonts w:ascii="SimSun" w:hAnsi="SimSun" w:eastAsia="SimSun" w:cs="SimSun"/>
          <w:color w:val="000000"/>
          <w:sz w:val="24"/>
        </w:rPr>
        <w:t xml:space="preserve">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35</w:t>
      </w:r>
      <w:r>
        <w:rPr>
          <w:rFonts w:ascii="SimSun" w:hAnsi="SimSun" w:eastAsia="SimSun" w:cs="SimSun"/>
          <w:b/>
          <w:color w:val="000000"/>
          <w:sz w:val="24"/>
        </w:rPr>
        <w:t xml:space="preserve">、付款</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按照以下确定的付款方式，采购人及时办理付款手续。对于满足合同约定支付条件的，自收到发票后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个工作日内将资金支付到合同约定的供应商账户或供应商数字人民币账户。</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个工作日内支付合同总价款的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（供应商在支付预付款前向甲方提供等额的保函或保险，期限不低于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进度款：项目完成后经验收合格、审计完成，付审计价款的</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付款前，供应商应向采购人提供符合要求的发票，否则，采购人有权拒绝付款，同时不免除供应商合同履行义务。采购人可从应付款中直接扣除供应商应承担的违约金或其他费用（数字人民币为合同价款支付的一种方式）。</w:t>
      </w:r>
      <w:r/>
    </w:p>
    <w:p>
      <w:pPr>
        <w:ind w:left="0" w:right="0" w:firstLine="482"/>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264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第三章合同文本</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以下为中标后签定本项目合同的通用条款，投标人不得提出实质性的修改。</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关于专用条款将由采购人与投标人结合本项目具体情况协商后签订。</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0"/>
        </w:rPr>
        <w:t xml:space="preserve">政府采购合同（货物）（合同编号）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项目名称：宿迁大道</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迎宾大道至杨舍路</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快速化改造工程监控采购项目</w:t>
      </w: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JSZC-321300-TYJT-G2026-0013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甲方：（买方）</w:t>
      </w:r>
      <w:r>
        <w:rPr>
          <w:rFonts w:ascii="Times New Roman" w:hAnsi="Times New Roman" w:eastAsia="Times New Roman" w:cs="Times New Roman"/>
          <w:color w:val="000000"/>
          <w:sz w:val="24"/>
        </w:rPr>
        <w:t xml:space="preserve">_________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乙方：（卖方）</w:t>
      </w:r>
      <w:r>
        <w:rPr>
          <w:rFonts w:ascii="Times New Roman" w:hAnsi="Times New Roman" w:eastAsia="Times New Roman" w:cs="Times New Roman"/>
          <w:color w:val="000000"/>
          <w:sz w:val="24"/>
        </w:rPr>
        <w:t xml:space="preserve">_________</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rPr>
          <w:rFonts w:ascii="SimSun" w:hAnsi="SimSun" w:eastAsia="SimSun" w:cs="SimSun"/>
          <w:color w:val="000000"/>
          <w:sz w:val="24"/>
        </w:rPr>
        <w:t xml:space="preserve">甲、乙双方根据</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项目（项目编号：</w:t>
      </w:r>
      <w:r>
        <w:rPr>
          <w:rFonts w:ascii="Times New Roman" w:hAnsi="Times New Roman" w:eastAsia="Times New Roman" w:cs="Times New Roman"/>
          <w:color w:val="000000"/>
          <w:sz w:val="24"/>
        </w:rPr>
        <w:t xml:space="preserve">JSZC-321300-TYJT-G2026-0013</w:t>
      </w:r>
      <w:r>
        <w:rPr>
          <w:rFonts w:ascii="SimSun" w:hAnsi="SimSun" w:eastAsia="SimSun" w:cs="SimSun"/>
          <w:color w:val="000000"/>
          <w:sz w:val="24"/>
        </w:rPr>
        <w:t xml:space="preserve">）公开招标的结果，签署本合同。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一、合同内容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标的名称：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 标的质量：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 </w:t>
      </w:r>
      <w:r>
        <w:rPr>
          <w:rFonts w:ascii="SimSun" w:hAnsi="SimSun" w:eastAsia="SimSun" w:cs="SimSun"/>
          <w:color w:val="000000"/>
          <w:sz w:val="24"/>
        </w:rPr>
        <w:t xml:space="preserve">标的数量（规模）：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 </w:t>
      </w:r>
      <w:r>
        <w:rPr>
          <w:rFonts w:ascii="SimSun" w:hAnsi="SimSun" w:eastAsia="SimSun" w:cs="SimSun"/>
          <w:color w:val="000000"/>
          <w:sz w:val="24"/>
        </w:rPr>
        <w:t xml:space="preserve">履行时间（期限）：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 </w:t>
      </w:r>
      <w:r>
        <w:rPr>
          <w:rFonts w:ascii="SimSun" w:hAnsi="SimSun" w:eastAsia="SimSun" w:cs="SimSun"/>
          <w:color w:val="000000"/>
          <w:sz w:val="24"/>
        </w:rPr>
        <w:t xml:space="preserve">履行地点：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 </w:t>
      </w:r>
      <w:r>
        <w:rPr>
          <w:rFonts w:ascii="SimSun" w:hAnsi="SimSun" w:eastAsia="SimSun" w:cs="SimSun"/>
          <w:color w:val="000000"/>
          <w:sz w:val="24"/>
        </w:rPr>
        <w:t xml:space="preserve">履行方式：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 </w:t>
      </w:r>
      <w:r>
        <w:rPr>
          <w:rFonts w:ascii="SimSun" w:hAnsi="SimSun" w:eastAsia="SimSun" w:cs="SimSun"/>
          <w:color w:val="000000"/>
          <w:sz w:val="24"/>
        </w:rPr>
        <w:t xml:space="preserve">包装方式：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rPr>
          <w:rFonts w:ascii="SimSun" w:hAnsi="SimSun" w:eastAsia="SimSun" w:cs="SimSun"/>
          <w:color w:val="000000"/>
          <w:sz w:val="24"/>
        </w:rPr>
        <w:t xml:space="preserve">项目负责人：              技术负责人：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二、合同金额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 </w:t>
      </w:r>
      <w:r>
        <w:rPr>
          <w:rFonts w:ascii="SimSun" w:hAnsi="SimSun" w:eastAsia="SimSun" w:cs="SimSun"/>
          <w:color w:val="000000"/>
          <w:sz w:val="24"/>
        </w:rPr>
        <w:t xml:space="preserve">本合同金额为（大写）：</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圆（</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元）人民币或其他币种。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三、技术资料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rPr>
          <w:rFonts w:ascii="SimSun" w:hAnsi="SimSun" w:eastAsia="SimSun" w:cs="SimSun"/>
          <w:color w:val="000000"/>
          <w:sz w:val="24"/>
        </w:rPr>
        <w:t xml:space="preserve">乙方应按招标文件规定的时间向甲方提供使用货物</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包含与货物相关的服务</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的有关技术资料。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 </w:t>
      </w:r>
      <w:r>
        <w:rPr>
          <w:rFonts w:ascii="SimSun" w:hAnsi="SimSun" w:eastAsia="SimSun" w:cs="SimSun"/>
          <w:color w:val="000000"/>
          <w:sz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四、知识产权</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4.1</w:t>
      </w:r>
      <w:r>
        <w:rPr>
          <w:rFonts w:ascii="SimSun" w:hAnsi="SimSun" w:eastAsia="SimSun" w:cs="SimSun"/>
          <w:color w:val="000000"/>
          <w:sz w:val="24"/>
        </w:rPr>
        <w:t xml:space="preserve">乙方应保证甲方在使用、接受本合同货物（包含与货物相关的服务）或其任何一部分时不受第三方提出侵犯其专利权、版权、商标权和工业设计权等知识产权的起诉。一旦出现侵权，由乙方负全部责任。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五、产权担保</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5.1 </w:t>
      </w:r>
      <w:r>
        <w:rPr>
          <w:rFonts w:ascii="SimSun" w:hAnsi="SimSun" w:eastAsia="SimSun" w:cs="SimSun"/>
          <w:color w:val="000000"/>
          <w:sz w:val="24"/>
        </w:rPr>
        <w:t xml:space="preserve">乙方保证所交付的货物（包含与货物相关的服务）的所有权完全属于乙方且无任何抵押、查封等产权瑕疵。</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履约保证金应在采购合同签订前提交，履约保证金的金额：按采购合同总价的</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5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计取。（使用江苏政府采购电子履约保函（保险）代缴纳履约保证金，按采购合同价的</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计取。除银行电汇、网上银行、数字人民币外，投标人还可选用银行保函、担保公司的保证担保或保险公司的保证保险等多种形式向招标人缴纳，支持和鼓励供应商自愿使用履约保函（保险）代替缴纳履约保证金；</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履约保证金退还的条件：按以下第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a  </w:t>
      </w:r>
      <w:r>
        <w:rPr>
          <w:rFonts w:ascii="SimSun" w:hAnsi="SimSun" w:eastAsia="SimSun" w:cs="SimSun"/>
          <w:color w:val="000000"/>
          <w:sz w:val="24"/>
        </w:rPr>
        <w:t xml:space="preserve">种方式执行：</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a</w:t>
      </w:r>
      <w:r>
        <w:rPr>
          <w:rFonts w:ascii="SimSun" w:hAnsi="SimSun" w:eastAsia="SimSun" w:cs="SimSun"/>
          <w:color w:val="000000"/>
          <w:sz w:val="24"/>
        </w:rPr>
        <w:t xml:space="preserve">、货物类项目，项目验收合格，出具验收报告及履约保证金收据申请退付；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b</w:t>
      </w:r>
      <w:r>
        <w:rPr>
          <w:rFonts w:ascii="SimSun" w:hAnsi="SimSun" w:eastAsia="SimSun" w:cs="SimSun"/>
          <w:color w:val="000000"/>
          <w:sz w:val="24"/>
        </w:rPr>
        <w:t xml:space="preserve">、服务类项目，项目履约期满评价合格，出具履约评价报告及履约保证金收据申请退付；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c</w:t>
      </w:r>
      <w:r>
        <w:rPr>
          <w:rFonts w:ascii="SimSun" w:hAnsi="SimSun" w:eastAsia="SimSun" w:cs="SimSun"/>
          <w:color w:val="000000"/>
          <w:sz w:val="24"/>
        </w:rPr>
        <w:t xml:space="preserve">、工程类项目，项目完工验收合格，出具完工证明及履约保证金收据申请退付；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履约保证金退还时间：采购单位收到供应商退付申请后</w:t>
      </w: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个工作日内退还；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履约保证金不予退还情形：除不可抗力外，供应商不履行与采购人订立的采购合同的，履约保证金不予退还，给采购人造成的损失超过履约保证金数额的，还应当对超过部分予以赔偿；</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逾期退还履约保证金的违约责任：除应当退还履约保证金外，还应当按中国人民银行同期贷款基准利率上浮 </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％后的利率支付超期资金占用费，但因供应商自身原因导致无法及时退还的除外。</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本项目支持和鼓励供应商使用江苏政府采购电子履约保函（保险）代替缴纳履约保金。关于办理流程、偿付等内容详见江苏省政府采购网《关于在全省政府采购领域推行电子履约保函</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保险</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的通知》 </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苏财购﹝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150</w:t>
      </w:r>
      <w:r>
        <w:rPr>
          <w:rFonts w:ascii="SimSun" w:hAnsi="SimSun" w:eastAsia="SimSun" w:cs="SimSun"/>
          <w:color w:val="000000"/>
          <w:sz w:val="24"/>
        </w:rPr>
        <w:t xml:space="preserve">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七、合同转包或分包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7.1</w:t>
      </w:r>
      <w:r>
        <w:rPr>
          <w:rFonts w:ascii="SimSun" w:hAnsi="SimSun" w:eastAsia="SimSun" w:cs="SimSun"/>
          <w:color w:val="000000"/>
          <w:sz w:val="24"/>
        </w:rPr>
        <w:t xml:space="preserve">乙方不得将合同标的转包给他人履行。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7.2</w:t>
      </w:r>
      <w:r>
        <w:rPr>
          <w:rFonts w:ascii="SimSun" w:hAnsi="SimSun" w:eastAsia="SimSun" w:cs="SimSun"/>
          <w:color w:val="000000"/>
          <w:sz w:val="24"/>
        </w:rPr>
        <w:t xml:space="preserve">乙方不得将合同标的分包给他人履行。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7.3</w:t>
      </w:r>
      <w:r>
        <w:rPr>
          <w:rFonts w:ascii="SimSun" w:hAnsi="SimSun" w:eastAsia="SimSun" w:cs="SimSun"/>
          <w:color w:val="000000"/>
          <w:sz w:val="24"/>
        </w:rPr>
        <w:t xml:space="preserve">乙方如有转包或未经甲方同意的分包行为，甲方有权给予终止合同。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八、合同款项支付</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8.1</w:t>
      </w:r>
      <w:r>
        <w:rPr>
          <w:rFonts w:ascii="SimSun" w:hAnsi="SimSun" w:eastAsia="SimSun" w:cs="SimSun"/>
          <w:color w:val="000000"/>
          <w:sz w:val="24"/>
        </w:rPr>
        <w:t xml:space="preserve">合同款项的支付方式及进度安排</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资金支付的方式：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预付款：签订合同后</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个工作日内支付合同总价款的</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（供应商在支付预付款前向甲方提供等额的保函或保险，期限不低于</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进度款：项目完成后经验收合格、审计完成，付审计价款的</w:t>
      </w:r>
      <w:r>
        <w:rPr>
          <w:rFonts w:ascii="Times New Roman" w:hAnsi="Times New Roman" w:eastAsia="Times New Roman" w:cs="Times New Roman"/>
          <w:color w:val="000000"/>
          <w:sz w:val="24"/>
        </w:rPr>
        <w:t xml:space="preserve">100%</w:t>
      </w:r>
      <w:r>
        <w:rPr>
          <w:rFonts w:ascii="SimSun" w:hAnsi="SimSun" w:eastAsia="SimSun" w:cs="SimSun"/>
          <w:color w:val="000000"/>
          <w:sz w:val="24"/>
        </w:rPr>
        <w:t xml:space="preserve">。付款前，供应商应向采购人提供符合要求的发票，否则，采购人有权拒绝付款，同时不免除供应商合同履行义务。采购人可从应付款中直接扣除供应商应承担的违约金或其他费用（数字人民币为合同价款支付的一种方式）。</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注：在签订合同时，中标人明确表示无需预付款或者主动要求降低预付款比例的金额，采购人可不适用预付款规定。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8.2</w:t>
      </w:r>
      <w:r>
        <w:rPr>
          <w:rFonts w:ascii="SimSun" w:hAnsi="SimSun" w:eastAsia="SimSun" w:cs="SimSun"/>
          <w:color w:val="000000"/>
          <w:sz w:val="24"/>
        </w:rPr>
        <w:t xml:space="preserve">当采购数量与实际使用数量不一致时，乙方应根据实际使用量供货，合同的最终结算金额按实际使用量乘以成交单价进行计算。</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8.3</w:t>
      </w:r>
      <w:r>
        <w:rPr>
          <w:rFonts w:ascii="SimSun" w:hAnsi="SimSun" w:eastAsia="SimSun" w:cs="SimSun"/>
          <w:color w:val="000000"/>
          <w:sz w:val="24"/>
        </w:rPr>
        <w:t xml:space="preserve">设备进场前如需进行厂验，所有费用由承包人承担；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8.4</w:t>
      </w:r>
      <w:r>
        <w:rPr>
          <w:rFonts w:ascii="SimSun" w:hAnsi="SimSun" w:eastAsia="SimSun" w:cs="SimSun"/>
          <w:color w:val="000000"/>
          <w:sz w:val="24"/>
        </w:rPr>
        <w:t xml:space="preserve">承包人必须保证系统完整性，若系统有缺陷，承包人必须免费进行修复，发包人不再额外付费；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8.5</w:t>
      </w:r>
      <w:r>
        <w:rPr>
          <w:rFonts w:ascii="SimSun" w:hAnsi="SimSun" w:eastAsia="SimSun" w:cs="SimSun"/>
          <w:color w:val="000000"/>
          <w:sz w:val="24"/>
        </w:rPr>
        <w:t xml:space="preserve">若有系统对接扩容，承包人必须免费开放接口，配合完成，且不得另行收费</w:t>
      </w:r>
      <w:r>
        <w:rPr>
          <w:rFonts w:ascii="Times New Roman" w:hAnsi="Times New Roman" w:eastAsia="Times New Roman" w:cs="Times New Roman"/>
          <w:color w:val="000000"/>
          <w:sz w:val="24"/>
        </w:rPr>
        <w:t xml:space="preserve">;</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8.6</w:t>
      </w:r>
      <w:r>
        <w:rPr>
          <w:rFonts w:ascii="SimSun" w:hAnsi="SimSun" w:eastAsia="SimSun" w:cs="SimSun"/>
          <w:color w:val="000000"/>
          <w:sz w:val="24"/>
        </w:rPr>
        <w:t xml:space="preserve">辅材费用及配合费，发包人不再额外支付。</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九、税费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9.1</w:t>
      </w:r>
      <w:r>
        <w:rPr>
          <w:rFonts w:ascii="SimSun" w:hAnsi="SimSun" w:eastAsia="SimSun" w:cs="SimSun"/>
          <w:color w:val="000000"/>
          <w:sz w:val="24"/>
        </w:rPr>
        <w:t xml:space="preserve">本合同执行中相关的一切税费均由乙方负担。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十、质量保修范围和保修期及售后服务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10.1 </w:t>
      </w:r>
      <w:r>
        <w:rPr>
          <w:rFonts w:ascii="SimSun" w:hAnsi="SimSun" w:eastAsia="SimSun" w:cs="SimSun"/>
          <w:color w:val="000000"/>
          <w:sz w:val="24"/>
        </w:rPr>
        <w:t xml:space="preserve">乙方应按招标文件规定的货物性能、技术要求、质量标准向甲方提供未经使用的</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全新产品。</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10.2 </w:t>
      </w:r>
      <w:r>
        <w:rPr>
          <w:rFonts w:ascii="SimSun" w:hAnsi="SimSun" w:eastAsia="SimSun" w:cs="SimSun"/>
          <w:color w:val="000000"/>
          <w:sz w:val="24"/>
        </w:rPr>
        <w:t xml:space="preserve">乙方提供的货物在质量期内因货物本身的质量问题发生故障，乙方应负责免费更</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换。对达不到技术要求者，根据实际情况，经双方协商，可按以下办法处理：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⑴</w:t>
      </w:r>
      <w:r>
        <w:rPr>
          <w:rFonts w:ascii="SimSun" w:hAnsi="SimSun" w:eastAsia="SimSun" w:cs="SimSun"/>
          <w:color w:val="000000"/>
          <w:sz w:val="24"/>
        </w:rPr>
        <w:t xml:space="preserve">更换：由乙方承担所发生的全部费用。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⑵</w:t>
      </w:r>
      <w:r>
        <w:rPr>
          <w:rFonts w:ascii="SimSun" w:hAnsi="SimSun" w:eastAsia="SimSun" w:cs="SimSun"/>
          <w:color w:val="000000"/>
          <w:sz w:val="24"/>
        </w:rPr>
        <w:t xml:space="preserve">贬值处理：由甲乙双方合议定价。</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⑶</w:t>
      </w:r>
      <w:r>
        <w:rPr>
          <w:rFonts w:ascii="SimSun" w:hAnsi="SimSun" w:eastAsia="SimSun" w:cs="SimSun"/>
          <w:color w:val="000000"/>
          <w:sz w:val="24"/>
        </w:rPr>
        <w:t xml:space="preserve">退货处理：乙方应退还甲方支付的合同款，同时应承担该货物的直接费用（运输、保险、检验、货款利息及银行手续费等）。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10.3 </w:t>
      </w:r>
      <w:r>
        <w:rPr>
          <w:rFonts w:ascii="SimSun" w:hAnsi="SimSun" w:eastAsia="SimSun" w:cs="SimSun"/>
          <w:color w:val="000000"/>
          <w:sz w:val="24"/>
        </w:rPr>
        <w:t xml:space="preserve">如在使用过程中发生质量问题，乙方在接到甲方通知后在</w:t>
      </w:r>
      <w:r>
        <w:rPr>
          <w:rFonts w:ascii="Times New Roman" w:hAnsi="Times New Roman" w:eastAsia="Times New Roman" w:cs="Times New Roman"/>
          <w:color w:val="000000"/>
          <w:sz w:val="24"/>
        </w:rPr>
        <w:t xml:space="preserve">_________</w:t>
      </w:r>
      <w:r>
        <w:rPr>
          <w:rFonts w:ascii="SimSun" w:hAnsi="SimSun" w:eastAsia="SimSun" w:cs="SimSun"/>
          <w:color w:val="000000"/>
          <w:sz w:val="24"/>
        </w:rPr>
        <w:t xml:space="preserve">小时内到达甲方现场。</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10.4 </w:t>
      </w:r>
      <w:r>
        <w:rPr>
          <w:rFonts w:ascii="SimSun" w:hAnsi="SimSun" w:eastAsia="SimSun" w:cs="SimSun"/>
          <w:color w:val="000000"/>
          <w:sz w:val="24"/>
        </w:rPr>
        <w:t xml:space="preserve">在质保期内，乙方应对货物出现的质量及安全问题负责处理解决并承担一切费用。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10.5</w:t>
      </w:r>
      <w:r>
        <w:rPr>
          <w:rFonts w:ascii="SimSun" w:hAnsi="SimSun" w:eastAsia="SimSun" w:cs="SimSun"/>
          <w:color w:val="000000"/>
          <w:sz w:val="24"/>
        </w:rPr>
        <w:t xml:space="preserve">上述的货物免费保修期为</w:t>
      </w:r>
      <w:r>
        <w:rPr>
          <w:rFonts w:ascii="Times New Roman" w:hAnsi="Times New Roman" w:eastAsia="Times New Roman" w:cs="Times New Roman"/>
          <w:color w:val="000000"/>
          <w:sz w:val="24"/>
          <w:u w:val="single"/>
        </w:rPr>
        <w:t xml:space="preserve">     </w:t>
      </w:r>
      <w:r>
        <w:rPr>
          <w:rFonts w:ascii="SimSun" w:hAnsi="SimSun" w:eastAsia="SimSun" w:cs="SimSun"/>
          <w:color w:val="000000"/>
          <w:sz w:val="24"/>
        </w:rPr>
        <w:t xml:space="preserve">年（自交货验收合格之日起计），因人为因素出现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的故障不在免费保修范围内。超过保修期的机器设备，终生维修，维修时只收部件成</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本费。</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十一、项目验收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11.1 </w:t>
      </w:r>
      <w:r>
        <w:rPr>
          <w:rFonts w:ascii="SimSun" w:hAnsi="SimSun" w:eastAsia="SimSun" w:cs="SimSun"/>
          <w:color w:val="000000"/>
          <w:sz w:val="24"/>
        </w:rPr>
        <w:t xml:space="preserve">甲方依法组织履约验收工作。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 </w:t>
      </w:r>
      <w:r>
        <w:rPr>
          <w:rFonts w:ascii="SimSun" w:hAnsi="SimSun" w:eastAsia="SimSun" w:cs="SimSun"/>
          <w:color w:val="000000"/>
          <w:sz w:val="24"/>
        </w:rPr>
        <w:t xml:space="preserve">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11.3 </w:t>
      </w:r>
      <w:r>
        <w:rPr>
          <w:rFonts w:ascii="SimSun" w:hAnsi="SimSun" w:eastAsia="SimSun" w:cs="SimSun"/>
          <w:color w:val="000000"/>
          <w:sz w:val="24"/>
        </w:rPr>
        <w:t xml:space="preserve">对于实际使用人和甲方分离的项目，甲方邀请实际使用人参与验收。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11.4 </w:t>
      </w:r>
      <w:r>
        <w:rPr>
          <w:rFonts w:ascii="SimSun" w:hAnsi="SimSun" w:eastAsia="SimSun" w:cs="SimSun"/>
          <w:color w:val="000000"/>
          <w:sz w:val="24"/>
        </w:rPr>
        <w:t xml:space="preserve">如有必要，甲方邀请参加本项目的其他供应商或第三方专业机构及专家参与验收，相关意见将作为验收书的参考资料。</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11.5 </w:t>
      </w:r>
      <w:r>
        <w:rPr>
          <w:rFonts w:ascii="SimSun" w:hAnsi="SimSun" w:eastAsia="SimSun" w:cs="SimSun"/>
          <w:color w:val="000000"/>
          <w:sz w:val="24"/>
        </w:rPr>
        <w:t xml:space="preserve">甲方成立验收小组，按照采购合同的约定对乙方的履约情况进行验收。验收时间、验收标准见招标文件验收内容。验收时</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甲方按照采购合同的约定对每一项技术、商务要求的履约情况进行确认。验收结束后</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验收小组出具验收书</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列明各项标准的验收情况及项目总体评价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由验收双方共同签署。验收结果与采购合同约定的资金支付及履约保证金返还条件挂钩。履约验收的各项资料存档备查。</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11.6 </w:t>
      </w:r>
      <w:r>
        <w:rPr>
          <w:rFonts w:ascii="SimSun" w:hAnsi="SimSun" w:eastAsia="SimSun" w:cs="SimSun"/>
          <w:color w:val="000000"/>
          <w:sz w:val="24"/>
        </w:rPr>
        <w:t xml:space="preserve">验收合格的项目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甲方将及时报告本级财政部门。</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十二、货物的包装、发运及运输</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12.1 </w:t>
      </w:r>
      <w:r>
        <w:rPr>
          <w:rFonts w:ascii="SimSun" w:hAnsi="SimSun" w:eastAsia="SimSun" w:cs="SimSun"/>
          <w:color w:val="000000"/>
          <w:sz w:val="24"/>
        </w:rPr>
        <w:t xml:space="preserve">乙方应在货物发运前对其进行满足运输距离、防潮、防震、防锈和防破损装卸等</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要求包装，以保证货物安全运达甲方指定地点。乙方对货物的包装应符合《商品包装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政府采购需求标准（试行）》、《快递包装政府采购需求标准（试行）》的规定。</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12.2 </w:t>
      </w:r>
      <w:r>
        <w:rPr>
          <w:rFonts w:ascii="SimSun" w:hAnsi="SimSun" w:eastAsia="SimSun" w:cs="SimSun"/>
          <w:color w:val="000000"/>
          <w:sz w:val="24"/>
        </w:rPr>
        <w:t xml:space="preserve">使用说明书、质量检验证明书、随配附件和工具以及清单一并附于货物内。</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12.3 </w:t>
      </w:r>
      <w:r>
        <w:rPr>
          <w:rFonts w:ascii="SimSun" w:hAnsi="SimSun" w:eastAsia="SimSun" w:cs="SimSun"/>
          <w:color w:val="000000"/>
          <w:sz w:val="24"/>
        </w:rPr>
        <w:t xml:space="preserve">乙方在货物发运手续办理完毕后</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小时内或货到甲方</w:t>
      </w:r>
      <w:r>
        <w:rPr>
          <w:rFonts w:ascii="Times New Roman" w:hAnsi="Times New Roman" w:eastAsia="Times New Roman" w:cs="Times New Roman"/>
          <w:color w:val="000000"/>
          <w:sz w:val="24"/>
        </w:rPr>
        <w:t xml:space="preserve">48</w:t>
      </w:r>
      <w:r>
        <w:rPr>
          <w:rFonts w:ascii="SimSun" w:hAnsi="SimSun" w:eastAsia="SimSun" w:cs="SimSun"/>
          <w:color w:val="000000"/>
          <w:sz w:val="24"/>
        </w:rPr>
        <w:t xml:space="preserve">小时前通知甲方，以准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备接货。</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12.4 </w:t>
      </w:r>
      <w:r>
        <w:rPr>
          <w:rFonts w:ascii="SimSun" w:hAnsi="SimSun" w:eastAsia="SimSun" w:cs="SimSun"/>
          <w:color w:val="000000"/>
          <w:sz w:val="24"/>
        </w:rPr>
        <w:t xml:space="preserve">货物在交付甲方前发生的风险均由乙方负责。</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12.5 </w:t>
      </w:r>
      <w:r>
        <w:rPr>
          <w:rFonts w:ascii="SimSun" w:hAnsi="SimSun" w:eastAsia="SimSun" w:cs="SimSun"/>
          <w:color w:val="000000"/>
          <w:sz w:val="24"/>
        </w:rPr>
        <w:t xml:space="preserve">货物在规定的交付期限内由乙方送达甲方指定的地点视为交付，乙方同时需通知甲方货物已送达。</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十三、违约责任</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 </w:t>
      </w:r>
      <w:r>
        <w:rPr>
          <w:rFonts w:ascii="SimSun" w:hAnsi="SimSun" w:eastAsia="SimSun" w:cs="SimSun"/>
          <w:color w:val="000000"/>
          <w:sz w:val="24"/>
        </w:rPr>
        <w:t xml:space="preserve">甲方无正当理由拒收货物的，甲方向乙方偿付拒收货款总值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13.2 </w:t>
      </w:r>
      <w:r>
        <w:rPr>
          <w:rFonts w:ascii="SimSun" w:hAnsi="SimSun" w:eastAsia="SimSun" w:cs="SimSun"/>
          <w:color w:val="000000"/>
          <w:sz w:val="24"/>
        </w:rPr>
        <w:t xml:space="preserve">甲方无故逾期验收和办理货款支付手续的</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甲方应按逾期付款总额每日</w:t>
      </w:r>
      <w:r>
        <w:rPr>
          <w:rFonts w:ascii="SimSun" w:hAnsi="SimSun" w:eastAsia="SimSun" w:cs="SimSun"/>
          <w:color w:val="000000"/>
          <w:sz w:val="24"/>
          <w:u w:val="single"/>
        </w:rPr>
        <w:t xml:space="preserve">    </w:t>
      </w:r>
      <w:r>
        <w:rPr>
          <w:rFonts w:ascii="SimSun" w:hAnsi="SimSun" w:eastAsia="SimSun" w:cs="SimSun"/>
          <w:color w:val="000000"/>
          <w:sz w:val="24"/>
        </w:rPr>
        <w:t xml:space="preserve">向乙方支付违约金。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13.3 </w:t>
      </w:r>
      <w:r>
        <w:rPr>
          <w:rFonts w:ascii="SimSun" w:hAnsi="SimSun" w:eastAsia="SimSun" w:cs="SimSun"/>
          <w:color w:val="000000"/>
          <w:sz w:val="24"/>
        </w:rPr>
        <w:t xml:space="preserve">乙方逾期交付货物的，乙方应按逾期交货总额每日千分之六向甲方支付违约金，由甲方从待付货款中扣除。逾期超过约定日期</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个工作日不能交货的，甲方可解除本合同。乙方因逾期交货或因其他违约行为导致甲方解除合同的，乙方应向甲方支付合同总值</w:t>
      </w:r>
      <w:r>
        <w:rPr>
          <w:rFonts w:ascii="SimSun" w:hAnsi="SimSun" w:eastAsia="SimSun" w:cs="SimSun"/>
          <w:color w:val="000000"/>
          <w:sz w:val="24"/>
          <w:u w:val="single"/>
        </w:rPr>
        <w:t xml:space="preserve">    </w:t>
      </w:r>
      <w:r>
        <w:rPr>
          <w:rFonts w:ascii="SimSun" w:hAnsi="SimSun" w:eastAsia="SimSun" w:cs="SimSun"/>
          <w:color w:val="000000"/>
          <w:sz w:val="24"/>
        </w:rPr>
        <w:t xml:space="preserve">的违约金，如造成甲方损失超过违约金的，超出部分由乙方继续承担赔偿责任。</w:t>
      </w: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13.4 </w:t>
      </w:r>
      <w:r>
        <w:rPr>
          <w:rFonts w:ascii="SimSun" w:hAnsi="SimSun" w:eastAsia="SimSun" w:cs="SimSun"/>
          <w:color w:val="000000"/>
          <w:sz w:val="24"/>
        </w:rPr>
        <w:t xml:space="preserve">乙方所交的货物品种、型号、规格、技术参数、质量不符合合同规定及招标文件</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规定标准的，甲方有权拒收该货物，乙方愿意更换货物但逾期交货的，按乙方逾期交</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货处理。乙方拒绝更换货物的，甲方可单方面解除合同。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13.5</w:t>
      </w:r>
      <w:r>
        <w:rPr>
          <w:rFonts w:ascii="SimSun" w:hAnsi="SimSun" w:eastAsia="SimSun" w:cs="SimSun"/>
          <w:color w:val="000000"/>
          <w:sz w:val="24"/>
        </w:rPr>
        <w:t xml:space="preserve">乙方拟派项目组人员离开施工现场需经甲方同意，若无正当理由且未经甲方同意不在施工现场的，乙方按每天</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元向甲方支付违约金；如项目经理未经甲方同意缺席一日或缺席一次例会，乙方同意向甲方支付违约金</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元整</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如一周有二个工作日或二个月累计</w:t>
      </w:r>
      <w:r>
        <w:rPr>
          <w:rFonts w:ascii="Times New Roman" w:hAnsi="Times New Roman" w:eastAsia="Times New Roman" w:cs="Times New Roman"/>
          <w:color w:val="000000"/>
          <w:sz w:val="24"/>
        </w:rPr>
        <w:t xml:space="preserve">10</w:t>
      </w:r>
      <w:r>
        <w:rPr>
          <w:rFonts w:ascii="SimSun" w:hAnsi="SimSun" w:eastAsia="SimSun" w:cs="SimSun"/>
          <w:color w:val="000000"/>
          <w:sz w:val="24"/>
        </w:rPr>
        <w:t xml:space="preserve">天不在现场或二个月缺席例会三次，为严重违约，甲方有权采取终止合同、没收履约保证金、停止支付货款，并要求乙方赔偿一切损失（费用包括但不限于重新招投标的损失，为主张权利发生的律师费、诉讼费、财产保全费、保全担保费、差旅费等）。乙方同意违约赔偿金在每次支付的货款中扣除，且乙方不存在任何异议。</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13.6</w:t>
      </w:r>
      <w:r>
        <w:rPr>
          <w:rFonts w:ascii="SimSun" w:hAnsi="SimSun" w:eastAsia="SimSun" w:cs="SimSun"/>
          <w:color w:val="000000"/>
          <w:sz w:val="24"/>
        </w:rPr>
        <w:t xml:space="preserve">乙方须在中标后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日内提供会议室、办公场所、仓库（面积不得少于</w:t>
      </w:r>
      <w:r>
        <w:rPr>
          <w:rFonts w:ascii="Times New Roman" w:hAnsi="Times New Roman" w:eastAsia="Times New Roman" w:cs="Times New Roman"/>
          <w:color w:val="000000"/>
          <w:sz w:val="24"/>
        </w:rPr>
        <w:t xml:space="preserve">500</w:t>
      </w:r>
      <w:r>
        <w:rPr>
          <w:rFonts w:ascii="SimSun" w:hAnsi="SimSun" w:eastAsia="SimSun" w:cs="SimSun"/>
          <w:color w:val="000000"/>
          <w:sz w:val="24"/>
        </w:rPr>
        <w:t xml:space="preserve">平方）等供项目现场使用，距离不得超过项目实施地点</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公里。每逾期一日，乙方向甲方支付违约金</w:t>
      </w:r>
      <w:r>
        <w:rPr>
          <w:rFonts w:ascii="Times New Roman" w:hAnsi="Times New Roman" w:eastAsia="Times New Roman" w:cs="Times New Roman"/>
          <w:color w:val="000000"/>
          <w:sz w:val="24"/>
        </w:rPr>
        <w:t xml:space="preserve">5000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天。</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13.7</w:t>
      </w:r>
      <w:r>
        <w:rPr>
          <w:rFonts w:ascii="SimSun" w:hAnsi="SimSun" w:eastAsia="SimSun" w:cs="SimSun"/>
          <w:color w:val="000000"/>
          <w:sz w:val="24"/>
        </w:rPr>
        <w:t xml:space="preserve">乙方不按时响应甲方要求的，乙方向甲方</w:t>
      </w:r>
      <w:r>
        <w:rPr>
          <w:rFonts w:ascii="Times New Roman" w:hAnsi="Times New Roman" w:eastAsia="Times New Roman" w:cs="Times New Roman"/>
          <w:color w:val="000000"/>
          <w:sz w:val="24"/>
        </w:rPr>
        <w:t xml:space="preserve">2000</w:t>
      </w:r>
      <w:r>
        <w:rPr>
          <w:rFonts w:ascii="SimSun" w:hAnsi="SimSun" w:eastAsia="SimSun" w:cs="SimSun"/>
          <w:color w:val="000000"/>
          <w:sz w:val="24"/>
        </w:rPr>
        <w:t xml:space="preserve">元</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次的违约金。</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13.8</w:t>
      </w:r>
      <w:r>
        <w:rPr>
          <w:rFonts w:ascii="SimSun" w:hAnsi="SimSun" w:eastAsia="SimSun" w:cs="SimSun"/>
          <w:color w:val="000000"/>
          <w:sz w:val="24"/>
        </w:rPr>
        <w:t xml:space="preserve">其他违约责任</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45"/>
        <w:gridCol w:w="6348"/>
        <w:gridCol w:w="1861"/>
      </w:tblGrid>
      <w:tr>
        <w:trPr>
          <w:trHeight w:val="45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jc w:val="center"/>
              <w:spacing w:before="15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违规内容</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2"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承包商违约金</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4"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进入施工现场不戴安全帽</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43"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w:t>
            </w:r>
            <w:r>
              <w:rPr>
                <w:rFonts w:ascii="FangSong" w:hAnsi="FangSong" w:eastAsia="FangSong" w:cs="FangSong"/>
                <w:color w:val="000000"/>
                <w:spacing w:val="-49"/>
                <w:sz w:val="24"/>
              </w:rPr>
              <w:t xml:space="preserve"> </w:t>
            </w:r>
            <w:r>
              <w:rPr>
                <w:rFonts w:ascii="FangSong" w:hAnsi="FangSong" w:eastAsia="FangSong" w:cs="FangSong"/>
                <w:color w:val="000000"/>
                <w:spacing w:val="-4"/>
                <w:sz w:val="24"/>
              </w:rPr>
              <w:t xml:space="preserve">元/例</w:t>
            </w:r>
            <w:r/>
          </w:p>
        </w:tc>
      </w:tr>
      <w:tr>
        <w:trPr>
          <w:trHeight w:val="90"/>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2" w:after="20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现场材料及设备堆放较乱及企业宣传标语、标牌未按</w:t>
            </w:r>
            <w:r>
              <w:rPr>
                <w:rFonts w:ascii="FangSong" w:hAnsi="FangSong" w:eastAsia="FangSong" w:cs="FangSong"/>
                <w:color w:val="000000"/>
                <w:spacing w:val="10"/>
                <w:sz w:val="24"/>
              </w:rPr>
              <w:t xml:space="preserve"> </w:t>
            </w:r>
            <w:r>
              <w:rPr>
                <w:rFonts w:ascii="FangSong" w:hAnsi="FangSong" w:eastAsia="FangSong" w:cs="FangSong"/>
                <w:color w:val="000000"/>
                <w:spacing w:val="-1"/>
                <w:sz w:val="24"/>
              </w:rPr>
              <w:t xml:space="preserve">合同规定的文明工地标准完成的，经委托人、监理口</w:t>
            </w:r>
            <w:r>
              <w:rPr>
                <w:rFonts w:ascii="FangSong" w:hAnsi="FangSong" w:eastAsia="FangSong" w:cs="FangSong"/>
                <w:color w:val="000000"/>
                <w:spacing w:val="11"/>
                <w:sz w:val="24"/>
              </w:rPr>
              <w:t xml:space="preserve"> </w:t>
            </w:r>
            <w:r>
              <w:rPr>
                <w:rFonts w:ascii="FangSong" w:hAnsi="FangSong" w:eastAsia="FangSong" w:cs="FangSong"/>
                <w:color w:val="000000"/>
                <w:spacing w:val="-1"/>
                <w:sz w:val="24"/>
              </w:rPr>
              <w:t xml:space="preserve">头或书面督促超过两次未整改到位的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元/次</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6"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7"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高空抛物无保护措施的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46"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2000</w:t>
            </w:r>
            <w:r>
              <w:rPr>
                <w:rFonts w:ascii="FangSong" w:hAnsi="FangSong" w:eastAsia="FangSong" w:cs="FangSong"/>
                <w:color w:val="000000"/>
                <w:spacing w:val="-46"/>
                <w:sz w:val="24"/>
              </w:rPr>
              <w:t xml:space="preserve"> </w:t>
            </w:r>
            <w:r>
              <w:rPr>
                <w:rFonts w:ascii="FangSong" w:hAnsi="FangSong" w:eastAsia="FangSong" w:cs="FangSong"/>
                <w:color w:val="000000"/>
                <w:spacing w:val="-4"/>
                <w:sz w:val="24"/>
              </w:rPr>
              <w:t xml:space="preserve">元/例</w:t>
            </w:r>
            <w:r/>
          </w:p>
        </w:tc>
      </w:tr>
      <w:tr>
        <w:trPr>
          <w:trHeight w:val="1323"/>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6" w:after="200" w:line="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防火及消防措施不到位，未办理动火证即进行</w:t>
            </w:r>
            <w:r>
              <w:rPr>
                <w:rFonts w:ascii="FangSong" w:hAnsi="FangSong" w:eastAsia="FangSong" w:cs="FangSong"/>
                <w:color w:val="000000"/>
                <w:spacing w:val="-2"/>
                <w:sz w:val="24"/>
              </w:rPr>
              <w:t xml:space="preserve">动火作</w:t>
            </w:r>
            <w:r>
              <w:rPr>
                <w:rFonts w:ascii="FangSong" w:hAnsi="FangSong" w:eastAsia="FangSong" w:cs="FangSong"/>
                <w:color w:val="000000"/>
                <w:sz w:val="24"/>
              </w:rPr>
              <w:t xml:space="preserve"> </w:t>
            </w:r>
            <w:r>
              <w:rPr>
                <w:rFonts w:ascii="FangSong" w:hAnsi="FangSong" w:eastAsia="FangSong" w:cs="FangSong"/>
                <w:color w:val="000000"/>
                <w:spacing w:val="-3"/>
                <w:sz w:val="24"/>
              </w:rPr>
              <w:t xml:space="preserve">业,经监理、委托人口头或书面督促超过两次仍未整改</w:t>
            </w:r>
            <w:r>
              <w:rPr>
                <w:rFonts w:ascii="FangSong" w:hAnsi="FangSong" w:eastAsia="FangSong" w:cs="FangSong"/>
                <w:color w:val="000000"/>
                <w:sz w:val="24"/>
              </w:rPr>
              <w:t xml:space="preserve"> </w:t>
            </w:r>
            <w:r>
              <w:rPr>
                <w:rFonts w:ascii="FangSong" w:hAnsi="FangSong" w:eastAsia="FangSong" w:cs="FangSong"/>
                <w:color w:val="000000"/>
                <w:spacing w:val="-3"/>
                <w:sz w:val="24"/>
              </w:rPr>
              <w:t xml:space="preserve">到位的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5000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元/例</w:t>
            </w:r>
            <w:r/>
          </w:p>
        </w:tc>
      </w:tr>
      <w:tr>
        <w:trPr>
          <w:trHeight w:val="44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9"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9"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三区（办公区、生产区、生活区）卫生差</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49"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5"/>
                <w:sz w:val="24"/>
              </w:rPr>
              <w:t xml:space="preserve">500</w:t>
            </w:r>
            <w:r>
              <w:rPr>
                <w:rFonts w:ascii="FangSong" w:hAnsi="FangSong" w:eastAsia="FangSong" w:cs="FangSong"/>
                <w:color w:val="000000"/>
                <w:spacing w:val="-46"/>
                <w:sz w:val="24"/>
              </w:rPr>
              <w:t xml:space="preserve"> </w:t>
            </w:r>
            <w:r>
              <w:rPr>
                <w:rFonts w:ascii="FangSong" w:hAnsi="FangSong" w:eastAsia="FangSong" w:cs="FangSong"/>
                <w:color w:val="000000"/>
                <w:spacing w:val="-5"/>
                <w:sz w:val="24"/>
              </w:rPr>
              <w:t xml:space="preserve">元/例</w:t>
            </w:r>
            <w:r/>
          </w:p>
        </w:tc>
      </w:tr>
      <w:tr>
        <w:trPr>
          <w:trHeight w:val="8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8" w:after="20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门卫及现场保安管理不符合合同规定的文明工地标</w:t>
            </w:r>
            <w:r>
              <w:rPr>
                <w:rFonts w:ascii="FangSong" w:hAnsi="FangSong" w:eastAsia="FangSong" w:cs="FangSong"/>
                <w:color w:val="000000"/>
                <w:spacing w:val="6"/>
                <w:sz w:val="24"/>
              </w:rPr>
              <w:t xml:space="preserve"> </w:t>
            </w:r>
            <w:r>
              <w:rPr>
                <w:rFonts w:ascii="FangSong" w:hAnsi="FangSong" w:eastAsia="FangSong" w:cs="FangSong"/>
                <w:color w:val="000000"/>
                <w:spacing w:val="-1"/>
                <w:sz w:val="24"/>
              </w:rPr>
              <w:t xml:space="preserve">准，经委托人、监理口头或书面督促，超过两次的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2000</w:t>
            </w:r>
            <w:r>
              <w:rPr>
                <w:rFonts w:ascii="FangSong" w:hAnsi="FangSong" w:eastAsia="FangSong" w:cs="FangSong"/>
                <w:color w:val="000000"/>
                <w:spacing w:val="-46"/>
                <w:sz w:val="24"/>
              </w:rPr>
              <w:t xml:space="preserve"> </w:t>
            </w:r>
            <w:r>
              <w:rPr>
                <w:rFonts w:ascii="FangSong" w:hAnsi="FangSong" w:eastAsia="FangSong" w:cs="FangSong"/>
                <w:color w:val="000000"/>
                <w:spacing w:val="-4"/>
                <w:sz w:val="24"/>
              </w:rPr>
              <w:t xml:space="preserve">元/例</w:t>
            </w:r>
            <w:r/>
          </w:p>
        </w:tc>
      </w:tr>
      <w:tr>
        <w:trPr>
          <w:trHeight w:val="444"/>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未经监理验收签证即进行下一步施工</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10000</w:t>
            </w:r>
            <w:r>
              <w:rPr>
                <w:rFonts w:ascii="FangSong" w:hAnsi="FangSong" w:eastAsia="FangSong" w:cs="FangSong"/>
                <w:color w:val="000000"/>
                <w:spacing w:val="-46"/>
                <w:sz w:val="24"/>
              </w:rPr>
              <w:t xml:space="preserve"> </w:t>
            </w:r>
            <w:r>
              <w:rPr>
                <w:rFonts w:ascii="FangSong" w:hAnsi="FangSong" w:eastAsia="FangSong" w:cs="FangSong"/>
                <w:color w:val="000000"/>
                <w:spacing w:val="-4"/>
                <w:sz w:val="24"/>
              </w:rPr>
              <w:t xml:space="preserve">元/次</w:t>
            </w:r>
            <w:r/>
          </w:p>
        </w:tc>
      </w:tr>
      <w:tr>
        <w:trPr>
          <w:trHeight w:val="444"/>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8</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严重施工质量缺陷（除常规处理外）</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元/次</w:t>
            </w:r>
            <w:r/>
          </w:p>
        </w:tc>
      </w:tr>
      <w:tr>
        <w:trPr>
          <w:trHeight w:val="44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4"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4"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打架斗殴,  施工现场抽烟喝酒或酒后施工</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4"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5000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元/例</w:t>
            </w:r>
            <w:r/>
          </w:p>
        </w:tc>
      </w:tr>
      <w:tr>
        <w:trPr>
          <w:trHeight w:val="884"/>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4"/>
                <w:sz w:val="24"/>
              </w:rPr>
              <w:t xml:space="preserve">10</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1"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不按规范或图纸进行野蛮施工，不听监理、委托人指</w:t>
            </w:r>
            <w:r>
              <w:rPr>
                <w:rFonts w:ascii="FangSong" w:hAnsi="FangSong" w:eastAsia="FangSong" w:cs="FangSong"/>
                <w:color w:val="000000"/>
                <w:spacing w:val="8"/>
                <w:sz w:val="24"/>
              </w:rPr>
              <w:t xml:space="preserve"> </w:t>
            </w:r>
            <w:r>
              <w:rPr>
                <w:rFonts w:ascii="FangSong" w:hAnsi="FangSong" w:eastAsia="FangSong" w:cs="FangSong"/>
                <w:color w:val="000000"/>
                <w:spacing w:val="-2"/>
                <w:sz w:val="24"/>
              </w:rPr>
              <w:t xml:space="preserve">挥或安排的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2000</w:t>
            </w:r>
            <w:r>
              <w:rPr>
                <w:rFonts w:ascii="FangSong" w:hAnsi="FangSong" w:eastAsia="FangSong" w:cs="FangSong"/>
                <w:color w:val="000000"/>
                <w:spacing w:val="-46"/>
                <w:sz w:val="24"/>
              </w:rPr>
              <w:t xml:space="preserve"> </w:t>
            </w:r>
            <w:r>
              <w:rPr>
                <w:rFonts w:ascii="FangSong" w:hAnsi="FangSong" w:eastAsia="FangSong" w:cs="FangSong"/>
                <w:color w:val="000000"/>
                <w:spacing w:val="-4"/>
                <w:sz w:val="24"/>
              </w:rPr>
              <w:t xml:space="preserve">元/次</w:t>
            </w:r>
            <w:r/>
          </w:p>
        </w:tc>
      </w:tr>
      <w:tr>
        <w:trPr>
          <w:trHeight w:val="1323"/>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4"/>
                <w:sz w:val="24"/>
              </w:rPr>
              <w:t xml:space="preserve">11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4" w:after="200" w:line="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材料、设备未经报审合格，就投入使用的, 不符合合</w:t>
            </w:r>
            <w:r>
              <w:rPr>
                <w:rFonts w:ascii="FangSong" w:hAnsi="FangSong" w:eastAsia="FangSong" w:cs="FangSong"/>
                <w:color w:val="000000"/>
                <w:spacing w:val="-1"/>
                <w:sz w:val="24"/>
              </w:rPr>
              <w:t xml:space="preserve">同及招投标文件要求的材料（且无相应变更手续）用</w:t>
            </w:r>
            <w:r>
              <w:rPr>
                <w:rFonts w:ascii="FangSong" w:hAnsi="FangSong" w:eastAsia="FangSong" w:cs="FangSong"/>
                <w:color w:val="000000"/>
                <w:spacing w:val="-3"/>
                <w:sz w:val="24"/>
              </w:rPr>
              <w:t xml:space="preserve">于现场施工</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3000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元/例</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4"/>
                <w:sz w:val="24"/>
              </w:rPr>
              <w:t xml:space="preserve">12</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5" w:after="20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供应商技术管理及施工管理不到位，现场及资料管理不到位， 新进工人未经三级教育就上岗, 关键工序或危险性较大的分部工程未交底,  未定期对工人</w:t>
            </w:r>
            <w:r>
              <w:rPr>
                <w:rFonts w:ascii="FangSong" w:hAnsi="FangSong" w:eastAsia="FangSong" w:cs="FangSong"/>
                <w:color w:val="000000"/>
                <w:spacing w:val="14"/>
                <w:sz w:val="24"/>
              </w:rPr>
              <w:t xml:space="preserve"> </w:t>
            </w:r>
            <w:r>
              <w:rPr>
                <w:rFonts w:ascii="FangSong" w:hAnsi="FangSong" w:eastAsia="FangSong" w:cs="FangSong"/>
                <w:color w:val="000000"/>
                <w:spacing w:val="-1"/>
                <w:sz w:val="24"/>
              </w:rPr>
              <w:t xml:space="preserve">进行生产及安全教育,经委托人、监理指出未及时改</w:t>
            </w:r>
            <w:r>
              <w:rPr>
                <w:rFonts w:ascii="FangSong" w:hAnsi="FangSong" w:eastAsia="FangSong" w:cs="FangSong"/>
                <w:color w:val="000000"/>
                <w:spacing w:val="14"/>
                <w:sz w:val="24"/>
              </w:rPr>
              <w:t xml:space="preserve"> </w:t>
            </w:r>
            <w:r>
              <w:rPr>
                <w:rFonts w:ascii="FangSong" w:hAnsi="FangSong" w:eastAsia="FangSong" w:cs="FangSong"/>
                <w:color w:val="000000"/>
                <w:spacing w:val="-2"/>
                <w:sz w:val="24"/>
              </w:rPr>
              <w:t xml:space="preserve">进，超过两次</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元/例</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13</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153" w:firstLine="0"/>
              <w:spacing w:before="144" w:after="200" w:line="7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供应商项目管理人员未按相关要求配备或人证不一</w:t>
            </w:r>
            <w:r>
              <w:rPr>
                <w:rFonts w:ascii="FangSong" w:hAnsi="FangSong" w:eastAsia="FangSong" w:cs="FangSong"/>
                <w:color w:val="000000"/>
                <w:spacing w:val="13"/>
                <w:sz w:val="24"/>
              </w:rPr>
              <w:t xml:space="preserve"> </w:t>
            </w:r>
            <w:r>
              <w:rPr>
                <w:rFonts w:ascii="FangSong" w:hAnsi="FangSong" w:eastAsia="FangSong" w:cs="FangSong"/>
                <w:color w:val="000000"/>
                <w:spacing w:val="-1"/>
                <w:sz w:val="24"/>
              </w:rPr>
              <w:t xml:space="preserve">或擅自离岗，特种作业人员未取得相应资格证书，经委托人、监理口头或书面指出仍不改正的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元/例</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6"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高空作业不系安全带</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46"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元/例</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153" w:firstLine="0"/>
              <w:spacing w:before="148" w:after="20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未在规定时间内完成委托人或监理口头、书面下达的</w:t>
            </w:r>
            <w:r>
              <w:rPr>
                <w:rFonts w:ascii="FangSong" w:hAnsi="FangSong" w:eastAsia="FangSong" w:cs="FangSong"/>
                <w:color w:val="000000"/>
                <w:spacing w:val="8"/>
                <w:sz w:val="24"/>
              </w:rPr>
              <w:t xml:space="preserve"> </w:t>
            </w:r>
            <w:r>
              <w:rPr>
                <w:rFonts w:ascii="FangSong" w:hAnsi="FangSong" w:eastAsia="FangSong" w:cs="FangSong"/>
                <w:color w:val="000000"/>
                <w:spacing w:val="-7"/>
                <w:sz w:val="24"/>
              </w:rPr>
              <w:t xml:space="preserve">指令</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3000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元/次</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5"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16</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49"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施工组织设计及各专项方案未经监理审批就开始施工</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49"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3000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元/例</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200" w:after="20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17</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脚手架、电梯、塔吊搭设及安装存在较大安全隐患的</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0"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5000</w:t>
            </w:r>
            <w:r>
              <w:rPr>
                <w:rFonts w:ascii="FangSong" w:hAnsi="FangSong" w:eastAsia="FangSong" w:cs="FangSong"/>
                <w:color w:val="000000"/>
                <w:spacing w:val="-48"/>
                <w:sz w:val="24"/>
              </w:rPr>
              <w:t xml:space="preserve"> </w:t>
            </w:r>
            <w:r>
              <w:rPr>
                <w:rFonts w:ascii="FangSong" w:hAnsi="FangSong" w:eastAsia="FangSong" w:cs="FangSong"/>
                <w:color w:val="000000"/>
                <w:spacing w:val="-4"/>
                <w:sz w:val="24"/>
              </w:rPr>
              <w:t xml:space="preserve">元/例</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49"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18</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95" w:firstLine="0"/>
              <w:spacing w:before="151"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“三宝、四口、五临边</w:t>
            </w:r>
            <w:r>
              <w:rPr>
                <w:rFonts w:ascii="FangSong" w:hAnsi="FangSong" w:eastAsia="FangSong" w:cs="FangSong"/>
                <w:color w:val="000000"/>
                <w:spacing w:val="-81"/>
                <w:sz w:val="24"/>
              </w:rPr>
              <w:t xml:space="preserve"> </w:t>
            </w:r>
            <w:r>
              <w:rPr>
                <w:rFonts w:ascii="FangSong" w:hAnsi="FangSong" w:eastAsia="FangSong" w:cs="FangSong"/>
                <w:color w:val="000000"/>
                <w:spacing w:val="-4"/>
                <w:sz w:val="24"/>
              </w:rPr>
              <w:t xml:space="preserve">”防护措施不到位的, 未设安</w:t>
            </w:r>
            <w:r>
              <w:rPr>
                <w:rFonts w:ascii="FangSong" w:hAnsi="FangSong" w:eastAsia="FangSong" w:cs="FangSong"/>
                <w:color w:val="000000"/>
                <w:spacing w:val="-1"/>
                <w:sz w:val="24"/>
              </w:rPr>
              <w:t xml:space="preserve">全通道或安全通道不畅通</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6"/>
                <w:sz w:val="24"/>
              </w:rPr>
              <w:t xml:space="preserve">1000</w:t>
            </w:r>
            <w:r>
              <w:rPr>
                <w:rFonts w:ascii="FangSong" w:hAnsi="FangSong" w:eastAsia="FangSong" w:cs="FangSong"/>
                <w:color w:val="000000"/>
                <w:spacing w:val="-47"/>
                <w:sz w:val="24"/>
              </w:rPr>
              <w:t xml:space="preserve"> </w:t>
            </w:r>
            <w:r>
              <w:rPr>
                <w:rFonts w:ascii="FangSong" w:hAnsi="FangSong" w:eastAsia="FangSong" w:cs="FangSong"/>
                <w:color w:val="000000"/>
                <w:spacing w:val="-6"/>
                <w:sz w:val="24"/>
              </w:rPr>
              <w:t xml:space="preserve">元/例</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4"/>
                <w:sz w:val="24"/>
              </w:rPr>
              <w:t xml:space="preserve">19</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现场临时用电未按方案及相关规范标准施工的</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1"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2000</w:t>
            </w:r>
            <w:r>
              <w:rPr>
                <w:rFonts w:ascii="FangSong" w:hAnsi="FangSong" w:eastAsia="FangSong" w:cs="FangSong"/>
                <w:color w:val="000000"/>
                <w:spacing w:val="-46"/>
                <w:sz w:val="24"/>
              </w:rPr>
              <w:t xml:space="preserve"> </w:t>
            </w:r>
            <w:r>
              <w:rPr>
                <w:rFonts w:ascii="FangSong" w:hAnsi="FangSong" w:eastAsia="FangSong" w:cs="FangSong"/>
                <w:color w:val="000000"/>
                <w:spacing w:val="-4"/>
                <w:sz w:val="24"/>
              </w:rPr>
              <w:t xml:space="preserve">元/例</w:t>
            </w:r>
            <w:r/>
          </w:p>
        </w:tc>
      </w:tr>
      <w:tr>
        <w:trPr>
          <w:trHeight w:val="891"/>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200" w:after="200" w:line="68"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20</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95" w:firstLine="0"/>
              <w:spacing w:before="148" w:after="200" w:line="77"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施工用电未实行“三级配电二级保护</w:t>
            </w:r>
            <w:r>
              <w:rPr>
                <w:rFonts w:ascii="FangSong" w:hAnsi="FangSong" w:eastAsia="FangSong" w:cs="FangSong"/>
                <w:color w:val="000000"/>
                <w:spacing w:val="-88"/>
                <w:sz w:val="24"/>
              </w:rPr>
              <w:t xml:space="preserve"> </w:t>
            </w:r>
            <w:r>
              <w:rPr>
                <w:rFonts w:ascii="FangSong" w:hAnsi="FangSong" w:eastAsia="FangSong" w:cs="FangSong"/>
                <w:color w:val="000000"/>
                <w:spacing w:val="-4"/>
                <w:sz w:val="24"/>
              </w:rPr>
              <w:t xml:space="preserve">”, 配</w:t>
            </w:r>
            <w:r>
              <w:rPr>
                <w:rFonts w:ascii="FangSong" w:hAnsi="FangSong" w:eastAsia="FangSong" w:cs="FangSong"/>
                <w:color w:val="000000"/>
                <w:spacing w:val="-5"/>
                <w:sz w:val="24"/>
              </w:rPr>
              <w:t xml:space="preserve">电箱及金</w:t>
            </w:r>
            <w:r>
              <w:rPr>
                <w:rFonts w:ascii="FangSong" w:hAnsi="FangSong" w:eastAsia="FangSong" w:cs="FangSong"/>
                <w:color w:val="000000"/>
                <w:spacing w:val="-1"/>
                <w:sz w:val="24"/>
              </w:rPr>
              <w:t xml:space="preserve">属外壳用电设备未有效接地, 未按</w:t>
            </w:r>
            <w:r>
              <w:rPr>
                <w:rFonts w:ascii="FangSong" w:hAnsi="FangSong" w:eastAsia="FangSong" w:cs="FangSong"/>
                <w:color w:val="000000"/>
                <w:spacing w:val="-53"/>
                <w:sz w:val="24"/>
              </w:rPr>
              <w:t xml:space="preserve"> </w:t>
            </w:r>
            <w:r>
              <w:rPr>
                <w:rFonts w:ascii="FangSong" w:hAnsi="FangSong" w:eastAsia="FangSong" w:cs="FangSong"/>
                <w:color w:val="000000"/>
                <w:spacing w:val="-1"/>
                <w:sz w:val="24"/>
              </w:rPr>
              <w:t xml:space="preserve">TN-S</w:t>
            </w:r>
            <w:r>
              <w:rPr>
                <w:rFonts w:ascii="FangSong" w:hAnsi="FangSong" w:eastAsia="FangSong" w:cs="FangSong"/>
                <w:color w:val="000000"/>
                <w:spacing w:val="-46"/>
                <w:sz w:val="24"/>
              </w:rPr>
              <w:t xml:space="preserve"> </w:t>
            </w:r>
            <w:r>
              <w:rPr>
                <w:rFonts w:ascii="FangSong" w:hAnsi="FangSong" w:eastAsia="FangSong" w:cs="FangSong"/>
                <w:color w:val="000000"/>
                <w:spacing w:val="-2"/>
                <w:sz w:val="24"/>
              </w:rPr>
              <w:t xml:space="preserve">系统要求配</w:t>
            </w:r>
            <w:r>
              <w:rPr>
                <w:rFonts w:ascii="FangSong" w:hAnsi="FangSong" w:eastAsia="FangSong" w:cs="FangSong"/>
                <w:color w:val="000000"/>
                <w:spacing w:val="-3"/>
                <w:sz w:val="24"/>
              </w:rPr>
              <w:t xml:space="preserve">备五芯、四芯三芯电缆, 配电箱漏保未定期进行试跳</w:t>
            </w:r>
            <w:r>
              <w:rPr>
                <w:rFonts w:ascii="FangSong" w:hAnsi="FangSong" w:eastAsia="FangSong" w:cs="FangSong"/>
                <w:color w:val="000000"/>
                <w:spacing w:val="-1"/>
                <w:sz w:val="24"/>
              </w:rPr>
              <w:t xml:space="preserve">试验并及时记录, 施工现场未配置完好可用的消防</w:t>
            </w:r>
            <w:r>
              <w:rPr>
                <w:rFonts w:ascii="FangSong" w:hAnsi="FangSong" w:eastAsia="FangSong" w:cs="FangSong"/>
                <w:color w:val="000000"/>
                <w:spacing w:val="-8"/>
                <w:sz w:val="24"/>
              </w:rPr>
              <w:t xml:space="preserve">器材, 现场用电设备未做到“一机一闸</w:t>
            </w:r>
            <w:r>
              <w:rPr>
                <w:rFonts w:ascii="FangSong" w:hAnsi="FangSong" w:eastAsia="FangSong" w:cs="FangSong"/>
                <w:color w:val="000000"/>
                <w:spacing w:val="-9"/>
                <w:sz w:val="24"/>
              </w:rPr>
              <w:t xml:space="preserve">一保护</w:t>
            </w:r>
            <w:r>
              <w:rPr>
                <w:rFonts w:ascii="FangSong" w:hAnsi="FangSong" w:eastAsia="FangSong" w:cs="FangSong"/>
                <w:color w:val="000000"/>
                <w:spacing w:val="-88"/>
                <w:sz w:val="24"/>
              </w:rPr>
              <w:t xml:space="preserve"> </w:t>
            </w:r>
            <w:r>
              <w:rPr>
                <w:rFonts w:ascii="FangSong" w:hAnsi="FangSong" w:eastAsia="FangSong" w:cs="FangSong"/>
                <w:color w:val="000000"/>
                <w:spacing w:val="-9"/>
                <w:sz w:val="24"/>
              </w:rPr>
              <w:t xml:space="preserve">”, 现</w:t>
            </w:r>
            <w:r>
              <w:rPr>
                <w:rFonts w:ascii="FangSong" w:hAnsi="FangSong" w:eastAsia="FangSong" w:cs="FangSong"/>
                <w:color w:val="000000"/>
                <w:spacing w:val="-3"/>
                <w:sz w:val="24"/>
              </w:rPr>
              <w:t xml:space="preserve">场电缆残损、乱接,在木料等易燃易爆物堆放场地进行明火作业,安装、维修、拆除临时用电设施未由电</w:t>
            </w:r>
            <w:r>
              <w:rPr>
                <w:rFonts w:ascii="FangSong" w:hAnsi="FangSong" w:eastAsia="FangSong" w:cs="FangSong"/>
                <w:color w:val="000000"/>
                <w:spacing w:val="-1"/>
                <w:sz w:val="24"/>
              </w:rPr>
              <w:t xml:space="preserve">工完成,总电箱、移动电箱无门、锁, 气瓶无回火防止器和安全阀, 使用时气瓶安全距离小于</w:t>
            </w:r>
            <w:r>
              <w:rPr>
                <w:rFonts w:ascii="FangSong" w:hAnsi="FangSong" w:eastAsia="FangSong" w:cs="FangSong"/>
                <w:color w:val="000000"/>
                <w:spacing w:val="-46"/>
                <w:sz w:val="24"/>
              </w:rPr>
              <w:t xml:space="preserve"> </w:t>
            </w:r>
            <w:r>
              <w:rPr>
                <w:rFonts w:ascii="FangSong" w:hAnsi="FangSong" w:eastAsia="FangSong" w:cs="FangSong"/>
                <w:color w:val="000000"/>
                <w:spacing w:val="-2"/>
                <w:sz w:val="24"/>
              </w:rPr>
              <w:t xml:space="preserve">5</w:t>
            </w:r>
            <w:r>
              <w:rPr>
                <w:rFonts w:ascii="FangSong" w:hAnsi="FangSong" w:eastAsia="FangSong" w:cs="FangSong"/>
                <w:color w:val="000000"/>
                <w:spacing w:val="-51"/>
                <w:sz w:val="24"/>
              </w:rPr>
              <w:t xml:space="preserve"> </w:t>
            </w:r>
            <w:r>
              <w:rPr>
                <w:rFonts w:ascii="FangSong" w:hAnsi="FangSong" w:eastAsia="FangSong" w:cs="FangSong"/>
                <w:color w:val="000000"/>
                <w:spacing w:val="-2"/>
                <w:sz w:val="24"/>
              </w:rPr>
              <w:t xml:space="preserve">米</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200" w:after="200" w:line="61"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1"/>
              </w:rPr>
              <w:t xml:space="preserve"> </w:t>
            </w:r>
            <w:r/>
          </w:p>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200</w:t>
            </w:r>
            <w:r>
              <w:rPr>
                <w:rFonts w:ascii="FangSong" w:hAnsi="FangSong" w:eastAsia="FangSong" w:cs="FangSong"/>
                <w:color w:val="000000"/>
                <w:spacing w:val="-49"/>
                <w:sz w:val="24"/>
              </w:rPr>
              <w:t xml:space="preserve">0</w:t>
            </w:r>
            <w:r>
              <w:rPr>
                <w:rFonts w:ascii="FangSong" w:hAnsi="FangSong" w:eastAsia="FangSong" w:cs="FangSong"/>
                <w:color w:val="000000"/>
                <w:spacing w:val="-4"/>
                <w:sz w:val="24"/>
              </w:rPr>
              <w:t xml:space="preserve">元/例</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151"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21</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212" w:firstLine="0"/>
              <w:spacing w:before="153"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承包商虚报、乱报签证费用及进度款，经监理审核，</w:t>
            </w:r>
            <w:r>
              <w:rPr>
                <w:rFonts w:ascii="FangSong" w:hAnsi="FangSong" w:eastAsia="FangSong" w:cs="FangSong"/>
                <w:color w:val="000000"/>
                <w:spacing w:val="-5"/>
                <w:sz w:val="24"/>
              </w:rPr>
              <w:t xml:space="preserve">核减超过</w:t>
            </w:r>
            <w:r>
              <w:rPr>
                <w:rFonts w:ascii="FangSong" w:hAnsi="FangSong" w:eastAsia="FangSong" w:cs="FangSong"/>
                <w:color w:val="000000"/>
                <w:spacing w:val="-29"/>
                <w:sz w:val="24"/>
              </w:rPr>
              <w:t xml:space="preserve"> </w:t>
            </w:r>
            <w:r>
              <w:rPr>
                <w:rFonts w:ascii="FangSong" w:hAnsi="FangSong" w:eastAsia="FangSong" w:cs="FangSong"/>
                <w:color w:val="000000"/>
                <w:spacing w:val="-5"/>
                <w:sz w:val="24"/>
              </w:rPr>
              <w:t xml:space="preserve">10%部分</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102" w:firstLine="0"/>
              <w:jc w:val="center"/>
              <w:spacing w:before="153" w:after="200" w:line="6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3"/>
                <w:sz w:val="24"/>
              </w:rPr>
              <w:t xml:space="preserve">按核减额的5%</w:t>
            </w:r>
            <w:r>
              <w:rPr>
                <w:rFonts w:ascii="FangSong" w:hAnsi="FangSong" w:eastAsia="FangSong" w:cs="FangSong"/>
                <w:color w:val="000000"/>
                <w:spacing w:val="2"/>
                <w:sz w:val="24"/>
              </w:rPr>
              <w:t xml:space="preserve"> </w:t>
            </w:r>
            <w:r>
              <w:rPr>
                <w:rFonts w:ascii="FangSong" w:hAnsi="FangSong" w:eastAsia="FangSong" w:cs="FangSong"/>
                <w:color w:val="000000"/>
                <w:spacing w:val="-10"/>
                <w:sz w:val="24"/>
              </w:rPr>
              <w:t xml:space="preserve">罚款</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22</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155"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未及时上报周、月进度计划、总进度计划</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0" w:firstLine="0"/>
              <w:jc w:val="center"/>
              <w:spacing w:before="155"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4"/>
                <w:sz w:val="24"/>
              </w:rPr>
              <w:t xml:space="preserve">5000</w:t>
            </w:r>
            <w:r>
              <w:rPr>
                <w:rFonts w:ascii="FangSong" w:hAnsi="FangSong" w:eastAsia="FangSong" w:cs="FangSong"/>
                <w:color w:val="000000"/>
                <w:spacing w:val="-49"/>
                <w:sz w:val="24"/>
              </w:rPr>
              <w:t xml:space="preserve"> </w:t>
            </w:r>
            <w:r>
              <w:rPr>
                <w:rFonts w:ascii="FangSong" w:hAnsi="FangSong" w:eastAsia="FangSong" w:cs="FangSong"/>
                <w:color w:val="000000"/>
                <w:spacing w:val="-4"/>
                <w:sz w:val="24"/>
              </w:rPr>
              <w:t xml:space="preserve">元/例</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7"/>
                <w:sz w:val="24"/>
              </w:rPr>
              <w:t xml:space="preserve">23</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对施工重要节点进行考核，实际完成量落后进度计划</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137" w:firstLine="0"/>
              <w:jc w:val="center"/>
              <w:spacing w:before="156" w:after="20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8"/>
                <w:sz w:val="24"/>
              </w:rPr>
              <w:t xml:space="preserve">罚款</w:t>
            </w:r>
            <w:r>
              <w:rPr>
                <w:rFonts w:ascii="FangSong" w:hAnsi="FangSong" w:eastAsia="FangSong" w:cs="FangSong"/>
                <w:color w:val="000000"/>
                <w:spacing w:val="-28"/>
                <w:sz w:val="24"/>
              </w:rPr>
              <w:t xml:space="preserve"> </w:t>
            </w:r>
            <w:r>
              <w:rPr>
                <w:rFonts w:ascii="FangSong" w:hAnsi="FangSong" w:eastAsia="FangSong" w:cs="FangSong"/>
                <w:color w:val="000000"/>
                <w:spacing w:val="-8"/>
                <w:sz w:val="24"/>
              </w:rPr>
              <w:t xml:space="preserve">5000</w:t>
            </w:r>
            <w:r>
              <w:rPr>
                <w:rFonts w:ascii="FangSong" w:hAnsi="FangSong" w:eastAsia="FangSong" w:cs="FangSong"/>
                <w:color w:val="000000"/>
                <w:spacing w:val="-49"/>
                <w:sz w:val="24"/>
              </w:rPr>
              <w:t xml:space="preserve"> </w:t>
            </w:r>
            <w:r>
              <w:rPr>
                <w:rFonts w:ascii="FangSong" w:hAnsi="FangSong" w:eastAsia="FangSong" w:cs="FangSong"/>
                <w:color w:val="000000"/>
                <w:spacing w:val="-8"/>
                <w:sz w:val="24"/>
              </w:rPr>
              <w:t xml:space="preserve">元/</w:t>
            </w:r>
            <w:r>
              <w:rPr>
                <w:rFonts w:ascii="FangSong" w:hAnsi="FangSong" w:eastAsia="FangSong" w:cs="FangSong"/>
                <w:color w:val="000000"/>
                <w:sz w:val="24"/>
              </w:rPr>
              <w:t xml:space="preserve"> 天</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24</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主要负责人未参加工地例行会议及迟到</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257" w:firstLine="0"/>
              <w:jc w:val="center"/>
              <w:spacing w:before="167" w:after="200" w:line="66"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罚款</w:t>
            </w:r>
            <w:r>
              <w:rPr>
                <w:rFonts w:ascii="FangSong" w:hAnsi="FangSong" w:eastAsia="FangSong" w:cs="FangSong"/>
                <w:color w:val="000000"/>
                <w:spacing w:val="-43"/>
                <w:sz w:val="24"/>
              </w:rPr>
              <w:t xml:space="preserve"> </w:t>
            </w:r>
            <w:r>
              <w:rPr>
                <w:rFonts w:ascii="FangSong" w:hAnsi="FangSong" w:eastAsia="FangSong" w:cs="FangSong"/>
                <w:color w:val="000000"/>
                <w:spacing w:val="-7"/>
                <w:sz w:val="24"/>
              </w:rPr>
              <w:t xml:space="preserve">5000</w:t>
            </w:r>
            <w:r>
              <w:rPr>
                <w:rFonts w:ascii="FangSong" w:hAnsi="FangSong" w:eastAsia="FangSong" w:cs="FangSong"/>
                <w:color w:val="000000"/>
                <w:spacing w:val="-49"/>
                <w:sz w:val="24"/>
              </w:rPr>
              <w:t xml:space="preserve"> </w:t>
            </w:r>
            <w:r>
              <w:rPr>
                <w:rFonts w:ascii="FangSong" w:hAnsi="FangSong" w:eastAsia="FangSong" w:cs="FangSong"/>
                <w:color w:val="000000"/>
                <w:spacing w:val="-7"/>
                <w:sz w:val="24"/>
              </w:rPr>
              <w:t xml:space="preserve">元/</w:t>
            </w:r>
            <w:r>
              <w:rPr>
                <w:rFonts w:ascii="FangSong" w:hAnsi="FangSong" w:eastAsia="FangSong" w:cs="FangSong"/>
                <w:color w:val="000000"/>
                <w:sz w:val="24"/>
              </w:rPr>
              <w:t xml:space="preserve"> 次</w:t>
            </w:r>
            <w:r/>
          </w:p>
        </w:tc>
      </w:tr>
      <w:tr>
        <w:trPr>
          <w:trHeight w:val="891"/>
        </w:trPr>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145" w:type="dxa"/>
            <w:vAlign w:val="center"/>
            <w:textDirection w:val="lrTb"/>
            <w:noWrap w:val="false"/>
          </w:tcPr>
          <w:p>
            <w:pPr>
              <w:ind w:left="0" w:right="0" w:firstLine="0"/>
              <w:jc w:val="center"/>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7"/>
                <w:sz w:val="24"/>
              </w:rPr>
              <w:t xml:space="preserve">25</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348" w:type="dxa"/>
            <w:vAlign w:val="center"/>
            <w:textDirection w:val="lrTb"/>
            <w:noWrap w:val="false"/>
          </w:tcPr>
          <w:p>
            <w:pPr>
              <w:ind w:left="0" w:right="0" w:firstLine="0"/>
              <w:spacing w:before="78" w:after="2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1"/>
                <w:sz w:val="24"/>
              </w:rPr>
              <w:t xml:space="preserve">其他违反规范强制性条款情况</w:t>
            </w:r>
            <w:r/>
          </w:p>
        </w:tc>
        <w:tc>
          <w:tcPr>
            <w:shd w:val="clear" w:color="ffffff" w:fill="ffffff"/>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861" w:type="dxa"/>
            <w:vAlign w:val="center"/>
            <w:textDirection w:val="lrTb"/>
            <w:noWrap w:val="false"/>
          </w:tcPr>
          <w:p>
            <w:pPr>
              <w:ind w:left="0" w:right="197" w:firstLine="0"/>
              <w:jc w:val="center"/>
              <w:spacing w:before="149" w:after="200" w:line="7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4"/>
              </w:rPr>
              <w:t xml:space="preserve">视影响罚款</w:t>
            </w:r>
            <w:r>
              <w:rPr>
                <w:rFonts w:ascii="FangSong" w:hAnsi="FangSong" w:eastAsia="FangSong" w:cs="FangSong"/>
                <w:color w:val="000000"/>
                <w:sz w:val="24"/>
              </w:rPr>
              <w:t xml:space="preserve">  </w:t>
            </w:r>
            <w:r>
              <w:rPr>
                <w:rFonts w:ascii="FangSong" w:hAnsi="FangSong" w:eastAsia="FangSong" w:cs="FangSong"/>
                <w:color w:val="000000"/>
                <w:spacing w:val="-3"/>
                <w:sz w:val="24"/>
              </w:rPr>
              <w:t xml:space="preserve">1000-5000</w:t>
            </w:r>
            <w:r>
              <w:rPr>
                <w:rFonts w:ascii="FangSong" w:hAnsi="FangSong" w:eastAsia="FangSong" w:cs="FangSong"/>
                <w:color w:val="000000"/>
                <w:spacing w:val="-47"/>
                <w:sz w:val="24"/>
              </w:rPr>
              <w:t xml:space="preserve"> </w:t>
            </w:r>
            <w:r>
              <w:rPr>
                <w:rFonts w:ascii="FangSong" w:hAnsi="FangSong" w:eastAsia="FangSong" w:cs="FangSong"/>
                <w:color w:val="000000"/>
                <w:spacing w:val="-3"/>
                <w:sz w:val="24"/>
              </w:rPr>
              <w:t xml:space="preserve">元/</w:t>
            </w:r>
            <w:r>
              <w:rPr>
                <w:rFonts w:ascii="FangSong" w:hAnsi="FangSong" w:eastAsia="FangSong" w:cs="FangSong"/>
                <w:color w:val="000000"/>
                <w:sz w:val="24"/>
              </w:rPr>
              <w:t xml:space="preserve"> 次</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十四、供应商合法权益补偿机制</w:t>
      </w:r>
      <w:r/>
    </w:p>
    <w:p>
      <w:pPr>
        <w:ind w:left="0" w:right="0" w:firstLine="480"/>
        <w:spacing w:before="240" w:after="24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供应商合法权益补偿救济机制。在履约过程因政策变化、规划调整而无法履行合同约定，造成企业合法权益受损的，采购人依据实际情况对供应商进行补偿救济。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十五、不可抗力事件处理</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15.1 </w:t>
      </w:r>
      <w:r>
        <w:rPr>
          <w:rFonts w:ascii="SimSun" w:hAnsi="SimSun" w:eastAsia="SimSun" w:cs="SimSun"/>
          <w:color w:val="000000"/>
          <w:sz w:val="24"/>
        </w:rPr>
        <w:t xml:space="preserve">在合同有效期内，任何一方因不可抗力事件导致不能履行合同，则合同履行期可</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延长，其延长期与不可抗力影响期相同。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15.2 </w:t>
      </w:r>
      <w:r>
        <w:rPr>
          <w:rFonts w:ascii="SimSun" w:hAnsi="SimSun" w:eastAsia="SimSun" w:cs="SimSun"/>
          <w:color w:val="000000"/>
          <w:sz w:val="24"/>
        </w:rPr>
        <w:t xml:space="preserve">不可抗力事件发生后，应立即通知对方，并寄送有关权威机构出具的证明。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15.3 </w:t>
      </w:r>
      <w:r>
        <w:rPr>
          <w:rFonts w:ascii="SimSun" w:hAnsi="SimSun" w:eastAsia="SimSun" w:cs="SimSun"/>
          <w:color w:val="000000"/>
          <w:sz w:val="24"/>
        </w:rPr>
        <w:t xml:space="preserve">不可抗力事件延续</w:t>
      </w:r>
      <w:r>
        <w:rPr>
          <w:rFonts w:ascii="Times New Roman" w:hAnsi="Times New Roman" w:eastAsia="Times New Roman" w:cs="Times New Roman"/>
          <w:color w:val="000000"/>
          <w:sz w:val="24"/>
        </w:rPr>
        <w:t xml:space="preserve">120</w:t>
      </w:r>
      <w:r>
        <w:rPr>
          <w:rFonts w:ascii="SimSun" w:hAnsi="SimSun" w:eastAsia="SimSun" w:cs="SimSun"/>
          <w:color w:val="000000"/>
          <w:sz w:val="24"/>
        </w:rPr>
        <w:t xml:space="preserve">天以上，双方应通过友好协商，确定是否继续履行合同。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十六、解决争议的方法</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16.1</w:t>
      </w:r>
      <w:r>
        <w:rPr>
          <w:rFonts w:ascii="SimSun" w:hAnsi="SimSun" w:eastAsia="SimSun" w:cs="SimSun"/>
          <w:color w:val="000000"/>
          <w:sz w:val="24"/>
        </w:rPr>
        <w:t xml:space="preserve">甲乙双方因合同签订、履行而发生的一切争议，应通过友好协商解决。如协商不</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成由甲方住所地人民法院管辖。</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十七、合同生效及其它</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17.1 </w:t>
      </w:r>
      <w:r>
        <w:rPr>
          <w:rFonts w:ascii="SimSun" w:hAnsi="SimSun" w:eastAsia="SimSun" w:cs="SimSun"/>
          <w:color w:val="000000"/>
          <w:sz w:val="24"/>
        </w:rPr>
        <w:t xml:space="preserve">合同经双方法定代表人或授权委托代表人签字并加盖单位公章后生效。</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17.2 </w:t>
      </w:r>
      <w:r>
        <w:rPr>
          <w:rFonts w:ascii="SimSun" w:hAnsi="SimSun" w:eastAsia="SimSun" w:cs="SimSun"/>
          <w:color w:val="000000"/>
          <w:sz w:val="24"/>
        </w:rPr>
        <w:t xml:space="preserve">本合同未尽事宜，遵照中华人民共和国现行法律法规有关条文执行。</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17.3 </w:t>
      </w:r>
      <w:r>
        <w:rPr>
          <w:rFonts w:ascii="SimSun" w:hAnsi="SimSun" w:eastAsia="SimSun" w:cs="SimSun"/>
          <w:color w:val="000000"/>
          <w:sz w:val="24"/>
        </w:rPr>
        <w:t xml:space="preserve">本合同正本一式六份，具有同等法律效力，甲方、乙方各执三份。</w:t>
      </w:r>
      <w:r/>
    </w:p>
    <w:p>
      <w:pPr>
        <w:ind w:left="0" w:right="0" w:firstLine="24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甲方：乙方：</w:t>
      </w: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地址： 地址：</w:t>
      </w:r>
      <w:r>
        <w:rPr>
          <w:rFonts w:ascii="Times New Roman" w:hAnsi="Times New Roman" w:eastAsia="Times New Roman" w:cs="Times New Roman"/>
          <w:color w:val="000000"/>
          <w:sz w:val="24"/>
        </w:rPr>
        <w:t xml:space="preserve"> </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法定代表人或授权代表：法定代表人或授权代表：</w:t>
      </w:r>
      <w:r/>
    </w:p>
    <w:p>
      <w:pPr>
        <w:ind w:left="0" w:right="0" w:firstLine="468"/>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联系电话：联系电话：</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rPr>
          <w:rFonts w:ascii="SimSun" w:hAnsi="SimSun" w:eastAsia="SimSun" w:cs="SimSu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签订日期：年月日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 </w:t>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Hei" w:hAnsi="SimHei" w:eastAsia="SimHei" w:cs="SimHei"/>
          <w:color w:val="000000"/>
          <w:sz w:val="44"/>
        </w:rPr>
        <w:t xml:space="preserve">第四章 采购需求</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项目属性：货物类项目</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 工业（制造业）</w:t>
      </w:r>
      <w:r/>
    </w:p>
    <w:p>
      <w:pPr>
        <w:ind w:left="0" w:right="0" w:firstLine="48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本项目不接受进口产品。</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一、项目概况</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宿迁大道(迎宾大道至杨舍路) 快速化改造工程监控采购项目。</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实施地点：宿迁大道(迎宾大道至杨舍路)</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售后服务期限：三年（自验收合格之日起计算）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要求：产品必须是全新、未使用过的原装合格正品，完全符合招标文件规定的质量、规格和性能的要求，达到国家或行业规定的标准，实行生产许可证制度的，应提供生产许可证；属于国家强制认证的产品，必须通过认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供应商应当根据拟安装点位清单，开展现场勘查，仔细勘察点位设备的分配布置、杆件和基础、通网供电等，安装调试联网后图像质量满足国家相关标准和交警应用考核指标。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供应商在制作投标文件时仔细研究项目需求说明。项目需求包括技术要求和商务要求：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（一）技术要求是指对采购标的功能和质量要求，包括性能、材料、结构、外观、安全，包括服务内容和标准等。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（二）商务要求是指取得采购标的的时间、地点和服务要求，包括交付（实施）的时间（期限）和地点（范围），付款条件（进度和方法），包装和运输，售后服务，保险等。</w:t>
      </w:r>
      <w:r/>
    </w:p>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二、采购清单及技术参数要求：详见附件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其中分包一、二、三核心产品：全彩全景一体机</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分包四核心产品：LOT-视频云存储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三、项目实施要求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1、投标人应在投标文件中提供完备的项目实施方案，包括质量保证方案、进度安排、配送方案、现场管理、安装方案和突发事件处置方案等。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2、质量保障措施要求：投标人应在投标文件中提出详细的产品生产质量管理计划，计划应包含生产车间安全管理、质量控制措施、出厂检验标准以及测试程序。</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3、进度安排要求：投标文件中需包含一份详尽的项目进度计划，有明确的时间节点和进度安排，展示项目各阶段的起止时间、关键过程等，且要充分考虑暑期暴雨及酷暑影响，避免影响工期。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现场管理要求：描述现场管理策略，包括安全生产措施、环境保护措施以及日常现场管理流程等，以及现场安装人员管理要求，进校施工的人员必须严格遵守学院规章制度，自觉接受检查，无证人员一律不得进入安装现场，在规定的区域施工，未经批准不得进入其他区域。</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突发事件处置要求：投标人应充分考虑履约过程可能遇到的各种突发情况，有针对性的制订预防措施，需在投标文件中进行注意阐述，并建立一个明确的沟通框架，包括定期回访、问题解决机制及变更管理流程。</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配送要求：a.中标投标人在设备出厂前，应提供明细的设备清单交由采购人进行确认，包含设备名称、详细规格、材质、颜色等内容，由采购人确认后，方可进行供货；b.产品必须是正规厂家新品，不得以次充好；c. 中标人负责货物的包装、保险、运输至业主指定的交货地点。零散及易损件需用木箱包装，确保防盗、防震、防潮、防破损、运输方式确定，并且由于运输造成的设备损坏，丢失均由中标人负责处理；d. 中标人负责货物装卸车、就位、组装、调试等工作，保证交给采购人货物的完好性。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7、安全及环境保护要求：加强安全管理，对现场安全负完全责任；负责送货、安装、调试现场安全管理、环境保护管理，项目实施过程中产生的包装等废弃垃圾搬运至招标人指定地点并清扫现场。</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四、项目组成员</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针对本项目组建不少于10人的专业团队，包含项目负责人1名，技术负责人1名。项目负责人负责项目的整体规划、进度和质量控制，协调各个部门和团队成员之间的工作，确保项目顺利进行。沟通项目进展情况，及时向领导和客户汇报。项目团队应结合招标需求，因地制宜的制定项目实施计划，保证计划的科学性和可落地的要求，按计划推进安装、调试、试运行等工作。</w:t>
      </w:r>
      <w:r/>
    </w:p>
    <w:p>
      <w:pPr>
        <w:ind w:left="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五、验收要求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发货前，乙方应对该批次货物的质量、规格、性能、数量或重量等进行准确而全面的检验，并出具一份证明货物符合合同规定的检验合格证书，但该证书不应视为最终检验。检验的结果和细节应附在检验证书后面。</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2、货物交付后，在安装前应仔细检查货物自身无缺陷后方可安装，如果存在货物破损、自身材质、规格等质量缺陷，甲方有权要求将货物退场，由此引起的一切后果由乙方承担。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货物进场后乙方继续负责对货物的看管工作，如因看管不善所造成的一切损失均由乙方承担；货物进场后乙方应准备好相关初步验收资料，验收内容包括：产地、货号、规格、数量、外观质量、及货物包装是否完好。甲方应按签订采购合同约定时间组织验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货物全部进场安装调试，并提供相关初步验收资料后，甲方组织验收并出具验收报告。如果货物的质量、规格与合同规定不符，或在质量保证期内发现货物是有缺陷的（包括潜在缺陷或使用不符合要求的材料），甲方应报请法定检验机构进行检测（检测费由乙方承担），有权凭其出具的检验报告向乙方提出索赔。</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5、中标人的投标实物样品在采购招标活动结束后将由采购人封存，以供批量到货验收时比对或检测选择使用。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6、采购人有权请检测机构相关专家和采购人单位代表在生产前随时到生产现场，查看所有制作材料的型号和进货清单等书面材料及原始凭证，中标投标人承担有可能产生的材料品牌检测费。</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7、项目安装调试完毕后，乙方向甲方提交项目验收技术资料以及验收申请单，甲方收到申请后3个工作日内组织验收并按照合同约定以及响应文件中的产品技术标准进行验收无问题后签署验收单。</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8、甲方在验收中，如发现有与合同规定不符的，应在1日历天内向乙方提出书面意见，不签发验收单。乙方在接到甲方书面意见后，应在1日历天内予以处理。整改完毕后向甲方申请重新组织验收。</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六、其他要求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1、投标人所投设备货物的技术参数不得低于本项目的采购需求技术要求和档次。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必须提供符合国家质量检测标准的全新、未使用过的货物(包括所有零配件、专用工具等)，表面无划伤，无碰撞，无任何缺陷隐患，在中国境内可依常规安全合法使用，并附有原始厂商的装箱单、完整的技术资料及相应的中文说明等相关资料，必须提供设备的供货配置清单。若中标货物质量不符合采购文件要求，采购人有权拒收货物。投标人在交货时必需提供主要产品生产厂家供货证明书。投标人货物若与标书上列明的货物型号、技术指标等不相符，有造假现象的，一经查出，将终止合同，并承担由此给采购人带来的损失。</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3、提供技术文件要求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3.1中标人所提供的技术说明文件应与货物相对应一致，并尽可能完整清晰，且应为原件。合同技术文件应与每批货物共同包装送交，费用应包含于货物的报价中。</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3.2货物的技术说明文件应为中文。文字应简单易懂。硬件的技术文件应附详尽图表以便安装和纠错指导。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3.3技术手册应至少包括如下内容：相关硬件的安装指导、安装手册、使用说明书、设备保养、维护手册(包含错误诊断、测试程序)等；相关软件的安装指导。</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4、所报货物存在偏差的必须如实填写，否则可能导致废标。</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5、中标人在签订合同时，若坚持提出不合理要求，中标资格将被取消，该中标人对由此产生的一切后果负责。</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中标人按采购人要求负责本项目及其他项目的联调联试工作，包括但不限于设备调试、验收工作，接受采购人拟定的牵头人牵头完成整个项目的交付，满足采购人使用要求（投标时提供加盖本单位公章的承诺函电子件，格式见“投标文件”承诺函）。</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七、项目实施方案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1.项目供货方案、实施计划、质量保证</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本项目实施方案从进度计划安排及管理、人员素质、供货及安装、质量保证措施等方面进行详细描述。方案应结构严谨，内容完整详实，能够针对采购项目内容要求而细化制定，项目管理运行机制健全，供货及安装及时到位，人员配备力量充足且经验丰富，整个方案语言表述准确清晰。</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2.培训方案</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针对本项目制定的培训计划进行详细描述，含培训方案合理程度，完整性、灵活性及培训人数、时间的安排等、技术培训方案等内容。方案应详细、完整、便于实施；培训人员应专业且经验丰富、时间安排合理。</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中标人除提供所供全部设备的安装调试服务外，还需有完善的培训服务体系，保证使用方能掌握设备的正常使用及日常维护工作。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2.1培训内容：中标人应在软件及硬件方面为采购人的技术人员开设培训课程，使其能够掌握系统的运行、检查、维护工作。</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2.2培训时间及人数：每年度提供2次由培训服务，每次培训不低于 10 人次，每次不少于4小时。</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2.3培训地点：由采购人指定，包括但不限于使用单位内。</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2.4培训方法及目标：中标人要详细制定详细的培训计划。要求根据用户的实际工作通过分角色、分流程、分系统进行全面培训，使各岗位相关人员（设备管理员、技术人员等）全面熟练撑握与自己工作相关的软件应用，确保日常工作的顺利完成。</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2.5中标人应向接受培训人员提供技术资料、图纸、参考文献材料等。</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2.6中标人负责培训的一切费用。</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3.售后服务</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3.1中标人对所售出的产品实行三包：即产品在正常使用情况下发生质量问题时，供方应按使用方的要求，负责对产品实行包修、包换、包退。</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3.2售后服务期：3年（自验收合格之日起计算）。</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3.3服务响应：中标人需提供售后技术支持服务，运行中出现故障时，由采购人通知中标人。疑难问题（不危及运行)在24小时内答复用户。重大问题（危及运行)在2小时内到现场处理或通过网络远程处理。特大问题（系统不能正常运行)在2小时内恢复系统运行，并在24小时内派技术人员到现场解决。现场予以排除故障、修复或更换零部件，或启用替代品。如需更换设备或送修，必须在2个工作日内解决。采购人不承担所产生的任何费用。</w:t>
      </w:r>
      <w:r/>
    </w:p>
    <w:p>
      <w:pPr>
        <w:ind w:left="0" w:right="0" w:firstLine="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八、报价要求</w:t>
      </w:r>
      <w:r/>
    </w:p>
    <w:p>
      <w:pPr>
        <w:ind w:left="0" w:right="0" w:firstLine="480"/>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投标报价内容包括：货物本身、硬件附带相关软件、标准附件、备品备件、专用工具、包装、运输、装卸、保险、税金、货到就位以及安装、调试、培训、保修、验收等完成本项目所涉及到的一切相关费用。</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第五章评标方法与评标标准</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一、资格审查。</w:t>
      </w:r>
      <w:r>
        <w:rPr>
          <w:rFonts w:ascii="SimSun" w:hAnsi="SimSun" w:eastAsia="SimSun" w:cs="SimSun"/>
          <w:color w:val="000000"/>
          <w:sz w:val="24"/>
        </w:rPr>
        <w:t xml:space="preserve">资格审查人员按照下列指标对各投标人的资格进行审查，未通过审查的为无效标，不参与评标。</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7"/>
        <w:gridCol w:w="4677"/>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资格审查因素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投标声明及承诺函</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信用信息</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联合体投标</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不接受联合体投标</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二、符合性审查。</w:t>
      </w:r>
      <w:r>
        <w:rPr>
          <w:rFonts w:ascii="SimSun" w:hAnsi="SimSun" w:eastAsia="SimSun" w:cs="SimSun"/>
          <w:color w:val="000000"/>
          <w:sz w:val="24"/>
        </w:rPr>
        <w:t xml:space="preserve">评标委员会首先按照下列指标对各投标人的投标文件进行符合性审查，未通过审查的为无效标，不再参与评审。</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676"/>
        <w:gridCol w:w="4678"/>
      </w:tblGrid>
      <w:tr>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符合性审查因素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审查标准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法定代表人身份证明或授权委托书</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技术标准和要求</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6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467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符合招标文件要求</w:t>
            </w:r>
            <w:r/>
          </w:p>
        </w:tc>
      </w:tr>
    </w:tbl>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三、评分办法—综合评分法</w:t>
      </w:r>
      <w:r/>
    </w:p>
    <w:p>
      <w:pPr>
        <w:ind w:left="0" w:right="0" w:firstLine="482"/>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（一）评标办法：</w:t>
      </w:r>
      <w:r>
        <w:rPr>
          <w:rFonts w:ascii="SimSun" w:hAnsi="SimSun" w:eastAsia="SimSun" w:cs="SimSun"/>
          <w:color w:val="000000"/>
          <w:sz w:val="24"/>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评标委员会根据评审后投标人排序推荐</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名中标候选人。投标文件满足招标文件全部实质性要求，且评审后排序第一的投标人为第一中标候选人，依次类推。</w:t>
      </w:r>
      <w:r/>
    </w:p>
    <w:p>
      <w:pPr>
        <w:ind w:left="0" w:right="0" w:firstLine="48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综合评分保留至小数点后两位。</w:t>
      </w:r>
      <w:r/>
    </w:p>
    <w:p>
      <w:pPr>
        <w:ind w:left="0" w:right="0" w:firstLine="482"/>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（二）详细评审。</w:t>
      </w:r>
      <w:r>
        <w:rPr>
          <w:rFonts w:ascii="SimSun" w:hAnsi="SimSun" w:eastAsia="SimSun" w:cs="SimSun"/>
          <w:color w:val="000000"/>
          <w:sz w:val="24"/>
        </w:rPr>
        <w:t xml:space="preserve">评标委员会按照招标文件规定的评分标准，对各投标文件进行详细评审打分。评标委员会组长对各评审专家的打分情况进行复核无误后汇总，形成评审报告。</w:t>
      </w:r>
      <w:r/>
    </w:p>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分包一、二、三评审标准：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4"/>
        <w:gridCol w:w="1419"/>
        <w:gridCol w:w="903"/>
        <w:gridCol w:w="6019"/>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针对招标文件采购清单及技术要求内容（★项除外）进行评分，所投产品技术参数完全满足或优于采购文件技术参数要求的得</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分。“▲”为重点参数要求，每有一项（设备参数列每个序号后的完整内容为一“项”）不满足的扣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分；其他项为一般参数要求，每有一项（设备参数列每个序号后的完整内容为一“项”，“▲”项除外）不满足扣</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官网截图、产品彩页、说明书、厂商证明、相关照片（截图）等任意一种可以证明满足相关要求的材料。</w:t>
            </w: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01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日以来（以合同签订时间为准），具有类似业绩的（合同内容包含视频监控），每有一个得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分。注：同时提供中标（成交）通知书、合同证明材料电子件，未提供或提供不齐全不得分。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拟派项目项目负责人具有信息系统项目管理师、系统分析师的，每有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日（含）以来任意一个月的医疗保险或养老保险缴纳证明材料，未提供的不得分。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拟派项目技术负责人具有信息系统项目管理师、系统架构设计师的，每有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日（含）以来任意一个月的医疗保险或养老保险缴纳证明材料，与项目负责人不得为一人，未提供的不得分。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拟派项目组人员中（项目负责人和技术负责人除外）具有信息系统项目管理师、系统架构设计师、系统规划与管理师、系统集成项目管理工程师、网络工程师的，每有一个得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日（含）以来任意一个月的医疗保险或养老保险缴纳证明材料，同一人多个证书的不重复计分，未提供的不得分。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4"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项目实施计划方案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投标人针对招标文件“第四部分、采购需求”中“三、项目实施要求”，提供项目实施方案。优于采购需求，得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分；满足采购需求，得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分；其他情况不得分。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投标人根据招标文件“第四部分、采购需求”中“五、培训要求”制定培训方案，优于采购需求的，得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分；其他情况不得分。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9"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9"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投标人根据招标文“第四部分、采购需求”中“七、售后服务要求”，提供售后服务方案。优于采购需求，得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分；其他情况不得分。</w:t>
            </w:r>
            <w:r/>
          </w:p>
        </w:tc>
      </w:tr>
    </w:tbl>
    <w:p>
      <w:pPr>
        <w:ind w:left="0" w:right="0" w:firstLine="480"/>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分包四评审标准：</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16"/>
        <w:gridCol w:w="1417"/>
        <w:gridCol w:w="903"/>
        <w:gridCol w:w="6018"/>
      </w:tblGrid>
      <w:tr>
        <w:trPr/>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评审因素</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评审标准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投标报价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采用低价优先法计算，即满足招标文件要求且投标价格最低的投标报价为评标基准价，其价格分为满分。其他投标人投标报价得分＝（评标基准价</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投标报价）</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w:t>
            </w:r>
            <w:r/>
          </w:p>
        </w:tc>
      </w:tr>
      <w:tr>
        <w:trPr/>
        <w:tc>
          <w:tcPr>
            <w:tcBorders>
              <w:top w:val="none" w:color="000000" w:sz="4" w:space="0"/>
              <w:left w:val="single" w:color="000000" w:sz="8" w:space="0"/>
              <w:bottom w:val="none" w:color="000000" w:sz="4" w:space="0"/>
              <w:right w:val="single" w:color="000000" w:sz="8" w:space="0"/>
            </w:tcBorders>
            <w:tcMar>
              <w:left w:w="0" w:type="dxa"/>
              <w:top w:w="0" w:type="dxa"/>
              <w:right w:w="0" w:type="dxa"/>
              <w:bottom w:w="0" w:type="dxa"/>
            </w:tcMar>
            <w:tcW w:w="10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技术参数响应</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针对招标文件采购清单及技术要求内容（★项除外）进行评分，所投产品技术参数完全满足或优于采购文件技术参数要求的得</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分。“▲”为重点参数要求，每有一项（设备参数列每个序号后的完整内容为一“项”）不满足的扣</w:t>
            </w:r>
            <w:r>
              <w:rPr>
                <w:rFonts w:ascii="Times New Roman" w:hAnsi="Times New Roman" w:eastAsia="Times New Roman" w:cs="Times New Roman"/>
                <w:color w:val="000000"/>
                <w:sz w:val="21"/>
              </w:rPr>
              <w:t xml:space="preserve">0.5</w:t>
            </w:r>
            <w:r>
              <w:rPr>
                <w:rFonts w:ascii="SimSun" w:hAnsi="SimSun" w:eastAsia="SimSun" w:cs="SimSun"/>
                <w:color w:val="000000"/>
                <w:sz w:val="21"/>
              </w:rPr>
              <w:t xml:space="preserve">分；其他项为一般参数要求，每有一项（设备参数列每个序号后的完整内容为一“项”，“▲”项除外）不满足扣</w:t>
            </w:r>
            <w:r>
              <w:rPr>
                <w:rFonts w:ascii="Times New Roman" w:hAnsi="Times New Roman" w:eastAsia="Times New Roman" w:cs="Times New Roman"/>
                <w:color w:val="000000"/>
                <w:sz w:val="21"/>
              </w:rPr>
              <w:t xml:space="preserve">0.1</w:t>
            </w:r>
            <w:r>
              <w:rPr>
                <w:rFonts w:ascii="SimSun" w:hAnsi="SimSun" w:eastAsia="SimSun" w:cs="SimSun"/>
                <w:color w:val="000000"/>
                <w:sz w:val="21"/>
              </w:rPr>
              <w:t xml:space="preserve">分；扣完为止。</w:t>
            </w:r>
            <w:r/>
          </w:p>
          <w:p>
            <w:pPr>
              <w:ind w:left="0" w:right="0" w:firstLine="0"/>
              <w:jc w:val="both"/>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投标人针对本项评分内容在投标文件《技术响应偏离表》中逐条列出响应及偏离情况，采购需求中要求提供证明材料的，以证明材料为准；采购需求中未要求提供证明材料的，以《技术响应偏离表》为准。未按要求提供证明材料或未在响应偏离表中列明偏离情况的对应项按负偏离进行扣分处理。除特别说明外，证明材料可以是官网截图、产品彩页、说明书、厂商证明、相关照片（截图）等任意一种可以证明满足相关要求的材料。</w:t>
            </w:r>
            <w:r/>
          </w:p>
        </w:tc>
      </w:tr>
      <w:tr>
        <w:trPr/>
        <w:tc>
          <w:tcPr>
            <w:tcBorders>
              <w:top w:val="single" w:color="000000" w:sz="8" w:space="0"/>
              <w:left w:val="single" w:color="000000" w:sz="8" w:space="0"/>
              <w:bottom w:val="none" w:color="000000" w:sz="4" w:space="0"/>
              <w:right w:val="single" w:color="000000" w:sz="8" w:space="0"/>
            </w:tcBorders>
            <w:tcMar>
              <w:left w:w="0" w:type="dxa"/>
              <w:top w:w="0" w:type="dxa"/>
              <w:right w:w="0" w:type="dxa"/>
              <w:bottom w:w="0" w:type="dxa"/>
            </w:tcMar>
            <w:tcW w:w="10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企业实力</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企业业绩</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投标人自</w:t>
            </w:r>
            <w:r>
              <w:rPr>
                <w:rFonts w:ascii="Times New Roman" w:hAnsi="Times New Roman" w:eastAsia="Times New Roman" w:cs="Times New Roman"/>
                <w:color w:val="000000"/>
                <w:sz w:val="21"/>
              </w:rPr>
              <w:t xml:space="preserve">2022</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日以来（以合同签订时间为准），具有类似业绩的（合同内容包含存储），每有一个得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分，本项最高得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分。注：同时提供中标（成交）通知书、合同材料电子件，未提供或提供不齐全不得分。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拟派项目项目负责人具有信息系统项目管理师、系统规划与管理师的，每有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日（含）以来任意一个月的医疗保险或养老保险缴纳证明材料，未提供的不得分。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技术负责人</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拟派项目技术负责人具有信息系统项目管理师、系统架构设计师的，每有</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个证书得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日（含）以来任意一个月的医疗保险或养老保险缴纳证明材料，与项目负责人不得为一人，未提供的不得分。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拟派项目组人员中（项目负责人和技术负责人除外）具有信息系统项目管理师、系统架构设计师、系统规划与管理师、系统集成项目管理工程师、网络工程师、网络规划设计师的，每有一个得</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分，最高得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w:t>
            </w:r>
            <w:r/>
          </w:p>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注：提供上述证书电子件（证书颁发单位为中华人民共和国人力资源和社会保障部、中华人民共和国工业和信息化部）及投标人为其缴纳的自</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日（含）以来任意一个月的医疗保险或养老保险缴纳证明材料，同一人多个证书的不重复计分，未提供的不得分。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vMerge w:val="restart"/>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项目实施计划方案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12.00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投标人针对招标文件“第四部分、采购需求”中“三、项目实施要求”，提供项目实施方案。优于采购需求，得</w:t>
            </w:r>
            <w:r>
              <w:rPr>
                <w:rFonts w:ascii="Times New Roman" w:hAnsi="Times New Roman" w:eastAsia="Times New Roman" w:cs="Times New Roman"/>
                <w:color w:val="000000"/>
                <w:sz w:val="21"/>
              </w:rPr>
              <w:t xml:space="preserve">12</w:t>
            </w:r>
            <w:r>
              <w:rPr>
                <w:rFonts w:ascii="SimSun" w:hAnsi="SimSun" w:eastAsia="SimSun" w:cs="SimSun"/>
                <w:color w:val="000000"/>
                <w:sz w:val="21"/>
              </w:rPr>
              <w:t xml:space="preserve">分；满足采购需求，得</w:t>
            </w: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分；其他情况不得分。</w:t>
            </w:r>
            <w:r/>
          </w:p>
        </w:tc>
      </w:tr>
      <w:tr>
        <w:trPr/>
        <w:tc>
          <w:tcPr>
            <w:vMerge w:val="continue"/>
            <w:textDirection w:val="lrTb"/>
            <w:noWrap w:val="false"/>
          </w:tcPr>
          <w:p>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培训方案</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alibri" w:hAnsi="Calibri" w:eastAsia="Calibri" w:cs="Calibri"/>
                <w:color w:val="000000"/>
                <w:sz w:val="21"/>
              </w:rPr>
              <w:t xml:space="preserve">10.00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投标人根据招标文件“第四部分、采购需求”中“五、培训要求”制定培训方案，优于采购需求的，得</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分；满足采购需求的，得</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分；其他情况不得分。</w:t>
            </w:r>
            <w:r/>
          </w:p>
        </w:tc>
      </w:tr>
      <w:tr>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01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其他</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1417"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售后服务</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90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5.00</w:t>
            </w:r>
            <w:r>
              <w:rPr>
                <w:rFonts w:ascii="SimSun" w:hAnsi="SimSun" w:eastAsia="SimSun" w:cs="SimSun"/>
                <w:color w:val="000000"/>
                <w:sz w:val="21"/>
              </w:rPr>
              <w:t xml:space="preserve">分</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6018" w:type="dxa"/>
            <w:vAlign w:val="center"/>
            <w:textDirection w:val="lrTb"/>
            <w:noWrap w:val="false"/>
          </w:tcPr>
          <w:p>
            <w:pPr>
              <w:ind w:left="0" w:right="0" w:firstLine="0"/>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投标人根据招标文“第四部分、采购需求”中“七、售后服务要求”，提供售后服务方案。优于采购需求，得</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分；满足采购需求，得</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分；其他情况不得分。</w:t>
            </w:r>
            <w:r/>
          </w:p>
        </w:tc>
      </w:tr>
    </w:tbl>
    <w:p>
      <w:pPr>
        <w:ind w:left="0" w:right="0" w:firstLine="0"/>
        <w:spacing w:before="0" w:after="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（三）评标结果。</w:t>
      </w:r>
      <w:r>
        <w:rPr>
          <w:rFonts w:ascii="SimSun" w:hAnsi="SimSun" w:eastAsia="SimSun" w:cs="SimSun"/>
          <w:color w:val="000000"/>
          <w:sz w:val="24"/>
        </w:rPr>
        <w:t xml:space="preserve">评标委员会按照本办法规定推荐中标候选人，并形成评标报告。</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（四）政府采购政策功能落实</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FangSong" w:hAnsi="FangSong" w:eastAsia="FangSong" w:cs="FangSong"/>
          <w:b/>
          <w:color w:val="000000"/>
          <w:sz w:val="24"/>
          <w:u w:val="single"/>
        </w:rPr>
        <w:t xml:space="preserve"> </w:t>
      </w:r>
      <w:r>
        <w:rPr>
          <w:rFonts w:ascii="Times New Roman" w:hAnsi="Times New Roman" w:eastAsia="Times New Roman" w:cs="Times New Roman"/>
          <w:b/>
          <w:color w:val="000000"/>
          <w:sz w:val="24"/>
          <w:u w:val="single"/>
        </w:rPr>
        <w:t xml:space="preserve">2 </w:t>
      </w:r>
      <w:r/>
    </w:p>
    <w:p>
      <w:pPr>
        <w:ind w:left="0" w:right="0" w:firstLine="0"/>
        <w:jc w:val="both"/>
        <w:spacing w:before="0" w:after="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本项目落实的政府采购政策对应以下序号为</w:t>
      </w:r>
      <w:r>
        <w:rPr>
          <w:rFonts w:ascii="Times New Roman" w:hAnsi="Times New Roman" w:eastAsia="Times New Roman" w:cs="Times New Roman"/>
          <w:b/>
          <w:color w:val="000000"/>
          <w:sz w:val="24"/>
          <w:u w:val="single"/>
        </w:rPr>
        <w:t xml:space="preserve">1</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2</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4</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5</w:t>
      </w:r>
      <w:r>
        <w:rPr>
          <w:rFonts w:ascii="FangSong" w:hAnsi="FangSong" w:eastAsia="FangSong" w:cs="FangSong"/>
          <w:b/>
          <w:color w:val="000000"/>
          <w:sz w:val="24"/>
          <w:u w:val="single"/>
        </w:rPr>
        <w:t xml:space="preserve">、</w:t>
      </w:r>
      <w:r>
        <w:rPr>
          <w:rFonts w:ascii="Times New Roman" w:hAnsi="Times New Roman" w:eastAsia="Times New Roman" w:cs="Times New Roman"/>
          <w:b/>
          <w:color w:val="000000"/>
          <w:sz w:val="24"/>
          <w:u w:val="single"/>
        </w:rPr>
        <w:t xml:space="preserve">6</w:t>
      </w:r>
      <w:r/>
    </w:p>
    <w:p>
      <w:pPr>
        <w:numPr>
          <w:ilvl w:val="0"/>
          <w:numId w:val="2"/>
        </w:numPr>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采购本国货物、工程和服务</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政府采购应当采购本国货物、工程和服务，但有《中华人民共和国政府采购法》第十条规定情形的除外。如采购进口产品的，应当符合《政府采购进口产品管理办法》（财库〔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 </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号文）等相关规定。是否采购进口产品以采购需求中确定的为准。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本项目按以下第</w:t>
      </w:r>
      <w:r>
        <w:rPr>
          <w:rFonts w:ascii="SimSun" w:hAnsi="SimSun" w:eastAsia="SimSun" w:cs="SimSun"/>
          <w:color w:val="000000"/>
          <w:sz w:val="24"/>
          <w:u w:val="single"/>
        </w:rPr>
        <w:t xml:space="preserve"> （</w:t>
      </w:r>
      <w:r>
        <w:rPr>
          <w:rFonts w:ascii="Times New Roman" w:hAnsi="Times New Roman" w:eastAsia="Times New Roman" w:cs="Times New Roman"/>
          <w:color w:val="000000"/>
          <w:sz w:val="24"/>
          <w:u w:val="single"/>
        </w:rPr>
        <w:t xml:space="preserve">2</w:t>
      </w:r>
      <w:r>
        <w:rPr>
          <w:rFonts w:ascii="SimSun" w:hAnsi="SimSun" w:eastAsia="SimSun" w:cs="SimSun"/>
          <w:color w:val="000000"/>
          <w:sz w:val="24"/>
          <w:u w:val="single"/>
        </w:rPr>
        <w:t xml:space="preserve">） </w:t>
      </w:r>
      <w:r>
        <w:rPr>
          <w:rFonts w:ascii="SimSun" w:hAnsi="SimSun" w:eastAsia="SimSun" w:cs="SimSun"/>
          <w:color w:val="000000"/>
          <w:sz w:val="24"/>
        </w:rPr>
        <w:t xml:space="preserve">种政策确定本项目落实的中小企业政策：</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）本项目专门面向中小企业（含监狱企业、残疾人福利企业）采购。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）投标人提供的货物符合下列情形的，对小微企业报价给予</w:t>
      </w:r>
      <w:r>
        <w:rPr>
          <w:rFonts w:ascii="SimSun" w:hAnsi="SimSun" w:eastAsia="SimSun" w:cs="SimSun"/>
          <w:b/>
          <w:color w:val="000000"/>
          <w:sz w:val="24"/>
          <w:u w:val="single"/>
        </w:rPr>
        <w:t xml:space="preserve"> </w:t>
      </w:r>
      <w:r>
        <w:rPr>
          <w:rFonts w:ascii="Times New Roman" w:hAnsi="Times New Roman" w:eastAsia="Times New Roman" w:cs="Times New Roman"/>
          <w:b/>
          <w:color w:val="000000"/>
          <w:sz w:val="24"/>
          <w:u w:val="single"/>
        </w:rPr>
        <w:t xml:space="preserve">15%  </w:t>
      </w:r>
      <w:r>
        <w:rPr>
          <w:rFonts w:ascii="SimSun" w:hAnsi="SimSun" w:eastAsia="SimSun" w:cs="SimSun"/>
          <w:b/>
          <w:color w:val="000000"/>
          <w:sz w:val="24"/>
        </w:rPr>
        <w:t xml:space="preserve">的扣除，用扣除后的价格参加评审。</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注：①参加投标的中小企业，应当按照《政府采购促进中小企业发展管理办法》（财库〔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号）规定，出具《中小企业声明函》，中小企业划型依据《关于印发中小企业划型标准规定的通知》（工信部联企业〔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②参加投标的监狱企业，视同小型、微型企业。监狱企业应当按照《财政部 司法部关于政府采购支持监狱企业发展有关问题的通知》（财库〔</w:t>
      </w:r>
      <w:r>
        <w:rPr>
          <w:rFonts w:ascii="Times New Roman" w:hAnsi="Times New Roman" w:eastAsia="Times New Roman" w:cs="Times New Roman"/>
          <w:color w:val="000000"/>
          <w:sz w:val="24"/>
        </w:rPr>
        <w:t xml:space="preserve">2014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68</w:t>
      </w:r>
      <w:r>
        <w:rPr>
          <w:rFonts w:ascii="SimSun" w:hAnsi="SimSun" w:eastAsia="SimSun" w:cs="SimSun"/>
          <w:color w:val="000000"/>
          <w:sz w:val="24"/>
        </w:rPr>
        <w:t xml:space="preserve">号）的规定，提供由省级以上监狱管理局、戒毒管理局</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含新疆生产建设兵团</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出具的属于监狱企业的证明文件（投标文件中上传加盖出具单位公章的电子件）。</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③参加投标的残疾人福利性单位，视同小型、微型企业。残疾人福利性单位应当按照《财政部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号）的规定，提供《残疾人福利性单位声明函》。</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④大中型企业与小微企业组成联合体或者允许大中型企业向一家或者多家小微企业分包的采购项目，对于联合协议或者分包意向协议约定小微企业的合同份额占到合</w:t>
      </w:r>
      <w:r>
        <w:rPr>
          <w:rFonts w:ascii="SimSun" w:hAnsi="SimSun" w:eastAsia="SimSun" w:cs="SimSun"/>
          <w:b/>
          <w:color w:val="000000"/>
          <w:sz w:val="24"/>
        </w:rPr>
        <w:t xml:space="preserve">同总金额</w:t>
      </w:r>
      <w:r>
        <w:rPr>
          <w:rFonts w:ascii="Times New Roman" w:hAnsi="Times New Roman" w:eastAsia="Times New Roman" w:cs="Times New Roman"/>
          <w:b/>
          <w:color w:val="000000"/>
          <w:sz w:val="24"/>
        </w:rPr>
        <w:t xml:space="preserve">40%</w:t>
      </w:r>
      <w:r>
        <w:rPr>
          <w:rFonts w:ascii="SimSun" w:hAnsi="SimSun" w:eastAsia="SimSun" w:cs="SimSun"/>
          <w:b/>
          <w:color w:val="000000"/>
          <w:sz w:val="24"/>
        </w:rPr>
        <w:t xml:space="preserve">以上的，对联合体或者大中型企业的报价给予</w:t>
      </w:r>
      <w:r>
        <w:rPr>
          <w:rFonts w:ascii="Times New Roman" w:hAnsi="Times New Roman" w:eastAsia="Times New Roman" w:cs="Times New Roman"/>
          <w:b/>
          <w:color w:val="000000"/>
          <w:sz w:val="24"/>
        </w:rPr>
        <w:t xml:space="preserve">5%</w:t>
      </w:r>
      <w:r>
        <w:rPr>
          <w:rFonts w:ascii="SimSun" w:hAnsi="SimSun" w:eastAsia="SimSun" w:cs="SimSun"/>
          <w:b/>
          <w:color w:val="000000"/>
          <w:sz w:val="24"/>
        </w:rPr>
        <w:t xml:space="preserve">（工程项目为</w:t>
      </w:r>
      <w:r>
        <w:rPr>
          <w:rFonts w:ascii="Times New Roman" w:hAnsi="Times New Roman" w:eastAsia="Times New Roman" w:cs="Times New Roman"/>
          <w:b/>
          <w:color w:val="000000"/>
          <w:sz w:val="24"/>
        </w:rPr>
        <w:t xml:space="preserve">2%</w:t>
      </w:r>
      <w:r>
        <w:rPr>
          <w:rFonts w:ascii="SimSun" w:hAnsi="SimSun" w:eastAsia="SimSun" w:cs="SimSun"/>
          <w:b/>
          <w:color w:val="000000"/>
          <w:sz w:val="24"/>
        </w:rPr>
        <w:t xml:space="preserve">）的</w:t>
      </w:r>
      <w:r>
        <w:rPr>
          <w:rFonts w:ascii="SimSun" w:hAnsi="SimSun" w:eastAsia="SimSun" w:cs="SimSun"/>
          <w:color w:val="000000"/>
          <w:sz w:val="24"/>
        </w:rPr>
        <w:t xml:space="preserve">扣除，用扣除后的价格参加评审。（是否接受联合体以“项目基本情况”相关内容为准，是否允许大中型企业向一家或者多家小微企业分包以“投标人须知”、“采购需求”相关内容为准。）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、政府采购节能产品、环境标志产品</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）采购人拟采购的产品属于政府强制采购的节能产品品目清单范围的，投标人须提供国家确定的认证机构出具的、处于有效期之内的节能产品认证证书的，否则无效标处理。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）采购人拟采购的产品属于优先采购的节能环保品目清单范围的，按以下条件优先采购：</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采用综合评分法的项目，对提供有效节能环保证书的投标人加分。</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采用最低评标价法的项目，同等条件下优先推荐提供有效节能环保证书多的投标人为中标人。</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、商品包装、快递包装政府采购需求标准（试行）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、绿色数据中心政府采购需求标准（试行）</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为加快数据中心绿色转型，根据财政部 生态环境部 工业和信息化部关于印发《绿色数据中心政府采购需求标准（试行）》的通知），本项目如涉及绿色数据中心，具体需求详见第四章采购需求。</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、采购本国产品的支持政策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6.2.1 </w:t>
      </w:r>
      <w:r>
        <w:rPr>
          <w:rFonts w:ascii="SimSun" w:hAnsi="SimSun" w:eastAsia="SimSun" w:cs="SimSun"/>
          <w:color w:val="000000"/>
          <w:sz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6.2.2</w:t>
      </w:r>
      <w:r>
        <w:rPr>
          <w:rFonts w:ascii="SimSun" w:hAnsi="SimSun" w:eastAsia="SimSun" w:cs="SimSun"/>
          <w:color w:val="000000"/>
          <w:sz w:val="24"/>
        </w:rPr>
        <w:t xml:space="preserve">本项目政府采购活动中既有本国产品又有非本国产品参与竞争的，依法对本国产品给予价格评审优惠，对本国产品的报价给予</w:t>
      </w:r>
      <w:r>
        <w:rPr>
          <w:rFonts w:ascii="Times New Roman" w:hAnsi="Times New Roman" w:eastAsia="Times New Roman" w:cs="Times New Roman"/>
          <w:b/>
          <w:color w:val="000000"/>
          <w:sz w:val="24"/>
          <w:u w:val="single"/>
        </w:rPr>
        <w:t xml:space="preserve">20%</w:t>
      </w:r>
      <w:r>
        <w:rPr>
          <w:rFonts w:ascii="SimSun" w:hAnsi="SimSun" w:eastAsia="SimSun" w:cs="SimSun"/>
          <w:color w:val="000000"/>
          <w:sz w:val="24"/>
        </w:rPr>
        <w:t xml:space="preserve">的价格扣除，用扣除后的价格参与评审。</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6.2.3 </w:t>
      </w:r>
      <w:r>
        <w:rPr>
          <w:rFonts w:ascii="SimSun" w:hAnsi="SimSun" w:eastAsia="SimSun" w:cs="SimSun"/>
          <w:color w:val="000000"/>
          <w:sz w:val="24"/>
        </w:rPr>
        <w:t xml:space="preserve">当采购项目或者采购包中含有多种产品，投标人为该采购项目或者采购包提供的符合本国产品标准的产品成本之和占该投标人提供的全部产品成本之和的比例达到</w:t>
      </w:r>
      <w:r>
        <w:rPr>
          <w:rFonts w:ascii="Times New Roman" w:hAnsi="Times New Roman" w:eastAsia="Times New Roman" w:cs="Times New Roman"/>
          <w:b/>
          <w:color w:val="000000"/>
          <w:sz w:val="24"/>
        </w:rPr>
        <w:t xml:space="preserve">80%</w:t>
      </w:r>
      <w:r>
        <w:rPr>
          <w:rFonts w:ascii="SimSun" w:hAnsi="SimSun" w:eastAsia="SimSun" w:cs="SimSun"/>
          <w:b/>
          <w:color w:val="000000"/>
          <w:sz w:val="24"/>
        </w:rPr>
        <w:t xml:space="preserve">以上</w:t>
      </w:r>
      <w:r>
        <w:rPr>
          <w:rFonts w:ascii="SimSun" w:hAnsi="SimSun" w:eastAsia="SimSun" w:cs="SimSun"/>
          <w:color w:val="000000"/>
          <w:sz w:val="24"/>
        </w:rPr>
        <w:t xml:space="preserve">时（投标人需在“第六章 投标文件格式”的“分项报价表”中填写比例数值），依法对该投标人提供的全部产品给予价格评审优惠，即对该投标人提供的全部产品的总报价给予</w:t>
      </w:r>
      <w:r>
        <w:rPr>
          <w:rFonts w:ascii="Times New Roman" w:hAnsi="Times New Roman" w:eastAsia="Times New Roman" w:cs="Times New Roman"/>
          <w:color w:val="000000"/>
          <w:sz w:val="24"/>
        </w:rPr>
        <w:t xml:space="preserve">20%</w:t>
      </w:r>
      <w:r>
        <w:rPr>
          <w:rFonts w:ascii="SimSun" w:hAnsi="SimSun" w:eastAsia="SimSun" w:cs="SimSun"/>
          <w:color w:val="000000"/>
          <w:sz w:val="24"/>
        </w:rPr>
        <w:t xml:space="preserve">的价格扣除，用扣除后的价格参与评审。投标人未填写比例数值，或比例数值未达到</w:t>
      </w:r>
      <w:r>
        <w:rPr>
          <w:rFonts w:ascii="Times New Roman" w:hAnsi="Times New Roman" w:eastAsia="Times New Roman" w:cs="Times New Roman"/>
          <w:color w:val="000000"/>
          <w:sz w:val="24"/>
        </w:rPr>
        <w:t xml:space="preserve">80%</w:t>
      </w:r>
      <w:r>
        <w:rPr>
          <w:rFonts w:ascii="SimSun" w:hAnsi="SimSun" w:eastAsia="SimSun" w:cs="SimSun"/>
          <w:color w:val="000000"/>
          <w:sz w:val="24"/>
        </w:rPr>
        <w:t xml:space="preserve">的，将不享受本国产品价格评审优惠。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6.2.4 </w:t>
      </w:r>
      <w:r>
        <w:rPr>
          <w:rFonts w:ascii="SimSun" w:hAnsi="SimSun" w:eastAsia="SimSun" w:cs="SimSun"/>
          <w:color w:val="000000"/>
          <w:sz w:val="24"/>
        </w:rPr>
        <w:t xml:space="preserve">投标人需按照招标文件的要求提供《关于符合本国产品标准的声明函》，如不提供将不享受本国产品价格评审优惠。</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6.2.5 </w:t>
      </w:r>
      <w:r>
        <w:rPr>
          <w:rFonts w:ascii="SimSun" w:hAnsi="SimSun" w:eastAsia="SimSun" w:cs="SimSun"/>
          <w:color w:val="000000"/>
          <w:sz w:val="24"/>
        </w:rPr>
        <w:t xml:space="preserve">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left="0" w:right="0" w:firstLine="48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6.2.6 </w:t>
      </w:r>
      <w:r>
        <w:rPr>
          <w:rFonts w:ascii="SimSun" w:hAnsi="SimSun" w:eastAsia="SimSun" w:cs="SimSun"/>
          <w:color w:val="000000"/>
          <w:sz w:val="24"/>
        </w:rPr>
        <w:t xml:space="preserve">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w:t>
      </w:r>
      <w:r>
        <w:rPr>
          <w:rFonts w:ascii="Times New Roman" w:hAnsi="Times New Roman" w:eastAsia="Times New Roman" w:cs="Times New Roman"/>
          <w:color w:val="000000"/>
          <w:sz w:val="24"/>
        </w:rPr>
        <w:t xml:space="preserve">2025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34</w:t>
      </w:r>
      <w:r>
        <w:rPr>
          <w:rFonts w:ascii="SimSun" w:hAnsi="SimSun" w:eastAsia="SimSun" w:cs="SimSun"/>
          <w:color w:val="000000"/>
          <w:sz w:val="24"/>
        </w:rPr>
        <w:t xml:space="preserve">号）和招标文件规定的，投标人提供的相关产品视为不符合本国产品标准。</w:t>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pStyle w:val="638"/>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44"/>
        </w:rPr>
        <w:t xml:space="preserve">第六章投标文件格式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投标文件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7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rPr>
          <w:rFonts w:ascii="SimSun" w:hAnsi="SimSun" w:eastAsia="SimSun" w:cs="SimSun"/>
          <w:b/>
          <w:color w:val="000000"/>
          <w:sz w:val="36"/>
          <w:u w:val="single"/>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rPr>
          <w:rFonts w:ascii="SimSun" w:hAnsi="SimSun" w:eastAsia="SimSun" w:cs="SimSun"/>
          <w:b/>
          <w:color w:val="000000"/>
          <w:sz w:val="36"/>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rPr>
          <w:rFonts w:ascii="SimSun" w:hAnsi="SimSun" w:eastAsia="SimSun" w:cs="SimSun"/>
          <w:b/>
          <w:color w:val="000000"/>
          <w:sz w:val="36"/>
          <w:u w:val="single"/>
        </w:rPr>
        <w:t xml:space="preserve">（加盖</w:t>
      </w:r>
      <w:r>
        <w:rPr>
          <w:rFonts w:ascii="Times New Roman" w:hAnsi="Times New Roman" w:eastAsia="Times New Roman" w:cs="Times New Roman"/>
          <w:b/>
          <w:color w:val="000000"/>
          <w:sz w:val="36"/>
          <w:u w:val="single"/>
        </w:rPr>
        <w:t xml:space="preserve">CA</w:t>
      </w:r>
      <w:r>
        <w:rPr>
          <w:rFonts w:ascii="SimSun" w:hAnsi="SimSun" w:eastAsia="SimSun" w:cs="SimSun"/>
          <w:b/>
          <w:color w:val="000000"/>
          <w:sz w:val="36"/>
          <w:u w:val="single"/>
        </w:rPr>
        <w:t xml:space="preserve">电子公章）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rPr>
          <w:rFonts w:ascii="SimSun" w:hAnsi="SimSun" w:eastAsia="SimSun" w:cs="SimSun"/>
          <w:b/>
          <w:color w:val="000000"/>
          <w:sz w:val="36"/>
          <w:u w:val="single"/>
        </w:rPr>
        <w:t xml:space="preserve">               </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投标文件目录</w:t>
      </w:r>
      <w:r/>
    </w:p>
    <w:p>
      <w:pPr>
        <w:ind w:left="0" w:right="0" w:firstLine="0"/>
        <w:jc w:val="center"/>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一、投标人响应承诺函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二、投标人基本情况</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三、满足特定资格要求的证明文件（如果设置特定资格要求，则需要提供）</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四、法人授权书</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五、投标函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六、开标一览表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七、投标报价明细表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八、中小企业声明函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九、残疾人福利性单位声明函</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十、技术要求响应及偏离表</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十一、项目组成员</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十二、企业业绩</w:t>
      </w:r>
      <w:r/>
    </w:p>
    <w:p>
      <w:pPr>
        <w:ind w:left="0" w:right="0" w:firstLine="560"/>
        <w:jc w:val="both"/>
        <w:spacing w:before="0" w:after="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十三、投标所需其他材料</w:t>
      </w:r>
      <w:r/>
    </w:p>
    <w:p>
      <w:pPr>
        <w:ind w:left="0" w:right="0" w:firstLine="0"/>
        <w:spacing w:before="120" w:after="120" w:line="400" w:lineRule="atLeast"/>
        <w:tabs>
          <w:tab w:val="left" w:pos="87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一、投标声明及承诺函</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u w:val="single"/>
        </w:rPr>
        <w:t xml:space="preserve">宿迁市公路事业发展中心、宿迁市楚润数据集团有限公司</w:t>
      </w:r>
      <w:r>
        <w:rPr>
          <w:rFonts w:ascii="FangSong" w:hAnsi="FangSong" w:eastAsia="FangSong" w:cs="FangSong"/>
          <w:color w:val="000000"/>
          <w:sz w:val="24"/>
          <w:u w:val="single"/>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根据已收到的项目编号为</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的</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项目的招标文件，我方在参加本项目招投标活动中，特做出如下承诺：</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一、我方具备《中华人民共和国政府采购法》第二十二条第一款规定的</w:t>
      </w:r>
      <w:r>
        <w:rPr>
          <w:rFonts w:ascii="Times New Roman" w:hAnsi="Times New Roman" w:eastAsia="Times New Roman" w:cs="Times New Roman"/>
          <w:color w:val="000000"/>
          <w:sz w:val="24"/>
        </w:rPr>
        <w:t xml:space="preserve">6</w:t>
      </w:r>
      <w:r>
        <w:rPr>
          <w:rFonts w:ascii="FangSong" w:hAnsi="FangSong" w:eastAsia="FangSong" w:cs="FangSong"/>
          <w:color w:val="000000"/>
          <w:sz w:val="24"/>
        </w:rPr>
        <w:t xml:space="preserve">项条件；</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三、我方按招标文件要求提交投标文件，响应招标文件规定的投标有效期；</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四、如果我方的投标文件被接受，我方将按《中华人民共和国民法典（第三编合同）》及其他有关法律、法规的规定，按期、按质、按量交付采购单位，全面做到履约守信；</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五、我方若违背本声明及承诺约定，经查实，自愿接受采购人及相关主管部门相应的规定处理，并依法承担相应的法律责任。</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六、我方同意采购人、采购代理机构将本声明及承诺函上网公开。</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 </w:t>
      </w:r>
      <w:r>
        <w:rPr>
          <w:rFonts w:ascii="FangSong" w:hAnsi="FangSong" w:eastAsia="FangSong" w:cs="FangSong"/>
          <w:color w:val="000000"/>
          <w:sz w:val="24"/>
          <w:u w:val="single"/>
        </w:rPr>
        <w:t xml:space="preserve">          </w:t>
      </w:r>
      <w:r>
        <w:rPr>
          <w:rFonts w:ascii="FangSong" w:hAnsi="FangSong" w:eastAsia="FangSong" w:cs="FangSong"/>
          <w:color w:val="000000"/>
          <w:sz w:val="24"/>
        </w:rPr>
        <w:t xml:space="preserve">（加盖</w:t>
      </w:r>
      <w:r>
        <w:rPr>
          <w:rFonts w:ascii="Times New Roman" w:hAnsi="Times New Roman" w:eastAsia="Times New Roman" w:cs="Times New Roman"/>
          <w:color w:val="000000"/>
          <w:sz w:val="24"/>
        </w:rPr>
        <w:t xml:space="preserve">CA</w:t>
      </w:r>
      <w:r>
        <w:rPr>
          <w:rFonts w:ascii="FangSong" w:hAnsi="FangSong" w:eastAsia="FangSong" w:cs="FangSong"/>
          <w:color w:val="000000"/>
          <w:sz w:val="24"/>
        </w:rPr>
        <w:t xml:space="preserve">电子公章）</w:t>
      </w:r>
      <w:r/>
    </w:p>
    <w:p>
      <w:pPr>
        <w:ind w:left="0" w:right="0" w:firstLine="48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日期：年月日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二、投标人基本情况</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投标人基本情况表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526"/>
        <w:gridCol w:w="3118"/>
        <w:gridCol w:w="1276"/>
        <w:gridCol w:w="306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投标人名称</w:t>
            </w:r>
            <w:r/>
          </w:p>
        </w:tc>
        <w:tc>
          <w:tcPr>
            <w:gridSpan w:val="3"/>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法定代表人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注册地区</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地址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邮政编码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成立时间</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单位性质</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注册号或社会信用代码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注册资本（万元）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投标人类别</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开户银行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账号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联系人</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118"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76"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联系电话</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65" w:type="dxa"/>
            <w:vAlign w:val="center"/>
            <w:textDirection w:val="lrTb"/>
            <w:noWrap w:val="false"/>
          </w:tcPr>
          <w:p>
            <w:pPr>
              <w:ind w:left="0" w:right="0" w:firstLine="0"/>
              <w:jc w:val="center"/>
              <w:spacing w:before="200" w:after="200" w:line="6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23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经营范围</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top"/>
            <w:textDirection w:val="lrTb"/>
            <w:noWrap w:val="false"/>
          </w:tcPr>
          <w:p>
            <w:pPr>
              <w:ind w:left="0" w:right="0" w:firstLine="1432"/>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113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6"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备注</w:t>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59" w:type="dxa"/>
            <w:vAlign w:val="center"/>
            <w:textDirection w:val="lrTb"/>
            <w:noWrap w:val="false"/>
          </w:tcPr>
          <w:p>
            <w:pPr>
              <w:ind w:left="0" w:right="0" w:firstLine="0"/>
              <w:jc w:val="center"/>
              <w:spacing w:before="200" w:after="200" w:line="49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无需提供营业执照等证明材料</w:t>
            </w:r>
            <w:r/>
          </w:p>
        </w:tc>
      </w:tr>
    </w:tbl>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三、特定资格要求的证明文件</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如果本项目申请人的特定资格要求中要求提供的，必须提供。</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i/>
          <w:color w:val="000000"/>
          <w:sz w:val="32"/>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四、法人授权书</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Times New Roman" w:hAnsi="Times New Roman" w:eastAsia="Times New Roman" w:cs="Times New Roman"/>
          <w:color w:val="000000"/>
          <w:sz w:val="24"/>
        </w:rPr>
        <w:t xml:space="preserve">____________</w:t>
      </w:r>
      <w:r>
        <w:rPr>
          <w:rFonts w:ascii="SimSun" w:hAnsi="SimSun" w:eastAsia="SimSun" w:cs="SimSun"/>
          <w:color w:val="000000"/>
          <w:sz w:val="24"/>
        </w:rPr>
        <w:t xml:space="preserve">（投标人名称）授权</w:t>
      </w:r>
      <w:r>
        <w:rPr>
          <w:rFonts w:ascii="Times New Roman" w:hAnsi="Times New Roman" w:eastAsia="Times New Roman" w:cs="Times New Roman"/>
          <w:color w:val="000000"/>
          <w:sz w:val="24"/>
        </w:rPr>
        <w:t xml:space="preserve">________________</w:t>
      </w:r>
      <w:r>
        <w:rPr>
          <w:rFonts w:ascii="SimSun" w:hAnsi="SimSun" w:eastAsia="SimSun" w:cs="SimSun"/>
          <w:color w:val="000000"/>
          <w:sz w:val="24"/>
        </w:rPr>
        <w:t xml:space="preserve">（被授权人的姓名）为我方就</w:t>
      </w:r>
      <w:r>
        <w:rPr>
          <w:rFonts w:ascii="Times New Roman" w:hAnsi="Times New Roman" w:eastAsia="Times New Roman" w:cs="Times New Roman"/>
          <w:color w:val="000000"/>
          <w:sz w:val="24"/>
        </w:rPr>
        <w:t xml:space="preserve">JSZC-</w:t>
      </w:r>
      <w:r>
        <w:rPr>
          <w:rFonts w:ascii="SimSun" w:hAnsi="SimSun" w:eastAsia="SimSun" w:cs="SimSun"/>
          <w:color w:val="000000"/>
          <w:sz w:val="24"/>
          <w:u w:val="single"/>
        </w:rPr>
        <w:t xml:space="preserve">        </w:t>
      </w:r>
      <w:r>
        <w:rPr>
          <w:rFonts w:ascii="SimSun" w:hAnsi="SimSun" w:eastAsia="SimSun" w:cs="SimSun"/>
          <w:color w:val="000000"/>
          <w:sz w:val="24"/>
        </w:rPr>
        <w:t xml:space="preserve">号项目采购活动的合法代理人，以本单位名义全权处理一切与该项目采购有关的事务。</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被授权人身份证号码：</w:t>
      </w:r>
      <w:r>
        <w:rPr>
          <w:rFonts w:ascii="SimSun" w:hAnsi="SimSun" w:eastAsia="SimSun" w:cs="SimSun"/>
          <w:color w:val="000000"/>
          <w:sz w:val="24"/>
          <w:u w:val="single"/>
        </w:rPr>
        <w:t xml:space="preserve">                              </w:t>
      </w:r>
      <w:r/>
    </w:p>
    <w:p>
      <w:pPr>
        <w:ind w:left="0" w:right="0" w:firstLine="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被授权人联系电话：（手机）</w:t>
      </w:r>
      <w:r>
        <w:rPr>
          <w:rFonts w:ascii="SimSun" w:hAnsi="SimSun" w:eastAsia="SimSun" w:cs="SimSun"/>
          <w:color w:val="000000"/>
          <w:sz w:val="24"/>
          <w:u w:val="single"/>
        </w:rPr>
        <w:t xml:space="preserve">                          </w:t>
      </w:r>
      <w:r/>
    </w:p>
    <w:p>
      <w:pPr>
        <w:ind w:left="0" w:right="0" w:firstLine="120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授权单位名称：</w:t>
      </w:r>
      <w:r>
        <w:rPr>
          <w:rFonts w:ascii="SimSun" w:hAnsi="SimSun" w:eastAsia="SimSun" w:cs="SimSun"/>
          <w:color w:val="000000"/>
          <w:sz w:val="24"/>
          <w:u w:val="single"/>
        </w:rPr>
        <w:t xml:space="preserve">（加盖</w:t>
      </w:r>
      <w:r>
        <w:rPr>
          <w:rFonts w:ascii="Times New Roman" w:hAnsi="Times New Roman" w:eastAsia="Times New Roman" w:cs="Times New Roman"/>
          <w:color w:val="000000"/>
          <w:sz w:val="24"/>
          <w:u w:val="single"/>
        </w:rPr>
        <w:t xml:space="preserve">CA</w:t>
      </w:r>
      <w:r>
        <w:rPr>
          <w:rFonts w:ascii="SimSun" w:hAnsi="SimSun" w:eastAsia="SimSun" w:cs="SimSun"/>
          <w:color w:val="000000"/>
          <w:sz w:val="24"/>
          <w:u w:val="single"/>
        </w:rPr>
        <w:t xml:space="preserve">电子公章）</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单位地址：</w:t>
      </w:r>
      <w:r>
        <w:rPr>
          <w:rFonts w:ascii="SimSun" w:hAnsi="SimSun" w:eastAsia="SimSun" w:cs="SimSun"/>
          <w:color w:val="000000"/>
          <w:sz w:val="24"/>
          <w:u w:val="single"/>
        </w:rPr>
        <w:t xml:space="preserve">                                         </w:t>
      </w:r>
      <w:r/>
    </w:p>
    <w:p>
      <w:pPr>
        <w:ind w:left="0" w:right="0" w:firstLine="480"/>
        <w:spacing w:before="240" w:after="240"/>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日期：</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五、开标一览表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按照苏彩云系统填写</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420" w:right="0" w:firstLine="0"/>
        <w:spacing w:before="0" w:after="0" w:line="41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六、投标报价明细表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7"/>
        <w:gridCol w:w="862"/>
        <w:gridCol w:w="739"/>
        <w:gridCol w:w="1046"/>
        <w:gridCol w:w="614"/>
        <w:gridCol w:w="748"/>
        <w:gridCol w:w="574"/>
        <w:gridCol w:w="1018"/>
        <w:gridCol w:w="932"/>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top"/>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w:t>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名称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品牌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规格</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型号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产地</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交付期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分项单价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分项总价</w:t>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6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4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5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投标总报价（人民币：元）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备注：1.投标报价采用总价报价方式。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rPr>
          <w:rFonts w:ascii="SimSun" w:hAnsi="SimSun" w:eastAsia="SimSun" w:cs="SimSun"/>
          <w:color w:val="000000"/>
          <w:sz w:val="21"/>
        </w:rPr>
        <w:t xml:space="preserve">“</w:t>
      </w:r>
      <w:r>
        <w:rPr>
          <w:rFonts w:ascii="SimSun" w:hAnsi="SimSun" w:eastAsia="SimSun" w:cs="SimSun"/>
          <w:color w:val="000000"/>
          <w:sz w:val="24"/>
        </w:rPr>
        <w:t xml:space="preserve">投标分项报价表</w:t>
      </w:r>
      <w:r>
        <w:rPr>
          <w:rFonts w:ascii="SimSun" w:hAnsi="SimSun" w:eastAsia="SimSun" w:cs="SimSun"/>
          <w:color w:val="000000"/>
          <w:sz w:val="21"/>
        </w:rPr>
        <w:t xml:space="preserve">”</w:t>
      </w:r>
      <w:r>
        <w:rPr>
          <w:rFonts w:ascii="SimSun" w:hAnsi="SimSun" w:eastAsia="SimSun" w:cs="SimSun"/>
          <w:color w:val="000000"/>
          <w:sz w:val="24"/>
        </w:rPr>
        <w:t xml:space="preserve">中“投标总报价”数额应当与“开标一览表”中“投标总报价”数额一致。</w:t>
      </w:r>
      <w:r/>
    </w:p>
    <w:p>
      <w:pPr>
        <w:pStyle w:val="640"/>
        <w:ind w:left="0" w:right="0" w:firstLine="0"/>
        <w:spacing w:before="120" w:after="120" w:line="761" w:lineRule="atLeast"/>
        <w:pBdr>
          <w:top w:val="none" w:color="000000" w:sz="4" w:space="0"/>
          <w:left w:val="none" w:color="000000" w:sz="4" w:space="0"/>
          <w:bottom w:val="none" w:color="000000" w:sz="4" w:space="0"/>
          <w:right w:val="none" w:color="000000" w:sz="4" w:space="0"/>
        </w:pBdr>
      </w:pPr>
      <w:r>
        <w:br w:type="page" w:clear="all"/>
      </w:r>
      <w:r/>
    </w:p>
    <w:p>
      <w:pPr>
        <w:pStyle w:val="640"/>
        <w:ind w:left="0" w:right="0" w:firstLine="0"/>
        <w:spacing w:before="120" w:after="120" w:line="76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七</w:t>
      </w:r>
      <w:r>
        <w:rPr>
          <w:rFonts w:ascii="SimHei" w:hAnsi="SimHei" w:eastAsia="SimHei" w:cs="SimHei"/>
          <w:b/>
          <w:color w:val="000000"/>
          <w:sz w:val="32"/>
        </w:rPr>
        <w:t xml:space="preserve">、中小（微）企业声明函（货物）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中小（微）企业声明函（货物）</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本公司（联合体）郑重声明，根据《政府采购促进中小企业发展管理办法》（财库〔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号）的规定，本公司（联合体）参加</w:t>
      </w:r>
      <w:r>
        <w:rPr>
          <w:rFonts w:ascii="SimSun" w:hAnsi="SimSun" w:eastAsia="SimSun" w:cs="SimSun"/>
          <w:color w:val="000000"/>
          <w:sz w:val="24"/>
          <w:u w:val="single"/>
        </w:rPr>
        <w:t xml:space="preserve"> 单位名称</w:t>
      </w:r>
      <w:r>
        <w:rPr>
          <w:rFonts w:ascii="SimSun" w:hAnsi="SimSun" w:eastAsia="SimSun" w:cs="SimSun"/>
          <w:color w:val="000000"/>
          <w:sz w:val="24"/>
        </w:rPr>
        <w:t xml:space="preserve">的（</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 采购活动，提供的货物全部由符合政策要求的中小企业制造。相关企业（含联合体中的中小企业、签订分包意向协议的中小企业）的具体情况如下：</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w:t>
      </w:r>
      <w:r>
        <w:rPr>
          <w:rFonts w:ascii="Times New Roman" w:hAnsi="Times New Roman" w:eastAsia="Times New Roman" w:cs="Times New Roman"/>
          <w:color w:val="000000"/>
          <w:sz w:val="24"/>
          <w:vertAlign w:val="superscript"/>
        </w:rPr>
        <w:t xml:space="preserve">1</w:t>
      </w:r>
      <w:r>
        <w:rPr>
          <w:rFonts w:ascii="SimSun" w:hAnsi="SimSun" w:eastAsia="SimSun" w:cs="SimSun"/>
          <w:color w:val="000000"/>
          <w:sz w:val="24"/>
        </w:rPr>
        <w:t xml:space="preserve">，属于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u w:val="single"/>
        </w:rPr>
        <w:t xml:space="preserve">标的名称</w:t>
      </w:r>
      <w:r>
        <w:rPr>
          <w:rFonts w:ascii="SimSun" w:hAnsi="SimSun" w:eastAsia="SimSun" w:cs="SimSun"/>
          <w:color w:val="000000"/>
          <w:sz w:val="24"/>
        </w:rPr>
        <w:t xml:space="preserve">，属于（</w:t>
      </w:r>
      <w:r>
        <w:rPr>
          <w:rFonts w:ascii="SimSun" w:hAnsi="SimSun" w:eastAsia="SimSun" w:cs="SimSun"/>
          <w:i/>
          <w:color w:val="000000"/>
          <w:sz w:val="24"/>
          <w:u w:val="single"/>
        </w:rPr>
        <w:t xml:space="preserve">采购文件中明确的所属行业）</w:t>
      </w:r>
      <w:r>
        <w:rPr>
          <w:rFonts w:ascii="SimSun" w:hAnsi="SimSun" w:eastAsia="SimSun" w:cs="SimSun"/>
          <w:color w:val="000000"/>
          <w:sz w:val="24"/>
          <w:u w:val="single"/>
        </w:rPr>
        <w:t xml:space="preserve">行业</w:t>
      </w:r>
      <w:r>
        <w:rPr>
          <w:rFonts w:ascii="SimSun" w:hAnsi="SimSun" w:eastAsia="SimSun" w:cs="SimSun"/>
          <w:color w:val="000000"/>
          <w:sz w:val="24"/>
        </w:rPr>
        <w:t xml:space="preserve">；制造商为</w:t>
      </w:r>
      <w:r>
        <w:rPr>
          <w:rFonts w:ascii="SimSun" w:hAnsi="SimSun" w:eastAsia="SimSun" w:cs="SimSun"/>
          <w:color w:val="000000"/>
          <w:sz w:val="24"/>
          <w:u w:val="single"/>
        </w:rPr>
        <w:t xml:space="preserve">（企业名称）</w:t>
      </w:r>
      <w:r>
        <w:rPr>
          <w:rFonts w:ascii="SimSun" w:hAnsi="SimSun" w:eastAsia="SimSun" w:cs="SimSun"/>
          <w:color w:val="000000"/>
          <w:sz w:val="24"/>
        </w:rPr>
        <w:t xml:space="preserve">，从业人员</w:t>
      </w:r>
      <w:r>
        <w:rPr>
          <w:rFonts w:ascii="SimSun" w:hAnsi="SimSun" w:eastAsia="SimSun" w:cs="SimSun"/>
          <w:color w:val="000000"/>
          <w:sz w:val="24"/>
          <w:u w:val="single"/>
        </w:rPr>
        <w:t xml:space="preserve">   </w:t>
      </w:r>
      <w:r>
        <w:rPr>
          <w:rFonts w:ascii="SimSun" w:hAnsi="SimSun" w:eastAsia="SimSun" w:cs="SimSun"/>
          <w:color w:val="000000"/>
          <w:sz w:val="24"/>
        </w:rPr>
        <w:t xml:space="preserve">人，营业收入为 </w:t>
      </w:r>
      <w:r>
        <w:rPr>
          <w:rFonts w:ascii="SimSun" w:hAnsi="SimSun" w:eastAsia="SimSun" w:cs="SimSun"/>
          <w:color w:val="000000"/>
          <w:sz w:val="24"/>
          <w:u w:val="single"/>
        </w:rPr>
        <w:t xml:space="preserve">       </w:t>
      </w:r>
      <w:r>
        <w:rPr>
          <w:rFonts w:ascii="SimSun" w:hAnsi="SimSun" w:eastAsia="SimSun" w:cs="SimSun"/>
          <w:color w:val="000000"/>
          <w:sz w:val="24"/>
        </w:rPr>
        <w:t xml:space="preserve">万元，资产总额为</w:t>
      </w:r>
      <w:r>
        <w:rPr>
          <w:rFonts w:ascii="SimSun" w:hAnsi="SimSun" w:eastAsia="SimSun" w:cs="SimSun"/>
          <w:color w:val="000000"/>
          <w:sz w:val="24"/>
          <w:u w:val="single"/>
        </w:rPr>
        <w:t xml:space="preserve">        </w:t>
      </w:r>
      <w:r>
        <w:rPr>
          <w:rFonts w:ascii="SimSun" w:hAnsi="SimSun" w:eastAsia="SimSun" w:cs="SimSun"/>
          <w:color w:val="000000"/>
          <w:sz w:val="24"/>
        </w:rPr>
        <w:t xml:space="preserve">万元，属于</w:t>
      </w:r>
      <w:r>
        <w:rPr>
          <w:rFonts w:ascii="SimSun" w:hAnsi="SimSun" w:eastAsia="SimSun" w:cs="SimSun"/>
          <w:color w:val="000000"/>
          <w:sz w:val="24"/>
          <w:u w:val="single"/>
        </w:rPr>
        <w:t xml:space="preserve">（中型企业、小型企业、微型企业）；</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以上企业，不属于大企业的分支机构，不存在控股股东为大企业的情形，也不存在与大企业的负责人为同一人的情形。</w:t>
      </w:r>
      <w:r/>
    </w:p>
    <w:p>
      <w:pPr>
        <w:ind w:left="0" w:right="0" w:firstLine="480"/>
        <w:spacing w:before="240" w:after="24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本企业对上述声明内容的真实性负责。如有虚假，将依法承担相应责任。</w:t>
      </w:r>
      <w:r/>
    </w:p>
    <w:p>
      <w:pPr>
        <w:ind w:left="0" w:right="72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360"/>
        <w:spacing w:before="240" w:after="24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18"/>
          <w:vertAlign w:val="superscript"/>
        </w:rPr>
        <w:t xml:space="preserve">1</w:t>
      </w:r>
      <w:r>
        <w:rPr>
          <w:rFonts w:ascii="SimSun" w:hAnsi="SimSun" w:eastAsia="SimSun" w:cs="SimSun"/>
          <w:color w:val="000000"/>
          <w:sz w:val="18"/>
        </w:rPr>
        <w:t xml:space="preserve">从业人员、营业收入、资产总额填报上一年数据，无上一年数据的新成立企业可不填报。</w:t>
      </w:r>
      <w:r/>
    </w:p>
    <w:p>
      <w:pPr>
        <w:ind w:left="0" w:right="0" w:firstLine="0"/>
        <w:jc w:val="both"/>
        <w:spacing w:before="0" w:after="0" w:line="460"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151" w:after="151"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残疾人福利性单位声明函</w:t>
      </w:r>
      <w:r/>
    </w:p>
    <w:p>
      <w:pPr>
        <w:ind w:left="0" w:right="0" w:firstLine="0"/>
        <w:spacing w:before="240" w:after="24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
          <w:sz w:val="30"/>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w:t>
      </w:r>
      <w:r>
        <w:rPr>
          <w:rFonts w:ascii="Times New Roman" w:hAnsi="Times New Roman" w:eastAsia="Times New Roman" w:cs="Times New Roman"/>
          <w:color w:val="000000"/>
          <w:sz w:val="24"/>
        </w:rPr>
        <w:t xml:space="preserve">2017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141</w:t>
      </w:r>
      <w:r>
        <w:rPr>
          <w:rFonts w:ascii="SimSun" w:hAnsi="SimSun" w:eastAsia="SimSun" w:cs="SimSun"/>
          <w:color w:val="000000"/>
          <w:sz w:val="24"/>
        </w:rPr>
        <w:t xml:space="preserve">号）的规定，本单位为符合条件的残疾人福利性单位，且本单位参加</w:t>
      </w:r>
      <w:r>
        <w:rPr>
          <w:rFonts w:ascii="SimSun" w:hAnsi="SimSun" w:eastAsia="SimSun" w:cs="SimSun"/>
          <w:color w:val="000000"/>
          <w:sz w:val="24"/>
          <w:u w:val="single"/>
        </w:rPr>
        <w:t xml:space="preserve">          </w:t>
      </w:r>
      <w:r>
        <w:rPr>
          <w:rFonts w:ascii="SimSun" w:hAnsi="SimSun" w:eastAsia="SimSun" w:cs="SimSun"/>
          <w:color w:val="000000"/>
          <w:sz w:val="24"/>
        </w:rPr>
        <w:t xml:space="preserve">的</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项目采购活动提供本单位制造的货物（由本单位承担工程</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提供服务），或者提供其他残疾人福利性单位制造的货物（不包括使用非残疾人福利性单位注册商标的货物）。</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、投标人如不提供此声明函，价格将不做相应扣除。</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、中标人为残疾人福利单位的，此声明函将随中标结果同时公告，接受社会监督。）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30"/>
        </w:rPr>
        <w:t xml:space="preserve"> </w:t>
      </w:r>
      <w:r/>
    </w:p>
    <w:p>
      <w:pPr>
        <w:ind w:left="0" w:right="0" w:firstLine="0"/>
        <w:spacing w:before="240" w:after="24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180" w:firstLine="360"/>
        <w:jc w:val="right"/>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企业名称：（加盖</w:t>
      </w:r>
      <w:r>
        <w:rPr>
          <w:rFonts w:ascii="Times New Roman" w:hAnsi="Times New Roman" w:eastAsia="Times New Roman" w:cs="Times New Roman"/>
          <w:color w:val="000000"/>
          <w:sz w:val="24"/>
        </w:rPr>
        <w:t xml:space="preserve">CA</w:t>
      </w:r>
      <w:r>
        <w:rPr>
          <w:rFonts w:ascii="SimSun" w:hAnsi="SimSun" w:eastAsia="SimSun" w:cs="SimSun"/>
          <w:color w:val="000000"/>
          <w:sz w:val="24"/>
        </w:rPr>
        <w:t xml:space="preserve">电子公章）</w:t>
      </w:r>
      <w:r/>
    </w:p>
    <w:p>
      <w:pPr>
        <w:ind w:left="0" w:right="0" w:firstLine="57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w:t>
      </w:r>
      <w:r>
        <w:rPr>
          <w:rFonts w:ascii="SimSun" w:hAnsi="SimSun" w:eastAsia="SimSun" w:cs="SimSun"/>
          <w:color w:val="000000"/>
          <w:sz w:val="24"/>
        </w:rPr>
        <w:t xml:space="preserve">日</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br w:type="page" w:clear="all"/>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八</w:t>
      </w:r>
      <w:r>
        <w:rPr>
          <w:rFonts w:ascii="SimSun" w:hAnsi="SimSun" w:eastAsia="SimSun" w:cs="SimSun"/>
          <w:b/>
          <w:color w:val="000000"/>
          <w:sz w:val="32"/>
        </w:rPr>
        <w:t xml:space="preserve">、技术响应偏离表（技术参数响应）</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79"/>
        <w:gridCol w:w="2376"/>
        <w:gridCol w:w="1986"/>
        <w:gridCol w:w="2214"/>
      </w:tblGrid>
      <w:tr>
        <w:trPr>
          <w:trHeight w:val="66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招标文件内容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投标文件内容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偏离情况</w:t>
            </w:r>
            <w:r/>
          </w:p>
          <w:p>
            <w:pPr>
              <w:ind w:left="0" w:right="0" w:firstLine="0"/>
              <w:jc w:val="center"/>
              <w:spacing w:before="10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w:t>
            </w:r>
            <w:r>
              <w:rPr>
                <w:rFonts w:ascii="SimSun" w:hAnsi="SimSun" w:eastAsia="SimSun" w:cs="SimSun"/>
                <w:b/>
                <w:color w:val="000000"/>
                <w:sz w:val="24"/>
              </w:rPr>
              <w:t xml:space="preserve">正偏离、负偏离、无偏离</w:t>
            </w:r>
            <w:r>
              <w:rPr>
                <w:rFonts w:ascii="SimSun" w:hAnsi="SimSun" w:eastAsia="SimSun" w:cs="SimSun"/>
                <w:color w:val="000000"/>
                <w:sz w:val="28"/>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100" w:after="0" w:line="558"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偏离内容及说明</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r>
        <w:trPr>
          <w:trHeight w:val="6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779"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7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6"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214" w:type="dxa"/>
            <w:vAlign w:val="center"/>
            <w:textDirection w:val="lrTb"/>
            <w:noWrap w:val="false"/>
          </w:tcPr>
          <w:p>
            <w:pPr>
              <w:ind w:left="0" w:right="0" w:firstLine="0"/>
              <w:jc w:val="center"/>
              <w:spacing w:before="0" w:after="0" w:line="558"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tc>
      </w:tr>
    </w:tbl>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备注：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针对采购需求中的实质性要求（“★”内容），投标人须做出明确响应。采购需求中要求提供证明材料的，以证明材料为准；若《技术响应偏离表》填写情况与提供证明材料的内容不一致，以证明材料为准；采购需求中未要求提供证明材料的，以《技术响应偏离表》为准，《技术响应偏离表》中未列明的，</w:t>
      </w:r>
      <w:r>
        <w:rPr>
          <w:rFonts w:ascii="SimSun" w:hAnsi="SimSun" w:eastAsia="SimSun" w:cs="SimSun"/>
          <w:b/>
          <w:color w:val="000000"/>
          <w:sz w:val="24"/>
        </w:rPr>
        <w:t xml:space="preserve">作无效响应处理。</w:t>
      </w:r>
      <w:r/>
    </w:p>
    <w:p>
      <w:pPr>
        <w:ind w:left="0" w:right="0" w:firstLine="482"/>
        <w:jc w:val="both"/>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对采购需求的其它非实质性要求，投标人按所投产品情况在此表中详细列出偏离情况（包括正偏离、负偏离、无偏离）并说明理由；未列明的均视为未响应招标文件要求。</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6"/>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九、项目组人员</w:t>
      </w:r>
      <w:r/>
    </w:p>
    <w:p>
      <w:pPr>
        <w:ind w:left="0" w:right="0" w:firstLine="0"/>
        <w:jc w:val="center"/>
        <w:spacing w:before="100" w:after="100" w:line="6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项目组成员</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职务</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28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身份证号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相关证书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0"/>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备注</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技术负责人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jc w:val="center"/>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0"/>
              <w:spacing w:before="100" w:after="1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72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59"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43"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9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84"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0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62" w:type="dxa"/>
            <w:vAlign w:val="center"/>
            <w:textDirection w:val="lrTb"/>
            <w:noWrap w:val="false"/>
          </w:tcPr>
          <w:p>
            <w:pPr>
              <w:ind w:left="0" w:right="0" w:firstLine="56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398"/>
        <w:spacing w:before="100" w:after="100" w:line="460"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注：如供应商中标，项目组成员必须按本表承诺人员操作，不得随意更换。</w:t>
      </w:r>
      <w:r/>
    </w:p>
    <w:p>
      <w:pPr>
        <w:ind w:left="0" w:right="0" w:firstLine="280"/>
        <w:spacing w:before="100" w:after="100" w:line="49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line="49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十、企业业绩</w:t>
      </w:r>
      <w:r/>
    </w:p>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投标人承担类似项目业绩一览表</w:t>
      </w:r>
      <w:r/>
    </w:p>
    <w:tbl>
      <w:tblPr>
        <w:tblStyle w:val="672"/>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220"/>
        <w:gridCol w:w="3793"/>
        <w:gridCol w:w="2412"/>
        <w:gridCol w:w="1385"/>
      </w:tblGrid>
      <w:tr>
        <w:trPr>
          <w:trHeight w:val="753"/>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采购单位</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合同金额</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1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r>
        <w:trPr>
          <w:trHeight w:val="152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220" w:type="dxa"/>
            <w:vAlign w:val="top"/>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3793"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412"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1385" w:type="dxa"/>
            <w:vAlign w:val="center"/>
            <w:textDirection w:val="lrTb"/>
            <w:noWrap w:val="false"/>
          </w:tcPr>
          <w:p>
            <w:pPr>
              <w:ind w:left="0" w:right="0" w:firstLine="0"/>
              <w:jc w:val="center"/>
              <w:spacing w:before="200" w:after="20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tc>
      </w:tr>
    </w:tbl>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4"/>
        </w:rPr>
        <w:t xml:space="preserve">注：请填写此表，并按要求上传业绩资料电子件。</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十一、承诺函</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宿迁市公路事业发展中心、宿迁市楚润数据集团有限公司：</w:t>
      </w:r>
      <w:r/>
    </w:p>
    <w:p>
      <w:pPr>
        <w:ind w:left="0" w:right="0" w:firstLine="560"/>
        <w:jc w:val="both"/>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根据宿迁大道(迎宾大道至杨舍路) 快速化改造工程监控采购项目采购文件相关要求，承诺如下：</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我方中标，将按采购人要求负责本项目及其他项目的联调联试工作，包括但不限于设备调试、验收工作，接受采购人拟定的牵头人牵头完成整个项目的交付，满足采购人使用要求（投标时提供加盖本单位公章的承诺函电子件，格式见“投标文件”承诺函）。</w:t>
      </w:r>
      <w:r/>
    </w:p>
    <w:p>
      <w:pPr>
        <w:ind w:left="0" w:right="0" w:firstLine="56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如违反，将自愿接受按“提供虚假材料谋取中标”进行处理，承担相关责任。</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 </w:t>
      </w:r>
      <w:r/>
    </w:p>
    <w:p>
      <w:pPr>
        <w:ind w:left="0" w:right="0" w:firstLine="0"/>
        <w:jc w:val="right"/>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单位名称（公章）：</w:t>
      </w:r>
      <w:r/>
    </w:p>
    <w:p>
      <w:pPr>
        <w:ind w:left="0" w:right="0" w:firstLine="560"/>
        <w:jc w:val="right"/>
        <w:spacing w:before="0" w:after="0" w:line="559"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年月日</w:t>
      </w:r>
      <w:r/>
    </w:p>
    <w:p>
      <w:pPr>
        <w:ind w:left="0" w:right="0" w:firstLine="0"/>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十二、投标所需其他材料</w:t>
      </w:r>
      <w:r/>
    </w:p>
    <w:p>
      <w:pPr>
        <w:ind w:left="0" w:right="0" w:firstLine="560"/>
        <w:spacing w:before="240" w:after="24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请在此文档中增加投标所需其他相关内容（包括资格要求、评分办法、采购需求中涉及的证件证明及其它投标人认为有必要提供的资料），如没有请将此空文档上传。</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32"/>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0"/>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spacing w:before="240" w:after="240"/>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质疑函范本</w:t>
      </w:r>
      <w:r/>
    </w:p>
    <w:p>
      <w:pPr>
        <w:ind w:left="0" w:right="0" w:firstLine="0"/>
        <w:jc w:val="both"/>
        <w:spacing w:before="29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一、质疑投标人基本信息</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质疑投标人：</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联系人：</w:t>
      </w:r>
      <w:r>
        <w:rPr>
          <w:rFonts w:ascii="SimSun" w:hAnsi="SimSun" w:eastAsia="SimSun" w:cs="SimSun"/>
          <w:color w:val="000000"/>
          <w:sz w:val="24"/>
          <w:u w:val="single"/>
        </w:rPr>
        <w:t xml:space="preserve">                      </w:t>
      </w: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授权代表：</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邮编：</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二、质疑项目基本情况</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质疑项目的编号：</w:t>
      </w:r>
      <w:r>
        <w:rPr>
          <w:rFonts w:ascii="SimSun" w:hAnsi="SimSun" w:eastAsia="SimSun" w:cs="SimSun"/>
          <w:color w:val="000000"/>
          <w:sz w:val="24"/>
          <w:u w:val="single"/>
        </w:rPr>
        <w:t xml:space="preserve">                         </w:t>
      </w:r>
      <w:r>
        <w:rPr>
          <w:rFonts w:ascii="SimSun" w:hAnsi="SimSun" w:eastAsia="SimSun" w:cs="SimSun"/>
          <w:color w:val="000000"/>
          <w:sz w:val="24"/>
        </w:rPr>
        <w:t xml:space="preserve">包号：</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采购人名称：</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采购文件获取日期：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三、质疑事项具体内容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事实依据：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法律依据：</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质疑事项</w:t>
      </w:r>
      <w:r>
        <w:rPr>
          <w:rFonts w:ascii="Times New Roman" w:hAnsi="Times New Roman" w:eastAsia="Times New Roman" w:cs="Times New Roman"/>
          <w:color w:val="000000"/>
          <w:sz w:val="24"/>
        </w:rPr>
        <w:t xml:space="preserve">2</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四、与质疑事项相关的质疑请求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请求：</w:t>
      </w:r>
      <w:r>
        <w:rPr>
          <w:rFonts w:ascii="SimSun" w:hAnsi="SimSun" w:eastAsia="SimSun" w:cs="SimSun"/>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签字</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签章</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                   公章：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质疑函制作说明：</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投标人提出质疑时，应提交质疑函和必要的证明材料。</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质疑投标人若对项目的某一分包进行质疑，质疑函中应列明具体分包号。</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质疑函的质疑事项应具体、明确，并有必要的事实依据和法律依据。</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质疑函的质疑请求应与质疑事项相关。</w:t>
      </w:r>
      <w:r/>
    </w:p>
    <w:p>
      <w:pPr>
        <w:ind w:left="0" w:right="0" w:firstLine="480"/>
        <w:spacing w:before="0" w:after="0" w:line="40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质疑投标人为自然人的，质疑函应由本人签字；质疑投标人为法人或者其他组织的，质疑函应由法定代表人、主要负责人，或者其授权代表签字或者盖章，并加盖公章。</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FangSong">
    <w:panose1 w:val="02010609060101010101"/>
  </w:font>
  <w:font w:name="SimHei">
    <w:panose1 w:val="02010609060101010101"/>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0" w:firstLine="0"/>
      </w:pPr>
    </w:lvl>
    <w:lvl w:ilvl="1">
      <w:start w:val="1"/>
      <w:numFmt w:val="bullet"/>
      <w:isLgl w:val="false"/>
      <w:suff w:val="tab"/>
      <w:lvlText w:val="&quot;o&quot;"/>
      <w:lvlJc w:val="left"/>
      <w:pPr>
        <w:ind w:left="1440" w:hanging="360"/>
      </w:pPr>
      <w:rPr>
        <w:rFonts w:hint="default" w:ascii="Courier New" w:hAnsi="Courier New" w:eastAsia="Courier New" w:cs="Courier New"/>
      </w:rPr>
    </w:lvl>
    <w:lvl w:ilvl="2">
      <w:start w:val="1"/>
      <w:numFmt w:val="bullet"/>
      <w:isLgl w:val="false"/>
      <w:suff w:val="tab"/>
      <w:lvlText w:val="&quot;§&quot;"/>
      <w:lvlJc w:val="left"/>
      <w:pPr>
        <w:ind w:left="2160" w:hanging="360"/>
      </w:pPr>
      <w:rPr>
        <w:rFonts w:hint="default" w:ascii="Wingdings" w:hAnsi="Wingdings" w:eastAsia="Wingdings" w:cs="Wingdings"/>
      </w:rPr>
    </w:lvl>
    <w:lvl w:ilvl="3">
      <w:start w:val="1"/>
      <w:numFmt w:val="bullet"/>
      <w:isLgl w:val="false"/>
      <w:suff w:val="tab"/>
      <w:lvlText w:val="&quot;·&quot;"/>
      <w:lvlJc w:val="left"/>
      <w:pPr>
        <w:ind w:left="2880" w:hanging="360"/>
      </w:pPr>
      <w:rPr>
        <w:rFonts w:hint="default" w:ascii="Symbol" w:hAnsi="Symbol" w:eastAsia="Symbol" w:cs="Symbol"/>
      </w:rPr>
    </w:lvl>
    <w:lvl w:ilvl="4">
      <w:start w:val="1"/>
      <w:numFmt w:val="bullet"/>
      <w:isLgl w:val="false"/>
      <w:suff w:val="tab"/>
      <w:lvlText w:val="&quot;o&quot;"/>
      <w:lvlJc w:val="left"/>
      <w:pPr>
        <w:ind w:left="3600" w:hanging="360"/>
      </w:pPr>
      <w:rPr>
        <w:rFonts w:hint="default" w:ascii="Courier New" w:hAnsi="Courier New" w:eastAsia="Courier New" w:cs="Courier New"/>
      </w:rPr>
    </w:lvl>
    <w:lvl w:ilvl="5">
      <w:start w:val="1"/>
      <w:numFmt w:val="bullet"/>
      <w:isLgl w:val="false"/>
      <w:suff w:val="tab"/>
      <w:lvlText w:val="&quot;§&quot;"/>
      <w:lvlJc w:val="left"/>
      <w:pPr>
        <w:ind w:left="4320" w:hanging="360"/>
      </w:pPr>
      <w:rPr>
        <w:rFonts w:hint="default" w:ascii="Wingdings" w:hAnsi="Wingdings" w:eastAsia="Wingdings" w:cs="Wingdings"/>
      </w:rPr>
    </w:lvl>
    <w:lvl w:ilvl="6">
      <w:start w:val="1"/>
      <w:numFmt w:val="bullet"/>
      <w:isLgl w:val="false"/>
      <w:suff w:val="tab"/>
      <w:lvlText w:val="&quot;·&quot;"/>
      <w:lvlJc w:val="left"/>
      <w:pPr>
        <w:ind w:left="5040" w:hanging="360"/>
      </w:pPr>
      <w:rPr>
        <w:rFonts w:hint="default" w:ascii="Symbol" w:hAnsi="Symbol" w:eastAsia="Symbol" w:cs="Symbol"/>
      </w:rPr>
    </w:lvl>
    <w:lvl w:ilvl="7">
      <w:start w:val="1"/>
      <w:numFmt w:val="bullet"/>
      <w:isLgl w:val="false"/>
      <w:suff w:val="tab"/>
      <w:lvlText w:val="&quot;o&quot;"/>
      <w:lvlJc w:val="left"/>
      <w:pPr>
        <w:ind w:left="5760" w:hanging="360"/>
      </w:pPr>
      <w:rPr>
        <w:rFonts w:hint="default" w:ascii="Courier New" w:hAnsi="Courier New" w:eastAsia="Courier New" w:cs="Courier New"/>
      </w:rPr>
    </w:lvl>
    <w:lvl w:ilvl="8">
      <w:start w:val="1"/>
      <w:numFmt w:val="bullet"/>
      <w:isLgl w:val="false"/>
      <w:suff w:val="tab"/>
      <w:lvlText w:val="&quot;§&quot;"/>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38">
    <w:name w:val="Heading 1"/>
    <w:link w:val="639"/>
    <w:uiPriority w:val="9"/>
    <w:qFormat/>
    <w:pPr>
      <w:keepLines/>
      <w:keepNext/>
      <w:spacing w:before="480" w:after="200"/>
      <w:outlineLvl w:val="0"/>
    </w:pPr>
    <w:rPr>
      <w:rFonts w:ascii="Arial" w:hAnsi="Arial" w:eastAsia="Arial" w:cs="Arial"/>
      <w:sz w:val="40"/>
      <w:szCs w:val="40"/>
    </w:rPr>
  </w:style>
  <w:style w:type="character" w:styleId="639">
    <w:name w:val="Heading 1 Char"/>
    <w:link w:val="638"/>
    <w:uiPriority w:val="9"/>
    <w:rPr>
      <w:rFonts w:ascii="Arial" w:hAnsi="Arial" w:eastAsia="Arial" w:cs="Arial"/>
      <w:sz w:val="40"/>
      <w:szCs w:val="40"/>
    </w:rPr>
  </w:style>
  <w:style w:type="paragraph" w:styleId="640">
    <w:name w:val="Heading 2"/>
    <w:link w:val="641"/>
    <w:uiPriority w:val="9"/>
    <w:unhideWhenUsed/>
    <w:qFormat/>
    <w:pPr>
      <w:keepLines/>
      <w:keepNext/>
      <w:spacing w:before="360" w:after="200"/>
      <w:outlineLvl w:val="1"/>
    </w:pPr>
    <w:rPr>
      <w:rFonts w:ascii="Arial" w:hAnsi="Arial" w:eastAsia="Arial" w:cs="Arial"/>
      <w:sz w:val="34"/>
    </w:rPr>
  </w:style>
  <w:style w:type="character" w:styleId="641">
    <w:name w:val="Heading 2 Char"/>
    <w:link w:val="640"/>
    <w:uiPriority w:val="9"/>
    <w:rPr>
      <w:rFonts w:ascii="Arial" w:hAnsi="Arial" w:eastAsia="Arial" w:cs="Arial"/>
      <w:sz w:val="34"/>
    </w:rPr>
  </w:style>
  <w:style w:type="paragraph" w:styleId="642">
    <w:name w:val="Heading 3"/>
    <w:link w:val="643"/>
    <w:uiPriority w:val="9"/>
    <w:unhideWhenUsed/>
    <w:qFormat/>
    <w:pPr>
      <w:keepLines/>
      <w:keepNext/>
      <w:spacing w:before="320" w:after="200"/>
      <w:outlineLvl w:val="2"/>
    </w:pPr>
    <w:rPr>
      <w:rFonts w:ascii="Arial" w:hAnsi="Arial" w:eastAsia="Arial" w:cs="Arial"/>
      <w:sz w:val="30"/>
      <w:szCs w:val="30"/>
    </w:rPr>
  </w:style>
  <w:style w:type="character" w:styleId="643">
    <w:name w:val="Heading 3 Char"/>
    <w:link w:val="642"/>
    <w:uiPriority w:val="9"/>
    <w:rPr>
      <w:rFonts w:ascii="Arial" w:hAnsi="Arial" w:eastAsia="Arial" w:cs="Arial"/>
      <w:sz w:val="30"/>
      <w:szCs w:val="30"/>
    </w:rPr>
  </w:style>
  <w:style w:type="paragraph" w:styleId="644">
    <w:name w:val="Heading 4"/>
    <w:link w:val="645"/>
    <w:uiPriority w:val="9"/>
    <w:unhideWhenUsed/>
    <w:qFormat/>
    <w:pPr>
      <w:keepLines/>
      <w:keepNext/>
      <w:spacing w:before="320" w:after="200"/>
      <w:outlineLvl w:val="3"/>
    </w:pPr>
    <w:rPr>
      <w:rFonts w:ascii="Arial" w:hAnsi="Arial" w:eastAsia="Arial" w:cs="Arial"/>
      <w:b/>
      <w:bCs/>
      <w:sz w:val="26"/>
      <w:szCs w:val="26"/>
    </w:rPr>
  </w:style>
  <w:style w:type="character" w:styleId="645">
    <w:name w:val="Heading 4 Char"/>
    <w:link w:val="644"/>
    <w:uiPriority w:val="9"/>
    <w:rPr>
      <w:rFonts w:ascii="Arial" w:hAnsi="Arial" w:eastAsia="Arial" w:cs="Arial"/>
      <w:b/>
      <w:bCs/>
      <w:sz w:val="26"/>
      <w:szCs w:val="26"/>
    </w:rPr>
  </w:style>
  <w:style w:type="paragraph" w:styleId="646">
    <w:name w:val="Heading 5"/>
    <w:link w:val="647"/>
    <w:uiPriority w:val="9"/>
    <w:unhideWhenUsed/>
    <w:qFormat/>
    <w:pPr>
      <w:keepLines/>
      <w:keepNext/>
      <w:spacing w:before="320" w:after="200"/>
      <w:outlineLvl w:val="4"/>
    </w:pPr>
    <w:rPr>
      <w:rFonts w:ascii="Arial" w:hAnsi="Arial" w:eastAsia="Arial" w:cs="Arial"/>
      <w:b/>
      <w:bCs/>
      <w:sz w:val="24"/>
      <w:szCs w:val="24"/>
    </w:rPr>
  </w:style>
  <w:style w:type="character" w:styleId="647">
    <w:name w:val="Heading 5 Char"/>
    <w:link w:val="646"/>
    <w:uiPriority w:val="9"/>
    <w:rPr>
      <w:rFonts w:ascii="Arial" w:hAnsi="Arial" w:eastAsia="Arial" w:cs="Arial"/>
      <w:b/>
      <w:bCs/>
      <w:sz w:val="24"/>
      <w:szCs w:val="24"/>
    </w:rPr>
  </w:style>
  <w:style w:type="paragraph" w:styleId="648">
    <w:name w:val="Heading 6"/>
    <w:link w:val="649"/>
    <w:uiPriority w:val="9"/>
    <w:unhideWhenUsed/>
    <w:qFormat/>
    <w:pPr>
      <w:keepLines/>
      <w:keepNext/>
      <w:spacing w:before="320" w:after="200"/>
      <w:outlineLvl w:val="5"/>
    </w:pPr>
    <w:rPr>
      <w:rFonts w:ascii="Arial" w:hAnsi="Arial" w:eastAsia="Arial" w:cs="Arial"/>
      <w:b/>
      <w:bCs/>
      <w:sz w:val="22"/>
      <w:szCs w:val="22"/>
    </w:rPr>
  </w:style>
  <w:style w:type="character" w:styleId="649">
    <w:name w:val="Heading 6 Char"/>
    <w:link w:val="648"/>
    <w:uiPriority w:val="9"/>
    <w:rPr>
      <w:rFonts w:ascii="Arial" w:hAnsi="Arial" w:eastAsia="Arial" w:cs="Arial"/>
      <w:b/>
      <w:bCs/>
      <w:sz w:val="22"/>
      <w:szCs w:val="22"/>
    </w:rPr>
  </w:style>
  <w:style w:type="paragraph" w:styleId="650">
    <w:name w:val="Heading 7"/>
    <w:link w:val="651"/>
    <w:uiPriority w:val="9"/>
    <w:unhideWhenUsed/>
    <w:qFormat/>
    <w:pPr>
      <w:keepLines/>
      <w:keepNext/>
      <w:spacing w:before="320" w:after="200"/>
      <w:outlineLvl w:val="6"/>
    </w:pPr>
    <w:rPr>
      <w:rFonts w:ascii="Arial" w:hAnsi="Arial" w:eastAsia="Arial" w:cs="Arial"/>
      <w:b/>
      <w:bCs/>
      <w:i/>
      <w:iCs/>
      <w:sz w:val="22"/>
      <w:szCs w:val="22"/>
    </w:rPr>
  </w:style>
  <w:style w:type="character" w:styleId="651">
    <w:name w:val="Heading 7 Char"/>
    <w:link w:val="650"/>
    <w:uiPriority w:val="9"/>
    <w:rPr>
      <w:rFonts w:ascii="Arial" w:hAnsi="Arial" w:eastAsia="Arial" w:cs="Arial"/>
      <w:b/>
      <w:bCs/>
      <w:i/>
      <w:iCs/>
      <w:sz w:val="22"/>
      <w:szCs w:val="22"/>
    </w:rPr>
  </w:style>
  <w:style w:type="paragraph" w:styleId="652">
    <w:name w:val="Heading 8"/>
    <w:link w:val="653"/>
    <w:uiPriority w:val="9"/>
    <w:unhideWhenUsed/>
    <w:qFormat/>
    <w:pPr>
      <w:keepLines/>
      <w:keepNext/>
      <w:spacing w:before="320" w:after="200"/>
      <w:outlineLvl w:val="7"/>
    </w:pPr>
    <w:rPr>
      <w:rFonts w:ascii="Arial" w:hAnsi="Arial" w:eastAsia="Arial" w:cs="Arial"/>
      <w:i/>
      <w:iCs/>
      <w:sz w:val="22"/>
      <w:szCs w:val="22"/>
    </w:rPr>
  </w:style>
  <w:style w:type="character" w:styleId="653">
    <w:name w:val="Heading 8 Char"/>
    <w:link w:val="652"/>
    <w:uiPriority w:val="9"/>
    <w:rPr>
      <w:rFonts w:ascii="Arial" w:hAnsi="Arial" w:eastAsia="Arial" w:cs="Arial"/>
      <w:i/>
      <w:iCs/>
      <w:sz w:val="22"/>
      <w:szCs w:val="22"/>
    </w:rPr>
  </w:style>
  <w:style w:type="paragraph" w:styleId="654">
    <w:name w:val="Heading 9"/>
    <w:link w:val="655"/>
    <w:uiPriority w:val="9"/>
    <w:unhideWhenUsed/>
    <w:qFormat/>
    <w:pPr>
      <w:keepLines/>
      <w:keepNext/>
      <w:spacing w:before="320" w:after="200"/>
      <w:outlineLvl w:val="8"/>
    </w:pPr>
    <w:rPr>
      <w:rFonts w:ascii="Arial" w:hAnsi="Arial" w:eastAsia="Arial" w:cs="Arial"/>
      <w:i/>
      <w:iCs/>
      <w:sz w:val="21"/>
      <w:szCs w:val="21"/>
    </w:rPr>
  </w:style>
  <w:style w:type="character" w:styleId="655">
    <w:name w:val="Heading 9 Char"/>
    <w:link w:val="654"/>
    <w:uiPriority w:val="9"/>
    <w:rPr>
      <w:rFonts w:ascii="Arial" w:hAnsi="Arial" w:eastAsia="Arial" w:cs="Arial"/>
      <w:i/>
      <w:iCs/>
      <w:sz w:val="21"/>
      <w:szCs w:val="21"/>
    </w:rPr>
  </w:style>
  <w:style w:type="paragraph" w:styleId="656">
    <w:name w:val="List Paragraph"/>
    <w:uiPriority w:val="34"/>
    <w:qFormat/>
    <w:pPr>
      <w:contextualSpacing/>
      <w:ind w:left="720"/>
    </w:pPr>
  </w:style>
  <w:style w:type="paragraph" w:styleId="657">
    <w:name w:val="No Spacing"/>
    <w:uiPriority w:val="1"/>
    <w:qFormat/>
    <w:pPr>
      <w:spacing w:before="0" w:after="0" w:line="240" w:lineRule="auto"/>
    </w:pPr>
  </w:style>
  <w:style w:type="paragraph" w:styleId="658">
    <w:name w:val="Title"/>
    <w:link w:val="659"/>
    <w:uiPriority w:val="10"/>
    <w:qFormat/>
    <w:pPr>
      <w:contextualSpacing/>
      <w:spacing w:before="300" w:after="200"/>
    </w:pPr>
    <w:rPr>
      <w:sz w:val="48"/>
      <w:szCs w:val="48"/>
    </w:rPr>
  </w:style>
  <w:style w:type="character" w:styleId="659">
    <w:name w:val="Title Char"/>
    <w:link w:val="658"/>
    <w:uiPriority w:val="10"/>
    <w:rPr>
      <w:sz w:val="48"/>
      <w:szCs w:val="48"/>
    </w:rPr>
  </w:style>
  <w:style w:type="paragraph" w:styleId="660">
    <w:name w:val="Subtitle"/>
    <w:link w:val="661"/>
    <w:uiPriority w:val="11"/>
    <w:qFormat/>
    <w:pPr>
      <w:spacing w:before="200" w:after="200"/>
    </w:pPr>
    <w:rPr>
      <w:sz w:val="24"/>
      <w:szCs w:val="24"/>
    </w:rPr>
  </w:style>
  <w:style w:type="character" w:styleId="661">
    <w:name w:val="Subtitle Char"/>
    <w:link w:val="660"/>
    <w:uiPriority w:val="11"/>
    <w:rPr>
      <w:sz w:val="24"/>
      <w:szCs w:val="24"/>
    </w:rPr>
  </w:style>
  <w:style w:type="paragraph" w:styleId="662">
    <w:name w:val="Quote"/>
    <w:link w:val="663"/>
    <w:uiPriority w:val="29"/>
    <w:qFormat/>
    <w:pPr>
      <w:ind w:left="720" w:right="720"/>
    </w:pPr>
    <w:rPr>
      <w:i/>
    </w:rPr>
  </w:style>
  <w:style w:type="character" w:styleId="663">
    <w:name w:val="Quote Char"/>
    <w:link w:val="662"/>
    <w:uiPriority w:val="29"/>
    <w:rPr>
      <w:i/>
    </w:rPr>
  </w:style>
  <w:style w:type="paragraph" w:styleId="664">
    <w:name w:val="Intense Quote"/>
    <w:link w:val="66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65">
    <w:name w:val="Intense Quote Char"/>
    <w:link w:val="664"/>
    <w:uiPriority w:val="30"/>
    <w:rPr>
      <w:i/>
    </w:rPr>
  </w:style>
  <w:style w:type="paragraph" w:styleId="666">
    <w:name w:val="Header"/>
    <w:link w:val="667"/>
    <w:uiPriority w:val="99"/>
    <w:unhideWhenUsed/>
    <w:pPr>
      <w:spacing w:after="0" w:line="240" w:lineRule="auto"/>
      <w:tabs>
        <w:tab w:val="center" w:pos="7143" w:leader="none"/>
        <w:tab w:val="right" w:pos="14287" w:leader="none"/>
      </w:tabs>
    </w:pPr>
  </w:style>
  <w:style w:type="character" w:styleId="667">
    <w:name w:val="Header Char"/>
    <w:link w:val="666"/>
    <w:uiPriority w:val="99"/>
  </w:style>
  <w:style w:type="paragraph" w:styleId="668">
    <w:name w:val="Footer"/>
    <w:link w:val="671"/>
    <w:uiPriority w:val="99"/>
    <w:unhideWhenUsed/>
    <w:pPr>
      <w:spacing w:after="0" w:line="240" w:lineRule="auto"/>
      <w:tabs>
        <w:tab w:val="center" w:pos="7143" w:leader="none"/>
        <w:tab w:val="right" w:pos="14287" w:leader="none"/>
      </w:tabs>
    </w:pPr>
  </w:style>
  <w:style w:type="character" w:styleId="669">
    <w:name w:val="Footer Char"/>
    <w:link w:val="668"/>
    <w:uiPriority w:val="99"/>
  </w:style>
  <w:style w:type="paragraph" w:styleId="670">
    <w:name w:val="Caption"/>
    <w:uiPriority w:val="35"/>
    <w:semiHidden/>
    <w:unhideWhenUsed/>
    <w:qFormat/>
    <w:pPr>
      <w:spacing w:line="276" w:lineRule="auto"/>
    </w:pPr>
    <w:rPr>
      <w:b/>
      <w:bCs/>
      <w:color w:val="4f81bd" w:themeColor="accent1"/>
      <w:sz w:val="18"/>
      <w:szCs w:val="18"/>
    </w:rPr>
  </w:style>
  <w:style w:type="character" w:styleId="671">
    <w:name w:val="Caption Char"/>
    <w:basedOn w:val="670"/>
    <w:link w:val="668"/>
    <w:uiPriority w:val="99"/>
  </w:style>
  <w:style w:type="table" w:styleId="67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7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7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7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7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7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7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8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8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8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8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8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0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0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0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0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0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1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1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1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1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1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2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2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2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2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2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3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3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3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3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3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4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4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4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4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4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4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5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5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5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6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6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6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6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6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6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7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7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7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7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7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7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8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79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79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79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79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798">
    <w:name w:val="Hyperlink"/>
    <w:uiPriority w:val="99"/>
    <w:unhideWhenUsed/>
    <w:rPr>
      <w:color w:val="0000ff" w:themeColor="hyperlink"/>
      <w:u w:val="single"/>
    </w:rPr>
  </w:style>
  <w:style w:type="paragraph" w:styleId="799">
    <w:name w:val="footnote text"/>
    <w:link w:val="800"/>
    <w:uiPriority w:val="99"/>
    <w:semiHidden/>
    <w:unhideWhenUsed/>
    <w:pPr>
      <w:spacing w:after="40" w:line="240" w:lineRule="auto"/>
    </w:pPr>
    <w:rPr>
      <w:sz w:val="18"/>
    </w:rPr>
  </w:style>
  <w:style w:type="character" w:styleId="800">
    <w:name w:val="Footnote Text Char"/>
    <w:link w:val="799"/>
    <w:uiPriority w:val="99"/>
    <w:rPr>
      <w:sz w:val="18"/>
    </w:rPr>
  </w:style>
  <w:style w:type="character" w:styleId="801">
    <w:name w:val="footnote reference"/>
    <w:uiPriority w:val="99"/>
    <w:unhideWhenUsed/>
    <w:rPr>
      <w:vertAlign w:val="superscript"/>
    </w:rPr>
  </w:style>
  <w:style w:type="paragraph" w:styleId="802">
    <w:name w:val="endnote text"/>
    <w:link w:val="803"/>
    <w:uiPriority w:val="99"/>
    <w:semiHidden/>
    <w:unhideWhenUsed/>
    <w:pPr>
      <w:spacing w:after="0" w:line="240" w:lineRule="auto"/>
    </w:pPr>
    <w:rPr>
      <w:sz w:val="20"/>
    </w:rPr>
  </w:style>
  <w:style w:type="character" w:styleId="803">
    <w:name w:val="Endnote Text Char"/>
    <w:link w:val="802"/>
    <w:uiPriority w:val="99"/>
    <w:rPr>
      <w:sz w:val="20"/>
    </w:rPr>
  </w:style>
  <w:style w:type="character" w:styleId="804">
    <w:name w:val="endnote reference"/>
    <w:uiPriority w:val="99"/>
    <w:semiHidden/>
    <w:unhideWhenUsed/>
    <w:rPr>
      <w:vertAlign w:val="superscript"/>
    </w:rPr>
  </w:style>
  <w:style w:type="paragraph" w:styleId="805">
    <w:name w:val="toc 1"/>
    <w:uiPriority w:val="39"/>
    <w:unhideWhenUsed/>
    <w:pPr>
      <w:ind w:left="0" w:right="0" w:firstLine="0"/>
      <w:spacing w:after="57"/>
    </w:pPr>
  </w:style>
  <w:style w:type="paragraph" w:styleId="806">
    <w:name w:val="toc 2"/>
    <w:uiPriority w:val="39"/>
    <w:unhideWhenUsed/>
    <w:pPr>
      <w:ind w:left="283" w:right="0" w:firstLine="0"/>
      <w:spacing w:after="57"/>
    </w:pPr>
  </w:style>
  <w:style w:type="paragraph" w:styleId="807">
    <w:name w:val="toc 3"/>
    <w:uiPriority w:val="39"/>
    <w:unhideWhenUsed/>
    <w:pPr>
      <w:ind w:left="567" w:right="0" w:firstLine="0"/>
      <w:spacing w:after="57"/>
    </w:pPr>
  </w:style>
  <w:style w:type="paragraph" w:styleId="808">
    <w:name w:val="toc 4"/>
    <w:uiPriority w:val="39"/>
    <w:unhideWhenUsed/>
    <w:pPr>
      <w:ind w:left="850" w:right="0" w:firstLine="0"/>
      <w:spacing w:after="57"/>
    </w:pPr>
  </w:style>
  <w:style w:type="paragraph" w:styleId="809">
    <w:name w:val="toc 5"/>
    <w:uiPriority w:val="39"/>
    <w:unhideWhenUsed/>
    <w:pPr>
      <w:ind w:left="1134" w:right="0" w:firstLine="0"/>
      <w:spacing w:after="57"/>
    </w:pPr>
  </w:style>
  <w:style w:type="paragraph" w:styleId="810">
    <w:name w:val="toc 6"/>
    <w:uiPriority w:val="39"/>
    <w:unhideWhenUsed/>
    <w:pPr>
      <w:ind w:left="1417" w:right="0" w:firstLine="0"/>
      <w:spacing w:after="57"/>
    </w:pPr>
  </w:style>
  <w:style w:type="paragraph" w:styleId="811">
    <w:name w:val="toc 7"/>
    <w:uiPriority w:val="39"/>
    <w:unhideWhenUsed/>
    <w:pPr>
      <w:ind w:left="1701" w:right="0" w:firstLine="0"/>
      <w:spacing w:after="57"/>
    </w:pPr>
  </w:style>
  <w:style w:type="paragraph" w:styleId="812">
    <w:name w:val="toc 8"/>
    <w:uiPriority w:val="39"/>
    <w:unhideWhenUsed/>
    <w:pPr>
      <w:ind w:left="1984" w:right="0" w:firstLine="0"/>
      <w:spacing w:after="57"/>
    </w:pPr>
  </w:style>
  <w:style w:type="paragraph" w:styleId="813">
    <w:name w:val="toc 9"/>
    <w:uiPriority w:val="39"/>
    <w:unhideWhenUsed/>
    <w:pPr>
      <w:ind w:left="2268" w:right="0" w:firstLine="0"/>
      <w:spacing w:after="57"/>
    </w:pPr>
  </w:style>
  <w:style w:type="paragraph" w:styleId="814">
    <w:name w:val="TOC Heading"/>
    <w:uiPriority w:val="39"/>
    <w:unhideWhenUsed/>
  </w:style>
  <w:style w:type="paragraph" w:styleId="815">
    <w:name w:val="table of figures"/>
    <w:uiPriority w:val="99"/>
    <w:unhideWhenUsed/>
    <w:pPr>
      <w:spacing w:after="0" w:afterAutospacing="0"/>
    </w:pPr>
  </w:style>
  <w:style w:type="character" w:styleId="816" w:default="1">
    <w:name w:val="Default Paragraph Font"/>
    <w:uiPriority w:val="1"/>
    <w:semiHidden/>
    <w:unhideWhenUsed/>
  </w:style>
  <w:style w:type="numbering" w:styleId="817" w:default="1">
    <w:name w:val="No List"/>
    <w:uiPriority w:val="99"/>
    <w:semiHidden/>
    <w:unhideWhenUsed/>
  </w:style>
  <w:style w:type="paragraph" w:styleId="818" w:default="1">
    <w:name w:val="Normal"/>
    <w:qFormat/>
  </w:style>
  <w:style w:type="table" w:styleId="8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臧浩</cp:lastModifiedBy>
  <cp:revision>2</cp:revision>
  <dcterms:created xsi:type="dcterms:W3CDTF">2026-07-20T03:18:28Z</dcterms:created>
  <dcterms:modified xsi:type="dcterms:W3CDTF">2026-07-20T07:46:12Z</dcterms:modified>
</cp:coreProperties>
</file>